
<file path=[Content_Types].xml><?xml version="1.0" encoding="utf-8"?>
<Types xmlns="http://schemas.openxmlformats.org/package/2006/content-types">
  <Default Extension="jp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section xmlns="http://mapping.word.org/2014/section/customize" name="_SEC_3fe2ceb3f87f4c319dc247c4a8d6611b" id="715fcc748a4a1c20" status="sys">
    <sys>UEsDBBQABgAIAAAAIQA/a4q/iAEAAG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U9PwzAMxe9IfIcq9zYtSAhVbSdx4MQkJEDiGhKvy9b8Ueyt67cn6yBjaDc/v1+eHLtZHMyQ7SGgdrZlVVGyDKx0Stu+ZR/vz/kjy5CEVWJwFlo2AbJFd3vTSF9LF+A1OA+BNGAWkyzW0rdsTeRrzlGuwQgsImGjuXLBCIoy9NwLuRU98LuyfOAGSChBgh8Dc58S2U+kkinS78IwByjJYQADlpBXRcXPLEEwePXB7PwhjabJw1X010z0AXUCx3EsxvsZjfNX/HP58jZ/Ndf2uCsJrGuUrEnTAF3Dz2WscPe1AUmndhKxlgEEuXAykohr3sI0uqAwOhcqikEgLeOxVhrU03QC/vdiK8BeHw/clTOR5Kwur9h9AwAA//8DAFBLAwQUAAYACAAAACEA+jDC9HkBAADNAgAAEAAIAWRvY1Byb3BzL2FwcC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</sys>
  </section>
</sc:section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兖矿能源集团股份有限公司</clcid-cgi:GongSiFaDingZhongWenMingCheng>
  <clcid-mr:GongSiFuZeRenXingMing xmlns:clcid-mr="clcid-mr">李伟</clcid-mr:GongSiFuZeRenXingMing>
  <clcid-mr:ZhuGuanKuaiJiGongZuoFuZeRenXingMing xmlns:clcid-mr="clcid-mr">赵治国</clcid-mr:ZhuGuanKuaiJiGongZuoFuZeRenXingMing>
  <clcid-mr:KuaiJiJiGouFuZeRenXingMing xmlns:clcid-mr="clcid-mr">于强</clcid-mr:KuaiJiJiGouFuZeRenXingMing>
  <clcid-cgi:GongSiFaDingDaiBiaoRen xmlns:clcid-cgi="clcid-cgi"/>
  <clcid-ci-ar:DanWeiKouChuFeiJingChangXingSunYiXiangMuHeJinE xmlns:clcid-ci-ar="clcid-ci-ar">千元</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357,575 </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322,303 </clcid-pte:FeiJingChangXingSunYiZhongGeZhongXingShiDeZhengFuBuTi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134,765 </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3,833 </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-8,675</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-7,788</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159,621 </clcid-pte:ChuShangShuGeXiangZhiWaiDeQiTaYingYeWaiShouZhiJingE>
  <clcid-pte:ChuShangShuGeXiangZhiWaiDeQiTaYingYeWaiShouZhiJingEShuoMing xmlns:clcid-pte="clcid-pte"/>
  <clcid-pte:QiTaFeiJingChangXingSunYiXiangMu xmlns:clcid-pte="clcid-pte">-</clcid-pte:QiTaFeiJingChangXingSunYiXiangMu>
  <clcid-pte:QiTaFeiJingChangXingSunYiXiangMuShuoMing xmlns:clcid-pte="clcid-pte"/>
  <clcid-pte:FeiJingChangXingSunYiXiangMuZhongShaoShuGuDongQuanYiYingXiangE xmlns:clcid-pte="clcid-pte">226,724</clcid-pte:FeiJingChangXingSunYiXiangMuZhongShaoShuGuDongQuanYiYingXiangE>
  <clcid-pte:FeiJingChangXingSunYiXiangMuZhongShaoShuGuDongQuanYiYingXiangEShuoMing xmlns:clcid-pte="clcid-pte"/>
  <clcid-pte:FeiJingChangXingSunYiDeKouChuXiangMuDuiSuoDeShuiDeYingXiang xmlns:clcid-pte="clcid-pte">269,345</clcid-pte:FeiJingChangXingSunYiDeKouChuXiangMuDuiSuoDeShuiDeYingXiang>
  <clcid-pte:FeiJingChangXingSunYiDeKouChuXiangMuDuiSuoDeShuiDeYingXiangShuoMing xmlns:clcid-pte="clcid-pte"/>
  <clcid-pte:KouChuDeFeiJingChangXingSunYiHeJi xmlns:clcid-pte="clcid-pte">534,434</clcid-pte:KouChuDeFeiJingChangXingSunYiHeJi>
  <clcid-pte:KouChuDeFeiJingChangXingSunYiHeJiShuoMing xmlns:clcid-pte="clcid-pte"/>
  <clcid-ci-ar:DanWeiTongShiAnZhaoGuoJiKuaiJiZhunZeYuAnZhongGuoKuaiJiZhunZePiLuDeCaiWuBaoGaoZhongJingLiRunHeJingZiChanChaYiQingKuang xmlns:clcid-ci-ar="clcid-ci-ar">千元</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千元</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64,443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4,426</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千元</clcid-ci-ar:DanWeiCaiWuFuZhuYingFuPiaoJu>
  <bond:GongSiFaDingZhongWenMingCheng/>
</b:binding>
</file>

<file path=customXml\item4.xml><?xml version="1.0" encoding="utf-8"?>
<m:mapping xmlns:m="http://mapping.word.org/2012/mapping">
  <m:sm4><![CDATA[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]]></m:sm4>
</m:mapping>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]]></t:sse>
</t:template>
</file>

<file path=customXml\itemProps1.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2.xml><?xml version="1.0" encoding="utf-8"?>
<ds:datastoreItem xmlns:ds="http://schemas.openxmlformats.org/officeDocument/2006/customXml" ds:itemID="{898A931C-E6B0-4C28-BCC8-B5F0AB766E7E}">
  <ds:schemaRefs>
    <ds:schemaRef ds:uri="http://schemas.openxmlformats.org/officeDocument/2006/bibliography"/>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4.xml><?xml version="1.0" encoding="utf-8"?>
<ds:datastoreItem xmlns:ds="http://schemas.openxmlformats.org/officeDocument/2006/customXml" ds:itemID="{AE01A743-5BF5-4725-8E59-62566BD34168}">
  <ds:schemaRefs>
    <ds:schemaRef ds:uri="http://mapping.word.org/2012/mapping"/>
  </ds:schemaRefs>
</ds:datastoreItem>
</file>

<file path=customXml\itemProps5.xml><?xml version="1.0" encoding="utf-8"?>
<ds:datastoreItem xmlns:ds="http://schemas.openxmlformats.org/officeDocument/2006/customXml" ds:itemID="{7A7823F3-097C-47AC-B23E-420C56BB32A0}">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SSEReport.dotm</Template>
  <TotalTime>104</TotalTime>
  <Pages>378</Pages>
  <Words>168317</Words>
  <Characters>213764</Characters>
  <Application>Microsoft Office Word</Application>
  <DocSecurity>0</DocSecurity>
  <Lines>26720</Lines>
  <Paragraphs>29390</Paragraphs>
  <ScaleCrop>false</ScaleCrop>
  <Company/>
  <LinksUpToDate>false</LinksUpToDate>
  <CharactersWithSpaces>352691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兖矿能源集团股份有限公司2024年年度报告</dc:title>
  <dc:subject/>
  <dc:creator>dell</dc:creator>
  <cp:keywords/>
  <dc:description/>
  <cp:lastModifiedBy>1432642317@qq.com</cp:lastModifiedBy>
  <cp:revision>64</cp:revision>
  <dcterms:created xsi:type="dcterms:W3CDTF">2025-03-28T11:48:00Z</dcterms:created>
  <dcterms:modified xsi:type="dcterms:W3CDTF">2025-03-28T13:35:00Z</dcterms:modified>
</cp:coreProperties>
</file>

<file path=docProps\custom.xml><?xml version="1.0" encoding="utf-8"?>
<Properties xmlns="http://schemas.openxmlformats.org/officeDocument/2006/custom-properties" xmlns:vt="http://schemas.openxmlformats.org/officeDocument/2006/docPropsVTypes">
  <property fmtid="{5B77E7CE-EC58-BC6A-FAE8-886BEB80DBEB}" pid="2" name="5B77E7CEEC58BC6AFAE8886BEB80DBEB">
    <vt:lpwstr>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</vt:lpwstr>
  </property>
</Propertie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Roaming\Microsoft\Templates\SSEReport.dotm" TargetMode="Externa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spacing w:beforeLines="50" w:before="120" w:afterLines="50" w:after="120"/>
        <w:rPr>
          <w:bCs/>
          <w:szCs w:val="21"/>
        </w:rPr>
      </w:pPr>
      <w:r>
        <w:rPr>
          <w:rFonts w:hint="eastAsia"/>
          <w:bCs/>
          <w:szCs w:val="21"/>
        </w:rPr>
        <w:t>股票代码：</w:t>
      </w:r>
      <w:sdt>
        <w:sdtPr>
          <w:rPr>
            <w:rFonts w:hint="eastAsia"/>
            <w:bCs/>
            <w:szCs w:val="21"/>
          </w:rPr>
          <w:alias w:val="公司代码"/>
          <w:tag w:val="_GBC_704b7b03ea3f4a93b8d4655a09b2ff61"/>
          <w:id w:val="-446151642"/>
          <w:placeholder>
            <w:docPart w:val="GBC22222222222222222222222222222"/>
          </w:placeholder>
        </w:sdtPr>
        <w:sdtContent>
          <w:r>
            <w:rPr>
              <w:bCs/>
              <w:szCs w:val="21"/>
            </w:rPr>
            <w:t>600188</w:t>
          </w:r>
        </w:sdtContent>
      </w:sdt>
      <w:r>
        <w:rPr>
          <w:rFonts w:hint="eastAsia"/>
          <w:bCs/>
          <w:szCs w:val="21"/>
        </w:rPr>
        <w:t xml:space="preserve">                                           股票简称：</w:t>
      </w:r>
      <w:sdt>
        <w:sdtPr>
          <w:rPr>
            <w:rFonts w:hint="eastAsia"/>
            <w:bCs/>
            <w:szCs w:val="21"/>
          </w:rPr>
          <w:alias w:val="公司简称"/>
          <w:tag w:val="_GBC_0384ae715a1e4b4894a29e4d27f5bef4"/>
          <w:id w:val="-1050381728"/>
          <w:placeholder>
            <w:docPart w:val="GBC22222222222222222222222222222"/>
          </w:placeholder>
        </w:sdtPr>
        <w:sdtContent>
          <w:r>
            <w:rPr>
              <w:rFonts w:hint="eastAsia"/>
              <w:bCs/>
              <w:szCs w:val="21"/>
            </w:rPr>
            <w:t>兖矿能源</w:t>
          </w:r>
        </w:sdtContent>
      </w:sdt>
    </w:p>
    <w:p>
      <w:pPr>
        <w:pStyle w:val="affffffd"/>
      </w:pPr>
    </w:p>
    <w:p>
      <w:pPr>
        <w:pStyle w:val="affffffd"/>
      </w:pPr>
    </w:p>
    <w:p>
      <w:pPr>
        <w:pStyle w:val="affffffd"/>
      </w:pPr>
    </w:p>
    <w:p>
      <w:pPr>
        <w:pStyle w:val="affffffd"/>
      </w:pPr>
    </w:p>
    <w:p>
      <w:pPr>
        <w:pStyle w:val="affffffd"/>
      </w:pPr>
    </w:p>
    <w:p>
      <w:pPr>
        <w:pStyle w:val="affffffd"/>
      </w:pPr>
    </w:p>
    <w:p>
      <w:pPr>
        <w:rPr>
          <w:b/>
          <w:bCs/>
          <w:szCs w:val="21"/>
        </w:rPr>
      </w:pPr>
    </w:p>
    <w:p>
      <w:pPr>
        <w:rPr>
          <w:b/>
          <w:bCs/>
          <w:szCs w:val="21"/>
        </w:rPr>
      </w:pPr>
    </w:p>
    <w:p>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373348594"/>
          <w:placeholder>
            <w:docPart w:val="GBC22222222222222222222222222222"/>
          </w:placeholder>
          <w:dataBinding w:prefixMappings="xmlns:clcid-cgi='clcid-cgi'" w:xpath="/*/clcid-cgi:GongSiFaDingZhongWenMingCheng[not(@periodRef)]" w:storeItemID="{89EBAB94-44A0-46A2-B712-30D997D04A6D}"/>
          <w:text/>
        </w:sdtPr>
        <w:sdtContent>
          <w:r>
            <w:rPr>
              <w:rFonts w:ascii="黑体" w:eastAsia="黑体" w:hAnsi="黑体" w:hint="eastAsia"/>
              <w:b/>
              <w:bCs/>
              <w:color w:val="FF0000"/>
              <w:sz w:val="44"/>
              <w:szCs w:val="44"/>
            </w:rPr>
            <w:t>兖矿能源集团股份有限公司</w:t>
          </w:r>
        </w:sdtContent>
      </w:sdt>
    </w:p>
    <w:p>
      <w:pPr>
        <w:jc w:val="center"/>
        <w:rPr>
          <w:rFonts w:ascii="黑体" w:eastAsia="黑体" w:hAnsi="黑体"/>
          <w:b/>
          <w:bCs/>
          <w:color w:val="FF0000"/>
          <w:sz w:val="44"/>
          <w:szCs w:val="44"/>
        </w:rPr>
      </w:pPr>
      <w:r>
        <w:rPr>
          <w:rFonts w:ascii="黑体" w:eastAsia="黑体" w:hAnsi="黑体"/>
          <w:b/>
          <w:bCs/>
          <w:color w:val="FF0000"/>
          <w:sz w:val="44"/>
          <w:szCs w:val="44"/>
        </w:rPr>
        <w:t>2024</w:t>
      </w:r>
      <w:r>
        <w:rPr>
          <w:rFonts w:ascii="黑体" w:eastAsia="黑体" w:hAnsi="黑体" w:hint="eastAsia"/>
          <w:b/>
          <w:bCs/>
          <w:color w:val="FF0000"/>
          <w:sz w:val="44"/>
          <w:szCs w:val="44"/>
        </w:rPr>
        <w:t>年年度报告</w:t>
      </w:r>
    </w:p>
    <w:p>
      <w:pPr>
        <w:pStyle w:val="affffffd"/>
      </w:pPr>
    </w:p>
    <w:p>
      <w:pPr>
        <w:pStyle w:val="affffffd"/>
      </w:pPr>
    </w:p>
    <w:p>
      <w:pPr>
        <w:pStyle w:val="affffffd"/>
      </w:pPr>
    </w:p>
    <w:p>
      <w:pPr>
        <w:pStyle w:val="affffffd"/>
      </w:pPr>
    </w:p>
    <w:p>
      <w:pPr>
        <w:pStyle w:val="affffffd"/>
      </w:pPr>
    </w:p>
    <w:p>
      <w:pPr>
        <w:pStyle w:val="affffffd"/>
      </w:pPr>
    </w:p>
    <w:p>
      <w:pPr>
        <w:pStyle w:val="affffffd"/>
      </w:pPr>
    </w:p>
    <w:p>
      <w:pPr>
        <w:pStyle w:val="affffffd"/>
      </w:pPr>
    </w:p>
    <w:p>
      <w:pPr>
        <w:rPr>
          <w:rFonts w:ascii="黑体" w:eastAsia="黑体" w:hAnsi="黑体"/>
          <w:b/>
          <w:bCs/>
          <w:color w:val="FF0000"/>
          <w:sz w:val="44"/>
          <w:szCs w:val="44"/>
        </w:rPr>
        <w:sectPr>
          <w:headerReference w:type="default" r:id="rId12"/>
          <w:footerReference w:type="default" r:id="rId13"/>
          <w:pgSz w:w="11906" w:h="16838"/>
          <w:pgMar w:top="1525" w:right="1276" w:bottom="1440" w:left="1797" w:header="855" w:footer="992" w:gutter="0"/>
          <w:cols w:space="425"/>
          <w:docGrid w:linePitch="312"/>
        </w:sectPr>
      </w:pPr>
    </w:p>
    <w:bookmarkStart w:id="0" w:name="_Toc387656034" w:displacedByCustomXml="next"/>
    <w:sdt>
      <w:sdtPr>
        <w:tag w:val="_PLD_429fee330a4a46d2822ec08d94ecdb3f"/>
        <w:id w:val="764961545"/>
      </w:sdtPr>
      <w:sdtContent>
        <w:p>
          <w:pPr>
            <w:pStyle w:val="affffff7"/>
            <w:spacing w:after="280" w:afterAutospacing="0"/>
            <w:jc w:val="center"/>
            <w:rPr>
              <w:rFonts w:ascii="黑体" w:eastAsia="黑体"/>
              <w:b/>
              <w:bCs/>
              <w:sz w:val="28"/>
              <w:szCs w:val="28"/>
            </w:rPr>
          </w:pPr>
          <w:r>
            <w:rPr>
              <w:rFonts w:ascii="黑体" w:eastAsia="黑体" w:hint="eastAsia"/>
              <w:b/>
              <w:bCs/>
              <w:sz w:val="28"/>
              <w:szCs w:val="28"/>
            </w:rPr>
            <w:t>重要提示</w:t>
          </w:r>
        </w:p>
      </w:sdtContent>
    </w:sdt>
    <w:bookmarkEnd w:id="0" w:displacedByCustomXml="next"/>
    <w:sdt>
      <w:sdtPr>
        <w:rPr>
          <w:rFonts w:ascii="宋体" w:hAnsi="宋体" w:cs="宋体" w:hint="eastAsia"/>
          <w:b w:val="0"/>
          <w:bCs w:val="0"/>
          <w:kern w:val="0"/>
          <w:szCs w:val="24"/>
        </w:rPr>
        <w:alias w:val="选项模块:董事会及董事声明"/>
        <w:tag w:val="_SEC_7d2cef92505949c6b5bd6a9bd88e1b07"/>
        <w:id w:val="476197957"/>
        <w:placeholder>
          <w:docPart w:val="GBC22222222222222222222222222222"/>
        </w:placeholder>
      </w:sdtPr>
      <w:sdtEndPr>
        <w:rPr>
          <w:rFonts w:hint="default"/>
        </w:rPr>
      </w:sdtEndPr>
      <w:sdtContent>
        <w:sdt>
          <w:sdtPr>
            <w:rPr>
              <w:rFonts w:ascii="宋体" w:hAnsi="宋体" w:cs="宋体" w:hint="eastAsia"/>
              <w:b w:val="0"/>
              <w:bCs w:val="0"/>
              <w:kern w:val="0"/>
              <w:szCs w:val="24"/>
            </w:rPr>
            <w:alias w:val="董事会及董事声明"/>
            <w:tag w:val="_GBC_7a4abe6548364d7e8583e54b6ff64105"/>
            <w:id w:val="-1220972030"/>
            <w:placeholder>
              <w:docPart w:val="GBC22222222222222222222222222222"/>
            </w:placeholder>
          </w:sdtPr>
          <w:sdtEndPr>
            <w:rPr>
              <w:rFonts w:ascii="Arial" w:hAnsi="Arial" w:cs="Times New Roman"/>
              <w:b/>
              <w:bCs/>
              <w:kern w:val="2"/>
              <w:szCs w:val="21"/>
            </w:rPr>
          </w:sdtEndPr>
          <w:sdtContent>
            <w:p>
              <w:pPr>
                <w:pStyle w:val="2"/>
                <w:numPr>
                  <w:ilvl w:val="0"/>
                  <w:numId w:val="5"/>
                </w:numPr>
                <w:tabs>
                  <w:tab w:val="left" w:pos="434"/>
                </w:tabs>
                <w:spacing w:before="0"/>
                <w:rPr>
                  <w:rFonts w:ascii="Times New Roman" w:hAnsi="宋体" w:cs="宋体"/>
                  <w:bCs w:val="0"/>
                </w:rPr>
              </w:pPr>
              <w:r>
                <w:rPr>
                  <w:rFonts w:ascii="Times New Roman" w:hAnsi="宋体" w:cs="宋体"/>
                  <w:bCs w:val="0"/>
                </w:rPr>
                <w:t>本公司董事会、监事会及董事、监事、高级管理人员保证年度报告内容的真实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pPr>
            <w:pStyle w:val="affffffd"/>
          </w:pPr>
        </w:p>
      </w:sdtContent>
    </w:sdt>
    <w:sdt>
      <w:sdtPr>
        <w:rPr>
          <w:rFonts w:ascii="宋体" w:hAnsi="宋体" w:cs="宋体" w:hint="eastAsia"/>
          <w:b w:val="0"/>
          <w:bCs w:val="0"/>
          <w:kern w:val="0"/>
          <w:sz w:val="24"/>
          <w:szCs w:val="22"/>
        </w:rPr>
        <w:alias w:val="选项模块:公司全体董事出席董事会会议。"/>
        <w:tag w:val="_SEC_22f2821f4b8f443f90d5135b8aaff83a"/>
        <w:id w:val="-1975744913"/>
        <w:placeholder>
          <w:docPart w:val="GBC22222222222222222222222222222"/>
        </w:placeholder>
      </w:sdtPr>
      <w:sdtEndPr>
        <w:rPr>
          <w:rFonts w:hint="default"/>
          <w:sz w:val="21"/>
          <w:szCs w:val="21"/>
        </w:rPr>
      </w:sdtEndPr>
      <w:sdtContent>
        <w:p>
          <w:pPr>
            <w:pStyle w:val="2"/>
            <w:numPr>
              <w:ilvl w:val="0"/>
              <w:numId w:val="5"/>
            </w:numPr>
            <w:tabs>
              <w:tab w:val="left" w:pos="434"/>
            </w:tabs>
            <w:spacing w:before="0"/>
            <w:rPr>
              <w:rFonts w:ascii="Times New Roman" w:hAnsi="宋体" w:cs="宋体"/>
              <w:bCs w:val="0"/>
            </w:rPr>
          </w:pPr>
          <w:r>
            <w:rPr>
              <w:rFonts w:ascii="Times New Roman" w:hAnsi="宋体" w:cs="宋体"/>
              <w:bCs w:val="0"/>
            </w:rPr>
            <w:t>《兖矿能源集团股份有限公司</w:t>
          </w:r>
          <w:r>
            <w:rPr>
              <w:rFonts w:ascii="Times New Roman" w:hAnsi="宋体" w:cs="宋体"/>
              <w:bCs w:val="0"/>
            </w:rPr>
            <w:t>2024</w:t>
          </w:r>
          <w:r>
            <w:rPr>
              <w:rFonts w:ascii="Times New Roman" w:hAnsi="宋体" w:cs="宋体"/>
              <w:bCs w:val="0"/>
            </w:rPr>
            <w:t>年年度报告》已经公司第九届董事会第十四次会议审议通过，会议应出席董事</w:t>
          </w:r>
          <w:r>
            <w:rPr>
              <w:rFonts w:ascii="Times New Roman" w:hAnsi="宋体" w:cs="宋体"/>
              <w:bCs w:val="0"/>
            </w:rPr>
            <w:t>10</w:t>
          </w:r>
          <w:r>
            <w:rPr>
              <w:rFonts w:ascii="Times New Roman" w:hAnsi="宋体" w:cs="宋体"/>
              <w:bCs w:val="0"/>
            </w:rPr>
            <w:t>人，实出席董事</w:t>
          </w:r>
          <w:r>
            <w:rPr>
              <w:rFonts w:ascii="Times New Roman" w:hAnsi="宋体" w:cs="宋体"/>
              <w:bCs w:val="0"/>
            </w:rPr>
            <w:t>10</w:t>
          </w:r>
          <w:r>
            <w:rPr>
              <w:rFonts w:ascii="Times New Roman" w:hAnsi="宋体" w:cs="宋体"/>
              <w:bCs w:val="0"/>
            </w:rPr>
            <w:t>人，公司全体董事出席董事会会议。</w:t>
          </w:r>
        </w:p>
        <w:p>
          <w:pPr>
            <w:rPr>
              <w:szCs w:val="21"/>
            </w:rPr>
          </w:pP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535033409"/>
        <w:placeholder>
          <w:docPart w:val="GBC22222222222222222222222222222"/>
        </w:placeholder>
      </w:sdtPr>
      <w:sdtEndPr>
        <w:rPr>
          <w:rFonts w:ascii="宋体" w:hAnsi="宋体" w:hint="default"/>
          <w:sz w:val="21"/>
        </w:rPr>
      </w:sdtEndPr>
      <w:sdtContent>
        <w:p>
          <w:pPr>
            <w:pStyle w:val="2"/>
            <w:numPr>
              <w:ilvl w:val="0"/>
              <w:numId w:val="5"/>
            </w:numPr>
            <w:tabs>
              <w:tab w:val="left" w:pos="434"/>
            </w:tabs>
            <w:spacing w:before="0"/>
            <w:rPr>
              <w:rFonts w:ascii="Times New Roman" w:hAnsi="宋体" w:cs="宋体"/>
              <w:bCs w:val="0"/>
            </w:rPr>
          </w:pPr>
          <w:sdt>
            <w:sdtPr>
              <w:rPr>
                <w:rFonts w:ascii="宋体" w:hAnsi="宋体" w:hint="eastAsia"/>
              </w:rPr>
              <w:alias w:val="公司聘请的境内会计师事务所名称"/>
              <w:tag w:val="_GBC_ad504284986e4ab994733d7125ba1c33"/>
              <w:id w:val="-1344553977"/>
              <w:placeholder>
                <w:docPart w:val="GBC22222222222222222222222222222"/>
              </w:placeholder>
            </w:sdtPr>
            <w:sdtContent>
              <w:r>
                <w:rPr>
                  <w:rFonts w:ascii="Times New Roman" w:hAnsi="宋体" w:cs="宋体"/>
                  <w:bCs w:val="0"/>
                </w:rPr>
                <w:t>天职国际会计师事务所（特殊普通合伙）</w:t>
              </w:r>
            </w:sdtContent>
          </w:sdt>
          <w:r>
            <w:rPr>
              <w:rFonts w:ascii="Times New Roman" w:hAnsi="宋体" w:cs="宋体"/>
              <w:bCs w:val="0"/>
            </w:rPr>
            <w:t>为本公司出具了</w:t>
          </w:r>
          <w:sdt>
            <w:sdtPr>
              <w:rPr>
                <w:rFonts w:ascii="宋体" w:hAnsi="宋体" w:hint="eastAsia"/>
              </w:rPr>
              <w:alias w:val="会计师事务所审计意见类型"/>
              <w:tag w:val="_GBC_fc66ac35f9514436909a413223854389"/>
              <w:id w:val="-1214419199"/>
              <w:placeholder>
                <w:docPart w:val="GBC22222222222222222222222222222"/>
              </w:placeholder>
            </w:sdtPr>
            <w:sdtContent>
              <w:r>
                <w:rPr>
                  <w:rFonts w:ascii="Times New Roman" w:hAnsi="宋体" w:cs="宋体"/>
                  <w:bCs w:val="0"/>
                </w:rPr>
                <w:t>标准无保留意见</w:t>
              </w:r>
            </w:sdtContent>
          </w:sdt>
          <w:r>
            <w:rPr>
              <w:rFonts w:ascii="Times New Roman" w:hAnsi="宋体" w:cs="宋体"/>
              <w:bCs w:val="0"/>
            </w:rPr>
            <w:t>的审计报告。</w:t>
          </w:r>
        </w:p>
        <w:p>
          <w:pPr>
            <w:rPr>
              <w:szCs w:val="21"/>
            </w:rPr>
          </w:pPr>
        </w:p>
      </w:sdtContent>
    </w:sdt>
    <w:p>
      <w:pPr>
        <w:pStyle w:val="2"/>
        <w:numPr>
          <w:ilvl w:val="0"/>
          <w:numId w:val="5"/>
        </w:numPr>
        <w:tabs>
          <w:tab w:val="left" w:pos="434"/>
        </w:tabs>
        <w:spacing w:before="0"/>
        <w:rPr>
          <w:rFonts w:ascii="Times New Roman" w:hAnsi="宋体" w:cs="宋体"/>
          <w:bCs w:val="0"/>
        </w:rPr>
      </w:pPr>
      <w:r>
        <w:rPr>
          <w:rFonts w:ascii="Times New Roman" w:hAnsi="宋体" w:cs="宋体"/>
          <w:bCs w:val="0"/>
        </w:rPr>
        <w:t>公司董事长</w:t>
      </w:r>
      <w:sdt>
        <w:sdtPr>
          <w:rPr>
            <w:rFonts w:ascii="宋体" w:hAnsi="宋体" w:hint="eastAsia"/>
          </w:rPr>
          <w:alias w:val="公司负责人姓名"/>
          <w:tag w:val="_GBC_ba0728eaa9a342098d20addcde59ed31"/>
          <w:id w:val="901565778"/>
          <w:placeholder>
            <w:docPart w:val="GBC22222222222222222222222222222"/>
          </w:placeholder>
          <w:dataBinding w:prefixMappings="xmlns:clcid-mr='clcid-mr'" w:xpath="/*/clcid-mr:GongSiFuZeRenXingMing[not(@periodRef)]" w:storeItemID="{89EBAB94-44A0-46A2-B712-30D997D04A6D}"/>
          <w:text/>
        </w:sdtPr>
        <w:sdtContent>
          <w:r>
            <w:rPr>
              <w:rFonts w:ascii="Times New Roman" w:hAnsi="宋体" w:cs="宋体"/>
              <w:bCs w:val="0"/>
            </w:rPr>
            <w:t>李伟</w:t>
          </w:r>
        </w:sdtContent>
      </w:sdt>
      <w:r>
        <w:rPr>
          <w:rFonts w:ascii="Times New Roman" w:hAnsi="宋体" w:cs="宋体"/>
          <w:bCs w:val="0"/>
        </w:rPr>
        <w:t>先生、财务总监</w:t>
      </w:r>
      <w:sdt>
        <w:sdtPr>
          <w:rPr>
            <w:rFonts w:ascii="宋体" w:hAnsi="宋体" w:hint="eastAsia"/>
          </w:rPr>
          <w:alias w:val="主管会计工作负责人姓名"/>
          <w:tag w:val="_GBC_9ac791ae357946e68402505d2aa6b3b9"/>
          <w:id w:val="538631008"/>
          <w:placeholder>
            <w:docPart w:val="GBC22222222222222222222222222222"/>
          </w:placeholder>
          <w:dataBinding w:prefixMappings="xmlns:clcid-mr='clcid-mr'" w:xpath="/*/clcid-mr:ZhuGuanKuaiJiGongZuoFuZeRenXingMing[not(@periodRef)]" w:storeItemID="{89EBAB94-44A0-46A2-B712-30D997D04A6D}"/>
          <w:text/>
        </w:sdtPr>
        <w:sdtContent>
          <w:r>
            <w:rPr>
              <w:rFonts w:ascii="Times New Roman" w:hAnsi="宋体" w:cs="宋体"/>
              <w:bCs w:val="0"/>
            </w:rPr>
            <w:t>赵治国</w:t>
          </w:r>
        </w:sdtContent>
      </w:sdt>
      <w:r>
        <w:rPr>
          <w:rFonts w:ascii="Times New Roman" w:hAnsi="宋体" w:cs="宋体"/>
          <w:bCs w:val="0"/>
        </w:rPr>
        <w:t>先生及财务管理部部长</w:t>
      </w:r>
      <w:sdt>
        <w:sdtPr>
          <w:rPr>
            <w:rFonts w:ascii="宋体" w:hAnsi="宋体" w:hint="eastAsia"/>
          </w:rPr>
          <w:alias w:val="会计机构负责人姓名"/>
          <w:tag w:val="_GBC_c6edcd184788428d9dc08d896d5d98a9"/>
          <w:id w:val="1476877650"/>
          <w:placeholder>
            <w:docPart w:val="GBC22222222222222222222222222222"/>
          </w:placeholder>
          <w:dataBinding w:prefixMappings="xmlns:clcid-mr='clcid-mr'" w:xpath="/*/clcid-mr:KuaiJiJiGouFuZeRenXingMing[not(@periodRef)]" w:storeItemID="{89EBAB94-44A0-46A2-B712-30D997D04A6D}"/>
          <w:text/>
        </w:sdtPr>
        <w:sdtContent>
          <w:r>
            <w:rPr>
              <w:rFonts w:ascii="Times New Roman" w:hAnsi="宋体" w:cs="宋体"/>
              <w:bCs w:val="0"/>
            </w:rPr>
            <w:t>于强</w:t>
          </w:r>
        </w:sdtContent>
      </w:sdt>
      <w:r>
        <w:rPr>
          <w:rFonts w:ascii="Times New Roman" w:hAnsi="宋体" w:cs="宋体"/>
          <w:bCs w:val="0"/>
        </w:rPr>
        <w:t>先生声明：保证年度报告中财务报告的真实、准确、完整。</w:t>
      </w:r>
    </w:p>
    <w:p>
      <w:pPr>
        <w:pStyle w:val="affffffd"/>
      </w:pPr>
    </w:p>
    <w:p>
      <w:pPr>
        <w:pStyle w:val="2"/>
        <w:numPr>
          <w:ilvl w:val="0"/>
          <w:numId w:val="5"/>
        </w:numPr>
        <w:tabs>
          <w:tab w:val="left" w:pos="434"/>
        </w:tabs>
        <w:spacing w:before="0"/>
        <w:rPr>
          <w:rFonts w:ascii="Times New Roman" w:hAnsi="宋体" w:cs="宋体"/>
          <w:bCs w:val="0"/>
        </w:rPr>
      </w:pPr>
      <w:r>
        <w:rPr>
          <w:rFonts w:ascii="Times New Roman" w:hAnsi="宋体" w:cs="宋体"/>
          <w:bCs w:val="0"/>
        </w:rPr>
        <w:t>董事会决议通过的本报告期利润分配预案或公积金转增股本预案</w:t>
      </w:r>
    </w:p>
    <w:bookmarkStart w:id="1" w:name="_Hlk193609620" w:displacedByCustomXml="next"/>
    <w:sdt>
      <w:sdtPr>
        <w:rPr>
          <w:rFonts w:hint="eastAsia"/>
          <w:szCs w:val="21"/>
        </w:rPr>
        <w:alias w:val="经董事会审议的报告期利润分配预案或公积金转增股本预案"/>
        <w:tag w:val="_GBC_87fdd30c16df49cc824b47e55e4be6d9"/>
        <w:id w:val="1671985961"/>
        <w:placeholder>
          <w:docPart w:val="GBC22222222222222222222222222222"/>
        </w:placeholder>
      </w:sdtPr>
      <w:sdtEndPr>
        <w:rPr>
          <w:u w:val="single"/>
        </w:rPr>
      </w:sdtEndPr>
      <w:sdtContent>
        <w:p>
          <w:pPr>
            <w:kinsoku w:val="0"/>
            <w:overflowPunct w:val="0"/>
            <w:autoSpaceDE w:val="0"/>
            <w:autoSpaceDN w:val="0"/>
            <w:adjustRightInd w:val="0"/>
            <w:snapToGrid w:val="0"/>
            <w:spacing w:line="360" w:lineRule="exact"/>
            <w:ind w:firstLineChars="200" w:firstLine="420"/>
            <w:jc w:val="both"/>
            <w:rPr>
              <w:szCs w:val="21"/>
            </w:rPr>
          </w:pPr>
          <w:r>
            <w:rPr>
              <w:szCs w:val="21"/>
            </w:rPr>
            <w:t>2024年度，公司按中国会计准则实现归母净利润144.25亿元，按国际财务报告准则实现的归母净利润140.56亿元，根据公司章程及2023-2025年度分红政策，2024年度现金股利为0.77元/股（含税），扣除2024年半年度现金股利0.23元/股（含税）后，公司董事会建议以权益分派股权登记日的总股本为基数，派发</w:t>
          </w:r>
          <w:r>
            <w:rPr>
              <w:rFonts w:hint="eastAsia"/>
              <w:szCs w:val="21"/>
            </w:rPr>
            <w:t>2</w:t>
          </w:r>
          <w:r>
            <w:rPr>
              <w:szCs w:val="21"/>
            </w:rPr>
            <w:t>024</w:t>
          </w:r>
          <w:r>
            <w:rPr>
              <w:rFonts w:hint="eastAsia"/>
              <w:szCs w:val="21"/>
            </w:rPr>
            <w:t>年度末期</w:t>
          </w:r>
          <w:r>
            <w:rPr>
              <w:szCs w:val="21"/>
            </w:rPr>
            <w:t>现金股利0.54元/股（含税）。</w:t>
          </w:r>
        </w:p>
        <w:p>
          <w:pPr>
            <w:kinsoku w:val="0"/>
            <w:overflowPunct w:val="0"/>
            <w:autoSpaceDE w:val="0"/>
            <w:autoSpaceDN w:val="0"/>
            <w:adjustRightInd w:val="0"/>
            <w:snapToGrid w:val="0"/>
            <w:spacing w:line="360" w:lineRule="exact"/>
            <w:ind w:firstLineChars="200" w:firstLine="420"/>
          </w:pPr>
        </w:p>
      </w:sdtContent>
    </w:sdt>
    <w:bookmarkEnd w:id="1" w:displacedByCustomXml="prev"/>
    <w:p>
      <w:pPr>
        <w:pStyle w:val="2"/>
        <w:numPr>
          <w:ilvl w:val="0"/>
          <w:numId w:val="5"/>
        </w:numPr>
        <w:tabs>
          <w:tab w:val="left" w:pos="434"/>
        </w:tabs>
        <w:spacing w:before="0"/>
        <w:rPr>
          <w:rFonts w:ascii="Times New Roman" w:hAnsi="宋体" w:cs="宋体"/>
          <w:bCs w:val="0"/>
        </w:rPr>
      </w:pPr>
      <w:r>
        <w:rPr>
          <w:rFonts w:ascii="Times New Roman" w:hAnsi="宋体" w:cs="宋体"/>
          <w:bCs w:val="0"/>
        </w:rPr>
        <w:t>前瞻性陈述的风险声明</w:t>
      </w:r>
    </w:p>
    <w:sdt>
      <w:sdtPr>
        <w:alias w:val="是否适用：前瞻性陈述的风险声明[双击切换]"/>
        <w:tag w:val="_GBC_5e5553f9f96e47e8b5eded9c0e6a26c0"/>
        <w:id w:val="791934888"/>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564224794"/>
        <w:placeholder>
          <w:docPart w:val="GBC22222222222222222222222222222"/>
        </w:placeholder>
      </w:sdtPr>
      <w:sdtContent>
        <w:p>
          <w:pPr>
            <w:kinsoku w:val="0"/>
            <w:overflowPunct w:val="0"/>
            <w:autoSpaceDE w:val="0"/>
            <w:autoSpaceDN w:val="0"/>
            <w:adjustRightInd w:val="0"/>
            <w:snapToGrid w:val="0"/>
            <w:spacing w:line="360" w:lineRule="exact"/>
            <w:rPr>
              <w:szCs w:val="21"/>
            </w:rPr>
          </w:pPr>
          <w:r>
            <w:rPr>
              <w:szCs w:val="21"/>
            </w:rPr>
            <w:t xml:space="preserve">    </w:t>
          </w:r>
          <w:r>
            <w:rPr>
              <w:rFonts w:hint="eastAsia"/>
              <w:szCs w:val="21"/>
            </w:rPr>
            <w:t>本报告中有关未来计划等前瞻性陈述，不构成本公司对投资者的实质性承诺，请投资者注意投资风险。</w:t>
          </w:r>
        </w:p>
      </w:sdtContent>
    </w:sdt>
    <w:p>
      <w:pPr>
        <w:kinsoku w:val="0"/>
        <w:overflowPunct w:val="0"/>
        <w:autoSpaceDE w:val="0"/>
        <w:autoSpaceDN w:val="0"/>
        <w:adjustRightInd w:val="0"/>
        <w:snapToGrid w:val="0"/>
        <w:spacing w:line="360" w:lineRule="exact"/>
        <w:rPr>
          <w:szCs w:val="21"/>
        </w:rPr>
      </w:pPr>
    </w:p>
    <w:p>
      <w:pPr>
        <w:pStyle w:val="2"/>
        <w:numPr>
          <w:ilvl w:val="0"/>
          <w:numId w:val="5"/>
        </w:numPr>
        <w:tabs>
          <w:tab w:val="left" w:pos="434"/>
        </w:tabs>
        <w:spacing w:before="0"/>
        <w:rPr>
          <w:rFonts w:ascii="Times New Roman" w:hAnsi="宋体" w:cs="宋体"/>
          <w:bCs w:val="0"/>
        </w:rPr>
      </w:pPr>
      <w:r>
        <w:rPr>
          <w:rFonts w:ascii="Times New Roman" w:hAnsi="宋体" w:cs="宋体"/>
          <w:bCs w:val="0"/>
        </w:rPr>
        <w:t>是否存在被控股股东及其他关联方非经营性占用资金情况</w:t>
      </w:r>
    </w:p>
    <w:sdt>
      <w:sdtPr>
        <w:rPr>
          <w:rFonts w:ascii="Arial" w:hAnsi="Arial" w:hint="eastAsia"/>
          <w:bCs/>
          <w:szCs w:val="21"/>
        </w:rPr>
        <w:alias w:val="本公司是否存在大股东占用资金情况"/>
        <w:tag w:val="_GBC_a9b8d3170fbb4d50a645223c117f8b30"/>
        <w:id w:val="-1645497559"/>
        <w:placeholder>
          <w:docPart w:val="GBC22222222222222222222222222222"/>
        </w:placeholder>
        <w:comboBox>
          <w:listItem w:displayText="是" w:value="true"/>
          <w:listItem w:displayText="否" w:value="false"/>
        </w:comboBox>
      </w:sdtPr>
      <w:sdtContent>
        <w:p>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p>
      <w:pPr>
        <w:kinsoku w:val="0"/>
        <w:overflowPunct w:val="0"/>
        <w:autoSpaceDE w:val="0"/>
        <w:autoSpaceDN w:val="0"/>
        <w:adjustRightInd w:val="0"/>
        <w:snapToGrid w:val="0"/>
        <w:spacing w:line="360" w:lineRule="exact"/>
        <w:rPr>
          <w:rFonts w:ascii="Arial" w:hAnsi="Arial"/>
          <w:bCs/>
          <w:szCs w:val="21"/>
        </w:rPr>
      </w:pPr>
    </w:p>
    <w:p>
      <w:pPr>
        <w:pStyle w:val="2"/>
        <w:numPr>
          <w:ilvl w:val="0"/>
          <w:numId w:val="5"/>
        </w:numPr>
        <w:tabs>
          <w:tab w:val="left" w:pos="434"/>
        </w:tabs>
        <w:spacing w:before="0"/>
        <w:rPr>
          <w:rFonts w:ascii="Times New Roman" w:hAnsi="宋体" w:cs="宋体"/>
          <w:bCs w:val="0"/>
        </w:rPr>
      </w:pPr>
      <w:r>
        <w:rPr>
          <w:rFonts w:ascii="Times New Roman" w:hAnsi="宋体" w:cs="宋体"/>
          <w:bCs w:val="0"/>
        </w:rPr>
        <w:t>是否存在违反规定决策程序对外提供担保的情况</w:t>
      </w:r>
    </w:p>
    <w:sdt>
      <w:sdtPr>
        <w:rPr>
          <w:rFonts w:hint="eastAsia"/>
          <w:szCs w:val="21"/>
        </w:rPr>
        <w:alias w:val="本公司是否存在违反规定决策程序对外提供担保的情况"/>
        <w:tag w:val="_GBC_aef7ac6bbdf043bc8051c4f9fb55e5ea"/>
        <w:id w:val="2113168799"/>
        <w:placeholder>
          <w:docPart w:val="GBC22222222222222222222222222222"/>
        </w:placeholder>
        <w:comboBox>
          <w:listItem w:displayText="是" w:value="true"/>
          <w:listItem w:displayText="否" w:value="false"/>
        </w:comboBox>
      </w:sdtPr>
      <w:sdtContent>
        <w:p>
          <w:pPr>
            <w:rPr>
              <w:szCs w:val="21"/>
            </w:rPr>
          </w:pPr>
          <w:r>
            <w:rPr>
              <w:rFonts w:hint="eastAsia"/>
              <w:szCs w:val="21"/>
            </w:rPr>
            <w:t>否</w:t>
          </w:r>
        </w:p>
      </w:sdtContent>
    </w:sdt>
    <w:p>
      <w:pPr>
        <w:pStyle w:val="affffffd"/>
      </w:pPr>
    </w:p>
    <w:p>
      <w:pPr>
        <w:pStyle w:val="2"/>
        <w:numPr>
          <w:ilvl w:val="0"/>
          <w:numId w:val="5"/>
        </w:numPr>
        <w:tabs>
          <w:tab w:val="left" w:pos="434"/>
        </w:tabs>
        <w:spacing w:before="0"/>
        <w:rPr>
          <w:rFonts w:ascii="Times New Roman" w:hAnsi="宋体" w:cs="宋体"/>
          <w:bCs w:val="0"/>
        </w:rPr>
      </w:pPr>
      <w:bookmarkStart w:id="2" w:name="_Hlk61881950"/>
      <w:r>
        <w:rPr>
          <w:rFonts w:ascii="Times New Roman" w:hAnsi="宋体" w:cs="宋体"/>
          <w:bCs w:val="0"/>
        </w:rPr>
        <w:t>是否存在半数以上董事无法保证公司所披露年度报告的真实性、准确性和完整性</w:t>
      </w:r>
      <w:bookmarkEnd w:id="2"/>
    </w:p>
    <w:sdt>
      <w:sdtPr>
        <w:rPr>
          <w:rFonts w:hint="eastAsia"/>
        </w:rPr>
        <w:alias w:val="是否存在半数以上董事无法保证公司所披露年度报告的真实性、准确性和完整性"/>
        <w:tag w:val="_GBC_abc43c78fabf487d8ee599f7fe1628a3"/>
        <w:id w:val="-771779461"/>
        <w:placeholder>
          <w:docPart w:val="GBC22222222222222222222222222222"/>
        </w:placeholder>
        <w:comboBox>
          <w:listItem w:displayText="是" w:value="是"/>
          <w:listItem w:displayText="否" w:value="否"/>
        </w:comboBox>
      </w:sdtPr>
      <w:sdtContent>
        <w:p>
          <w:pPr>
            <w:rPr>
              <w:szCs w:val="21"/>
            </w:rPr>
          </w:pPr>
          <w:r>
            <w:rPr>
              <w:rFonts w:hint="eastAsia"/>
            </w:rPr>
            <w:t>否</w:t>
          </w:r>
        </w:p>
      </w:sdtContent>
    </w:sdt>
    <w:p>
      <w:pPr>
        <w:pStyle w:val="2"/>
        <w:tabs>
          <w:tab w:val="left" w:pos="644"/>
        </w:tabs>
        <w:spacing w:before="0"/>
      </w:pPr>
    </w:p>
    <w:p>
      <w:pPr>
        <w:pStyle w:val="2"/>
        <w:numPr>
          <w:ilvl w:val="0"/>
          <w:numId w:val="5"/>
        </w:numPr>
        <w:tabs>
          <w:tab w:val="left" w:pos="434"/>
        </w:tabs>
        <w:spacing w:before="0"/>
        <w:rPr>
          <w:rFonts w:ascii="Times New Roman" w:hAnsi="宋体" w:cs="宋体"/>
          <w:bCs w:val="0"/>
        </w:rPr>
      </w:pPr>
      <w:r>
        <w:rPr>
          <w:rFonts w:ascii="Times New Roman" w:hAnsi="宋体" w:cs="宋体"/>
          <w:bCs w:val="0"/>
        </w:rPr>
        <w:t>重大风险提示</w:t>
      </w:r>
    </w:p>
    <w:p>
      <w:pPr>
        <w:ind w:firstLineChars="200" w:firstLine="420"/>
      </w:pPr>
      <w:sdt>
        <w:sdtPr>
          <w:alias w:val="重大风险提示"/>
          <w:tag w:val="_GBC_43a6b8847e0241f1af5326af848c7cec"/>
          <w:id w:val="-1578980935"/>
          <w:placeholder>
            <w:docPart w:val="GBC22222222222222222222222222222"/>
          </w:placeholder>
        </w:sdtPr>
        <w:sdtContent>
          <w:r>
            <w:rPr>
              <w:rFonts w:hint="eastAsia"/>
            </w:rPr>
            <w:t>公司已在本报告中披露了本集团面临的主要风险、影响及对策，详情请见本报告“第四节</w:t>
          </w:r>
          <w:r>
            <w:t xml:space="preserve"> 管理层讨论与分析”中的相关内容，敬请投资者予以关注。   </w:t>
          </w:r>
        </w:sdtContent>
      </w:sdt>
    </w:p>
    <w:p>
      <w:pPr>
        <w:pStyle w:val="affffffd"/>
      </w:pPr>
    </w:p>
    <w:p>
      <w:pPr>
        <w:pStyle w:val="2"/>
        <w:numPr>
          <w:ilvl w:val="0"/>
          <w:numId w:val="5"/>
        </w:numPr>
        <w:tabs>
          <w:tab w:val="left" w:pos="434"/>
        </w:tabs>
        <w:spacing w:before="0"/>
        <w:rPr>
          <w:rFonts w:ascii="Times New Roman" w:hAnsi="宋体" w:cs="宋体"/>
          <w:bCs w:val="0"/>
        </w:rPr>
      </w:pPr>
      <w:r>
        <w:rPr>
          <w:rFonts w:ascii="Times New Roman" w:hAnsi="宋体" w:cs="宋体"/>
          <w:bCs w:val="0"/>
        </w:rPr>
        <w:t>其他</w:t>
      </w:r>
    </w:p>
    <w:sdt>
      <w:sdtPr>
        <w:alias w:val="是否适用：其他重要提示[双击切换]"/>
        <w:tag w:val="_GBC_0eafa210a73340628544c13dacbc7643"/>
        <w:id w:val="2057353483"/>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重要提示的其他情况说明"/>
        <w:tag w:val="_GBC_af94cd16edaf46c3bbc1ec9dc56ea822"/>
        <w:id w:val="1394624978"/>
        <w:placeholder>
          <w:docPart w:val="GBC22222222222222222222222222222"/>
        </w:placeholder>
      </w:sdtPr>
      <w:sdtContent>
        <w:p>
          <w:pPr>
            <w:ind w:firstLineChars="200" w:firstLine="420"/>
            <w:rPr>
              <w:szCs w:val="21"/>
            </w:rPr>
          </w:pPr>
          <w:r>
            <w:rPr>
              <w:rFonts w:hint="eastAsia"/>
              <w:szCs w:val="21"/>
            </w:rPr>
            <w:t xml:space="preserve">本报告的数据经四舍五入，增减幅由四舍五入前的原始数据计算得出。 </w:t>
          </w:r>
        </w:p>
        <w:p>
          <w:pPr>
            <w:ind w:firstLineChars="200" w:firstLine="420"/>
            <w:rPr>
              <w:szCs w:val="21"/>
            </w:rPr>
          </w:pPr>
          <w:r>
            <w:rPr>
              <w:rFonts w:hint="eastAsia"/>
              <w:szCs w:val="21"/>
            </w:rPr>
            <w:t>表格中所示总计数字可能并非其上面数字的算术总和，差异均由四舍五入所致。</w:t>
          </w:r>
          <w:r>
            <w:rPr>
              <w:szCs w:val="21"/>
            </w:rPr>
            <w:t xml:space="preserve"> </w:t>
          </w:r>
        </w:p>
      </w:sdtContent>
    </w:sdt>
    <w:p>
      <w:pPr>
        <w:rPr>
          <w:szCs w:val="21"/>
        </w:rPr>
      </w:pPr>
    </w:p>
    <w:p>
      <w:pPr>
        <w:rPr>
          <w:b/>
          <w:sz w:val="28"/>
          <w:szCs w:val="28"/>
        </w:rPr>
      </w:pPr>
      <w:r>
        <w:rPr>
          <w:b/>
          <w:sz w:val="28"/>
          <w:szCs w:val="28"/>
        </w:rPr>
        <w:br w:type="page"/>
      </w:r>
    </w:p>
    <w:p>
      <w:pPr>
        <w:spacing w:line="480" w:lineRule="auto"/>
        <w:jc w:val="center"/>
        <w:rPr>
          <w:b/>
          <w:sz w:val="28"/>
          <w:szCs w:val="28"/>
        </w:rPr>
      </w:pPr>
      <w:r>
        <w:rPr>
          <w:rFonts w:hint="eastAsia"/>
          <w:b/>
          <w:sz w:val="28"/>
          <w:szCs w:val="28"/>
        </w:rPr>
        <w:lastRenderedPageBreak/>
        <w:t>目录</w:t>
      </w:r>
    </w:p>
    <w:p>
      <w:pPr>
        <w:spacing w:line="480" w:lineRule="auto"/>
        <w:jc w:val="center"/>
        <w:rPr>
          <w:b/>
          <w:sz w:val="28"/>
          <w:szCs w:val="28"/>
        </w:rPr>
      </w:pPr>
    </w:p>
    <w:p>
      <w:pPr>
        <w:pStyle w:val="TOC1"/>
        <w:rPr>
          <w:rFonts w:ascii="宋体" w:hAnsi="宋体" w:cstheme="minorBidi"/>
          <w:noProof/>
          <w:szCs w:val="22"/>
        </w:rPr>
      </w:pPr>
      <w:r>
        <w:rPr>
          <w:rFonts w:ascii="宋体" w:hAnsi="宋体"/>
        </w:rPr>
        <w:fldChar w:fldCharType="begin"/>
      </w:r>
      <w:r>
        <w:rPr>
          <w:rFonts w:ascii="宋体" w:hAnsi="宋体"/>
        </w:rPr>
        <w:instrText xml:space="preserve"> TOC \o "1-1" \h \z \u </w:instrText>
      </w:r>
      <w:r>
        <w:rPr>
          <w:rFonts w:ascii="宋体" w:hAnsi="宋体"/>
        </w:rPr>
        <w:fldChar w:fldCharType="separate"/>
      </w:r>
      <w:hyperlink w:anchor="_Toc193794888" w:history="1">
        <w:r>
          <w:rPr>
            <w:rFonts w:ascii="宋体" w:hAnsi="宋体"/>
            <w:noProof/>
          </w:rPr>
          <w:t>第一节</w:t>
        </w:r>
        <w:r>
          <w:rPr>
            <w:rFonts w:ascii="宋体" w:hAnsi="宋体" w:cstheme="minorBidi"/>
            <w:noProof/>
            <w:szCs w:val="22"/>
          </w:rPr>
          <w:tab/>
        </w:r>
        <w:r>
          <w:rPr>
            <w:rFonts w:ascii="宋体" w:hAnsi="宋体"/>
            <w:noProof/>
          </w:rPr>
          <w:t>释义</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_Toc193794888 \h </w:instrText>
        </w:r>
        <w:r>
          <w:rPr>
            <w:rFonts w:ascii="宋体" w:hAnsi="宋体"/>
            <w:noProof/>
            <w:webHidden/>
          </w:rPr>
        </w:r>
        <w:r>
          <w:rPr>
            <w:rFonts w:ascii="宋体" w:hAnsi="宋体"/>
            <w:noProof/>
            <w:webHidden/>
          </w:rPr>
          <w:fldChar w:fldCharType="separate"/>
        </w:r>
        <w:r>
          <w:rPr>
            <w:rFonts w:ascii="宋体" w:hAnsi="宋体"/>
            <w:noProof/>
            <w:webHidden/>
          </w:rPr>
          <w:t>5</w:t>
        </w:r>
        <w:r>
          <w:rPr>
            <w:rFonts w:ascii="宋体" w:hAnsi="宋体"/>
            <w:noProof/>
            <w:webHidden/>
          </w:rPr>
          <w:fldChar w:fldCharType="end"/>
        </w:r>
      </w:hyperlink>
    </w:p>
    <w:p>
      <w:pPr>
        <w:pStyle w:val="TOC1"/>
        <w:rPr>
          <w:rFonts w:ascii="宋体" w:hAnsi="宋体" w:cstheme="minorBidi"/>
          <w:noProof/>
          <w:szCs w:val="22"/>
        </w:rPr>
      </w:pPr>
      <w:hyperlink w:anchor="_Toc193794889" w:history="1">
        <w:r>
          <w:rPr>
            <w:rFonts w:ascii="宋体" w:hAnsi="宋体"/>
            <w:noProof/>
          </w:rPr>
          <w:t>第二节</w:t>
        </w:r>
        <w:r>
          <w:rPr>
            <w:rFonts w:ascii="宋体" w:hAnsi="宋体" w:cstheme="minorBidi"/>
            <w:noProof/>
            <w:szCs w:val="22"/>
          </w:rPr>
          <w:tab/>
        </w:r>
        <w:r>
          <w:rPr>
            <w:rFonts w:ascii="宋体" w:hAnsi="宋体"/>
            <w:noProof/>
          </w:rPr>
          <w:t>公司简介和主要财务指标</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_Toc193794889 \h </w:instrText>
        </w:r>
        <w:r>
          <w:rPr>
            <w:rFonts w:ascii="宋体" w:hAnsi="宋体"/>
            <w:noProof/>
            <w:webHidden/>
          </w:rPr>
        </w:r>
        <w:r>
          <w:rPr>
            <w:rFonts w:ascii="宋体" w:hAnsi="宋体"/>
            <w:noProof/>
            <w:webHidden/>
          </w:rPr>
          <w:fldChar w:fldCharType="separate"/>
        </w:r>
        <w:r>
          <w:rPr>
            <w:rFonts w:ascii="宋体" w:hAnsi="宋体"/>
            <w:noProof/>
            <w:webHidden/>
          </w:rPr>
          <w:t>7</w:t>
        </w:r>
        <w:r>
          <w:rPr>
            <w:rFonts w:ascii="宋体" w:hAnsi="宋体"/>
            <w:noProof/>
            <w:webHidden/>
          </w:rPr>
          <w:fldChar w:fldCharType="end"/>
        </w:r>
      </w:hyperlink>
    </w:p>
    <w:p>
      <w:pPr>
        <w:pStyle w:val="TOC1"/>
        <w:rPr>
          <w:rFonts w:ascii="宋体" w:hAnsi="宋体" w:cstheme="minorBidi"/>
          <w:noProof/>
          <w:szCs w:val="22"/>
        </w:rPr>
      </w:pPr>
      <w:hyperlink w:anchor="_Toc193794890" w:history="1">
        <w:r>
          <w:rPr>
            <w:rFonts w:ascii="宋体" w:hAnsi="宋体"/>
            <w:noProof/>
          </w:rPr>
          <w:t>第三节</w:t>
        </w:r>
        <w:r>
          <w:rPr>
            <w:rFonts w:ascii="宋体" w:hAnsi="宋体" w:cstheme="minorBidi"/>
            <w:noProof/>
            <w:szCs w:val="22"/>
          </w:rPr>
          <w:tab/>
        </w:r>
        <w:r>
          <w:rPr>
            <w:rFonts w:ascii="宋体" w:hAnsi="宋体"/>
            <w:noProof/>
          </w:rPr>
          <w:t>董事长报告书</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_Toc193794890 \h </w:instrText>
        </w:r>
        <w:r>
          <w:rPr>
            <w:rFonts w:ascii="宋体" w:hAnsi="宋体"/>
            <w:noProof/>
            <w:webHidden/>
          </w:rPr>
        </w:r>
        <w:r>
          <w:rPr>
            <w:rFonts w:ascii="宋体" w:hAnsi="宋体"/>
            <w:noProof/>
            <w:webHidden/>
          </w:rPr>
          <w:fldChar w:fldCharType="separate"/>
        </w:r>
        <w:r>
          <w:rPr>
            <w:rFonts w:ascii="宋体" w:hAnsi="宋体"/>
            <w:noProof/>
            <w:webHidden/>
          </w:rPr>
          <w:t>13</w:t>
        </w:r>
        <w:r>
          <w:rPr>
            <w:rFonts w:ascii="宋体" w:hAnsi="宋体"/>
            <w:noProof/>
            <w:webHidden/>
          </w:rPr>
          <w:fldChar w:fldCharType="end"/>
        </w:r>
      </w:hyperlink>
    </w:p>
    <w:p>
      <w:pPr>
        <w:pStyle w:val="TOC1"/>
        <w:rPr>
          <w:rFonts w:ascii="宋体" w:hAnsi="宋体" w:cstheme="minorBidi"/>
          <w:noProof/>
          <w:szCs w:val="22"/>
        </w:rPr>
      </w:pPr>
      <w:hyperlink w:anchor="_Toc193794891" w:history="1">
        <w:r>
          <w:rPr>
            <w:rFonts w:ascii="宋体" w:hAnsi="宋体"/>
            <w:noProof/>
          </w:rPr>
          <w:t>第四节</w:t>
        </w:r>
        <w:r>
          <w:rPr>
            <w:rFonts w:ascii="宋体" w:hAnsi="宋体" w:cstheme="minorBidi"/>
            <w:noProof/>
            <w:szCs w:val="22"/>
          </w:rPr>
          <w:tab/>
        </w:r>
        <w:r>
          <w:rPr>
            <w:rFonts w:ascii="宋体" w:hAnsi="宋体"/>
            <w:noProof/>
          </w:rPr>
          <w:t>管理层讨论与分析</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_Toc193794891 \h </w:instrText>
        </w:r>
        <w:r>
          <w:rPr>
            <w:rFonts w:ascii="宋体" w:hAnsi="宋体"/>
            <w:noProof/>
            <w:webHidden/>
          </w:rPr>
        </w:r>
        <w:r>
          <w:rPr>
            <w:rFonts w:ascii="宋体" w:hAnsi="宋体"/>
            <w:noProof/>
            <w:webHidden/>
          </w:rPr>
          <w:fldChar w:fldCharType="separate"/>
        </w:r>
        <w:r>
          <w:rPr>
            <w:rFonts w:ascii="宋体" w:hAnsi="宋体"/>
            <w:noProof/>
            <w:webHidden/>
          </w:rPr>
          <w:t>15</w:t>
        </w:r>
        <w:r>
          <w:rPr>
            <w:rFonts w:ascii="宋体" w:hAnsi="宋体"/>
            <w:noProof/>
            <w:webHidden/>
          </w:rPr>
          <w:fldChar w:fldCharType="end"/>
        </w:r>
      </w:hyperlink>
    </w:p>
    <w:p>
      <w:pPr>
        <w:pStyle w:val="TOC1"/>
        <w:rPr>
          <w:rFonts w:ascii="宋体" w:hAnsi="宋体" w:cstheme="minorBidi"/>
          <w:noProof/>
          <w:szCs w:val="22"/>
        </w:rPr>
      </w:pPr>
      <w:hyperlink w:anchor="_Toc193794892" w:history="1">
        <w:r>
          <w:rPr>
            <w:rFonts w:ascii="宋体" w:hAnsi="宋体"/>
            <w:noProof/>
          </w:rPr>
          <w:t>第五节</w:t>
        </w:r>
        <w:r>
          <w:rPr>
            <w:rFonts w:ascii="宋体" w:hAnsi="宋体" w:cstheme="minorBidi"/>
            <w:noProof/>
            <w:szCs w:val="22"/>
          </w:rPr>
          <w:tab/>
        </w:r>
        <w:r>
          <w:rPr>
            <w:rFonts w:ascii="宋体" w:hAnsi="宋体"/>
            <w:noProof/>
          </w:rPr>
          <w:t>公司治理</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_Toc193794892 \h </w:instrText>
        </w:r>
        <w:r>
          <w:rPr>
            <w:rFonts w:ascii="宋体" w:hAnsi="宋体"/>
            <w:noProof/>
            <w:webHidden/>
          </w:rPr>
        </w:r>
        <w:r>
          <w:rPr>
            <w:rFonts w:ascii="宋体" w:hAnsi="宋体"/>
            <w:noProof/>
            <w:webHidden/>
          </w:rPr>
          <w:fldChar w:fldCharType="separate"/>
        </w:r>
        <w:r>
          <w:rPr>
            <w:rFonts w:ascii="宋体" w:hAnsi="宋体"/>
            <w:noProof/>
            <w:webHidden/>
          </w:rPr>
          <w:t>38</w:t>
        </w:r>
        <w:r>
          <w:rPr>
            <w:rFonts w:ascii="宋体" w:hAnsi="宋体"/>
            <w:noProof/>
            <w:webHidden/>
          </w:rPr>
          <w:fldChar w:fldCharType="end"/>
        </w:r>
      </w:hyperlink>
    </w:p>
    <w:p>
      <w:pPr>
        <w:pStyle w:val="TOC1"/>
        <w:rPr>
          <w:rFonts w:ascii="宋体" w:hAnsi="宋体" w:cstheme="minorBidi"/>
          <w:noProof/>
          <w:szCs w:val="22"/>
        </w:rPr>
      </w:pPr>
      <w:hyperlink w:anchor="_Toc193794893" w:history="1">
        <w:r>
          <w:rPr>
            <w:rFonts w:ascii="宋体" w:hAnsi="宋体"/>
            <w:noProof/>
          </w:rPr>
          <w:t>第六节</w:t>
        </w:r>
        <w:r>
          <w:rPr>
            <w:rFonts w:ascii="宋体" w:hAnsi="宋体" w:cstheme="minorBidi"/>
            <w:noProof/>
            <w:szCs w:val="22"/>
          </w:rPr>
          <w:tab/>
        </w:r>
        <w:r>
          <w:rPr>
            <w:rFonts w:ascii="宋体" w:hAnsi="宋体"/>
            <w:noProof/>
          </w:rPr>
          <w:t>环境与社会责任</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_Toc193794893 \h </w:instrText>
        </w:r>
        <w:r>
          <w:rPr>
            <w:rFonts w:ascii="宋体" w:hAnsi="宋体"/>
            <w:noProof/>
            <w:webHidden/>
          </w:rPr>
        </w:r>
        <w:r>
          <w:rPr>
            <w:rFonts w:ascii="宋体" w:hAnsi="宋体"/>
            <w:noProof/>
            <w:webHidden/>
          </w:rPr>
          <w:fldChar w:fldCharType="separate"/>
        </w:r>
        <w:r>
          <w:rPr>
            <w:rFonts w:ascii="宋体" w:hAnsi="宋体"/>
            <w:noProof/>
            <w:webHidden/>
          </w:rPr>
          <w:t>73</w:t>
        </w:r>
        <w:r>
          <w:rPr>
            <w:rFonts w:ascii="宋体" w:hAnsi="宋体"/>
            <w:noProof/>
            <w:webHidden/>
          </w:rPr>
          <w:fldChar w:fldCharType="end"/>
        </w:r>
      </w:hyperlink>
    </w:p>
    <w:p>
      <w:pPr>
        <w:pStyle w:val="TOC1"/>
        <w:rPr>
          <w:rFonts w:ascii="宋体" w:hAnsi="宋体" w:cstheme="minorBidi"/>
          <w:noProof/>
          <w:szCs w:val="22"/>
        </w:rPr>
      </w:pPr>
      <w:hyperlink w:anchor="_Toc193794894" w:history="1">
        <w:r>
          <w:rPr>
            <w:rFonts w:ascii="宋体" w:hAnsi="宋体"/>
            <w:noProof/>
          </w:rPr>
          <w:t>第七节</w:t>
        </w:r>
        <w:r>
          <w:rPr>
            <w:rFonts w:ascii="宋体" w:hAnsi="宋体" w:cstheme="minorBidi"/>
            <w:noProof/>
            <w:szCs w:val="22"/>
          </w:rPr>
          <w:tab/>
        </w:r>
        <w:r>
          <w:rPr>
            <w:rFonts w:ascii="宋体" w:hAnsi="宋体"/>
            <w:noProof/>
          </w:rPr>
          <w:t>重要事项</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_Toc193794894 \h </w:instrText>
        </w:r>
        <w:r>
          <w:rPr>
            <w:rFonts w:ascii="宋体" w:hAnsi="宋体"/>
            <w:noProof/>
            <w:webHidden/>
          </w:rPr>
        </w:r>
        <w:r>
          <w:rPr>
            <w:rFonts w:ascii="宋体" w:hAnsi="宋体"/>
            <w:noProof/>
            <w:webHidden/>
          </w:rPr>
          <w:fldChar w:fldCharType="separate"/>
        </w:r>
        <w:r>
          <w:rPr>
            <w:rFonts w:ascii="宋体" w:hAnsi="宋体"/>
            <w:noProof/>
            <w:webHidden/>
          </w:rPr>
          <w:t>80</w:t>
        </w:r>
        <w:r>
          <w:rPr>
            <w:rFonts w:ascii="宋体" w:hAnsi="宋体"/>
            <w:noProof/>
            <w:webHidden/>
          </w:rPr>
          <w:fldChar w:fldCharType="end"/>
        </w:r>
      </w:hyperlink>
    </w:p>
    <w:p>
      <w:pPr>
        <w:pStyle w:val="TOC1"/>
        <w:rPr>
          <w:rFonts w:ascii="宋体" w:hAnsi="宋体" w:cstheme="minorBidi"/>
          <w:noProof/>
          <w:szCs w:val="22"/>
        </w:rPr>
      </w:pPr>
      <w:hyperlink w:anchor="_Toc193794895" w:history="1">
        <w:r>
          <w:rPr>
            <w:rFonts w:ascii="宋体" w:hAnsi="宋体"/>
            <w:noProof/>
          </w:rPr>
          <w:t>第八节</w:t>
        </w:r>
        <w:r>
          <w:rPr>
            <w:rFonts w:ascii="宋体" w:hAnsi="宋体" w:cstheme="minorBidi"/>
            <w:noProof/>
            <w:szCs w:val="22"/>
          </w:rPr>
          <w:tab/>
        </w:r>
        <w:r>
          <w:rPr>
            <w:rFonts w:ascii="宋体" w:hAnsi="宋体"/>
            <w:noProof/>
          </w:rPr>
          <w:t>股份变动及股东情况</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_Toc193794895 \h </w:instrText>
        </w:r>
        <w:r>
          <w:rPr>
            <w:rFonts w:ascii="宋体" w:hAnsi="宋体"/>
            <w:noProof/>
            <w:webHidden/>
          </w:rPr>
        </w:r>
        <w:r>
          <w:rPr>
            <w:rFonts w:ascii="宋体" w:hAnsi="宋体"/>
            <w:noProof/>
            <w:webHidden/>
          </w:rPr>
          <w:fldChar w:fldCharType="separate"/>
        </w:r>
        <w:r>
          <w:rPr>
            <w:rFonts w:ascii="宋体" w:hAnsi="宋体"/>
            <w:noProof/>
            <w:webHidden/>
          </w:rPr>
          <w:t>116</w:t>
        </w:r>
        <w:r>
          <w:rPr>
            <w:rFonts w:ascii="宋体" w:hAnsi="宋体"/>
            <w:noProof/>
            <w:webHidden/>
          </w:rPr>
          <w:fldChar w:fldCharType="end"/>
        </w:r>
      </w:hyperlink>
    </w:p>
    <w:p>
      <w:pPr>
        <w:pStyle w:val="TOC1"/>
        <w:rPr>
          <w:rFonts w:ascii="宋体" w:hAnsi="宋体" w:cstheme="minorBidi"/>
          <w:noProof/>
          <w:szCs w:val="22"/>
        </w:rPr>
      </w:pPr>
      <w:hyperlink w:anchor="_Toc193794896" w:history="1">
        <w:r>
          <w:rPr>
            <w:rFonts w:ascii="宋体" w:hAnsi="宋体"/>
            <w:noProof/>
          </w:rPr>
          <w:t>第九节</w:t>
        </w:r>
        <w:r>
          <w:rPr>
            <w:rFonts w:ascii="宋体" w:hAnsi="宋体" w:cstheme="minorBidi"/>
            <w:noProof/>
            <w:szCs w:val="22"/>
          </w:rPr>
          <w:tab/>
        </w:r>
        <w:r>
          <w:rPr>
            <w:rFonts w:ascii="宋体" w:hAnsi="宋体"/>
            <w:noProof/>
          </w:rPr>
          <w:t>债券相关情况</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_Toc193794896 \h </w:instrText>
        </w:r>
        <w:r>
          <w:rPr>
            <w:rFonts w:ascii="宋体" w:hAnsi="宋体"/>
            <w:noProof/>
            <w:webHidden/>
          </w:rPr>
        </w:r>
        <w:r>
          <w:rPr>
            <w:rFonts w:ascii="宋体" w:hAnsi="宋体"/>
            <w:noProof/>
            <w:webHidden/>
          </w:rPr>
          <w:fldChar w:fldCharType="separate"/>
        </w:r>
        <w:r>
          <w:rPr>
            <w:rFonts w:ascii="宋体" w:hAnsi="宋体"/>
            <w:noProof/>
            <w:webHidden/>
          </w:rPr>
          <w:t>129</w:t>
        </w:r>
        <w:r>
          <w:rPr>
            <w:rFonts w:ascii="宋体" w:hAnsi="宋体"/>
            <w:noProof/>
            <w:webHidden/>
          </w:rPr>
          <w:fldChar w:fldCharType="end"/>
        </w:r>
      </w:hyperlink>
    </w:p>
    <w:p>
      <w:pPr>
        <w:pStyle w:val="TOC1"/>
        <w:rPr>
          <w:rFonts w:ascii="宋体" w:hAnsi="宋体" w:cstheme="minorBidi"/>
          <w:noProof/>
          <w:szCs w:val="22"/>
        </w:rPr>
      </w:pPr>
      <w:hyperlink w:anchor="_Toc193794897" w:history="1">
        <w:r>
          <w:rPr>
            <w:rFonts w:ascii="宋体" w:hAnsi="宋体"/>
            <w:noProof/>
          </w:rPr>
          <w:t>第十节</w:t>
        </w:r>
        <w:r>
          <w:rPr>
            <w:rFonts w:ascii="宋体" w:hAnsi="宋体" w:cstheme="minorBidi"/>
            <w:noProof/>
            <w:szCs w:val="22"/>
          </w:rPr>
          <w:tab/>
        </w:r>
        <w:r>
          <w:rPr>
            <w:rFonts w:ascii="宋体" w:hAnsi="宋体"/>
            <w:noProof/>
          </w:rPr>
          <w:t>财务报告</w:t>
        </w:r>
        <w:r>
          <w:rPr>
            <w:rFonts w:ascii="宋体" w:hAnsi="宋体"/>
            <w:noProof/>
            <w:webHidden/>
          </w:rPr>
          <w:tab/>
        </w:r>
        <w:r>
          <w:rPr>
            <w:rFonts w:ascii="宋体" w:hAnsi="宋体"/>
            <w:noProof/>
            <w:webHidden/>
          </w:rPr>
          <w:fldChar w:fldCharType="begin"/>
        </w:r>
        <w:r>
          <w:rPr>
            <w:rFonts w:ascii="宋体" w:hAnsi="宋体"/>
            <w:noProof/>
            <w:webHidden/>
          </w:rPr>
          <w:instrText xml:space="preserve"> PAGEREF _Toc193794897 \h </w:instrText>
        </w:r>
        <w:r>
          <w:rPr>
            <w:rFonts w:ascii="宋体" w:hAnsi="宋体"/>
            <w:noProof/>
            <w:webHidden/>
          </w:rPr>
        </w:r>
        <w:r>
          <w:rPr>
            <w:rFonts w:ascii="宋体" w:hAnsi="宋体"/>
            <w:noProof/>
            <w:webHidden/>
          </w:rPr>
          <w:fldChar w:fldCharType="separate"/>
        </w:r>
        <w:r>
          <w:rPr>
            <w:rFonts w:ascii="宋体" w:hAnsi="宋体"/>
            <w:noProof/>
            <w:webHidden/>
          </w:rPr>
          <w:t>148</w:t>
        </w:r>
        <w:r>
          <w:rPr>
            <w:rFonts w:ascii="宋体" w:hAnsi="宋体"/>
            <w:noProof/>
            <w:webHidden/>
          </w:rPr>
          <w:fldChar w:fldCharType="end"/>
        </w:r>
      </w:hyperlink>
    </w:p>
    <w:p>
      <w:pPr>
        <w:pStyle w:val="affffffd"/>
      </w:pPr>
      <w:r>
        <w:fldChar w:fldCharType="end"/>
      </w:r>
    </w:p>
    <w:p>
      <w:pPr>
        <w:spacing w:line="360" w:lineRule="exact"/>
        <w:ind w:right="5"/>
        <w:rPr>
          <w:b/>
          <w:bCs/>
          <w:sz w:val="24"/>
        </w:rPr>
      </w:pPr>
      <w:bookmarkStart w:id="3" w:name="_Hlk90888086"/>
      <w:bookmarkStart w:id="4" w:name="_Hlk90893687"/>
      <w:bookmarkStart w:id="5" w:name="_Hlk90891770"/>
    </w:p>
    <w:tbl>
      <w:tblPr>
        <w:tblStyle w:val="affffffffffff7"/>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6"/>
        <w:gridCol w:w="6933"/>
      </w:tblGrid>
      <w:sdt>
        <w:sdtPr>
          <w:alias w:val="备查文件情况"/>
          <w:tag w:val="_TUP_bb3c6eba15bb4f89aaabf5b28bea5766"/>
          <w:id w:val="985671932"/>
          <w:placeholder>
            <w:docPart w:val="2F26C5A6DFD64358AB9C67B240153A1A"/>
          </w:placeholder>
        </w:sdtPr>
        <w:sdtContent>
          <w:tr>
            <w:trPr>
              <w:cantSplit/>
              <w:jc w:val="center"/>
            </w:trPr>
            <w:tc>
              <w:tcPr>
                <w:tcW w:w="1236" w:type="pct"/>
                <w:vMerge w:val="restart"/>
                <w:tcBorders>
                  <w:top w:val="single" w:sz="4" w:space="0" w:color="auto"/>
                  <w:left w:val="single" w:sz="4" w:space="0" w:color="auto"/>
                  <w:right w:val="single" w:sz="4" w:space="0" w:color="auto"/>
                </w:tcBorders>
                <w:vAlign w:val="center"/>
              </w:tcPr>
              <w:sdt>
                <w:sdtPr>
                  <w:tag w:val="_PLD_a77548a64feb4f70a4cecbb587219734"/>
                  <w:id w:val="1497996723"/>
                </w:sdtPr>
                <w:sdtContent>
                  <w:p>
                    <w:pPr>
                      <w:autoSpaceDE w:val="0"/>
                      <w:autoSpaceDN w:val="0"/>
                      <w:adjustRightInd w:val="0"/>
                      <w:jc w:val="center"/>
                    </w:pPr>
                    <w:r>
                      <w:t>备查文件目录</w:t>
                    </w:r>
                  </w:p>
                </w:sdtContent>
              </w:sdt>
            </w:tc>
            <w:sdt>
              <w:sdtPr>
                <w:alias w:val="备查文件目录"/>
                <w:tag w:val="_GBC_0c6e892b0eee4faaa5b2883811d0eed4"/>
                <w:id w:val="987591238"/>
              </w:sdtPr>
              <w:sdtContent>
                <w:tc>
                  <w:tcPr>
                    <w:tcW w:w="3764" w:type="pct"/>
                    <w:tcBorders>
                      <w:top w:val="single" w:sz="4" w:space="0" w:color="auto"/>
                      <w:left w:val="single" w:sz="4" w:space="0" w:color="auto"/>
                      <w:bottom w:val="single" w:sz="4" w:space="0" w:color="auto"/>
                      <w:right w:val="single" w:sz="4" w:space="0" w:color="auto"/>
                    </w:tcBorders>
                  </w:tcPr>
                  <w:p>
                    <w:pPr>
                      <w:pStyle w:val="affffffd"/>
                    </w:pPr>
                    <w:r>
                      <w:rPr>
                        <w:rFonts w:hint="eastAsia"/>
                      </w:rPr>
                      <w:t>载有公司董事长、财务总监、财务管理部部长签名并盖章的财务报表。</w:t>
                    </w:r>
                  </w:p>
                </w:tc>
              </w:sdtContent>
            </w:sdt>
          </w:tr>
        </w:sdtContent>
      </w:sdt>
      <w:tr>
        <w:trPr>
          <w:cantSplit/>
          <w:jc w:val="center"/>
        </w:trPr>
        <w:tc>
          <w:tcPr>
            <w:tcW w:w="1236" w:type="pct"/>
            <w:vMerge/>
            <w:tcBorders>
              <w:left w:val="single" w:sz="4" w:space="0" w:color="auto"/>
              <w:right w:val="single" w:sz="4" w:space="0" w:color="auto"/>
            </w:tcBorders>
            <w:vAlign w:val="center"/>
          </w:tcPr>
          <w:p>
            <w:pPr>
              <w:pStyle w:val="affffffd"/>
            </w:pPr>
          </w:p>
        </w:tc>
        <w:tc>
          <w:tcPr>
            <w:tcW w:w="3764" w:type="pct"/>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载有会计师事务所盖章、注册会计师签名并盖章的审计报告原件。</w:t>
            </w:r>
          </w:p>
        </w:tc>
      </w:tr>
      <w:tr>
        <w:trPr>
          <w:cantSplit/>
          <w:jc w:val="center"/>
        </w:trPr>
        <w:tc>
          <w:tcPr>
            <w:tcW w:w="1236" w:type="pct"/>
            <w:vMerge/>
            <w:tcBorders>
              <w:left w:val="single" w:sz="4" w:space="0" w:color="auto"/>
              <w:right w:val="single" w:sz="4" w:space="0" w:color="auto"/>
            </w:tcBorders>
            <w:vAlign w:val="center"/>
          </w:tcPr>
          <w:p>
            <w:pPr>
              <w:pStyle w:val="affffffd"/>
            </w:pPr>
          </w:p>
        </w:tc>
        <w:tc>
          <w:tcPr>
            <w:tcW w:w="3764" w:type="pct"/>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报告期内在中国证监会指定网站上公开披露过的所有公司文件的正本及公告的原稿。</w:t>
            </w:r>
          </w:p>
        </w:tc>
      </w:tr>
      <w:tr>
        <w:trPr>
          <w:cantSplit/>
          <w:jc w:val="center"/>
        </w:trPr>
        <w:tc>
          <w:tcPr>
            <w:tcW w:w="1236" w:type="pct"/>
            <w:vMerge/>
            <w:tcBorders>
              <w:left w:val="single" w:sz="4" w:space="0" w:color="auto"/>
              <w:bottom w:val="single" w:sz="4" w:space="0" w:color="auto"/>
              <w:right w:val="single" w:sz="4" w:space="0" w:color="auto"/>
            </w:tcBorders>
            <w:vAlign w:val="center"/>
          </w:tcPr>
          <w:p>
            <w:pPr>
              <w:pStyle w:val="affffffd"/>
            </w:pPr>
          </w:p>
        </w:tc>
        <w:tc>
          <w:tcPr>
            <w:tcW w:w="3764" w:type="pct"/>
            <w:tcBorders>
              <w:top w:val="single" w:sz="4" w:space="0" w:color="auto"/>
              <w:left w:val="single" w:sz="4" w:space="0" w:color="auto"/>
              <w:bottom w:val="single" w:sz="4" w:space="0" w:color="auto"/>
              <w:right w:val="single" w:sz="4" w:space="0" w:color="auto"/>
            </w:tcBorders>
          </w:tcPr>
          <w:p>
            <w:pPr>
              <w:autoSpaceDE w:val="0"/>
              <w:autoSpaceDN w:val="0"/>
              <w:adjustRightInd w:val="0"/>
            </w:pPr>
            <w:r>
              <w:rPr>
                <w:rFonts w:hint="eastAsia"/>
              </w:rPr>
              <w:t>在其他证券市场公布的年度报告。</w:t>
            </w:r>
          </w:p>
        </w:tc>
      </w:tr>
    </w:tbl>
    <w:p>
      <w:pPr>
        <w:spacing w:line="360" w:lineRule="exact"/>
        <w:jc w:val="right"/>
      </w:pPr>
    </w:p>
    <w:bookmarkEnd w:id="3"/>
    <w:bookmarkEnd w:id="4"/>
    <w:p>
      <w:pPr>
        <w:pStyle w:val="affffffd"/>
      </w:pPr>
    </w:p>
    <w:p>
      <w:pPr>
        <w:pStyle w:val="affffffd"/>
      </w:pPr>
    </w:p>
    <w:bookmarkEnd w:id="5"/>
    <w:p>
      <w:pPr>
        <w:pStyle w:val="affffffff"/>
      </w:pPr>
      <w:r>
        <w:br w:type="page"/>
      </w:r>
    </w:p>
    <w:p>
      <w:pPr>
        <w:sectPr>
          <w:pgSz w:w="11906" w:h="16838"/>
          <w:pgMar w:top="1440" w:right="1797" w:bottom="1525" w:left="1276" w:header="855" w:footer="992" w:gutter="0"/>
          <w:cols w:space="425"/>
          <w:docGrid w:linePitch="312"/>
        </w:sectPr>
      </w:pPr>
    </w:p>
    <w:p>
      <w:pPr>
        <w:pStyle w:val="1"/>
        <w:numPr>
          <w:ilvl w:val="0"/>
          <w:numId w:val="3"/>
        </w:numPr>
        <w:rPr>
          <w:u w:val="single"/>
        </w:rPr>
      </w:pPr>
      <w:bookmarkStart w:id="6" w:name="_Toc193794888"/>
      <w:bookmarkStart w:id="7" w:name="_Toc184741574"/>
      <w:r>
        <w:rPr>
          <w:rFonts w:hint="eastAsia"/>
        </w:rPr>
        <w:lastRenderedPageBreak/>
        <w:t>释义</w:t>
      </w:r>
      <w:bookmarkEnd w:id="6"/>
    </w:p>
    <w:bookmarkEnd w:id="7"/>
    <w:p>
      <w:pPr>
        <w:pStyle w:val="afffffff"/>
        <w:numPr>
          <w:ilvl w:val="0"/>
          <w:numId w:val="33"/>
        </w:numPr>
        <w:tabs>
          <w:tab w:val="left" w:pos="588"/>
        </w:tabs>
        <w:ind w:left="369" w:hangingChars="175" w:hanging="369"/>
      </w:pPr>
      <w:r>
        <w:t>释义</w:t>
      </w:r>
    </w:p>
    <w:p>
      <w:pPr>
        <w:rPr>
          <w:szCs w:val="21"/>
        </w:rPr>
      </w:pPr>
      <w:r>
        <w:rPr>
          <w:szCs w:val="21"/>
        </w:rPr>
        <w:t>在本报告书中，除非文义另有所指，下列词语具有如下含义：</w:t>
      </w:r>
    </w:p>
    <w:tbl>
      <w:tblPr>
        <w:tblStyle w:val="g1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562"/>
        <w:gridCol w:w="6066"/>
      </w:tblGrid>
      <w:tr>
        <w:sdt>
          <w:sdtPr>
            <w:rPr>
              <w:color w:val="000000" w:themeColor="text1"/>
            </w:rPr>
            <w:tag w:val="_PLD_d73bff14187b49a1b1c86b56316c5e47"/>
            <w:id w:val="-1598554473"/>
          </w:sdtPr>
          <w:sdtContent>
            <w:tc>
              <w:tcPr>
                <w:tcW w:w="8823" w:type="dxa"/>
                <w:gridSpan w:val="3"/>
              </w:tcPr>
              <w:p>
                <w:pPr>
                  <w:rPr>
                    <w:color w:val="000000" w:themeColor="text1"/>
                  </w:rPr>
                </w:pPr>
                <w:r>
                  <w:rPr>
                    <w:color w:val="000000" w:themeColor="text1"/>
                  </w:rPr>
                  <w:t>常用词语释义</w:t>
                </w:r>
              </w:p>
            </w:tc>
          </w:sdtContent>
        </w:sdt>
      </w:tr>
      <w:tr>
        <w:tc>
          <w:tcPr>
            <w:tcW w:w="2195" w:type="dxa"/>
            <w:vAlign w:val="center"/>
          </w:tcPr>
          <w:p>
            <w:pPr>
              <w:pStyle w:val="afffffffd"/>
            </w:pPr>
            <w:r>
              <w:rPr>
                <w:rFonts w:hint="eastAsia"/>
              </w:rPr>
              <w:t>“兖矿能源”</w:t>
            </w:r>
          </w:p>
          <w:p>
            <w:pPr>
              <w:pStyle w:val="afffffffd"/>
            </w:pPr>
            <w:r>
              <w:rPr>
                <w:rFonts w:hint="eastAsia"/>
              </w:rPr>
              <w:t>“公司”“本公司”</w:t>
            </w:r>
          </w:p>
        </w:tc>
        <w:tc>
          <w:tcPr>
            <w:tcW w:w="562" w:type="dxa"/>
            <w:vAlign w:val="center"/>
          </w:tcPr>
          <w:p>
            <w:pPr>
              <w:rPr>
                <w:color w:val="000000" w:themeColor="text1"/>
                <w:highlight w:val="lightGray"/>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兖矿能源集团股份有限公司，于1997年依据中国法律成立的股份有限公司，其H股及A</w:t>
            </w:r>
            <w:r>
              <w:rPr>
                <w:rFonts w:asciiTheme="minorEastAsia" w:eastAsiaTheme="minorEastAsia" w:hAnsiTheme="minorEastAsia" w:hint="eastAsia"/>
              </w:rPr>
              <w:t>股分</w:t>
            </w:r>
            <w:r>
              <w:rPr>
                <w:rFonts w:asciiTheme="minorEastAsia" w:eastAsiaTheme="minorEastAsia" w:hAnsiTheme="minorEastAsia"/>
              </w:rPr>
              <w:t>别在香港联交所及上交所上市；</w:t>
            </w:r>
          </w:p>
        </w:tc>
      </w:tr>
      <w:tr>
        <w:tc>
          <w:tcPr>
            <w:tcW w:w="2195" w:type="dxa"/>
            <w:vAlign w:val="center"/>
          </w:tcPr>
          <w:p>
            <w:pPr>
              <w:pStyle w:val="afffffffd"/>
            </w:pPr>
            <w:r>
              <w:rPr>
                <w:rFonts w:hint="eastAsia"/>
              </w:rPr>
              <w:t>“集团”“本集团”</w:t>
            </w:r>
          </w:p>
        </w:tc>
        <w:tc>
          <w:tcPr>
            <w:tcW w:w="562" w:type="dxa"/>
            <w:vAlign w:val="center"/>
          </w:tcPr>
          <w:p>
            <w:pPr>
              <w:rPr>
                <w:color w:val="000000" w:themeColor="text1"/>
                <w:highlight w:val="lightGray"/>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本公司及其附属公司；</w:t>
            </w:r>
          </w:p>
        </w:tc>
      </w:tr>
      <w:tr>
        <w:tc>
          <w:tcPr>
            <w:tcW w:w="2195" w:type="dxa"/>
            <w:vAlign w:val="center"/>
          </w:tcPr>
          <w:p>
            <w:pPr>
              <w:pStyle w:val="afffffffd"/>
            </w:pPr>
            <w:r>
              <w:rPr>
                <w:rFonts w:hint="eastAsia"/>
              </w:rPr>
              <w:t>“山东能源”</w:t>
            </w:r>
          </w:p>
          <w:p>
            <w:pPr>
              <w:pStyle w:val="afffffffd"/>
            </w:pPr>
            <w:r>
              <w:rPr>
                <w:rFonts w:hint="eastAsia"/>
              </w:rPr>
              <w:t>“控股股东”</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山东能源集团有限公司，于1996年依据中国法律改制设立的有限责任公司，为本公司的控股股东，于本报告期末直接和间接持有本公司</w:t>
            </w:r>
            <w:r>
              <w:rPr>
                <w:rFonts w:asciiTheme="minorEastAsia" w:eastAsiaTheme="minorEastAsia" w:hAnsiTheme="minorEastAsia" w:hint="eastAsia"/>
              </w:rPr>
              <w:t>52.83%</w:t>
            </w:r>
            <w:r>
              <w:rPr>
                <w:rFonts w:asciiTheme="minorEastAsia" w:eastAsiaTheme="minorEastAsia" w:hAnsiTheme="minorEastAsia"/>
              </w:rPr>
              <w:t>股份；</w:t>
            </w:r>
          </w:p>
        </w:tc>
      </w:tr>
      <w:tr>
        <w:tc>
          <w:tcPr>
            <w:tcW w:w="2195" w:type="dxa"/>
            <w:vAlign w:val="center"/>
          </w:tcPr>
          <w:p>
            <w:pPr>
              <w:pStyle w:val="afffffffd"/>
            </w:pPr>
            <w:r>
              <w:rPr>
                <w:rFonts w:hint="eastAsia"/>
              </w:rPr>
              <w:t>“菏泽能化”</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hint="eastAsia"/>
              </w:rPr>
              <w:t>兖</w:t>
            </w:r>
            <w:r>
              <w:rPr>
                <w:rFonts w:asciiTheme="minorEastAsia" w:eastAsiaTheme="minorEastAsia" w:hAnsiTheme="minorEastAsia"/>
              </w:rPr>
              <w:t>煤菏泽能化有限公司，于2002年依据中国法律成立的有限责任公司，主要负责山东省菏泽市赵楼煤矿、万福煤矿煤炭资源及电力业务的开发运营，是本公司的控股子公司，于本报告期末本公司持有其98.33%股权；</w:t>
            </w:r>
          </w:p>
        </w:tc>
      </w:tr>
      <w:tr>
        <w:tc>
          <w:tcPr>
            <w:tcW w:w="2195" w:type="dxa"/>
            <w:vAlign w:val="center"/>
          </w:tcPr>
          <w:p>
            <w:pPr>
              <w:pStyle w:val="afffffffd"/>
            </w:pPr>
            <w:r>
              <w:rPr>
                <w:rFonts w:hint="eastAsia"/>
              </w:rPr>
              <w:t>“鲁西矿业”</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山东能源集团鲁西矿业有限公司，于2021年根据中国法律成立的有限责任公司，主要从事煤炭开采、煤炭洗选、煤炭及制品销售等业务，是本公司的控股子公司，于本报告期末本公司持有其51%股权；</w:t>
            </w:r>
          </w:p>
        </w:tc>
      </w:tr>
      <w:tr>
        <w:tc>
          <w:tcPr>
            <w:tcW w:w="2195" w:type="dxa"/>
            <w:vAlign w:val="center"/>
          </w:tcPr>
          <w:p>
            <w:pPr>
              <w:pStyle w:val="afffffffd"/>
            </w:pPr>
            <w:r>
              <w:rPr>
                <w:rFonts w:hint="eastAsia"/>
              </w:rPr>
              <w:t>“天池能源”</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山西和顺天池能源有限责任公司，于1999年依据中国法律成立的有限责任公司，主要负责山西省晋中市天池煤矿的生产运营，是本公司的控股子公司，于本报告期末本公司持有其81.31%股权；</w:t>
            </w:r>
          </w:p>
        </w:tc>
      </w:tr>
      <w:tr>
        <w:tc>
          <w:tcPr>
            <w:tcW w:w="2195" w:type="dxa"/>
            <w:vAlign w:val="center"/>
          </w:tcPr>
          <w:p>
            <w:pPr>
              <w:pStyle w:val="afffffffd"/>
            </w:pPr>
            <w:r>
              <w:rPr>
                <w:rFonts w:hint="eastAsia"/>
              </w:rPr>
              <w:t>“鄂尔多斯公司”</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兖矿能源（鄂尔多斯）有限公司，于2009年依据中国法律成立的有限责任公司，主要从事煤炭资源和化工项目的开发运营，是本公司的全资子公司；</w:t>
            </w:r>
          </w:p>
        </w:tc>
      </w:tr>
      <w:tr>
        <w:tc>
          <w:tcPr>
            <w:tcW w:w="2195" w:type="dxa"/>
            <w:vAlign w:val="center"/>
          </w:tcPr>
          <w:p>
            <w:pPr>
              <w:pStyle w:val="afffffffd"/>
            </w:pPr>
            <w:r>
              <w:rPr>
                <w:rFonts w:hint="eastAsia"/>
              </w:rPr>
              <w:t>“昊盛煤业”</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内蒙古昊盛煤业有限公司，于2010年依据中国法律成立的有限责任公司，主要负责内蒙古自治区鄂尔多斯市石拉乌素煤矿的生产运营，是本公司的控股子公司，于本报告期末本公司持有其59.38%股权；</w:t>
            </w:r>
          </w:p>
        </w:tc>
      </w:tr>
      <w:tr>
        <w:tc>
          <w:tcPr>
            <w:tcW w:w="2195" w:type="dxa"/>
            <w:vAlign w:val="center"/>
          </w:tcPr>
          <w:p>
            <w:pPr>
              <w:pStyle w:val="afffffffd"/>
            </w:pPr>
            <w:r>
              <w:rPr>
                <w:rFonts w:hint="eastAsia"/>
              </w:rPr>
              <w:t>“内蒙古矿业”</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内蒙古矿业（集团）有限责任公司，于2013年依据中国法律成立的有限责任公司，主要从事矿产资源投资与管理、煤炭开采和洗选、矿产品销售及进出口贸易等业务，是本公司的控股子公司，于本报告期末本公司持有其51%股权；</w:t>
            </w:r>
          </w:p>
        </w:tc>
      </w:tr>
      <w:tr>
        <w:tc>
          <w:tcPr>
            <w:tcW w:w="2195" w:type="dxa"/>
            <w:vAlign w:val="center"/>
          </w:tcPr>
          <w:p>
            <w:pPr>
              <w:pStyle w:val="afffffffd"/>
            </w:pPr>
            <w:r>
              <w:rPr>
                <w:rFonts w:hint="eastAsia"/>
              </w:rPr>
              <w:t>“未来能源”</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陕西未来能源化工有限公司,于2011年依据中国法律成立的有限责任公司，主要从事化工产品的研发、生产和销售，煤炭开采、销售等业务，是本公司的控股子公司，于本报告期末本公司持有其73.97%股权；</w:t>
            </w:r>
          </w:p>
        </w:tc>
      </w:tr>
      <w:tr>
        <w:tc>
          <w:tcPr>
            <w:tcW w:w="2195" w:type="dxa"/>
            <w:vAlign w:val="center"/>
          </w:tcPr>
          <w:p>
            <w:pPr>
              <w:pStyle w:val="afffffffd"/>
            </w:pPr>
            <w:r>
              <w:rPr>
                <w:rFonts w:hint="eastAsia"/>
              </w:rPr>
              <w:t>“新疆能化”</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兖矿新疆能化有限公司，于2007年根据中国法律成立的有限责任公司，主要从事煤炭开采、煤炭洗选、化工产品生产、煤炭及制品销售等业务，是本公司的控股子公司，于本报告期末本公司持有其51%股权；</w:t>
            </w:r>
          </w:p>
        </w:tc>
      </w:tr>
      <w:tr>
        <w:tc>
          <w:tcPr>
            <w:tcW w:w="2195" w:type="dxa"/>
            <w:vAlign w:val="center"/>
          </w:tcPr>
          <w:p>
            <w:pPr>
              <w:pStyle w:val="afffffffd"/>
            </w:pPr>
            <w:r>
              <w:rPr>
                <w:rFonts w:hint="eastAsia"/>
              </w:rPr>
              <w:t>“鲁南化工”</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兖矿鲁南化工有限公司,于2007年依据中国法律成立的有限责任公司，主要从事化工产品的开发、生产和销售等业务，是本公司的全资子公司；</w:t>
            </w:r>
          </w:p>
        </w:tc>
      </w:tr>
      <w:tr>
        <w:tc>
          <w:tcPr>
            <w:tcW w:w="2195" w:type="dxa"/>
            <w:vAlign w:val="center"/>
          </w:tcPr>
          <w:p>
            <w:pPr>
              <w:pStyle w:val="afffffffd"/>
            </w:pPr>
            <w:r>
              <w:rPr>
                <w:rFonts w:hint="eastAsia"/>
              </w:rPr>
              <w:t>“榆林能化”</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兖州煤业榆林能化有限公司，于2004年依据中国法律成立的有限责任公司，主要从事化工项目的生产运营，是本公司的全资子公司；</w:t>
            </w:r>
          </w:p>
        </w:tc>
      </w:tr>
      <w:tr>
        <w:tc>
          <w:tcPr>
            <w:tcW w:w="2195" w:type="dxa"/>
            <w:vAlign w:val="center"/>
          </w:tcPr>
          <w:p>
            <w:pPr>
              <w:pStyle w:val="afffffffd"/>
            </w:pPr>
            <w:r>
              <w:rPr>
                <w:rFonts w:hint="eastAsia"/>
              </w:rPr>
              <w:lastRenderedPageBreak/>
              <w:t>“东华重工”</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兖矿东华重工有限公司，于2013年依据中国法律成立的有限责任公司，主要从事矿用设备和机电设备、配件的设计、制造、安装及维修等业务，是本公司的</w:t>
            </w:r>
            <w:r>
              <w:rPr>
                <w:rFonts w:asciiTheme="minorEastAsia" w:eastAsiaTheme="minorEastAsia" w:hAnsiTheme="minorEastAsia" w:hint="eastAsia"/>
              </w:rPr>
              <w:t>全资附属公司</w:t>
            </w:r>
            <w:r>
              <w:rPr>
                <w:rFonts w:asciiTheme="minorEastAsia" w:eastAsiaTheme="minorEastAsia" w:hAnsiTheme="minorEastAsia"/>
              </w:rPr>
              <w:t>；</w:t>
            </w:r>
          </w:p>
        </w:tc>
      </w:tr>
      <w:tr>
        <w:tc>
          <w:tcPr>
            <w:tcW w:w="2195" w:type="dxa"/>
            <w:vAlign w:val="center"/>
          </w:tcPr>
          <w:p>
            <w:pPr>
              <w:pStyle w:val="afffffffd"/>
            </w:pPr>
            <w:r>
              <w:rPr>
                <w:rFonts w:hint="eastAsia"/>
              </w:rPr>
              <w:t>“兖矿租赁”</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兖矿融资租赁有限公司，于2014年依据中国法律成立的有限责任公司，主要从事融资租赁业务、租赁业务、租赁交易咨询和担保、与主营业务有关的商业保理业务等，是本公司的全资附属公司；</w:t>
            </w:r>
          </w:p>
        </w:tc>
      </w:tr>
      <w:tr>
        <w:tc>
          <w:tcPr>
            <w:tcW w:w="2195" w:type="dxa"/>
            <w:vAlign w:val="center"/>
          </w:tcPr>
          <w:p>
            <w:pPr>
              <w:pStyle w:val="afffffffd"/>
            </w:pPr>
            <w:r>
              <w:rPr>
                <w:rFonts w:hint="eastAsia"/>
              </w:rPr>
              <w:t>“山能财司”</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山东能源集团财务有限公司，于2013年依据中国法律成立的有限责任公司，是本公司的控股子公司，于本报告期末本公司持有其53.92%股权；</w:t>
            </w:r>
          </w:p>
        </w:tc>
      </w:tr>
      <w:tr>
        <w:tc>
          <w:tcPr>
            <w:tcW w:w="2195" w:type="dxa"/>
            <w:vAlign w:val="center"/>
          </w:tcPr>
          <w:p>
            <w:pPr>
              <w:pStyle w:val="afffffffd"/>
            </w:pPr>
            <w:r>
              <w:rPr>
                <w:rFonts w:hint="eastAsia"/>
              </w:rPr>
              <w:t>“兖煤澳洲”</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兖煤澳大利亚有限公司，于2004年依据澳大利亚法律成立的有限公司，其股份分别在澳大利亚证券交易所及香港联交所上市，是本公司的控股子公司，于本报告期末本公司持有其62.26%股权；</w:t>
            </w:r>
          </w:p>
        </w:tc>
      </w:tr>
      <w:tr>
        <w:tc>
          <w:tcPr>
            <w:tcW w:w="2195" w:type="dxa"/>
            <w:vAlign w:val="center"/>
          </w:tcPr>
          <w:p>
            <w:pPr>
              <w:pStyle w:val="afffffffd"/>
            </w:pPr>
            <w:r>
              <w:rPr>
                <w:rFonts w:hint="eastAsia"/>
              </w:rPr>
              <w:t>“兖煤国际”</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兖煤国际(控股)有限公司，于2011年依据香港法律成立的有限公司，是本公司的全资子公司；</w:t>
            </w:r>
          </w:p>
        </w:tc>
      </w:tr>
      <w:tr>
        <w:tc>
          <w:tcPr>
            <w:tcW w:w="2195" w:type="dxa"/>
            <w:vAlign w:val="center"/>
          </w:tcPr>
          <w:p>
            <w:pPr>
              <w:pStyle w:val="afffffffd"/>
            </w:pPr>
            <w:r>
              <w:rPr>
                <w:rFonts w:hint="eastAsia"/>
              </w:rPr>
              <w:t>“兖煤国际资源”</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兖煤国际资源开发有限公司，于2011年依据香港法律成立的有限公司，是兖煤国际的全资子公司；</w:t>
            </w:r>
          </w:p>
        </w:tc>
      </w:tr>
      <w:tr>
        <w:tc>
          <w:tcPr>
            <w:tcW w:w="2195" w:type="dxa"/>
            <w:vAlign w:val="center"/>
          </w:tcPr>
          <w:p>
            <w:pPr>
              <w:pStyle w:val="afffffffd"/>
            </w:pPr>
            <w:r>
              <w:rPr>
                <w:rFonts w:hint="eastAsia"/>
              </w:rPr>
              <w:t>“</w:t>
            </w:r>
            <w:r>
              <w:t>H股”</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本公司股本中每股面值人民币1.00元的境外上市外资股，在香港联交所上市；</w:t>
            </w:r>
          </w:p>
        </w:tc>
      </w:tr>
      <w:tr>
        <w:tc>
          <w:tcPr>
            <w:tcW w:w="2195" w:type="dxa"/>
            <w:vAlign w:val="center"/>
          </w:tcPr>
          <w:p>
            <w:pPr>
              <w:pStyle w:val="afffffffd"/>
            </w:pPr>
            <w:r>
              <w:rPr>
                <w:rFonts w:hint="eastAsia"/>
              </w:rPr>
              <w:t>“</w:t>
            </w:r>
            <w:r>
              <w:t>A股”</w:t>
            </w:r>
          </w:p>
        </w:tc>
        <w:tc>
          <w:tcPr>
            <w:tcW w:w="562" w:type="dxa"/>
            <w:vAlign w:val="center"/>
          </w:tcPr>
          <w:p>
            <w:pPr>
              <w:rPr>
                <w:color w:val="000000" w:themeColor="text1"/>
              </w:rPr>
            </w:pPr>
            <w:r>
              <w:t>指</w:t>
            </w:r>
          </w:p>
        </w:tc>
        <w:tc>
          <w:tcPr>
            <w:tcW w:w="6066"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rPr>
              <w:t>本公司股本中每股面值人民币1.00元的内资股，在上交所上市；</w:t>
            </w:r>
          </w:p>
        </w:tc>
      </w:tr>
      <w:tr>
        <w:tc>
          <w:tcPr>
            <w:tcW w:w="2195" w:type="dxa"/>
            <w:vAlign w:val="center"/>
          </w:tcPr>
          <w:p>
            <w:pPr>
              <w:pStyle w:val="afffffffd"/>
            </w:pPr>
            <w:r>
              <w:rPr>
                <w:rFonts w:hint="eastAsia"/>
              </w:rPr>
              <w:t>“中国”</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中华人民共和国；</w:t>
            </w:r>
          </w:p>
        </w:tc>
      </w:tr>
      <w:tr>
        <w:tc>
          <w:tcPr>
            <w:tcW w:w="2195" w:type="dxa"/>
            <w:vAlign w:val="center"/>
          </w:tcPr>
          <w:p>
            <w:pPr>
              <w:pStyle w:val="afffffffd"/>
            </w:pPr>
            <w:r>
              <w:rPr>
                <w:rFonts w:hint="eastAsia"/>
              </w:rPr>
              <w:t>“香港”</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中华人民共和国香港特别行政区；</w:t>
            </w:r>
          </w:p>
        </w:tc>
      </w:tr>
      <w:tr>
        <w:tc>
          <w:tcPr>
            <w:tcW w:w="2195" w:type="dxa"/>
            <w:vAlign w:val="center"/>
          </w:tcPr>
          <w:p>
            <w:pPr>
              <w:pStyle w:val="afffffffd"/>
            </w:pPr>
            <w:r>
              <w:rPr>
                <w:rFonts w:hint="eastAsia"/>
              </w:rPr>
              <w:t>“中国会计准则”</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中国财政部颁发的企业会计准则及有关讲解；</w:t>
            </w:r>
          </w:p>
        </w:tc>
      </w:tr>
      <w:tr>
        <w:tc>
          <w:tcPr>
            <w:tcW w:w="2195" w:type="dxa"/>
            <w:vAlign w:val="center"/>
          </w:tcPr>
          <w:p>
            <w:pPr>
              <w:pStyle w:val="afffffffd"/>
            </w:pPr>
            <w:r>
              <w:rPr>
                <w:rFonts w:hint="eastAsia"/>
              </w:rPr>
              <w:t>“国际财务报告准则”</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国际会计准则理事会发布的国际财务报告准则；</w:t>
            </w:r>
          </w:p>
        </w:tc>
      </w:tr>
      <w:tr>
        <w:tc>
          <w:tcPr>
            <w:tcW w:w="2195" w:type="dxa"/>
            <w:vAlign w:val="center"/>
          </w:tcPr>
          <w:p>
            <w:pPr>
              <w:pStyle w:val="afffffffd"/>
            </w:pPr>
            <w:r>
              <w:rPr>
                <w:rFonts w:hint="eastAsia"/>
              </w:rPr>
              <w:t>“中国证监会”</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中国证券监督管理委员会；</w:t>
            </w:r>
          </w:p>
        </w:tc>
      </w:tr>
      <w:tr>
        <w:tc>
          <w:tcPr>
            <w:tcW w:w="2195" w:type="dxa"/>
            <w:vAlign w:val="center"/>
          </w:tcPr>
          <w:p>
            <w:pPr>
              <w:pStyle w:val="afffffffd"/>
            </w:pPr>
            <w:r>
              <w:rPr>
                <w:rFonts w:hint="eastAsia"/>
              </w:rPr>
              <w:t>“香港上市规则”</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香港联合交易所有限公司证券上市规则；</w:t>
            </w:r>
          </w:p>
        </w:tc>
      </w:tr>
      <w:tr>
        <w:tc>
          <w:tcPr>
            <w:tcW w:w="2195" w:type="dxa"/>
            <w:vAlign w:val="center"/>
          </w:tcPr>
          <w:p>
            <w:pPr>
              <w:pStyle w:val="afffffffd"/>
            </w:pPr>
            <w:r>
              <w:rPr>
                <w:rFonts w:hint="eastAsia"/>
              </w:rPr>
              <w:t>“香港联交所”</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香港联合交易所有限公司；</w:t>
            </w:r>
          </w:p>
        </w:tc>
      </w:tr>
      <w:tr>
        <w:tc>
          <w:tcPr>
            <w:tcW w:w="2195" w:type="dxa"/>
            <w:vAlign w:val="center"/>
          </w:tcPr>
          <w:p>
            <w:pPr>
              <w:pStyle w:val="afffffffd"/>
            </w:pPr>
            <w:r>
              <w:rPr>
                <w:rFonts w:hint="eastAsia"/>
              </w:rPr>
              <w:t>“上交所”</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上海证券交易所；</w:t>
            </w:r>
          </w:p>
        </w:tc>
      </w:tr>
      <w:tr>
        <w:tc>
          <w:tcPr>
            <w:tcW w:w="2195" w:type="dxa"/>
            <w:vAlign w:val="center"/>
          </w:tcPr>
          <w:p>
            <w:pPr>
              <w:pStyle w:val="afffffffd"/>
            </w:pPr>
            <w:r>
              <w:rPr>
                <w:rFonts w:hint="eastAsia"/>
              </w:rPr>
              <w:t>“《公司法》”</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《中华人民共和国公司法》；</w:t>
            </w:r>
          </w:p>
        </w:tc>
      </w:tr>
      <w:tr>
        <w:tc>
          <w:tcPr>
            <w:tcW w:w="2195" w:type="dxa"/>
            <w:vAlign w:val="center"/>
          </w:tcPr>
          <w:p>
            <w:pPr>
              <w:pStyle w:val="afffffffd"/>
            </w:pPr>
            <w:r>
              <w:rPr>
                <w:rFonts w:hint="eastAsia"/>
              </w:rPr>
              <w:t>“《证券法》”</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《中华人民共和国证券法》；</w:t>
            </w:r>
          </w:p>
        </w:tc>
      </w:tr>
      <w:tr>
        <w:tc>
          <w:tcPr>
            <w:tcW w:w="2195" w:type="dxa"/>
            <w:vAlign w:val="center"/>
          </w:tcPr>
          <w:p>
            <w:pPr>
              <w:pStyle w:val="afffffffd"/>
            </w:pPr>
            <w:r>
              <w:rPr>
                <w:rFonts w:hint="eastAsia"/>
              </w:rPr>
              <w:t>“《公司章程》”</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本公司章程；</w:t>
            </w:r>
          </w:p>
        </w:tc>
      </w:tr>
      <w:tr>
        <w:tc>
          <w:tcPr>
            <w:tcW w:w="2195" w:type="dxa"/>
            <w:vAlign w:val="center"/>
          </w:tcPr>
          <w:p>
            <w:pPr>
              <w:jc w:val="both"/>
            </w:pPr>
            <w:r>
              <w:rPr>
                <w:rFonts w:asciiTheme="minorEastAsia" w:eastAsiaTheme="minorEastAsia" w:hAnsiTheme="minorEastAsia"/>
              </w:rPr>
              <w:t>“JORC”</w:t>
            </w:r>
          </w:p>
        </w:tc>
        <w:tc>
          <w:tcPr>
            <w:tcW w:w="562" w:type="dxa"/>
            <w:vAlign w:val="center"/>
          </w:tcPr>
          <w:p>
            <w:pPr>
              <w:jc w:val="both"/>
            </w:pPr>
            <w:r>
              <w:rPr>
                <w:rFonts w:asciiTheme="minorEastAsia" w:eastAsiaTheme="minorEastAsia" w:hAnsiTheme="minorEastAsia"/>
              </w:rPr>
              <w:t>指</w:t>
            </w:r>
          </w:p>
        </w:tc>
        <w:tc>
          <w:tcPr>
            <w:tcW w:w="6066" w:type="dxa"/>
            <w:vAlign w:val="center"/>
          </w:tcPr>
          <w:p>
            <w:pPr>
              <w:jc w:val="both"/>
              <w:rPr>
                <w:rFonts w:asciiTheme="minorEastAsia" w:eastAsiaTheme="minorEastAsia" w:hAnsiTheme="minorEastAsia"/>
              </w:rPr>
            </w:pPr>
            <w:r>
              <w:rPr>
                <w:rFonts w:asciiTheme="minorEastAsia" w:eastAsiaTheme="minorEastAsia" w:hAnsiTheme="minorEastAsia"/>
              </w:rPr>
              <w:t>由澳大拉西亚矿业与冶金学会、澳大利亚地质科学家学会及澳大利亚矿产理事会组成的矿石储量联合委员会；</w:t>
            </w:r>
          </w:p>
        </w:tc>
      </w:tr>
      <w:tr>
        <w:tc>
          <w:tcPr>
            <w:tcW w:w="2195" w:type="dxa"/>
            <w:vAlign w:val="center"/>
          </w:tcPr>
          <w:p>
            <w:pPr>
              <w:jc w:val="both"/>
            </w:pPr>
            <w:r>
              <w:rPr>
                <w:rFonts w:asciiTheme="minorEastAsia" w:eastAsiaTheme="minorEastAsia" w:hAnsiTheme="minorEastAsia"/>
              </w:rPr>
              <w:t>“JORC规范”</w:t>
            </w:r>
          </w:p>
        </w:tc>
        <w:tc>
          <w:tcPr>
            <w:tcW w:w="562" w:type="dxa"/>
            <w:vAlign w:val="center"/>
          </w:tcPr>
          <w:p>
            <w:pPr>
              <w:jc w:val="both"/>
            </w:pPr>
            <w:r>
              <w:rPr>
                <w:rFonts w:asciiTheme="minorEastAsia" w:eastAsiaTheme="minorEastAsia" w:hAnsiTheme="minorEastAsia"/>
              </w:rPr>
              <w:t>指</w:t>
            </w:r>
          </w:p>
        </w:tc>
        <w:tc>
          <w:tcPr>
            <w:tcW w:w="6066" w:type="dxa"/>
            <w:vAlign w:val="center"/>
          </w:tcPr>
          <w:p>
            <w:pPr>
              <w:jc w:val="both"/>
              <w:rPr>
                <w:rFonts w:asciiTheme="minorEastAsia" w:eastAsiaTheme="minorEastAsia" w:hAnsiTheme="minorEastAsia"/>
              </w:rPr>
            </w:pPr>
            <w:r>
              <w:rPr>
                <w:rFonts w:asciiTheme="minorEastAsia" w:eastAsiaTheme="minorEastAsia" w:hAnsiTheme="minorEastAsia"/>
              </w:rPr>
              <w:t>澳大拉西亚勘查结果、矿产资源量与矿石储量报告规范，2012版；</w:t>
            </w:r>
          </w:p>
        </w:tc>
      </w:tr>
      <w:tr>
        <w:tc>
          <w:tcPr>
            <w:tcW w:w="2195" w:type="dxa"/>
            <w:vAlign w:val="center"/>
          </w:tcPr>
          <w:p>
            <w:pPr>
              <w:pStyle w:val="afffffffd"/>
            </w:pPr>
            <w:r>
              <w:rPr>
                <w:rFonts w:hint="eastAsia"/>
              </w:rPr>
              <w:t>“股东”</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本公司股东；</w:t>
            </w:r>
          </w:p>
        </w:tc>
      </w:tr>
      <w:tr>
        <w:tc>
          <w:tcPr>
            <w:tcW w:w="2195" w:type="dxa"/>
            <w:vAlign w:val="center"/>
          </w:tcPr>
          <w:p>
            <w:pPr>
              <w:pStyle w:val="afffffffd"/>
            </w:pPr>
            <w:r>
              <w:rPr>
                <w:rFonts w:hint="eastAsia"/>
              </w:rPr>
              <w:t>“董事”</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本公司董事；</w:t>
            </w:r>
          </w:p>
        </w:tc>
      </w:tr>
      <w:tr>
        <w:tc>
          <w:tcPr>
            <w:tcW w:w="2195" w:type="dxa"/>
            <w:vAlign w:val="center"/>
          </w:tcPr>
          <w:p>
            <w:pPr>
              <w:pStyle w:val="afffffffd"/>
            </w:pPr>
            <w:r>
              <w:rPr>
                <w:rFonts w:hint="eastAsia"/>
              </w:rPr>
              <w:t>“董事会”</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本公司董事会；</w:t>
            </w:r>
          </w:p>
        </w:tc>
      </w:tr>
      <w:tr>
        <w:tc>
          <w:tcPr>
            <w:tcW w:w="2195" w:type="dxa"/>
            <w:vAlign w:val="center"/>
          </w:tcPr>
          <w:p>
            <w:pPr>
              <w:pStyle w:val="afffffffd"/>
            </w:pPr>
            <w:r>
              <w:rPr>
                <w:rFonts w:hint="eastAsia"/>
              </w:rPr>
              <w:t>“监事”</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本公司监事；</w:t>
            </w:r>
          </w:p>
        </w:tc>
      </w:tr>
      <w:tr>
        <w:tc>
          <w:tcPr>
            <w:tcW w:w="2195" w:type="dxa"/>
            <w:vAlign w:val="center"/>
          </w:tcPr>
          <w:p>
            <w:pPr>
              <w:pStyle w:val="afffffffd"/>
            </w:pPr>
            <w:r>
              <w:rPr>
                <w:rFonts w:hint="eastAsia"/>
              </w:rPr>
              <w:t>“监事会”</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本公司监事会；</w:t>
            </w:r>
          </w:p>
        </w:tc>
      </w:tr>
      <w:tr>
        <w:tc>
          <w:tcPr>
            <w:tcW w:w="2195" w:type="dxa"/>
            <w:vAlign w:val="center"/>
          </w:tcPr>
          <w:p>
            <w:pPr>
              <w:pStyle w:val="afffffffd"/>
            </w:pPr>
            <w:r>
              <w:rPr>
                <w:rFonts w:hint="eastAsia"/>
              </w:rPr>
              <w:t>“元”</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人民币元，中国法定货币，除非文义另有所指；</w:t>
            </w:r>
          </w:p>
        </w:tc>
      </w:tr>
      <w:tr>
        <w:tc>
          <w:tcPr>
            <w:tcW w:w="2195" w:type="dxa"/>
            <w:vAlign w:val="center"/>
          </w:tcPr>
          <w:p>
            <w:pPr>
              <w:pStyle w:val="afffffffd"/>
            </w:pPr>
            <w:r>
              <w:rPr>
                <w:rFonts w:hint="eastAsia"/>
              </w:rPr>
              <w:t>“澳元”</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澳元，澳大利亚法定货币；</w:t>
            </w:r>
          </w:p>
        </w:tc>
      </w:tr>
      <w:tr>
        <w:tc>
          <w:tcPr>
            <w:tcW w:w="2195" w:type="dxa"/>
            <w:vAlign w:val="center"/>
          </w:tcPr>
          <w:p>
            <w:pPr>
              <w:pStyle w:val="afffffffd"/>
            </w:pPr>
            <w:r>
              <w:rPr>
                <w:rFonts w:hint="eastAsia"/>
              </w:rPr>
              <w:t>“美元”</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美元，美国法定货币；</w:t>
            </w:r>
          </w:p>
        </w:tc>
      </w:tr>
      <w:tr>
        <w:tc>
          <w:tcPr>
            <w:tcW w:w="2195" w:type="dxa"/>
            <w:vAlign w:val="center"/>
          </w:tcPr>
          <w:p>
            <w:pPr>
              <w:pStyle w:val="afffffffd"/>
            </w:pPr>
            <w:r>
              <w:rPr>
                <w:rFonts w:hint="eastAsia"/>
              </w:rPr>
              <w:t>“港元”</w:t>
            </w:r>
          </w:p>
        </w:tc>
        <w:tc>
          <w:tcPr>
            <w:tcW w:w="562" w:type="dxa"/>
            <w:vAlign w:val="center"/>
          </w:tcPr>
          <w:p>
            <w:pPr>
              <w:rPr>
                <w:color w:val="000000" w:themeColor="text1"/>
              </w:rPr>
            </w:pPr>
            <w:r>
              <w:t>指</w:t>
            </w:r>
          </w:p>
        </w:tc>
        <w:tc>
          <w:tcPr>
            <w:tcW w:w="6066" w:type="dxa"/>
            <w:vAlign w:val="center"/>
          </w:tcPr>
          <w:p>
            <w:pPr>
              <w:rPr>
                <w:rFonts w:asciiTheme="minorEastAsia" w:eastAsiaTheme="minorEastAsia" w:hAnsiTheme="minorEastAsia"/>
                <w:color w:val="000000" w:themeColor="text1"/>
              </w:rPr>
            </w:pPr>
            <w:r>
              <w:rPr>
                <w:rFonts w:asciiTheme="minorEastAsia" w:eastAsiaTheme="minorEastAsia" w:hAnsiTheme="minorEastAsia"/>
              </w:rPr>
              <w:t>港元，香港法定货币。</w:t>
            </w:r>
          </w:p>
        </w:tc>
      </w:tr>
    </w:tbl>
    <w:p>
      <w:pPr>
        <w:pStyle w:val="affffffff"/>
      </w:pPr>
    </w:p>
    <w:p>
      <w:pPr>
        <w:pStyle w:val="afffffffffffff8"/>
      </w:pPr>
      <w:r>
        <w:br w:type="page"/>
      </w:r>
    </w:p>
    <w:p>
      <w:pPr>
        <w:pStyle w:val="1"/>
        <w:numPr>
          <w:ilvl w:val="0"/>
          <w:numId w:val="3"/>
        </w:numPr>
        <w:rPr>
          <w:u w:val="single"/>
        </w:rPr>
      </w:pPr>
      <w:bookmarkStart w:id="8" w:name="_Toc436392762"/>
      <w:bookmarkStart w:id="9" w:name="_Toc407111355"/>
      <w:bookmarkStart w:id="10" w:name="_Toc193794889"/>
      <w:bookmarkStart w:id="11" w:name="_Toc437440709"/>
      <w:r>
        <w:rPr>
          <w:rFonts w:hint="eastAsia"/>
        </w:rPr>
        <w:lastRenderedPageBreak/>
        <w:t>公司简介</w:t>
      </w:r>
      <w:bookmarkEnd w:id="8"/>
      <w:bookmarkEnd w:id="9"/>
      <w:r>
        <w:rPr>
          <w:rFonts w:hint="eastAsia"/>
        </w:rPr>
        <w:t>和主要财务指标</w:t>
      </w:r>
      <w:bookmarkEnd w:id="10"/>
    </w:p>
    <w:p>
      <w:pPr>
        <w:pStyle w:val="2"/>
        <w:numPr>
          <w:ilvl w:val="1"/>
          <w:numId w:val="4"/>
        </w:numPr>
        <w:ind w:left="498" w:hangingChars="236" w:hanging="498"/>
        <w:rPr>
          <w:u w:val="single"/>
        </w:rPr>
      </w:pPr>
      <w:bookmarkStart w:id="12" w:name="_Toc342565881"/>
      <w:bookmarkStart w:id="13" w:name="_Toc342051041"/>
      <w:bookmarkEnd w:id="11"/>
      <w:r>
        <w:rPr>
          <w:rFonts w:hint="eastAsia"/>
        </w:rPr>
        <w:t>公司信息</w:t>
      </w:r>
      <w:bookmarkEnd w:id="12"/>
      <w:bookmarkEnd w:id="13"/>
    </w:p>
    <w:tbl>
      <w:tblPr>
        <w:tblStyle w:val="affffffffffff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trPr>
          <w:trHeight w:val="293"/>
        </w:trPr>
        <w:sdt>
          <w:sdtPr>
            <w:tag w:val="_PLD_76a4e08611bc46959c5497248a51b877"/>
            <w:id w:val="1409353515"/>
          </w:sdtPr>
          <w:sdtContent>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500697400"/>
            <w:dataBinding w:prefixMappings="xmlns:clcid-cgi='clcid-cgi'" w:xpath="/*/clcid-cgi:GongSiFaDingZhongWenMingCheng[not(@periodRef)]" w:storeItemID="{89EBAB94-44A0-46A2-B712-30D997D04A6D}"/>
            <w:text/>
          </w:sdtPr>
          <w:sdtContent>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rPr>
                    <w:color w:val="FFC000"/>
                    <w:szCs w:val="21"/>
                  </w:rPr>
                </w:pPr>
                <w:r>
                  <w:rPr>
                    <w:rFonts w:hint="eastAsia"/>
                    <w:szCs w:val="21"/>
                  </w:rPr>
                  <w:t>兖矿能源集团股份有限公司</w:t>
                </w:r>
              </w:p>
            </w:tc>
          </w:sdtContent>
        </w:sdt>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pPr>
              <w:pStyle w:val="affffffd"/>
            </w:pPr>
            <w:r>
              <w:rPr>
                <w:rFonts w:hint="eastAsia"/>
              </w:rPr>
              <w:t>兖矿能源</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公司的外文名称</w:t>
            </w:r>
          </w:p>
        </w:tc>
        <w:tc>
          <w:tcPr>
            <w:tcW w:w="2831" w:type="pct"/>
            <w:tcBorders>
              <w:top w:val="single" w:sz="4" w:space="0" w:color="auto"/>
              <w:left w:val="single" w:sz="4" w:space="0" w:color="auto"/>
              <w:bottom w:val="single" w:sz="4" w:space="0" w:color="auto"/>
            </w:tcBorders>
          </w:tcPr>
          <w:p>
            <w:pPr>
              <w:pStyle w:val="affffffd"/>
            </w:pPr>
            <w:r>
              <w:t>Yankuang Energy Group Company Limited</w:t>
            </w:r>
            <w:r>
              <w:rPr>
                <w:vertAlign w:val="superscript"/>
              </w:rPr>
              <w:t>*</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公司的外文名称缩写</w:t>
            </w:r>
          </w:p>
        </w:tc>
        <w:tc>
          <w:tcPr>
            <w:tcW w:w="2831" w:type="pct"/>
            <w:tcBorders>
              <w:top w:val="single" w:sz="4" w:space="0" w:color="auto"/>
              <w:left w:val="single" w:sz="4" w:space="0" w:color="auto"/>
              <w:bottom w:val="single" w:sz="4" w:space="0" w:color="auto"/>
            </w:tcBorders>
          </w:tcPr>
          <w:p>
            <w:pPr>
              <w:pStyle w:val="affffffd"/>
            </w:pPr>
            <w:r>
              <w:t>YANKUANG ENERGY</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公司的法定代表人</w:t>
            </w:r>
          </w:p>
        </w:tc>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rPr>
                <w:szCs w:val="21"/>
              </w:rPr>
            </w:pPr>
            <w:r>
              <w:rPr>
                <w:rFonts w:hint="eastAsia"/>
                <w:szCs w:val="21"/>
              </w:rPr>
              <w:t>李伟</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pPr>
            <w:r>
              <w:rPr>
                <w:rFonts w:hint="eastAsia"/>
              </w:rPr>
              <w:t>香港联交所授权代表</w:t>
            </w:r>
          </w:p>
        </w:tc>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rPr>
                <w:rFonts w:hint="eastAsia"/>
              </w:rPr>
              <w:t>苏力、黄霄龙</w:t>
            </w:r>
          </w:p>
        </w:tc>
      </w:tr>
    </w:tbl>
    <w:p>
      <w:pPr>
        <w:pStyle w:val="affffffd"/>
      </w:pPr>
      <w:r>
        <w:t>*仅供识别</w:t>
      </w:r>
    </w:p>
    <w:p>
      <w:pPr>
        <w:pStyle w:val="affffffd"/>
      </w:pPr>
    </w:p>
    <w:p>
      <w:pPr>
        <w:pStyle w:val="2"/>
        <w:numPr>
          <w:ilvl w:val="1"/>
          <w:numId w:val="4"/>
        </w:numPr>
        <w:ind w:left="498" w:hangingChars="236" w:hanging="498"/>
        <w:rPr>
          <w:u w:val="single"/>
        </w:rPr>
      </w:pPr>
      <w:r>
        <w:rPr>
          <w:rFonts w:hint="eastAsia"/>
        </w:rPr>
        <w:t>联系人和联系方式</w:t>
      </w:r>
    </w:p>
    <w:tbl>
      <w:tblPr>
        <w:tblStyle w:val="affffffffffff7"/>
        <w:tblW w:w="513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2405"/>
        <w:gridCol w:w="3402"/>
        <w:gridCol w:w="3260"/>
      </w:tblGrid>
      <w:tr>
        <w:tc>
          <w:tcPr>
            <w:tcW w:w="1326"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bookmarkStart w:id="14" w:name="_Toc342565882"/>
            <w:bookmarkStart w:id="15" w:name="_Toc342051042"/>
            <w:bookmarkStart w:id="16" w:name="_Hlk186115772"/>
            <w:bookmarkStart w:id="17" w:name="_Hlk186112521"/>
            <w:bookmarkStart w:id="18" w:name="_Hlk186115833"/>
            <w:bookmarkEnd w:id="14"/>
            <w:bookmarkEnd w:id="15"/>
          </w:p>
        </w:tc>
        <w:tc>
          <w:tcPr>
            <w:tcW w:w="1876" w:type="pct"/>
            <w:tcBorders>
              <w:top w:val="single" w:sz="4" w:space="0" w:color="auto"/>
              <w:left w:val="single" w:sz="4" w:space="0" w:color="auto"/>
              <w:bottom w:val="single" w:sz="4" w:space="0" w:color="auto"/>
              <w:right w:val="single" w:sz="4" w:space="0" w:color="auto"/>
            </w:tcBorders>
            <w:shd w:val="clear" w:color="auto" w:fill="auto"/>
          </w:tcPr>
          <w:p>
            <w:pPr>
              <w:pStyle w:val="afffff9"/>
              <w:kinsoku w:val="0"/>
              <w:overflowPunct w:val="0"/>
              <w:autoSpaceDE w:val="0"/>
              <w:autoSpaceDN w:val="0"/>
              <w:adjustRightInd w:val="0"/>
              <w:snapToGrid w:val="0"/>
              <w:jc w:val="center"/>
              <w:rPr>
                <w:rFonts w:ascii="宋体" w:hAnsi="宋体"/>
                <w:color w:val="008000"/>
              </w:rPr>
            </w:pPr>
            <w:sdt>
              <w:sdtPr>
                <w:tag w:val="_PLD_2c78c38f6b284d4589a2a9ae76ce4059"/>
                <w:id w:val="2000844554"/>
              </w:sdtPr>
              <w:sdtContent>
                <w:r>
                  <w:rPr>
                    <w:rFonts w:ascii="宋体" w:hAnsi="宋体" w:cs="宋体" w:hint="eastAsia"/>
                  </w:rPr>
                  <w:t>董事会秘书</w:t>
                </w:r>
              </w:sdtContent>
            </w:sdt>
          </w:p>
        </w:tc>
        <w:sdt>
          <w:sdtPr>
            <w:tag w:val="_PLD_8425474fc03f4f31a663ee46b4c6fa3a"/>
            <w:id w:val="475184535"/>
          </w:sdtPr>
          <w:sdtContent>
            <w:tc>
              <w:tcPr>
                <w:tcW w:w="1798" w:type="pct"/>
                <w:tcBorders>
                  <w:top w:val="single" w:sz="4" w:space="0" w:color="auto"/>
                  <w:left w:val="single" w:sz="4" w:space="0" w:color="auto"/>
                  <w:bottom w:val="single" w:sz="4" w:space="0" w:color="auto"/>
                </w:tcBorders>
                <w:shd w:val="clear" w:color="auto" w:fill="auto"/>
              </w:tcPr>
              <w:p>
                <w:pPr>
                  <w:pStyle w:val="afffff9"/>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sdtContent>
        </w:sdt>
      </w:tr>
      <w:tr>
        <w:tc>
          <w:tcPr>
            <w:tcW w:w="1326"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rFonts w:hint="eastAsia"/>
                <w:szCs w:val="21"/>
              </w:rPr>
              <w:t>姓名</w:t>
            </w:r>
          </w:p>
        </w:tc>
        <w:tc>
          <w:tcPr>
            <w:tcW w:w="1876" w:type="pct"/>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pPr>
            <w:r>
              <w:rPr>
                <w:rFonts w:hint="eastAsia"/>
              </w:rPr>
              <w:t>黄霄龙</w:t>
            </w:r>
          </w:p>
        </w:tc>
        <w:tc>
          <w:tcPr>
            <w:tcW w:w="1798" w:type="pct"/>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pPr>
            <w:r>
              <w:rPr>
                <w:rFonts w:hint="eastAsia"/>
              </w:rPr>
              <w:t>商晓宇</w:t>
            </w:r>
          </w:p>
        </w:tc>
      </w:tr>
      <w:tr>
        <w:tc>
          <w:tcPr>
            <w:tcW w:w="1326"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rFonts w:hint="eastAsia"/>
                <w:szCs w:val="21"/>
              </w:rPr>
              <w:t>联系地址</w:t>
            </w:r>
          </w:p>
        </w:tc>
        <w:tc>
          <w:tcPr>
            <w:tcW w:w="1876" w:type="pct"/>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pPr>
            <w:r>
              <w:rPr>
                <w:rFonts w:hint="eastAsia"/>
              </w:rPr>
              <w:t>中国山东省邹城市凫山南路</w:t>
            </w:r>
            <w:r>
              <w:t>949号</w:t>
            </w:r>
          </w:p>
          <w:p>
            <w:pPr>
              <w:kinsoku w:val="0"/>
              <w:overflowPunct w:val="0"/>
              <w:autoSpaceDE w:val="0"/>
              <w:autoSpaceDN w:val="0"/>
              <w:adjustRightInd w:val="0"/>
              <w:snapToGrid w:val="0"/>
            </w:pPr>
            <w:r>
              <w:rPr>
                <w:rFonts w:hint="eastAsia"/>
              </w:rPr>
              <w:t>兖矿能源集团股份有限公司董事会秘书处</w:t>
            </w:r>
          </w:p>
        </w:tc>
        <w:tc>
          <w:tcPr>
            <w:tcW w:w="1798" w:type="pct"/>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pPr>
            <w:r>
              <w:rPr>
                <w:rFonts w:hint="eastAsia"/>
              </w:rPr>
              <w:t>中国山东省邹城市凫山南路</w:t>
            </w:r>
            <w:r>
              <w:t>949号</w:t>
            </w:r>
          </w:p>
          <w:p>
            <w:pPr>
              <w:kinsoku w:val="0"/>
              <w:overflowPunct w:val="0"/>
              <w:autoSpaceDE w:val="0"/>
              <w:autoSpaceDN w:val="0"/>
              <w:adjustRightInd w:val="0"/>
              <w:snapToGrid w:val="0"/>
            </w:pPr>
            <w:r>
              <w:rPr>
                <w:rFonts w:hint="eastAsia"/>
              </w:rPr>
              <w:t>兖矿能源集团股份有限公司董事会秘书处</w:t>
            </w:r>
          </w:p>
        </w:tc>
      </w:tr>
      <w:tr>
        <w:tc>
          <w:tcPr>
            <w:tcW w:w="1326"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电话</w:t>
            </w:r>
          </w:p>
        </w:tc>
        <w:tc>
          <w:tcPr>
            <w:tcW w:w="1876" w:type="pct"/>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pPr>
            <w:r>
              <w:rPr>
                <w:rFonts w:hint="eastAsia"/>
              </w:rPr>
              <w:t>（</w:t>
            </w:r>
            <w:r>
              <w:t>86 537）538 2319</w:t>
            </w:r>
          </w:p>
        </w:tc>
        <w:tc>
          <w:tcPr>
            <w:tcW w:w="1798" w:type="pct"/>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pPr>
            <w:r>
              <w:rPr>
                <w:rFonts w:hint="eastAsia"/>
              </w:rPr>
              <w:t>（</w:t>
            </w:r>
            <w:r>
              <w:t>86 537）539 2377</w:t>
            </w:r>
          </w:p>
        </w:tc>
      </w:tr>
      <w:tr>
        <w:tc>
          <w:tcPr>
            <w:tcW w:w="1326"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传真</w:t>
            </w:r>
          </w:p>
        </w:tc>
        <w:tc>
          <w:tcPr>
            <w:tcW w:w="1876" w:type="pct"/>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pPr>
            <w:r>
              <w:rPr>
                <w:rFonts w:hint="eastAsia"/>
              </w:rPr>
              <w:t>（86</w:t>
            </w:r>
            <w:r>
              <w:t xml:space="preserve"> </w:t>
            </w:r>
            <w:r>
              <w:rPr>
                <w:rFonts w:hint="eastAsia"/>
              </w:rPr>
              <w:t>537）538</w:t>
            </w:r>
            <w:r>
              <w:t xml:space="preserve"> </w:t>
            </w:r>
            <w:r>
              <w:rPr>
                <w:rFonts w:hint="eastAsia"/>
              </w:rPr>
              <w:t>3311</w:t>
            </w:r>
          </w:p>
        </w:tc>
        <w:tc>
          <w:tcPr>
            <w:tcW w:w="1798" w:type="pct"/>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pPr>
            <w:r>
              <w:rPr>
                <w:rFonts w:hint="eastAsia"/>
              </w:rPr>
              <w:t>（86</w:t>
            </w:r>
            <w:r>
              <w:t xml:space="preserve"> </w:t>
            </w:r>
            <w:r>
              <w:rPr>
                <w:rFonts w:hint="eastAsia"/>
              </w:rPr>
              <w:t>537）538</w:t>
            </w:r>
            <w:r>
              <w:t xml:space="preserve"> </w:t>
            </w:r>
            <w:r>
              <w:rPr>
                <w:rFonts w:hint="eastAsia"/>
              </w:rPr>
              <w:t>3311</w:t>
            </w:r>
          </w:p>
        </w:tc>
      </w:tr>
      <w:tr>
        <w:tc>
          <w:tcPr>
            <w:tcW w:w="1326"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电子信箱</w:t>
            </w:r>
          </w:p>
        </w:tc>
        <w:tc>
          <w:tcPr>
            <w:tcW w:w="1876" w:type="pct"/>
            <w:tcBorders>
              <w:top w:val="single" w:sz="4" w:space="0" w:color="auto"/>
              <w:left w:val="single" w:sz="4" w:space="0" w:color="auto"/>
              <w:bottom w:val="single" w:sz="4" w:space="0" w:color="auto"/>
              <w:right w:val="single" w:sz="4" w:space="0" w:color="auto"/>
            </w:tcBorders>
            <w:vAlign w:val="center"/>
          </w:tcPr>
          <w:p>
            <w:pPr>
              <w:kinsoku w:val="0"/>
              <w:overflowPunct w:val="0"/>
              <w:autoSpaceDE w:val="0"/>
              <w:autoSpaceDN w:val="0"/>
              <w:adjustRightInd w:val="0"/>
              <w:snapToGrid w:val="0"/>
            </w:pPr>
            <w:r>
              <w:t xml:space="preserve">IR@ykenergy.com </w:t>
            </w:r>
          </w:p>
        </w:tc>
        <w:tc>
          <w:tcPr>
            <w:tcW w:w="1798" w:type="pct"/>
            <w:tcBorders>
              <w:top w:val="single" w:sz="4" w:space="0" w:color="auto"/>
              <w:left w:val="single" w:sz="4" w:space="0" w:color="auto"/>
              <w:bottom w:val="single" w:sz="4" w:space="0" w:color="auto"/>
            </w:tcBorders>
            <w:vAlign w:val="center"/>
          </w:tcPr>
          <w:p>
            <w:pPr>
              <w:kinsoku w:val="0"/>
              <w:overflowPunct w:val="0"/>
              <w:autoSpaceDE w:val="0"/>
              <w:autoSpaceDN w:val="0"/>
              <w:adjustRightInd w:val="0"/>
              <w:snapToGrid w:val="0"/>
            </w:pPr>
            <w:r>
              <w:t xml:space="preserve">xyshang@ykenergy.com </w:t>
            </w:r>
          </w:p>
        </w:tc>
      </w:tr>
    </w:tbl>
    <w:p>
      <w:pPr>
        <w:pStyle w:val="affffffd"/>
      </w:pPr>
    </w:p>
    <w:bookmarkEnd w:id="16"/>
    <w:bookmarkEnd w:id="17"/>
    <w:bookmarkEnd w:id="18"/>
    <w:p>
      <w:pPr>
        <w:pStyle w:val="2"/>
        <w:numPr>
          <w:ilvl w:val="1"/>
          <w:numId w:val="4"/>
        </w:numPr>
        <w:ind w:left="498" w:hangingChars="236" w:hanging="498"/>
        <w:rPr>
          <w:u w:val="single"/>
        </w:rPr>
      </w:pPr>
      <w:r>
        <w:rPr>
          <w:rFonts w:hint="eastAsia"/>
        </w:rPr>
        <w:t>基本情况简介</w:t>
      </w:r>
    </w:p>
    <w:tbl>
      <w:tblPr>
        <w:tblStyle w:val="affffffffffff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3827"/>
        <w:gridCol w:w="4996"/>
      </w:tblGrid>
      <w:tr>
        <w:trPr>
          <w:trHeight w:val="293"/>
        </w:trPr>
        <w:sdt>
          <w:sdtPr>
            <w:tag w:val="_PLD_65800154c9f246eeaabfb6d49f89b105"/>
            <w:id w:val="-1489469952"/>
          </w:sdtPr>
          <w:sdtContent>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869261163"/>
          </w:sdtPr>
          <w:sdtContent>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rPr>
                    <w:szCs w:val="21"/>
                  </w:rPr>
                </w:pPr>
                <w:r>
                  <w:rPr>
                    <w:rFonts w:hint="eastAsia"/>
                    <w:szCs w:val="21"/>
                  </w:rPr>
                  <w:t>中国山东省邹城市凫山南路</w:t>
                </w:r>
                <w:r>
                  <w:rPr>
                    <w:szCs w:val="21"/>
                  </w:rPr>
                  <w:t>949号</w:t>
                </w:r>
              </w:p>
            </w:tc>
          </w:sdtContent>
        </w:sdt>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公司办公地址</w:t>
            </w:r>
          </w:p>
        </w:tc>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rPr>
                <w:rFonts w:hint="eastAsia"/>
              </w:rPr>
              <w:t>中国山东省邹城市凫山南路</w:t>
            </w:r>
            <w:r>
              <w:t>949号</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公司办公地址的邮政编码</w:t>
            </w:r>
          </w:p>
        </w:tc>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t>273500</w:t>
            </w:r>
          </w:p>
        </w:tc>
      </w:tr>
      <w:tr>
        <w:trPr>
          <w:trHeight w:val="293"/>
        </w:trPr>
        <w:tc>
          <w:tcPr>
            <w:tcW w:w="2169"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公司网址</w:t>
            </w:r>
          </w:p>
        </w:tc>
        <w:tc>
          <w:tcPr>
            <w:tcW w:w="2831"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t>www.ykenergy.com</w:t>
            </w:r>
          </w:p>
          <w:p>
            <w:pPr>
              <w:kinsoku w:val="0"/>
              <w:overflowPunct w:val="0"/>
              <w:autoSpaceDE w:val="0"/>
              <w:autoSpaceDN w:val="0"/>
              <w:adjustRightInd w:val="0"/>
              <w:snapToGrid w:val="0"/>
            </w:pPr>
            <w:r>
              <w:t>www.yanzhoucoal.com.cn</w:t>
            </w:r>
          </w:p>
        </w:tc>
      </w:tr>
      <w:tr>
        <w:trPr>
          <w:trHeight w:val="293"/>
        </w:trPr>
        <w:tc>
          <w:tcPr>
            <w:tcW w:w="2169"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rPr>
                <w:szCs w:val="21"/>
              </w:rPr>
            </w:pPr>
            <w:r>
              <w:rPr>
                <w:szCs w:val="21"/>
              </w:rPr>
              <w:t>电子信箱</w:t>
            </w:r>
          </w:p>
        </w:tc>
        <w:tc>
          <w:tcPr>
            <w:tcW w:w="2831" w:type="pct"/>
            <w:tcBorders>
              <w:top w:val="single" w:sz="4" w:space="0" w:color="auto"/>
              <w:left w:val="single" w:sz="4" w:space="0" w:color="auto"/>
              <w:bottom w:val="single" w:sz="4" w:space="0" w:color="auto"/>
            </w:tcBorders>
          </w:tcPr>
          <w:p>
            <w:pPr>
              <w:pStyle w:val="affffffd"/>
            </w:pPr>
            <w:r>
              <w:t xml:space="preserve">IR@ykenergy.com </w:t>
            </w:r>
          </w:p>
        </w:tc>
      </w:tr>
    </w:tbl>
    <w:p>
      <w:pPr>
        <w:pStyle w:val="affffffd"/>
      </w:pPr>
    </w:p>
    <w:p>
      <w:pPr>
        <w:pStyle w:val="2"/>
        <w:numPr>
          <w:ilvl w:val="1"/>
          <w:numId w:val="4"/>
        </w:numPr>
        <w:ind w:left="498" w:hangingChars="236" w:hanging="498"/>
        <w:rPr>
          <w:u w:val="single"/>
        </w:rPr>
      </w:pPr>
      <w:r>
        <w:rPr>
          <w:rFonts w:hint="eastAsia"/>
        </w:rPr>
        <w:t>信息披露及备置地点</w:t>
      </w:r>
    </w:p>
    <w:tbl>
      <w:tblPr>
        <w:tblStyle w:val="affffffffffff7"/>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108"/>
        <w:gridCol w:w="4715"/>
      </w:tblGrid>
      <w:tr>
        <w:trPr>
          <w:trHeight w:val="293"/>
        </w:trPr>
        <w:sdt>
          <w:sdtPr>
            <w:tag w:val="_PLD_bbba55a3ebda46da946a09caf15c63b6"/>
            <w:id w:val="-2064239795"/>
          </w:sdtPr>
          <w:sdtContent>
            <w:tc>
              <w:tcPr>
                <w:tcW w:w="2328"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1777992276"/>
          </w:sdtPr>
          <w:sdtContent>
            <w:tc>
              <w:tcPr>
                <w:tcW w:w="2672"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rPr>
                    <w:szCs w:val="21"/>
                  </w:rPr>
                </w:pPr>
                <w:r>
                  <w:rPr>
                    <w:rFonts w:hint="eastAsia"/>
                    <w:szCs w:val="21"/>
                  </w:rPr>
                  <w:t>《中国证券报》（</w:t>
                </w:r>
                <w:r>
                  <w:rPr>
                    <w:szCs w:val="21"/>
                  </w:rPr>
                  <w:t>www.cs.com.cn）</w:t>
                </w:r>
              </w:p>
              <w:p>
                <w:pPr>
                  <w:kinsoku w:val="0"/>
                  <w:overflowPunct w:val="0"/>
                  <w:autoSpaceDE w:val="0"/>
                  <w:autoSpaceDN w:val="0"/>
                  <w:adjustRightInd w:val="0"/>
                  <w:snapToGrid w:val="0"/>
                  <w:rPr>
                    <w:szCs w:val="21"/>
                  </w:rPr>
                </w:pPr>
                <w:r>
                  <w:rPr>
                    <w:rFonts w:hint="eastAsia"/>
                    <w:szCs w:val="21"/>
                  </w:rPr>
                  <w:t>《上海证券报》（</w:t>
                </w:r>
                <w:r>
                  <w:rPr>
                    <w:szCs w:val="21"/>
                  </w:rPr>
                  <w:t>www.cnstock.com）</w:t>
                </w:r>
              </w:p>
              <w:p>
                <w:pPr>
                  <w:kinsoku w:val="0"/>
                  <w:overflowPunct w:val="0"/>
                  <w:autoSpaceDE w:val="0"/>
                  <w:autoSpaceDN w:val="0"/>
                  <w:adjustRightInd w:val="0"/>
                  <w:snapToGrid w:val="0"/>
                  <w:rPr>
                    <w:szCs w:val="21"/>
                  </w:rPr>
                </w:pPr>
                <w:r>
                  <w:rPr>
                    <w:rFonts w:hint="eastAsia"/>
                    <w:szCs w:val="21"/>
                  </w:rPr>
                  <w:t>《证券时报》（</w:t>
                </w:r>
                <w:r>
                  <w:rPr>
                    <w:szCs w:val="21"/>
                  </w:rPr>
                  <w:t>www.stcn.com）</w:t>
                </w:r>
              </w:p>
              <w:p>
                <w:pPr>
                  <w:kinsoku w:val="0"/>
                  <w:overflowPunct w:val="0"/>
                  <w:autoSpaceDE w:val="0"/>
                  <w:autoSpaceDN w:val="0"/>
                  <w:adjustRightInd w:val="0"/>
                  <w:snapToGrid w:val="0"/>
                  <w:rPr>
                    <w:szCs w:val="21"/>
                  </w:rPr>
                </w:pPr>
                <w:r>
                  <w:rPr>
                    <w:rFonts w:hint="eastAsia"/>
                    <w:szCs w:val="21"/>
                  </w:rPr>
                  <w:t>《证券日报》（</w:t>
                </w:r>
                <w:r>
                  <w:rPr>
                    <w:szCs w:val="21"/>
                  </w:rPr>
                  <w:t>www.zqrb.cn）</w:t>
                </w:r>
              </w:p>
            </w:tc>
          </w:sdtContent>
        </w:sdt>
      </w:tr>
      <w:tr>
        <w:trPr>
          <w:trHeight w:val="293"/>
        </w:trPr>
        <w:tc>
          <w:tcPr>
            <w:tcW w:w="2328"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rFonts w:hint="eastAsia"/>
                <w:szCs w:val="21"/>
              </w:rPr>
              <w:t>公司披露年度报告的证券交易所</w:t>
            </w:r>
            <w:r>
              <w:rPr>
                <w:szCs w:val="21"/>
              </w:rPr>
              <w:t>网址</w:t>
            </w:r>
          </w:p>
        </w:tc>
        <w:tc>
          <w:tcPr>
            <w:tcW w:w="2672"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t>A股年度报告登载网址：www.sse.com.cn</w:t>
            </w:r>
          </w:p>
          <w:p>
            <w:pPr>
              <w:kinsoku w:val="0"/>
              <w:overflowPunct w:val="0"/>
              <w:autoSpaceDE w:val="0"/>
              <w:autoSpaceDN w:val="0"/>
              <w:adjustRightInd w:val="0"/>
              <w:snapToGrid w:val="0"/>
            </w:pPr>
            <w:r>
              <w:t>H股年度报告登载网址：www.hkexnews.hk</w:t>
            </w:r>
          </w:p>
        </w:tc>
      </w:tr>
      <w:tr>
        <w:trPr>
          <w:trHeight w:val="293"/>
        </w:trPr>
        <w:tc>
          <w:tcPr>
            <w:tcW w:w="2328"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both"/>
              <w:rPr>
                <w:szCs w:val="21"/>
              </w:rPr>
            </w:pPr>
            <w:r>
              <w:rPr>
                <w:szCs w:val="21"/>
              </w:rPr>
              <w:t>公司年度报告备置地点</w:t>
            </w:r>
          </w:p>
        </w:tc>
        <w:tc>
          <w:tcPr>
            <w:tcW w:w="2672" w:type="pct"/>
            <w:tcBorders>
              <w:top w:val="single" w:sz="4" w:space="0" w:color="auto"/>
              <w:left w:val="single" w:sz="4" w:space="0" w:color="auto"/>
              <w:bottom w:val="single" w:sz="4" w:space="0" w:color="auto"/>
            </w:tcBorders>
          </w:tcPr>
          <w:p>
            <w:pPr>
              <w:kinsoku w:val="0"/>
              <w:overflowPunct w:val="0"/>
              <w:autoSpaceDE w:val="0"/>
              <w:autoSpaceDN w:val="0"/>
              <w:adjustRightInd w:val="0"/>
              <w:snapToGrid w:val="0"/>
            </w:pPr>
            <w:r>
              <w:rPr>
                <w:rFonts w:hint="eastAsia"/>
              </w:rPr>
              <w:t>中国山东省邹城市凫山南路</w:t>
            </w:r>
            <w:r>
              <w:t>949号</w:t>
            </w:r>
          </w:p>
          <w:p>
            <w:pPr>
              <w:kinsoku w:val="0"/>
              <w:overflowPunct w:val="0"/>
              <w:autoSpaceDE w:val="0"/>
              <w:autoSpaceDN w:val="0"/>
              <w:adjustRightInd w:val="0"/>
              <w:snapToGrid w:val="0"/>
            </w:pPr>
            <w:r>
              <w:rPr>
                <w:rFonts w:hint="eastAsia"/>
              </w:rPr>
              <w:t>兖矿能源集团股份有限公司董事会秘书处</w:t>
            </w:r>
          </w:p>
        </w:tc>
      </w:tr>
    </w:tbl>
    <w:p>
      <w:pPr>
        <w:pStyle w:val="affffffd"/>
      </w:pPr>
    </w:p>
    <w:p>
      <w:pPr>
        <w:pStyle w:val="2"/>
        <w:numPr>
          <w:ilvl w:val="1"/>
          <w:numId w:val="4"/>
        </w:numPr>
        <w:ind w:left="498" w:hangingChars="236" w:hanging="498"/>
        <w:rPr>
          <w:u w:val="single"/>
        </w:rPr>
      </w:pPr>
      <w:bookmarkStart w:id="19" w:name="_Toc342565885"/>
      <w:bookmarkStart w:id="20" w:name="_Toc342051045"/>
      <w:r>
        <w:rPr>
          <w:rFonts w:hint="eastAsia"/>
        </w:rPr>
        <w:t>公司股票简况</w:t>
      </w:r>
      <w:bookmarkEnd w:id="19"/>
      <w:bookmarkEnd w:id="20"/>
    </w:p>
    <w:tbl>
      <w:tblPr>
        <w:tblStyle w:val="affffffffffff7"/>
        <w:tblW w:w="4496" w:type="pct"/>
        <w:jc w:val="center"/>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765"/>
        <w:gridCol w:w="2199"/>
        <w:gridCol w:w="1985"/>
        <w:gridCol w:w="1985"/>
      </w:tblGrid>
      <w:tr>
        <w:trPr>
          <w:trHeight w:val="293"/>
          <w:jc w:val="center"/>
        </w:trPr>
        <w:sdt>
          <w:sdtPr>
            <w:tag w:val="_PLD_8c7d8e96d5f4491aa9e7c3c601503603"/>
            <w:id w:val="-1695602193"/>
          </w:sdtPr>
          <w:sdtContent>
            <w:tc>
              <w:tcPr>
                <w:tcW w:w="1112" w:type="pct"/>
                <w:tcBorders>
                  <w:top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222573092"/>
          </w:sdtPr>
          <w:sdtContent>
            <w:tc>
              <w:tcPr>
                <w:tcW w:w="1386" w:type="pct"/>
                <w:tcBorders>
                  <w:top w:val="single" w:sz="4" w:space="0" w:color="auto"/>
                  <w:left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323583964"/>
          </w:sdtPr>
          <w:sdtContent>
            <w:tc>
              <w:tcPr>
                <w:tcW w:w="1251" w:type="pct"/>
                <w:tcBorders>
                  <w:top w:val="single" w:sz="4" w:space="0" w:color="auto"/>
                  <w:left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368099567"/>
          </w:sdtPr>
          <w:sdtContent>
            <w:tc>
              <w:tcPr>
                <w:tcW w:w="1251" w:type="pct"/>
                <w:tcBorders>
                  <w:top w:val="single" w:sz="4" w:space="0" w:color="auto"/>
                  <w:left w:val="single" w:sz="4" w:space="0" w:color="auto"/>
                  <w:bottom w:val="single" w:sz="4" w:space="0" w:color="auto"/>
                  <w:right w:val="single" w:sz="4" w:space="0" w:color="auto"/>
                </w:tcBorders>
                <w:shd w:val="clear" w:color="auto" w:fill="auto"/>
              </w:tcPr>
              <w:p>
                <w:pPr>
                  <w:kinsoku w:val="0"/>
                  <w:overflowPunct w:val="0"/>
                  <w:autoSpaceDE w:val="0"/>
                  <w:autoSpaceDN w:val="0"/>
                  <w:adjustRightInd w:val="0"/>
                  <w:snapToGrid w:val="0"/>
                  <w:jc w:val="center"/>
                  <w:rPr>
                    <w:szCs w:val="21"/>
                  </w:rPr>
                </w:pPr>
                <w:r>
                  <w:rPr>
                    <w:rFonts w:hint="eastAsia"/>
                    <w:szCs w:val="21"/>
                  </w:rPr>
                  <w:t>股票代码</w:t>
                </w:r>
              </w:p>
            </w:tc>
          </w:sdtContent>
        </w:sdt>
      </w:tr>
      <w:tr>
        <w:trPr>
          <w:trHeight w:val="293"/>
          <w:jc w:val="center"/>
        </w:trPr>
        <w:tc>
          <w:tcPr>
            <w:tcW w:w="1112"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t>A股</w:t>
            </w: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rPr>
                <w:rFonts w:hint="eastAsia"/>
              </w:rPr>
              <w:t>上交所</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rPr>
                <w:rFonts w:hint="eastAsia"/>
              </w:rPr>
              <w:t>兖矿能源</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t>600188</w:t>
            </w:r>
          </w:p>
        </w:tc>
      </w:tr>
      <w:tr>
        <w:trPr>
          <w:trHeight w:val="293"/>
          <w:jc w:val="center"/>
        </w:trPr>
        <w:tc>
          <w:tcPr>
            <w:tcW w:w="1112" w:type="pct"/>
            <w:tcBorders>
              <w:top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t>H股</w:t>
            </w:r>
          </w:p>
        </w:tc>
        <w:tc>
          <w:tcPr>
            <w:tcW w:w="1386"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rPr>
                <w:rFonts w:hint="eastAsia"/>
              </w:rPr>
              <w:t>香港联交所</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rPr>
                <w:rFonts w:hint="eastAsia"/>
              </w:rPr>
              <w:t>兖矿能源</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pPr>
              <w:kinsoku w:val="0"/>
              <w:overflowPunct w:val="0"/>
              <w:autoSpaceDE w:val="0"/>
              <w:autoSpaceDN w:val="0"/>
              <w:adjustRightInd w:val="0"/>
              <w:snapToGrid w:val="0"/>
              <w:jc w:val="center"/>
            </w:pPr>
            <w:r>
              <w:t>01171</w:t>
            </w:r>
          </w:p>
        </w:tc>
      </w:tr>
    </w:tbl>
    <w:p>
      <w:pPr>
        <w:rPr>
          <w:color w:val="0070C0"/>
        </w:rPr>
      </w:pPr>
    </w:p>
    <w:p>
      <w:pPr>
        <w:pStyle w:val="2"/>
        <w:numPr>
          <w:ilvl w:val="1"/>
          <w:numId w:val="4"/>
        </w:numPr>
        <w:ind w:left="498" w:hangingChars="236" w:hanging="498"/>
        <w:rPr>
          <w:u w:val="single"/>
        </w:rPr>
      </w:pPr>
      <w:r>
        <w:rPr>
          <w:rFonts w:hint="eastAsia"/>
        </w:rPr>
        <w:lastRenderedPageBreak/>
        <w:t>其他相关资料</w:t>
      </w:r>
    </w:p>
    <w:tbl>
      <w:tblPr>
        <w:tblStyle w:val="afffff7"/>
        <w:tblW w:w="5000" w:type="pct"/>
        <w:tblLook w:val="04A0" w:firstRow="1" w:lastRow="0" w:firstColumn="1" w:lastColumn="0" w:noHBand="0" w:noVBand="1"/>
      </w:tblPr>
      <w:tblGrid>
        <w:gridCol w:w="2918"/>
        <w:gridCol w:w="1749"/>
        <w:gridCol w:w="4156"/>
      </w:tblGrid>
      <w:tr>
        <w:trPr>
          <w:trHeight w:val="132"/>
        </w:trPr>
        <w:sdt>
          <w:sdtPr>
            <w:tag w:val="_PLD_e6bf57c678134e2ab9f21f313ee3de3c"/>
            <w:id w:val="1123578432"/>
          </w:sdtPr>
          <w:sdtContent>
            <w:tc>
              <w:tcPr>
                <w:tcW w:w="1654" w:type="pct"/>
                <w:vMerge w:val="restart"/>
                <w:vAlign w:val="center"/>
              </w:tcPr>
              <w:p>
                <w:pPr>
                  <w:rPr>
                    <w:szCs w:val="21"/>
                  </w:rPr>
                </w:pPr>
                <w:r>
                  <w:rPr>
                    <w:rFonts w:hint="eastAsia"/>
                    <w:szCs w:val="21"/>
                  </w:rPr>
                  <w:t>公司聘请的会计师事务所</w:t>
                </w:r>
              </w:p>
              <w:p>
                <w:pPr>
                  <w:rPr>
                    <w:szCs w:val="21"/>
                  </w:rPr>
                </w:pPr>
                <w:r>
                  <w:rPr>
                    <w:rFonts w:hint="eastAsia"/>
                    <w:szCs w:val="21"/>
                  </w:rPr>
                  <w:t>（A股）</w:t>
                </w:r>
              </w:p>
            </w:tc>
          </w:sdtContent>
        </w:sdt>
        <w:sdt>
          <w:sdtPr>
            <w:tag w:val="_PLD_8ca47cc04c324c599365d04f46dbfb0f"/>
            <w:id w:val="1850670092"/>
          </w:sdtPr>
          <w:sdtContent>
            <w:tc>
              <w:tcPr>
                <w:tcW w:w="991" w:type="pct"/>
                <w:vAlign w:val="center"/>
              </w:tcPr>
              <w:p>
                <w:pPr>
                  <w:rPr>
                    <w:szCs w:val="21"/>
                  </w:rPr>
                </w:pPr>
                <w:r>
                  <w:rPr>
                    <w:rFonts w:hint="eastAsia"/>
                    <w:szCs w:val="21"/>
                  </w:rPr>
                  <w:t>名称</w:t>
                </w:r>
              </w:p>
            </w:tc>
          </w:sdtContent>
        </w:sdt>
        <w:sdt>
          <w:sdtPr>
            <w:rPr>
              <w:rFonts w:hint="eastAsia"/>
              <w:szCs w:val="21"/>
            </w:rPr>
            <w:alias w:val="公司聘请的境内会计师事务所明细-名称"/>
            <w:tag w:val="_GBC_5e101497eaf44ba79cb610647f4aa3d5"/>
            <w:id w:val="-938607568"/>
          </w:sdtPr>
          <w:sdtContent>
            <w:tc>
              <w:tcPr>
                <w:tcW w:w="2355" w:type="pct"/>
                <w:vAlign w:val="center"/>
              </w:tcPr>
              <w:p>
                <w:pPr>
                  <w:rPr>
                    <w:szCs w:val="21"/>
                  </w:rPr>
                </w:pPr>
                <w:r>
                  <w:rPr>
                    <w:rFonts w:hint="eastAsia"/>
                    <w:szCs w:val="21"/>
                  </w:rPr>
                  <w:t>天职国际会计师事务所（特殊普通合伙）</w:t>
                </w:r>
              </w:p>
            </w:tc>
          </w:sdtContent>
        </w:sdt>
      </w:tr>
      <w:tr>
        <w:trPr>
          <w:trHeight w:val="90"/>
        </w:trPr>
        <w:tc>
          <w:tcPr>
            <w:tcW w:w="1654" w:type="pct"/>
            <w:vMerge/>
            <w:vAlign w:val="center"/>
          </w:tcPr>
          <w:p>
            <w:pPr>
              <w:rPr>
                <w:szCs w:val="21"/>
              </w:rPr>
            </w:pPr>
          </w:p>
        </w:tc>
        <w:tc>
          <w:tcPr>
            <w:tcW w:w="991" w:type="pct"/>
            <w:vAlign w:val="center"/>
          </w:tcPr>
          <w:p>
            <w:pPr>
              <w:rPr>
                <w:szCs w:val="21"/>
              </w:rPr>
            </w:pPr>
            <w:r>
              <w:rPr>
                <w:rFonts w:hint="eastAsia"/>
                <w:szCs w:val="21"/>
              </w:rPr>
              <w:t>办公地址</w:t>
            </w:r>
          </w:p>
        </w:tc>
        <w:tc>
          <w:tcPr>
            <w:tcW w:w="2355" w:type="pct"/>
            <w:vAlign w:val="center"/>
          </w:tcPr>
          <w:p>
            <w:pPr>
              <w:rPr>
                <w:szCs w:val="21"/>
              </w:rPr>
            </w:pPr>
            <w:r>
              <w:rPr>
                <w:rFonts w:hint="eastAsia"/>
                <w:szCs w:val="21"/>
              </w:rPr>
              <w:t>北京市海淀区车公庄西路</w:t>
            </w:r>
            <w:r>
              <w:rPr>
                <w:szCs w:val="21"/>
              </w:rPr>
              <w:t>19</w:t>
            </w:r>
            <w:r>
              <w:rPr>
                <w:rFonts w:hint="eastAsia"/>
                <w:szCs w:val="21"/>
              </w:rPr>
              <w:t>号</w:t>
            </w:r>
            <w:r>
              <w:rPr>
                <w:szCs w:val="21"/>
              </w:rPr>
              <w:t>68</w:t>
            </w:r>
            <w:r>
              <w:rPr>
                <w:rFonts w:hint="eastAsia"/>
                <w:szCs w:val="21"/>
              </w:rPr>
              <w:t>号楼</w:t>
            </w:r>
            <w:r>
              <w:rPr>
                <w:szCs w:val="21"/>
              </w:rPr>
              <w:t>A-1</w:t>
            </w:r>
            <w:r>
              <w:rPr>
                <w:rFonts w:hint="eastAsia"/>
                <w:szCs w:val="21"/>
              </w:rPr>
              <w:t>和</w:t>
            </w:r>
            <w:r>
              <w:rPr>
                <w:szCs w:val="21"/>
              </w:rPr>
              <w:t>A-5</w:t>
            </w:r>
            <w:r>
              <w:rPr>
                <w:rFonts w:hint="eastAsia"/>
                <w:szCs w:val="21"/>
              </w:rPr>
              <w:t>区域</w:t>
            </w:r>
          </w:p>
        </w:tc>
      </w:tr>
      <w:tr>
        <w:trPr>
          <w:trHeight w:val="210"/>
        </w:trPr>
        <w:tc>
          <w:tcPr>
            <w:tcW w:w="1654" w:type="pct"/>
            <w:vMerge/>
            <w:vAlign w:val="center"/>
          </w:tcPr>
          <w:p>
            <w:pPr>
              <w:rPr>
                <w:szCs w:val="21"/>
              </w:rPr>
            </w:pPr>
          </w:p>
        </w:tc>
        <w:tc>
          <w:tcPr>
            <w:tcW w:w="991" w:type="pct"/>
            <w:vAlign w:val="center"/>
          </w:tcPr>
          <w:p>
            <w:pPr>
              <w:rPr>
                <w:szCs w:val="21"/>
              </w:rPr>
            </w:pPr>
            <w:r>
              <w:rPr>
                <w:rFonts w:hint="eastAsia"/>
                <w:szCs w:val="21"/>
              </w:rPr>
              <w:t>签字会计师姓名</w:t>
            </w:r>
          </w:p>
        </w:tc>
        <w:tc>
          <w:tcPr>
            <w:tcW w:w="2355" w:type="pct"/>
            <w:vAlign w:val="center"/>
          </w:tcPr>
          <w:p>
            <w:pPr>
              <w:rPr>
                <w:szCs w:val="21"/>
              </w:rPr>
            </w:pPr>
            <w:r>
              <w:rPr>
                <w:rFonts w:hint="eastAsia"/>
                <w:szCs w:val="21"/>
              </w:rPr>
              <w:t>付志成、周春阳、卯建强</w:t>
            </w:r>
          </w:p>
        </w:tc>
      </w:tr>
      <w:tr>
        <w:trPr>
          <w:trHeight w:val="270"/>
        </w:trPr>
        <w:tc>
          <w:tcPr>
            <w:tcW w:w="1654" w:type="pct"/>
            <w:vMerge w:val="restart"/>
            <w:vAlign w:val="center"/>
          </w:tcPr>
          <w:p>
            <w:pPr>
              <w:rPr>
                <w:szCs w:val="21"/>
              </w:rPr>
            </w:pPr>
            <w:r>
              <w:rPr>
                <w:rFonts w:hint="eastAsia"/>
                <w:szCs w:val="21"/>
              </w:rPr>
              <w:t>公司聘请的会计师事务所</w:t>
            </w:r>
          </w:p>
          <w:p>
            <w:pPr>
              <w:rPr>
                <w:szCs w:val="21"/>
              </w:rPr>
            </w:pPr>
            <w:r>
              <w:rPr>
                <w:rFonts w:hint="eastAsia"/>
                <w:szCs w:val="21"/>
              </w:rPr>
              <w:t>（H股）</w:t>
            </w:r>
          </w:p>
        </w:tc>
        <w:tc>
          <w:tcPr>
            <w:tcW w:w="991" w:type="pct"/>
            <w:vAlign w:val="center"/>
          </w:tcPr>
          <w:p>
            <w:pPr>
              <w:rPr>
                <w:szCs w:val="21"/>
              </w:rPr>
            </w:pPr>
            <w:r>
              <w:rPr>
                <w:rFonts w:hint="eastAsia"/>
                <w:szCs w:val="21"/>
              </w:rPr>
              <w:t>名称</w:t>
            </w:r>
          </w:p>
        </w:tc>
        <w:tc>
          <w:tcPr>
            <w:tcW w:w="2355" w:type="pct"/>
            <w:vAlign w:val="center"/>
          </w:tcPr>
          <w:p>
            <w:pPr>
              <w:rPr>
                <w:szCs w:val="21"/>
              </w:rPr>
            </w:pPr>
            <w:r>
              <w:rPr>
                <w:rFonts w:hint="eastAsia"/>
                <w:szCs w:val="21"/>
              </w:rPr>
              <w:t>天职香港会计师事务所有限公司</w:t>
            </w:r>
          </w:p>
        </w:tc>
      </w:tr>
      <w:tr>
        <w:trPr>
          <w:trHeight w:val="150"/>
        </w:trPr>
        <w:tc>
          <w:tcPr>
            <w:tcW w:w="1654" w:type="pct"/>
            <w:vMerge/>
            <w:vAlign w:val="center"/>
          </w:tcPr>
          <w:p>
            <w:pPr>
              <w:rPr>
                <w:szCs w:val="21"/>
              </w:rPr>
            </w:pPr>
          </w:p>
        </w:tc>
        <w:tc>
          <w:tcPr>
            <w:tcW w:w="991" w:type="pct"/>
            <w:vAlign w:val="center"/>
          </w:tcPr>
          <w:p>
            <w:pPr>
              <w:rPr>
                <w:szCs w:val="21"/>
              </w:rPr>
            </w:pPr>
            <w:r>
              <w:rPr>
                <w:rFonts w:hint="eastAsia"/>
                <w:szCs w:val="21"/>
              </w:rPr>
              <w:t>办公地址</w:t>
            </w:r>
          </w:p>
        </w:tc>
        <w:tc>
          <w:tcPr>
            <w:tcW w:w="2355" w:type="pct"/>
            <w:vAlign w:val="center"/>
          </w:tcPr>
          <w:p>
            <w:pPr>
              <w:rPr>
                <w:szCs w:val="21"/>
              </w:rPr>
            </w:pPr>
            <w:r>
              <w:rPr>
                <w:rFonts w:hint="eastAsia"/>
                <w:szCs w:val="21"/>
              </w:rPr>
              <w:t>香港鲗鱼涌英皇道</w:t>
            </w:r>
            <w:r>
              <w:rPr>
                <w:szCs w:val="21"/>
              </w:rPr>
              <w:t>728</w:t>
            </w:r>
            <w:r>
              <w:rPr>
                <w:rFonts w:hint="eastAsia"/>
                <w:szCs w:val="21"/>
              </w:rPr>
              <w:t>号</w:t>
            </w:r>
            <w:r>
              <w:rPr>
                <w:szCs w:val="21"/>
              </w:rPr>
              <w:t>8</w:t>
            </w:r>
            <w:r>
              <w:rPr>
                <w:rFonts w:hint="eastAsia"/>
                <w:szCs w:val="21"/>
              </w:rPr>
              <w:t>楼</w:t>
            </w:r>
          </w:p>
        </w:tc>
      </w:tr>
      <w:tr>
        <w:trPr>
          <w:trHeight w:val="147"/>
        </w:trPr>
        <w:tc>
          <w:tcPr>
            <w:tcW w:w="1654" w:type="pct"/>
            <w:vMerge/>
            <w:vAlign w:val="center"/>
          </w:tcPr>
          <w:p>
            <w:pPr>
              <w:rPr>
                <w:szCs w:val="21"/>
              </w:rPr>
            </w:pPr>
          </w:p>
        </w:tc>
        <w:tc>
          <w:tcPr>
            <w:tcW w:w="991" w:type="pct"/>
            <w:vAlign w:val="center"/>
          </w:tcPr>
          <w:p>
            <w:pPr>
              <w:rPr>
                <w:szCs w:val="21"/>
              </w:rPr>
            </w:pPr>
            <w:r>
              <w:rPr>
                <w:rFonts w:hint="eastAsia"/>
                <w:szCs w:val="21"/>
              </w:rPr>
              <w:t>签字会计师姓名</w:t>
            </w:r>
          </w:p>
        </w:tc>
        <w:tc>
          <w:tcPr>
            <w:tcW w:w="2355" w:type="pct"/>
            <w:vAlign w:val="center"/>
          </w:tcPr>
          <w:p>
            <w:pPr>
              <w:rPr>
                <w:szCs w:val="21"/>
              </w:rPr>
            </w:pPr>
            <w:r>
              <w:rPr>
                <w:rFonts w:hint="eastAsia"/>
                <w:szCs w:val="21"/>
              </w:rPr>
              <w:t>温永平</w:t>
            </w:r>
          </w:p>
        </w:tc>
      </w:tr>
      <w:tr>
        <w:trPr>
          <w:trHeight w:val="117"/>
        </w:trPr>
        <w:tc>
          <w:tcPr>
            <w:tcW w:w="1654" w:type="pct"/>
            <w:vMerge w:val="restart"/>
            <w:vAlign w:val="center"/>
          </w:tcPr>
          <w:p>
            <w:pPr>
              <w:pStyle w:val="affffffd"/>
            </w:pPr>
            <w:r>
              <w:rPr>
                <w:rFonts w:hint="eastAsia"/>
              </w:rPr>
              <w:t>法律顾问（</w:t>
            </w:r>
            <w:r>
              <w:t>A股）</w:t>
            </w:r>
          </w:p>
        </w:tc>
        <w:tc>
          <w:tcPr>
            <w:tcW w:w="991" w:type="pct"/>
            <w:vAlign w:val="center"/>
          </w:tcPr>
          <w:p>
            <w:pPr>
              <w:pStyle w:val="affffffd"/>
            </w:pPr>
            <w:r>
              <w:rPr>
                <w:rFonts w:hint="eastAsia"/>
              </w:rPr>
              <w:t>名称</w:t>
            </w:r>
          </w:p>
        </w:tc>
        <w:tc>
          <w:tcPr>
            <w:tcW w:w="2355" w:type="pct"/>
          </w:tcPr>
          <w:p>
            <w:pPr>
              <w:pStyle w:val="affffffd"/>
            </w:pPr>
            <w:r>
              <w:rPr>
                <w:rFonts w:hint="eastAsia"/>
              </w:rPr>
              <w:t>北京市金杜律师事务所</w:t>
            </w:r>
          </w:p>
        </w:tc>
      </w:tr>
      <w:tr>
        <w:trPr>
          <w:trHeight w:val="117"/>
        </w:trPr>
        <w:tc>
          <w:tcPr>
            <w:tcW w:w="1654" w:type="pct"/>
            <w:vMerge/>
            <w:vAlign w:val="center"/>
          </w:tcPr>
          <w:p>
            <w:pPr>
              <w:pStyle w:val="affffffd"/>
            </w:pPr>
          </w:p>
        </w:tc>
        <w:tc>
          <w:tcPr>
            <w:tcW w:w="991" w:type="pct"/>
            <w:vAlign w:val="center"/>
          </w:tcPr>
          <w:p>
            <w:pPr>
              <w:pStyle w:val="affffffd"/>
            </w:pPr>
            <w:r>
              <w:rPr>
                <w:rFonts w:hint="eastAsia"/>
              </w:rPr>
              <w:t>办公地址</w:t>
            </w:r>
          </w:p>
        </w:tc>
        <w:tc>
          <w:tcPr>
            <w:tcW w:w="2355" w:type="pct"/>
          </w:tcPr>
          <w:p>
            <w:pPr>
              <w:pStyle w:val="affffffd"/>
            </w:pPr>
            <w:r>
              <w:rPr>
                <w:rFonts w:hint="eastAsia"/>
              </w:rPr>
              <w:t>北京市朝阳区东三环中路</w:t>
            </w:r>
            <w:r>
              <w:t>1号1幢环球金融中心办公楼东楼17-18层</w:t>
            </w:r>
          </w:p>
        </w:tc>
      </w:tr>
      <w:tr>
        <w:trPr>
          <w:trHeight w:val="117"/>
        </w:trPr>
        <w:tc>
          <w:tcPr>
            <w:tcW w:w="1654" w:type="pct"/>
            <w:vMerge w:val="restart"/>
            <w:vAlign w:val="center"/>
          </w:tcPr>
          <w:p>
            <w:pPr>
              <w:pStyle w:val="affffffd"/>
            </w:pPr>
            <w:r>
              <w:rPr>
                <w:rFonts w:hint="eastAsia"/>
              </w:rPr>
              <w:t>法律顾问（</w:t>
            </w:r>
            <w:r>
              <w:t>H股）</w:t>
            </w:r>
          </w:p>
        </w:tc>
        <w:tc>
          <w:tcPr>
            <w:tcW w:w="991" w:type="pct"/>
            <w:vAlign w:val="center"/>
          </w:tcPr>
          <w:p>
            <w:pPr>
              <w:pStyle w:val="affffffd"/>
            </w:pPr>
            <w:r>
              <w:rPr>
                <w:rFonts w:hint="eastAsia"/>
              </w:rPr>
              <w:t>名称</w:t>
            </w:r>
          </w:p>
        </w:tc>
        <w:tc>
          <w:tcPr>
            <w:tcW w:w="2355" w:type="pct"/>
          </w:tcPr>
          <w:p>
            <w:pPr>
              <w:pStyle w:val="affffffd"/>
            </w:pPr>
            <w:r>
              <w:rPr>
                <w:rFonts w:hint="eastAsia"/>
              </w:rPr>
              <w:t>贝克·麦坚时律师事务所</w:t>
            </w:r>
          </w:p>
        </w:tc>
      </w:tr>
      <w:tr>
        <w:trPr>
          <w:trHeight w:val="117"/>
        </w:trPr>
        <w:tc>
          <w:tcPr>
            <w:tcW w:w="1654" w:type="pct"/>
            <w:vMerge/>
            <w:vAlign w:val="center"/>
          </w:tcPr>
          <w:p>
            <w:pPr>
              <w:pStyle w:val="affffffd"/>
            </w:pPr>
          </w:p>
        </w:tc>
        <w:tc>
          <w:tcPr>
            <w:tcW w:w="991" w:type="pct"/>
            <w:vAlign w:val="center"/>
          </w:tcPr>
          <w:p>
            <w:pPr>
              <w:pStyle w:val="affffffd"/>
            </w:pPr>
            <w:r>
              <w:rPr>
                <w:rFonts w:hint="eastAsia"/>
              </w:rPr>
              <w:t>办公地址</w:t>
            </w:r>
          </w:p>
        </w:tc>
        <w:tc>
          <w:tcPr>
            <w:tcW w:w="2355" w:type="pct"/>
          </w:tcPr>
          <w:p>
            <w:pPr>
              <w:pStyle w:val="affffffd"/>
            </w:pPr>
            <w:r>
              <w:rPr>
                <w:rFonts w:hint="eastAsia"/>
              </w:rPr>
              <w:t>香港鲗鱼涌英皇道</w:t>
            </w:r>
            <w:r>
              <w:t>979号太古坊一座14楼</w:t>
            </w:r>
          </w:p>
        </w:tc>
      </w:tr>
      <w:tr>
        <w:trPr>
          <w:trHeight w:val="117"/>
        </w:trPr>
        <w:tc>
          <w:tcPr>
            <w:tcW w:w="1654" w:type="pct"/>
            <w:vMerge w:val="restart"/>
            <w:vAlign w:val="center"/>
          </w:tcPr>
          <w:p>
            <w:pPr>
              <w:pStyle w:val="affffffd"/>
            </w:pPr>
            <w:r>
              <w:rPr>
                <w:rFonts w:hint="eastAsia"/>
              </w:rPr>
              <w:t>上海股份过户登记处</w:t>
            </w:r>
          </w:p>
        </w:tc>
        <w:tc>
          <w:tcPr>
            <w:tcW w:w="991" w:type="pct"/>
            <w:vAlign w:val="center"/>
          </w:tcPr>
          <w:p>
            <w:pPr>
              <w:pStyle w:val="affffffd"/>
            </w:pPr>
            <w:r>
              <w:t>名称</w:t>
            </w:r>
          </w:p>
        </w:tc>
        <w:tc>
          <w:tcPr>
            <w:tcW w:w="2355" w:type="pct"/>
          </w:tcPr>
          <w:p>
            <w:pPr>
              <w:pStyle w:val="affffffd"/>
            </w:pPr>
            <w:r>
              <w:rPr>
                <w:rFonts w:hint="eastAsia"/>
              </w:rPr>
              <w:t>中国证券登记结算有限责任公司上海分公司</w:t>
            </w:r>
          </w:p>
        </w:tc>
      </w:tr>
      <w:tr>
        <w:trPr>
          <w:trHeight w:val="117"/>
        </w:trPr>
        <w:tc>
          <w:tcPr>
            <w:tcW w:w="1654" w:type="pct"/>
            <w:vMerge/>
            <w:vAlign w:val="center"/>
          </w:tcPr>
          <w:p>
            <w:pPr>
              <w:pStyle w:val="affffffd"/>
            </w:pPr>
          </w:p>
        </w:tc>
        <w:tc>
          <w:tcPr>
            <w:tcW w:w="991" w:type="pct"/>
            <w:vAlign w:val="center"/>
          </w:tcPr>
          <w:p>
            <w:pPr>
              <w:pStyle w:val="affffffd"/>
            </w:pPr>
            <w:r>
              <w:t>办公地址</w:t>
            </w:r>
          </w:p>
        </w:tc>
        <w:tc>
          <w:tcPr>
            <w:tcW w:w="2355" w:type="pct"/>
          </w:tcPr>
          <w:p>
            <w:pPr>
              <w:pStyle w:val="affffffd"/>
            </w:pPr>
            <w:r>
              <w:rPr>
                <w:rFonts w:hint="eastAsia"/>
              </w:rPr>
              <w:t>上海市浦东新区杨高南路</w:t>
            </w:r>
            <w:r>
              <w:t>188号</w:t>
            </w:r>
          </w:p>
        </w:tc>
      </w:tr>
      <w:tr>
        <w:trPr>
          <w:trHeight w:val="117"/>
        </w:trPr>
        <w:tc>
          <w:tcPr>
            <w:tcW w:w="1654" w:type="pct"/>
            <w:vMerge w:val="restart"/>
            <w:vAlign w:val="center"/>
          </w:tcPr>
          <w:p>
            <w:pPr>
              <w:pStyle w:val="affffffd"/>
            </w:pPr>
            <w:r>
              <w:rPr>
                <w:rFonts w:hint="eastAsia"/>
              </w:rPr>
              <w:t>香港过户登记处</w:t>
            </w:r>
          </w:p>
        </w:tc>
        <w:tc>
          <w:tcPr>
            <w:tcW w:w="991" w:type="pct"/>
            <w:vAlign w:val="center"/>
          </w:tcPr>
          <w:p>
            <w:pPr>
              <w:pStyle w:val="affffffd"/>
            </w:pPr>
            <w:r>
              <w:t>名称</w:t>
            </w:r>
          </w:p>
        </w:tc>
        <w:tc>
          <w:tcPr>
            <w:tcW w:w="2355" w:type="pct"/>
          </w:tcPr>
          <w:p>
            <w:pPr>
              <w:pStyle w:val="affffffd"/>
            </w:pPr>
            <w:r>
              <w:rPr>
                <w:rFonts w:hint="eastAsia"/>
              </w:rPr>
              <w:t>香港中央证券登记有限公司</w:t>
            </w:r>
          </w:p>
        </w:tc>
      </w:tr>
      <w:tr>
        <w:trPr>
          <w:trHeight w:val="117"/>
        </w:trPr>
        <w:tc>
          <w:tcPr>
            <w:tcW w:w="1654" w:type="pct"/>
            <w:vMerge/>
            <w:vAlign w:val="center"/>
          </w:tcPr>
          <w:p>
            <w:pPr>
              <w:pStyle w:val="affffffd"/>
            </w:pPr>
          </w:p>
        </w:tc>
        <w:tc>
          <w:tcPr>
            <w:tcW w:w="991" w:type="pct"/>
            <w:vAlign w:val="center"/>
          </w:tcPr>
          <w:p>
            <w:pPr>
              <w:pStyle w:val="affffffd"/>
            </w:pPr>
            <w:r>
              <w:t>办公地址</w:t>
            </w:r>
          </w:p>
        </w:tc>
        <w:tc>
          <w:tcPr>
            <w:tcW w:w="2355" w:type="pct"/>
          </w:tcPr>
          <w:p>
            <w:pPr>
              <w:pStyle w:val="affffffd"/>
            </w:pPr>
            <w:r>
              <w:rPr>
                <w:rFonts w:hint="eastAsia"/>
              </w:rPr>
              <w:t>香港湾仔皇后大道东</w:t>
            </w:r>
            <w:r>
              <w:t>183号合和中心17楼1712至1716号铺</w:t>
            </w:r>
          </w:p>
        </w:tc>
      </w:tr>
      <w:tr>
        <w:trPr>
          <w:trHeight w:val="117"/>
        </w:trPr>
        <w:tc>
          <w:tcPr>
            <w:tcW w:w="1654" w:type="pct"/>
            <w:vMerge w:val="restart"/>
            <w:vAlign w:val="center"/>
          </w:tcPr>
          <w:p>
            <w:pPr>
              <w:pStyle w:val="affffffd"/>
            </w:pPr>
            <w:r>
              <w:rPr>
                <w:rFonts w:hint="eastAsia"/>
              </w:rPr>
              <w:t>公司香港联络处</w:t>
            </w:r>
          </w:p>
        </w:tc>
        <w:tc>
          <w:tcPr>
            <w:tcW w:w="991" w:type="pct"/>
            <w:vAlign w:val="center"/>
          </w:tcPr>
          <w:p>
            <w:pPr>
              <w:pStyle w:val="affffffd"/>
            </w:pPr>
            <w:r>
              <w:rPr>
                <w:rFonts w:hint="eastAsia"/>
              </w:rPr>
              <w:t>办公地址</w:t>
            </w:r>
          </w:p>
        </w:tc>
        <w:tc>
          <w:tcPr>
            <w:tcW w:w="2355" w:type="pct"/>
          </w:tcPr>
          <w:p>
            <w:pPr>
              <w:pStyle w:val="affffffd"/>
            </w:pPr>
            <w:r>
              <w:rPr>
                <w:rFonts w:hint="eastAsia"/>
              </w:rPr>
              <w:t>香港湾仔皇后大道东</w:t>
            </w:r>
            <w:r>
              <w:t>248号大新金融中心40楼</w:t>
            </w:r>
          </w:p>
        </w:tc>
      </w:tr>
      <w:tr>
        <w:trPr>
          <w:trHeight w:val="117"/>
        </w:trPr>
        <w:tc>
          <w:tcPr>
            <w:tcW w:w="1654" w:type="pct"/>
            <w:vMerge/>
            <w:vAlign w:val="center"/>
          </w:tcPr>
          <w:p>
            <w:pPr>
              <w:pStyle w:val="affffffd"/>
            </w:pPr>
          </w:p>
        </w:tc>
        <w:tc>
          <w:tcPr>
            <w:tcW w:w="991" w:type="pct"/>
            <w:vAlign w:val="center"/>
          </w:tcPr>
          <w:p>
            <w:pPr>
              <w:pStyle w:val="affffffd"/>
            </w:pPr>
            <w:r>
              <w:rPr>
                <w:rFonts w:hint="eastAsia"/>
              </w:rPr>
              <w:t>联系人</w:t>
            </w:r>
          </w:p>
        </w:tc>
        <w:tc>
          <w:tcPr>
            <w:tcW w:w="2355" w:type="pct"/>
          </w:tcPr>
          <w:p>
            <w:pPr>
              <w:pStyle w:val="affffffd"/>
            </w:pPr>
            <w:r>
              <w:rPr>
                <w:rFonts w:hint="eastAsia"/>
              </w:rPr>
              <w:t>黄伟超</w:t>
            </w:r>
          </w:p>
        </w:tc>
      </w:tr>
      <w:tr>
        <w:trPr>
          <w:trHeight w:val="117"/>
        </w:trPr>
        <w:tc>
          <w:tcPr>
            <w:tcW w:w="1654" w:type="pct"/>
            <w:vMerge/>
            <w:vAlign w:val="center"/>
          </w:tcPr>
          <w:p>
            <w:pPr>
              <w:pStyle w:val="affffffd"/>
            </w:pPr>
          </w:p>
        </w:tc>
        <w:tc>
          <w:tcPr>
            <w:tcW w:w="991" w:type="pct"/>
            <w:vAlign w:val="center"/>
          </w:tcPr>
          <w:p>
            <w:pPr>
              <w:pStyle w:val="affffffd"/>
            </w:pPr>
            <w:r>
              <w:rPr>
                <w:rFonts w:hint="eastAsia"/>
              </w:rPr>
              <w:t>电话</w:t>
            </w:r>
          </w:p>
        </w:tc>
        <w:tc>
          <w:tcPr>
            <w:tcW w:w="2355" w:type="pct"/>
          </w:tcPr>
          <w:p>
            <w:pPr>
              <w:pStyle w:val="affffffd"/>
            </w:pPr>
            <w:r>
              <w:rPr>
                <w:rFonts w:hint="eastAsia"/>
              </w:rPr>
              <w:t>（</w:t>
            </w:r>
            <w:r>
              <w:t>852）3912 0800</w:t>
            </w:r>
          </w:p>
        </w:tc>
      </w:tr>
      <w:tr>
        <w:trPr>
          <w:trHeight w:val="117"/>
        </w:trPr>
        <w:tc>
          <w:tcPr>
            <w:tcW w:w="1654" w:type="pct"/>
            <w:vMerge/>
          </w:tcPr>
          <w:p>
            <w:pPr>
              <w:pStyle w:val="affffffd"/>
            </w:pPr>
          </w:p>
        </w:tc>
        <w:tc>
          <w:tcPr>
            <w:tcW w:w="991" w:type="pct"/>
            <w:vAlign w:val="center"/>
          </w:tcPr>
          <w:p>
            <w:pPr>
              <w:pStyle w:val="affffffd"/>
            </w:pPr>
            <w:r>
              <w:rPr>
                <w:rFonts w:hint="eastAsia"/>
              </w:rPr>
              <w:t>传真</w:t>
            </w:r>
          </w:p>
        </w:tc>
        <w:tc>
          <w:tcPr>
            <w:tcW w:w="2355" w:type="pct"/>
          </w:tcPr>
          <w:p>
            <w:pPr>
              <w:pStyle w:val="affffffd"/>
            </w:pPr>
            <w:r>
              <w:rPr>
                <w:rFonts w:hint="eastAsia"/>
              </w:rPr>
              <w:t>（</w:t>
            </w:r>
            <w:r>
              <w:t>852）3912 0801</w:t>
            </w:r>
          </w:p>
        </w:tc>
      </w:tr>
    </w:tbl>
    <w:p>
      <w:pPr>
        <w:pStyle w:val="affffffd"/>
      </w:pPr>
    </w:p>
    <w:p>
      <w:pPr>
        <w:pStyle w:val="2"/>
        <w:numPr>
          <w:ilvl w:val="1"/>
          <w:numId w:val="4"/>
        </w:numPr>
        <w:ind w:left="498" w:hangingChars="236" w:hanging="498"/>
        <w:rPr>
          <w:u w:val="single"/>
        </w:rPr>
      </w:pPr>
      <w:bookmarkStart w:id="21" w:name="_Toc342056397"/>
      <w:bookmarkStart w:id="22" w:name="_Toc342565889"/>
      <w:r>
        <w:rPr>
          <w:rFonts w:hint="eastAsia"/>
        </w:rPr>
        <w:t>近三年主要会计数据和财务指标</w:t>
      </w:r>
      <w:bookmarkEnd w:id="21"/>
      <w:bookmarkEnd w:id="22"/>
    </w:p>
    <w:p>
      <w:pPr>
        <w:pStyle w:val="3"/>
        <w:numPr>
          <w:ilvl w:val="1"/>
          <w:numId w:val="2"/>
        </w:numPr>
      </w:pPr>
      <w:bookmarkStart w:id="23" w:name="_Hlk192239543"/>
      <w:r>
        <w:rPr>
          <w:rFonts w:hint="eastAsia"/>
        </w:rPr>
        <w:t>主要会计数据</w:t>
      </w:r>
    </w:p>
    <w:p>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7088510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15005404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ff7"/>
        <w:tblW w:w="5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9"/>
        <w:gridCol w:w="1371"/>
        <w:gridCol w:w="1371"/>
        <w:gridCol w:w="1371"/>
        <w:gridCol w:w="956"/>
        <w:gridCol w:w="1419"/>
        <w:gridCol w:w="1415"/>
      </w:tblGrid>
      <w:tr>
        <w:trPr>
          <w:trHeight w:val="409"/>
          <w:jc w:val="center"/>
        </w:trPr>
        <w:sdt>
          <w:sdtPr>
            <w:tag w:val="_PLD_fff44820de414373a75fb70cbf2af0b0"/>
            <w:id w:val="744995542"/>
          </w:sdtPr>
          <w:sdtContent>
            <w:tc>
              <w:tcPr>
                <w:tcW w:w="1179" w:type="pct"/>
                <w:vMerge w:val="restart"/>
                <w:vAlign w:val="center"/>
              </w:tcPr>
              <w:p>
                <w:pPr>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5660e2f873534d9bb6df13aaf36f1007"/>
            <w:id w:val="88272586"/>
          </w:sdtPr>
          <w:sdtContent>
            <w:tc>
              <w:tcPr>
                <w:tcW w:w="663" w:type="pct"/>
                <w:vMerge w:val="restart"/>
                <w:vAlign w:val="center"/>
              </w:tcPr>
              <w:p>
                <w:pPr>
                  <w:kinsoku w:val="0"/>
                  <w:overflowPunct w:val="0"/>
                  <w:autoSpaceDE w:val="0"/>
                  <w:autoSpaceDN w:val="0"/>
                  <w:adjustRightInd w:val="0"/>
                  <w:snapToGrid w:val="0"/>
                  <w:jc w:val="center"/>
                  <w:rPr>
                    <w:szCs w:val="21"/>
                  </w:rPr>
                </w:pPr>
                <w:r>
                  <w:rPr>
                    <w:rFonts w:hint="eastAsia"/>
                    <w:szCs w:val="21"/>
                  </w:rPr>
                  <w:t>2024年</w:t>
                </w:r>
              </w:p>
            </w:tc>
          </w:sdtContent>
        </w:sdt>
        <w:sdt>
          <w:sdtPr>
            <w:tag w:val="_PLD_35c8944b2ec84dd7a07dfbd2f24dab65"/>
            <w:id w:val="784081645"/>
          </w:sdtPr>
          <w:sdtContent>
            <w:tc>
              <w:tcPr>
                <w:tcW w:w="1326" w:type="pct"/>
                <w:gridSpan w:val="2"/>
                <w:vAlign w:val="center"/>
              </w:tcPr>
              <w:p>
                <w:pPr>
                  <w:kinsoku w:val="0"/>
                  <w:overflowPunct w:val="0"/>
                  <w:autoSpaceDE w:val="0"/>
                  <w:autoSpaceDN w:val="0"/>
                  <w:adjustRightInd w:val="0"/>
                  <w:snapToGrid w:val="0"/>
                  <w:jc w:val="center"/>
                  <w:rPr>
                    <w:szCs w:val="21"/>
                  </w:rPr>
                </w:pPr>
                <w:r>
                  <w:rPr>
                    <w:rFonts w:hint="eastAsia"/>
                    <w:szCs w:val="21"/>
                  </w:rPr>
                  <w:t>2023年</w:t>
                </w:r>
              </w:p>
            </w:tc>
          </w:sdtContent>
        </w:sdt>
        <w:sdt>
          <w:sdtPr>
            <w:tag w:val="_PLD_583df07a088a4940ae6cf5c51744af19"/>
            <w:id w:val="1031230328"/>
          </w:sdtPr>
          <w:sdtContent>
            <w:tc>
              <w:tcPr>
                <w:tcW w:w="462" w:type="pct"/>
                <w:vMerge w:val="restart"/>
                <w:vAlign w:val="center"/>
              </w:tcPr>
              <w:p>
                <w:pPr>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edf90a7d6f3a41d99bbbb81245a79f6d"/>
            <w:id w:val="1913036868"/>
          </w:sdtPr>
          <w:sdtContent>
            <w:tc>
              <w:tcPr>
                <w:tcW w:w="1370" w:type="pct"/>
                <w:gridSpan w:val="2"/>
                <w:vAlign w:val="center"/>
              </w:tcPr>
              <w:p>
                <w:pPr>
                  <w:kinsoku w:val="0"/>
                  <w:overflowPunct w:val="0"/>
                  <w:autoSpaceDE w:val="0"/>
                  <w:autoSpaceDN w:val="0"/>
                  <w:adjustRightInd w:val="0"/>
                  <w:snapToGrid w:val="0"/>
                  <w:jc w:val="center"/>
                  <w:rPr>
                    <w:szCs w:val="21"/>
                  </w:rPr>
                </w:pPr>
                <w:r>
                  <w:rPr>
                    <w:rFonts w:hint="eastAsia"/>
                    <w:szCs w:val="21"/>
                  </w:rPr>
                  <w:t>2022年</w:t>
                </w:r>
              </w:p>
            </w:tc>
          </w:sdtContent>
        </w:sdt>
      </w:tr>
      <w:tr>
        <w:trPr>
          <w:trHeight w:val="285"/>
          <w:jc w:val="center"/>
        </w:trPr>
        <w:tc>
          <w:tcPr>
            <w:tcW w:w="1179" w:type="pct"/>
            <w:vMerge/>
            <w:vAlign w:val="center"/>
          </w:tcPr>
          <w:p>
            <w:pPr>
              <w:kinsoku w:val="0"/>
              <w:overflowPunct w:val="0"/>
              <w:autoSpaceDE w:val="0"/>
              <w:autoSpaceDN w:val="0"/>
              <w:adjustRightInd w:val="0"/>
              <w:snapToGrid w:val="0"/>
              <w:jc w:val="center"/>
              <w:rPr>
                <w:szCs w:val="21"/>
              </w:rPr>
            </w:pPr>
          </w:p>
        </w:tc>
        <w:tc>
          <w:tcPr>
            <w:tcW w:w="663" w:type="pct"/>
            <w:vMerge/>
            <w:vAlign w:val="center"/>
          </w:tcPr>
          <w:p>
            <w:pPr>
              <w:kinsoku w:val="0"/>
              <w:overflowPunct w:val="0"/>
              <w:autoSpaceDE w:val="0"/>
              <w:autoSpaceDN w:val="0"/>
              <w:adjustRightInd w:val="0"/>
              <w:snapToGrid w:val="0"/>
              <w:jc w:val="center"/>
              <w:rPr>
                <w:szCs w:val="21"/>
              </w:rPr>
            </w:pPr>
          </w:p>
        </w:tc>
        <w:sdt>
          <w:sdtPr>
            <w:tag w:val="_PLD_b03487562c5a4780869d0645d00e4bbb"/>
            <w:id w:val="-1098253959"/>
          </w:sdtPr>
          <w:sdtContent>
            <w:tc>
              <w:tcPr>
                <w:tcW w:w="663" w:type="pct"/>
                <w:vAlign w:val="center"/>
              </w:tcPr>
              <w:p>
                <w:pPr>
                  <w:kinsoku w:val="0"/>
                  <w:overflowPunct w:val="0"/>
                  <w:autoSpaceDE w:val="0"/>
                  <w:autoSpaceDN w:val="0"/>
                  <w:adjustRightInd w:val="0"/>
                  <w:snapToGrid w:val="0"/>
                  <w:jc w:val="center"/>
                  <w:rPr>
                    <w:szCs w:val="21"/>
                  </w:rPr>
                </w:pPr>
                <w:r>
                  <w:rPr>
                    <w:rFonts w:hint="eastAsia"/>
                    <w:szCs w:val="21"/>
                  </w:rPr>
                  <w:t>调整后</w:t>
                </w:r>
              </w:p>
            </w:tc>
          </w:sdtContent>
        </w:sdt>
        <w:sdt>
          <w:sdtPr>
            <w:tag w:val="_PLD_d0d8cd2f11004c2e9d9e3e62579bd79d"/>
            <w:id w:val="-25183822"/>
          </w:sdtPr>
          <w:sdtContent>
            <w:tc>
              <w:tcPr>
                <w:tcW w:w="663" w:type="pct"/>
                <w:vAlign w:val="center"/>
              </w:tcPr>
              <w:p>
                <w:pPr>
                  <w:kinsoku w:val="0"/>
                  <w:overflowPunct w:val="0"/>
                  <w:autoSpaceDE w:val="0"/>
                  <w:autoSpaceDN w:val="0"/>
                  <w:adjustRightInd w:val="0"/>
                  <w:snapToGrid w:val="0"/>
                  <w:jc w:val="center"/>
                  <w:rPr>
                    <w:szCs w:val="21"/>
                  </w:rPr>
                </w:pPr>
                <w:r>
                  <w:rPr>
                    <w:rFonts w:hint="eastAsia"/>
                    <w:szCs w:val="21"/>
                  </w:rPr>
                  <w:t>调整前</w:t>
                </w:r>
              </w:p>
            </w:tc>
          </w:sdtContent>
        </w:sdt>
        <w:tc>
          <w:tcPr>
            <w:tcW w:w="462" w:type="pct"/>
            <w:vMerge/>
            <w:vAlign w:val="center"/>
          </w:tcPr>
          <w:p>
            <w:pPr>
              <w:kinsoku w:val="0"/>
              <w:overflowPunct w:val="0"/>
              <w:autoSpaceDE w:val="0"/>
              <w:autoSpaceDN w:val="0"/>
              <w:adjustRightInd w:val="0"/>
              <w:snapToGrid w:val="0"/>
              <w:jc w:val="center"/>
              <w:rPr>
                <w:szCs w:val="21"/>
              </w:rPr>
            </w:pPr>
          </w:p>
        </w:tc>
        <w:sdt>
          <w:sdtPr>
            <w:tag w:val="_PLD_dce37bb9485d446f92500166831b0f20"/>
            <w:id w:val="1282916021"/>
          </w:sdtPr>
          <w:sdtContent>
            <w:tc>
              <w:tcPr>
                <w:tcW w:w="686" w:type="pct"/>
                <w:vAlign w:val="center"/>
              </w:tcPr>
              <w:p>
                <w:pPr>
                  <w:kinsoku w:val="0"/>
                  <w:overflowPunct w:val="0"/>
                  <w:autoSpaceDE w:val="0"/>
                  <w:autoSpaceDN w:val="0"/>
                  <w:adjustRightInd w:val="0"/>
                  <w:snapToGrid w:val="0"/>
                  <w:jc w:val="center"/>
                  <w:rPr>
                    <w:szCs w:val="21"/>
                  </w:rPr>
                </w:pPr>
                <w:r>
                  <w:rPr>
                    <w:rFonts w:hint="eastAsia"/>
                    <w:szCs w:val="21"/>
                  </w:rPr>
                  <w:t>调整后</w:t>
                </w:r>
              </w:p>
            </w:tc>
          </w:sdtContent>
        </w:sdt>
        <w:sdt>
          <w:sdtPr>
            <w:tag w:val="_PLD_ab84bbd7163a4789942bff3e5bb6438a"/>
            <w:id w:val="2037387788"/>
          </w:sdtPr>
          <w:sdtContent>
            <w:tc>
              <w:tcPr>
                <w:tcW w:w="684" w:type="pct"/>
                <w:vAlign w:val="center"/>
              </w:tcPr>
              <w:p>
                <w:pPr>
                  <w:kinsoku w:val="0"/>
                  <w:overflowPunct w:val="0"/>
                  <w:autoSpaceDE w:val="0"/>
                  <w:autoSpaceDN w:val="0"/>
                  <w:adjustRightInd w:val="0"/>
                  <w:snapToGrid w:val="0"/>
                  <w:jc w:val="center"/>
                  <w:rPr>
                    <w:szCs w:val="21"/>
                  </w:rPr>
                </w:pPr>
                <w:r>
                  <w:rPr>
                    <w:rFonts w:hint="eastAsia"/>
                    <w:szCs w:val="21"/>
                  </w:rPr>
                  <w:t>调整前</w:t>
                </w:r>
              </w:p>
            </w:tc>
          </w:sdtContent>
        </w:sdt>
      </w:tr>
      <w:tr>
        <w:trPr>
          <w:trHeight w:val="285"/>
          <w:jc w:val="center"/>
        </w:trPr>
        <w:tc>
          <w:tcPr>
            <w:tcW w:w="1179" w:type="pct"/>
            <w:vAlign w:val="center"/>
          </w:tcPr>
          <w:p>
            <w:pPr>
              <w:kinsoku w:val="0"/>
              <w:overflowPunct w:val="0"/>
              <w:autoSpaceDE w:val="0"/>
              <w:autoSpaceDN w:val="0"/>
              <w:adjustRightInd w:val="0"/>
              <w:snapToGrid w:val="0"/>
              <w:jc w:val="both"/>
              <w:rPr>
                <w:szCs w:val="21"/>
              </w:rPr>
            </w:pPr>
            <w:r>
              <w:rPr>
                <w:rFonts w:hint="eastAsia"/>
                <w:szCs w:val="21"/>
              </w:rPr>
              <w:t>营业收入</w:t>
            </w:r>
          </w:p>
        </w:tc>
        <w:tc>
          <w:tcPr>
            <w:tcW w:w="663" w:type="pct"/>
            <w:vAlign w:val="center"/>
          </w:tcPr>
          <w:p>
            <w:pPr>
              <w:jc w:val="right"/>
            </w:pPr>
            <w:r>
              <w:t xml:space="preserve">139,124,434 </w:t>
            </w:r>
          </w:p>
        </w:tc>
        <w:tc>
          <w:tcPr>
            <w:tcW w:w="663" w:type="pct"/>
            <w:vAlign w:val="center"/>
          </w:tcPr>
          <w:p>
            <w:pPr>
              <w:jc w:val="right"/>
            </w:pPr>
            <w:r>
              <w:t xml:space="preserve">150,067,937 </w:t>
            </w:r>
          </w:p>
        </w:tc>
        <w:tc>
          <w:tcPr>
            <w:tcW w:w="663" w:type="pct"/>
            <w:vAlign w:val="center"/>
          </w:tcPr>
          <w:p>
            <w:pPr>
              <w:jc w:val="right"/>
            </w:pPr>
            <w:r>
              <w:t xml:space="preserve">150,024,860 </w:t>
            </w:r>
          </w:p>
        </w:tc>
        <w:tc>
          <w:tcPr>
            <w:tcW w:w="462" w:type="pct"/>
            <w:vAlign w:val="center"/>
          </w:tcPr>
          <w:p>
            <w:pPr>
              <w:jc w:val="right"/>
            </w:pPr>
            <w:r>
              <w:t xml:space="preserve">-7.29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225,030,276 </w:t>
            </w:r>
          </w:p>
        </w:tc>
        <w:tc>
          <w:tcPr>
            <w:tcW w:w="684" w:type="pct"/>
            <w:vAlign w:val="center"/>
          </w:tcPr>
          <w:p>
            <w:pPr>
              <w:jc w:val="right"/>
            </w:pPr>
            <w:r>
              <w:t xml:space="preserve">224,973,103 </w:t>
            </w:r>
          </w:p>
        </w:tc>
      </w:tr>
      <w:tr>
        <w:trPr>
          <w:trHeight w:val="285"/>
          <w:jc w:val="center"/>
        </w:trPr>
        <w:tc>
          <w:tcPr>
            <w:tcW w:w="1179" w:type="pct"/>
            <w:vAlign w:val="center"/>
          </w:tcPr>
          <w:p>
            <w:pPr>
              <w:kinsoku w:val="0"/>
              <w:overflowPunct w:val="0"/>
              <w:autoSpaceDE w:val="0"/>
              <w:autoSpaceDN w:val="0"/>
              <w:adjustRightInd w:val="0"/>
              <w:snapToGrid w:val="0"/>
              <w:jc w:val="both"/>
              <w:rPr>
                <w:szCs w:val="21"/>
              </w:rPr>
            </w:pPr>
            <w:r>
              <w:rPr>
                <w:rFonts w:hint="eastAsia"/>
                <w:szCs w:val="21"/>
              </w:rPr>
              <w:t>归属于上市公司股东的净利润</w:t>
            </w:r>
          </w:p>
        </w:tc>
        <w:tc>
          <w:tcPr>
            <w:tcW w:w="663" w:type="pct"/>
            <w:vAlign w:val="center"/>
          </w:tcPr>
          <w:p>
            <w:pPr>
              <w:jc w:val="right"/>
            </w:pPr>
            <w:r>
              <w:t xml:space="preserve">14,425,051 </w:t>
            </w:r>
          </w:p>
        </w:tc>
        <w:tc>
          <w:tcPr>
            <w:tcW w:w="663" w:type="pct"/>
            <w:vAlign w:val="center"/>
          </w:tcPr>
          <w:p>
            <w:pPr>
              <w:jc w:val="right"/>
            </w:pPr>
            <w:r>
              <w:t xml:space="preserve">20,143,947 </w:t>
            </w:r>
          </w:p>
        </w:tc>
        <w:tc>
          <w:tcPr>
            <w:tcW w:w="663" w:type="pct"/>
            <w:vAlign w:val="center"/>
          </w:tcPr>
          <w:p>
            <w:pPr>
              <w:jc w:val="right"/>
            </w:pPr>
            <w:r>
              <w:t xml:space="preserve">20,139,502 </w:t>
            </w:r>
          </w:p>
        </w:tc>
        <w:tc>
          <w:tcPr>
            <w:tcW w:w="462" w:type="pct"/>
            <w:vAlign w:val="center"/>
          </w:tcPr>
          <w:p>
            <w:pPr>
              <w:jc w:val="right"/>
            </w:pPr>
            <w:r>
              <w:t xml:space="preserve">-28.39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33,369,371 </w:t>
            </w:r>
          </w:p>
        </w:tc>
        <w:tc>
          <w:tcPr>
            <w:tcW w:w="684" w:type="pct"/>
            <w:vAlign w:val="center"/>
          </w:tcPr>
          <w:p>
            <w:pPr>
              <w:jc w:val="right"/>
            </w:pPr>
            <w:r>
              <w:t xml:space="preserve">33,356,920 </w:t>
            </w:r>
          </w:p>
        </w:tc>
      </w:tr>
      <w:tr>
        <w:trPr>
          <w:trHeight w:val="285"/>
          <w:jc w:val="center"/>
        </w:trPr>
        <w:tc>
          <w:tcPr>
            <w:tcW w:w="1179" w:type="pct"/>
            <w:vAlign w:val="center"/>
          </w:tcPr>
          <w:p>
            <w:pPr>
              <w:kinsoku w:val="0"/>
              <w:overflowPunct w:val="0"/>
              <w:autoSpaceDE w:val="0"/>
              <w:autoSpaceDN w:val="0"/>
              <w:adjustRightInd w:val="0"/>
              <w:snapToGrid w:val="0"/>
              <w:jc w:val="both"/>
              <w:rPr>
                <w:szCs w:val="21"/>
              </w:rPr>
            </w:pPr>
            <w:r>
              <w:rPr>
                <w:rFonts w:hint="eastAsia"/>
                <w:szCs w:val="21"/>
              </w:rPr>
              <w:t>归属于上市公司股东的扣除非经常性损益的净利润</w:t>
            </w:r>
          </w:p>
        </w:tc>
        <w:tc>
          <w:tcPr>
            <w:tcW w:w="663" w:type="pct"/>
            <w:vAlign w:val="center"/>
          </w:tcPr>
          <w:p>
            <w:pPr>
              <w:jc w:val="right"/>
            </w:pPr>
            <w:r>
              <w:t xml:space="preserve">13,890,617 </w:t>
            </w:r>
          </w:p>
        </w:tc>
        <w:tc>
          <w:tcPr>
            <w:tcW w:w="663" w:type="pct"/>
            <w:vAlign w:val="center"/>
          </w:tcPr>
          <w:p>
            <w:pPr>
              <w:jc w:val="right"/>
            </w:pPr>
            <w:r>
              <w:t xml:space="preserve">18,590,947 </w:t>
            </w:r>
          </w:p>
        </w:tc>
        <w:tc>
          <w:tcPr>
            <w:tcW w:w="663" w:type="pct"/>
            <w:vAlign w:val="center"/>
          </w:tcPr>
          <w:p>
            <w:pPr>
              <w:jc w:val="right"/>
            </w:pPr>
            <w:r>
              <w:t xml:space="preserve">18,590,947 </w:t>
            </w:r>
          </w:p>
        </w:tc>
        <w:tc>
          <w:tcPr>
            <w:tcW w:w="462" w:type="pct"/>
            <w:vAlign w:val="center"/>
          </w:tcPr>
          <w:p>
            <w:pPr>
              <w:jc w:val="right"/>
            </w:pPr>
            <w:r>
              <w:t xml:space="preserve">-25.28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30,282,809 </w:t>
            </w:r>
          </w:p>
        </w:tc>
        <w:tc>
          <w:tcPr>
            <w:tcW w:w="684" w:type="pct"/>
            <w:vAlign w:val="center"/>
          </w:tcPr>
          <w:p>
            <w:pPr>
              <w:jc w:val="right"/>
            </w:pPr>
            <w:r>
              <w:t xml:space="preserve">30,282,809 </w:t>
            </w:r>
          </w:p>
        </w:tc>
      </w:tr>
      <w:tr>
        <w:trPr>
          <w:trHeight w:val="285"/>
          <w:jc w:val="center"/>
        </w:trPr>
        <w:tc>
          <w:tcPr>
            <w:tcW w:w="1179" w:type="pct"/>
            <w:vAlign w:val="center"/>
          </w:tcPr>
          <w:p>
            <w:pPr>
              <w:kinsoku w:val="0"/>
              <w:overflowPunct w:val="0"/>
              <w:autoSpaceDE w:val="0"/>
              <w:autoSpaceDN w:val="0"/>
              <w:adjustRightInd w:val="0"/>
              <w:snapToGrid w:val="0"/>
              <w:jc w:val="both"/>
              <w:rPr>
                <w:szCs w:val="21"/>
                <w:highlight w:val="magenta"/>
              </w:rPr>
            </w:pPr>
            <w:r>
              <w:rPr>
                <w:rFonts w:hint="eastAsia"/>
                <w:szCs w:val="21"/>
              </w:rPr>
              <w:t>经营活动产生的现金流量净额</w:t>
            </w:r>
            <w:r>
              <w:rPr>
                <w:rFonts w:hint="eastAsia"/>
                <w:szCs w:val="21"/>
                <w:vertAlign w:val="superscript"/>
              </w:rPr>
              <w:t>③</w:t>
            </w:r>
          </w:p>
        </w:tc>
        <w:tc>
          <w:tcPr>
            <w:tcW w:w="663" w:type="pct"/>
            <w:vAlign w:val="center"/>
          </w:tcPr>
          <w:p>
            <w:pPr>
              <w:jc w:val="right"/>
            </w:pPr>
            <w:r>
              <w:t xml:space="preserve">22,341,926 </w:t>
            </w:r>
          </w:p>
        </w:tc>
        <w:tc>
          <w:tcPr>
            <w:tcW w:w="663" w:type="pct"/>
            <w:vAlign w:val="center"/>
          </w:tcPr>
          <w:p>
            <w:pPr>
              <w:jc w:val="right"/>
            </w:pPr>
            <w:r>
              <w:t xml:space="preserve">16,158,634 </w:t>
            </w:r>
          </w:p>
        </w:tc>
        <w:tc>
          <w:tcPr>
            <w:tcW w:w="663" w:type="pct"/>
            <w:vAlign w:val="center"/>
          </w:tcPr>
          <w:p>
            <w:pPr>
              <w:jc w:val="right"/>
            </w:pPr>
            <w:r>
              <w:t xml:space="preserve">16,167,858 </w:t>
            </w:r>
          </w:p>
        </w:tc>
        <w:tc>
          <w:tcPr>
            <w:tcW w:w="462" w:type="pct"/>
            <w:vAlign w:val="center"/>
          </w:tcPr>
          <w:p>
            <w:pPr>
              <w:jc w:val="right"/>
            </w:pPr>
            <w:r>
              <w:t xml:space="preserve">38.27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58,938,655</w:t>
            </w:r>
          </w:p>
        </w:tc>
        <w:tc>
          <w:tcPr>
            <w:tcW w:w="684" w:type="pct"/>
            <w:shd w:val="clear" w:color="auto" w:fill="auto"/>
            <w:vAlign w:val="center"/>
          </w:tcPr>
          <w:p>
            <w:pPr>
              <w:jc w:val="right"/>
            </w:pPr>
            <w:r>
              <w:t xml:space="preserve">58,919,830 </w:t>
            </w:r>
          </w:p>
        </w:tc>
      </w:tr>
      <w:tr>
        <w:trPr>
          <w:trHeight w:val="481"/>
          <w:jc w:val="center"/>
        </w:trPr>
        <w:tc>
          <w:tcPr>
            <w:tcW w:w="1179" w:type="pct"/>
            <w:vMerge w:val="restart"/>
            <w:tcBorders>
              <w:bottom w:val="single" w:sz="4" w:space="0" w:color="auto"/>
            </w:tcBorders>
            <w:vAlign w:val="center"/>
          </w:tcPr>
          <w:p>
            <w:pPr>
              <w:kinsoku w:val="0"/>
              <w:overflowPunct w:val="0"/>
              <w:autoSpaceDE w:val="0"/>
              <w:autoSpaceDN w:val="0"/>
              <w:adjustRightInd w:val="0"/>
              <w:snapToGrid w:val="0"/>
              <w:jc w:val="both"/>
              <w:rPr>
                <w:szCs w:val="21"/>
              </w:rPr>
            </w:pPr>
          </w:p>
        </w:tc>
        <w:sdt>
          <w:sdtPr>
            <w:tag w:val="_PLD_0d88b20780884c8f8b0a1f55e5d31f2e"/>
            <w:id w:val="-1679805903"/>
          </w:sdtPr>
          <w:sdtContent>
            <w:tc>
              <w:tcPr>
                <w:tcW w:w="663" w:type="pct"/>
                <w:vMerge w:val="restart"/>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2024年</w:t>
                </w:r>
                <w:r>
                  <w:rPr>
                    <w:szCs w:val="21"/>
                  </w:rPr>
                  <w:t>末</w:t>
                </w:r>
              </w:p>
            </w:tc>
          </w:sdtContent>
        </w:sdt>
        <w:sdt>
          <w:sdtPr>
            <w:tag w:val="_PLD_1be51f12ae48471fa42c1f0a53451b67"/>
            <w:id w:val="-1080059246"/>
          </w:sdtPr>
          <w:sdtContent>
            <w:tc>
              <w:tcPr>
                <w:tcW w:w="1326" w:type="pct"/>
                <w:gridSpan w:val="2"/>
                <w:tcBorders>
                  <w:bottom w:val="single" w:sz="4" w:space="0" w:color="auto"/>
                </w:tcBorders>
                <w:shd w:val="clear" w:color="auto" w:fill="auto"/>
                <w:vAlign w:val="center"/>
              </w:tcPr>
              <w:p>
                <w:pPr>
                  <w:kinsoku w:val="0"/>
                  <w:overflowPunct w:val="0"/>
                  <w:autoSpaceDE w:val="0"/>
                  <w:autoSpaceDN w:val="0"/>
                  <w:adjustRightInd w:val="0"/>
                  <w:snapToGrid w:val="0"/>
                  <w:jc w:val="center"/>
                  <w:rPr>
                    <w:szCs w:val="21"/>
                  </w:rPr>
                </w:pPr>
                <w:r>
                  <w:rPr>
                    <w:rFonts w:hint="eastAsia"/>
                    <w:szCs w:val="21"/>
                  </w:rPr>
                  <w:t>2023年末</w:t>
                </w:r>
              </w:p>
            </w:tc>
          </w:sdtContent>
        </w:sdt>
        <w:sdt>
          <w:sdtPr>
            <w:tag w:val="_PLD_cae4a49474404cfba06bdf34c04fcba6"/>
            <w:id w:val="862938922"/>
          </w:sdtPr>
          <w:sdtContent>
            <w:tc>
              <w:tcPr>
                <w:tcW w:w="462" w:type="pct"/>
                <w:vMerge w:val="restart"/>
                <w:tcBorders>
                  <w:bottom w:val="single" w:sz="4" w:space="0" w:color="auto"/>
                </w:tcBorders>
                <w:vAlign w:val="center"/>
              </w:tcPr>
              <w:p>
                <w:pPr>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tag w:val="_PLD_4285f5ab2f284667927910bc2a0fd13f"/>
            <w:id w:val="9191214"/>
          </w:sdtPr>
          <w:sdtContent>
            <w:tc>
              <w:tcPr>
                <w:tcW w:w="1370" w:type="pct"/>
                <w:gridSpan w:val="2"/>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2022年末</w:t>
                </w:r>
              </w:p>
            </w:tc>
          </w:sdtContent>
        </w:sdt>
      </w:tr>
      <w:tr>
        <w:trPr>
          <w:trHeight w:val="338"/>
          <w:jc w:val="center"/>
        </w:trPr>
        <w:tc>
          <w:tcPr>
            <w:tcW w:w="1179" w:type="pct"/>
            <w:vMerge/>
            <w:tcBorders>
              <w:bottom w:val="single" w:sz="4" w:space="0" w:color="auto"/>
            </w:tcBorders>
            <w:vAlign w:val="center"/>
          </w:tcPr>
          <w:p>
            <w:pPr>
              <w:kinsoku w:val="0"/>
              <w:overflowPunct w:val="0"/>
              <w:autoSpaceDE w:val="0"/>
              <w:autoSpaceDN w:val="0"/>
              <w:adjustRightInd w:val="0"/>
              <w:snapToGrid w:val="0"/>
              <w:jc w:val="both"/>
              <w:rPr>
                <w:szCs w:val="21"/>
              </w:rPr>
            </w:pPr>
          </w:p>
        </w:tc>
        <w:tc>
          <w:tcPr>
            <w:tcW w:w="663" w:type="pct"/>
            <w:vMerge/>
            <w:tcBorders>
              <w:bottom w:val="single" w:sz="4" w:space="0" w:color="auto"/>
            </w:tcBorders>
            <w:vAlign w:val="center"/>
          </w:tcPr>
          <w:p>
            <w:pPr>
              <w:kinsoku w:val="0"/>
              <w:overflowPunct w:val="0"/>
              <w:autoSpaceDE w:val="0"/>
              <w:autoSpaceDN w:val="0"/>
              <w:adjustRightInd w:val="0"/>
              <w:snapToGrid w:val="0"/>
              <w:jc w:val="center"/>
              <w:rPr>
                <w:szCs w:val="21"/>
              </w:rPr>
            </w:pPr>
          </w:p>
        </w:tc>
        <w:sdt>
          <w:sdtPr>
            <w:tag w:val="_PLD_07c2b8b4f1c943ac9e2f1b3bd6866a46"/>
            <w:id w:val="698360797"/>
          </w:sdtPr>
          <w:sdtContent>
            <w:tc>
              <w:tcPr>
                <w:tcW w:w="663" w:type="pct"/>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调整后</w:t>
                </w:r>
              </w:p>
            </w:tc>
          </w:sdtContent>
        </w:sdt>
        <w:sdt>
          <w:sdtPr>
            <w:tag w:val="_PLD_4dc48658027a438e92392fbe0be3c314"/>
            <w:id w:val="780615113"/>
          </w:sdtPr>
          <w:sdtContent>
            <w:tc>
              <w:tcPr>
                <w:tcW w:w="663" w:type="pct"/>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调整前</w:t>
                </w:r>
              </w:p>
            </w:tc>
          </w:sdtContent>
        </w:sdt>
        <w:tc>
          <w:tcPr>
            <w:tcW w:w="462" w:type="pct"/>
            <w:vMerge/>
            <w:tcBorders>
              <w:bottom w:val="single" w:sz="4" w:space="0" w:color="auto"/>
            </w:tcBorders>
            <w:vAlign w:val="center"/>
          </w:tcPr>
          <w:p>
            <w:pPr>
              <w:kinsoku w:val="0"/>
              <w:overflowPunct w:val="0"/>
              <w:autoSpaceDE w:val="0"/>
              <w:autoSpaceDN w:val="0"/>
              <w:adjustRightInd w:val="0"/>
              <w:snapToGrid w:val="0"/>
              <w:jc w:val="center"/>
              <w:rPr>
                <w:szCs w:val="21"/>
              </w:rPr>
            </w:pPr>
          </w:p>
        </w:tc>
        <w:sdt>
          <w:sdtPr>
            <w:tag w:val="_PLD_5b052f7f26054fdab6999b7a61e0be4a"/>
            <w:id w:val="-1758595834"/>
          </w:sdtPr>
          <w:sdtContent>
            <w:tc>
              <w:tcPr>
                <w:tcW w:w="686" w:type="pct"/>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调整后</w:t>
                </w:r>
              </w:p>
            </w:tc>
          </w:sdtContent>
        </w:sdt>
        <w:sdt>
          <w:sdtPr>
            <w:tag w:val="_PLD_bffd6c17c399445aa2fb60a7726c4774"/>
            <w:id w:val="1135672406"/>
          </w:sdtPr>
          <w:sdtContent>
            <w:tc>
              <w:tcPr>
                <w:tcW w:w="684" w:type="pct"/>
                <w:tcBorders>
                  <w:bottom w:val="single" w:sz="4" w:space="0" w:color="auto"/>
                </w:tcBorders>
                <w:vAlign w:val="center"/>
              </w:tcPr>
              <w:p>
                <w:pPr>
                  <w:kinsoku w:val="0"/>
                  <w:overflowPunct w:val="0"/>
                  <w:autoSpaceDE w:val="0"/>
                  <w:autoSpaceDN w:val="0"/>
                  <w:adjustRightInd w:val="0"/>
                  <w:snapToGrid w:val="0"/>
                  <w:jc w:val="center"/>
                  <w:rPr>
                    <w:szCs w:val="21"/>
                  </w:rPr>
                </w:pPr>
                <w:r>
                  <w:rPr>
                    <w:rFonts w:hint="eastAsia"/>
                    <w:szCs w:val="21"/>
                  </w:rPr>
                  <w:t>调整前</w:t>
                </w:r>
              </w:p>
            </w:tc>
          </w:sdtContent>
        </w:sdt>
      </w:tr>
      <w:tr>
        <w:trPr>
          <w:trHeight w:val="285"/>
          <w:jc w:val="center"/>
        </w:trPr>
        <w:tc>
          <w:tcPr>
            <w:tcW w:w="1179" w:type="pct"/>
            <w:vAlign w:val="center"/>
          </w:tcPr>
          <w:p>
            <w:pPr>
              <w:kinsoku w:val="0"/>
              <w:overflowPunct w:val="0"/>
              <w:autoSpaceDE w:val="0"/>
              <w:autoSpaceDN w:val="0"/>
              <w:adjustRightInd w:val="0"/>
              <w:snapToGrid w:val="0"/>
              <w:jc w:val="both"/>
              <w:rPr>
                <w:szCs w:val="21"/>
              </w:rPr>
            </w:pPr>
            <w:r>
              <w:rPr>
                <w:rFonts w:hint="eastAsia"/>
                <w:szCs w:val="21"/>
              </w:rPr>
              <w:t>归属于上市公司股东的净资产</w:t>
            </w:r>
          </w:p>
        </w:tc>
        <w:tc>
          <w:tcPr>
            <w:tcW w:w="663" w:type="pct"/>
            <w:vAlign w:val="center"/>
          </w:tcPr>
          <w:p>
            <w:pPr>
              <w:jc w:val="right"/>
            </w:pPr>
            <w:r>
              <w:t xml:space="preserve">82,594,456 </w:t>
            </w:r>
          </w:p>
        </w:tc>
        <w:tc>
          <w:tcPr>
            <w:tcW w:w="663" w:type="pct"/>
            <w:vAlign w:val="center"/>
          </w:tcPr>
          <w:p>
            <w:pPr>
              <w:jc w:val="right"/>
            </w:pPr>
            <w:r>
              <w:t xml:space="preserve">72,827,965 </w:t>
            </w:r>
          </w:p>
        </w:tc>
        <w:tc>
          <w:tcPr>
            <w:tcW w:w="663" w:type="pct"/>
            <w:vAlign w:val="center"/>
          </w:tcPr>
          <w:p>
            <w:pPr>
              <w:jc w:val="right"/>
            </w:pPr>
            <w:r>
              <w:t xml:space="preserve">72,693,902 </w:t>
            </w:r>
          </w:p>
        </w:tc>
        <w:tc>
          <w:tcPr>
            <w:tcW w:w="462" w:type="pct"/>
            <w:vAlign w:val="center"/>
          </w:tcPr>
          <w:p>
            <w:pPr>
              <w:jc w:val="right"/>
            </w:pPr>
            <w:r>
              <w:t xml:space="preserve">13.41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99,981,259 </w:t>
            </w:r>
          </w:p>
        </w:tc>
        <w:tc>
          <w:tcPr>
            <w:tcW w:w="684" w:type="pct"/>
            <w:vAlign w:val="center"/>
          </w:tcPr>
          <w:p>
            <w:pPr>
              <w:jc w:val="right"/>
            </w:pPr>
            <w:r>
              <w:t xml:space="preserve">99,850,638 </w:t>
            </w:r>
          </w:p>
        </w:tc>
      </w:tr>
      <w:tr>
        <w:trPr>
          <w:trHeight w:val="285"/>
          <w:jc w:val="center"/>
        </w:trPr>
        <w:tc>
          <w:tcPr>
            <w:tcW w:w="1179" w:type="pct"/>
            <w:vAlign w:val="center"/>
          </w:tcPr>
          <w:p>
            <w:pPr>
              <w:kinsoku w:val="0"/>
              <w:overflowPunct w:val="0"/>
              <w:autoSpaceDE w:val="0"/>
              <w:autoSpaceDN w:val="0"/>
              <w:adjustRightInd w:val="0"/>
              <w:snapToGrid w:val="0"/>
              <w:jc w:val="both"/>
              <w:rPr>
                <w:szCs w:val="21"/>
              </w:rPr>
            </w:pPr>
            <w:r>
              <w:rPr>
                <w:rFonts w:hint="eastAsia"/>
                <w:szCs w:val="21"/>
              </w:rPr>
              <w:lastRenderedPageBreak/>
              <w:t>总资产</w:t>
            </w:r>
          </w:p>
        </w:tc>
        <w:tc>
          <w:tcPr>
            <w:tcW w:w="663" w:type="pct"/>
            <w:vAlign w:val="center"/>
          </w:tcPr>
          <w:p>
            <w:pPr>
              <w:jc w:val="right"/>
            </w:pPr>
            <w:r>
              <w:t xml:space="preserve">358,554,471 </w:t>
            </w:r>
          </w:p>
        </w:tc>
        <w:tc>
          <w:tcPr>
            <w:tcW w:w="663" w:type="pct"/>
            <w:vAlign w:val="center"/>
          </w:tcPr>
          <w:p>
            <w:pPr>
              <w:jc w:val="right"/>
            </w:pPr>
            <w:r>
              <w:t xml:space="preserve">354,464,336 </w:t>
            </w:r>
          </w:p>
        </w:tc>
        <w:tc>
          <w:tcPr>
            <w:tcW w:w="663" w:type="pct"/>
            <w:vAlign w:val="center"/>
          </w:tcPr>
          <w:p>
            <w:pPr>
              <w:jc w:val="right"/>
            </w:pPr>
            <w:r>
              <w:t xml:space="preserve">354,278,139 </w:t>
            </w:r>
          </w:p>
        </w:tc>
        <w:tc>
          <w:tcPr>
            <w:tcW w:w="462" w:type="pct"/>
            <w:vAlign w:val="center"/>
          </w:tcPr>
          <w:p>
            <w:pPr>
              <w:jc w:val="right"/>
            </w:pPr>
            <w:r>
              <w:t xml:space="preserve">1.15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377,649,682 </w:t>
            </w:r>
          </w:p>
        </w:tc>
        <w:tc>
          <w:tcPr>
            <w:tcW w:w="684" w:type="pct"/>
            <w:vAlign w:val="center"/>
          </w:tcPr>
          <w:p>
            <w:pPr>
              <w:jc w:val="right"/>
            </w:pPr>
            <w:r>
              <w:t xml:space="preserve">377,475,427 </w:t>
            </w:r>
          </w:p>
        </w:tc>
      </w:tr>
      <w:tr>
        <w:trPr>
          <w:trHeight w:val="285"/>
          <w:jc w:val="center"/>
        </w:trPr>
        <w:tc>
          <w:tcPr>
            <w:tcW w:w="1179" w:type="pct"/>
          </w:tcPr>
          <w:p>
            <w:pPr>
              <w:jc w:val="both"/>
            </w:pPr>
            <w:r>
              <w:rPr>
                <w:rFonts w:hint="eastAsia"/>
              </w:rPr>
              <w:t>期末总股本</w:t>
            </w:r>
          </w:p>
        </w:tc>
        <w:tc>
          <w:tcPr>
            <w:tcW w:w="663" w:type="pct"/>
            <w:vAlign w:val="center"/>
          </w:tcPr>
          <w:p>
            <w:pPr>
              <w:jc w:val="right"/>
            </w:pPr>
            <w:r>
              <w:t xml:space="preserve">10,039,860 </w:t>
            </w:r>
          </w:p>
        </w:tc>
        <w:tc>
          <w:tcPr>
            <w:tcW w:w="663" w:type="pct"/>
            <w:vAlign w:val="center"/>
          </w:tcPr>
          <w:p>
            <w:pPr>
              <w:jc w:val="right"/>
            </w:pPr>
            <w:r>
              <w:t xml:space="preserve">7,439,371 </w:t>
            </w:r>
          </w:p>
        </w:tc>
        <w:tc>
          <w:tcPr>
            <w:tcW w:w="663" w:type="pct"/>
            <w:vAlign w:val="center"/>
          </w:tcPr>
          <w:p>
            <w:pPr>
              <w:jc w:val="right"/>
            </w:pPr>
            <w:r>
              <w:t xml:space="preserve">7,439,371 </w:t>
            </w:r>
          </w:p>
        </w:tc>
        <w:tc>
          <w:tcPr>
            <w:tcW w:w="462" w:type="pct"/>
            <w:vAlign w:val="center"/>
          </w:tcPr>
          <w:p>
            <w:pPr>
              <w:jc w:val="right"/>
            </w:pPr>
            <w:r>
              <w:t xml:space="preserve">34.96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4,948,704 </w:t>
            </w:r>
          </w:p>
        </w:tc>
        <w:tc>
          <w:tcPr>
            <w:tcW w:w="684" w:type="pct"/>
            <w:vAlign w:val="center"/>
          </w:tcPr>
          <w:p>
            <w:pPr>
              <w:jc w:val="right"/>
            </w:pPr>
            <w:r>
              <w:t xml:space="preserve">4,948,704 </w:t>
            </w:r>
          </w:p>
        </w:tc>
      </w:tr>
      <w:tr>
        <w:trPr>
          <w:trHeight w:val="285"/>
          <w:jc w:val="center"/>
        </w:trPr>
        <w:tc>
          <w:tcPr>
            <w:tcW w:w="1179" w:type="pct"/>
          </w:tcPr>
          <w:p>
            <w:pPr>
              <w:jc w:val="both"/>
            </w:pPr>
            <w:r>
              <w:rPr>
                <w:rFonts w:hint="eastAsia"/>
              </w:rPr>
              <w:t>负债总额</w:t>
            </w:r>
          </w:p>
        </w:tc>
        <w:tc>
          <w:tcPr>
            <w:tcW w:w="663" w:type="pct"/>
            <w:vAlign w:val="center"/>
          </w:tcPr>
          <w:p>
            <w:pPr>
              <w:jc w:val="right"/>
            </w:pPr>
            <w:r>
              <w:t xml:space="preserve">225,544,212 </w:t>
            </w:r>
          </w:p>
        </w:tc>
        <w:tc>
          <w:tcPr>
            <w:tcW w:w="663" w:type="pct"/>
            <w:vAlign w:val="center"/>
          </w:tcPr>
          <w:p>
            <w:pPr>
              <w:jc w:val="right"/>
            </w:pPr>
            <w:r>
              <w:t xml:space="preserve">235,981,726 </w:t>
            </w:r>
          </w:p>
        </w:tc>
        <w:tc>
          <w:tcPr>
            <w:tcW w:w="663" w:type="pct"/>
            <w:vAlign w:val="center"/>
          </w:tcPr>
          <w:p>
            <w:pPr>
              <w:jc w:val="right"/>
            </w:pPr>
            <w:r>
              <w:t xml:space="preserve">235,944,455 </w:t>
            </w:r>
          </w:p>
        </w:tc>
        <w:tc>
          <w:tcPr>
            <w:tcW w:w="462" w:type="pct"/>
            <w:vAlign w:val="center"/>
          </w:tcPr>
          <w:p>
            <w:pPr>
              <w:jc w:val="right"/>
            </w:pPr>
            <w:r>
              <w:t xml:space="preserve">-4.42 </w:t>
            </w:r>
          </w:p>
        </w:tc>
        <w:tc>
          <w:tcPr>
            <w:tcW w:w="686" w:type="pct"/>
            <w:tcBorders>
              <w:top w:val="single" w:sz="4" w:space="0" w:color="auto"/>
              <w:left w:val="single" w:sz="4" w:space="0" w:color="auto"/>
              <w:bottom w:val="single" w:sz="4" w:space="0" w:color="auto"/>
              <w:right w:val="single" w:sz="4" w:space="0" w:color="auto"/>
            </w:tcBorders>
            <w:vAlign w:val="center"/>
          </w:tcPr>
          <w:p>
            <w:pPr>
              <w:jc w:val="right"/>
            </w:pPr>
            <w:r>
              <w:t xml:space="preserve">233,593,843 </w:t>
            </w:r>
          </w:p>
        </w:tc>
        <w:tc>
          <w:tcPr>
            <w:tcW w:w="684" w:type="pct"/>
            <w:vAlign w:val="center"/>
          </w:tcPr>
          <w:p>
            <w:pPr>
              <w:jc w:val="right"/>
            </w:pPr>
            <w:r>
              <w:t xml:space="preserve">233,564,674 </w:t>
            </w:r>
          </w:p>
        </w:tc>
      </w:tr>
    </w:tbl>
    <w:p>
      <w:pPr>
        <w:kinsoku w:val="0"/>
        <w:overflowPunct w:val="0"/>
        <w:autoSpaceDE w:val="0"/>
        <w:autoSpaceDN w:val="0"/>
        <w:adjustRightInd w:val="0"/>
        <w:snapToGrid w:val="0"/>
        <w:rPr>
          <w:szCs w:val="21"/>
        </w:rPr>
      </w:pPr>
      <w:bookmarkStart w:id="24" w:name="_Hlk61879976"/>
      <w:bookmarkStart w:id="25" w:name="_Hlk61879983"/>
      <w:bookmarkEnd w:id="24"/>
      <w:bookmarkEnd w:id="25"/>
    </w:p>
    <w:p>
      <w:pPr>
        <w:pStyle w:val="3"/>
        <w:numPr>
          <w:ilvl w:val="1"/>
          <w:numId w:val="2"/>
        </w:numPr>
      </w:pPr>
      <w:bookmarkStart w:id="26" w:name="_Hlk61879994"/>
      <w:bookmarkEnd w:id="26"/>
      <w:r>
        <w:rPr>
          <w:rFonts w:hint="eastAsia"/>
        </w:rPr>
        <w:t>主要财务指标</w:t>
      </w:r>
    </w:p>
    <w:tbl>
      <w:tblPr>
        <w:tblStyle w:val="affffffffffff7"/>
        <w:tblW w:w="516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318"/>
        <w:gridCol w:w="969"/>
        <w:gridCol w:w="960"/>
        <w:gridCol w:w="1266"/>
        <w:gridCol w:w="969"/>
        <w:gridCol w:w="935"/>
      </w:tblGrid>
      <w:tr>
        <w:trPr>
          <w:trHeight w:val="446"/>
        </w:trPr>
        <w:sdt>
          <w:sdtPr>
            <w:tag w:val="_PLD_93f58c7dfa334f7b9687d4b507301315"/>
            <w:id w:val="-843864800"/>
          </w:sdtPr>
          <w:sdtContent>
            <w:tc>
              <w:tcPr>
                <w:tcW w:w="1478" w:type="pct"/>
                <w:vMerge w:val="restart"/>
                <w:vAlign w:val="center"/>
              </w:tcPr>
              <w:p>
                <w:pPr>
                  <w:kinsoku w:val="0"/>
                  <w:overflowPunct w:val="0"/>
                  <w:autoSpaceDE w:val="0"/>
                  <w:autoSpaceDN w:val="0"/>
                  <w:adjustRightInd w:val="0"/>
                  <w:snapToGrid w:val="0"/>
                  <w:jc w:val="center"/>
                  <w:rPr>
                    <w:szCs w:val="21"/>
                  </w:rPr>
                </w:pPr>
                <w:r>
                  <w:rPr>
                    <w:szCs w:val="21"/>
                  </w:rPr>
                  <w:t>主要财务指标</w:t>
                </w:r>
              </w:p>
            </w:tc>
          </w:sdtContent>
        </w:sdt>
        <w:sdt>
          <w:sdtPr>
            <w:tag w:val="_PLD_3659f4cd15124b45a2a65613b16939e4"/>
            <w:id w:val="513271199"/>
          </w:sdtPr>
          <w:sdtContent>
            <w:tc>
              <w:tcPr>
                <w:tcW w:w="723" w:type="pct"/>
                <w:vMerge w:val="restart"/>
                <w:vAlign w:val="center"/>
              </w:tcPr>
              <w:p>
                <w:pPr>
                  <w:kinsoku w:val="0"/>
                  <w:overflowPunct w:val="0"/>
                  <w:autoSpaceDE w:val="0"/>
                  <w:autoSpaceDN w:val="0"/>
                  <w:adjustRightInd w:val="0"/>
                  <w:snapToGrid w:val="0"/>
                  <w:jc w:val="center"/>
                  <w:rPr>
                    <w:szCs w:val="21"/>
                  </w:rPr>
                </w:pPr>
                <w:r>
                  <w:rPr>
                    <w:rFonts w:hint="eastAsia"/>
                    <w:szCs w:val="21"/>
                  </w:rPr>
                  <w:t>2024年</w:t>
                </w:r>
              </w:p>
            </w:tc>
          </w:sdtContent>
        </w:sdt>
        <w:sdt>
          <w:sdtPr>
            <w:tag w:val="_PLD_dae9cb2d710c42bbaa3b9e51a4a464c6"/>
            <w:id w:val="1917354517"/>
          </w:sdtPr>
          <w:sdtContent>
            <w:tc>
              <w:tcPr>
                <w:tcW w:w="1059" w:type="pct"/>
                <w:gridSpan w:val="2"/>
                <w:vAlign w:val="center"/>
              </w:tcPr>
              <w:p>
                <w:pPr>
                  <w:kinsoku w:val="0"/>
                  <w:overflowPunct w:val="0"/>
                  <w:autoSpaceDE w:val="0"/>
                  <w:autoSpaceDN w:val="0"/>
                  <w:adjustRightInd w:val="0"/>
                  <w:snapToGrid w:val="0"/>
                  <w:jc w:val="center"/>
                  <w:rPr>
                    <w:szCs w:val="21"/>
                  </w:rPr>
                </w:pPr>
                <w:r>
                  <w:rPr>
                    <w:rFonts w:hint="eastAsia"/>
                    <w:szCs w:val="21"/>
                  </w:rPr>
                  <w:t>2023年</w:t>
                </w:r>
              </w:p>
            </w:tc>
          </w:sdtContent>
        </w:sdt>
        <w:sdt>
          <w:sdtPr>
            <w:tag w:val="_PLD_88e29c5ce4054138b5713d7b61f1c304"/>
            <w:id w:val="-1005357905"/>
          </w:sdtPr>
          <w:sdtContent>
            <w:tc>
              <w:tcPr>
                <w:tcW w:w="695" w:type="pct"/>
                <w:vMerge w:val="restart"/>
                <w:vAlign w:val="center"/>
              </w:tcPr>
              <w:p>
                <w:pPr>
                  <w:kinsoku w:val="0"/>
                  <w:overflowPunct w:val="0"/>
                  <w:autoSpaceDE w:val="0"/>
                  <w:autoSpaceDN w:val="0"/>
                  <w:adjustRightInd w:val="0"/>
                  <w:snapToGrid w:val="0"/>
                  <w:jc w:val="center"/>
                  <w:rPr>
                    <w:szCs w:val="21"/>
                  </w:rPr>
                </w:pPr>
                <w:r>
                  <w:rPr>
                    <w:szCs w:val="21"/>
                  </w:rPr>
                  <w:t>本期比上年同期增减(%)</w:t>
                </w:r>
              </w:p>
            </w:tc>
          </w:sdtContent>
        </w:sdt>
        <w:sdt>
          <w:sdtPr>
            <w:tag w:val="_PLD_09e97eecc2c848c1ae919afa66c75157"/>
            <w:id w:val="-1153142262"/>
          </w:sdtPr>
          <w:sdtContent>
            <w:tc>
              <w:tcPr>
                <w:tcW w:w="1045" w:type="pct"/>
                <w:gridSpan w:val="2"/>
                <w:vAlign w:val="center"/>
              </w:tcPr>
              <w:p>
                <w:pPr>
                  <w:kinsoku w:val="0"/>
                  <w:overflowPunct w:val="0"/>
                  <w:autoSpaceDE w:val="0"/>
                  <w:autoSpaceDN w:val="0"/>
                  <w:adjustRightInd w:val="0"/>
                  <w:snapToGrid w:val="0"/>
                  <w:jc w:val="center"/>
                  <w:rPr>
                    <w:szCs w:val="21"/>
                  </w:rPr>
                </w:pPr>
                <w:r>
                  <w:rPr>
                    <w:rFonts w:hint="eastAsia"/>
                    <w:szCs w:val="21"/>
                  </w:rPr>
                  <w:t>2022年</w:t>
                </w:r>
              </w:p>
            </w:tc>
          </w:sdtContent>
        </w:sdt>
      </w:tr>
      <w:tr>
        <w:tc>
          <w:tcPr>
            <w:tcW w:w="1478" w:type="pct"/>
            <w:vMerge/>
            <w:vAlign w:val="center"/>
          </w:tcPr>
          <w:p>
            <w:pPr>
              <w:kinsoku w:val="0"/>
              <w:overflowPunct w:val="0"/>
              <w:autoSpaceDE w:val="0"/>
              <w:autoSpaceDN w:val="0"/>
              <w:adjustRightInd w:val="0"/>
              <w:snapToGrid w:val="0"/>
              <w:jc w:val="center"/>
              <w:rPr>
                <w:szCs w:val="21"/>
              </w:rPr>
            </w:pPr>
          </w:p>
        </w:tc>
        <w:tc>
          <w:tcPr>
            <w:tcW w:w="723" w:type="pct"/>
            <w:vMerge/>
            <w:vAlign w:val="center"/>
          </w:tcPr>
          <w:p>
            <w:pPr>
              <w:kinsoku w:val="0"/>
              <w:overflowPunct w:val="0"/>
              <w:autoSpaceDE w:val="0"/>
              <w:autoSpaceDN w:val="0"/>
              <w:adjustRightInd w:val="0"/>
              <w:snapToGrid w:val="0"/>
              <w:jc w:val="center"/>
              <w:rPr>
                <w:szCs w:val="21"/>
              </w:rPr>
            </w:pPr>
          </w:p>
        </w:tc>
        <w:sdt>
          <w:sdtPr>
            <w:tag w:val="_PLD_efc67258aa8b417aaaa22e2605b69561"/>
            <w:id w:val="1010559686"/>
          </w:sdtPr>
          <w:sdtContent>
            <w:tc>
              <w:tcPr>
                <w:tcW w:w="532" w:type="pct"/>
                <w:vAlign w:val="center"/>
              </w:tcPr>
              <w:p>
                <w:pPr>
                  <w:kinsoku w:val="0"/>
                  <w:overflowPunct w:val="0"/>
                  <w:autoSpaceDE w:val="0"/>
                  <w:autoSpaceDN w:val="0"/>
                  <w:adjustRightInd w:val="0"/>
                  <w:snapToGrid w:val="0"/>
                  <w:jc w:val="center"/>
                  <w:rPr>
                    <w:szCs w:val="21"/>
                  </w:rPr>
                </w:pPr>
                <w:r>
                  <w:rPr>
                    <w:szCs w:val="21"/>
                  </w:rPr>
                  <w:t>调整后</w:t>
                </w:r>
              </w:p>
            </w:tc>
          </w:sdtContent>
        </w:sdt>
        <w:sdt>
          <w:sdtPr>
            <w:tag w:val="_PLD_ed111ad35c7d40cb9525e1b94ec5fea6"/>
            <w:id w:val="537474913"/>
          </w:sdtPr>
          <w:sdtContent>
            <w:tc>
              <w:tcPr>
                <w:tcW w:w="527" w:type="pct"/>
                <w:vAlign w:val="center"/>
              </w:tcPr>
              <w:p>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c>
          <w:tcPr>
            <w:tcW w:w="695" w:type="pct"/>
            <w:vMerge/>
            <w:vAlign w:val="center"/>
          </w:tcPr>
          <w:p>
            <w:pPr>
              <w:kinsoku w:val="0"/>
              <w:overflowPunct w:val="0"/>
              <w:autoSpaceDE w:val="0"/>
              <w:autoSpaceDN w:val="0"/>
              <w:adjustRightInd w:val="0"/>
              <w:snapToGrid w:val="0"/>
              <w:jc w:val="center"/>
              <w:rPr>
                <w:szCs w:val="21"/>
              </w:rPr>
            </w:pPr>
          </w:p>
        </w:tc>
        <w:sdt>
          <w:sdtPr>
            <w:tag w:val="_PLD_6c02958175014771a1483688056fd1ed"/>
            <w:id w:val="-781657265"/>
          </w:sdtPr>
          <w:sdtContent>
            <w:tc>
              <w:tcPr>
                <w:tcW w:w="532" w:type="pct"/>
                <w:vAlign w:val="center"/>
              </w:tcPr>
              <w:p>
                <w:pPr>
                  <w:kinsoku w:val="0"/>
                  <w:overflowPunct w:val="0"/>
                  <w:autoSpaceDE w:val="0"/>
                  <w:autoSpaceDN w:val="0"/>
                  <w:adjustRightInd w:val="0"/>
                  <w:snapToGrid w:val="0"/>
                  <w:jc w:val="center"/>
                  <w:rPr>
                    <w:szCs w:val="21"/>
                  </w:rPr>
                </w:pPr>
                <w:r>
                  <w:rPr>
                    <w:szCs w:val="21"/>
                  </w:rPr>
                  <w:t>调整后</w:t>
                </w:r>
              </w:p>
            </w:tc>
          </w:sdtContent>
        </w:sdt>
        <w:sdt>
          <w:sdtPr>
            <w:tag w:val="_PLD_bd6188a801534444addb8f8b1d0607ab"/>
            <w:id w:val="-1086077120"/>
          </w:sdtPr>
          <w:sdtContent>
            <w:tc>
              <w:tcPr>
                <w:tcW w:w="513" w:type="pct"/>
                <w:vAlign w:val="center"/>
              </w:tcPr>
              <w:p>
                <w:pPr>
                  <w:kinsoku w:val="0"/>
                  <w:overflowPunct w:val="0"/>
                  <w:autoSpaceDE w:val="0"/>
                  <w:autoSpaceDN w:val="0"/>
                  <w:adjustRightInd w:val="0"/>
                  <w:snapToGrid w:val="0"/>
                  <w:jc w:val="center"/>
                  <w:rPr>
                    <w:szCs w:val="21"/>
                  </w:rPr>
                </w:pPr>
                <w:r>
                  <w:rPr>
                    <w:szCs w:val="21"/>
                  </w:rPr>
                  <w:t>调整</w:t>
                </w:r>
                <w:r>
                  <w:rPr>
                    <w:rFonts w:hint="eastAsia"/>
                    <w:szCs w:val="21"/>
                  </w:rPr>
                  <w:t>前</w:t>
                </w:r>
              </w:p>
            </w:tc>
          </w:sdtContent>
        </w:sdt>
      </w:tr>
      <w:tr>
        <w:tc>
          <w:tcPr>
            <w:tcW w:w="1478" w:type="pct"/>
            <w:vAlign w:val="center"/>
          </w:tcPr>
          <w:p>
            <w:pPr>
              <w:kinsoku w:val="0"/>
              <w:overflowPunct w:val="0"/>
              <w:autoSpaceDE w:val="0"/>
              <w:autoSpaceDN w:val="0"/>
              <w:adjustRightInd w:val="0"/>
              <w:snapToGrid w:val="0"/>
              <w:jc w:val="both"/>
              <w:rPr>
                <w:szCs w:val="21"/>
              </w:rPr>
            </w:pPr>
            <w:r>
              <w:rPr>
                <w:szCs w:val="21"/>
              </w:rPr>
              <w:t>基本每股收益（元／股）</w:t>
            </w:r>
          </w:p>
        </w:tc>
        <w:tc>
          <w:tcPr>
            <w:tcW w:w="723" w:type="pct"/>
            <w:vAlign w:val="center"/>
          </w:tcPr>
          <w:p>
            <w:pPr>
              <w:jc w:val="right"/>
            </w:pPr>
            <w:r>
              <w:t xml:space="preserve"> 1.46 </w:t>
            </w:r>
          </w:p>
        </w:tc>
        <w:tc>
          <w:tcPr>
            <w:tcW w:w="532" w:type="pct"/>
            <w:vAlign w:val="center"/>
          </w:tcPr>
          <w:p>
            <w:pPr>
              <w:jc w:val="right"/>
            </w:pPr>
            <w:r>
              <w:t xml:space="preserve"> 2.11 </w:t>
            </w:r>
          </w:p>
        </w:tc>
        <w:tc>
          <w:tcPr>
            <w:tcW w:w="527" w:type="pct"/>
            <w:vAlign w:val="center"/>
          </w:tcPr>
          <w:p>
            <w:pPr>
              <w:jc w:val="right"/>
            </w:pPr>
            <w:r>
              <w:t>2.74</w:t>
            </w:r>
          </w:p>
        </w:tc>
        <w:tc>
          <w:tcPr>
            <w:tcW w:w="695" w:type="pct"/>
            <w:vAlign w:val="center"/>
          </w:tcPr>
          <w:p>
            <w:pPr>
              <w:jc w:val="right"/>
            </w:pPr>
            <w:r>
              <w:t xml:space="preserve">-30.92 </w:t>
            </w:r>
          </w:p>
        </w:tc>
        <w:tc>
          <w:tcPr>
            <w:tcW w:w="532" w:type="pct"/>
            <w:vAlign w:val="center"/>
          </w:tcPr>
          <w:p>
            <w:pPr>
              <w:jc w:val="right"/>
            </w:pPr>
            <w:r>
              <w:t xml:space="preserve"> 3.50 </w:t>
            </w:r>
          </w:p>
        </w:tc>
        <w:tc>
          <w:tcPr>
            <w:tcW w:w="513" w:type="pct"/>
            <w:vAlign w:val="center"/>
          </w:tcPr>
          <w:p>
            <w:pPr>
              <w:kinsoku w:val="0"/>
              <w:overflowPunct w:val="0"/>
              <w:autoSpaceDE w:val="0"/>
              <w:autoSpaceDN w:val="0"/>
              <w:adjustRightInd w:val="0"/>
              <w:snapToGrid w:val="0"/>
              <w:jc w:val="right"/>
            </w:pPr>
            <w:r>
              <w:t>4.55</w:t>
            </w:r>
          </w:p>
        </w:tc>
      </w:tr>
      <w:tr>
        <w:tc>
          <w:tcPr>
            <w:tcW w:w="1478" w:type="pct"/>
            <w:vAlign w:val="center"/>
          </w:tcPr>
          <w:p>
            <w:pPr>
              <w:kinsoku w:val="0"/>
              <w:overflowPunct w:val="0"/>
              <w:autoSpaceDE w:val="0"/>
              <w:autoSpaceDN w:val="0"/>
              <w:adjustRightInd w:val="0"/>
              <w:snapToGrid w:val="0"/>
              <w:jc w:val="both"/>
              <w:rPr>
                <w:szCs w:val="21"/>
              </w:rPr>
            </w:pPr>
            <w:r>
              <w:rPr>
                <w:szCs w:val="21"/>
              </w:rPr>
              <w:t>稀释每股收益（元／股）</w:t>
            </w:r>
          </w:p>
        </w:tc>
        <w:tc>
          <w:tcPr>
            <w:tcW w:w="723" w:type="pct"/>
            <w:vAlign w:val="center"/>
          </w:tcPr>
          <w:p>
            <w:pPr>
              <w:jc w:val="right"/>
            </w:pPr>
            <w:r>
              <w:t xml:space="preserve"> 1.45 </w:t>
            </w:r>
          </w:p>
        </w:tc>
        <w:tc>
          <w:tcPr>
            <w:tcW w:w="532" w:type="pct"/>
            <w:vAlign w:val="center"/>
          </w:tcPr>
          <w:p>
            <w:pPr>
              <w:jc w:val="right"/>
            </w:pPr>
            <w:r>
              <w:t xml:space="preserve"> 2.10 </w:t>
            </w:r>
          </w:p>
        </w:tc>
        <w:tc>
          <w:tcPr>
            <w:tcW w:w="527" w:type="pct"/>
            <w:vAlign w:val="center"/>
          </w:tcPr>
          <w:p>
            <w:pPr>
              <w:jc w:val="right"/>
            </w:pPr>
            <w:r>
              <w:t>2.72</w:t>
            </w:r>
          </w:p>
        </w:tc>
        <w:tc>
          <w:tcPr>
            <w:tcW w:w="695" w:type="pct"/>
            <w:vAlign w:val="center"/>
          </w:tcPr>
          <w:p>
            <w:pPr>
              <w:jc w:val="right"/>
            </w:pPr>
            <w:r>
              <w:t xml:space="preserve">-31.03 </w:t>
            </w:r>
          </w:p>
        </w:tc>
        <w:tc>
          <w:tcPr>
            <w:tcW w:w="532" w:type="pct"/>
            <w:vAlign w:val="center"/>
          </w:tcPr>
          <w:p>
            <w:pPr>
              <w:jc w:val="right"/>
            </w:pPr>
            <w:r>
              <w:t xml:space="preserve"> 3.49 </w:t>
            </w:r>
          </w:p>
        </w:tc>
        <w:tc>
          <w:tcPr>
            <w:tcW w:w="513" w:type="pct"/>
            <w:vAlign w:val="center"/>
          </w:tcPr>
          <w:p>
            <w:pPr>
              <w:kinsoku w:val="0"/>
              <w:overflowPunct w:val="0"/>
              <w:autoSpaceDE w:val="0"/>
              <w:autoSpaceDN w:val="0"/>
              <w:adjustRightInd w:val="0"/>
              <w:snapToGrid w:val="0"/>
              <w:jc w:val="right"/>
            </w:pPr>
            <w:r>
              <w:t>4.52</w:t>
            </w:r>
          </w:p>
        </w:tc>
      </w:tr>
      <w:tr>
        <w:tc>
          <w:tcPr>
            <w:tcW w:w="1478" w:type="pct"/>
            <w:vAlign w:val="center"/>
          </w:tcPr>
          <w:p>
            <w:pPr>
              <w:kinsoku w:val="0"/>
              <w:overflowPunct w:val="0"/>
              <w:autoSpaceDE w:val="0"/>
              <w:autoSpaceDN w:val="0"/>
              <w:adjustRightInd w:val="0"/>
              <w:snapToGrid w:val="0"/>
              <w:jc w:val="both"/>
              <w:rPr>
                <w:szCs w:val="21"/>
              </w:rPr>
            </w:pPr>
            <w:r>
              <w:rPr>
                <w:szCs w:val="21"/>
              </w:rPr>
              <w:t>扣除非经常性损益后的基本每股收益（元／股）</w:t>
            </w:r>
          </w:p>
        </w:tc>
        <w:tc>
          <w:tcPr>
            <w:tcW w:w="723" w:type="pct"/>
            <w:vAlign w:val="center"/>
          </w:tcPr>
          <w:p>
            <w:pPr>
              <w:jc w:val="right"/>
            </w:pPr>
            <w:r>
              <w:t xml:space="preserve"> 1.40 </w:t>
            </w:r>
          </w:p>
        </w:tc>
        <w:tc>
          <w:tcPr>
            <w:tcW w:w="532" w:type="pct"/>
            <w:vAlign w:val="center"/>
          </w:tcPr>
          <w:p>
            <w:pPr>
              <w:jc w:val="right"/>
            </w:pPr>
            <w:r>
              <w:t xml:space="preserve"> 1.95 </w:t>
            </w:r>
          </w:p>
        </w:tc>
        <w:tc>
          <w:tcPr>
            <w:tcW w:w="527" w:type="pct"/>
            <w:vAlign w:val="center"/>
          </w:tcPr>
          <w:p>
            <w:pPr>
              <w:jc w:val="right"/>
            </w:pPr>
            <w:r>
              <w:t>2.53</w:t>
            </w:r>
          </w:p>
        </w:tc>
        <w:tc>
          <w:tcPr>
            <w:tcW w:w="695" w:type="pct"/>
            <w:vAlign w:val="center"/>
          </w:tcPr>
          <w:p>
            <w:pPr>
              <w:jc w:val="right"/>
            </w:pPr>
            <w:r>
              <w:t xml:space="preserve">-27.92 </w:t>
            </w:r>
          </w:p>
        </w:tc>
        <w:tc>
          <w:tcPr>
            <w:tcW w:w="532" w:type="pct"/>
            <w:vAlign w:val="center"/>
          </w:tcPr>
          <w:p>
            <w:pPr>
              <w:jc w:val="right"/>
            </w:pPr>
            <w:r>
              <w:t xml:space="preserve"> 3.18 </w:t>
            </w:r>
          </w:p>
        </w:tc>
        <w:tc>
          <w:tcPr>
            <w:tcW w:w="513" w:type="pct"/>
            <w:vAlign w:val="center"/>
          </w:tcPr>
          <w:p>
            <w:pPr>
              <w:kinsoku w:val="0"/>
              <w:overflowPunct w:val="0"/>
              <w:autoSpaceDE w:val="0"/>
              <w:autoSpaceDN w:val="0"/>
              <w:adjustRightInd w:val="0"/>
              <w:snapToGrid w:val="0"/>
              <w:jc w:val="right"/>
            </w:pPr>
            <w:r>
              <w:t>4.13</w:t>
            </w:r>
          </w:p>
        </w:tc>
      </w:tr>
      <w:tr>
        <w:tc>
          <w:tcPr>
            <w:tcW w:w="1478" w:type="pct"/>
            <w:vAlign w:val="center"/>
          </w:tcPr>
          <w:p>
            <w:pPr>
              <w:kinsoku w:val="0"/>
              <w:overflowPunct w:val="0"/>
              <w:autoSpaceDE w:val="0"/>
              <w:autoSpaceDN w:val="0"/>
              <w:adjustRightInd w:val="0"/>
              <w:snapToGrid w:val="0"/>
              <w:jc w:val="both"/>
              <w:rPr>
                <w:szCs w:val="21"/>
              </w:rPr>
            </w:pPr>
            <w:r>
              <w:rPr>
                <w:szCs w:val="21"/>
              </w:rPr>
              <w:t>加权平均净资产收益率</w:t>
            </w:r>
          </w:p>
          <w:p>
            <w:pPr>
              <w:kinsoku w:val="0"/>
              <w:overflowPunct w:val="0"/>
              <w:autoSpaceDE w:val="0"/>
              <w:autoSpaceDN w:val="0"/>
              <w:adjustRightInd w:val="0"/>
              <w:snapToGrid w:val="0"/>
              <w:jc w:val="both"/>
              <w:rPr>
                <w:szCs w:val="21"/>
              </w:rPr>
            </w:pPr>
            <w:r>
              <w:rPr>
                <w:szCs w:val="21"/>
              </w:rPr>
              <w:t>（%）</w:t>
            </w:r>
          </w:p>
        </w:tc>
        <w:tc>
          <w:tcPr>
            <w:tcW w:w="723" w:type="pct"/>
            <w:vAlign w:val="center"/>
          </w:tcPr>
          <w:p>
            <w:pPr>
              <w:jc w:val="right"/>
            </w:pPr>
            <w:r>
              <w:t xml:space="preserve"> 18.30 </w:t>
            </w:r>
          </w:p>
        </w:tc>
        <w:tc>
          <w:tcPr>
            <w:tcW w:w="532" w:type="pct"/>
            <w:vAlign w:val="center"/>
          </w:tcPr>
          <w:p>
            <w:pPr>
              <w:jc w:val="right"/>
            </w:pPr>
            <w:r>
              <w:t xml:space="preserve"> 21.88 </w:t>
            </w:r>
          </w:p>
        </w:tc>
        <w:tc>
          <w:tcPr>
            <w:tcW w:w="527" w:type="pct"/>
            <w:vAlign w:val="center"/>
          </w:tcPr>
          <w:p>
            <w:pPr>
              <w:jc w:val="right"/>
            </w:pPr>
            <w:r>
              <w:t>21.91</w:t>
            </w:r>
          </w:p>
        </w:tc>
        <w:tc>
          <w:tcPr>
            <w:tcW w:w="695" w:type="pct"/>
            <w:vAlign w:val="center"/>
          </w:tcPr>
          <w:p>
            <w:pPr>
              <w:jc w:val="right"/>
            </w:pPr>
            <w:r>
              <w:rPr>
                <w:rFonts w:hint="eastAsia"/>
              </w:rPr>
              <w:t>减少</w:t>
            </w:r>
            <w:r>
              <w:t>3.58个百分点</w:t>
            </w:r>
          </w:p>
        </w:tc>
        <w:tc>
          <w:tcPr>
            <w:tcW w:w="532" w:type="pct"/>
            <w:vAlign w:val="center"/>
          </w:tcPr>
          <w:p>
            <w:pPr>
              <w:jc w:val="right"/>
            </w:pPr>
            <w:r>
              <w:t xml:space="preserve"> 39.43</w:t>
            </w:r>
          </w:p>
        </w:tc>
        <w:tc>
          <w:tcPr>
            <w:tcW w:w="513" w:type="pct"/>
            <w:vAlign w:val="center"/>
          </w:tcPr>
          <w:p>
            <w:pPr>
              <w:kinsoku w:val="0"/>
              <w:overflowPunct w:val="0"/>
              <w:autoSpaceDE w:val="0"/>
              <w:autoSpaceDN w:val="0"/>
              <w:adjustRightInd w:val="0"/>
              <w:snapToGrid w:val="0"/>
              <w:jc w:val="right"/>
            </w:pPr>
            <w:r>
              <w:t>39.48</w:t>
            </w:r>
          </w:p>
        </w:tc>
      </w:tr>
      <w:tr>
        <w:tc>
          <w:tcPr>
            <w:tcW w:w="1478" w:type="pct"/>
            <w:vAlign w:val="center"/>
          </w:tcPr>
          <w:p>
            <w:pPr>
              <w:kinsoku w:val="0"/>
              <w:overflowPunct w:val="0"/>
              <w:autoSpaceDE w:val="0"/>
              <w:autoSpaceDN w:val="0"/>
              <w:adjustRightInd w:val="0"/>
              <w:snapToGrid w:val="0"/>
              <w:jc w:val="both"/>
              <w:rPr>
                <w:szCs w:val="21"/>
              </w:rPr>
            </w:pPr>
            <w:r>
              <w:rPr>
                <w:szCs w:val="21"/>
              </w:rPr>
              <w:t>扣除非经常性损益后的加权平均净资产收益率（%）</w:t>
            </w:r>
          </w:p>
        </w:tc>
        <w:tc>
          <w:tcPr>
            <w:tcW w:w="723" w:type="pct"/>
            <w:vAlign w:val="center"/>
          </w:tcPr>
          <w:p>
            <w:pPr>
              <w:jc w:val="right"/>
            </w:pPr>
            <w:r>
              <w:t xml:space="preserve"> 17.62 </w:t>
            </w:r>
          </w:p>
        </w:tc>
        <w:tc>
          <w:tcPr>
            <w:tcW w:w="532" w:type="pct"/>
            <w:vAlign w:val="center"/>
          </w:tcPr>
          <w:p>
            <w:pPr>
              <w:jc w:val="right"/>
            </w:pPr>
            <w:r>
              <w:t xml:space="preserve"> 20.22 </w:t>
            </w:r>
          </w:p>
        </w:tc>
        <w:tc>
          <w:tcPr>
            <w:tcW w:w="527" w:type="pct"/>
            <w:vAlign w:val="center"/>
          </w:tcPr>
          <w:p>
            <w:pPr>
              <w:jc w:val="right"/>
            </w:pPr>
            <w:r>
              <w:t>20.22</w:t>
            </w:r>
          </w:p>
        </w:tc>
        <w:tc>
          <w:tcPr>
            <w:tcW w:w="695" w:type="pct"/>
            <w:vAlign w:val="center"/>
          </w:tcPr>
          <w:p>
            <w:pPr>
              <w:jc w:val="right"/>
            </w:pPr>
            <w:r>
              <w:rPr>
                <w:rFonts w:hint="eastAsia"/>
              </w:rPr>
              <w:t>减少</w:t>
            </w:r>
            <w:r>
              <w:t>2.60个百分点</w:t>
            </w:r>
          </w:p>
        </w:tc>
        <w:tc>
          <w:tcPr>
            <w:tcW w:w="532" w:type="pct"/>
            <w:vAlign w:val="center"/>
          </w:tcPr>
          <w:p>
            <w:pPr>
              <w:jc w:val="right"/>
            </w:pPr>
            <w:r>
              <w:t xml:space="preserve"> 35.84 </w:t>
            </w:r>
          </w:p>
        </w:tc>
        <w:tc>
          <w:tcPr>
            <w:tcW w:w="513" w:type="pct"/>
            <w:vAlign w:val="center"/>
          </w:tcPr>
          <w:p>
            <w:pPr>
              <w:kinsoku w:val="0"/>
              <w:overflowPunct w:val="0"/>
              <w:autoSpaceDE w:val="0"/>
              <w:autoSpaceDN w:val="0"/>
              <w:adjustRightInd w:val="0"/>
              <w:snapToGrid w:val="0"/>
              <w:jc w:val="right"/>
            </w:pPr>
            <w:r>
              <w:t>35.84</w:t>
            </w:r>
          </w:p>
        </w:tc>
      </w:tr>
    </w:tbl>
    <w:p>
      <w:pPr>
        <w:kinsoku w:val="0"/>
        <w:overflowPunct w:val="0"/>
        <w:autoSpaceDE w:val="0"/>
        <w:autoSpaceDN w:val="0"/>
        <w:adjustRightInd w:val="0"/>
        <w:snapToGrid w:val="0"/>
        <w:rPr>
          <w:szCs w:val="21"/>
        </w:rPr>
      </w:pPr>
      <w:bookmarkStart w:id="27" w:name="_Hlk25325424"/>
      <w:bookmarkEnd w:id="23"/>
      <w:bookmarkEnd w:id="27"/>
    </w:p>
    <w:p>
      <w:pPr>
        <w:kinsoku w:val="0"/>
        <w:overflowPunct w:val="0"/>
        <w:autoSpaceDE w:val="0"/>
        <w:autoSpaceDN w:val="0"/>
        <w:adjustRightInd w:val="0"/>
        <w:snapToGrid w:val="0"/>
        <w:rPr>
          <w:szCs w:val="21"/>
        </w:rPr>
      </w:pPr>
    </w:p>
    <w:p>
      <w:pPr>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909972076"/>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176468915"/>
        <w:placeholder>
          <w:docPart w:val="GBC22222222222222222222222222222"/>
        </w:placeholder>
      </w:sdtPr>
      <w:sdtContent>
        <w:p>
          <w:pPr>
            <w:ind w:firstLineChars="200" w:firstLine="420"/>
            <w:jc w:val="both"/>
          </w:pPr>
          <w:r>
            <w:rPr>
              <w:rFonts w:hint="eastAsia"/>
            </w:rPr>
            <w:t>①</w:t>
          </w:r>
          <w:r>
            <w:t>报告期内</w:t>
          </w:r>
          <w:r>
            <w:rPr>
              <w:rFonts w:hint="eastAsia"/>
            </w:rPr>
            <w:t>公司合并了</w:t>
          </w:r>
          <w:r>
            <w:t>山东兖矿国拓科技工程股份有限公司</w:t>
          </w:r>
          <w:r>
            <w:rPr>
              <w:rFonts w:hint="eastAsia"/>
            </w:rPr>
            <w:t>（“国拓科技”）、德伯特机械（山东）有限公司（“德伯特机械”）、</w:t>
          </w:r>
          <w:r>
            <w:t>SMT Scharf AG（“沙尔夫公司”）</w:t>
          </w:r>
          <w:r>
            <w:rPr>
              <w:rFonts w:hint="eastAsia"/>
            </w:rPr>
            <w:t>、物泊科技有限公司（“物泊科技”）以及山东天玛智能控制技术有限公司（“天玛智控”）</w:t>
          </w:r>
          <w:r>
            <w:t>的财务报表</w:t>
          </w:r>
          <w:r>
            <w:rPr>
              <w:rFonts w:hint="eastAsia"/>
            </w:rPr>
            <w:t>。</w:t>
          </w:r>
        </w:p>
        <w:p>
          <w:pPr>
            <w:ind w:firstLineChars="200" w:firstLine="420"/>
            <w:jc w:val="both"/>
            <w:rPr>
              <w:color w:val="000000" w:themeColor="text1"/>
            </w:rPr>
          </w:pPr>
          <w:bookmarkStart w:id="28" w:name="_Hlk193375934"/>
          <w:r>
            <w:rPr>
              <w:rFonts w:hint="eastAsia"/>
              <w:color w:val="000000" w:themeColor="text1"/>
            </w:rPr>
            <w:t>②</w:t>
          </w:r>
          <w:r>
            <w:rPr>
              <w:color w:val="000000" w:themeColor="text1"/>
            </w:rPr>
            <w:t>报告期内</w:t>
          </w:r>
          <w:r>
            <w:rPr>
              <w:rFonts w:hint="eastAsia"/>
              <w:color w:val="000000" w:themeColor="text1"/>
            </w:rPr>
            <w:t>公司</w:t>
          </w:r>
          <w:r>
            <w:rPr>
              <w:color w:val="000000" w:themeColor="text1"/>
            </w:rPr>
            <w:t>合并了</w:t>
          </w:r>
          <w:r>
            <w:rPr>
              <w:rFonts w:hint="eastAsia"/>
              <w:color w:val="000000" w:themeColor="text1"/>
            </w:rPr>
            <w:t>国拓科技</w:t>
          </w:r>
          <w:r>
            <w:rPr>
              <w:color w:val="000000" w:themeColor="text1"/>
            </w:rPr>
            <w:t>的财务报表，构成同一控制下企业合并，公司对相关财务数据进行了追溯调整</w:t>
          </w:r>
          <w:r>
            <w:rPr>
              <w:rFonts w:hint="eastAsia"/>
              <w:color w:val="000000" w:themeColor="text1"/>
            </w:rPr>
            <w:t>；</w:t>
          </w:r>
          <w:bookmarkStart w:id="29" w:name="_Hlk193392354"/>
          <w:r>
            <w:rPr>
              <w:rFonts w:hint="eastAsia"/>
              <w:color w:val="000000" w:themeColor="text1"/>
            </w:rPr>
            <w:t>报告期内</w:t>
          </w:r>
          <w:r>
            <w:rPr>
              <w:color w:val="000000" w:themeColor="text1"/>
            </w:rPr>
            <w:t>公司完成了</w:t>
          </w:r>
          <w:r>
            <w:rPr>
              <w:rFonts w:hint="eastAsia"/>
              <w:color w:val="000000" w:themeColor="text1"/>
            </w:rPr>
            <w:t>2</w:t>
          </w:r>
          <w:r>
            <w:rPr>
              <w:color w:val="000000" w:themeColor="text1"/>
            </w:rPr>
            <w:t>023</w:t>
          </w:r>
          <w:r>
            <w:rPr>
              <w:rFonts w:hint="eastAsia"/>
              <w:color w:val="000000" w:themeColor="text1"/>
            </w:rPr>
            <w:t>年度</w:t>
          </w:r>
          <w:r>
            <w:rPr>
              <w:color w:val="000000" w:themeColor="text1"/>
            </w:rPr>
            <w:t>股票股利派发，</w:t>
          </w:r>
          <w:r>
            <w:rPr>
              <w:rFonts w:hint="eastAsia"/>
              <w:color w:val="000000" w:themeColor="text1"/>
            </w:rPr>
            <w:t>根据中国会计准则</w:t>
          </w:r>
          <w:r>
            <w:rPr>
              <w:color w:val="000000" w:themeColor="text1"/>
            </w:rPr>
            <w:t>对</w:t>
          </w:r>
          <w:r>
            <w:rPr>
              <w:rFonts w:hint="eastAsia"/>
              <w:color w:val="000000" w:themeColor="text1"/>
            </w:rPr>
            <w:t>计算2</w:t>
          </w:r>
          <w:r>
            <w:rPr>
              <w:color w:val="000000" w:themeColor="text1"/>
            </w:rPr>
            <w:t>022-2023</w:t>
          </w:r>
          <w:r>
            <w:rPr>
              <w:rFonts w:hint="eastAsia"/>
              <w:color w:val="000000" w:themeColor="text1"/>
            </w:rPr>
            <w:t>年度基本每股收益、稀释每股收益、扣除非经常性损益后的基本每股收益的总股本数</w:t>
          </w:r>
          <w:r>
            <w:rPr>
              <w:color w:val="000000" w:themeColor="text1"/>
            </w:rPr>
            <w:t>进行了追溯调整。</w:t>
          </w:r>
          <w:bookmarkEnd w:id="29"/>
        </w:p>
        <w:bookmarkEnd w:id="28"/>
        <w:p>
          <w:pPr>
            <w:ind w:firstLineChars="200" w:firstLine="420"/>
            <w:jc w:val="both"/>
          </w:pPr>
          <w:r>
            <w:rPr>
              <w:rFonts w:hint="eastAsia"/>
            </w:rPr>
            <w:t>③山能财司对外提供存贷款等金融服务，影响本集团经营活动产生的现金流量变动。剔除山能财司对经营活动现金流的影响后，</w:t>
          </w:r>
          <w:r>
            <w:t>2024年本</w:t>
          </w:r>
          <w:r>
            <w:rPr>
              <w:rFonts w:hint="eastAsia"/>
            </w:rPr>
            <w:t>集团经营活动产生的现金流量净额为</w:t>
          </w:r>
          <w:r>
            <w:t>240.48亿元</w:t>
          </w:r>
          <w:r>
            <w:rPr>
              <w:rFonts w:hint="eastAsia"/>
            </w:rPr>
            <w:t>，上年同期为</w:t>
          </w:r>
          <w:r>
            <w:t>264.53</w:t>
          </w:r>
          <w:r>
            <w:rPr>
              <w:rFonts w:hint="eastAsia"/>
            </w:rPr>
            <w:t>亿元，同比减少</w:t>
          </w:r>
          <w:r>
            <w:t>24.05</w:t>
          </w:r>
          <w:r>
            <w:rPr>
              <w:rFonts w:hint="eastAsia"/>
            </w:rPr>
            <w:t>亿</w:t>
          </w:r>
          <w:r>
            <w:t>元</w:t>
          </w:r>
          <w:r>
            <w:rPr>
              <w:rFonts w:hint="eastAsia"/>
            </w:rPr>
            <w:t>或</w:t>
          </w:r>
          <w:r>
            <w:t>9.1%。</w:t>
          </w:r>
        </w:p>
        <w:p>
          <w:pPr>
            <w:ind w:firstLineChars="200" w:firstLine="420"/>
            <w:jc w:val="both"/>
          </w:pPr>
          <w:r>
            <w:rPr>
              <w:rFonts w:hint="eastAsia"/>
            </w:rPr>
            <w:t>④报告期内，</w:t>
          </w:r>
          <w:r>
            <w:t>公司完成了部分限制性股票回购注销、根据一般性授权发行H股以及股票股利派发事宜,公司总股本由7,439,370,720股调整至10,039,860,402股，</w:t>
          </w:r>
          <w:r>
            <w:rPr>
              <w:rFonts w:hint="eastAsia"/>
            </w:rPr>
            <w:t>基本每股收益、稀释每股收益、扣除非经常性损益后的基本每股收益</w:t>
          </w:r>
          <w:r>
            <w:t>等相关指标以发行在外的普通股加权平均数计算。</w:t>
          </w:r>
        </w:p>
      </w:sdtContent>
    </w:sdt>
    <w:p>
      <w:pPr>
        <w:pStyle w:val="2"/>
        <w:ind w:left="498"/>
        <w:rPr>
          <w:u w:val="single"/>
        </w:rPr>
      </w:pPr>
    </w:p>
    <w:p>
      <w:pPr>
        <w:pStyle w:val="2"/>
        <w:numPr>
          <w:ilvl w:val="1"/>
          <w:numId w:val="4"/>
        </w:numPr>
        <w:ind w:left="498" w:hangingChars="236" w:hanging="498"/>
        <w:rPr>
          <w:u w:val="single"/>
        </w:rPr>
      </w:pPr>
      <w:r>
        <w:rPr>
          <w:rFonts w:hint="eastAsia"/>
        </w:rPr>
        <w:t>境内外会计准则下会计数据差异</w:t>
      </w:r>
    </w:p>
    <w:p>
      <w:pPr>
        <w:pStyle w:val="3"/>
        <w:numPr>
          <w:ilvl w:val="0"/>
          <w:numId w:val="6"/>
        </w:numPr>
        <w:ind w:left="0" w:firstLine="0"/>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131089715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8280"/>
        </w:tabs>
        <w:kinsoku w:val="0"/>
        <w:overflowPunct w:val="0"/>
        <w:autoSpaceDE w:val="0"/>
        <w:autoSpaceDN w:val="0"/>
        <w:adjustRightInd w:val="0"/>
        <w:snapToGrid w:val="0"/>
        <w:ind w:rightChars="12" w:right="25"/>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14cb6a26a6344a4db79dfc468b7ffbbf"/>
          <w:id w:val="898399320"/>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7af3236bd967441fb6b9bcf57c2f174a"/>
          <w:id w:val="-1576192146"/>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7"/>
        <w:tblW w:w="5083" w:type="pct"/>
        <w:jc w:val="center"/>
        <w:tblLayout w:type="fixed"/>
        <w:tblLook w:val="0000" w:firstRow="0" w:lastRow="0" w:firstColumn="0" w:lastColumn="0" w:noHBand="0" w:noVBand="0"/>
      </w:tblPr>
      <w:tblGrid>
        <w:gridCol w:w="1909"/>
        <w:gridCol w:w="1765"/>
        <w:gridCol w:w="1765"/>
        <w:gridCol w:w="1765"/>
        <w:gridCol w:w="1765"/>
      </w:tblGrid>
      <w:tr>
        <w:trPr>
          <w:jc w:val="center"/>
        </w:trPr>
        <w:tc>
          <w:tcPr>
            <w:tcW w:w="1064" w:type="pct"/>
            <w:vMerge w:val="restart"/>
          </w:tcPr>
          <w:p>
            <w:pPr>
              <w:kinsoku w:val="0"/>
              <w:overflowPunct w:val="0"/>
              <w:autoSpaceDE w:val="0"/>
              <w:autoSpaceDN w:val="0"/>
              <w:adjustRightInd w:val="0"/>
              <w:snapToGrid w:val="0"/>
              <w:jc w:val="center"/>
              <w:rPr>
                <w:color w:val="000000"/>
                <w:szCs w:val="21"/>
              </w:rPr>
            </w:pPr>
          </w:p>
        </w:tc>
        <w:sdt>
          <w:sdtPr>
            <w:tag w:val="_PLD_f3df29bb3ba04320b5d912920acb826f"/>
            <w:id w:val="-935586210"/>
          </w:sdtPr>
          <w:sdtContent>
            <w:tc>
              <w:tcPr>
                <w:tcW w:w="1968" w:type="pct"/>
                <w:gridSpan w:val="2"/>
                <w:vAlign w:val="center"/>
              </w:tcPr>
              <w:p>
                <w:pPr>
                  <w:kinsoku w:val="0"/>
                  <w:overflowPunct w:val="0"/>
                  <w:autoSpaceDE w:val="0"/>
                  <w:autoSpaceDN w:val="0"/>
                  <w:adjustRightInd w:val="0"/>
                  <w:snapToGrid w:val="0"/>
                  <w:jc w:val="center"/>
                  <w:rPr>
                    <w:szCs w:val="21"/>
                  </w:rPr>
                </w:pPr>
                <w:r>
                  <w:rPr>
                    <w:rFonts w:hint="eastAsia"/>
                    <w:szCs w:val="21"/>
                  </w:rPr>
                  <w:t>归属于上市公司股东的净利润</w:t>
                </w:r>
              </w:p>
            </w:tc>
          </w:sdtContent>
        </w:sdt>
        <w:sdt>
          <w:sdtPr>
            <w:tag w:val="_PLD_47524ba6d1c04199a74550f7cb22944e"/>
            <w:id w:val="1452751428"/>
          </w:sdtPr>
          <w:sdtContent>
            <w:tc>
              <w:tcPr>
                <w:tcW w:w="1968" w:type="pct"/>
                <w:gridSpan w:val="2"/>
                <w:vAlign w:val="center"/>
              </w:tcPr>
              <w:p>
                <w:pPr>
                  <w:kinsoku w:val="0"/>
                  <w:overflowPunct w:val="0"/>
                  <w:autoSpaceDE w:val="0"/>
                  <w:autoSpaceDN w:val="0"/>
                  <w:adjustRightInd w:val="0"/>
                  <w:snapToGrid w:val="0"/>
                  <w:jc w:val="center"/>
                  <w:rPr>
                    <w:szCs w:val="21"/>
                  </w:rPr>
                </w:pPr>
                <w:r>
                  <w:rPr>
                    <w:rFonts w:hint="eastAsia"/>
                    <w:szCs w:val="21"/>
                  </w:rPr>
                  <w:t>归属于上市公司股东的净资产</w:t>
                </w:r>
              </w:p>
            </w:tc>
          </w:sdtContent>
        </w:sdt>
      </w:tr>
      <w:tr>
        <w:trPr>
          <w:jc w:val="center"/>
        </w:trPr>
        <w:tc>
          <w:tcPr>
            <w:tcW w:w="1064" w:type="pct"/>
            <w:vMerge/>
          </w:tcPr>
          <w:p>
            <w:pPr>
              <w:kinsoku w:val="0"/>
              <w:overflowPunct w:val="0"/>
              <w:autoSpaceDE w:val="0"/>
              <w:autoSpaceDN w:val="0"/>
              <w:adjustRightInd w:val="0"/>
              <w:snapToGrid w:val="0"/>
              <w:rPr>
                <w:color w:val="000000"/>
                <w:szCs w:val="21"/>
              </w:rPr>
            </w:pPr>
          </w:p>
        </w:tc>
        <w:sdt>
          <w:sdtPr>
            <w:tag w:val="_PLD_caf94f6d308e4f16a36c7e5e16db18e7"/>
            <w:id w:val="-2024934153"/>
          </w:sdtPr>
          <w:sdtContent>
            <w:tc>
              <w:tcPr>
                <w:tcW w:w="984" w:type="pct"/>
                <w:vAlign w:val="center"/>
              </w:tcPr>
              <w:p>
                <w:pPr>
                  <w:kinsoku w:val="0"/>
                  <w:overflowPunct w:val="0"/>
                  <w:autoSpaceDE w:val="0"/>
                  <w:autoSpaceDN w:val="0"/>
                  <w:adjustRightInd w:val="0"/>
                  <w:snapToGrid w:val="0"/>
                  <w:ind w:right="180"/>
                  <w:jc w:val="center"/>
                  <w:rPr>
                    <w:color w:val="000000"/>
                    <w:szCs w:val="21"/>
                  </w:rPr>
                </w:pPr>
                <w:r>
                  <w:rPr>
                    <w:rFonts w:hint="eastAsia"/>
                    <w:szCs w:val="21"/>
                  </w:rPr>
                  <w:t>本期数</w:t>
                </w:r>
              </w:p>
            </w:tc>
          </w:sdtContent>
        </w:sdt>
        <w:sdt>
          <w:sdtPr>
            <w:tag w:val="_PLD_df82ced3820a41b9ab01b14e70e76e3c"/>
            <w:id w:val="663899895"/>
          </w:sdtPr>
          <w:sdtContent>
            <w:tc>
              <w:tcPr>
                <w:tcW w:w="984" w:type="pct"/>
                <w:vAlign w:val="center"/>
              </w:tcPr>
              <w:p>
                <w:pPr>
                  <w:kinsoku w:val="0"/>
                  <w:overflowPunct w:val="0"/>
                  <w:autoSpaceDE w:val="0"/>
                  <w:autoSpaceDN w:val="0"/>
                  <w:adjustRightInd w:val="0"/>
                  <w:snapToGrid w:val="0"/>
                  <w:ind w:right="180"/>
                  <w:jc w:val="center"/>
                  <w:rPr>
                    <w:color w:val="000000"/>
                    <w:szCs w:val="21"/>
                  </w:rPr>
                </w:pPr>
                <w:r>
                  <w:rPr>
                    <w:rFonts w:hint="eastAsia"/>
                    <w:szCs w:val="21"/>
                  </w:rPr>
                  <w:t>上期数</w:t>
                </w:r>
              </w:p>
            </w:tc>
          </w:sdtContent>
        </w:sdt>
        <w:sdt>
          <w:sdtPr>
            <w:tag w:val="_PLD_eb4e02e8ebf64df38689c7fedf0e031b"/>
            <w:id w:val="-1054146383"/>
          </w:sdtPr>
          <w:sdtContent>
            <w:tc>
              <w:tcPr>
                <w:tcW w:w="984" w:type="pct"/>
                <w:vAlign w:val="center"/>
              </w:tcPr>
              <w:p>
                <w:pPr>
                  <w:kinsoku w:val="0"/>
                  <w:overflowPunct w:val="0"/>
                  <w:autoSpaceDE w:val="0"/>
                  <w:autoSpaceDN w:val="0"/>
                  <w:adjustRightInd w:val="0"/>
                  <w:snapToGrid w:val="0"/>
                  <w:ind w:right="180"/>
                  <w:jc w:val="center"/>
                  <w:rPr>
                    <w:color w:val="000000"/>
                    <w:szCs w:val="21"/>
                  </w:rPr>
                </w:pPr>
                <w:r>
                  <w:rPr>
                    <w:rFonts w:hint="eastAsia"/>
                    <w:szCs w:val="21"/>
                  </w:rPr>
                  <w:t>期末数</w:t>
                </w:r>
              </w:p>
            </w:tc>
          </w:sdtContent>
        </w:sdt>
        <w:sdt>
          <w:sdtPr>
            <w:tag w:val="_PLD_52ac7649d8b34876beaddd780c59a8a1"/>
            <w:id w:val="-840153923"/>
          </w:sdtPr>
          <w:sdtContent>
            <w:tc>
              <w:tcPr>
                <w:tcW w:w="984" w:type="pct"/>
                <w:vAlign w:val="center"/>
              </w:tcPr>
              <w:p>
                <w:pPr>
                  <w:kinsoku w:val="0"/>
                  <w:overflowPunct w:val="0"/>
                  <w:autoSpaceDE w:val="0"/>
                  <w:autoSpaceDN w:val="0"/>
                  <w:adjustRightInd w:val="0"/>
                  <w:snapToGrid w:val="0"/>
                  <w:ind w:right="180"/>
                  <w:jc w:val="center"/>
                  <w:rPr>
                    <w:color w:val="000000"/>
                    <w:szCs w:val="21"/>
                  </w:rPr>
                </w:pPr>
                <w:r>
                  <w:rPr>
                    <w:rFonts w:hint="eastAsia"/>
                    <w:szCs w:val="21"/>
                  </w:rPr>
                  <w:t>期初数</w:t>
                </w:r>
              </w:p>
            </w:tc>
          </w:sdtContent>
        </w:sdt>
      </w:tr>
      <w:tr>
        <w:trPr>
          <w:jc w:val="center"/>
        </w:trPr>
        <w:tc>
          <w:tcPr>
            <w:tcW w:w="1064" w:type="pct"/>
          </w:tcPr>
          <w:p>
            <w:pPr>
              <w:kinsoku w:val="0"/>
              <w:overflowPunct w:val="0"/>
              <w:autoSpaceDE w:val="0"/>
              <w:autoSpaceDN w:val="0"/>
              <w:adjustRightInd w:val="0"/>
              <w:snapToGrid w:val="0"/>
              <w:rPr>
                <w:color w:val="000000"/>
                <w:szCs w:val="21"/>
              </w:rPr>
            </w:pPr>
            <w:r>
              <w:rPr>
                <w:rFonts w:hint="eastAsia"/>
                <w:szCs w:val="21"/>
              </w:rPr>
              <w:t>按中国会计准则</w:t>
            </w:r>
          </w:p>
        </w:tc>
        <w:tc>
          <w:tcPr>
            <w:tcW w:w="984" w:type="pct"/>
            <w:vAlign w:val="center"/>
          </w:tcPr>
          <w:p>
            <w:pPr>
              <w:jc w:val="right"/>
            </w:pPr>
            <w:r>
              <w:t xml:space="preserve">14,425,051 </w:t>
            </w:r>
          </w:p>
        </w:tc>
        <w:tc>
          <w:tcPr>
            <w:tcW w:w="984" w:type="pct"/>
            <w:vAlign w:val="center"/>
          </w:tcPr>
          <w:p>
            <w:pPr>
              <w:jc w:val="right"/>
            </w:pPr>
            <w:r>
              <w:t>20,143,947</w:t>
            </w:r>
          </w:p>
        </w:tc>
        <w:tc>
          <w:tcPr>
            <w:tcW w:w="984" w:type="pct"/>
            <w:vAlign w:val="center"/>
          </w:tcPr>
          <w:p>
            <w:pPr>
              <w:jc w:val="right"/>
            </w:pPr>
            <w:r>
              <w:t>82,594,456</w:t>
            </w:r>
          </w:p>
        </w:tc>
        <w:tc>
          <w:tcPr>
            <w:tcW w:w="984" w:type="pct"/>
            <w:vAlign w:val="center"/>
          </w:tcPr>
          <w:p>
            <w:pPr>
              <w:jc w:val="right"/>
            </w:pPr>
            <w:r>
              <w:t>72,827,965</w:t>
            </w:r>
          </w:p>
        </w:tc>
      </w:tr>
      <w:tr>
        <w:trPr>
          <w:jc w:val="center"/>
        </w:trPr>
        <w:sdt>
          <w:sdtPr>
            <w:tag w:val="_PLD_06fc3e6fa5c2436396cd98b45a0dc4eb"/>
            <w:id w:val="1258566672"/>
          </w:sdtPr>
          <w:sdtContent>
            <w:tc>
              <w:tcPr>
                <w:tcW w:w="5000" w:type="pct"/>
                <w:gridSpan w:val="5"/>
              </w:tcPr>
              <w:p>
                <w:pPr>
                  <w:kinsoku w:val="0"/>
                  <w:overflowPunct w:val="0"/>
                  <w:autoSpaceDE w:val="0"/>
                  <w:autoSpaceDN w:val="0"/>
                  <w:adjustRightInd w:val="0"/>
                  <w:snapToGrid w:val="0"/>
                  <w:ind w:right="180"/>
                  <w:rPr>
                    <w:szCs w:val="21"/>
                  </w:rPr>
                </w:pPr>
                <w:r>
                  <w:rPr>
                    <w:rFonts w:hint="eastAsia"/>
                    <w:szCs w:val="21"/>
                  </w:rPr>
                  <w:t>按国际会计准则调整的项目及金额：</w:t>
                </w:r>
              </w:p>
            </w:tc>
          </w:sdtContent>
        </w:sdt>
      </w:tr>
      <w:tr>
        <w:trPr>
          <w:jc w:val="center"/>
        </w:trPr>
        <w:tc>
          <w:tcPr>
            <w:tcW w:w="1064" w:type="pct"/>
          </w:tcPr>
          <w:p>
            <w:pPr>
              <w:pStyle w:val="affffffffffd"/>
            </w:pPr>
            <w:r>
              <w:t>1.专项储备</w:t>
            </w:r>
            <w:r>
              <w:rPr>
                <w:rFonts w:hint="eastAsia"/>
                <w:vertAlign w:val="superscript"/>
              </w:rPr>
              <w:t>①</w:t>
            </w:r>
          </w:p>
        </w:tc>
        <w:tc>
          <w:tcPr>
            <w:tcW w:w="984" w:type="pct"/>
            <w:vAlign w:val="center"/>
          </w:tcPr>
          <w:p>
            <w:pPr>
              <w:jc w:val="right"/>
            </w:pPr>
            <w:r>
              <w:t xml:space="preserve">482,460 </w:t>
            </w:r>
          </w:p>
        </w:tc>
        <w:tc>
          <w:tcPr>
            <w:tcW w:w="984" w:type="pct"/>
            <w:vAlign w:val="center"/>
          </w:tcPr>
          <w:p>
            <w:pPr>
              <w:jc w:val="right"/>
            </w:pPr>
            <w:r>
              <w:t>1,219,583</w:t>
            </w:r>
          </w:p>
        </w:tc>
        <w:tc>
          <w:tcPr>
            <w:tcW w:w="984" w:type="pct"/>
            <w:vAlign w:val="center"/>
          </w:tcPr>
          <w:p>
            <w:pPr>
              <w:jc w:val="right"/>
            </w:pPr>
            <w:r>
              <w:t>-24,703</w:t>
            </w:r>
          </w:p>
        </w:tc>
        <w:tc>
          <w:tcPr>
            <w:tcW w:w="984" w:type="pct"/>
            <w:vAlign w:val="center"/>
          </w:tcPr>
          <w:p>
            <w:pPr>
              <w:jc w:val="right"/>
            </w:pPr>
            <w:r>
              <w:t>-28,158</w:t>
            </w:r>
          </w:p>
        </w:tc>
      </w:tr>
      <w:tr>
        <w:trPr>
          <w:jc w:val="center"/>
        </w:trPr>
        <w:tc>
          <w:tcPr>
            <w:tcW w:w="1064" w:type="pct"/>
          </w:tcPr>
          <w:p>
            <w:pPr>
              <w:pStyle w:val="affffffffffd"/>
            </w:pPr>
            <w:r>
              <w:t>2.永续资本债券</w:t>
            </w:r>
            <w:r>
              <w:rPr>
                <w:rFonts w:hint="eastAsia"/>
                <w:vertAlign w:val="superscript"/>
              </w:rPr>
              <w:t>②</w:t>
            </w:r>
          </w:p>
        </w:tc>
        <w:tc>
          <w:tcPr>
            <w:tcW w:w="984" w:type="pct"/>
            <w:vAlign w:val="center"/>
          </w:tcPr>
          <w:p>
            <w:pPr>
              <w:jc w:val="right"/>
            </w:pPr>
            <w:r>
              <w:rPr>
                <w:rFonts w:hint="eastAsia"/>
              </w:rPr>
              <w:t>-</w:t>
            </w:r>
          </w:p>
        </w:tc>
        <w:tc>
          <w:tcPr>
            <w:tcW w:w="984" w:type="pct"/>
            <w:vAlign w:val="center"/>
          </w:tcPr>
          <w:p>
            <w:pPr>
              <w:jc w:val="right"/>
            </w:pPr>
            <w:r>
              <w:rPr>
                <w:rFonts w:hint="eastAsia"/>
              </w:rPr>
              <w:t>-</w:t>
            </w:r>
          </w:p>
        </w:tc>
        <w:tc>
          <w:tcPr>
            <w:tcW w:w="984" w:type="pct"/>
            <w:vAlign w:val="center"/>
          </w:tcPr>
          <w:p>
            <w:pPr>
              <w:jc w:val="right"/>
            </w:pPr>
            <w:r>
              <w:t>23,267,221</w:t>
            </w:r>
          </w:p>
        </w:tc>
        <w:tc>
          <w:tcPr>
            <w:tcW w:w="984" w:type="pct"/>
            <w:vAlign w:val="center"/>
          </w:tcPr>
          <w:p>
            <w:pPr>
              <w:jc w:val="right"/>
            </w:pPr>
            <w:r>
              <w:t>16,541,777</w:t>
            </w:r>
          </w:p>
        </w:tc>
      </w:tr>
      <w:tr>
        <w:trPr>
          <w:jc w:val="center"/>
        </w:trPr>
        <w:tc>
          <w:tcPr>
            <w:tcW w:w="1064" w:type="pct"/>
          </w:tcPr>
          <w:p>
            <w:pPr>
              <w:pStyle w:val="affffffffffd"/>
            </w:pPr>
            <w:r>
              <w:t>3.无形资产减值损</w:t>
            </w:r>
            <w:r>
              <w:lastRenderedPageBreak/>
              <w:t>失</w:t>
            </w:r>
            <w:r>
              <w:rPr>
                <w:rFonts w:hint="eastAsia"/>
                <w:vertAlign w:val="superscript"/>
              </w:rPr>
              <w:t>③</w:t>
            </w:r>
          </w:p>
        </w:tc>
        <w:tc>
          <w:tcPr>
            <w:tcW w:w="984" w:type="pct"/>
            <w:vAlign w:val="center"/>
          </w:tcPr>
          <w:p>
            <w:pPr>
              <w:jc w:val="right"/>
            </w:pPr>
            <w:r>
              <w:lastRenderedPageBreak/>
              <w:t xml:space="preserve">10,199 </w:t>
            </w:r>
          </w:p>
        </w:tc>
        <w:tc>
          <w:tcPr>
            <w:tcW w:w="984" w:type="pct"/>
            <w:vAlign w:val="center"/>
          </w:tcPr>
          <w:p>
            <w:pPr>
              <w:jc w:val="right"/>
            </w:pPr>
            <w:r>
              <w:t>10,199</w:t>
            </w:r>
          </w:p>
        </w:tc>
        <w:tc>
          <w:tcPr>
            <w:tcW w:w="984" w:type="pct"/>
            <w:vAlign w:val="center"/>
          </w:tcPr>
          <w:p>
            <w:pPr>
              <w:jc w:val="right"/>
            </w:pPr>
            <w:r>
              <w:t>-58,843</w:t>
            </w:r>
          </w:p>
        </w:tc>
        <w:tc>
          <w:tcPr>
            <w:tcW w:w="984" w:type="pct"/>
            <w:vAlign w:val="center"/>
          </w:tcPr>
          <w:p>
            <w:pPr>
              <w:jc w:val="right"/>
            </w:pPr>
            <w:r>
              <w:t>-69,042</w:t>
            </w:r>
          </w:p>
        </w:tc>
      </w:tr>
      <w:tr>
        <w:trPr>
          <w:jc w:val="center"/>
        </w:trPr>
        <w:tc>
          <w:tcPr>
            <w:tcW w:w="1064" w:type="pct"/>
          </w:tcPr>
          <w:p>
            <w:pPr>
              <w:pStyle w:val="affffffffffd"/>
            </w:pPr>
            <w:r>
              <w:t>4.递延税项</w:t>
            </w:r>
            <w:r>
              <w:rPr>
                <w:rFonts w:hint="eastAsia"/>
                <w:vertAlign w:val="superscript"/>
              </w:rPr>
              <w:t>④</w:t>
            </w:r>
          </w:p>
        </w:tc>
        <w:tc>
          <w:tcPr>
            <w:tcW w:w="984" w:type="pct"/>
            <w:vAlign w:val="center"/>
          </w:tcPr>
          <w:p>
            <w:pPr>
              <w:jc w:val="right"/>
            </w:pPr>
            <w:r>
              <w:t xml:space="preserve">-123,675 </w:t>
            </w:r>
          </w:p>
        </w:tc>
        <w:tc>
          <w:tcPr>
            <w:tcW w:w="984" w:type="pct"/>
            <w:vAlign w:val="center"/>
          </w:tcPr>
          <w:p>
            <w:pPr>
              <w:jc w:val="right"/>
            </w:pPr>
            <w:r>
              <w:t>-307,955</w:t>
            </w:r>
          </w:p>
        </w:tc>
        <w:tc>
          <w:tcPr>
            <w:tcW w:w="984" w:type="pct"/>
            <w:vAlign w:val="center"/>
          </w:tcPr>
          <w:p>
            <w:pPr>
              <w:jc w:val="right"/>
            </w:pPr>
            <w:r>
              <w:t>800,704</w:t>
            </w:r>
          </w:p>
        </w:tc>
        <w:tc>
          <w:tcPr>
            <w:tcW w:w="984" w:type="pct"/>
            <w:vAlign w:val="center"/>
          </w:tcPr>
          <w:p>
            <w:pPr>
              <w:jc w:val="right"/>
            </w:pPr>
            <w:r>
              <w:t>924,379</w:t>
            </w:r>
          </w:p>
        </w:tc>
      </w:tr>
      <w:tr>
        <w:trPr>
          <w:jc w:val="center"/>
        </w:trPr>
        <w:tc>
          <w:tcPr>
            <w:tcW w:w="1064" w:type="pct"/>
          </w:tcPr>
          <w:p>
            <w:pPr>
              <w:kinsoku w:val="0"/>
              <w:overflowPunct w:val="0"/>
              <w:autoSpaceDE w:val="0"/>
              <w:autoSpaceDN w:val="0"/>
              <w:adjustRightInd w:val="0"/>
              <w:snapToGrid w:val="0"/>
              <w:rPr>
                <w:color w:val="000000"/>
                <w:szCs w:val="21"/>
              </w:rPr>
            </w:pPr>
            <w:r>
              <w:rPr>
                <w:rFonts w:hint="eastAsia"/>
                <w:szCs w:val="21"/>
              </w:rPr>
              <w:t>按国际会计准则</w:t>
            </w:r>
          </w:p>
        </w:tc>
        <w:tc>
          <w:tcPr>
            <w:tcW w:w="984" w:type="pct"/>
            <w:vAlign w:val="center"/>
          </w:tcPr>
          <w:p>
            <w:pPr>
              <w:jc w:val="right"/>
            </w:pPr>
            <w:r>
              <w:t xml:space="preserve">14,056,067 </w:t>
            </w:r>
          </w:p>
        </w:tc>
        <w:tc>
          <w:tcPr>
            <w:tcW w:w="984" w:type="pct"/>
            <w:vAlign w:val="center"/>
          </w:tcPr>
          <w:p>
            <w:pPr>
              <w:jc w:val="right"/>
            </w:pPr>
            <w:r>
              <w:t>19,222,120</w:t>
            </w:r>
          </w:p>
        </w:tc>
        <w:tc>
          <w:tcPr>
            <w:tcW w:w="984" w:type="pct"/>
            <w:vAlign w:val="center"/>
          </w:tcPr>
          <w:p>
            <w:pPr>
              <w:jc w:val="right"/>
            </w:pPr>
            <w:r>
              <w:t>58,610,077</w:t>
            </w:r>
          </w:p>
        </w:tc>
        <w:tc>
          <w:tcPr>
            <w:tcW w:w="984" w:type="pct"/>
            <w:vAlign w:val="center"/>
          </w:tcPr>
          <w:p>
            <w:pPr>
              <w:jc w:val="right"/>
              <w:rPr>
                <w:highlight w:val="yellow"/>
              </w:rPr>
            </w:pPr>
            <w:r>
              <w:t>55,459,009</w:t>
            </w:r>
          </w:p>
        </w:tc>
      </w:tr>
    </w:tbl>
    <w:p>
      <w:pPr>
        <w:pStyle w:val="affffffd"/>
      </w:pPr>
    </w:p>
    <w:p>
      <w:pPr>
        <w:pStyle w:val="3"/>
        <w:numPr>
          <w:ilvl w:val="0"/>
          <w:numId w:val="6"/>
        </w:numPr>
        <w:ind w:left="0" w:firstLine="0"/>
        <w:rPr>
          <w:szCs w:val="21"/>
        </w:rPr>
      </w:pPr>
      <w:r>
        <w:rPr>
          <w:rFonts w:hint="eastAsia"/>
          <w:szCs w:val="21"/>
        </w:rPr>
        <w:t>同时按照境外会计准则与按中国会计准则披露的财务报告中净利润和归属于上市公司股东的净资产差异情况</w:t>
      </w:r>
    </w:p>
    <w:sdt>
      <w:sdtPr>
        <w:alias w:val="是否适用：同时按照境外会计准则与按中国会计准则披露的财务报告中净利润和净资产差异情况[双击切换]"/>
        <w:tag w:val="_GBC_a97367c44d2842a1bfb53d78727711bb"/>
        <w:id w:val="-1742636999"/>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d"/>
      </w:pPr>
    </w:p>
    <w:p>
      <w:pPr>
        <w:pStyle w:val="3"/>
        <w:numPr>
          <w:ilvl w:val="0"/>
          <w:numId w:val="6"/>
        </w:numPr>
        <w:ind w:left="0" w:firstLine="0"/>
        <w:rPr>
          <w:szCs w:val="21"/>
        </w:rPr>
      </w:pPr>
      <w:r>
        <w:rPr>
          <w:rFonts w:hint="eastAsia"/>
          <w:szCs w:val="21"/>
        </w:rPr>
        <w:t>境内外会计准则差异的说明：</w:t>
      </w:r>
    </w:p>
    <w:sdt>
      <w:sdtPr>
        <w:alias w:val="是否适用：境内外会计准则差异的说明[双击切换]"/>
        <w:tag w:val="_GBC_fb9a5edc484f49ab948423fc0bade519"/>
        <w:id w:val="-1875142569"/>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国内外会计准则差异的说明"/>
        <w:tag w:val="_GBC_0abbe754ce6d409bb5d479143230476f"/>
        <w:id w:val="-1380236904"/>
        <w:placeholder>
          <w:docPart w:val="GBC22222222222222222222222222222"/>
        </w:placeholder>
      </w:sdtPr>
      <w:sdtContent>
        <w:p>
          <w:pPr>
            <w:pStyle w:val="affffffd"/>
            <w:ind w:firstLineChars="200" w:firstLine="420"/>
            <w:jc w:val="both"/>
          </w:pPr>
          <w:r>
            <w:rPr>
              <w:rFonts w:hint="eastAsia"/>
            </w:rPr>
            <w:t>注</w:t>
          </w:r>
          <w:r>
            <w:t>：</w:t>
          </w:r>
        </w:p>
        <w:p>
          <w:pPr>
            <w:pStyle w:val="affffffd"/>
            <w:ind w:firstLineChars="200" w:firstLine="420"/>
            <w:jc w:val="both"/>
          </w:pPr>
          <w:r>
            <w:rPr>
              <w:rFonts w:hint="eastAsia"/>
            </w:rPr>
            <w:t>①</w:t>
          </w:r>
          <w:r>
            <w:t>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pStyle w:val="affffffd"/>
            <w:ind w:firstLineChars="200" w:firstLine="420"/>
            <w:jc w:val="both"/>
          </w:pPr>
          <w:r>
            <w:rPr>
              <w:rFonts w:hint="eastAsia"/>
            </w:rPr>
            <w:t>②</w:t>
          </w:r>
          <w:r>
            <w:t>根据中国会计准则，母公司发行的永续资本债券在报表中列示于归属于母公司的所有者权益中，子公司发行的永续资本债券在报表中列示于少数股东权益，而在国际准则中需要在权益变动表单独列示。</w:t>
          </w:r>
        </w:p>
        <w:p>
          <w:pPr>
            <w:pStyle w:val="affffffd"/>
            <w:ind w:firstLineChars="200" w:firstLine="420"/>
            <w:jc w:val="both"/>
          </w:pPr>
          <w:r>
            <w:rPr>
              <w:rFonts w:hint="eastAsia"/>
            </w:rPr>
            <w:t>③</w:t>
          </w:r>
          <w:r>
            <w:t>根据中国会计准则，长期资产减值准备一经确认，不得转回，在国际准则下，长期资产减值准备可以转回。</w:t>
          </w:r>
        </w:p>
        <w:p>
          <w:pPr>
            <w:pStyle w:val="affffffd"/>
            <w:ind w:firstLineChars="200" w:firstLine="420"/>
            <w:jc w:val="both"/>
          </w:pPr>
          <w:r>
            <w:rPr>
              <w:rFonts w:hint="eastAsia"/>
            </w:rPr>
            <w:t>④</w:t>
          </w:r>
          <w:r>
            <w:t>上述准则差异同时带来税务及少数股东权益的影响差异。</w:t>
          </w:r>
        </w:p>
      </w:sdtContent>
    </w:sdt>
    <w:p>
      <w:pPr>
        <w:pStyle w:val="affffffd"/>
      </w:pPr>
    </w:p>
    <w:p>
      <w:pPr>
        <w:pStyle w:val="2"/>
        <w:numPr>
          <w:ilvl w:val="1"/>
          <w:numId w:val="4"/>
        </w:numPr>
        <w:ind w:left="498" w:hangingChars="236" w:hanging="498"/>
        <w:rPr>
          <w:u w:val="single"/>
        </w:rPr>
      </w:pPr>
      <w:bookmarkStart w:id="30" w:name="_Hlk192239557"/>
      <w:r>
        <w:rPr>
          <w:rFonts w:hint="eastAsia"/>
        </w:rPr>
        <w:t>2024</w:t>
      </w:r>
      <w:r>
        <w:rPr>
          <w:rFonts w:hint="eastAsia"/>
        </w:rPr>
        <w:t>年分季度主要财务数据</w:t>
      </w:r>
    </w:p>
    <w:p>
      <w:pPr>
        <w:jc w:val="right"/>
        <w:rPr>
          <w:szCs w:val="21"/>
        </w:rPr>
      </w:pPr>
      <w:r>
        <w:rPr>
          <w:rFonts w:hint="eastAsia"/>
          <w:szCs w:val="21"/>
        </w:rPr>
        <w:t>单位：</w:t>
      </w:r>
      <w:sdt>
        <w:sdtPr>
          <w:rPr>
            <w:rFonts w:hint="eastAsia"/>
            <w:szCs w:val="21"/>
          </w:rPr>
          <w:alias w:val="单位：分季度主要财务数据"/>
          <w:tag w:val="_GBC_c7bf8a69799342519e2da375e77f8d89"/>
          <w:id w:val="-14126150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分季度主要财务数据"/>
          <w:tag w:val="_GBC_e825fbcd15674ffd86165e4ed7dcbbaf"/>
          <w:id w:val="11799289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1797"/>
        <w:gridCol w:w="1520"/>
        <w:gridCol w:w="1519"/>
        <w:gridCol w:w="1641"/>
      </w:tblGrid>
      <w:tr>
        <w:tc>
          <w:tcPr>
            <w:tcW w:w="1329" w:type="pct"/>
            <w:vAlign w:val="center"/>
          </w:tcPr>
          <w:p>
            <w:pPr>
              <w:widowControl w:val="0"/>
              <w:jc w:val="center"/>
            </w:pPr>
          </w:p>
        </w:tc>
        <w:sdt>
          <w:sdtPr>
            <w:tag w:val="_PLD_2d7ae3b1c4bd43a98e284f10d0bdc51f"/>
            <w:id w:val="-946767144"/>
          </w:sdtPr>
          <w:sdtContent>
            <w:tc>
              <w:tcPr>
                <w:tcW w:w="1018" w:type="pct"/>
                <w:vAlign w:val="center"/>
              </w:tcPr>
              <w:p>
                <w:pPr>
                  <w:widowControl w:val="0"/>
                  <w:jc w:val="center"/>
                </w:pPr>
                <w:r>
                  <w:rPr>
                    <w:rFonts w:hint="eastAsia"/>
                  </w:rPr>
                  <w:t>第一季度</w:t>
                </w:r>
              </w:p>
              <w:p>
                <w:pPr>
                  <w:widowControl w:val="0"/>
                  <w:jc w:val="center"/>
                </w:pPr>
                <w:r>
                  <w:rPr>
                    <w:rFonts w:hint="eastAsia"/>
                  </w:rPr>
                  <w:t>（1-3月份）</w:t>
                </w:r>
              </w:p>
            </w:tc>
          </w:sdtContent>
        </w:sdt>
        <w:sdt>
          <w:sdtPr>
            <w:tag w:val="_PLD_07258d0e3e7e4393960c3400b24cda70"/>
            <w:id w:val="164989625"/>
          </w:sdtPr>
          <w:sdtContent>
            <w:tc>
              <w:tcPr>
                <w:tcW w:w="861" w:type="pct"/>
                <w:vAlign w:val="center"/>
              </w:tcPr>
              <w:p>
                <w:pPr>
                  <w:widowControl w:val="0"/>
                  <w:jc w:val="center"/>
                </w:pPr>
                <w:r>
                  <w:rPr>
                    <w:rFonts w:hint="eastAsia"/>
                  </w:rPr>
                  <w:t>第二季度</w:t>
                </w:r>
              </w:p>
              <w:p>
                <w:pPr>
                  <w:widowControl w:val="0"/>
                  <w:jc w:val="center"/>
                </w:pPr>
                <w:r>
                  <w:rPr>
                    <w:rFonts w:hint="eastAsia"/>
                  </w:rPr>
                  <w:t>（4-6月份）</w:t>
                </w:r>
              </w:p>
            </w:tc>
          </w:sdtContent>
        </w:sdt>
        <w:sdt>
          <w:sdtPr>
            <w:tag w:val="_PLD_f34790307d174eceaa953001c5186096"/>
            <w:id w:val="795809043"/>
          </w:sdtPr>
          <w:sdtContent>
            <w:tc>
              <w:tcPr>
                <w:tcW w:w="861" w:type="pct"/>
                <w:vAlign w:val="center"/>
              </w:tcPr>
              <w:p>
                <w:pPr>
                  <w:widowControl w:val="0"/>
                  <w:jc w:val="center"/>
                </w:pPr>
                <w:r>
                  <w:rPr>
                    <w:rFonts w:hint="eastAsia"/>
                  </w:rPr>
                  <w:t>第三季度</w:t>
                </w:r>
              </w:p>
              <w:p>
                <w:pPr>
                  <w:widowControl w:val="0"/>
                  <w:jc w:val="center"/>
                </w:pPr>
                <w:r>
                  <w:rPr>
                    <w:rFonts w:hint="eastAsia"/>
                  </w:rPr>
                  <w:t>（7-9月份）</w:t>
                </w:r>
              </w:p>
            </w:tc>
          </w:sdtContent>
        </w:sdt>
        <w:sdt>
          <w:sdtPr>
            <w:tag w:val="_PLD_18cc80c8863d4859a79676f49ef83412"/>
            <w:id w:val="-874855621"/>
          </w:sdtPr>
          <w:sdtContent>
            <w:tc>
              <w:tcPr>
                <w:tcW w:w="930" w:type="pct"/>
                <w:vAlign w:val="center"/>
              </w:tcPr>
              <w:p>
                <w:pPr>
                  <w:widowControl w:val="0"/>
                  <w:jc w:val="center"/>
                </w:pPr>
                <w:r>
                  <w:rPr>
                    <w:rFonts w:hint="eastAsia"/>
                  </w:rPr>
                  <w:t>第四季度</w:t>
                </w:r>
              </w:p>
              <w:p>
                <w:pPr>
                  <w:widowControl w:val="0"/>
                  <w:jc w:val="center"/>
                </w:pPr>
                <w:r>
                  <w:rPr>
                    <w:rFonts w:hint="eastAsia"/>
                  </w:rPr>
                  <w:t>（10-12月份）</w:t>
                </w:r>
              </w:p>
            </w:tc>
          </w:sdtContent>
        </w:sdt>
      </w:tr>
      <w:tr>
        <w:tc>
          <w:tcPr>
            <w:tcW w:w="1329" w:type="pct"/>
          </w:tcPr>
          <w:p>
            <w:pPr>
              <w:widowControl w:val="0"/>
              <w:jc w:val="both"/>
            </w:pPr>
            <w:r>
              <w:rPr>
                <w:rFonts w:hint="eastAsia"/>
                <w:szCs w:val="21"/>
              </w:rPr>
              <w:t>营业收入</w:t>
            </w:r>
          </w:p>
        </w:tc>
        <w:tc>
          <w:tcPr>
            <w:tcW w:w="1018" w:type="pct"/>
            <w:vAlign w:val="center"/>
          </w:tcPr>
          <w:p>
            <w:pPr>
              <w:jc w:val="right"/>
            </w:pPr>
            <w:r>
              <w:t>39,633,384</w:t>
            </w:r>
          </w:p>
        </w:tc>
        <w:tc>
          <w:tcPr>
            <w:tcW w:w="861" w:type="pct"/>
            <w:vAlign w:val="center"/>
          </w:tcPr>
          <w:p>
            <w:pPr>
              <w:jc w:val="right"/>
            </w:pPr>
            <w:r>
              <w:t>32,678,196</w:t>
            </w:r>
          </w:p>
        </w:tc>
        <w:tc>
          <w:tcPr>
            <w:tcW w:w="861" w:type="pct"/>
            <w:vAlign w:val="center"/>
          </w:tcPr>
          <w:p>
            <w:pPr>
              <w:jc w:val="right"/>
            </w:pPr>
            <w:r>
              <w:t>34,321,200</w:t>
            </w:r>
          </w:p>
        </w:tc>
        <w:tc>
          <w:tcPr>
            <w:tcW w:w="930" w:type="pct"/>
            <w:vAlign w:val="center"/>
          </w:tcPr>
          <w:p>
            <w:pPr>
              <w:jc w:val="right"/>
            </w:pPr>
            <w:r>
              <w:t xml:space="preserve">32,491,654 </w:t>
            </w:r>
          </w:p>
        </w:tc>
      </w:tr>
      <w:tr>
        <w:tc>
          <w:tcPr>
            <w:tcW w:w="1329" w:type="pct"/>
          </w:tcPr>
          <w:p>
            <w:pPr>
              <w:widowControl w:val="0"/>
              <w:jc w:val="both"/>
            </w:pPr>
            <w:r>
              <w:rPr>
                <w:rFonts w:hint="eastAsia"/>
                <w:szCs w:val="21"/>
              </w:rPr>
              <w:t>归属于上市公司股东的净利润</w:t>
            </w:r>
          </w:p>
        </w:tc>
        <w:tc>
          <w:tcPr>
            <w:tcW w:w="1018" w:type="pct"/>
            <w:vAlign w:val="center"/>
          </w:tcPr>
          <w:p>
            <w:pPr>
              <w:jc w:val="right"/>
            </w:pPr>
            <w:r>
              <w:t>3,756,802</w:t>
            </w:r>
          </w:p>
        </w:tc>
        <w:tc>
          <w:tcPr>
            <w:tcW w:w="861" w:type="pct"/>
            <w:vAlign w:val="center"/>
          </w:tcPr>
          <w:p>
            <w:pPr>
              <w:jc w:val="right"/>
            </w:pPr>
            <w:r>
              <w:t>3,811,516</w:t>
            </w:r>
          </w:p>
        </w:tc>
        <w:tc>
          <w:tcPr>
            <w:tcW w:w="861" w:type="pct"/>
            <w:vAlign w:val="center"/>
          </w:tcPr>
          <w:p>
            <w:pPr>
              <w:jc w:val="right"/>
            </w:pPr>
            <w:r>
              <w:t>3,836,833</w:t>
            </w:r>
          </w:p>
        </w:tc>
        <w:tc>
          <w:tcPr>
            <w:tcW w:w="930" w:type="pct"/>
            <w:vAlign w:val="center"/>
          </w:tcPr>
          <w:p>
            <w:pPr>
              <w:jc w:val="right"/>
            </w:pPr>
            <w:r>
              <w:t xml:space="preserve">3,019,900 </w:t>
            </w:r>
          </w:p>
        </w:tc>
      </w:tr>
      <w:tr>
        <w:tc>
          <w:tcPr>
            <w:tcW w:w="1329" w:type="pct"/>
          </w:tcPr>
          <w:p>
            <w:pPr>
              <w:widowControl w:val="0"/>
              <w:jc w:val="both"/>
            </w:pPr>
            <w:r>
              <w:rPr>
                <w:rFonts w:hint="eastAsia"/>
                <w:szCs w:val="21"/>
              </w:rPr>
              <w:t>归属于上市公司股东的扣除非经常性损益后的净利润</w:t>
            </w:r>
          </w:p>
        </w:tc>
        <w:tc>
          <w:tcPr>
            <w:tcW w:w="1018" w:type="pct"/>
            <w:vAlign w:val="center"/>
          </w:tcPr>
          <w:p>
            <w:pPr>
              <w:jc w:val="right"/>
            </w:pPr>
            <w:r>
              <w:t>3,667,192</w:t>
            </w:r>
          </w:p>
        </w:tc>
        <w:tc>
          <w:tcPr>
            <w:tcW w:w="861" w:type="pct"/>
            <w:vAlign w:val="center"/>
          </w:tcPr>
          <w:p>
            <w:pPr>
              <w:jc w:val="right"/>
            </w:pPr>
            <w:r>
              <w:t>3,631,193</w:t>
            </w:r>
          </w:p>
        </w:tc>
        <w:tc>
          <w:tcPr>
            <w:tcW w:w="861" w:type="pct"/>
            <w:vAlign w:val="center"/>
          </w:tcPr>
          <w:p>
            <w:pPr>
              <w:jc w:val="right"/>
            </w:pPr>
            <w:r>
              <w:t>3,752,254</w:t>
            </w:r>
          </w:p>
        </w:tc>
        <w:tc>
          <w:tcPr>
            <w:tcW w:w="930" w:type="pct"/>
            <w:vAlign w:val="center"/>
          </w:tcPr>
          <w:p>
            <w:pPr>
              <w:jc w:val="right"/>
            </w:pPr>
            <w:r>
              <w:t xml:space="preserve">2,839,978 </w:t>
            </w:r>
          </w:p>
        </w:tc>
      </w:tr>
      <w:tr>
        <w:tc>
          <w:tcPr>
            <w:tcW w:w="1329" w:type="pct"/>
          </w:tcPr>
          <w:p>
            <w:pPr>
              <w:widowControl w:val="0"/>
              <w:jc w:val="both"/>
            </w:pPr>
            <w:r>
              <w:rPr>
                <w:rFonts w:hint="eastAsia"/>
                <w:szCs w:val="21"/>
              </w:rPr>
              <w:t>经营活动产生的现金流量净额</w:t>
            </w:r>
          </w:p>
        </w:tc>
        <w:tc>
          <w:tcPr>
            <w:tcW w:w="1018" w:type="pct"/>
            <w:vAlign w:val="center"/>
          </w:tcPr>
          <w:p>
            <w:pPr>
              <w:jc w:val="right"/>
            </w:pPr>
            <w:r>
              <w:t>5,468,499</w:t>
            </w:r>
          </w:p>
        </w:tc>
        <w:tc>
          <w:tcPr>
            <w:tcW w:w="861" w:type="pct"/>
            <w:vAlign w:val="center"/>
          </w:tcPr>
          <w:p>
            <w:pPr>
              <w:jc w:val="right"/>
            </w:pPr>
            <w:r>
              <w:t>7,151,917</w:t>
            </w:r>
          </w:p>
        </w:tc>
        <w:tc>
          <w:tcPr>
            <w:tcW w:w="861" w:type="pct"/>
            <w:vAlign w:val="center"/>
          </w:tcPr>
          <w:p>
            <w:pPr>
              <w:jc w:val="right"/>
            </w:pPr>
            <w:r>
              <w:t>5,607,942</w:t>
            </w:r>
          </w:p>
        </w:tc>
        <w:tc>
          <w:tcPr>
            <w:tcW w:w="930" w:type="pct"/>
            <w:vAlign w:val="center"/>
          </w:tcPr>
          <w:p>
            <w:pPr>
              <w:jc w:val="right"/>
            </w:pPr>
            <w:r>
              <w:t xml:space="preserve">4,113,568 </w:t>
            </w:r>
          </w:p>
        </w:tc>
      </w:tr>
      <w:bookmarkEnd w:id="30"/>
    </w:tbl>
    <w:p>
      <w:pPr>
        <w:pStyle w:val="affffffd"/>
      </w:pPr>
    </w:p>
    <w:p>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4341504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季度数据与已披露定期报告数据差异说明"/>
        <w:tag w:val="_GBC_25611baa6e8c46288aaacb6a177031a7"/>
        <w:id w:val="-2104020608"/>
        <w:placeholder>
          <w:docPart w:val="GBC22222222222222222222222222222"/>
        </w:placeholder>
      </w:sdtPr>
      <w:sdtContent>
        <w:p>
          <w:pPr>
            <w:ind w:firstLineChars="200" w:firstLine="420"/>
            <w:rPr>
              <w:szCs w:val="21"/>
            </w:rPr>
          </w:pPr>
          <w:r>
            <w:rPr>
              <w:rFonts w:hint="eastAsia"/>
              <w:szCs w:val="21"/>
            </w:rPr>
            <w:t>报告期内，公司合并了国拓科技的财务报表。根据中国会计准则，上述事项构成了同一控制下企业合并，本集团对以前期间相关财务数据进行了追溯调整。上表第一季度财务指标与已披露的数据不同。</w:t>
          </w:r>
        </w:p>
      </w:sdtContent>
    </w:sdt>
    <w:p>
      <w:pPr>
        <w:pStyle w:val="affffffd"/>
      </w:pPr>
    </w:p>
    <w:p>
      <w:pPr>
        <w:pStyle w:val="2"/>
        <w:numPr>
          <w:ilvl w:val="1"/>
          <w:numId w:val="4"/>
        </w:numPr>
        <w:ind w:left="498" w:hangingChars="236" w:hanging="498"/>
        <w:rPr>
          <w:u w:val="single"/>
        </w:rPr>
      </w:pPr>
      <w:bookmarkStart w:id="31" w:name="_Hlk24640273"/>
      <w:bookmarkStart w:id="32" w:name="_Hlk152579713"/>
      <w:r>
        <w:rPr>
          <w:rFonts w:hint="eastAsia"/>
        </w:rPr>
        <w:t>非经常性损益项目和金额</w:t>
      </w:r>
    </w:p>
    <w:sdt>
      <w:sdtPr>
        <w:rPr>
          <w:szCs w:val="21"/>
        </w:rPr>
        <w:alias w:val="是否适用：扣除非经常性损益项目和金额[双击切换]"/>
        <w:tag w:val="_GBC_d311c3479a4945ceb1266734910915b6"/>
        <w:id w:val="1362177097"/>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120471c8e4434d7bbf8c91141121ab39"/>
          <w:id w:val="1147020216"/>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8d756f42e06c4610a2149f35e1d51a62"/>
          <w:id w:val="-1983445306"/>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7"/>
        <w:tblW w:w="5000" w:type="pct"/>
        <w:tblLook w:val="04A0" w:firstRow="1" w:lastRow="0" w:firstColumn="1" w:lastColumn="0" w:noHBand="0" w:noVBand="1"/>
      </w:tblPr>
      <w:tblGrid>
        <w:gridCol w:w="3888"/>
        <w:gridCol w:w="1653"/>
        <w:gridCol w:w="1650"/>
        <w:gridCol w:w="1632"/>
      </w:tblGrid>
      <w:tr>
        <w:sdt>
          <w:sdtPr>
            <w:tag w:val="_PLD_451a5b1d22614c45b1fbba1d8acc3cbb"/>
            <w:id w:val="471030081"/>
          </w:sdtPr>
          <w:sdtContent>
            <w:tc>
              <w:tcPr>
                <w:tcW w:w="2203" w:type="pct"/>
                <w:vAlign w:val="center"/>
              </w:tcPr>
              <w:p>
                <w:pPr>
                  <w:pStyle w:val="afffffb"/>
                  <w:ind w:firstLineChars="0" w:firstLine="0"/>
                  <w:jc w:val="center"/>
                  <w:rPr>
                    <w:rFonts w:ascii="宋体" w:hAnsi="宋体"/>
                  </w:rPr>
                </w:pPr>
                <w:r>
                  <w:rPr>
                    <w:rFonts w:ascii="宋体" w:hAnsi="宋体" w:hint="eastAsia"/>
                  </w:rPr>
                  <w:t>非经常性损益项目</w:t>
                </w:r>
              </w:p>
            </w:tc>
          </w:sdtContent>
        </w:sdt>
        <w:sdt>
          <w:sdtPr>
            <w:tag w:val="_PLD_75a853b22038430db055de446a19d683"/>
            <w:id w:val="1941484477"/>
          </w:sdtPr>
          <w:sdtContent>
            <w:tc>
              <w:tcPr>
                <w:tcW w:w="937" w:type="pct"/>
                <w:vAlign w:val="center"/>
              </w:tcPr>
              <w:p>
                <w:pPr>
                  <w:pStyle w:val="afffffb"/>
                  <w:ind w:firstLineChars="0" w:firstLine="0"/>
                  <w:jc w:val="center"/>
                  <w:rPr>
                    <w:rFonts w:ascii="宋体" w:hAnsi="宋体"/>
                  </w:rPr>
                </w:pPr>
                <w:r>
                  <w:rPr>
                    <w:rFonts w:ascii="宋体" w:hAnsi="宋体" w:hint="eastAsia"/>
                  </w:rPr>
                  <w:t>2024年金额</w:t>
                </w:r>
              </w:p>
            </w:tc>
          </w:sdtContent>
        </w:sdt>
        <w:sdt>
          <w:sdtPr>
            <w:tag w:val="_PLD_7178520950424696adfe1eb7e010035c"/>
            <w:id w:val="-1153986024"/>
          </w:sdtPr>
          <w:sdtContent>
            <w:tc>
              <w:tcPr>
                <w:tcW w:w="935" w:type="pct"/>
                <w:vAlign w:val="center"/>
              </w:tcPr>
              <w:p>
                <w:pPr>
                  <w:pStyle w:val="afffffb"/>
                  <w:ind w:firstLineChars="0" w:firstLine="0"/>
                  <w:jc w:val="center"/>
                  <w:rPr>
                    <w:rFonts w:ascii="宋体" w:hAnsi="宋体"/>
                  </w:rPr>
                </w:pPr>
                <w:r>
                  <w:rPr>
                    <w:rFonts w:ascii="宋体" w:hAnsi="宋体" w:hint="eastAsia"/>
                  </w:rPr>
                  <w:t>2023年金额</w:t>
                </w:r>
              </w:p>
            </w:tc>
          </w:sdtContent>
        </w:sdt>
        <w:sdt>
          <w:sdtPr>
            <w:tag w:val="_PLD_870e9453ef9d4928968c60216a29f211"/>
            <w:id w:val="-246341420"/>
          </w:sdtPr>
          <w:sdtContent>
            <w:tc>
              <w:tcPr>
                <w:tcW w:w="925" w:type="pct"/>
                <w:vAlign w:val="center"/>
              </w:tcPr>
              <w:p>
                <w:pPr>
                  <w:pStyle w:val="afffffb"/>
                  <w:ind w:firstLineChars="0" w:firstLine="0"/>
                  <w:jc w:val="center"/>
                  <w:rPr>
                    <w:rFonts w:ascii="宋体" w:hAnsi="宋体"/>
                  </w:rPr>
                </w:pPr>
                <w:r>
                  <w:rPr>
                    <w:rFonts w:ascii="宋体" w:hAnsi="宋体" w:hint="eastAsia"/>
                  </w:rPr>
                  <w:t>2022年金额</w:t>
                </w:r>
              </w:p>
            </w:tc>
          </w:sdtContent>
        </w:sdt>
      </w:tr>
      <w:tr>
        <w:sdt>
          <w:sdtPr>
            <w:tag w:val="_PLD_c1592f91a0de4659bb3a5620170d91a8"/>
            <w:id w:val="-1122304808"/>
          </w:sdtPr>
          <w:sdtContent>
            <w:tc>
              <w:tcPr>
                <w:tcW w:w="2203" w:type="pct"/>
              </w:tcPr>
              <w:p>
                <w:pPr>
                  <w:pStyle w:val="afffffb"/>
                  <w:ind w:firstLineChars="0" w:firstLine="0"/>
                  <w:jc w:val="left"/>
                </w:pPr>
                <w:r>
                  <w:t>非流动</w:t>
                </w:r>
                <w:r>
                  <w:rPr>
                    <w:rFonts w:hint="eastAsia"/>
                  </w:rPr>
                  <w:t>性</w:t>
                </w:r>
                <w:r>
                  <w:t>资产处置损益</w:t>
                </w:r>
                <w:r>
                  <w:rPr>
                    <w:rFonts w:hint="eastAsia"/>
                  </w:rPr>
                  <w:t>，包括已计提资</w:t>
                </w:r>
                <w:r>
                  <w:rPr>
                    <w:rFonts w:hint="eastAsia"/>
                  </w:rPr>
                  <w:lastRenderedPageBreak/>
                  <w:t>产减值准备的冲销部分</w:t>
                </w:r>
              </w:p>
            </w:tc>
          </w:sdtContent>
        </w:sdt>
        <w:sdt>
          <w:sdtPr>
            <w:alias w:val="非流动性资产处置损益，包括已计提资产减值准备的冲销部分（非经常性损益项目）"/>
            <w:tag w:val="_GBC_c496f3613fd8455da446236944e78ea6"/>
            <w:id w:val="-1175178744"/>
            <w:dataBinding w:prefixMappings="xmlns:clcid-pte='clcid-pte'" w:xpath="/*/clcid-pte:FeiLiuDongXingZiChanChuZhiSunYiBaoKuoYiJiTiZiChanJianZhiZhunBeiDeChongXiaoBuFenFeiJingChangXingSunYiXiangMu[not(@periodRef)]" w:storeItemID="{89EBAB94-44A0-46A2-B712-30D997D04A6D}"/>
            <w:text/>
          </w:sdtPr>
          <w:sdtContent>
            <w:tc>
              <w:tcPr>
                <w:tcW w:w="937" w:type="pct"/>
                <w:vAlign w:val="center"/>
              </w:tcPr>
              <w:p>
                <w:pPr>
                  <w:jc w:val="right"/>
                </w:pPr>
                <w:r>
                  <w:t xml:space="preserve">357,575 </w:t>
                </w:r>
              </w:p>
            </w:tc>
          </w:sdtContent>
        </w:sdt>
        <w:tc>
          <w:tcPr>
            <w:tcW w:w="935" w:type="pct"/>
            <w:vAlign w:val="center"/>
          </w:tcPr>
          <w:p>
            <w:pPr>
              <w:jc w:val="right"/>
            </w:pPr>
            <w:r>
              <w:rPr>
                <w:rFonts w:hint="eastAsia"/>
              </w:rPr>
              <w:t>-21,668</w:t>
            </w:r>
          </w:p>
        </w:tc>
        <w:tc>
          <w:tcPr>
            <w:tcW w:w="925" w:type="pct"/>
            <w:vAlign w:val="center"/>
          </w:tcPr>
          <w:p>
            <w:pPr>
              <w:jc w:val="right"/>
            </w:pPr>
            <w:r>
              <w:rPr>
                <w:rFonts w:hint="eastAsia"/>
              </w:rPr>
              <w:t>22,832</w:t>
            </w:r>
          </w:p>
        </w:tc>
      </w:tr>
      <w:tr>
        <w:sdt>
          <w:sdtPr>
            <w:tag w:val="_PLD_55787d84c6374d54abef27ab1f5bfb44"/>
            <w:id w:val="-1097015610"/>
          </w:sdtPr>
          <w:sdtContent>
            <w:tc>
              <w:tcPr>
                <w:tcW w:w="2203" w:type="pct"/>
              </w:tcPr>
              <w:p>
                <w:pPr>
                  <w:pStyle w:val="afffffb"/>
                  <w:ind w:firstLineChars="0" w:firstLine="0"/>
                  <w:jc w:val="left"/>
                </w:pPr>
                <w:r>
                  <w:t>计入当期损益的政府补助</w:t>
                </w:r>
                <w:r>
                  <w:rPr>
                    <w:rFonts w:hint="eastAsia"/>
                  </w:rPr>
                  <w:t>，但与公司正常经营业务密切相关、符合国家政策规定、按照确定的标准享有、对公司损益产生持续影响的政府补助除外</w:t>
                </w:r>
              </w:p>
            </w:tc>
          </w:sdtContent>
        </w:sdt>
        <w:sdt>
          <w:sdtPr>
            <w:alias w:val="计入当期损益的政府补助，但与公司正常经营业务密切相关，符合国家政策规定、按照一定标准定额或定量持续享受的政府补助除外（非经常性损"/>
            <w:tag w:val="_GBC_684dd135702d42389be13fe5b1af7dfd"/>
            <w:id w:val="-1403529829"/>
            <w:dataBinding w:prefixMappings="xmlns:clcid-pte='clcid-pte'" w:xpath="/*/clcid-pte:FeiJingChangXingSunYiZhongGeZhongXingShiDeZhengFuBuTie[not(@periodRef)]" w:storeItemID="{89EBAB94-44A0-46A2-B712-30D997D04A6D}"/>
            <w:text/>
          </w:sdtPr>
          <w:sdtContent>
            <w:tc>
              <w:tcPr>
                <w:tcW w:w="937" w:type="pct"/>
                <w:vAlign w:val="center"/>
              </w:tcPr>
              <w:p>
                <w:pPr>
                  <w:jc w:val="right"/>
                </w:pPr>
                <w:r>
                  <w:t xml:space="preserve"> 322,303 </w:t>
                </w:r>
              </w:p>
            </w:tc>
          </w:sdtContent>
        </w:sdt>
        <w:tc>
          <w:tcPr>
            <w:tcW w:w="935" w:type="pct"/>
            <w:vAlign w:val="center"/>
          </w:tcPr>
          <w:p>
            <w:pPr>
              <w:jc w:val="right"/>
            </w:pPr>
            <w:r>
              <w:rPr>
                <w:rFonts w:hint="eastAsia"/>
              </w:rPr>
              <w:t>264,378</w:t>
            </w:r>
          </w:p>
        </w:tc>
        <w:tc>
          <w:tcPr>
            <w:tcW w:w="925" w:type="pct"/>
            <w:vAlign w:val="center"/>
          </w:tcPr>
          <w:p>
            <w:pPr>
              <w:jc w:val="right"/>
            </w:pPr>
            <w:r>
              <w:rPr>
                <w:rFonts w:hint="eastAsia"/>
              </w:rPr>
              <w:t>176,633</w:t>
            </w:r>
          </w:p>
        </w:tc>
      </w:tr>
      <w:tr>
        <w:tc>
          <w:tcPr>
            <w:tcW w:w="2203" w:type="pct"/>
          </w:tcPr>
          <w:sdt>
            <w:sdtPr>
              <w:tag w:val="_PLD_a7d8134159f24bc0b38248ac1753e634"/>
              <w:id w:val="302058418"/>
            </w:sdtPr>
            <w:sdtContent>
              <w:p>
                <w:pPr>
                  <w:pStyle w:val="afffffb"/>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sdtContent>
          </w:sdt>
        </w:tc>
        <w:sdt>
          <w:sdtPr>
            <w:alias w:val="除同公司正常经营业务相关的有效套期保值业务外，持有交易性金融资产、衍生金融资产、交易性金融负债、衍生金融负债产生的公允价值变动损"/>
            <w:tag w:val="_GBC_1b0ec51ade214acf8600e6a3b1aa5521"/>
            <w:id w:val="-28954018"/>
            <w:dataBinding w:prefixMappings="xmlns:clcid-pte='clcid-pte'" w:xpath="/*/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not(@periodRef)]" w:storeItemID="{89EBAB94-44A0-46A2-B712-30D997D04A6D}"/>
            <w:text/>
          </w:sdtPr>
          <w:sdtContent>
            <w:tc>
              <w:tcPr>
                <w:tcW w:w="937" w:type="pct"/>
                <w:vAlign w:val="center"/>
              </w:tcPr>
              <w:p>
                <w:pPr>
                  <w:jc w:val="right"/>
                </w:pPr>
                <w:r>
                  <w:t xml:space="preserve">64,443 </w:t>
                </w:r>
              </w:p>
            </w:tc>
          </w:sdtContent>
        </w:sdt>
        <w:tc>
          <w:tcPr>
            <w:tcW w:w="935" w:type="pct"/>
            <w:vAlign w:val="center"/>
          </w:tcPr>
          <w:p>
            <w:pPr>
              <w:jc w:val="right"/>
            </w:pPr>
            <w:r>
              <w:rPr>
                <w:rFonts w:hint="eastAsia"/>
              </w:rPr>
              <w:t>62,770</w:t>
            </w:r>
          </w:p>
        </w:tc>
        <w:tc>
          <w:tcPr>
            <w:tcW w:w="925" w:type="pct"/>
            <w:vAlign w:val="center"/>
          </w:tcPr>
          <w:p>
            <w:pPr>
              <w:jc w:val="right"/>
            </w:pPr>
            <w:r>
              <w:rPr>
                <w:rFonts w:hint="eastAsia"/>
              </w:rPr>
              <w:t>-135,191</w:t>
            </w:r>
          </w:p>
        </w:tc>
      </w:tr>
      <w:tr>
        <w:tc>
          <w:tcPr>
            <w:tcW w:w="2203" w:type="pct"/>
          </w:tcPr>
          <w:sdt>
            <w:sdtPr>
              <w:tag w:val="_PLD_80928f4e6aa84654839627a9d42d986f"/>
              <w:id w:val="-1921860566"/>
            </w:sdtPr>
            <w:sdtContent>
              <w:p>
                <w:pPr>
                  <w:pStyle w:val="afffffb"/>
                  <w:ind w:firstLineChars="0" w:firstLine="0"/>
                  <w:jc w:val="left"/>
                </w:pPr>
                <w:r>
                  <w:rPr>
                    <w:rFonts w:hint="eastAsia"/>
                  </w:rPr>
                  <w:t>单独进行减值测试的应收款项减值准备转回</w:t>
                </w:r>
              </w:p>
            </w:sdtContent>
          </w:sdt>
        </w:tc>
        <w:sdt>
          <w:sdtPr>
            <w:alias w:val="单独进行减值测试的应收款项、合同资产减值准备转回（非经常性损益项目） "/>
            <w:tag w:val="_GBC_3d6d92c666984014b4793fec5e18f7c0"/>
            <w:id w:val="-37592512"/>
            <w:dataBinding w:prefixMappings="xmlns:clcid-pte='clcid-pte'" w:xpath="/*/clcid-pte:DanDuJinXingJianZhiCeShiDeYingShouKuanXiangHeTongZiChanJianZhiZhunBeiZhuanHuiFeiJingChangXingSunYiXiangMu[not(@periodRef)]" w:storeItemID="{89EBAB94-44A0-46A2-B712-30D997D04A6D}"/>
            <w:text/>
          </w:sdtPr>
          <w:sdtContent>
            <w:tc>
              <w:tcPr>
                <w:tcW w:w="937" w:type="pct"/>
                <w:vAlign w:val="center"/>
              </w:tcPr>
              <w:p>
                <w:pPr>
                  <w:jc w:val="right"/>
                </w:pPr>
                <w:r>
                  <w:t>4,426</w:t>
                </w:r>
              </w:p>
            </w:tc>
          </w:sdtContent>
        </w:sdt>
        <w:tc>
          <w:tcPr>
            <w:tcW w:w="935" w:type="pct"/>
            <w:vAlign w:val="center"/>
          </w:tcPr>
          <w:p>
            <w:pPr>
              <w:jc w:val="right"/>
            </w:pPr>
            <w:r>
              <w:rPr>
                <w:rFonts w:hint="eastAsia"/>
              </w:rPr>
              <w:t>128,398</w:t>
            </w:r>
          </w:p>
        </w:tc>
        <w:tc>
          <w:tcPr>
            <w:tcW w:w="925" w:type="pct"/>
            <w:vAlign w:val="center"/>
          </w:tcPr>
          <w:p>
            <w:pPr>
              <w:jc w:val="right"/>
            </w:pPr>
            <w:r>
              <w:rPr>
                <w:rFonts w:hint="eastAsia"/>
              </w:rPr>
              <w:t>206,776</w:t>
            </w:r>
          </w:p>
        </w:tc>
      </w:tr>
      <w:tr>
        <w:sdt>
          <w:sdtPr>
            <w:tag w:val="_PLD_2d95accc8391490a8d759283985bbe26"/>
            <w:id w:val="-1947077047"/>
          </w:sdtPr>
          <w:sdtContent>
            <w:tc>
              <w:tcPr>
                <w:tcW w:w="2203" w:type="pct"/>
              </w:tcPr>
              <w:p>
                <w:pPr>
                  <w:pStyle w:val="afffffb"/>
                  <w:ind w:firstLineChars="0" w:firstLine="0"/>
                  <w:jc w:val="left"/>
                </w:pPr>
                <w:r>
                  <w:t>企业取得子公司、联营企业及合营企业的投资成本小于取得投资时应享有被投资单位可辨认净资产公允价值产生的收益</w:t>
                </w:r>
              </w:p>
            </w:tc>
          </w:sdtContent>
        </w:sdt>
        <w:sdt>
          <w:sdtPr>
            <w:alias w:val="企业取得子公司、联营企业及合营企业的投资成本小于取得投资时应享有被投资单位可辨认净资产公允价值产生的收益（非经常性损益项目）"/>
            <w:tag w:val="_GBC_923459f1d75c47cda37f504e669c048a"/>
            <w:id w:val="-1281960049"/>
            <w:dataBinding w:prefixMappings="xmlns:clcid-pte='clcid-pte'" w:xpath="/*/clcid-pte:QiYeHeBingDeHeBingChengBenXiaoYuHeBingShiYingXiangYouBeiHeBingDanWeiKeBianRenJingZiChanGongYunJiaZhiChanShengDeSunYi[not(@periodRef)]" w:storeItemID="{89EBAB94-44A0-46A2-B712-30D997D04A6D}"/>
            <w:text/>
          </w:sdtPr>
          <w:sdtContent>
            <w:tc>
              <w:tcPr>
                <w:tcW w:w="937" w:type="pct"/>
                <w:vAlign w:val="center"/>
              </w:tcPr>
              <w:p>
                <w:pPr>
                  <w:jc w:val="right"/>
                </w:pPr>
                <w:r>
                  <w:t xml:space="preserve">134,765 </w:t>
                </w:r>
              </w:p>
            </w:tc>
          </w:sdtContent>
        </w:sdt>
        <w:tc>
          <w:tcPr>
            <w:tcW w:w="935" w:type="pct"/>
            <w:vAlign w:val="center"/>
          </w:tcPr>
          <w:p>
            <w:pPr>
              <w:jc w:val="right"/>
            </w:pPr>
            <w:r>
              <w:rPr>
                <w:rFonts w:hint="eastAsia"/>
              </w:rPr>
              <w:t>-</w:t>
            </w:r>
          </w:p>
        </w:tc>
        <w:tc>
          <w:tcPr>
            <w:tcW w:w="925" w:type="pct"/>
            <w:vAlign w:val="center"/>
          </w:tcPr>
          <w:p>
            <w:pPr>
              <w:jc w:val="right"/>
            </w:pPr>
            <w:r>
              <w:rPr>
                <w:rFonts w:hint="eastAsia"/>
              </w:rPr>
              <w:t>-</w:t>
            </w:r>
          </w:p>
        </w:tc>
      </w:tr>
      <w:tr>
        <w:sdt>
          <w:sdtPr>
            <w:tag w:val="_PLD_dcffbd5c26d64f63b6f54b856b67ede2"/>
            <w:id w:val="-30117931"/>
          </w:sdtPr>
          <w:sdtContent>
            <w:tc>
              <w:tcPr>
                <w:tcW w:w="2203" w:type="pct"/>
              </w:tcPr>
              <w:p>
                <w:pPr>
                  <w:pStyle w:val="afffffb"/>
                  <w:ind w:firstLineChars="0" w:firstLine="0"/>
                  <w:jc w:val="left"/>
                </w:pPr>
                <w:r>
                  <w:t>同一控制下企业合并产生的子公司期初至合并日的当期净损益</w:t>
                </w:r>
              </w:p>
            </w:tc>
          </w:sdtContent>
        </w:sdt>
        <w:sdt>
          <w:sdtPr>
            <w:alias w:val="同一控制下企业合并产生的子公司期初至合并日的当期净损益（非经常性损益项目）"/>
            <w:tag w:val="_GBC_558ada21214f4fa58c291238eb5d0e53"/>
            <w:id w:val="-1715260269"/>
            <w:dataBinding w:prefixMappings="xmlns:clcid-pte='clcid-pte'" w:xpath="/*/clcid-pte:TongYiKongZhiXiaQiYeHeBingChanShengDeZiGongSiQiChuZhiHeBingRiDeDangQiJingSunYi[not(@periodRef)]" w:storeItemID="{89EBAB94-44A0-46A2-B712-30D997D04A6D}"/>
            <w:text/>
          </w:sdtPr>
          <w:sdtContent>
            <w:tc>
              <w:tcPr>
                <w:tcW w:w="937" w:type="pct"/>
                <w:vAlign w:val="center"/>
              </w:tcPr>
              <w:p>
                <w:pPr>
                  <w:jc w:val="right"/>
                </w:pPr>
                <w:r>
                  <w:t>-8,675</w:t>
                </w:r>
              </w:p>
            </w:tc>
          </w:sdtContent>
        </w:sdt>
        <w:tc>
          <w:tcPr>
            <w:tcW w:w="935" w:type="pct"/>
            <w:vAlign w:val="center"/>
          </w:tcPr>
          <w:p>
            <w:pPr>
              <w:jc w:val="right"/>
            </w:pPr>
            <w:r>
              <w:t xml:space="preserve">2,937,041 </w:t>
            </w:r>
          </w:p>
        </w:tc>
        <w:tc>
          <w:tcPr>
            <w:tcW w:w="925" w:type="pct"/>
            <w:vAlign w:val="center"/>
          </w:tcPr>
          <w:p>
            <w:pPr>
              <w:jc w:val="right"/>
            </w:pPr>
            <w:r>
              <w:t xml:space="preserve">6,605,297 </w:t>
            </w:r>
          </w:p>
        </w:tc>
      </w:tr>
      <w:tr>
        <w:sdt>
          <w:sdtPr>
            <w:tag w:val="_PLD_4e059ed47c114c52bbd7d83d7a153bbe"/>
            <w:id w:val="1294713363"/>
          </w:sdtPr>
          <w:sdtContent>
            <w:tc>
              <w:tcPr>
                <w:tcW w:w="2203" w:type="pct"/>
              </w:tcPr>
              <w:p>
                <w:pPr>
                  <w:pStyle w:val="afffffb"/>
                  <w:ind w:firstLineChars="0" w:firstLine="0"/>
                  <w:jc w:val="left"/>
                </w:pPr>
                <w:r>
                  <w:t>债务重组损益</w:t>
                </w:r>
              </w:p>
            </w:tc>
          </w:sdtContent>
        </w:sdt>
        <w:sdt>
          <w:sdtPr>
            <w:alias w:val="债务重组损益（非经常性损益项目）"/>
            <w:tag w:val="_GBC_bbe9d7c147264bc9b08df780e5650087"/>
            <w:id w:val="-1321032426"/>
            <w:dataBinding w:prefixMappings="xmlns:clcid-pte='clcid-pte'" w:xpath="/*/clcid-pte:FeiJingChangXingSunYiZhongZhaiWuZhongZuSunYi[not(@periodRef)]" w:storeItemID="{89EBAB94-44A0-46A2-B712-30D997D04A6D}"/>
            <w:text/>
          </w:sdtPr>
          <w:sdtContent>
            <w:tc>
              <w:tcPr>
                <w:tcW w:w="937" w:type="pct"/>
                <w:vAlign w:val="center"/>
              </w:tcPr>
              <w:p>
                <w:pPr>
                  <w:jc w:val="right"/>
                </w:pPr>
                <w:r>
                  <w:t xml:space="preserve">3,833 </w:t>
                </w:r>
              </w:p>
            </w:tc>
          </w:sdtContent>
        </w:sdt>
        <w:tc>
          <w:tcPr>
            <w:tcW w:w="935" w:type="pct"/>
            <w:vAlign w:val="center"/>
          </w:tcPr>
          <w:p>
            <w:pPr>
              <w:jc w:val="right"/>
            </w:pPr>
            <w:r>
              <w:rPr>
                <w:rFonts w:hint="eastAsia"/>
              </w:rPr>
              <w:t>2,566</w:t>
            </w:r>
          </w:p>
        </w:tc>
        <w:tc>
          <w:tcPr>
            <w:tcW w:w="925" w:type="pct"/>
            <w:vAlign w:val="center"/>
          </w:tcPr>
          <w:p>
            <w:pPr>
              <w:jc w:val="right"/>
            </w:pPr>
            <w:r>
              <w:rPr>
                <w:rFonts w:hint="eastAsia"/>
              </w:rPr>
              <w:t>15,971</w:t>
            </w:r>
          </w:p>
        </w:tc>
      </w:tr>
      <w:tr>
        <w:sdt>
          <w:sdtPr>
            <w:tag w:val="_PLD_012607f364354432893fe8e7b2114a02"/>
            <w:id w:val="-1685590417"/>
          </w:sdtPr>
          <w:sdtContent>
            <w:tc>
              <w:tcPr>
                <w:tcW w:w="2203" w:type="pct"/>
              </w:tcPr>
              <w:p>
                <w:pPr>
                  <w:pStyle w:val="afffffb"/>
                  <w:ind w:firstLineChars="0" w:firstLine="0"/>
                  <w:jc w:val="left"/>
                </w:pPr>
                <w:r>
                  <w:t>采用公允价值模式进行后续计量的投资性房地产公允价值变动产生的损益</w:t>
                </w:r>
              </w:p>
            </w:tc>
          </w:sdtContent>
        </w:sdt>
        <w:sdt>
          <w:sdtPr>
            <w:alias w:val="采用公允价值模式进行后续计量的投资性房地产公允价值变动产生的损益（非经常性损益项目）"/>
            <w:tag w:val="_GBC_4aa3bfd55ed94195b78682398dcc8dc2"/>
            <w:id w:val="-1778633229"/>
            <w:dataBinding w:prefixMappings="xmlns:clcid-pte='clcid-pte'" w:xpath="/*/clcid-pte:CaiYongGongYunJiaZhiMoShiJinXingHouXuJiLiangDeTouZiXingFangDiChanGongYunJiaZhiBianDongChanShengDeSunYi[not(@periodRef)]" w:storeItemID="{89EBAB94-44A0-46A2-B712-30D997D04A6D}"/>
            <w:text/>
          </w:sdtPr>
          <w:sdtContent>
            <w:tc>
              <w:tcPr>
                <w:tcW w:w="937" w:type="pct"/>
                <w:vAlign w:val="center"/>
              </w:tcPr>
              <w:p>
                <w:pPr>
                  <w:jc w:val="right"/>
                </w:pPr>
                <w:r>
                  <w:t>-7,788</w:t>
                </w:r>
              </w:p>
            </w:tc>
          </w:sdtContent>
        </w:sdt>
        <w:tc>
          <w:tcPr>
            <w:tcW w:w="935" w:type="pct"/>
            <w:vAlign w:val="center"/>
          </w:tcPr>
          <w:p>
            <w:pPr>
              <w:jc w:val="right"/>
            </w:pPr>
            <w:r>
              <w:rPr>
                <w:rFonts w:hint="eastAsia"/>
              </w:rPr>
              <w:t>18,454</w:t>
            </w:r>
          </w:p>
        </w:tc>
        <w:tc>
          <w:tcPr>
            <w:tcW w:w="925" w:type="pct"/>
            <w:vAlign w:val="center"/>
          </w:tcPr>
          <w:p>
            <w:pPr>
              <w:jc w:val="right"/>
            </w:pPr>
            <w:r>
              <w:rPr>
                <w:rFonts w:hint="eastAsia"/>
              </w:rPr>
              <w:t>46,980</w:t>
            </w:r>
          </w:p>
        </w:tc>
      </w:tr>
      <w:tr>
        <w:sdt>
          <w:sdtPr>
            <w:tag w:val="_PLD_e0fdb8eaef5b42529e0d34c8f8fc9068"/>
            <w:id w:val="-198550776"/>
          </w:sdtPr>
          <w:sdtContent>
            <w:tc>
              <w:tcPr>
                <w:tcW w:w="2203" w:type="pct"/>
              </w:tcPr>
              <w:p>
                <w:pPr>
                  <w:pStyle w:val="afffffb"/>
                  <w:ind w:firstLineChars="0" w:firstLine="0"/>
                  <w:jc w:val="left"/>
                </w:pPr>
                <w:r>
                  <w:t>除上述各项之外的其他营业外收入和支出</w:t>
                </w:r>
              </w:p>
            </w:tc>
          </w:sdtContent>
        </w:sdt>
        <w:sdt>
          <w:sdtPr>
            <w:alias w:val="除上述各项之外的其他营业外收入和支出（非经常性损益项目）"/>
            <w:tag w:val="_GBC_db2b03821cd1474fa2cdeef239f8f685"/>
            <w:id w:val="-1799285135"/>
            <w:dataBinding w:prefixMappings="xmlns:clcid-pte='clcid-pte'" w:xpath="/*/clcid-pte:ChuShangShuGeXiangZhiWaiDeQiTaYingYeWaiShouZhiJingE[not(@periodRef)]" w:storeItemID="{89EBAB94-44A0-46A2-B712-30D997D04A6D}"/>
            <w:text/>
          </w:sdtPr>
          <w:sdtContent>
            <w:tc>
              <w:tcPr>
                <w:tcW w:w="937" w:type="pct"/>
                <w:vAlign w:val="center"/>
              </w:tcPr>
              <w:p>
                <w:pPr>
                  <w:jc w:val="right"/>
                </w:pPr>
                <w:r>
                  <w:t xml:space="preserve">159,621 </w:t>
                </w:r>
              </w:p>
            </w:tc>
          </w:sdtContent>
        </w:sdt>
        <w:tc>
          <w:tcPr>
            <w:tcW w:w="935" w:type="pct"/>
            <w:vAlign w:val="center"/>
          </w:tcPr>
          <w:p>
            <w:pPr>
              <w:jc w:val="right"/>
            </w:pPr>
            <w:r>
              <w:rPr>
                <w:rFonts w:hint="eastAsia"/>
              </w:rPr>
              <w:t>58,890</w:t>
            </w:r>
          </w:p>
        </w:tc>
        <w:tc>
          <w:tcPr>
            <w:tcW w:w="925" w:type="pct"/>
            <w:vAlign w:val="center"/>
          </w:tcPr>
          <w:p>
            <w:pPr>
              <w:jc w:val="right"/>
            </w:pPr>
            <w:r>
              <w:rPr>
                <w:rFonts w:hint="eastAsia"/>
              </w:rPr>
              <w:t>42,398</w:t>
            </w:r>
          </w:p>
        </w:tc>
      </w:tr>
      <w:tr>
        <w:sdt>
          <w:sdtPr>
            <w:tag w:val="_PLD_f16eae18dc5a4044b5b677ca02ddeab5"/>
            <w:id w:val="1205223521"/>
          </w:sdtPr>
          <w:sdtContent>
            <w:tc>
              <w:tcPr>
                <w:tcW w:w="2203" w:type="pct"/>
              </w:tcPr>
              <w:p>
                <w:pPr>
                  <w:pStyle w:val="afffffb"/>
                  <w:ind w:firstLineChars="0" w:firstLine="0"/>
                  <w:jc w:val="left"/>
                </w:pPr>
                <w:r>
                  <w:t>其他符合非经常性损益定义的损益项目</w:t>
                </w:r>
              </w:p>
            </w:tc>
          </w:sdtContent>
        </w:sdt>
        <w:sdt>
          <w:sdtPr>
            <w:alias w:val="其他符合非经常性损益定义的损益项目（非经常性损益项目）"/>
            <w:tag w:val="_GBC_1d59cbb8e1894c4ab0cf65804f09e702"/>
            <w:id w:val="217410814"/>
            <w:dataBinding w:prefixMappings="xmlns:clcid-pte='clcid-pte'" w:xpath="/*/clcid-pte:QiTaFeiJingChangXingSunYiXiangMu[not(@periodRef)]" w:storeItemID="{89EBAB94-44A0-46A2-B712-30D997D04A6D}"/>
            <w:text/>
          </w:sdtPr>
          <w:sdtContent>
            <w:tc>
              <w:tcPr>
                <w:tcW w:w="937" w:type="pct"/>
                <w:vAlign w:val="center"/>
              </w:tcPr>
              <w:p>
                <w:pPr>
                  <w:jc w:val="right"/>
                </w:pPr>
                <w:r>
                  <w:t>-</w:t>
                </w:r>
              </w:p>
            </w:tc>
          </w:sdtContent>
        </w:sdt>
        <w:tc>
          <w:tcPr>
            <w:tcW w:w="935" w:type="pct"/>
            <w:vAlign w:val="center"/>
          </w:tcPr>
          <w:p>
            <w:pPr>
              <w:jc w:val="right"/>
            </w:pPr>
            <w:r>
              <w:rPr>
                <w:rFonts w:hint="eastAsia"/>
              </w:rPr>
              <w:t>-</w:t>
            </w:r>
          </w:p>
        </w:tc>
        <w:tc>
          <w:tcPr>
            <w:tcW w:w="925" w:type="pct"/>
            <w:vAlign w:val="center"/>
          </w:tcPr>
          <w:p>
            <w:pPr>
              <w:jc w:val="right"/>
            </w:pPr>
            <w:r>
              <w:rPr>
                <w:rFonts w:hint="eastAsia"/>
              </w:rPr>
              <w:t>2,082</w:t>
            </w:r>
          </w:p>
        </w:tc>
      </w:tr>
      <w:tr>
        <w:sdt>
          <w:sdtPr>
            <w:tag w:val="_PLD_b2699ece1cea43f4bf68568524fab45b"/>
            <w:id w:val="-1276555474"/>
          </w:sdtPr>
          <w:sdtContent>
            <w:tc>
              <w:tcPr>
                <w:tcW w:w="2203" w:type="pct"/>
              </w:tcPr>
              <w:p>
                <w:pPr>
                  <w:pStyle w:val="afffffb"/>
                  <w:ind w:firstLineChars="0" w:firstLine="0"/>
                  <w:jc w:val="left"/>
                </w:pPr>
                <w:r>
                  <w:rPr>
                    <w:rFonts w:hint="eastAsia"/>
                  </w:rPr>
                  <w:t>减：</w:t>
                </w:r>
                <w:r>
                  <w:t>所得税影响额</w:t>
                </w:r>
              </w:p>
            </w:tc>
          </w:sdtContent>
        </w:sdt>
        <w:sdt>
          <w:sdtPr>
            <w:alias w:val="非经常性损益_对所得税的影响"/>
            <w:tag w:val="_GBC_4def74f50ca149eba55d9413762b05db"/>
            <w:id w:val="-130947828"/>
            <w:dataBinding w:prefixMappings="xmlns:clcid-pte='clcid-pte'" w:xpath="/*/clcid-pte:FeiJingChangXingSunYiDeKouChuXiangMuDuiSuoDeShuiDeYingXiang[not(@periodRef)]" w:storeItemID="{89EBAB94-44A0-46A2-B712-30D997D04A6D}"/>
            <w:text/>
          </w:sdtPr>
          <w:sdtContent>
            <w:tc>
              <w:tcPr>
                <w:tcW w:w="937" w:type="pct"/>
                <w:vAlign w:val="center"/>
              </w:tcPr>
              <w:p>
                <w:pPr>
                  <w:jc w:val="right"/>
                </w:pPr>
                <w:r>
                  <w:t>269,345</w:t>
                </w:r>
              </w:p>
            </w:tc>
          </w:sdtContent>
        </w:sdt>
        <w:tc>
          <w:tcPr>
            <w:tcW w:w="935" w:type="pct"/>
            <w:vAlign w:val="center"/>
          </w:tcPr>
          <w:p>
            <w:pPr>
              <w:jc w:val="right"/>
            </w:pPr>
            <w:r>
              <w:rPr>
                <w:rFonts w:hint="eastAsia"/>
              </w:rPr>
              <w:t>136,864</w:t>
            </w:r>
          </w:p>
        </w:tc>
        <w:tc>
          <w:tcPr>
            <w:tcW w:w="925" w:type="pct"/>
            <w:vAlign w:val="center"/>
          </w:tcPr>
          <w:p>
            <w:pPr>
              <w:jc w:val="right"/>
            </w:pPr>
            <w:r>
              <w:rPr>
                <w:rFonts w:hint="eastAsia"/>
              </w:rPr>
              <w:t>127,926</w:t>
            </w:r>
          </w:p>
        </w:tc>
      </w:tr>
      <w:tr>
        <w:sdt>
          <w:sdtPr>
            <w:tag w:val="_PLD_94e185b6b44f4dd4ab1eef1a78d19692"/>
            <w:id w:val="1868326977"/>
          </w:sdtPr>
          <w:sdtContent>
            <w:tc>
              <w:tcPr>
                <w:tcW w:w="2203" w:type="pct"/>
              </w:tcPr>
              <w:p>
                <w:pPr>
                  <w:pStyle w:val="afffffb"/>
                  <w:jc w:val="left"/>
                </w:pPr>
                <w:r>
                  <w:t>少数股东权益影响额</w:t>
                </w:r>
                <w:r>
                  <w:rPr>
                    <w:rFonts w:hint="eastAsia"/>
                  </w:rPr>
                  <w:t>（税后）</w:t>
                </w:r>
              </w:p>
            </w:tc>
          </w:sdtContent>
        </w:sdt>
        <w:sdt>
          <w:sdtPr>
            <w:alias w:val="少数股东权益影响额（非经常性损益项目）"/>
            <w:tag w:val="_GBC_3163dc6a2b6f4d2f8c197619d5d0a249"/>
            <w:id w:val="-607354812"/>
            <w:dataBinding w:prefixMappings="xmlns:clcid-pte='clcid-pte'" w:xpath="/*/clcid-pte:FeiJingChangXingSunYiXiangMuZhongShaoShuGuDongQuanYiYingXiangE[not(@periodRef)]" w:storeItemID="{89EBAB94-44A0-46A2-B712-30D997D04A6D}"/>
            <w:text/>
          </w:sdtPr>
          <w:sdtContent>
            <w:tc>
              <w:tcPr>
                <w:tcW w:w="937" w:type="pct"/>
                <w:vAlign w:val="center"/>
              </w:tcPr>
              <w:p>
                <w:pPr>
                  <w:jc w:val="right"/>
                </w:pPr>
                <w:r>
                  <w:t>226,724</w:t>
                </w:r>
              </w:p>
            </w:tc>
          </w:sdtContent>
        </w:sdt>
        <w:tc>
          <w:tcPr>
            <w:tcW w:w="935" w:type="pct"/>
            <w:vAlign w:val="center"/>
          </w:tcPr>
          <w:p>
            <w:pPr>
              <w:jc w:val="right"/>
            </w:pPr>
            <w:r>
              <w:t xml:space="preserve">1,760,965 </w:t>
            </w:r>
          </w:p>
        </w:tc>
        <w:tc>
          <w:tcPr>
            <w:tcW w:w="925" w:type="pct"/>
            <w:vAlign w:val="center"/>
          </w:tcPr>
          <w:p>
            <w:pPr>
              <w:jc w:val="right"/>
            </w:pPr>
            <w:r>
              <w:t xml:space="preserve">3,769,291 </w:t>
            </w:r>
          </w:p>
        </w:tc>
      </w:tr>
      <w:tr>
        <w:sdt>
          <w:sdtPr>
            <w:tag w:val="_PLD_ab27c48cd04941d4a1e5b523c0d48a23"/>
            <w:id w:val="239537220"/>
          </w:sdtPr>
          <w:sdtContent>
            <w:tc>
              <w:tcPr>
                <w:tcW w:w="2203" w:type="pct"/>
                <w:vAlign w:val="center"/>
              </w:tcPr>
              <w:p>
                <w:pPr>
                  <w:pStyle w:val="afffffb"/>
                  <w:ind w:firstLineChars="0" w:firstLine="0"/>
                  <w:jc w:val="center"/>
                </w:pPr>
                <w:r>
                  <w:t>合计</w:t>
                </w:r>
              </w:p>
            </w:tc>
          </w:sdtContent>
        </w:sdt>
        <w:sdt>
          <w:sdtPr>
            <w:alias w:val="扣除的非经常性损益合计"/>
            <w:tag w:val="_GBC_a8b2254838ab45f19e48811e3509d38c"/>
            <w:id w:val="-855115401"/>
            <w:dataBinding w:prefixMappings="xmlns:clcid-pte='clcid-pte'" w:xpath="/*/clcid-pte:KouChuDeFeiJingChangXingSunYiHeJi[not(@periodRef)]" w:storeItemID="{89EBAB94-44A0-46A2-B712-30D997D04A6D}"/>
            <w:text/>
          </w:sdtPr>
          <w:sdtContent>
            <w:tc>
              <w:tcPr>
                <w:tcW w:w="937" w:type="pct"/>
                <w:vAlign w:val="center"/>
              </w:tcPr>
              <w:p>
                <w:pPr>
                  <w:jc w:val="right"/>
                </w:pPr>
                <w:r>
                  <w:t>534,434</w:t>
                </w:r>
              </w:p>
            </w:tc>
          </w:sdtContent>
        </w:sdt>
        <w:tc>
          <w:tcPr>
            <w:tcW w:w="935" w:type="pct"/>
            <w:vAlign w:val="center"/>
          </w:tcPr>
          <w:p>
            <w:pPr>
              <w:jc w:val="right"/>
            </w:pPr>
            <w:r>
              <w:t xml:space="preserve">1,553,000 </w:t>
            </w:r>
          </w:p>
        </w:tc>
        <w:tc>
          <w:tcPr>
            <w:tcW w:w="925" w:type="pct"/>
            <w:vAlign w:val="center"/>
          </w:tcPr>
          <w:p>
            <w:pPr>
              <w:jc w:val="right"/>
            </w:pPr>
            <w:r>
              <w:t xml:space="preserve">3,086,561 </w:t>
            </w:r>
          </w:p>
        </w:tc>
      </w:tr>
    </w:tbl>
    <w:p>
      <w:pPr>
        <w:pStyle w:val="afffffffffffff8"/>
      </w:pPr>
    </w:p>
    <w:p>
      <w:pPr>
        <w:pStyle w:val="affffff1"/>
        <w:adjustRightInd w:val="0"/>
        <w:snapToGrid w:val="0"/>
        <w:spacing w:line="200" w:lineRule="atLeast"/>
        <w:ind w:firstLineChars="200" w:firstLine="420"/>
        <w:rPr>
          <w:rFonts w:hAnsi="宋体"/>
          <w:kern w:val="0"/>
          <w:szCs w:val="21"/>
        </w:rPr>
      </w:pPr>
      <w:bookmarkStart w:id="33" w:name="_Hlk41379873"/>
      <w:bookmarkStart w:id="34" w:name="_Hlk89096484"/>
      <w:bookmarkEnd w:id="31"/>
      <w:bookmarkEnd w:id="32"/>
      <w:r>
        <w:rPr>
          <w:rFonts w:hAnsi="宋体" w:cs="宋体" w:hint="eastAsia"/>
          <w:kern w:val="0"/>
          <w:szCs w:val="21"/>
        </w:rPr>
        <w:t>对公司</w:t>
      </w:r>
      <w:r>
        <w:rPr>
          <w:rFonts w:hint="eastAsia"/>
          <w:szCs w:val="21"/>
        </w:rPr>
        <w:t>将《公开发行证券的公司信息披露解释性公告第</w:t>
      </w:r>
      <w:r>
        <w:rPr>
          <w:szCs w:val="21"/>
        </w:rPr>
        <w:t>1号</w:t>
      </w:r>
      <w:r>
        <w:rPr>
          <w:szCs w:val="21"/>
        </w:rPr>
        <w:t>——</w:t>
      </w:r>
      <w:r>
        <w:rPr>
          <w:szCs w:val="21"/>
        </w:rPr>
        <w:t>非经常性损益》未列举的项目认定为非经常性损益项目且金额重大的，以及将《公开发行证券的公司信息披露解释性公告第1号</w:t>
      </w:r>
      <w:r>
        <w:rPr>
          <w:szCs w:val="21"/>
        </w:rPr>
        <w:t>——</w:t>
      </w:r>
      <w:r>
        <w:rPr>
          <w:szCs w:val="21"/>
        </w:rPr>
        <w:t>非经常性损益》中列举的非经常性损益项目界定为经常性损益的项目，</w:t>
      </w:r>
      <w:r>
        <w:rPr>
          <w:rFonts w:hAnsi="宋体" w:cs="宋体"/>
          <w:kern w:val="0"/>
          <w:szCs w:val="21"/>
        </w:rPr>
        <w:t>应说明原因。</w:t>
      </w:r>
    </w:p>
    <w:sdt>
      <w:sdtPr>
        <w:alias w:val="是否适用：将非经常性损益项目界定为经常性损益项目[双击切换]"/>
        <w:tag w:val="_GBC_a4930715ddcb47d484e7fbd516fb3ac1"/>
        <w:id w:val="-1167241719"/>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2"/>
        <w:numPr>
          <w:ilvl w:val="1"/>
          <w:numId w:val="4"/>
        </w:numPr>
        <w:ind w:left="498" w:hangingChars="236" w:hanging="498"/>
        <w:rPr>
          <w:u w:val="single"/>
        </w:rPr>
      </w:pPr>
      <w:bookmarkStart w:id="35" w:name="_Hlk192239583"/>
      <w:bookmarkEnd w:id="33"/>
      <w:bookmarkEnd w:id="34"/>
      <w:r>
        <w:rPr>
          <w:rFonts w:hint="eastAsia"/>
        </w:rPr>
        <w:t>采用公允价值计量的项目</w:t>
      </w:r>
    </w:p>
    <w:sdt>
      <w:sdtPr>
        <w:alias w:val="是否适用：采用公允价值计量的项目[双击切换]"/>
        <w:tag w:val="_GBC_e89d76d7486246e0ac1d3db15e4df008"/>
        <w:id w:val="-93322468"/>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8900233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szCs w:val="21"/>
            </w:rPr>
            <w:t>千元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4629550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szCs w:val="21"/>
            </w:rPr>
            <w:t>人民币</w:t>
          </w:r>
        </w:sdtContent>
      </w:sdt>
    </w:p>
    <w:tbl>
      <w:tblPr>
        <w:tblStyle w:val="afffff7"/>
        <w:tblW w:w="5000" w:type="pct"/>
        <w:tblLook w:val="04A0" w:firstRow="1" w:lastRow="0" w:firstColumn="1" w:lastColumn="0" w:noHBand="0" w:noVBand="1"/>
      </w:tblPr>
      <w:tblGrid>
        <w:gridCol w:w="1900"/>
        <w:gridCol w:w="1659"/>
        <w:gridCol w:w="1668"/>
        <w:gridCol w:w="1653"/>
        <w:gridCol w:w="1943"/>
      </w:tblGrid>
      <w:tr>
        <w:trPr>
          <w:trHeight w:val="165"/>
        </w:trPr>
        <w:sdt>
          <w:sdtPr>
            <w:tag w:val="_PLD_7afb41bb6f11412490d2cf97e6a8af4a"/>
            <w:id w:val="-1989624234"/>
          </w:sdtPr>
          <w:sdtContent>
            <w:tc>
              <w:tcPr>
                <w:tcW w:w="1077" w:type="pct"/>
                <w:vAlign w:val="center"/>
              </w:tcPr>
              <w:p>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sdtContent>
        </w:sdt>
        <w:sdt>
          <w:sdtPr>
            <w:tag w:val="_PLD_da0df6228e264965b54ebbf01610457e"/>
            <w:id w:val="1038936487"/>
          </w:sdtPr>
          <w:sdtContent>
            <w:tc>
              <w:tcPr>
                <w:tcW w:w="940" w:type="pct"/>
                <w:vAlign w:val="center"/>
              </w:tcPr>
              <w:p>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sdtContent>
        </w:sdt>
        <w:sdt>
          <w:sdtPr>
            <w:tag w:val="_PLD_32f24a9a3da24799945b9be672e1778c"/>
            <w:id w:val="373204422"/>
          </w:sdtPr>
          <w:sdtContent>
            <w:tc>
              <w:tcPr>
                <w:tcW w:w="945" w:type="pct"/>
                <w:vAlign w:val="center"/>
              </w:tcPr>
              <w:p>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sdtContent>
        </w:sdt>
        <w:sdt>
          <w:sdtPr>
            <w:tag w:val="_PLD_e96c7ea54e9845adafdee1a3e4d1777a"/>
            <w:id w:val="-162861891"/>
          </w:sdtPr>
          <w:sdtContent>
            <w:tc>
              <w:tcPr>
                <w:tcW w:w="937" w:type="pct"/>
                <w:vAlign w:val="center"/>
              </w:tcPr>
              <w:p>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sdtContent>
        </w:sdt>
        <w:bookmarkStart w:id="36" w:name="_Hlk193659867" w:displacedByCustomXml="next"/>
        <w:sdt>
          <w:sdtPr>
            <w:tag w:val="_PLD_1472a884c9f543dba7a82865e73f1536"/>
            <w:id w:val="-2057847681"/>
          </w:sdtPr>
          <w:sdtContent>
            <w:tc>
              <w:tcPr>
                <w:tcW w:w="1101" w:type="pct"/>
                <w:vAlign w:val="center"/>
              </w:tcPr>
              <w:p>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sdtContent>
        </w:sdt>
        <w:bookmarkEnd w:id="36" w:displacedByCustomXml="prev"/>
      </w:tr>
      <w:tr>
        <w:trPr>
          <w:trHeight w:val="180"/>
        </w:trPr>
        <w:tc>
          <w:tcPr>
            <w:tcW w:w="1077" w:type="pct"/>
            <w:vAlign w:val="center"/>
          </w:tcPr>
          <w:p>
            <w:pPr>
              <w:pStyle w:val="afffffffffffff8"/>
            </w:pPr>
            <w:r>
              <w:t>交易性金融资产</w:t>
            </w:r>
          </w:p>
        </w:tc>
        <w:tc>
          <w:tcPr>
            <w:tcW w:w="940" w:type="pct"/>
            <w:vAlign w:val="center"/>
          </w:tcPr>
          <w:p>
            <w:pPr>
              <w:jc w:val="right"/>
            </w:pPr>
            <w:r>
              <w:t>107,472</w:t>
            </w:r>
          </w:p>
        </w:tc>
        <w:tc>
          <w:tcPr>
            <w:tcW w:w="945" w:type="pct"/>
            <w:vAlign w:val="center"/>
          </w:tcPr>
          <w:p>
            <w:pPr>
              <w:jc w:val="right"/>
            </w:pPr>
            <w:r>
              <w:t>166,772</w:t>
            </w:r>
          </w:p>
        </w:tc>
        <w:tc>
          <w:tcPr>
            <w:tcW w:w="937" w:type="pct"/>
            <w:vAlign w:val="center"/>
          </w:tcPr>
          <w:p>
            <w:pPr>
              <w:jc w:val="right"/>
            </w:pPr>
            <w:r>
              <w:t>59,300</w:t>
            </w:r>
          </w:p>
        </w:tc>
        <w:tc>
          <w:tcPr>
            <w:tcW w:w="1101" w:type="pct"/>
            <w:vAlign w:val="center"/>
          </w:tcPr>
          <w:p>
            <w:pPr>
              <w:jc w:val="right"/>
            </w:pPr>
            <w:r>
              <w:t>-45,169</w:t>
            </w:r>
          </w:p>
        </w:tc>
      </w:tr>
      <w:tr>
        <w:trPr>
          <w:trHeight w:val="180"/>
        </w:trPr>
        <w:tc>
          <w:tcPr>
            <w:tcW w:w="1077" w:type="pct"/>
            <w:vAlign w:val="center"/>
          </w:tcPr>
          <w:p>
            <w:pPr>
              <w:pStyle w:val="afffffffffffff8"/>
            </w:pPr>
            <w:r>
              <w:t>应收款项融资</w:t>
            </w:r>
          </w:p>
        </w:tc>
        <w:tc>
          <w:tcPr>
            <w:tcW w:w="940" w:type="pct"/>
            <w:vAlign w:val="center"/>
          </w:tcPr>
          <w:p>
            <w:pPr>
              <w:jc w:val="right"/>
            </w:pPr>
            <w:r>
              <w:t>4,670,846</w:t>
            </w:r>
          </w:p>
        </w:tc>
        <w:tc>
          <w:tcPr>
            <w:tcW w:w="945" w:type="pct"/>
            <w:vAlign w:val="center"/>
          </w:tcPr>
          <w:p>
            <w:pPr>
              <w:jc w:val="right"/>
            </w:pPr>
            <w:r>
              <w:t>2,979,968</w:t>
            </w:r>
          </w:p>
        </w:tc>
        <w:tc>
          <w:tcPr>
            <w:tcW w:w="937" w:type="pct"/>
            <w:vAlign w:val="center"/>
          </w:tcPr>
          <w:p>
            <w:pPr>
              <w:jc w:val="right"/>
            </w:pPr>
            <w:r>
              <w:t>-1,690,878</w:t>
            </w:r>
          </w:p>
        </w:tc>
        <w:tc>
          <w:tcPr>
            <w:tcW w:w="1101" w:type="pct"/>
            <w:vAlign w:val="center"/>
          </w:tcPr>
          <w:p>
            <w:pPr>
              <w:jc w:val="right"/>
            </w:pPr>
            <w:r>
              <w:rPr>
                <w:rFonts w:hint="eastAsia"/>
              </w:rPr>
              <w:t>-</w:t>
            </w:r>
          </w:p>
        </w:tc>
      </w:tr>
      <w:tr>
        <w:trPr>
          <w:trHeight w:val="180"/>
        </w:trPr>
        <w:tc>
          <w:tcPr>
            <w:tcW w:w="1077" w:type="pct"/>
            <w:vAlign w:val="center"/>
          </w:tcPr>
          <w:p>
            <w:pPr>
              <w:pStyle w:val="afffffffffffff8"/>
            </w:pPr>
            <w:r>
              <w:t>其他权益工具投资</w:t>
            </w:r>
          </w:p>
        </w:tc>
        <w:tc>
          <w:tcPr>
            <w:tcW w:w="940" w:type="pct"/>
            <w:vAlign w:val="center"/>
          </w:tcPr>
          <w:p>
            <w:pPr>
              <w:jc w:val="right"/>
            </w:pPr>
            <w:r>
              <w:t>116,646</w:t>
            </w:r>
          </w:p>
        </w:tc>
        <w:tc>
          <w:tcPr>
            <w:tcW w:w="945" w:type="pct"/>
            <w:vAlign w:val="center"/>
          </w:tcPr>
          <w:p>
            <w:pPr>
              <w:jc w:val="right"/>
            </w:pPr>
            <w:r>
              <w:t>116,625</w:t>
            </w:r>
          </w:p>
        </w:tc>
        <w:tc>
          <w:tcPr>
            <w:tcW w:w="937" w:type="pct"/>
            <w:vAlign w:val="center"/>
          </w:tcPr>
          <w:p>
            <w:pPr>
              <w:jc w:val="right"/>
            </w:pPr>
            <w:r>
              <w:t>-21</w:t>
            </w:r>
          </w:p>
        </w:tc>
        <w:tc>
          <w:tcPr>
            <w:tcW w:w="1101" w:type="pct"/>
            <w:vAlign w:val="center"/>
          </w:tcPr>
          <w:p>
            <w:pPr>
              <w:jc w:val="right"/>
            </w:pPr>
            <w:r>
              <w:t>92</w:t>
            </w:r>
          </w:p>
        </w:tc>
      </w:tr>
      <w:tr>
        <w:trPr>
          <w:trHeight w:val="180"/>
        </w:trPr>
        <w:tc>
          <w:tcPr>
            <w:tcW w:w="1077" w:type="pct"/>
            <w:vAlign w:val="center"/>
          </w:tcPr>
          <w:p>
            <w:pPr>
              <w:pStyle w:val="afffffffffffff8"/>
            </w:pPr>
            <w:r>
              <w:rPr>
                <w:rFonts w:hint="eastAsia"/>
              </w:rPr>
              <w:t>其他非流动金融资产</w:t>
            </w:r>
          </w:p>
        </w:tc>
        <w:tc>
          <w:tcPr>
            <w:tcW w:w="940" w:type="pct"/>
            <w:vAlign w:val="center"/>
          </w:tcPr>
          <w:p>
            <w:pPr>
              <w:jc w:val="right"/>
            </w:pPr>
            <w:r>
              <w:t>1,503,449</w:t>
            </w:r>
          </w:p>
        </w:tc>
        <w:tc>
          <w:tcPr>
            <w:tcW w:w="945" w:type="pct"/>
            <w:vAlign w:val="center"/>
          </w:tcPr>
          <w:p>
            <w:pPr>
              <w:jc w:val="right"/>
            </w:pPr>
            <w:r>
              <w:t>1,447,143</w:t>
            </w:r>
          </w:p>
        </w:tc>
        <w:tc>
          <w:tcPr>
            <w:tcW w:w="937" w:type="pct"/>
            <w:vAlign w:val="center"/>
          </w:tcPr>
          <w:p>
            <w:pPr>
              <w:jc w:val="right"/>
            </w:pPr>
            <w:r>
              <w:t>-56,306</w:t>
            </w:r>
          </w:p>
        </w:tc>
        <w:tc>
          <w:tcPr>
            <w:tcW w:w="1101" w:type="pct"/>
            <w:vAlign w:val="center"/>
          </w:tcPr>
          <w:p>
            <w:pPr>
              <w:jc w:val="right"/>
            </w:pPr>
            <w:r>
              <w:t>13,342</w:t>
            </w:r>
          </w:p>
        </w:tc>
      </w:tr>
      <w:tr>
        <w:trPr>
          <w:trHeight w:val="180"/>
        </w:trPr>
        <w:tc>
          <w:tcPr>
            <w:tcW w:w="1077" w:type="pct"/>
            <w:vAlign w:val="center"/>
          </w:tcPr>
          <w:p>
            <w:pPr>
              <w:pStyle w:val="afffffffffffff8"/>
            </w:pPr>
            <w:r>
              <w:t>投资性房地产</w:t>
            </w:r>
          </w:p>
        </w:tc>
        <w:tc>
          <w:tcPr>
            <w:tcW w:w="940" w:type="pct"/>
            <w:vAlign w:val="center"/>
          </w:tcPr>
          <w:p>
            <w:pPr>
              <w:jc w:val="right"/>
            </w:pPr>
            <w:r>
              <w:t>1,109,569</w:t>
            </w:r>
          </w:p>
        </w:tc>
        <w:tc>
          <w:tcPr>
            <w:tcW w:w="945" w:type="pct"/>
            <w:vAlign w:val="center"/>
          </w:tcPr>
          <w:p>
            <w:pPr>
              <w:jc w:val="right"/>
            </w:pPr>
            <w:r>
              <w:t>1,234,824</w:t>
            </w:r>
          </w:p>
        </w:tc>
        <w:tc>
          <w:tcPr>
            <w:tcW w:w="937" w:type="pct"/>
            <w:vAlign w:val="center"/>
          </w:tcPr>
          <w:p>
            <w:pPr>
              <w:jc w:val="right"/>
            </w:pPr>
            <w:r>
              <w:t>125,255</w:t>
            </w:r>
          </w:p>
        </w:tc>
        <w:tc>
          <w:tcPr>
            <w:tcW w:w="1101" w:type="pct"/>
            <w:vAlign w:val="center"/>
          </w:tcPr>
          <w:p>
            <w:pPr>
              <w:jc w:val="right"/>
            </w:pPr>
            <w:r>
              <w:t>-7,788</w:t>
            </w:r>
          </w:p>
        </w:tc>
      </w:tr>
      <w:tr>
        <w:trPr>
          <w:trHeight w:val="180"/>
        </w:trPr>
        <w:tc>
          <w:tcPr>
            <w:tcW w:w="1077" w:type="pct"/>
            <w:vAlign w:val="center"/>
          </w:tcPr>
          <w:p>
            <w:pPr>
              <w:jc w:val="center"/>
              <w:rPr>
                <w:b/>
              </w:rPr>
            </w:pPr>
            <w:r>
              <w:rPr>
                <w:b/>
              </w:rPr>
              <w:t>合计</w:t>
            </w:r>
          </w:p>
        </w:tc>
        <w:tc>
          <w:tcPr>
            <w:tcW w:w="940" w:type="pct"/>
            <w:vAlign w:val="center"/>
          </w:tcPr>
          <w:p>
            <w:pPr>
              <w:jc w:val="right"/>
            </w:pPr>
            <w:r>
              <w:t>7,507,982</w:t>
            </w:r>
          </w:p>
        </w:tc>
        <w:tc>
          <w:tcPr>
            <w:tcW w:w="945" w:type="pct"/>
            <w:vAlign w:val="center"/>
          </w:tcPr>
          <w:p>
            <w:pPr>
              <w:jc w:val="right"/>
            </w:pPr>
            <w:r>
              <w:t>5,945,332</w:t>
            </w:r>
          </w:p>
        </w:tc>
        <w:tc>
          <w:tcPr>
            <w:tcW w:w="937" w:type="pct"/>
            <w:vAlign w:val="center"/>
          </w:tcPr>
          <w:p>
            <w:pPr>
              <w:jc w:val="right"/>
            </w:pPr>
            <w:r>
              <w:t>-1,562,650</w:t>
            </w:r>
          </w:p>
        </w:tc>
        <w:tc>
          <w:tcPr>
            <w:tcW w:w="1101" w:type="pct"/>
            <w:vAlign w:val="center"/>
          </w:tcPr>
          <w:p>
            <w:pPr>
              <w:jc w:val="right"/>
            </w:pPr>
            <w:r>
              <w:t>-39,523</w:t>
            </w:r>
          </w:p>
        </w:tc>
      </w:tr>
      <w:tr>
        <w:trPr>
          <w:trHeight w:val="180"/>
        </w:trPr>
        <w:tc>
          <w:tcPr>
            <w:tcW w:w="1077" w:type="pct"/>
            <w:vAlign w:val="center"/>
          </w:tcPr>
          <w:p>
            <w:pPr>
              <w:pStyle w:val="afffffffffffff8"/>
            </w:pPr>
            <w:r>
              <w:t>交易性金融负债</w:t>
            </w:r>
          </w:p>
        </w:tc>
        <w:tc>
          <w:tcPr>
            <w:tcW w:w="940" w:type="pct"/>
            <w:vAlign w:val="center"/>
          </w:tcPr>
          <w:p>
            <w:pPr>
              <w:jc w:val="right"/>
            </w:pPr>
            <w:r>
              <w:t>550,761</w:t>
            </w:r>
          </w:p>
        </w:tc>
        <w:tc>
          <w:tcPr>
            <w:tcW w:w="945" w:type="pct"/>
            <w:vAlign w:val="center"/>
          </w:tcPr>
          <w:p>
            <w:pPr>
              <w:jc w:val="right"/>
            </w:pPr>
            <w:r>
              <w:t>538,427</w:t>
            </w:r>
          </w:p>
        </w:tc>
        <w:tc>
          <w:tcPr>
            <w:tcW w:w="937" w:type="pct"/>
            <w:vAlign w:val="center"/>
          </w:tcPr>
          <w:p>
            <w:pPr>
              <w:jc w:val="right"/>
            </w:pPr>
            <w:r>
              <w:t>-12,334</w:t>
            </w:r>
          </w:p>
        </w:tc>
        <w:tc>
          <w:tcPr>
            <w:tcW w:w="1101" w:type="pct"/>
            <w:vAlign w:val="center"/>
          </w:tcPr>
          <w:p>
            <w:pPr>
              <w:jc w:val="right"/>
            </w:pPr>
            <w:r>
              <w:t>20</w:t>
            </w:r>
          </w:p>
        </w:tc>
      </w:tr>
      <w:tr>
        <w:trPr>
          <w:trHeight w:val="117"/>
        </w:trPr>
        <w:tc>
          <w:tcPr>
            <w:tcW w:w="1077" w:type="pct"/>
            <w:tcBorders>
              <w:bottom w:val="single" w:sz="4" w:space="0" w:color="auto"/>
            </w:tcBorders>
            <w:vAlign w:val="center"/>
          </w:tcPr>
          <w:p>
            <w:pPr>
              <w:jc w:val="center"/>
              <w:rPr>
                <w:rFonts w:asciiTheme="minorEastAsia" w:eastAsiaTheme="minorEastAsia" w:hAnsiTheme="minorEastAsia"/>
                <w:b/>
                <w:bCs/>
                <w:szCs w:val="21"/>
              </w:rPr>
            </w:pPr>
            <w:r>
              <w:rPr>
                <w:rFonts w:asciiTheme="minorEastAsia" w:eastAsiaTheme="minorEastAsia" w:hAnsiTheme="minorEastAsia" w:hint="eastAsia"/>
                <w:b/>
                <w:bCs/>
                <w:szCs w:val="21"/>
              </w:rPr>
              <w:t>合计</w:t>
            </w:r>
          </w:p>
        </w:tc>
        <w:tc>
          <w:tcPr>
            <w:tcW w:w="940" w:type="pct"/>
            <w:vAlign w:val="center"/>
          </w:tcPr>
          <w:p>
            <w:pPr>
              <w:jc w:val="right"/>
            </w:pPr>
            <w:r>
              <w:t>550,761</w:t>
            </w:r>
          </w:p>
        </w:tc>
        <w:tc>
          <w:tcPr>
            <w:tcW w:w="945" w:type="pct"/>
            <w:vAlign w:val="center"/>
          </w:tcPr>
          <w:p>
            <w:pPr>
              <w:jc w:val="right"/>
            </w:pPr>
            <w:r>
              <w:t>538,427</w:t>
            </w:r>
          </w:p>
        </w:tc>
        <w:tc>
          <w:tcPr>
            <w:tcW w:w="937" w:type="pct"/>
            <w:vAlign w:val="center"/>
          </w:tcPr>
          <w:p>
            <w:pPr>
              <w:jc w:val="right"/>
            </w:pPr>
            <w:r>
              <w:t>-12,334</w:t>
            </w:r>
          </w:p>
        </w:tc>
        <w:tc>
          <w:tcPr>
            <w:tcW w:w="1101" w:type="pct"/>
            <w:vAlign w:val="center"/>
          </w:tcPr>
          <w:p>
            <w:pPr>
              <w:jc w:val="right"/>
            </w:pPr>
            <w:r>
              <w:t>20</w:t>
            </w:r>
          </w:p>
        </w:tc>
      </w:tr>
      <w:bookmarkEnd w:id="35"/>
    </w:tbl>
    <w:p>
      <w:pPr>
        <w:pStyle w:val="affffffd"/>
      </w:pPr>
    </w:p>
    <w:p>
      <w:pPr>
        <w:pStyle w:val="2"/>
        <w:numPr>
          <w:ilvl w:val="1"/>
          <w:numId w:val="4"/>
        </w:numPr>
        <w:ind w:left="498" w:hangingChars="236" w:hanging="498"/>
        <w:rPr>
          <w:u w:val="single"/>
        </w:rPr>
      </w:pPr>
      <w:r>
        <w:rPr>
          <w:rFonts w:hint="eastAsia"/>
        </w:rPr>
        <w:lastRenderedPageBreak/>
        <w:t>其他</w:t>
      </w:r>
    </w:p>
    <w:sdt>
      <w:sdtPr>
        <w:alias w:val="是否适用：公司简介和主要财务指标其他说明[双击切换]"/>
        <w:tag w:val="_GBC_ac20c9ad49eb470dba71a763f930572f"/>
        <w:id w:val="-945070888"/>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ascii="Calibri" w:eastAsia="黑体" w:hAnsi="Calibri" w:cs="Times New Roman"/>
          <w:b/>
          <w:bCs/>
          <w:kern w:val="44"/>
          <w:sz w:val="28"/>
          <w:szCs w:val="44"/>
        </w:rPr>
      </w:pPr>
      <w:r>
        <w:br w:type="page"/>
      </w:r>
    </w:p>
    <w:p>
      <w:pPr>
        <w:pStyle w:val="1"/>
        <w:numPr>
          <w:ilvl w:val="0"/>
          <w:numId w:val="3"/>
        </w:numPr>
        <w:rPr>
          <w:u w:val="single"/>
        </w:rPr>
      </w:pPr>
      <w:bookmarkStart w:id="37" w:name="_Toc193794890"/>
      <w:r>
        <w:rPr>
          <w:rFonts w:hint="eastAsia"/>
        </w:rPr>
        <w:lastRenderedPageBreak/>
        <w:t>董事长报告书</w:t>
      </w:r>
      <w:bookmarkEnd w:id="37"/>
    </w:p>
    <w:p>
      <w:pPr>
        <w:pStyle w:val="afffffffffffff8"/>
      </w:pPr>
    </w:p>
    <w:p>
      <w:pPr>
        <w:widowControl w:val="0"/>
        <w:jc w:val="both"/>
        <w:rPr>
          <w:kern w:val="2"/>
          <w:szCs w:val="21"/>
        </w:rPr>
      </w:pPr>
      <w:bookmarkStart w:id="38" w:name="_Hlk193438863"/>
      <w:r>
        <w:rPr>
          <w:rFonts w:hint="eastAsia"/>
          <w:kern w:val="2"/>
          <w:szCs w:val="21"/>
        </w:rPr>
        <w:t>尊敬的各位股东：</w:t>
      </w:r>
    </w:p>
    <w:p>
      <w:pPr>
        <w:widowControl w:val="0"/>
        <w:ind w:firstLineChars="200" w:firstLine="420"/>
        <w:jc w:val="both"/>
        <w:rPr>
          <w:kern w:val="2"/>
          <w:szCs w:val="21"/>
        </w:rPr>
      </w:pPr>
      <w:r>
        <w:rPr>
          <w:rFonts w:hint="eastAsia"/>
          <w:kern w:val="2"/>
          <w:szCs w:val="21"/>
        </w:rPr>
        <w:t>我谨代表董事会向各位股东欣然呈报兖矿能源2024年度经营业绩，并向大家报告2025年发展思路。</w:t>
      </w:r>
    </w:p>
    <w:bookmarkEnd w:id="38"/>
    <w:p>
      <w:pPr>
        <w:ind w:firstLineChars="200" w:firstLine="420"/>
        <w:jc w:val="both"/>
        <w:rPr>
          <w:rFonts w:cs="Times New Roman"/>
          <w:kern w:val="2"/>
          <w:szCs w:val="21"/>
        </w:rPr>
      </w:pPr>
      <w:r>
        <w:rPr>
          <w:rFonts w:cs="Times New Roman"/>
          <w:kern w:val="2"/>
          <w:szCs w:val="21"/>
        </w:rPr>
        <w:t>2024年，面对宏观经济复杂严峻、能源行业加快转型、煤炭市场震荡下行等多重挑战，兖矿能源沉着应对、积极作为，聚力达产达效、开源节流、项目建设“三项攻坚”，全力建设“新八大工程”，全面深化精益管理，增动能、促增长、提质效、抓创新，公司实现逆势前行、稳中有进。凭借优良业绩、规范治理和模范履行社会责任，公司荣获中国上市公司协会“董事会建设最佳实践案例”、中国主板上市公司价值百强等荣誉，获评MSCI“ESG中国煤炭公司最高评级”。为真诚回报投资者，公司继中期分红0.23元/股，拟年度末期分红0.54元/股，两次分红</w:t>
      </w:r>
      <w:r>
        <w:rPr>
          <w:rFonts w:cs="Times New Roman" w:hint="eastAsia"/>
          <w:kern w:val="2"/>
          <w:szCs w:val="21"/>
        </w:rPr>
        <w:t>合计</w:t>
      </w:r>
      <w:r>
        <w:rPr>
          <w:rFonts w:cs="Times New Roman"/>
          <w:kern w:val="2"/>
          <w:szCs w:val="21"/>
        </w:rPr>
        <w:t>0.77元/股，总额77.3亿元。</w:t>
      </w:r>
    </w:p>
    <w:p>
      <w:pPr>
        <w:ind w:firstLineChars="200" w:firstLine="422"/>
        <w:jc w:val="both"/>
        <w:rPr>
          <w:rFonts w:cs="Times New Roman"/>
          <w:kern w:val="2"/>
          <w:szCs w:val="21"/>
        </w:rPr>
      </w:pPr>
      <w:r>
        <w:rPr>
          <w:rFonts w:cs="Times New Roman" w:hint="eastAsia"/>
          <w:b/>
          <w:bCs/>
          <w:kern w:val="2"/>
          <w:szCs w:val="21"/>
        </w:rPr>
        <w:t>一、经营质效持续提升。</w:t>
      </w:r>
      <w:r>
        <w:rPr>
          <w:rFonts w:cs="Times New Roman" w:hint="eastAsia"/>
          <w:kern w:val="2"/>
          <w:szCs w:val="21"/>
        </w:rPr>
        <w:t>主导产品产量再创历史新高，全年商品煤产量</w:t>
      </w:r>
      <w:r>
        <w:rPr>
          <w:rFonts w:cs="Times New Roman"/>
          <w:kern w:val="2"/>
          <w:szCs w:val="21"/>
        </w:rPr>
        <w:t>1.42亿吨，同比增长1,039万吨；化工品产量870万吨，同比增长11万吨。经营业绩稳居行业第一方阵，实现营业收入1,391亿元，归母净利润144亿元，净资产回报率18.3%，总资产达到3,586亿元。深入落实“降本增效八项硬措施”，吨煤销售成本337.6元，同比降低3.4%，完成计划控制目标；资产负债率降至63%</w:t>
      </w:r>
      <w:r>
        <w:rPr>
          <w:rFonts w:cs="Times New Roman" w:hint="eastAsia"/>
          <w:kern w:val="2"/>
          <w:szCs w:val="21"/>
        </w:rPr>
        <w:t>；</w:t>
      </w:r>
      <w:r>
        <w:rPr>
          <w:rFonts w:cs="Times New Roman"/>
          <w:kern w:val="2"/>
          <w:szCs w:val="21"/>
        </w:rPr>
        <w:t>平均融资利率2.98%，创历史新低。</w:t>
      </w:r>
    </w:p>
    <w:p>
      <w:pPr>
        <w:ind w:firstLineChars="200" w:firstLine="422"/>
        <w:jc w:val="both"/>
        <w:rPr>
          <w:rFonts w:cs="Times New Roman"/>
          <w:kern w:val="2"/>
          <w:szCs w:val="21"/>
        </w:rPr>
      </w:pPr>
      <w:r>
        <w:rPr>
          <w:rFonts w:cs="Times New Roman" w:hint="eastAsia"/>
          <w:b/>
          <w:bCs/>
          <w:kern w:val="2"/>
          <w:szCs w:val="21"/>
        </w:rPr>
        <w:t>二、五大产业跨越发展。矿业培优塑强。</w:t>
      </w:r>
      <w:r>
        <w:rPr>
          <w:rFonts w:cs="Times New Roman" w:hint="eastAsia"/>
          <w:kern w:val="2"/>
          <w:szCs w:val="21"/>
        </w:rPr>
        <w:t>陕蒙基地商品煤产量</w:t>
      </w:r>
      <w:r>
        <w:rPr>
          <w:rFonts w:cs="Times New Roman"/>
          <w:kern w:val="2"/>
          <w:szCs w:val="21"/>
        </w:rPr>
        <w:t>4,312万吨，同比增加666万吨，成为本集团贡献最大的核心增长极。澳洲基地商品煤产量4,229万吨，同比增加343万吨，充分释放了境内境外两地资源协同效应。可持续发展再添保障，山东万福煤矿投产运营，新增180万吨优质焦煤产能；新疆五彩湾露天矿一期1,000万吨项目全速推进，二期提升至2,300万吨/年产能</w:t>
      </w:r>
      <w:r>
        <w:rPr>
          <w:rFonts w:cs="Times New Roman" w:hint="eastAsia"/>
          <w:kern w:val="2"/>
          <w:szCs w:val="21"/>
        </w:rPr>
        <w:t>规模已获批</w:t>
      </w:r>
      <w:r>
        <w:rPr>
          <w:rFonts w:cs="Times New Roman"/>
          <w:kern w:val="2"/>
          <w:szCs w:val="21"/>
        </w:rPr>
        <w:t>；内蒙古霍林河一号煤矿、刘三圪旦煤矿矿区规划调整至700万吨/年、1,000万吨/年；嘎鲁图煤矿、曹四夭钼矿完成用地、勘探等关键手续审批。智能</w:t>
      </w:r>
      <w:r>
        <w:rPr>
          <w:rFonts w:cs="Times New Roman" w:hint="eastAsia"/>
          <w:kern w:val="2"/>
          <w:szCs w:val="21"/>
        </w:rPr>
        <w:t>矿山建设成效显著，境内</w:t>
      </w:r>
      <w:r>
        <w:rPr>
          <w:rFonts w:cs="Times New Roman"/>
          <w:kern w:val="2"/>
          <w:szCs w:val="21"/>
        </w:rPr>
        <w:t>21对矿井达到国家智能化示范标准，智能开采量占比94%；“深部煤炭数智化高效开采成套技术与工程应用”项目荣获国家科技进步二等奖。</w:t>
      </w:r>
      <w:r>
        <w:rPr>
          <w:rFonts w:cs="Times New Roman"/>
          <w:b/>
          <w:bCs/>
          <w:kern w:val="2"/>
          <w:szCs w:val="21"/>
        </w:rPr>
        <w:t>高端化工新材料产业提质增盈。</w:t>
      </w:r>
      <w:r>
        <w:rPr>
          <w:rFonts w:cs="Times New Roman"/>
          <w:kern w:val="2"/>
          <w:szCs w:val="21"/>
        </w:rPr>
        <w:t>化工生产单位满产达产，同比增盈15亿元。内蒙古荣信化工、新疆能化两个80万吨烯烃项目开工建设；陕西未来能源50万吨高温费托合成项目手续办理取得突破；新疆煤化工6万吨三聚氰胺项目建成投产；鲁南化工世界首台套单体最大3000吨级多喷嘴、对置式（OMB）粉煤加压气化炉稳定运行，6万吨聚甲醛项目加快推进。</w:t>
      </w:r>
      <w:r>
        <w:rPr>
          <w:rFonts w:cs="Times New Roman"/>
          <w:b/>
          <w:bCs/>
          <w:kern w:val="2"/>
          <w:szCs w:val="21"/>
        </w:rPr>
        <w:t>高端装备制造产业提档升级。</w:t>
      </w:r>
      <w:r>
        <w:rPr>
          <w:rFonts w:cs="Times New Roman"/>
          <w:kern w:val="2"/>
          <w:szCs w:val="21"/>
        </w:rPr>
        <w:t>建成“绿色</w:t>
      </w:r>
      <w:r>
        <w:rPr>
          <w:rFonts w:cs="Times New Roman" w:hint="eastAsia"/>
          <w:kern w:val="2"/>
          <w:szCs w:val="21"/>
        </w:rPr>
        <w:t>、高端、智能、零碳”智慧制造园区，首批</w:t>
      </w:r>
      <w:r>
        <w:rPr>
          <w:rFonts w:cs="Times New Roman"/>
          <w:kern w:val="2"/>
          <w:szCs w:val="21"/>
        </w:rPr>
        <w:t>6家合资企业全面投产。收购运营德国沙尔夫公司，在欧洲高端装备制造中心搭建起生产研发平台和招才引智基地。参展美国国际矿业展览会，成套液压支架出口澳大利亚，高端装备国际输出实现新突破。</w:t>
      </w:r>
      <w:r>
        <w:rPr>
          <w:rFonts w:cs="Times New Roman"/>
          <w:b/>
          <w:bCs/>
          <w:kern w:val="2"/>
          <w:szCs w:val="21"/>
        </w:rPr>
        <w:t>智慧物流产业高效发展。</w:t>
      </w:r>
      <w:r>
        <w:rPr>
          <w:rFonts w:cs="Times New Roman"/>
          <w:kern w:val="2"/>
          <w:szCs w:val="21"/>
        </w:rPr>
        <w:t>并购头部物流企业物泊科技，实现“实体物流+数智平台”融合运行。建成泰安港物流园二期项目，形成200万吨静态储煤能力、6,000万吨货物吞吐能力。高效完成鲁西铁路资产整合，自营及参股铁路总里程达4,000公里，货物发运能力大幅提升。</w:t>
      </w:r>
      <w:r>
        <w:rPr>
          <w:rFonts w:cs="Times New Roman"/>
          <w:b/>
          <w:bCs/>
          <w:kern w:val="2"/>
          <w:szCs w:val="21"/>
        </w:rPr>
        <w:t>新能源产业稳步拓展。</w:t>
      </w:r>
      <w:r>
        <w:rPr>
          <w:rFonts w:cs="Times New Roman"/>
          <w:kern w:val="2"/>
          <w:szCs w:val="21"/>
        </w:rPr>
        <w:t>坚持“指标获取+项目建</w:t>
      </w:r>
      <w:r>
        <w:rPr>
          <w:rFonts w:cs="Times New Roman" w:hint="eastAsia"/>
          <w:kern w:val="2"/>
          <w:szCs w:val="21"/>
        </w:rPr>
        <w:t>设”同步推进，有序推进内蒙古区域合资合作，积极开展“外电入鲁”通道项目论证，加速能源结构升级。</w:t>
      </w:r>
    </w:p>
    <w:p>
      <w:pPr>
        <w:ind w:firstLineChars="200" w:firstLine="422"/>
        <w:jc w:val="both"/>
        <w:rPr>
          <w:rFonts w:cs="Times New Roman"/>
          <w:kern w:val="2"/>
          <w:szCs w:val="21"/>
        </w:rPr>
      </w:pPr>
      <w:r>
        <w:rPr>
          <w:rFonts w:cs="Times New Roman" w:hint="eastAsia"/>
          <w:b/>
          <w:bCs/>
          <w:kern w:val="2"/>
          <w:szCs w:val="21"/>
        </w:rPr>
        <w:t>三、共享共建彰显价值。</w:t>
      </w:r>
      <w:r>
        <w:rPr>
          <w:rFonts w:cs="Times New Roman" w:hint="eastAsia"/>
          <w:kern w:val="2"/>
          <w:szCs w:val="21"/>
        </w:rPr>
        <w:t>加强煤炭供应体系建设，全力保障能源安全稳定供应，可调度煤炭储备能力达到</w:t>
      </w:r>
      <w:r>
        <w:rPr>
          <w:rFonts w:cs="Times New Roman"/>
          <w:kern w:val="2"/>
          <w:szCs w:val="21"/>
        </w:rPr>
        <w:t>570万吨。深入推进国企改革深化提升行动，荣获国务院国资委“双百企业”专项评估“标杆”最高评级。不断提升市值管理水平，落实产业发展、规范经营、资本运作、ESG建设等规划目标，控股股东累计增持3亿元股份，公司“董监高”集体增持，用实际行动传递公司价值。坚持“发展成果与投资者共享”，连同2024年度拟派发股利，累计派发现金股利达到850.4亿元，争做上市公司真诚回报股东的“价值典范”。</w:t>
      </w:r>
    </w:p>
    <w:p>
      <w:pPr>
        <w:ind w:firstLineChars="200" w:firstLine="420"/>
        <w:jc w:val="both"/>
        <w:rPr>
          <w:rFonts w:cs="Times New Roman"/>
          <w:kern w:val="2"/>
          <w:szCs w:val="21"/>
        </w:rPr>
      </w:pPr>
      <w:r>
        <w:rPr>
          <w:rFonts w:cs="Times New Roman" w:hint="eastAsia"/>
          <w:kern w:val="2"/>
          <w:szCs w:val="21"/>
        </w:rPr>
        <w:t>展望</w:t>
      </w:r>
      <w:r>
        <w:rPr>
          <w:rFonts w:cs="Times New Roman"/>
          <w:kern w:val="2"/>
          <w:szCs w:val="21"/>
        </w:rPr>
        <w:t>2025年，国际经济环境更趋复杂严峻，地缘政治紧张因素依然较多，世界经济增长动能不足。中国经济稳中有进，长期向好。全球主要国家重新审视能源安全和国际能源合作。预计2025年煤炭市场延续供应宽松格局，价格中枢有限下行，全年均价仍处在中长周期较好盈利区间。化工品市场价格中枢总体稳定，高端化工品价格支撑力较强。</w:t>
      </w:r>
    </w:p>
    <w:p>
      <w:pPr>
        <w:ind w:firstLineChars="200" w:firstLine="420"/>
        <w:jc w:val="both"/>
        <w:rPr>
          <w:rFonts w:cs="Times New Roman"/>
          <w:kern w:val="2"/>
          <w:szCs w:val="21"/>
        </w:rPr>
      </w:pPr>
      <w:r>
        <w:rPr>
          <w:rFonts w:cs="Times New Roman" w:hint="eastAsia"/>
          <w:kern w:val="2"/>
          <w:szCs w:val="21"/>
        </w:rPr>
        <w:t>综合研判内外部环境，结合公司运营实际，</w:t>
      </w:r>
      <w:r>
        <w:rPr>
          <w:rFonts w:cs="Times New Roman"/>
          <w:kern w:val="2"/>
          <w:szCs w:val="21"/>
        </w:rPr>
        <w:t>2025年本集团计划生产商品煤1.55-1.6亿吨，生产化工品860-900万吨；吨煤销售成本力争同比降低3%；资产负债率力争降至60%以下。</w:t>
      </w:r>
    </w:p>
    <w:p>
      <w:pPr>
        <w:ind w:firstLineChars="200" w:firstLine="420"/>
        <w:jc w:val="both"/>
        <w:rPr>
          <w:rFonts w:cs="Times New Roman"/>
          <w:kern w:val="2"/>
          <w:szCs w:val="21"/>
        </w:rPr>
      </w:pPr>
      <w:r>
        <w:rPr>
          <w:rFonts w:cs="Times New Roman" w:hint="eastAsia"/>
          <w:kern w:val="2"/>
          <w:szCs w:val="21"/>
        </w:rPr>
        <w:t>围绕全年经营目标，本集团将重点采取以下措施。</w:t>
      </w:r>
    </w:p>
    <w:p>
      <w:pPr>
        <w:ind w:firstLineChars="200" w:firstLine="422"/>
        <w:jc w:val="both"/>
        <w:rPr>
          <w:rFonts w:cs="Times New Roman"/>
          <w:kern w:val="2"/>
          <w:szCs w:val="21"/>
        </w:rPr>
      </w:pPr>
      <w:r>
        <w:rPr>
          <w:rFonts w:cs="Times New Roman" w:hint="eastAsia"/>
          <w:b/>
          <w:bCs/>
          <w:kern w:val="2"/>
          <w:szCs w:val="21"/>
        </w:rPr>
        <w:lastRenderedPageBreak/>
        <w:t>一、强化核心产业增量扩能。</w:t>
      </w:r>
      <w:r>
        <w:rPr>
          <w:rFonts w:cs="Times New Roman" w:hint="eastAsia"/>
          <w:kern w:val="2"/>
          <w:szCs w:val="21"/>
        </w:rPr>
        <w:t>聚焦矿业、高端化工新材料两大核心产业，高效配置资源，延伸产业链条，全面提升发展后劲。</w:t>
      </w:r>
      <w:r>
        <w:rPr>
          <w:rFonts w:cs="Times New Roman" w:hint="eastAsia"/>
          <w:b/>
          <w:bCs/>
          <w:kern w:val="2"/>
          <w:szCs w:val="21"/>
        </w:rPr>
        <w:t>发挥矿业核心优势。一是加快释放增量潜能。</w:t>
      </w:r>
      <w:r>
        <w:rPr>
          <w:rFonts w:cs="Times New Roman" w:hint="eastAsia"/>
          <w:kern w:val="2"/>
          <w:szCs w:val="21"/>
        </w:rPr>
        <w:t>山东基地精采细采，均衡稳产，商品煤产量稳定在</w:t>
      </w:r>
      <w:r>
        <w:rPr>
          <w:rFonts w:cs="Times New Roman"/>
          <w:kern w:val="2"/>
          <w:szCs w:val="21"/>
        </w:rPr>
        <w:t>3,700-4,000万吨。陕蒙基地集聚优势、达产达效，商品煤产量达到4,400-4,600万吨。新疆基地加快崛起、释放产能，商品煤产量达到3,000万吨以上。澳洲基地抓好生产组织、管理提升，商品煤产量达到4,000-4,400万吨。</w:t>
      </w:r>
      <w:r>
        <w:rPr>
          <w:rFonts w:cs="Times New Roman"/>
          <w:b/>
          <w:bCs/>
          <w:kern w:val="2"/>
          <w:szCs w:val="21"/>
        </w:rPr>
        <w:t>二是攻坚项目建设。</w:t>
      </w:r>
      <w:r>
        <w:rPr>
          <w:rFonts w:cs="Times New Roman"/>
          <w:kern w:val="2"/>
          <w:szCs w:val="21"/>
        </w:rPr>
        <w:t>2025年开工建设霍林河一号煤矿；3年内陆续开工建设刘三圪旦煤矿、</w:t>
      </w:r>
      <w:r>
        <w:rPr>
          <w:rFonts w:cs="Times New Roman" w:hint="eastAsia"/>
          <w:kern w:val="2"/>
          <w:szCs w:val="21"/>
        </w:rPr>
        <w:t>嘎鲁图煤矿，三矿建成后将新增煤炭产能</w:t>
      </w:r>
      <w:r>
        <w:rPr>
          <w:rFonts w:cs="Times New Roman"/>
          <w:kern w:val="2"/>
          <w:szCs w:val="21"/>
        </w:rPr>
        <w:t>2,500万吨/年以上。2026年开工建设曹四夭钼矿，开拓多矿种效益增长源。</w:t>
      </w:r>
      <w:r>
        <w:rPr>
          <w:rFonts w:cs="Times New Roman"/>
          <w:b/>
          <w:bCs/>
          <w:kern w:val="2"/>
          <w:szCs w:val="21"/>
        </w:rPr>
        <w:t>三是获取外部资源。</w:t>
      </w:r>
      <w:r>
        <w:rPr>
          <w:rFonts w:cs="Times New Roman"/>
          <w:kern w:val="2"/>
          <w:szCs w:val="21"/>
        </w:rPr>
        <w:t>坚持“资源为王”，分区域、分批次加快落实控股股东所属西北、内蒙古等区域优质煤矿资产注入；积极获取陕蒙、新疆等国家能源战略基地“核心产区”优质煤炭资源；密切关注境外焦煤、有色金属等资产并购机会。</w:t>
      </w:r>
      <w:r>
        <w:rPr>
          <w:rFonts w:cs="Times New Roman"/>
          <w:b/>
          <w:bCs/>
          <w:kern w:val="2"/>
          <w:szCs w:val="21"/>
        </w:rPr>
        <w:t>提升高端化工新材料产业创效能力。</w:t>
      </w:r>
      <w:r>
        <w:rPr>
          <w:rFonts w:cs="Times New Roman"/>
          <w:kern w:val="2"/>
          <w:szCs w:val="21"/>
        </w:rPr>
        <w:t>大力实施生产装置技术升级改造，确保“安稳长满优”运行。强化延链、补链、强链，有序推进内蒙古荣信化工、新疆准东两个80万吨烯烃、未来能源50万吨高温费托、鲁南化</w:t>
      </w:r>
      <w:r>
        <w:rPr>
          <w:rFonts w:cs="Times New Roman" w:hint="eastAsia"/>
          <w:kern w:val="2"/>
          <w:szCs w:val="21"/>
        </w:rPr>
        <w:t>工低碳高效新能源材料一体化等项目。以项目投资带动优质煤炭、新能源指标获取。</w:t>
      </w:r>
    </w:p>
    <w:p>
      <w:pPr>
        <w:ind w:firstLineChars="200" w:firstLine="422"/>
        <w:jc w:val="both"/>
        <w:rPr>
          <w:rFonts w:cs="Times New Roman"/>
          <w:kern w:val="2"/>
          <w:szCs w:val="21"/>
        </w:rPr>
      </w:pPr>
      <w:r>
        <w:rPr>
          <w:rFonts w:cs="Times New Roman" w:hint="eastAsia"/>
          <w:b/>
          <w:bCs/>
          <w:kern w:val="2"/>
          <w:szCs w:val="21"/>
        </w:rPr>
        <w:t>二、加快新兴产业赶超崛起。</w:t>
      </w:r>
      <w:r>
        <w:rPr>
          <w:rFonts w:cs="Times New Roman" w:hint="eastAsia"/>
          <w:kern w:val="2"/>
          <w:szCs w:val="21"/>
        </w:rPr>
        <w:t>积极融入新业态，抢占新赛道，推动新兴产业规模增量、发展增速、运营增效。</w:t>
      </w:r>
      <w:r>
        <w:rPr>
          <w:rFonts w:cs="Times New Roman" w:hint="eastAsia"/>
          <w:b/>
          <w:bCs/>
          <w:kern w:val="2"/>
          <w:szCs w:val="21"/>
        </w:rPr>
        <w:t>高端装备制造产业</w:t>
      </w:r>
      <w:r>
        <w:rPr>
          <w:rFonts w:cs="Times New Roman" w:hint="eastAsia"/>
          <w:kern w:val="2"/>
          <w:szCs w:val="21"/>
        </w:rPr>
        <w:t>建设鲁西智慧制造园区二期，持续引入优质企业、高端人才、领先技术，力争</w:t>
      </w:r>
      <w:r>
        <w:rPr>
          <w:rFonts w:cs="Times New Roman"/>
          <w:kern w:val="2"/>
          <w:szCs w:val="21"/>
        </w:rPr>
        <w:t>2025年园区营收突破20亿元。整合装备制造优势资源，打造一批具有国际竞争力的中高端产品。充分发挥德国装备制造研发平台作用，加快拓展亚洲、欧洲市场。</w:t>
      </w:r>
      <w:r>
        <w:rPr>
          <w:rFonts w:cs="Times New Roman"/>
          <w:b/>
          <w:bCs/>
          <w:kern w:val="2"/>
          <w:szCs w:val="21"/>
        </w:rPr>
        <w:t>智慧物流产业</w:t>
      </w:r>
      <w:r>
        <w:rPr>
          <w:rFonts w:cs="Times New Roman"/>
          <w:kern w:val="2"/>
          <w:szCs w:val="21"/>
        </w:rPr>
        <w:t>聚焦“西煤东调”“北煤南运”关键物流节点，建成曹家伙场至牛家梁矿区铁路，加快建设新疆准东矿区铁路专用线，积极参与“乌榆临”铁路建设</w:t>
      </w:r>
      <w:r>
        <w:rPr>
          <w:rFonts w:cs="Times New Roman" w:hint="eastAsia"/>
          <w:kern w:val="2"/>
          <w:szCs w:val="21"/>
        </w:rPr>
        <w:t>项目</w:t>
      </w:r>
      <w:r>
        <w:rPr>
          <w:rFonts w:cs="Times New Roman"/>
          <w:kern w:val="2"/>
          <w:szCs w:val="21"/>
        </w:rPr>
        <w:t>，有效提升陕蒙、新疆等区域大宗产品外运能力。做优做</w:t>
      </w:r>
      <w:r>
        <w:rPr>
          <w:rFonts w:cs="Times New Roman" w:hint="eastAsia"/>
          <w:kern w:val="2"/>
          <w:szCs w:val="21"/>
        </w:rPr>
        <w:t>强兖矿泰安港、济宁泗河口港，确保发运能力匹配业务增长及发展需求。</w:t>
      </w:r>
      <w:r>
        <w:rPr>
          <w:rFonts w:cs="Times New Roman" w:hint="eastAsia"/>
          <w:b/>
          <w:bCs/>
          <w:kern w:val="2"/>
          <w:szCs w:val="21"/>
        </w:rPr>
        <w:t>新能源产业</w:t>
      </w:r>
      <w:r>
        <w:rPr>
          <w:rFonts w:cs="Times New Roman" w:hint="eastAsia"/>
          <w:kern w:val="2"/>
          <w:szCs w:val="21"/>
        </w:rPr>
        <w:t>推进自建和并购双轮驱动，拓展布局内蒙古、新疆等优势资源区域，积极谋划兼并收购、合资合作。</w:t>
      </w:r>
    </w:p>
    <w:p>
      <w:pPr>
        <w:ind w:firstLineChars="200" w:firstLine="422"/>
        <w:jc w:val="both"/>
        <w:rPr>
          <w:rFonts w:cs="Times New Roman"/>
          <w:kern w:val="2"/>
          <w:szCs w:val="21"/>
        </w:rPr>
      </w:pPr>
      <w:r>
        <w:rPr>
          <w:rFonts w:cs="Times New Roman" w:hint="eastAsia"/>
          <w:b/>
          <w:bCs/>
          <w:kern w:val="2"/>
          <w:szCs w:val="21"/>
        </w:rPr>
        <w:t>三、深化精益管理提质增效。</w:t>
      </w:r>
      <w:r>
        <w:rPr>
          <w:rFonts w:cs="Times New Roman" w:hint="eastAsia"/>
          <w:kern w:val="2"/>
          <w:szCs w:val="21"/>
        </w:rPr>
        <w:t>实施精益管理、价值创造行动，刚性实施“十个加强、十个增效”等精益成本管控措施，千方百计降本增效。</w:t>
      </w:r>
      <w:r>
        <w:rPr>
          <w:rFonts w:cs="Times New Roman" w:hint="eastAsia"/>
          <w:b/>
          <w:bCs/>
          <w:kern w:val="2"/>
          <w:szCs w:val="21"/>
        </w:rPr>
        <w:t>一是强化生产降本。</w:t>
      </w:r>
      <w:r>
        <w:rPr>
          <w:rFonts w:cs="Times New Roman" w:hint="eastAsia"/>
          <w:kern w:val="2"/>
          <w:szCs w:val="21"/>
        </w:rPr>
        <w:t>优化工艺流程和生产组织，加大生产作业全流程管控，降低生产消耗。</w:t>
      </w:r>
      <w:r>
        <w:rPr>
          <w:rFonts w:cs="Times New Roman" w:hint="eastAsia"/>
          <w:b/>
          <w:bCs/>
          <w:kern w:val="2"/>
          <w:szCs w:val="21"/>
        </w:rPr>
        <w:t>二是深化管理降本。</w:t>
      </w:r>
      <w:r>
        <w:rPr>
          <w:rFonts w:cs="Times New Roman" w:hint="eastAsia"/>
          <w:kern w:val="2"/>
          <w:szCs w:val="21"/>
        </w:rPr>
        <w:t>发挥财务共享平台预算控制功能，刚性预算，刚性控制，力争可控费用降低5</w:t>
      </w:r>
      <w:r>
        <w:rPr>
          <w:rFonts w:cs="Times New Roman"/>
          <w:kern w:val="2"/>
          <w:szCs w:val="21"/>
        </w:rPr>
        <w:t>%</w:t>
      </w:r>
      <w:r>
        <w:rPr>
          <w:rFonts w:cs="Times New Roman" w:hint="eastAsia"/>
          <w:kern w:val="2"/>
          <w:szCs w:val="21"/>
        </w:rPr>
        <w:t>。优化人力资源配置，实现控员提效</w:t>
      </w:r>
      <w:r>
        <w:rPr>
          <w:rFonts w:cs="Times New Roman"/>
          <w:kern w:val="2"/>
          <w:szCs w:val="21"/>
        </w:rPr>
        <w:t>。</w:t>
      </w:r>
      <w:r>
        <w:rPr>
          <w:rFonts w:cs="Times New Roman"/>
          <w:b/>
          <w:bCs/>
          <w:kern w:val="2"/>
          <w:szCs w:val="21"/>
        </w:rPr>
        <w:t>三是加强资金管理。</w:t>
      </w:r>
      <w:r>
        <w:rPr>
          <w:rFonts w:cs="Times New Roman"/>
          <w:kern w:val="2"/>
          <w:szCs w:val="21"/>
        </w:rPr>
        <w:t>多措并举获取低成本资金，力争综合融资成本压降6%，财务费用降低3亿元。</w:t>
      </w:r>
      <w:r>
        <w:rPr>
          <w:rFonts w:cs="Times New Roman"/>
          <w:b/>
          <w:bCs/>
          <w:kern w:val="2"/>
          <w:szCs w:val="21"/>
        </w:rPr>
        <w:t>四是优化物流管理。</w:t>
      </w:r>
      <w:r>
        <w:rPr>
          <w:rFonts w:cs="Times New Roman"/>
          <w:kern w:val="2"/>
          <w:szCs w:val="21"/>
        </w:rPr>
        <w:t>发挥物流多式联运、物销协同优势，优化渠道、运输、储存和结算方式，降低销售费用。</w:t>
      </w:r>
      <w:r>
        <w:rPr>
          <w:rFonts w:cs="Times New Roman"/>
          <w:b/>
          <w:bCs/>
          <w:kern w:val="2"/>
          <w:szCs w:val="21"/>
        </w:rPr>
        <w:t>五是盘活存量资产</w:t>
      </w:r>
      <w:r>
        <w:rPr>
          <w:rFonts w:cs="Times New Roman" w:hint="eastAsia"/>
          <w:b/>
          <w:bCs/>
          <w:kern w:val="2"/>
          <w:szCs w:val="21"/>
        </w:rPr>
        <w:t>。</w:t>
      </w:r>
      <w:r>
        <w:rPr>
          <w:rFonts w:cs="Times New Roman" w:hint="eastAsia"/>
          <w:kern w:val="2"/>
          <w:szCs w:val="21"/>
        </w:rPr>
        <w:t>加大清仓利库、闲置资产盘活，确保存量物资降低</w:t>
      </w:r>
      <w:r>
        <w:rPr>
          <w:rFonts w:cs="Times New Roman"/>
          <w:kern w:val="2"/>
          <w:szCs w:val="21"/>
        </w:rPr>
        <w:t>10%。</w:t>
      </w:r>
      <w:r>
        <w:rPr>
          <w:rFonts w:cs="Times New Roman"/>
          <w:b/>
          <w:bCs/>
          <w:kern w:val="2"/>
          <w:szCs w:val="21"/>
        </w:rPr>
        <w:t>六是严控采购成本。</w:t>
      </w:r>
      <w:r>
        <w:rPr>
          <w:rFonts w:cs="Times New Roman"/>
          <w:kern w:val="2"/>
          <w:szCs w:val="21"/>
        </w:rPr>
        <w:t>加大集中采购、统谈分签、比价采购，确保采购降本2.2亿元以上。七是深化智慧营销。精准施策营销策略，在持续开展品种、客户、区域、流向“四个优化”的基础上，重点抓好长协兑现、重点客户维护、新增市场开发，保煤质、保现金流，以“三抓两保”硬措施推动增收创效。</w:t>
      </w:r>
    </w:p>
    <w:p>
      <w:pPr>
        <w:ind w:firstLineChars="200" w:firstLine="422"/>
        <w:jc w:val="both"/>
        <w:rPr>
          <w:rFonts w:cs="Times New Roman"/>
          <w:kern w:val="2"/>
          <w:szCs w:val="21"/>
        </w:rPr>
      </w:pPr>
      <w:r>
        <w:rPr>
          <w:rFonts w:cs="Times New Roman" w:hint="eastAsia"/>
          <w:b/>
          <w:bCs/>
          <w:kern w:val="2"/>
          <w:szCs w:val="21"/>
        </w:rPr>
        <w:t>四、推动公司价值持续提升。</w:t>
      </w:r>
      <w:r>
        <w:rPr>
          <w:rFonts w:cs="Times New Roman" w:hint="eastAsia"/>
          <w:kern w:val="2"/>
          <w:szCs w:val="21"/>
        </w:rPr>
        <w:t>聚焦高质量发展主线，突出重要领域、重点任务、关键环节，持续提升发展质量和投资价值。</w:t>
      </w:r>
      <w:r>
        <w:rPr>
          <w:rFonts w:cs="Times New Roman" w:hint="eastAsia"/>
          <w:b/>
          <w:bCs/>
          <w:kern w:val="2"/>
          <w:szCs w:val="21"/>
        </w:rPr>
        <w:t>拓展全球布局。</w:t>
      </w:r>
      <w:r>
        <w:rPr>
          <w:rFonts w:cs="Times New Roman" w:hint="eastAsia"/>
          <w:kern w:val="2"/>
          <w:szCs w:val="21"/>
        </w:rPr>
        <w:t>坚定不移实施国际化战略，统筹六地上市平台，全球化配置资本、资源、技术、人才。</w:t>
      </w:r>
      <w:r>
        <w:rPr>
          <w:rFonts w:cs="Times New Roman" w:hint="eastAsia"/>
          <w:b/>
          <w:bCs/>
          <w:kern w:val="2"/>
          <w:szCs w:val="21"/>
        </w:rPr>
        <w:t>强化市值管理。</w:t>
      </w:r>
      <w:r>
        <w:rPr>
          <w:rFonts w:cs="Times New Roman" w:hint="eastAsia"/>
          <w:kern w:val="2"/>
          <w:szCs w:val="21"/>
        </w:rPr>
        <w:t>深入实施兖矿特色“</w:t>
      </w:r>
      <w:r>
        <w:rPr>
          <w:rFonts w:cs="Times New Roman"/>
          <w:kern w:val="2"/>
          <w:szCs w:val="21"/>
        </w:rPr>
        <w:t>135”市值管理机制，实施一系列有利于上市公司价值创造、价值经营与价值实现的针对性措施，增强资本市场价值认同。</w:t>
      </w:r>
      <w:r>
        <w:rPr>
          <w:rFonts w:cs="Times New Roman"/>
          <w:b/>
          <w:bCs/>
          <w:kern w:val="2"/>
          <w:szCs w:val="21"/>
        </w:rPr>
        <w:t>深化国企改革。</w:t>
      </w:r>
      <w:r>
        <w:rPr>
          <w:rFonts w:cs="Times New Roman"/>
          <w:kern w:val="2"/>
          <w:szCs w:val="21"/>
        </w:rPr>
        <w:t>扎实开展国企改革深化提升行动，优化国有资本布局，完善现代企业制度，构建市场化运营机制。</w:t>
      </w:r>
      <w:r>
        <w:rPr>
          <w:rFonts w:cs="Times New Roman"/>
          <w:b/>
          <w:bCs/>
          <w:kern w:val="2"/>
          <w:szCs w:val="21"/>
        </w:rPr>
        <w:t>提升品牌形象。</w:t>
      </w:r>
      <w:r>
        <w:rPr>
          <w:rFonts w:cs="Times New Roman"/>
          <w:kern w:val="2"/>
          <w:szCs w:val="21"/>
        </w:rPr>
        <w:t>持之以恒做好ESG建设，主动在绿色发展、乡村振兴、生态保护</w:t>
      </w:r>
      <w:r>
        <w:rPr>
          <w:rFonts w:cs="Times New Roman" w:hint="eastAsia"/>
          <w:kern w:val="2"/>
          <w:szCs w:val="21"/>
        </w:rPr>
        <w:t>、应急救援等方面履行社会责任。</w:t>
      </w:r>
    </w:p>
    <w:p>
      <w:pPr>
        <w:ind w:firstLineChars="200" w:firstLine="420"/>
        <w:jc w:val="both"/>
        <w:rPr>
          <w:rFonts w:cs="Times New Roman"/>
          <w:kern w:val="2"/>
          <w:szCs w:val="21"/>
        </w:rPr>
      </w:pPr>
      <w:r>
        <w:rPr>
          <w:rFonts w:cs="Times New Roman" w:hint="eastAsia"/>
          <w:kern w:val="2"/>
          <w:szCs w:val="21"/>
        </w:rPr>
        <w:t>百舸争流千帆竞，勇立潮头谱华章。</w:t>
      </w:r>
      <w:r>
        <w:rPr>
          <w:rFonts w:cs="Times New Roman"/>
          <w:kern w:val="2"/>
          <w:szCs w:val="21"/>
        </w:rPr>
        <w:t>2025年，本集团将深刻研判外部环境的复杂性、严峻性、不确定性，发扬逆势发展的优良传统，保持一如既往的奋斗姿态，统筹安全生产、项目建设、市场开拓、规范治理、改革创新等各项工作，推动公司行稳致远、破浪前行，以优异成绩为股东及利益相关方创造更多价值回报</w:t>
      </w:r>
      <w:r>
        <w:rPr>
          <w:rFonts w:cs="Times New Roman" w:hint="eastAsia"/>
          <w:kern w:val="2"/>
          <w:szCs w:val="21"/>
        </w:rPr>
        <w:t>。</w:t>
      </w:r>
    </w:p>
    <w:p>
      <w:pPr>
        <w:ind w:firstLineChars="200" w:firstLine="420"/>
        <w:jc w:val="both"/>
        <w:rPr>
          <w:rFonts w:cs="Times New Roman"/>
          <w:kern w:val="2"/>
          <w:szCs w:val="21"/>
        </w:rPr>
      </w:pPr>
    </w:p>
    <w:p>
      <w:pPr>
        <w:ind w:firstLineChars="200" w:firstLine="420"/>
        <w:jc w:val="right"/>
        <w:rPr>
          <w:rFonts w:cs="Times New Roman"/>
          <w:kern w:val="2"/>
          <w:szCs w:val="21"/>
        </w:rPr>
      </w:pPr>
    </w:p>
    <w:p>
      <w:pPr>
        <w:ind w:firstLineChars="200" w:firstLine="420"/>
        <w:jc w:val="right"/>
        <w:rPr>
          <w:rFonts w:cs="Times New Roman"/>
          <w:kern w:val="2"/>
          <w:szCs w:val="21"/>
        </w:rPr>
      </w:pPr>
      <w:r>
        <w:rPr>
          <w:rFonts w:cs="Times New Roman" w:hint="eastAsia"/>
          <w:kern w:val="2"/>
          <w:szCs w:val="21"/>
        </w:rPr>
        <w:t>承董事会命</w:t>
      </w:r>
    </w:p>
    <w:p>
      <w:pPr>
        <w:ind w:firstLineChars="200" w:firstLine="420"/>
        <w:jc w:val="right"/>
        <w:rPr>
          <w:rFonts w:cs="Times New Roman"/>
          <w:kern w:val="2"/>
          <w:szCs w:val="21"/>
        </w:rPr>
      </w:pPr>
      <w:r>
        <w:rPr>
          <w:rFonts w:cs="Times New Roman" w:hint="eastAsia"/>
          <w:kern w:val="2"/>
          <w:szCs w:val="21"/>
        </w:rPr>
        <w:t>董事长：李伟</w:t>
      </w:r>
    </w:p>
    <w:p>
      <w:pPr>
        <w:ind w:firstLineChars="200" w:firstLine="420"/>
        <w:jc w:val="right"/>
        <w:rPr>
          <w:rFonts w:cs="Times New Roman"/>
          <w:kern w:val="2"/>
          <w:szCs w:val="21"/>
        </w:rPr>
      </w:pPr>
      <w:r>
        <w:rPr>
          <w:rFonts w:cs="Times New Roman" w:hint="eastAsia"/>
          <w:kern w:val="2"/>
          <w:szCs w:val="21"/>
        </w:rPr>
        <w:t>中国，邹城，2025年3月28日</w:t>
      </w:r>
    </w:p>
    <w:p>
      <w:pPr>
        <w:rPr>
          <w:rFonts w:cs="Times New Roman"/>
          <w:kern w:val="2"/>
          <w:szCs w:val="21"/>
        </w:rPr>
      </w:pPr>
    </w:p>
    <w:p>
      <w:pPr>
        <w:rPr>
          <w:rFonts w:ascii="Calibri" w:eastAsia="黑体" w:hAnsi="Calibri" w:cs="Times New Roman"/>
          <w:b/>
          <w:bCs/>
          <w:kern w:val="44"/>
          <w:sz w:val="28"/>
          <w:szCs w:val="44"/>
        </w:rPr>
      </w:pPr>
      <w:r>
        <w:br w:type="page"/>
      </w:r>
    </w:p>
    <w:p>
      <w:pPr>
        <w:pStyle w:val="1"/>
        <w:numPr>
          <w:ilvl w:val="0"/>
          <w:numId w:val="3"/>
        </w:numPr>
        <w:rPr>
          <w:u w:val="single"/>
        </w:rPr>
      </w:pPr>
      <w:bookmarkStart w:id="39" w:name="_Toc193794891"/>
      <w:r>
        <w:rPr>
          <w:rFonts w:hint="eastAsia"/>
        </w:rPr>
        <w:lastRenderedPageBreak/>
        <w:t>管理层讨论与分析</w:t>
      </w:r>
      <w:bookmarkEnd w:id="39"/>
    </w:p>
    <w:p>
      <w:pPr>
        <w:pStyle w:val="affffffd"/>
      </w:pPr>
    </w:p>
    <w:p>
      <w:pPr>
        <w:pStyle w:val="2"/>
        <w:numPr>
          <w:ilvl w:val="0"/>
          <w:numId w:val="11"/>
        </w:numPr>
        <w:ind w:left="369" w:hangingChars="175" w:hanging="369"/>
      </w:pPr>
      <w:r>
        <w:rPr>
          <w:rFonts w:hint="eastAsia"/>
        </w:rPr>
        <w:t>经营情况</w:t>
      </w:r>
      <w:r>
        <w:t>讨论与分析</w:t>
      </w:r>
    </w:p>
    <w:sdt>
      <w:sdtPr>
        <w:rPr>
          <w:rFonts w:asciiTheme="minorEastAsia" w:eastAsiaTheme="minorEastAsia" w:hAnsiTheme="minorEastAsia" w:hint="eastAsia"/>
        </w:rPr>
        <w:alias w:val="管理层讨论与分析"/>
        <w:tag w:val="_GBC_75862f3cb18e486fb20eb44dbcc462a9"/>
        <w:id w:val="840357757"/>
        <w:placeholder>
          <w:docPart w:val="GBC22222222222222222222222222222"/>
        </w:placeholder>
      </w:sdtPr>
      <w:sdtContent>
        <w:p>
          <w:pPr>
            <w:rPr>
              <w:rFonts w:asciiTheme="minorEastAsia" w:eastAsiaTheme="minorEastAsia" w:hAnsiTheme="minorEastAsia"/>
            </w:rPr>
          </w:pPr>
        </w:p>
        <w:tbl>
          <w:tblPr>
            <w:tblStyle w:val="g262"/>
            <w:tblW w:w="9045" w:type="dxa"/>
            <w:jc w:val="center"/>
            <w:tblInd w:w="0" w:type="dxa"/>
            <w:tblLayout w:type="fixed"/>
            <w:tblCellMar>
              <w:left w:w="0" w:type="dxa"/>
              <w:right w:w="0" w:type="dxa"/>
            </w:tblCellMar>
            <w:tblLook w:val="04A0" w:firstRow="1" w:lastRow="0" w:firstColumn="1" w:lastColumn="0" w:noHBand="0" w:noVBand="1"/>
          </w:tblPr>
          <w:tblGrid>
            <w:gridCol w:w="2142"/>
            <w:gridCol w:w="1554"/>
            <w:gridCol w:w="1425"/>
            <w:gridCol w:w="1470"/>
            <w:gridCol w:w="1166"/>
            <w:gridCol w:w="1288"/>
          </w:tblGrid>
          <w:tr>
            <w:trPr>
              <w:trHeight w:hRule="exact" w:val="735"/>
              <w:jc w:val="center"/>
            </w:trPr>
            <w:tc>
              <w:tcPr>
                <w:tcW w:w="2142" w:type="dxa"/>
                <w:tcBorders>
                  <w:top w:val="single" w:sz="2" w:space="0" w:color="000000"/>
                  <w:left w:val="single" w:sz="4" w:space="0" w:color="000000"/>
                  <w:bottom w:val="single" w:sz="4" w:space="0" w:color="000000"/>
                  <w:right w:val="single" w:sz="4" w:space="0" w:color="000000"/>
                </w:tcBorders>
              </w:tcPr>
              <w:p>
                <w:pPr>
                  <w:widowControl w:val="0"/>
                  <w:kinsoku w:val="0"/>
                  <w:overflowPunct w:val="0"/>
                  <w:autoSpaceDE w:val="0"/>
                  <w:autoSpaceDN w:val="0"/>
                  <w:adjustRightInd w:val="0"/>
                  <w:spacing w:before="10"/>
                  <w:jc w:val="both"/>
                  <w:rPr>
                    <w:rFonts w:cs="Times New Roman"/>
                    <w:sz w:val="14"/>
                    <w:szCs w:val="14"/>
                  </w:rPr>
                </w:pPr>
              </w:p>
              <w:p>
                <w:pPr>
                  <w:widowControl w:val="0"/>
                  <w:kinsoku w:val="0"/>
                  <w:overflowPunct w:val="0"/>
                  <w:autoSpaceDE w:val="0"/>
                  <w:autoSpaceDN w:val="0"/>
                  <w:adjustRightInd w:val="0"/>
                  <w:ind w:left="104"/>
                  <w:jc w:val="center"/>
                  <w:rPr>
                    <w:rFonts w:cs="Arial"/>
                    <w:szCs w:val="28"/>
                  </w:rPr>
                </w:pPr>
              </w:p>
            </w:tc>
            <w:tc>
              <w:tcPr>
                <w:tcW w:w="1554" w:type="dxa"/>
                <w:tcBorders>
                  <w:top w:val="single" w:sz="2"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b/>
                    <w:bCs/>
                    <w:szCs w:val="21"/>
                  </w:rPr>
                  <w:t>单位</w:t>
                </w:r>
              </w:p>
            </w:tc>
            <w:tc>
              <w:tcPr>
                <w:tcW w:w="1425" w:type="dxa"/>
                <w:tcBorders>
                  <w:top w:val="single" w:sz="2"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b/>
                    <w:bCs/>
                    <w:szCs w:val="21"/>
                  </w:rPr>
                  <w:t>202</w:t>
                </w:r>
                <w:r>
                  <w:rPr>
                    <w:rFonts w:cs="Calibri"/>
                    <w:b/>
                    <w:bCs/>
                    <w:szCs w:val="21"/>
                  </w:rPr>
                  <w:t>4</w:t>
                </w:r>
                <w:r>
                  <w:rPr>
                    <w:rFonts w:cs="Calibri" w:hint="eastAsia"/>
                    <w:b/>
                    <w:bCs/>
                    <w:szCs w:val="21"/>
                  </w:rPr>
                  <w:t>年</w:t>
                </w:r>
              </w:p>
            </w:tc>
            <w:tc>
              <w:tcPr>
                <w:tcW w:w="1470" w:type="dxa"/>
                <w:tcBorders>
                  <w:top w:val="single" w:sz="2"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b/>
                    <w:bCs/>
                    <w:szCs w:val="21"/>
                  </w:rPr>
                  <w:t>202</w:t>
                </w:r>
                <w:r>
                  <w:rPr>
                    <w:rFonts w:cs="Calibri"/>
                    <w:b/>
                    <w:bCs/>
                    <w:szCs w:val="21"/>
                  </w:rPr>
                  <w:t>3</w:t>
                </w:r>
                <w:r>
                  <w:rPr>
                    <w:rFonts w:cs="Calibri" w:hint="eastAsia"/>
                    <w:b/>
                    <w:bCs/>
                    <w:szCs w:val="21"/>
                  </w:rPr>
                  <w:t>年</w:t>
                </w:r>
              </w:p>
            </w:tc>
            <w:tc>
              <w:tcPr>
                <w:tcW w:w="1166" w:type="dxa"/>
                <w:tcBorders>
                  <w:top w:val="single" w:sz="2"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b/>
                    <w:bCs/>
                    <w:szCs w:val="21"/>
                  </w:rPr>
                  <w:t>增减</w:t>
                </w:r>
              </w:p>
            </w:tc>
            <w:tc>
              <w:tcPr>
                <w:tcW w:w="1288" w:type="dxa"/>
                <w:tcBorders>
                  <w:top w:val="single" w:sz="2"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b/>
                    <w:bCs/>
                    <w:szCs w:val="21"/>
                  </w:rPr>
                  <w:t>增减幅（%）</w:t>
                </w:r>
              </w:p>
            </w:tc>
          </w:tr>
          <w:tr>
            <w:trPr>
              <w:trHeight w:val="358"/>
              <w:jc w:val="center"/>
            </w:trPr>
            <w:tc>
              <w:tcPr>
                <w:tcW w:w="9045" w:type="dxa"/>
                <w:gridSpan w:val="6"/>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215"/>
                  <w:jc w:val="both"/>
                  <w:rPr>
                    <w:rFonts w:cs="Arial"/>
                    <w:szCs w:val="28"/>
                  </w:rPr>
                </w:pPr>
                <w:r>
                  <w:rPr>
                    <w:rFonts w:cs="Calibri" w:hint="eastAsia"/>
                    <w:b/>
                    <w:bCs/>
                    <w:szCs w:val="21"/>
                  </w:rPr>
                  <w:t>1.煤炭业务</w:t>
                </w:r>
              </w:p>
            </w:tc>
          </w:tr>
          <w:tr>
            <w:trPr>
              <w:trHeight w:hRule="exact" w:val="358"/>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Arial"/>
                    <w:szCs w:val="28"/>
                  </w:rPr>
                </w:pPr>
                <w:r>
                  <w:rPr>
                    <w:rFonts w:cs="Calibri" w:hint="eastAsia"/>
                    <w:szCs w:val="21"/>
                  </w:rPr>
                  <w:t>商品煤产量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szCs w:val="21"/>
                  </w:rPr>
                  <w:t>千吨</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142,493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132,107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10,386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7.86 </w:t>
                </w:r>
              </w:p>
            </w:tc>
          </w:tr>
          <w:tr>
            <w:trPr>
              <w:trHeight w:hRule="exact" w:val="360"/>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Arial"/>
                    <w:szCs w:val="28"/>
                  </w:rPr>
                </w:pPr>
                <w:r>
                  <w:rPr>
                    <w:rFonts w:cs="Calibri" w:hint="eastAsia"/>
                    <w:szCs w:val="21"/>
                  </w:rPr>
                  <w:t>商品煤销量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Arial"/>
                    <w:szCs w:val="28"/>
                  </w:rPr>
                </w:pPr>
                <w:r>
                  <w:rPr>
                    <w:rFonts w:cs="Calibri" w:hint="eastAsia"/>
                    <w:szCs w:val="21"/>
                  </w:rPr>
                  <w:t>千吨</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136,309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127,024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9,285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7.31 </w:t>
                </w:r>
              </w:p>
            </w:tc>
          </w:tr>
          <w:tr>
            <w:trPr>
              <w:trHeight w:val="358"/>
              <w:jc w:val="center"/>
            </w:trPr>
            <w:tc>
              <w:tcPr>
                <w:tcW w:w="904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widowControl w:val="0"/>
                  <w:kinsoku w:val="0"/>
                  <w:overflowPunct w:val="0"/>
                  <w:autoSpaceDE w:val="0"/>
                  <w:autoSpaceDN w:val="0"/>
                  <w:adjustRightInd w:val="0"/>
                  <w:spacing w:before="4"/>
                  <w:ind w:left="102"/>
                  <w:jc w:val="both"/>
                  <w:rPr>
                    <w:rFonts w:cs="Arial"/>
                    <w:szCs w:val="28"/>
                  </w:rPr>
                </w:pPr>
                <w:r>
                  <w:rPr>
                    <w:rFonts w:cs="Calibri" w:hint="eastAsia"/>
                    <w:b/>
                    <w:bCs/>
                    <w:szCs w:val="21"/>
                  </w:rPr>
                  <w:t>2.煤化工业务</w:t>
                </w:r>
              </w:p>
            </w:tc>
          </w:tr>
          <w:tr>
            <w:trPr>
              <w:trHeight w:hRule="exact" w:val="358"/>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Times New Roman"/>
                    <w:szCs w:val="21"/>
                  </w:rPr>
                </w:pPr>
                <w:r>
                  <w:rPr>
                    <w:rFonts w:cs="Calibri" w:hint="eastAsia"/>
                    <w:szCs w:val="21"/>
                  </w:rPr>
                  <w:t>化工产品产量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Calibri"/>
                    <w:szCs w:val="21"/>
                  </w:rPr>
                </w:pPr>
                <w:r>
                  <w:rPr>
                    <w:rFonts w:cs="Calibri" w:hint="eastAsia"/>
                    <w:szCs w:val="21"/>
                  </w:rPr>
                  <w:t>千吨</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8,702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8,587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115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1.34 </w:t>
                </w:r>
              </w:p>
            </w:tc>
          </w:tr>
          <w:tr>
            <w:trPr>
              <w:trHeight w:hRule="exact" w:val="358"/>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Calibri"/>
                    <w:szCs w:val="21"/>
                  </w:rPr>
                </w:pPr>
                <w:r>
                  <w:rPr>
                    <w:rFonts w:cs="Calibri" w:hint="eastAsia"/>
                    <w:szCs w:val="21"/>
                  </w:rPr>
                  <w:t>化工产品销量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Calibri"/>
                    <w:szCs w:val="21"/>
                  </w:rPr>
                </w:pPr>
                <w:r>
                  <w:rPr>
                    <w:rFonts w:cs="Calibri" w:hint="eastAsia"/>
                    <w:szCs w:val="21"/>
                  </w:rPr>
                  <w:t>千吨</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7,801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7,862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-61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-0.78 </w:t>
                </w:r>
              </w:p>
            </w:tc>
          </w:tr>
          <w:tr>
            <w:trPr>
              <w:trHeight w:val="360"/>
              <w:jc w:val="center"/>
            </w:trPr>
            <w:tc>
              <w:tcPr>
                <w:tcW w:w="9045"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widowControl w:val="0"/>
                  <w:kinsoku w:val="0"/>
                  <w:overflowPunct w:val="0"/>
                  <w:autoSpaceDE w:val="0"/>
                  <w:autoSpaceDN w:val="0"/>
                  <w:adjustRightInd w:val="0"/>
                  <w:spacing w:before="4"/>
                  <w:ind w:left="103"/>
                  <w:jc w:val="both"/>
                  <w:rPr>
                    <w:rFonts w:cs="Arial"/>
                    <w:szCs w:val="28"/>
                  </w:rPr>
                </w:pPr>
                <w:r>
                  <w:rPr>
                    <w:rFonts w:cs="Calibri" w:hint="eastAsia"/>
                    <w:b/>
                    <w:bCs/>
                    <w:szCs w:val="21"/>
                  </w:rPr>
                  <w:t>3.电力业务</w:t>
                </w:r>
              </w:p>
            </w:tc>
          </w:tr>
          <w:tr>
            <w:trPr>
              <w:trHeight w:hRule="exact" w:val="358"/>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Times New Roman"/>
                    <w:szCs w:val="21"/>
                  </w:rPr>
                </w:pPr>
                <w:r>
                  <w:rPr>
                    <w:rFonts w:cs="Calibri" w:hint="eastAsia"/>
                    <w:szCs w:val="21"/>
                  </w:rPr>
                  <w:t>发电量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Calibri"/>
                    <w:szCs w:val="21"/>
                  </w:rPr>
                </w:pPr>
                <w:r>
                  <w:rPr>
                    <w:rFonts w:cs="Calibri" w:hint="eastAsia"/>
                    <w:szCs w:val="21"/>
                  </w:rPr>
                  <w:t>万千瓦时</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812,048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840,351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-28,303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-3.37 </w:t>
                </w:r>
              </w:p>
            </w:tc>
          </w:tr>
          <w:tr>
            <w:trPr>
              <w:trHeight w:hRule="exact" w:val="358"/>
              <w:jc w:val="center"/>
            </w:trPr>
            <w:tc>
              <w:tcPr>
                <w:tcW w:w="214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4"/>
                  <w:ind w:left="328"/>
                  <w:jc w:val="both"/>
                  <w:rPr>
                    <w:rFonts w:cs="Calibri"/>
                    <w:szCs w:val="21"/>
                  </w:rPr>
                </w:pPr>
                <w:r>
                  <w:rPr>
                    <w:rFonts w:cs="Calibri" w:hint="eastAsia"/>
                    <w:szCs w:val="21"/>
                  </w:rPr>
                  <w:t>售电量</w:t>
                </w:r>
              </w:p>
            </w:tc>
            <w:tc>
              <w:tcPr>
                <w:tcW w:w="1554"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jc w:val="center"/>
                  <w:rPr>
                    <w:rFonts w:cs="Calibri"/>
                    <w:szCs w:val="21"/>
                  </w:rPr>
                </w:pPr>
                <w:r>
                  <w:rPr>
                    <w:rFonts w:cs="Calibri" w:hint="eastAsia"/>
                    <w:szCs w:val="21"/>
                  </w:rPr>
                  <w:t>万千瓦时</w:t>
                </w:r>
              </w:p>
            </w:tc>
            <w:tc>
              <w:tcPr>
                <w:tcW w:w="14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679,843 </w:t>
                </w:r>
              </w:p>
            </w:tc>
            <w:tc>
              <w:tcPr>
                <w:tcW w:w="1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pPr>
                  <w:jc w:val="right"/>
                </w:pPr>
                <w:r>
                  <w:t xml:space="preserve">710,722 </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-30,879 </w:t>
                </w:r>
              </w:p>
            </w:tc>
            <w:tc>
              <w:tcPr>
                <w:tcW w:w="12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pPr>
                  <w:jc w:val="right"/>
                </w:pPr>
                <w:r>
                  <w:t xml:space="preserve">-4.34 </w:t>
                </w:r>
              </w:p>
            </w:tc>
          </w:tr>
        </w:tbl>
        <w:p>
          <w:pPr>
            <w:rPr>
              <w:rFonts w:asciiTheme="minorEastAsia" w:eastAsiaTheme="minorEastAsia" w:hAnsiTheme="minorEastAsia"/>
            </w:rPr>
          </w:pPr>
        </w:p>
      </w:sdtContent>
    </w:sdt>
    <w:p>
      <w:pPr>
        <w:rPr>
          <w:rFonts w:asciiTheme="minorEastAsia" w:eastAsiaTheme="minorEastAsia" w:hAnsiTheme="minorEastAsia"/>
        </w:rPr>
      </w:pPr>
    </w:p>
    <w:p>
      <w:pPr>
        <w:pStyle w:val="2"/>
        <w:numPr>
          <w:ilvl w:val="0"/>
          <w:numId w:val="11"/>
        </w:numPr>
        <w:ind w:left="369" w:hangingChars="175" w:hanging="369"/>
      </w:pPr>
      <w:r>
        <w:rPr>
          <w:rFonts w:hint="eastAsia"/>
        </w:rPr>
        <w:t>报告期内公司所处行业情况</w:t>
      </w:r>
    </w:p>
    <w:bookmarkStart w:id="40" w:name="_Hlk192771522" w:displacedByCustomXml="next"/>
    <w:sdt>
      <w:sdtPr>
        <w:rPr>
          <w:rFonts w:hint="eastAsia"/>
        </w:rPr>
        <w:alias w:val="报告期内公司所处行业情况 "/>
        <w:tag w:val="_GBC_62343dd2540e4e58bef438888246bd32"/>
        <w:id w:val="1372644053"/>
        <w:placeholder>
          <w:docPart w:val="GBC22222222222222222222222222222"/>
        </w:placeholder>
      </w:sdtPr>
      <w:sdtContent>
        <w:p>
          <w:pPr>
            <w:pStyle w:val="affffffd"/>
            <w:ind w:firstLineChars="200" w:firstLine="420"/>
          </w:pPr>
          <w:r>
            <w:t>2024年，煤炭行业持续提升安全供应保障能力，加快智能化转型升级，稳步推进煤炭清洁高效利用，煤炭产量保持增长、进口量</w:t>
          </w:r>
          <w:r>
            <w:rPr>
              <w:rFonts w:hint="eastAsia"/>
            </w:rPr>
            <w:t>持续</w:t>
          </w:r>
          <w:r>
            <w:t>增加、需求增幅下降，煤炭市场呈现相对宽松的运行态势，价格中枢下移。煤化工市场下游需求偏弱，呈现供应宽松格局，化工品价格震荡波动。</w:t>
          </w:r>
        </w:p>
      </w:sdtContent>
    </w:sdt>
    <w:bookmarkEnd w:id="40"/>
    <w:p>
      <w:pPr>
        <w:pStyle w:val="affffffd"/>
      </w:pPr>
    </w:p>
    <w:p>
      <w:pPr>
        <w:pStyle w:val="2"/>
        <w:numPr>
          <w:ilvl w:val="0"/>
          <w:numId w:val="11"/>
        </w:numPr>
        <w:ind w:left="369" w:hangingChars="175" w:hanging="369"/>
      </w:pPr>
      <w:r>
        <w:rPr>
          <w:rFonts w:hint="eastAsia"/>
        </w:rPr>
        <w:t>报告期内公司从事的业务情况</w:t>
      </w:r>
    </w:p>
    <w:bookmarkStart w:id="41" w:name="_Hlk192771531" w:displacedByCustomXml="next"/>
    <w:sdt>
      <w:sdtPr>
        <w:alias w:val="报告期内公司从事的业务情况 "/>
        <w:tag w:val="_GBC_5c2ed6623d994f569eb07915af842807"/>
        <w:id w:val="1760790938"/>
        <w:placeholder>
          <w:docPart w:val="GBC22222222222222222222222222222"/>
        </w:placeholder>
      </w:sdtPr>
      <w:sdtContent>
        <w:p>
          <w:pPr>
            <w:pStyle w:val="affffffd"/>
            <w:ind w:firstLineChars="200" w:firstLine="420"/>
          </w:pPr>
          <w:r>
            <w:rPr>
              <w:rFonts w:hint="eastAsia"/>
            </w:rPr>
            <w:t>（一）主要业务</w:t>
          </w:r>
        </w:p>
        <w:p>
          <w:pPr>
            <w:pStyle w:val="affffffd"/>
            <w:ind w:firstLineChars="200" w:firstLine="420"/>
          </w:pPr>
          <w:r>
            <w:t>1.煤炭业务</w:t>
          </w:r>
        </w:p>
        <w:p>
          <w:pPr>
            <w:pStyle w:val="affffffd"/>
            <w:ind w:firstLineChars="200" w:firstLine="420"/>
          </w:pPr>
          <w:r>
            <w:rPr>
              <w:rFonts w:hint="eastAsia"/>
            </w:rPr>
            <w:t>本集团煤炭业务主要分布在中国的山东省、陕西省、内蒙古自治区、新疆维吾尔自治区和澳大利亚；产品主要包括动力煤、喷吹煤和焦煤，适用于电力、冶金及化工等行业；产品主要销往中国的华东、华南、华中、华北、西北等地区及日本、韩国、澳大利亚、泰国等国家。</w:t>
          </w:r>
        </w:p>
        <w:p>
          <w:pPr>
            <w:pStyle w:val="affffffd"/>
            <w:ind w:firstLineChars="200" w:firstLine="420"/>
          </w:pPr>
          <w:r>
            <w:t>2.煤化工业务</w:t>
          </w:r>
        </w:p>
        <w:p>
          <w:pPr>
            <w:pStyle w:val="affffffd"/>
            <w:ind w:firstLineChars="200" w:firstLine="420"/>
          </w:pPr>
          <w:r>
            <w:rPr>
              <w:rFonts w:hint="eastAsia"/>
            </w:rPr>
            <w:t>本集团煤化工业务主要分布在中国的山东省、陕西省、内蒙古自治区和新疆维吾尔自治区；产品主要包括甲醇、醋酸、醋酸乙酯、己内酰胺、尿素、乙二醇、石脑油、粗液体蜡等；产品主要销往中国的华北、华东、西北等地区。</w:t>
          </w:r>
        </w:p>
        <w:p>
          <w:pPr>
            <w:pStyle w:val="affffffd"/>
            <w:ind w:firstLineChars="200" w:firstLine="420"/>
          </w:pPr>
          <w:r>
            <w:rPr>
              <w:rFonts w:hint="eastAsia"/>
            </w:rPr>
            <w:t>（二）市场地位、竞争优势及业绩驱动因素</w:t>
          </w:r>
        </w:p>
        <w:p>
          <w:pPr>
            <w:pStyle w:val="affffffd"/>
            <w:ind w:firstLineChars="200" w:firstLine="420"/>
          </w:pPr>
          <w:r>
            <w:rPr>
              <w:rFonts w:hint="eastAsia"/>
            </w:rPr>
            <w:t>本集团是中国和澳大利亚主要的煤炭生产商、销售商和贸易商之一，国内动力煤龙头企业，权属兖煤澳洲是澳大利亚最大专营煤炭生产商。本集团拥有煤气化、煤液化等多条完整煤化工产业链，拥有全国首套百万吨级煤间接液化示范装置，醋酸产能位居全国前列。</w:t>
          </w:r>
        </w:p>
        <w:p>
          <w:pPr>
            <w:pStyle w:val="affffffd"/>
            <w:ind w:firstLineChars="200" w:firstLine="420"/>
          </w:pPr>
          <w:r>
            <w:t>2024年，本集团科学研判市场稳价提效，优化生产组织增产增量，强化精益管理降本提质，推进项目建设积蓄后劲，有效应对市场不利影响，取得历史较</w:t>
          </w:r>
          <w:r>
            <w:rPr>
              <w:rFonts w:hint="eastAsia"/>
            </w:rPr>
            <w:t>好</w:t>
          </w:r>
          <w:r>
            <w:t>水平经营业绩。</w:t>
          </w:r>
        </w:p>
      </w:sdtContent>
    </w:sdt>
    <w:bookmarkEnd w:id="41" w:displacedByCustomXml="prev"/>
    <w:p>
      <w:pPr>
        <w:rPr>
          <w:rFonts w:ascii="Arial" w:hAnsi="Arial" w:cs="Times New Roman"/>
          <w:b/>
          <w:bCs/>
          <w:kern w:val="2"/>
          <w:szCs w:val="21"/>
        </w:rPr>
      </w:pPr>
      <w:r>
        <w:br w:type="page"/>
      </w:r>
    </w:p>
    <w:p>
      <w:pPr>
        <w:pStyle w:val="2"/>
        <w:numPr>
          <w:ilvl w:val="0"/>
          <w:numId w:val="11"/>
        </w:numPr>
        <w:ind w:left="369" w:hangingChars="175" w:hanging="369"/>
      </w:pPr>
      <w:r>
        <w:rPr>
          <w:rFonts w:hint="eastAsia"/>
        </w:rPr>
        <w:lastRenderedPageBreak/>
        <w:t>报告期内核心竞争力分析</w:t>
      </w:r>
    </w:p>
    <w:sdt>
      <w:sdtPr>
        <w:alias w:val="是否适用：报告期内核心竞争力分析[双击切换]"/>
        <w:tag w:val="_GBC_a03591f0f7444c9b8f5c55d6f75c3136"/>
        <w:id w:val="1151256192"/>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Start w:id="42" w:name="_Hlk192771549" w:displacedByCustomXml="next"/>
    <w:sdt>
      <w:sdtPr>
        <w:rPr>
          <w:rFonts w:hint="eastAsia"/>
        </w:rPr>
        <w:alias w:val="报告期内核心竞争力分析"/>
        <w:tag w:val="_GBC_956a57b53cd74344a32f2309bcc5f344"/>
        <w:id w:val="2068905400"/>
        <w:placeholder>
          <w:docPart w:val="GBC22222222222222222222222222222"/>
        </w:placeholder>
      </w:sdtPr>
      <w:sdtContent>
        <w:p>
          <w:pPr>
            <w:ind w:firstLineChars="200" w:firstLine="420"/>
            <w:jc w:val="both"/>
          </w:pPr>
          <w:r>
            <w:rPr>
              <w:rFonts w:hint="eastAsia"/>
            </w:rPr>
            <w:t>本集团作为国际化大型能源企业，核心竞争力主要体现在以下几个方面：</w:t>
          </w:r>
        </w:p>
        <w:p>
          <w:pPr>
            <w:ind w:firstLineChars="200" w:firstLine="422"/>
            <w:jc w:val="both"/>
          </w:pPr>
          <w:r>
            <w:rPr>
              <w:rFonts w:hint="eastAsia"/>
              <w:b/>
              <w:bCs/>
            </w:rPr>
            <w:t>一是资源储备丰富。</w:t>
          </w:r>
          <w:r>
            <w:rPr>
              <w:rFonts w:hint="eastAsia"/>
            </w:rPr>
            <w:t>本集团拥有山东、内蒙古、新疆、澳大利亚等核心煤炭生产基地，覆盖国内外重要能源基地，形成规模化开发优势。煤炭原地资源量达到464亿吨（JORC标准），储量规模位居行业前列。煤炭品种涵盖动力煤、喷吹煤和焦煤等，满足市场多元化需求。积极布局多矿种领域</w:t>
          </w:r>
          <w:r>
            <w:rPr>
              <w:rFonts w:ascii="MS Mincho" w:eastAsia="MS Mincho" w:hAnsi="MS Mincho" w:cs="MS Mincho" w:hint="eastAsia"/>
            </w:rPr>
            <w:t>‌</w:t>
          </w:r>
          <w:r>
            <w:rPr>
              <w:rFonts w:hint="eastAsia"/>
            </w:rPr>
            <w:t>，在加拿大拥有6个钾盐采矿权，探明优质氯化钾资源量17亿吨；拟建设内蒙古曹四夭钼矿，资源量10.4亿吨。</w:t>
          </w:r>
        </w:p>
        <w:p>
          <w:pPr>
            <w:ind w:firstLineChars="200" w:firstLine="422"/>
            <w:jc w:val="both"/>
          </w:pPr>
          <w:r>
            <w:rPr>
              <w:rFonts w:hint="eastAsia"/>
              <w:b/>
              <w:bCs/>
            </w:rPr>
            <w:t>二是产业链协同优势。</w:t>
          </w:r>
          <w:r>
            <w:rPr>
              <w:rFonts w:hint="eastAsia"/>
            </w:rPr>
            <w:t>本集团主要产业覆盖矿业、高端化工新材料、高端装备制造、智慧物流、新能源，通过构建完善的产业链条，实现资源高效配置和有效的成本控制，形成抵御市场风险的强大能力。</w:t>
          </w:r>
        </w:p>
        <w:p>
          <w:pPr>
            <w:ind w:firstLineChars="200" w:firstLine="422"/>
            <w:jc w:val="both"/>
          </w:pPr>
          <w:r>
            <w:rPr>
              <w:rFonts w:hint="eastAsia"/>
              <w:b/>
              <w:bCs/>
            </w:rPr>
            <w:t>三是科技研发实力强劲。</w:t>
          </w:r>
          <w:r>
            <w:rPr>
              <w:rFonts w:hint="eastAsia"/>
            </w:rPr>
            <w:t>本集团拥有3个国家级、22个省部级高端研发平台，掌握先进的深部矿井开采、智能化综采等核心技术，生产效率和安全水平处于行业前列，“深部煤炭数智化高效开采成套技术与工程应用”项目荣获国家科技进步二等奖。研制应用世界首套8.2米超大采高综采装备；承担科技部重大攻关项目“4000吨级煤气化示范装置”达到国际领先，建成国内首套百万吨级煤间接液化示范装置。</w:t>
          </w:r>
        </w:p>
        <w:p>
          <w:pPr>
            <w:ind w:firstLineChars="200" w:firstLine="422"/>
            <w:jc w:val="both"/>
          </w:pPr>
          <w:r>
            <w:rPr>
              <w:rFonts w:hint="eastAsia"/>
              <w:b/>
              <w:bCs/>
            </w:rPr>
            <w:t>四是国际化发展成效显著。</w:t>
          </w:r>
          <w:r>
            <w:rPr>
              <w:rFonts w:hint="eastAsia"/>
            </w:rPr>
            <w:t>本集团境外资产占比达到21%，拥有境内外六地上市平台，是中国国际化程度、资本市场利用效率最高的能源上市公司之一。具备丰富的跨国资源并购和管理经验，成功运营澳大利亚、加拿大、德国等海外项目，</w:t>
          </w:r>
          <w:r>
            <w:t>产品覆盖亚太、欧洲等主流能源市场，建立多元化销售渠道，灵活调配全球供需</w:t>
          </w:r>
          <w:r>
            <w:rPr>
              <w:rFonts w:hint="eastAsia"/>
            </w:rPr>
            <w:t>，实现资源、产品、技术、人才全球化配置。</w:t>
          </w:r>
        </w:p>
      </w:sdtContent>
    </w:sdt>
    <w:bookmarkEnd w:id="42"/>
    <w:p>
      <w:pPr>
        <w:rPr>
          <w:rFonts w:asciiTheme="minorEastAsia" w:eastAsiaTheme="minorEastAsia" w:hAnsiTheme="minorEastAsia"/>
        </w:rPr>
      </w:pPr>
    </w:p>
    <w:p>
      <w:pPr>
        <w:pStyle w:val="2"/>
        <w:numPr>
          <w:ilvl w:val="0"/>
          <w:numId w:val="11"/>
        </w:numPr>
        <w:ind w:left="369" w:hangingChars="175" w:hanging="369"/>
      </w:pPr>
      <w:r>
        <w:rPr>
          <w:rFonts w:hint="eastAsia"/>
        </w:rPr>
        <w:t>报告期内主要经营情况</w:t>
      </w:r>
    </w:p>
    <w:sdt>
      <w:sdtPr>
        <w:rPr>
          <w:rFonts w:hint="eastAsia"/>
        </w:rPr>
        <w:alias w:val="报告期内主要经营情况"/>
        <w:tag w:val="_GBC_655a1c6ffd2a454085e53e5538e3b2ef"/>
        <w:id w:val="-400370569"/>
        <w:placeholder>
          <w:docPart w:val="GBC22222222222222222222222222222"/>
        </w:placeholder>
      </w:sdtPr>
      <w:sdtEndPr>
        <w:rPr>
          <w:u w:val="single"/>
        </w:rPr>
      </w:sdtEndPr>
      <w:sdtContent>
        <w:p>
          <w:pPr>
            <w:pStyle w:val="affffffd"/>
          </w:pPr>
        </w:p>
        <w:p>
          <w:pPr>
            <w:keepNext/>
            <w:keepLines/>
            <w:widowControl w:val="0"/>
            <w:numPr>
              <w:ilvl w:val="0"/>
              <w:numId w:val="7"/>
            </w:numPr>
            <w:spacing w:before="60" w:after="60"/>
            <w:ind w:left="369" w:hangingChars="175" w:hanging="369"/>
            <w:jc w:val="both"/>
            <w:outlineLvl w:val="2"/>
            <w:rPr>
              <w:rFonts w:cs="Times New Roman"/>
              <w:b/>
              <w:bCs/>
              <w:kern w:val="2"/>
              <w:szCs w:val="21"/>
            </w:rPr>
          </w:pPr>
          <w:bookmarkStart w:id="43" w:name="_Hlk161862095"/>
          <w:r>
            <w:rPr>
              <w:rFonts w:cs="Times New Roman" w:hint="eastAsia"/>
              <w:b/>
              <w:bCs/>
              <w:kern w:val="2"/>
              <w:szCs w:val="21"/>
            </w:rPr>
            <w:t>各业务分部经营情况</w:t>
          </w:r>
        </w:p>
        <w:p>
          <w:pPr>
            <w:widowControl w:val="0"/>
            <w:jc w:val="both"/>
            <w:rPr>
              <w:rFonts w:cs="Times New Roman"/>
              <w:b/>
              <w:bCs/>
              <w:kern w:val="2"/>
              <w:szCs w:val="21"/>
            </w:rPr>
          </w:pPr>
          <w:bookmarkStart w:id="44" w:name="_Hlk161862050"/>
          <w:bookmarkEnd w:id="43"/>
          <w:r>
            <w:rPr>
              <w:rFonts w:cs="Times New Roman" w:hint="eastAsia"/>
              <w:b/>
              <w:bCs/>
              <w:kern w:val="2"/>
              <w:szCs w:val="21"/>
            </w:rPr>
            <w:t>1</w:t>
          </w:r>
          <w:r>
            <w:rPr>
              <w:rFonts w:cs="Times New Roman"/>
              <w:b/>
              <w:bCs/>
              <w:kern w:val="2"/>
              <w:szCs w:val="21"/>
            </w:rPr>
            <w:t>.</w:t>
          </w:r>
          <w:r>
            <w:rPr>
              <w:rFonts w:cs="Times New Roman" w:hint="eastAsia"/>
              <w:b/>
              <w:bCs/>
              <w:kern w:val="2"/>
              <w:szCs w:val="21"/>
            </w:rPr>
            <w:t>煤炭业务</w:t>
          </w:r>
        </w:p>
        <w:p>
          <w:pPr>
            <w:widowControl w:val="0"/>
            <w:jc w:val="both"/>
            <w:rPr>
              <w:rFonts w:cs="Times New Roman"/>
              <w:b/>
              <w:bCs/>
              <w:kern w:val="2"/>
              <w:szCs w:val="21"/>
            </w:rPr>
          </w:pPr>
          <w:r>
            <w:rPr>
              <w:rFonts w:cs="Times New Roman" w:hint="eastAsia"/>
              <w:b/>
              <w:bCs/>
              <w:kern w:val="2"/>
              <w:szCs w:val="21"/>
            </w:rPr>
            <w:t>（1）煤炭产量</w:t>
          </w:r>
        </w:p>
        <w:p>
          <w:pPr>
            <w:widowControl w:val="0"/>
            <w:ind w:firstLineChars="200" w:firstLine="420"/>
            <w:jc w:val="both"/>
            <w:rPr>
              <w:rFonts w:cs="Times New Roman"/>
              <w:kern w:val="2"/>
              <w:szCs w:val="21"/>
            </w:rPr>
          </w:pPr>
          <w:r>
            <w:rPr>
              <w:rFonts w:cs="Times New Roman" w:hint="eastAsia"/>
              <w:kern w:val="2"/>
              <w:szCs w:val="21"/>
            </w:rPr>
            <w:t>2024年本集团生产商品煤</w:t>
          </w:r>
          <w:r>
            <w:rPr>
              <w:rFonts w:cs="Times New Roman"/>
              <w:kern w:val="2"/>
              <w:szCs w:val="21"/>
            </w:rPr>
            <w:t>14,249</w:t>
          </w:r>
          <w:r>
            <w:rPr>
              <w:rFonts w:cs="Times New Roman" w:hint="eastAsia"/>
              <w:kern w:val="2"/>
              <w:szCs w:val="21"/>
            </w:rPr>
            <w:t>万吨，同比增加</w:t>
          </w:r>
          <w:r>
            <w:rPr>
              <w:rFonts w:cs="Times New Roman"/>
              <w:kern w:val="2"/>
              <w:szCs w:val="21"/>
            </w:rPr>
            <w:t>1,039</w:t>
          </w:r>
          <w:r>
            <w:rPr>
              <w:rFonts w:cs="Times New Roman" w:hint="eastAsia"/>
              <w:kern w:val="2"/>
              <w:szCs w:val="21"/>
            </w:rPr>
            <w:t>万吨或</w:t>
          </w:r>
          <w:r>
            <w:rPr>
              <w:rFonts w:cs="Times New Roman"/>
              <w:kern w:val="2"/>
              <w:szCs w:val="21"/>
            </w:rPr>
            <w:t>7.9</w:t>
          </w:r>
          <w:r>
            <w:rPr>
              <w:rFonts w:cs="Times New Roman" w:hint="eastAsia"/>
              <w:kern w:val="2"/>
              <w:szCs w:val="21"/>
            </w:rPr>
            <w:t>%</w:t>
          </w:r>
          <w:bookmarkStart w:id="45" w:name="_Hlk130143476"/>
          <w:r>
            <w:rPr>
              <w:rFonts w:cs="Times New Roman" w:hint="eastAsia"/>
              <w:kern w:val="2"/>
              <w:szCs w:val="21"/>
            </w:rPr>
            <w:t>，完成本年度商品煤产量计划的</w:t>
          </w:r>
          <w:r>
            <w:rPr>
              <w:rFonts w:cs="Times New Roman"/>
              <w:kern w:val="2"/>
              <w:szCs w:val="21"/>
            </w:rPr>
            <w:t>101.8</w:t>
          </w:r>
          <w:r>
            <w:rPr>
              <w:rFonts w:cs="Times New Roman" w:hint="eastAsia"/>
              <w:kern w:val="2"/>
              <w:szCs w:val="21"/>
            </w:rPr>
            <w:t>%。</w:t>
          </w:r>
        </w:p>
        <w:bookmarkEnd w:id="45"/>
        <w:p>
          <w:pPr>
            <w:widowControl w:val="0"/>
            <w:ind w:firstLineChars="200" w:firstLine="420"/>
            <w:jc w:val="both"/>
            <w:rPr>
              <w:rFonts w:cs="Times New Roman"/>
              <w:kern w:val="2"/>
              <w:szCs w:val="21"/>
            </w:rPr>
          </w:pPr>
          <w:r>
            <w:rPr>
              <w:rFonts w:cs="Times New Roman" w:hint="eastAsia"/>
              <w:kern w:val="2"/>
              <w:szCs w:val="21"/>
            </w:rPr>
            <w:t>2024年本集团商品煤产量如下表：</w:t>
          </w:r>
        </w:p>
        <w:p>
          <w:pPr>
            <w:widowControl w:val="0"/>
            <w:ind w:right="210"/>
            <w:jc w:val="right"/>
            <w:rPr>
              <w:rFonts w:cs="Times New Roman"/>
              <w:kern w:val="2"/>
              <w:szCs w:val="21"/>
            </w:rPr>
          </w:pPr>
          <w:r>
            <w:rPr>
              <w:rFonts w:cs="Times New Roman" w:hint="eastAsia"/>
              <w:kern w:val="2"/>
              <w:szCs w:val="21"/>
            </w:rPr>
            <w:t>单位：</w:t>
          </w:r>
          <w:r>
            <w:rPr>
              <w:rFonts w:cs="Times New Roman"/>
              <w:kern w:val="2"/>
              <w:szCs w:val="21"/>
            </w:rPr>
            <w:t>千吨</w:t>
          </w:r>
        </w:p>
        <w:tbl>
          <w:tblPr>
            <w:tblStyle w:val="g2"/>
            <w:tblW w:w="8900" w:type="dxa"/>
            <w:tblLook w:val="04A0" w:firstRow="1" w:lastRow="0" w:firstColumn="1" w:lastColumn="0" w:noHBand="0" w:noVBand="1"/>
          </w:tblPr>
          <w:tblGrid>
            <w:gridCol w:w="2443"/>
            <w:gridCol w:w="1934"/>
            <w:gridCol w:w="1934"/>
            <w:gridCol w:w="1388"/>
            <w:gridCol w:w="1201"/>
          </w:tblGrid>
          <w:tr>
            <w:trPr>
              <w:cantSplit/>
              <w:tblHeader/>
            </w:trPr>
            <w:tc>
              <w:tcPr>
                <w:tcW w:w="2443" w:type="dxa"/>
                <w:tcBorders>
                  <w:top w:val="single" w:sz="4" w:space="0" w:color="auto"/>
                  <w:left w:val="single" w:sz="4" w:space="0" w:color="auto"/>
                  <w:bottom w:val="single" w:sz="4" w:space="0" w:color="auto"/>
                  <w:right w:val="single" w:sz="4" w:space="0" w:color="auto"/>
                </w:tcBorders>
              </w:tcPr>
              <w:p>
                <w:pPr>
                  <w:widowControl w:val="0"/>
                  <w:jc w:val="center"/>
                  <w:rPr>
                    <w:rFonts w:cs="Times New Roman"/>
                    <w:kern w:val="2"/>
                    <w:sz w:val="21"/>
                    <w:szCs w:val="21"/>
                  </w:rPr>
                </w:pPr>
                <w:r>
                  <w:rPr>
                    <w:rFonts w:cs="Times New Roman" w:hint="eastAsia"/>
                    <w:kern w:val="2"/>
                    <w:sz w:val="21"/>
                    <w:szCs w:val="21"/>
                  </w:rPr>
                  <w:t>项目</w:t>
                </w:r>
              </w:p>
            </w:tc>
            <w:tc>
              <w:tcPr>
                <w:tcW w:w="1934" w:type="dxa"/>
                <w:tcBorders>
                  <w:top w:val="single" w:sz="4" w:space="0" w:color="auto"/>
                  <w:left w:val="nil"/>
                  <w:bottom w:val="single" w:sz="4" w:space="0" w:color="auto"/>
                  <w:right w:val="single" w:sz="4" w:space="0" w:color="auto"/>
                </w:tcBorders>
                <w:hideMark/>
              </w:tcPr>
              <w:p>
                <w:pPr>
                  <w:widowControl w:val="0"/>
                  <w:jc w:val="center"/>
                  <w:rPr>
                    <w:rFonts w:cs="Times New Roman"/>
                    <w:kern w:val="2"/>
                    <w:sz w:val="21"/>
                    <w:szCs w:val="21"/>
                  </w:rPr>
                </w:pPr>
                <w:r>
                  <w:rPr>
                    <w:rFonts w:cs="Times New Roman" w:hint="eastAsia"/>
                    <w:kern w:val="2"/>
                    <w:sz w:val="21"/>
                    <w:szCs w:val="21"/>
                  </w:rPr>
                  <w:t>2024年</w:t>
                </w:r>
              </w:p>
            </w:tc>
            <w:tc>
              <w:tcPr>
                <w:tcW w:w="1934"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2023年</w:t>
                </w:r>
              </w:p>
            </w:tc>
            <w:tc>
              <w:tcPr>
                <w:tcW w:w="1388" w:type="dxa"/>
                <w:tcBorders>
                  <w:top w:val="single" w:sz="4" w:space="0" w:color="auto"/>
                  <w:left w:val="nil"/>
                  <w:bottom w:val="single" w:sz="4" w:space="0" w:color="auto"/>
                  <w:right w:val="single" w:sz="4" w:space="0" w:color="auto"/>
                </w:tcBorders>
                <w:hideMark/>
              </w:tcPr>
              <w:p>
                <w:pPr>
                  <w:widowControl w:val="0"/>
                  <w:jc w:val="center"/>
                  <w:rPr>
                    <w:rFonts w:cs="Times New Roman"/>
                    <w:kern w:val="2"/>
                    <w:sz w:val="21"/>
                    <w:szCs w:val="21"/>
                  </w:rPr>
                </w:pPr>
                <w:r>
                  <w:rPr>
                    <w:rFonts w:cs="Times New Roman" w:hint="eastAsia"/>
                    <w:kern w:val="2"/>
                    <w:sz w:val="21"/>
                    <w:szCs w:val="21"/>
                  </w:rPr>
                  <w:t>增减</w:t>
                </w:r>
              </w:p>
            </w:tc>
            <w:tc>
              <w:tcPr>
                <w:tcW w:w="1201" w:type="dxa"/>
                <w:tcBorders>
                  <w:top w:val="single" w:sz="4" w:space="0" w:color="auto"/>
                  <w:left w:val="nil"/>
                  <w:bottom w:val="single" w:sz="4" w:space="0" w:color="auto"/>
                  <w:right w:val="single" w:sz="4" w:space="0" w:color="auto"/>
                </w:tcBorders>
                <w:hideMark/>
              </w:tcPr>
              <w:p>
                <w:pPr>
                  <w:widowControl w:val="0"/>
                  <w:jc w:val="center"/>
                  <w:rPr>
                    <w:rFonts w:cs="Times New Roman"/>
                    <w:kern w:val="2"/>
                    <w:sz w:val="21"/>
                    <w:szCs w:val="21"/>
                  </w:rPr>
                </w:pPr>
                <w:r>
                  <w:rPr>
                    <w:rFonts w:cs="Times New Roman" w:hint="eastAsia"/>
                    <w:kern w:val="2"/>
                    <w:sz w:val="21"/>
                    <w:szCs w:val="21"/>
                  </w:rPr>
                  <w:t>增减幅(%</w:t>
                </w:r>
                <w:r>
                  <w:rPr>
                    <w:rFonts w:cs="Times New Roman"/>
                    <w:kern w:val="2"/>
                    <w:sz w:val="21"/>
                    <w:szCs w:val="21"/>
                  </w:rPr>
                  <w:t>)</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一、公司</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22,796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23,978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-1,182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-4.93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二、菏泽能化</w:t>
                </w:r>
                <w:r>
                  <w:rPr>
                    <w:rFonts w:cs="Times New Roman" w:hint="eastAsia"/>
                    <w:kern w:val="2"/>
                    <w:sz w:val="21"/>
                    <w:szCs w:val="21"/>
                    <w:vertAlign w:val="superscript"/>
                  </w:rPr>
                  <w:t>①</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1,913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2,645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-732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-27.67 </w:t>
                </w:r>
              </w:p>
            </w:tc>
          </w:tr>
          <w:tr>
            <w:tc>
              <w:tcPr>
                <w:tcW w:w="2443" w:type="dxa"/>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r>
                  <w:rPr>
                    <w:rFonts w:cs="Times New Roman" w:hint="eastAsia"/>
                    <w:kern w:val="2"/>
                    <w:sz w:val="21"/>
                    <w:szCs w:val="21"/>
                  </w:rPr>
                  <w:t>三、鲁西矿业</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12,251 </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10,798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1,454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13.46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四、天池能源</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1,199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1,201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-2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-0.16 </w:t>
                </w:r>
              </w:p>
            </w:tc>
          </w:tr>
          <w:tr>
            <w:tc>
              <w:tcPr>
                <w:tcW w:w="2443" w:type="dxa"/>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r>
                  <w:rPr>
                    <w:rFonts w:cs="Times New Roman" w:hint="eastAsia"/>
                    <w:kern w:val="2"/>
                    <w:sz w:val="21"/>
                    <w:szCs w:val="21"/>
                  </w:rPr>
                  <w:t>五、未来能源</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17,812 </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17,218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594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3.45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六、鄂尔多斯公司</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11,230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9,614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1,616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16.81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七、昊盛煤业</w:t>
                </w:r>
                <w:r>
                  <w:rPr>
                    <w:rFonts w:cs="Times New Roman" w:hint="eastAsia"/>
                    <w:kern w:val="2"/>
                    <w:sz w:val="21"/>
                    <w:szCs w:val="21"/>
                    <w:vertAlign w:val="superscript"/>
                  </w:rPr>
                  <w:t>②</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6,227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4,601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1,626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35.34 </w:t>
                </w:r>
              </w:p>
            </w:tc>
          </w:tr>
          <w:tr>
            <w:tc>
              <w:tcPr>
                <w:tcW w:w="2443" w:type="dxa"/>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r>
                  <w:rPr>
                    <w:rFonts w:cs="Times New Roman" w:hint="eastAsia"/>
                    <w:kern w:val="2"/>
                    <w:sz w:val="21"/>
                    <w:szCs w:val="21"/>
                  </w:rPr>
                  <w:t>八、内蒙古矿业</w:t>
                </w:r>
                <w:r>
                  <w:rPr>
                    <w:rFonts w:cs="Times New Roman" w:hint="eastAsia"/>
                    <w:kern w:val="2"/>
                    <w:sz w:val="21"/>
                    <w:szCs w:val="21"/>
                    <w:vertAlign w:val="superscript"/>
                  </w:rPr>
                  <w:t>②</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6,653 </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3,826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2,828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73.91 </w:t>
                </w:r>
              </w:p>
            </w:tc>
          </w:tr>
          <w:tr>
            <w:tc>
              <w:tcPr>
                <w:tcW w:w="2443" w:type="dxa"/>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r>
                  <w:rPr>
                    <w:rFonts w:cs="Times New Roman" w:hint="eastAsia"/>
                    <w:kern w:val="2"/>
                    <w:sz w:val="21"/>
                    <w:szCs w:val="21"/>
                  </w:rPr>
                  <w:t>九、新疆能化</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20,117 </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19,362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756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3.90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十、兖煤澳洲</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36,937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33,412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3,525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10.55 </w:t>
                </w:r>
              </w:p>
            </w:tc>
          </w:tr>
          <w:tr>
            <w:tc>
              <w:tcPr>
                <w:tcW w:w="2443"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十一、兖煤国际</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5,357 </w:t>
                </w:r>
              </w:p>
            </w:tc>
            <w:tc>
              <w:tcPr>
                <w:tcW w:w="1934" w:type="dxa"/>
                <w:tcBorders>
                  <w:top w:val="single" w:sz="4" w:space="0" w:color="auto"/>
                  <w:left w:val="single" w:sz="4" w:space="0" w:color="auto"/>
                  <w:bottom w:val="single" w:sz="4" w:space="0" w:color="auto"/>
                  <w:right w:val="single" w:sz="4" w:space="0" w:color="auto"/>
                </w:tcBorders>
                <w:vAlign w:val="center"/>
                <w:hideMark/>
              </w:tcPr>
              <w:p>
                <w:pPr>
                  <w:jc w:val="right"/>
                  <w:rPr>
                    <w:sz w:val="21"/>
                    <w:szCs w:val="21"/>
                  </w:rPr>
                </w:pPr>
                <w:r>
                  <w:rPr>
                    <w:sz w:val="21"/>
                    <w:szCs w:val="21"/>
                  </w:rPr>
                  <w:t xml:space="preserve">5,453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-96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-1.75 </w:t>
                </w:r>
              </w:p>
            </w:tc>
          </w:tr>
          <w:tr>
            <w:tc>
              <w:tcPr>
                <w:tcW w:w="2443" w:type="dxa"/>
                <w:tcBorders>
                  <w:top w:val="single" w:sz="4" w:space="0" w:color="auto"/>
                  <w:left w:val="single" w:sz="4" w:space="0" w:color="auto"/>
                  <w:bottom w:val="single" w:sz="4" w:space="0" w:color="auto"/>
                  <w:right w:val="single" w:sz="4" w:space="0" w:color="auto"/>
                </w:tcBorders>
                <w:vAlign w:val="center"/>
              </w:tcPr>
              <w:p>
                <w:pPr>
                  <w:widowControl w:val="0"/>
                  <w:jc w:val="center"/>
                  <w:rPr>
                    <w:rFonts w:cs="Times New Roman"/>
                    <w:kern w:val="2"/>
                    <w:sz w:val="21"/>
                    <w:szCs w:val="21"/>
                  </w:rPr>
                </w:pPr>
                <w:r>
                  <w:rPr>
                    <w:rFonts w:cs="Times New Roman" w:hint="eastAsia"/>
                    <w:kern w:val="2"/>
                    <w:sz w:val="21"/>
                    <w:szCs w:val="21"/>
                    <w:lang w:val="en-GB"/>
                  </w:rPr>
                  <w:t>合计</w:t>
                </w:r>
              </w:p>
            </w:tc>
            <w:tc>
              <w:tcPr>
                <w:tcW w:w="1934" w:type="dxa"/>
                <w:tcBorders>
                  <w:top w:val="single" w:sz="4" w:space="0" w:color="auto"/>
                  <w:bottom w:val="single" w:sz="4" w:space="0" w:color="auto"/>
                  <w:right w:val="single" w:sz="4" w:space="0" w:color="auto"/>
                </w:tcBorders>
                <w:vAlign w:val="center"/>
              </w:tcPr>
              <w:p>
                <w:pPr>
                  <w:jc w:val="right"/>
                  <w:rPr>
                    <w:sz w:val="21"/>
                    <w:szCs w:val="21"/>
                  </w:rPr>
                </w:pPr>
                <w:r>
                  <w:rPr>
                    <w:sz w:val="21"/>
                    <w:szCs w:val="21"/>
                  </w:rPr>
                  <w:t xml:space="preserve">142,493 </w:t>
                </w:r>
              </w:p>
            </w:tc>
            <w:tc>
              <w:tcPr>
                <w:tcW w:w="19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132,107 </w:t>
                </w:r>
              </w:p>
            </w:tc>
            <w:tc>
              <w:tcPr>
                <w:tcW w:w="1388"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10,386 </w:t>
                </w:r>
              </w:p>
            </w:tc>
            <w:tc>
              <w:tcPr>
                <w:tcW w:w="1201"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sz w:val="21"/>
                    <w:szCs w:val="21"/>
                  </w:rPr>
                  <w:t xml:space="preserve">7.86 </w:t>
                </w:r>
              </w:p>
            </w:tc>
          </w:tr>
        </w:tbl>
        <w:p>
          <w:pPr>
            <w:widowControl w:val="0"/>
            <w:ind w:firstLineChars="200" w:firstLine="420"/>
            <w:jc w:val="both"/>
            <w:rPr>
              <w:rFonts w:cs="Times New Roman"/>
              <w:kern w:val="2"/>
              <w:szCs w:val="21"/>
            </w:rPr>
          </w:pPr>
          <w:r>
            <w:rPr>
              <w:rFonts w:cs="Times New Roman" w:hint="eastAsia"/>
              <w:kern w:val="2"/>
              <w:szCs w:val="21"/>
            </w:rPr>
            <w:t>注：</w:t>
          </w:r>
        </w:p>
        <w:p>
          <w:pPr>
            <w:widowControl w:val="0"/>
            <w:ind w:firstLineChars="200" w:firstLine="420"/>
            <w:jc w:val="both"/>
            <w:rPr>
              <w:rFonts w:cs="Times New Roman"/>
              <w:kern w:val="2"/>
              <w:szCs w:val="21"/>
            </w:rPr>
          </w:pPr>
          <w:r>
            <w:rPr>
              <w:rFonts w:cs="Times New Roman" w:hint="eastAsia"/>
              <w:kern w:val="2"/>
              <w:szCs w:val="21"/>
            </w:rPr>
            <w:t>①菏泽能化商品煤产量同比减少，主要是由于：受地质条件变化、采场更替影响，商品煤产量同比减少。</w:t>
          </w:r>
        </w:p>
        <w:p>
          <w:pPr>
            <w:widowControl w:val="0"/>
            <w:ind w:firstLineChars="200" w:firstLine="420"/>
            <w:jc w:val="both"/>
            <w:rPr>
              <w:rFonts w:cs="Times New Roman"/>
              <w:kern w:val="2"/>
              <w:szCs w:val="21"/>
            </w:rPr>
          </w:pPr>
          <w:r>
            <w:rPr>
              <w:rFonts w:cs="Times New Roman" w:hint="eastAsia"/>
              <w:kern w:val="2"/>
              <w:szCs w:val="21"/>
            </w:rPr>
            <w:t>②昊盛煤业、内蒙古矿业商品煤产量同比增加，主要是由于：报告期内地质条件限产因素部分消除，商品煤产量同比增加。</w:t>
          </w:r>
        </w:p>
        <w:p>
          <w:pPr>
            <w:rPr>
              <w:szCs w:val="21"/>
            </w:rPr>
          </w:pPr>
        </w:p>
        <w:p>
          <w:pPr>
            <w:widowControl w:val="0"/>
            <w:jc w:val="both"/>
            <w:rPr>
              <w:rFonts w:cs="Times New Roman"/>
              <w:b/>
              <w:bCs/>
              <w:kern w:val="2"/>
              <w:szCs w:val="21"/>
            </w:rPr>
          </w:pPr>
          <w:r>
            <w:rPr>
              <w:rFonts w:cs="Times New Roman" w:hint="eastAsia"/>
              <w:b/>
              <w:bCs/>
              <w:kern w:val="2"/>
              <w:szCs w:val="21"/>
            </w:rPr>
            <w:t>(2)煤炭价格与销售</w:t>
          </w:r>
        </w:p>
        <w:p>
          <w:pPr>
            <w:widowControl w:val="0"/>
            <w:ind w:firstLineChars="200" w:firstLine="420"/>
            <w:jc w:val="both"/>
            <w:rPr>
              <w:rFonts w:cs="Times New Roman"/>
              <w:kern w:val="2"/>
              <w:szCs w:val="21"/>
            </w:rPr>
          </w:pPr>
          <w:r>
            <w:rPr>
              <w:rFonts w:cs="Times New Roman" w:hint="eastAsia"/>
              <w:kern w:val="2"/>
              <w:szCs w:val="21"/>
            </w:rPr>
            <w:t>2024年本集团销售煤炭</w:t>
          </w:r>
          <w:r>
            <w:rPr>
              <w:rFonts w:cs="Times New Roman"/>
              <w:kern w:val="2"/>
              <w:szCs w:val="21"/>
            </w:rPr>
            <w:t>13,631</w:t>
          </w:r>
          <w:r>
            <w:rPr>
              <w:rFonts w:cs="Times New Roman" w:hint="eastAsia"/>
              <w:kern w:val="2"/>
              <w:szCs w:val="21"/>
            </w:rPr>
            <w:t>万吨，同比增加</w:t>
          </w:r>
          <w:r>
            <w:rPr>
              <w:rFonts w:cs="Times New Roman"/>
              <w:kern w:val="2"/>
              <w:szCs w:val="21"/>
            </w:rPr>
            <w:t>929</w:t>
          </w:r>
          <w:r>
            <w:rPr>
              <w:rFonts w:cs="Times New Roman" w:hint="eastAsia"/>
              <w:kern w:val="2"/>
              <w:szCs w:val="21"/>
            </w:rPr>
            <w:t>万吨或</w:t>
          </w:r>
          <w:r>
            <w:rPr>
              <w:rFonts w:cs="Times New Roman"/>
              <w:kern w:val="2"/>
              <w:szCs w:val="21"/>
            </w:rPr>
            <w:t>7.3%</w:t>
          </w:r>
          <w:r>
            <w:rPr>
              <w:rFonts w:cs="Times New Roman" w:hint="eastAsia"/>
              <w:kern w:val="2"/>
              <w:szCs w:val="21"/>
            </w:rPr>
            <w:t>。</w:t>
          </w:r>
        </w:p>
        <w:p>
          <w:pPr>
            <w:widowControl w:val="0"/>
            <w:ind w:firstLineChars="200" w:firstLine="420"/>
            <w:jc w:val="both"/>
            <w:rPr>
              <w:rFonts w:cs="Times New Roman"/>
              <w:kern w:val="2"/>
              <w:szCs w:val="21"/>
            </w:rPr>
          </w:pPr>
          <w:r>
            <w:rPr>
              <w:rFonts w:cs="Times New Roman" w:hint="eastAsia"/>
              <w:kern w:val="2"/>
              <w:szCs w:val="21"/>
            </w:rPr>
            <w:t>2024年本集团实现煤炭业务销售收入</w:t>
          </w:r>
          <w:r>
            <w:rPr>
              <w:rFonts w:cs="Times New Roman"/>
              <w:kern w:val="2"/>
              <w:szCs w:val="21"/>
            </w:rPr>
            <w:t>916.25</w:t>
          </w:r>
          <w:r>
            <w:rPr>
              <w:rFonts w:cs="Times New Roman" w:hint="eastAsia"/>
              <w:kern w:val="2"/>
              <w:szCs w:val="21"/>
            </w:rPr>
            <w:t>亿元，同比减少</w:t>
          </w:r>
          <w:r>
            <w:rPr>
              <w:rFonts w:cs="Times New Roman"/>
              <w:kern w:val="2"/>
              <w:szCs w:val="21"/>
            </w:rPr>
            <w:t>103.95</w:t>
          </w:r>
          <w:r>
            <w:rPr>
              <w:rFonts w:cs="Times New Roman" w:hint="eastAsia"/>
              <w:kern w:val="2"/>
              <w:szCs w:val="21"/>
            </w:rPr>
            <w:t>亿元或</w:t>
          </w:r>
          <w:r>
            <w:rPr>
              <w:rFonts w:cs="Times New Roman"/>
              <w:kern w:val="2"/>
              <w:szCs w:val="21"/>
            </w:rPr>
            <w:t>10.2</w:t>
          </w:r>
          <w:r>
            <w:rPr>
              <w:rFonts w:cs="Times New Roman" w:hint="eastAsia"/>
              <w:kern w:val="2"/>
              <w:szCs w:val="21"/>
            </w:rPr>
            <w:t>%</w:t>
          </w:r>
          <w:bookmarkStart w:id="46" w:name="_Hlk161763334"/>
          <w:r>
            <w:rPr>
              <w:rFonts w:cs="Times New Roman" w:hint="eastAsia"/>
              <w:kern w:val="2"/>
              <w:szCs w:val="21"/>
            </w:rPr>
            <w:t>。</w:t>
          </w:r>
          <w:bookmarkEnd w:id="46"/>
        </w:p>
        <w:p>
          <w:pPr>
            <w:widowControl w:val="0"/>
            <w:ind w:firstLineChars="200" w:firstLine="420"/>
            <w:jc w:val="both"/>
            <w:rPr>
              <w:rFonts w:cs="Times New Roman"/>
              <w:kern w:val="2"/>
              <w:szCs w:val="21"/>
            </w:rPr>
          </w:pPr>
          <w:r>
            <w:rPr>
              <w:rFonts w:cs="Times New Roman" w:hint="eastAsia"/>
              <w:kern w:val="2"/>
              <w:szCs w:val="21"/>
            </w:rPr>
            <w:t>2024年本集团分煤种产、销情况如下表：</w:t>
          </w:r>
        </w:p>
        <w:tbl>
          <w:tblPr>
            <w:tblStyle w:val="g2"/>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00" w:firstRow="0" w:lastRow="0" w:firstColumn="0" w:lastColumn="0" w:noHBand="1" w:noVBand="1"/>
          </w:tblPr>
          <w:tblGrid>
            <w:gridCol w:w="1838"/>
            <w:gridCol w:w="998"/>
            <w:gridCol w:w="992"/>
            <w:gridCol w:w="1134"/>
            <w:gridCol w:w="1276"/>
            <w:gridCol w:w="992"/>
            <w:gridCol w:w="992"/>
            <w:gridCol w:w="1134"/>
            <w:gridCol w:w="1276"/>
          </w:tblGrid>
          <w:tr>
            <w:trPr>
              <w:trHeight w:val="312"/>
              <w:tblHeader/>
              <w:jc w:val="center"/>
            </w:trPr>
            <w:tc>
              <w:tcPr>
                <w:tcW w:w="1838" w:type="dxa"/>
                <w:vMerge w:val="restart"/>
                <w:vAlign w:val="center"/>
              </w:tcPr>
              <w:p>
                <w:pPr>
                  <w:widowControl w:val="0"/>
                  <w:jc w:val="both"/>
                  <w:rPr>
                    <w:rFonts w:cs="Times New Roman"/>
                    <w:kern w:val="2"/>
                    <w:sz w:val="21"/>
                    <w:szCs w:val="21"/>
                  </w:rPr>
                </w:pPr>
                <w:bookmarkStart w:id="47" w:name="_Hlk2602699"/>
                <w:bookmarkEnd w:id="47"/>
              </w:p>
            </w:tc>
            <w:tc>
              <w:tcPr>
                <w:tcW w:w="4400" w:type="dxa"/>
                <w:gridSpan w:val="4"/>
                <w:vAlign w:val="center"/>
              </w:tcPr>
              <w:p>
                <w:pPr>
                  <w:widowControl w:val="0"/>
                  <w:jc w:val="center"/>
                  <w:rPr>
                    <w:rFonts w:cs="Times New Roman"/>
                    <w:kern w:val="2"/>
                    <w:sz w:val="21"/>
                    <w:szCs w:val="21"/>
                  </w:rPr>
                </w:pPr>
                <w:r>
                  <w:rPr>
                    <w:rFonts w:cs="Times New Roman" w:hint="eastAsia"/>
                    <w:kern w:val="2"/>
                    <w:sz w:val="21"/>
                    <w:szCs w:val="21"/>
                  </w:rPr>
                  <w:t>2024年</w:t>
                </w:r>
              </w:p>
            </w:tc>
            <w:tc>
              <w:tcPr>
                <w:tcW w:w="4394" w:type="dxa"/>
                <w:gridSpan w:val="4"/>
                <w:vAlign w:val="center"/>
              </w:tcPr>
              <w:p>
                <w:pPr>
                  <w:widowControl w:val="0"/>
                  <w:jc w:val="center"/>
                  <w:rPr>
                    <w:rFonts w:cs="Times New Roman"/>
                    <w:kern w:val="2"/>
                    <w:sz w:val="21"/>
                    <w:szCs w:val="21"/>
                  </w:rPr>
                </w:pPr>
                <w:r>
                  <w:rPr>
                    <w:rFonts w:cs="Times New Roman" w:hint="eastAsia"/>
                    <w:kern w:val="2"/>
                    <w:sz w:val="21"/>
                    <w:szCs w:val="21"/>
                  </w:rPr>
                  <w:t>2023年</w:t>
                </w:r>
              </w:p>
            </w:tc>
          </w:tr>
          <w:tr>
            <w:trPr>
              <w:trHeight w:val="312"/>
              <w:tblHeader/>
              <w:jc w:val="center"/>
            </w:trPr>
            <w:tc>
              <w:tcPr>
                <w:tcW w:w="1838" w:type="dxa"/>
                <w:vMerge/>
                <w:vAlign w:val="center"/>
              </w:tcPr>
              <w:p>
                <w:pPr>
                  <w:widowControl w:val="0"/>
                  <w:jc w:val="both"/>
                  <w:rPr>
                    <w:rFonts w:cs="Times New Roman"/>
                    <w:kern w:val="2"/>
                    <w:sz w:val="21"/>
                    <w:szCs w:val="21"/>
                  </w:rPr>
                </w:pPr>
              </w:p>
            </w:tc>
            <w:tc>
              <w:tcPr>
                <w:tcW w:w="998" w:type="dxa"/>
                <w:vAlign w:val="center"/>
              </w:tcPr>
              <w:p>
                <w:pPr>
                  <w:widowControl w:val="0"/>
                  <w:jc w:val="center"/>
                  <w:rPr>
                    <w:rFonts w:cs="Times New Roman"/>
                    <w:kern w:val="2"/>
                    <w:sz w:val="21"/>
                    <w:szCs w:val="21"/>
                  </w:rPr>
                </w:pPr>
                <w:r>
                  <w:rPr>
                    <w:rFonts w:cs="Times New Roman" w:hint="eastAsia"/>
                    <w:kern w:val="2"/>
                    <w:sz w:val="21"/>
                    <w:szCs w:val="21"/>
                  </w:rPr>
                  <w:t>产量</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销量</w:t>
                </w:r>
              </w:p>
            </w:tc>
            <w:tc>
              <w:tcPr>
                <w:tcW w:w="1134" w:type="dxa"/>
                <w:vAlign w:val="center"/>
              </w:tcPr>
              <w:p>
                <w:pPr>
                  <w:widowControl w:val="0"/>
                  <w:jc w:val="center"/>
                  <w:rPr>
                    <w:rFonts w:cs="Times New Roman"/>
                    <w:kern w:val="2"/>
                    <w:sz w:val="21"/>
                    <w:szCs w:val="21"/>
                  </w:rPr>
                </w:pPr>
                <w:r>
                  <w:rPr>
                    <w:rFonts w:cs="Times New Roman" w:hint="eastAsia"/>
                    <w:kern w:val="2"/>
                    <w:sz w:val="21"/>
                    <w:szCs w:val="21"/>
                  </w:rPr>
                  <w:t>销售价格</w:t>
                </w:r>
              </w:p>
            </w:tc>
            <w:tc>
              <w:tcPr>
                <w:tcW w:w="1276" w:type="dxa"/>
                <w:vAlign w:val="center"/>
              </w:tcPr>
              <w:p>
                <w:pPr>
                  <w:widowControl w:val="0"/>
                  <w:jc w:val="center"/>
                  <w:rPr>
                    <w:rFonts w:cs="Times New Roman"/>
                    <w:kern w:val="2"/>
                    <w:sz w:val="21"/>
                    <w:szCs w:val="21"/>
                  </w:rPr>
                </w:pPr>
                <w:r>
                  <w:rPr>
                    <w:rFonts w:cs="Times New Roman" w:hint="eastAsia"/>
                    <w:kern w:val="2"/>
                    <w:sz w:val="21"/>
                    <w:szCs w:val="21"/>
                  </w:rPr>
                  <w:t>销售收入</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产量</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销量</w:t>
                </w:r>
              </w:p>
            </w:tc>
            <w:tc>
              <w:tcPr>
                <w:tcW w:w="1134" w:type="dxa"/>
                <w:vAlign w:val="center"/>
              </w:tcPr>
              <w:p>
                <w:pPr>
                  <w:widowControl w:val="0"/>
                  <w:jc w:val="center"/>
                  <w:rPr>
                    <w:rFonts w:cs="Times New Roman"/>
                    <w:kern w:val="2"/>
                    <w:sz w:val="21"/>
                    <w:szCs w:val="21"/>
                  </w:rPr>
                </w:pPr>
                <w:r>
                  <w:rPr>
                    <w:rFonts w:cs="Times New Roman" w:hint="eastAsia"/>
                    <w:kern w:val="2"/>
                    <w:sz w:val="21"/>
                    <w:szCs w:val="21"/>
                  </w:rPr>
                  <w:t>销售价格</w:t>
                </w:r>
              </w:p>
            </w:tc>
            <w:tc>
              <w:tcPr>
                <w:tcW w:w="1276" w:type="dxa"/>
                <w:vAlign w:val="center"/>
              </w:tcPr>
              <w:p>
                <w:pPr>
                  <w:widowControl w:val="0"/>
                  <w:jc w:val="center"/>
                  <w:rPr>
                    <w:rFonts w:cs="Times New Roman"/>
                    <w:kern w:val="2"/>
                    <w:sz w:val="21"/>
                    <w:szCs w:val="21"/>
                  </w:rPr>
                </w:pPr>
                <w:r>
                  <w:rPr>
                    <w:rFonts w:cs="Times New Roman" w:hint="eastAsia"/>
                    <w:kern w:val="2"/>
                    <w:sz w:val="21"/>
                    <w:szCs w:val="21"/>
                  </w:rPr>
                  <w:t>销售收入</w:t>
                </w:r>
              </w:p>
            </w:tc>
          </w:tr>
          <w:tr>
            <w:trPr>
              <w:trHeight w:val="312"/>
              <w:tblHeader/>
              <w:jc w:val="center"/>
            </w:trPr>
            <w:tc>
              <w:tcPr>
                <w:tcW w:w="1838" w:type="dxa"/>
                <w:vMerge/>
                <w:vAlign w:val="center"/>
              </w:tcPr>
              <w:p>
                <w:pPr>
                  <w:widowControl w:val="0"/>
                  <w:jc w:val="both"/>
                  <w:rPr>
                    <w:rFonts w:cs="Times New Roman"/>
                    <w:kern w:val="2"/>
                    <w:sz w:val="21"/>
                    <w:szCs w:val="21"/>
                  </w:rPr>
                </w:pPr>
              </w:p>
            </w:tc>
            <w:tc>
              <w:tcPr>
                <w:tcW w:w="998" w:type="dxa"/>
                <w:vAlign w:val="center"/>
              </w:tcPr>
              <w:p>
                <w:pPr>
                  <w:widowControl w:val="0"/>
                  <w:jc w:val="center"/>
                  <w:rPr>
                    <w:rFonts w:cs="Times New Roman"/>
                    <w:kern w:val="2"/>
                    <w:sz w:val="21"/>
                    <w:szCs w:val="21"/>
                  </w:rPr>
                </w:pPr>
                <w:r>
                  <w:rPr>
                    <w:rFonts w:cs="Times New Roman" w:hint="eastAsia"/>
                    <w:kern w:val="2"/>
                    <w:sz w:val="21"/>
                    <w:szCs w:val="21"/>
                  </w:rPr>
                  <w:t>（千吨）</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（千吨）</w:t>
                </w:r>
              </w:p>
            </w:tc>
            <w:tc>
              <w:tcPr>
                <w:tcW w:w="1134" w:type="dxa"/>
                <w:vAlign w:val="center"/>
              </w:tcPr>
              <w:p>
                <w:pPr>
                  <w:widowControl w:val="0"/>
                  <w:jc w:val="center"/>
                  <w:rPr>
                    <w:rFonts w:cs="Times New Roman"/>
                    <w:kern w:val="2"/>
                    <w:sz w:val="21"/>
                    <w:szCs w:val="21"/>
                  </w:rPr>
                </w:pPr>
                <w:r>
                  <w:rPr>
                    <w:rFonts w:cs="Times New Roman" w:hint="eastAsia"/>
                    <w:kern w:val="2"/>
                    <w:sz w:val="21"/>
                    <w:szCs w:val="21"/>
                  </w:rPr>
                  <w:t>（元/吨）</w:t>
                </w:r>
              </w:p>
            </w:tc>
            <w:tc>
              <w:tcPr>
                <w:tcW w:w="1276" w:type="dxa"/>
                <w:vAlign w:val="center"/>
              </w:tcPr>
              <w:p>
                <w:pPr>
                  <w:widowControl w:val="0"/>
                  <w:jc w:val="center"/>
                  <w:rPr>
                    <w:rFonts w:cs="Times New Roman"/>
                    <w:kern w:val="2"/>
                    <w:sz w:val="21"/>
                    <w:szCs w:val="21"/>
                  </w:rPr>
                </w:pPr>
                <w:r>
                  <w:rPr>
                    <w:rFonts w:cs="Times New Roman" w:hint="eastAsia"/>
                    <w:kern w:val="2"/>
                    <w:sz w:val="21"/>
                    <w:szCs w:val="21"/>
                  </w:rPr>
                  <w:t>（百万元）</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（千吨）</w:t>
                </w:r>
              </w:p>
            </w:tc>
            <w:tc>
              <w:tcPr>
                <w:tcW w:w="992" w:type="dxa"/>
                <w:vAlign w:val="center"/>
              </w:tcPr>
              <w:p>
                <w:pPr>
                  <w:widowControl w:val="0"/>
                  <w:jc w:val="center"/>
                  <w:rPr>
                    <w:rFonts w:cs="Times New Roman"/>
                    <w:kern w:val="2"/>
                    <w:sz w:val="21"/>
                    <w:szCs w:val="21"/>
                  </w:rPr>
                </w:pPr>
                <w:r>
                  <w:rPr>
                    <w:rFonts w:cs="Times New Roman" w:hint="eastAsia"/>
                    <w:kern w:val="2"/>
                    <w:sz w:val="21"/>
                    <w:szCs w:val="21"/>
                  </w:rPr>
                  <w:t>（千吨）</w:t>
                </w:r>
              </w:p>
            </w:tc>
            <w:tc>
              <w:tcPr>
                <w:tcW w:w="1134" w:type="dxa"/>
                <w:vAlign w:val="center"/>
              </w:tcPr>
              <w:p>
                <w:pPr>
                  <w:widowControl w:val="0"/>
                  <w:jc w:val="center"/>
                  <w:rPr>
                    <w:rFonts w:cs="Times New Roman"/>
                    <w:kern w:val="2"/>
                    <w:sz w:val="21"/>
                    <w:szCs w:val="21"/>
                  </w:rPr>
                </w:pPr>
                <w:r>
                  <w:rPr>
                    <w:rFonts w:cs="Times New Roman" w:hint="eastAsia"/>
                    <w:kern w:val="2"/>
                    <w:sz w:val="21"/>
                    <w:szCs w:val="21"/>
                  </w:rPr>
                  <w:t>（元/吨）</w:t>
                </w:r>
              </w:p>
            </w:tc>
            <w:tc>
              <w:tcPr>
                <w:tcW w:w="1276" w:type="dxa"/>
                <w:vAlign w:val="center"/>
              </w:tcPr>
              <w:p>
                <w:pPr>
                  <w:widowControl w:val="0"/>
                  <w:jc w:val="center"/>
                  <w:rPr>
                    <w:rFonts w:cs="Times New Roman"/>
                    <w:kern w:val="2"/>
                    <w:sz w:val="21"/>
                    <w:szCs w:val="21"/>
                  </w:rPr>
                </w:pPr>
                <w:r>
                  <w:rPr>
                    <w:rFonts w:cs="Times New Roman" w:hint="eastAsia"/>
                    <w:kern w:val="2"/>
                    <w:sz w:val="21"/>
                    <w:szCs w:val="21"/>
                  </w:rPr>
                  <w:t>（百万元）</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一、公司</w:t>
                </w:r>
              </w:p>
            </w:tc>
            <w:tc>
              <w:tcPr>
                <w:tcW w:w="998" w:type="dxa"/>
                <w:vAlign w:val="center"/>
              </w:tcPr>
              <w:p>
                <w:pPr>
                  <w:jc w:val="right"/>
                  <w:rPr>
                    <w:sz w:val="21"/>
                    <w:szCs w:val="21"/>
                  </w:rPr>
                </w:pPr>
                <w:r>
                  <w:rPr>
                    <w:sz w:val="21"/>
                    <w:szCs w:val="21"/>
                  </w:rPr>
                  <w:t xml:space="preserve">22,796 </w:t>
                </w:r>
              </w:p>
            </w:tc>
            <w:tc>
              <w:tcPr>
                <w:tcW w:w="992" w:type="dxa"/>
                <w:shd w:val="clear" w:color="auto" w:fill="auto"/>
                <w:vAlign w:val="center"/>
              </w:tcPr>
              <w:p>
                <w:pPr>
                  <w:jc w:val="right"/>
                  <w:rPr>
                    <w:sz w:val="21"/>
                    <w:szCs w:val="21"/>
                  </w:rPr>
                </w:pPr>
                <w:r>
                  <w:rPr>
                    <w:sz w:val="21"/>
                    <w:szCs w:val="21"/>
                  </w:rPr>
                  <w:t xml:space="preserve">21,614 </w:t>
                </w:r>
              </w:p>
            </w:tc>
            <w:tc>
              <w:tcPr>
                <w:tcW w:w="1134" w:type="dxa"/>
                <w:vAlign w:val="center"/>
              </w:tcPr>
              <w:p>
                <w:pPr>
                  <w:jc w:val="right"/>
                  <w:rPr>
                    <w:sz w:val="21"/>
                    <w:szCs w:val="21"/>
                  </w:rPr>
                </w:pPr>
                <w:r>
                  <w:rPr>
                    <w:sz w:val="21"/>
                    <w:szCs w:val="21"/>
                  </w:rPr>
                  <w:t xml:space="preserve">774.78 </w:t>
                </w:r>
              </w:p>
            </w:tc>
            <w:tc>
              <w:tcPr>
                <w:tcW w:w="1276" w:type="dxa"/>
                <w:vAlign w:val="center"/>
              </w:tcPr>
              <w:p>
                <w:pPr>
                  <w:jc w:val="right"/>
                  <w:rPr>
                    <w:sz w:val="21"/>
                    <w:szCs w:val="21"/>
                  </w:rPr>
                </w:pPr>
                <w:r>
                  <w:rPr>
                    <w:sz w:val="21"/>
                    <w:szCs w:val="21"/>
                  </w:rPr>
                  <w:t xml:space="preserve">16,746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rFonts w:cs="Times New Roman"/>
                    <w:sz w:val="21"/>
                    <w:szCs w:val="21"/>
                  </w:rPr>
                </w:pPr>
                <w:r>
                  <w:rPr>
                    <w:rFonts w:hint="eastAsia"/>
                    <w:sz w:val="21"/>
                    <w:szCs w:val="21"/>
                  </w:rPr>
                  <w:t xml:space="preserve">23,978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22,956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909.06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20,868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1号精煤</w:t>
                </w:r>
              </w:p>
            </w:tc>
            <w:tc>
              <w:tcPr>
                <w:tcW w:w="998" w:type="dxa"/>
                <w:vAlign w:val="center"/>
              </w:tcPr>
              <w:p>
                <w:pPr>
                  <w:jc w:val="right"/>
                  <w:rPr>
                    <w:sz w:val="21"/>
                    <w:szCs w:val="21"/>
                  </w:rPr>
                </w:pPr>
                <w:r>
                  <w:rPr>
                    <w:sz w:val="21"/>
                    <w:szCs w:val="21"/>
                  </w:rPr>
                  <w:t xml:space="preserve">356 </w:t>
                </w:r>
              </w:p>
            </w:tc>
            <w:tc>
              <w:tcPr>
                <w:tcW w:w="992" w:type="dxa"/>
                <w:shd w:val="clear" w:color="auto" w:fill="auto"/>
                <w:vAlign w:val="center"/>
              </w:tcPr>
              <w:p>
                <w:pPr>
                  <w:jc w:val="right"/>
                  <w:rPr>
                    <w:sz w:val="21"/>
                    <w:szCs w:val="21"/>
                  </w:rPr>
                </w:pPr>
                <w:r>
                  <w:rPr>
                    <w:sz w:val="21"/>
                    <w:szCs w:val="21"/>
                  </w:rPr>
                  <w:t xml:space="preserve">357 </w:t>
                </w:r>
              </w:p>
            </w:tc>
            <w:tc>
              <w:tcPr>
                <w:tcW w:w="1134" w:type="dxa"/>
                <w:vAlign w:val="center"/>
              </w:tcPr>
              <w:p>
                <w:pPr>
                  <w:jc w:val="right"/>
                  <w:rPr>
                    <w:sz w:val="21"/>
                    <w:szCs w:val="21"/>
                  </w:rPr>
                </w:pPr>
                <w:r>
                  <w:rPr>
                    <w:sz w:val="21"/>
                    <w:szCs w:val="21"/>
                  </w:rPr>
                  <w:t xml:space="preserve">1,193.83 </w:t>
                </w:r>
              </w:p>
            </w:tc>
            <w:tc>
              <w:tcPr>
                <w:tcW w:w="1276" w:type="dxa"/>
                <w:vAlign w:val="center"/>
              </w:tcPr>
              <w:p>
                <w:pPr>
                  <w:jc w:val="right"/>
                  <w:rPr>
                    <w:sz w:val="21"/>
                    <w:szCs w:val="21"/>
                  </w:rPr>
                </w:pPr>
                <w:r>
                  <w:rPr>
                    <w:sz w:val="21"/>
                    <w:szCs w:val="21"/>
                  </w:rPr>
                  <w:t xml:space="preserve">426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450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457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1,419.01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649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2号精煤</w:t>
                </w:r>
              </w:p>
            </w:tc>
            <w:tc>
              <w:tcPr>
                <w:tcW w:w="998" w:type="dxa"/>
                <w:vAlign w:val="center"/>
              </w:tcPr>
              <w:p>
                <w:pPr>
                  <w:jc w:val="right"/>
                  <w:rPr>
                    <w:sz w:val="21"/>
                    <w:szCs w:val="21"/>
                  </w:rPr>
                </w:pPr>
                <w:r>
                  <w:rPr>
                    <w:sz w:val="21"/>
                    <w:szCs w:val="21"/>
                  </w:rPr>
                  <w:t xml:space="preserve">6,113 </w:t>
                </w:r>
              </w:p>
            </w:tc>
            <w:tc>
              <w:tcPr>
                <w:tcW w:w="992" w:type="dxa"/>
                <w:shd w:val="clear" w:color="auto" w:fill="auto"/>
                <w:vAlign w:val="center"/>
              </w:tcPr>
              <w:p>
                <w:pPr>
                  <w:jc w:val="right"/>
                  <w:rPr>
                    <w:sz w:val="21"/>
                    <w:szCs w:val="21"/>
                  </w:rPr>
                </w:pPr>
                <w:r>
                  <w:rPr>
                    <w:sz w:val="21"/>
                    <w:szCs w:val="21"/>
                  </w:rPr>
                  <w:t xml:space="preserve">6,417 </w:t>
                </w:r>
              </w:p>
            </w:tc>
            <w:tc>
              <w:tcPr>
                <w:tcW w:w="1134" w:type="dxa"/>
                <w:vAlign w:val="center"/>
              </w:tcPr>
              <w:p>
                <w:pPr>
                  <w:jc w:val="right"/>
                  <w:rPr>
                    <w:sz w:val="21"/>
                    <w:szCs w:val="21"/>
                  </w:rPr>
                </w:pPr>
                <w:r>
                  <w:rPr>
                    <w:sz w:val="21"/>
                    <w:szCs w:val="21"/>
                  </w:rPr>
                  <w:t xml:space="preserve">1,140.73 </w:t>
                </w:r>
              </w:p>
            </w:tc>
            <w:tc>
              <w:tcPr>
                <w:tcW w:w="1276" w:type="dxa"/>
                <w:vAlign w:val="center"/>
              </w:tcPr>
              <w:p>
                <w:pPr>
                  <w:jc w:val="right"/>
                  <w:rPr>
                    <w:sz w:val="21"/>
                    <w:szCs w:val="21"/>
                  </w:rPr>
                </w:pPr>
                <w:r>
                  <w:rPr>
                    <w:sz w:val="21"/>
                    <w:szCs w:val="21"/>
                  </w:rPr>
                  <w:t xml:space="preserve">7,320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7,679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7,636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1,368.22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10,447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3号精煤</w:t>
                </w:r>
              </w:p>
            </w:tc>
            <w:tc>
              <w:tcPr>
                <w:tcW w:w="998" w:type="dxa"/>
                <w:vAlign w:val="center"/>
              </w:tcPr>
              <w:p>
                <w:pPr>
                  <w:jc w:val="right"/>
                  <w:rPr>
                    <w:sz w:val="21"/>
                    <w:szCs w:val="21"/>
                  </w:rPr>
                </w:pPr>
                <w:r>
                  <w:rPr>
                    <w:sz w:val="21"/>
                    <w:szCs w:val="21"/>
                  </w:rPr>
                  <w:t xml:space="preserve">3,779 </w:t>
                </w:r>
              </w:p>
            </w:tc>
            <w:tc>
              <w:tcPr>
                <w:tcW w:w="992" w:type="dxa"/>
                <w:shd w:val="clear" w:color="auto" w:fill="auto"/>
                <w:vAlign w:val="center"/>
              </w:tcPr>
              <w:p>
                <w:pPr>
                  <w:jc w:val="right"/>
                  <w:rPr>
                    <w:sz w:val="21"/>
                    <w:szCs w:val="21"/>
                  </w:rPr>
                </w:pPr>
                <w:r>
                  <w:rPr>
                    <w:sz w:val="21"/>
                    <w:szCs w:val="21"/>
                  </w:rPr>
                  <w:t xml:space="preserve">3,812 </w:t>
                </w:r>
              </w:p>
            </w:tc>
            <w:tc>
              <w:tcPr>
                <w:tcW w:w="1134" w:type="dxa"/>
                <w:vAlign w:val="center"/>
              </w:tcPr>
              <w:p>
                <w:pPr>
                  <w:jc w:val="right"/>
                  <w:rPr>
                    <w:sz w:val="21"/>
                    <w:szCs w:val="21"/>
                  </w:rPr>
                </w:pPr>
                <w:r>
                  <w:rPr>
                    <w:sz w:val="21"/>
                    <w:szCs w:val="21"/>
                  </w:rPr>
                  <w:t xml:space="preserve">959.54 </w:t>
                </w:r>
              </w:p>
            </w:tc>
            <w:tc>
              <w:tcPr>
                <w:tcW w:w="1276" w:type="dxa"/>
                <w:vAlign w:val="center"/>
              </w:tcPr>
              <w:p>
                <w:pPr>
                  <w:jc w:val="right"/>
                  <w:rPr>
                    <w:sz w:val="21"/>
                    <w:szCs w:val="21"/>
                  </w:rPr>
                </w:pPr>
                <w:r>
                  <w:rPr>
                    <w:sz w:val="21"/>
                    <w:szCs w:val="21"/>
                  </w:rPr>
                  <w:t xml:space="preserve">3,658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2,487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2,625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1,138.94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2,990 </w:t>
                </w:r>
              </w:p>
            </w:tc>
          </w:tr>
          <w:tr>
            <w:trPr>
              <w:trHeight w:val="312"/>
              <w:jc w:val="center"/>
            </w:trPr>
            <w:tc>
              <w:tcPr>
                <w:tcW w:w="1838" w:type="dxa"/>
                <w:vAlign w:val="center"/>
              </w:tcPr>
              <w:p>
                <w:pPr>
                  <w:widowControl w:val="0"/>
                  <w:ind w:firstLineChars="100" w:firstLine="210"/>
                  <w:jc w:val="both"/>
                  <w:rPr>
                    <w:rFonts w:cs="Times New Roman"/>
                    <w:kern w:val="2"/>
                    <w:sz w:val="21"/>
                    <w:szCs w:val="21"/>
                  </w:rPr>
                </w:pPr>
                <w:r>
                  <w:rPr>
                    <w:rFonts w:cs="Times New Roman" w:hint="eastAsia"/>
                    <w:kern w:val="2"/>
                    <w:sz w:val="21"/>
                    <w:szCs w:val="21"/>
                  </w:rPr>
                  <w:t>精煤小计</w:t>
                </w:r>
              </w:p>
            </w:tc>
            <w:tc>
              <w:tcPr>
                <w:tcW w:w="998" w:type="dxa"/>
                <w:vAlign w:val="center"/>
              </w:tcPr>
              <w:p>
                <w:pPr>
                  <w:jc w:val="right"/>
                  <w:rPr>
                    <w:sz w:val="21"/>
                    <w:szCs w:val="21"/>
                  </w:rPr>
                </w:pPr>
                <w:r>
                  <w:rPr>
                    <w:sz w:val="21"/>
                    <w:szCs w:val="21"/>
                  </w:rPr>
                  <w:t xml:space="preserve">10,248 </w:t>
                </w:r>
              </w:p>
            </w:tc>
            <w:tc>
              <w:tcPr>
                <w:tcW w:w="992" w:type="dxa"/>
                <w:shd w:val="clear" w:color="auto" w:fill="auto"/>
                <w:vAlign w:val="center"/>
              </w:tcPr>
              <w:p>
                <w:pPr>
                  <w:jc w:val="right"/>
                  <w:rPr>
                    <w:sz w:val="21"/>
                    <w:szCs w:val="21"/>
                  </w:rPr>
                </w:pPr>
                <w:r>
                  <w:rPr>
                    <w:sz w:val="21"/>
                    <w:szCs w:val="21"/>
                  </w:rPr>
                  <w:t xml:space="preserve">10,586 </w:t>
                </w:r>
              </w:p>
            </w:tc>
            <w:tc>
              <w:tcPr>
                <w:tcW w:w="1134" w:type="dxa"/>
                <w:vAlign w:val="center"/>
              </w:tcPr>
              <w:p>
                <w:pPr>
                  <w:jc w:val="right"/>
                  <w:rPr>
                    <w:sz w:val="21"/>
                    <w:szCs w:val="21"/>
                  </w:rPr>
                </w:pPr>
                <w:r>
                  <w:rPr>
                    <w:sz w:val="21"/>
                    <w:szCs w:val="21"/>
                  </w:rPr>
                  <w:t xml:space="preserve">1,077.27 </w:t>
                </w:r>
              </w:p>
            </w:tc>
            <w:tc>
              <w:tcPr>
                <w:tcW w:w="1276" w:type="dxa"/>
                <w:vAlign w:val="center"/>
              </w:tcPr>
              <w:p>
                <w:pPr>
                  <w:jc w:val="right"/>
                  <w:rPr>
                    <w:sz w:val="21"/>
                    <w:szCs w:val="21"/>
                  </w:rPr>
                </w:pPr>
                <w:r>
                  <w:rPr>
                    <w:sz w:val="21"/>
                    <w:szCs w:val="21"/>
                  </w:rPr>
                  <w:t xml:space="preserve">11,404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10,617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10,719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1,314.22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14,087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12,547 </w:t>
                </w:r>
              </w:p>
            </w:tc>
            <w:tc>
              <w:tcPr>
                <w:tcW w:w="992" w:type="dxa"/>
                <w:shd w:val="clear" w:color="auto" w:fill="auto"/>
                <w:vAlign w:val="center"/>
              </w:tcPr>
              <w:p>
                <w:pPr>
                  <w:jc w:val="right"/>
                  <w:rPr>
                    <w:sz w:val="21"/>
                    <w:szCs w:val="21"/>
                  </w:rPr>
                </w:pPr>
                <w:r>
                  <w:rPr>
                    <w:sz w:val="21"/>
                    <w:szCs w:val="21"/>
                  </w:rPr>
                  <w:t xml:space="preserve">11,028 </w:t>
                </w:r>
              </w:p>
            </w:tc>
            <w:tc>
              <w:tcPr>
                <w:tcW w:w="1134" w:type="dxa"/>
                <w:vAlign w:val="center"/>
              </w:tcPr>
              <w:p>
                <w:pPr>
                  <w:jc w:val="right"/>
                  <w:rPr>
                    <w:sz w:val="21"/>
                    <w:szCs w:val="21"/>
                  </w:rPr>
                </w:pPr>
                <w:r>
                  <w:rPr>
                    <w:sz w:val="21"/>
                    <w:szCs w:val="21"/>
                  </w:rPr>
                  <w:t xml:space="preserve">484.41 </w:t>
                </w:r>
              </w:p>
            </w:tc>
            <w:tc>
              <w:tcPr>
                <w:tcW w:w="1276" w:type="dxa"/>
                <w:vAlign w:val="center"/>
              </w:tcPr>
              <w:p>
                <w:pPr>
                  <w:jc w:val="right"/>
                  <w:rPr>
                    <w:sz w:val="21"/>
                    <w:szCs w:val="21"/>
                  </w:rPr>
                </w:pPr>
                <w:r>
                  <w:rPr>
                    <w:sz w:val="21"/>
                    <w:szCs w:val="21"/>
                  </w:rPr>
                  <w:t xml:space="preserve">5,342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13,362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12,237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554.17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6,781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二、菏泽能化</w:t>
                </w:r>
              </w:p>
            </w:tc>
            <w:tc>
              <w:tcPr>
                <w:tcW w:w="998" w:type="dxa"/>
                <w:vAlign w:val="center"/>
              </w:tcPr>
              <w:p>
                <w:pPr>
                  <w:jc w:val="right"/>
                  <w:rPr>
                    <w:sz w:val="21"/>
                    <w:szCs w:val="21"/>
                  </w:rPr>
                </w:pPr>
                <w:r>
                  <w:rPr>
                    <w:sz w:val="21"/>
                    <w:szCs w:val="21"/>
                  </w:rPr>
                  <w:t xml:space="preserve">1,913 </w:t>
                </w:r>
              </w:p>
            </w:tc>
            <w:tc>
              <w:tcPr>
                <w:tcW w:w="992" w:type="dxa"/>
                <w:shd w:val="clear" w:color="auto" w:fill="auto"/>
                <w:vAlign w:val="center"/>
              </w:tcPr>
              <w:p>
                <w:pPr>
                  <w:jc w:val="right"/>
                  <w:rPr>
                    <w:sz w:val="21"/>
                    <w:szCs w:val="21"/>
                  </w:rPr>
                </w:pPr>
                <w:r>
                  <w:rPr>
                    <w:sz w:val="21"/>
                    <w:szCs w:val="21"/>
                  </w:rPr>
                  <w:t xml:space="preserve">1,269 </w:t>
                </w:r>
              </w:p>
            </w:tc>
            <w:tc>
              <w:tcPr>
                <w:tcW w:w="1134" w:type="dxa"/>
                <w:vAlign w:val="center"/>
              </w:tcPr>
              <w:p>
                <w:pPr>
                  <w:jc w:val="right"/>
                  <w:rPr>
                    <w:sz w:val="21"/>
                    <w:szCs w:val="21"/>
                  </w:rPr>
                </w:pPr>
                <w:r>
                  <w:rPr>
                    <w:sz w:val="21"/>
                    <w:szCs w:val="21"/>
                  </w:rPr>
                  <w:t xml:space="preserve">1,363.55 </w:t>
                </w:r>
              </w:p>
            </w:tc>
            <w:tc>
              <w:tcPr>
                <w:tcW w:w="1276" w:type="dxa"/>
                <w:vAlign w:val="center"/>
              </w:tcPr>
              <w:p>
                <w:pPr>
                  <w:jc w:val="right"/>
                  <w:rPr>
                    <w:sz w:val="21"/>
                    <w:szCs w:val="21"/>
                  </w:rPr>
                </w:pPr>
                <w:r>
                  <w:rPr>
                    <w:sz w:val="21"/>
                    <w:szCs w:val="21"/>
                  </w:rPr>
                  <w:t xml:space="preserve">1,731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2,645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2,334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1,394.22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3,254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2号精煤</w:t>
                </w:r>
              </w:p>
            </w:tc>
            <w:tc>
              <w:tcPr>
                <w:tcW w:w="998" w:type="dxa"/>
                <w:vAlign w:val="center"/>
              </w:tcPr>
              <w:p>
                <w:pPr>
                  <w:jc w:val="right"/>
                  <w:rPr>
                    <w:sz w:val="21"/>
                    <w:szCs w:val="21"/>
                  </w:rPr>
                </w:pPr>
                <w:r>
                  <w:rPr>
                    <w:sz w:val="21"/>
                    <w:szCs w:val="21"/>
                  </w:rPr>
                  <w:t xml:space="preserve">1,524 </w:t>
                </w:r>
              </w:p>
            </w:tc>
            <w:tc>
              <w:tcPr>
                <w:tcW w:w="992" w:type="dxa"/>
                <w:shd w:val="clear" w:color="auto" w:fill="auto"/>
                <w:vAlign w:val="center"/>
              </w:tcPr>
              <w:p>
                <w:pPr>
                  <w:jc w:val="right"/>
                  <w:rPr>
                    <w:sz w:val="21"/>
                    <w:szCs w:val="21"/>
                  </w:rPr>
                </w:pPr>
                <w:r>
                  <w:rPr>
                    <w:sz w:val="21"/>
                    <w:szCs w:val="21"/>
                  </w:rPr>
                  <w:t xml:space="preserve">1,217 </w:t>
                </w:r>
              </w:p>
            </w:tc>
            <w:tc>
              <w:tcPr>
                <w:tcW w:w="1134" w:type="dxa"/>
                <w:vAlign w:val="center"/>
              </w:tcPr>
              <w:p>
                <w:pPr>
                  <w:jc w:val="right"/>
                  <w:rPr>
                    <w:sz w:val="21"/>
                    <w:szCs w:val="21"/>
                  </w:rPr>
                </w:pPr>
                <w:r>
                  <w:rPr>
                    <w:sz w:val="21"/>
                    <w:szCs w:val="21"/>
                  </w:rPr>
                  <w:t xml:space="preserve">1,403.59 </w:t>
                </w:r>
              </w:p>
            </w:tc>
            <w:tc>
              <w:tcPr>
                <w:tcW w:w="1276" w:type="dxa"/>
                <w:vAlign w:val="center"/>
              </w:tcPr>
              <w:p>
                <w:pPr>
                  <w:jc w:val="right"/>
                  <w:rPr>
                    <w:sz w:val="21"/>
                    <w:szCs w:val="21"/>
                  </w:rPr>
                </w:pPr>
                <w:r>
                  <w:rPr>
                    <w:sz w:val="21"/>
                    <w:szCs w:val="21"/>
                  </w:rPr>
                  <w:t xml:space="preserve">1,708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1,972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1,989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1,540.86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3,065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389 </w:t>
                </w:r>
              </w:p>
            </w:tc>
            <w:tc>
              <w:tcPr>
                <w:tcW w:w="992" w:type="dxa"/>
                <w:shd w:val="clear" w:color="auto" w:fill="auto"/>
                <w:vAlign w:val="center"/>
              </w:tcPr>
              <w:p>
                <w:pPr>
                  <w:jc w:val="right"/>
                  <w:rPr>
                    <w:sz w:val="21"/>
                    <w:szCs w:val="21"/>
                  </w:rPr>
                </w:pPr>
                <w:r>
                  <w:rPr>
                    <w:sz w:val="21"/>
                    <w:szCs w:val="21"/>
                  </w:rPr>
                  <w:t xml:space="preserve">53 </w:t>
                </w:r>
              </w:p>
            </w:tc>
            <w:tc>
              <w:tcPr>
                <w:tcW w:w="1134" w:type="dxa"/>
                <w:vAlign w:val="center"/>
              </w:tcPr>
              <w:p>
                <w:pPr>
                  <w:jc w:val="right"/>
                  <w:rPr>
                    <w:sz w:val="21"/>
                    <w:szCs w:val="21"/>
                  </w:rPr>
                </w:pPr>
                <w:r>
                  <w:rPr>
                    <w:sz w:val="21"/>
                    <w:szCs w:val="21"/>
                  </w:rPr>
                  <w:t xml:space="preserve">441.34 </w:t>
                </w:r>
              </w:p>
            </w:tc>
            <w:tc>
              <w:tcPr>
                <w:tcW w:w="1276" w:type="dxa"/>
                <w:vAlign w:val="center"/>
              </w:tcPr>
              <w:p>
                <w:pPr>
                  <w:jc w:val="right"/>
                  <w:rPr>
                    <w:sz w:val="21"/>
                    <w:szCs w:val="21"/>
                  </w:rPr>
                </w:pPr>
                <w:r>
                  <w:rPr>
                    <w:sz w:val="21"/>
                    <w:szCs w:val="21"/>
                  </w:rPr>
                  <w:t xml:space="preserve">23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673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345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548.51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189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三、鲁西矿业</w:t>
                </w:r>
              </w:p>
            </w:tc>
            <w:tc>
              <w:tcPr>
                <w:tcW w:w="998" w:type="dxa"/>
                <w:vAlign w:val="center"/>
              </w:tcPr>
              <w:p>
                <w:pPr>
                  <w:jc w:val="right"/>
                  <w:rPr>
                    <w:sz w:val="21"/>
                    <w:szCs w:val="21"/>
                  </w:rPr>
                </w:pPr>
                <w:r>
                  <w:rPr>
                    <w:sz w:val="21"/>
                    <w:szCs w:val="21"/>
                  </w:rPr>
                  <w:t xml:space="preserve">12,251 </w:t>
                </w:r>
              </w:p>
            </w:tc>
            <w:tc>
              <w:tcPr>
                <w:tcW w:w="992" w:type="dxa"/>
                <w:shd w:val="clear" w:color="auto" w:fill="auto"/>
                <w:vAlign w:val="center"/>
              </w:tcPr>
              <w:p>
                <w:pPr>
                  <w:jc w:val="right"/>
                  <w:rPr>
                    <w:sz w:val="21"/>
                    <w:szCs w:val="21"/>
                  </w:rPr>
                </w:pPr>
                <w:r>
                  <w:rPr>
                    <w:sz w:val="21"/>
                    <w:szCs w:val="21"/>
                  </w:rPr>
                  <w:t xml:space="preserve">11,639 </w:t>
                </w:r>
              </w:p>
            </w:tc>
            <w:tc>
              <w:tcPr>
                <w:tcW w:w="1134" w:type="dxa"/>
                <w:vAlign w:val="center"/>
              </w:tcPr>
              <w:p>
                <w:pPr>
                  <w:jc w:val="right"/>
                  <w:rPr>
                    <w:sz w:val="21"/>
                    <w:szCs w:val="21"/>
                  </w:rPr>
                </w:pPr>
                <w:r>
                  <w:rPr>
                    <w:sz w:val="21"/>
                    <w:szCs w:val="21"/>
                  </w:rPr>
                  <w:t xml:space="preserve">1,075.37 </w:t>
                </w:r>
              </w:p>
            </w:tc>
            <w:tc>
              <w:tcPr>
                <w:tcW w:w="1276" w:type="dxa"/>
                <w:vAlign w:val="center"/>
              </w:tcPr>
              <w:p>
                <w:pPr>
                  <w:jc w:val="right"/>
                  <w:rPr>
                    <w:sz w:val="21"/>
                    <w:szCs w:val="21"/>
                  </w:rPr>
                </w:pPr>
                <w:r>
                  <w:rPr>
                    <w:sz w:val="21"/>
                    <w:szCs w:val="21"/>
                  </w:rPr>
                  <w:t xml:space="preserve">12,516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10,798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11,401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1,206.92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13,760 </w:t>
                </w:r>
              </w:p>
            </w:tc>
          </w:tr>
          <w:tr>
            <w:trPr>
              <w:trHeight w:val="312"/>
              <w:jc w:val="center"/>
            </w:trPr>
            <w:tc>
              <w:tcPr>
                <w:tcW w:w="1838" w:type="dxa"/>
              </w:tcPr>
              <w:p>
                <w:pPr>
                  <w:widowControl w:val="0"/>
                  <w:ind w:firstLineChars="200" w:firstLine="420"/>
                  <w:jc w:val="both"/>
                  <w:rPr>
                    <w:rFonts w:cs="Times New Roman"/>
                    <w:kern w:val="2"/>
                    <w:sz w:val="21"/>
                    <w:szCs w:val="21"/>
                  </w:rPr>
                </w:pPr>
                <w:r>
                  <w:rPr>
                    <w:rFonts w:cs="Times New Roman" w:hint="eastAsia"/>
                    <w:kern w:val="2"/>
                    <w:sz w:val="21"/>
                    <w:szCs w:val="21"/>
                  </w:rPr>
                  <w:t>洗精煤</w:t>
                </w:r>
              </w:p>
            </w:tc>
            <w:tc>
              <w:tcPr>
                <w:tcW w:w="998" w:type="dxa"/>
                <w:vAlign w:val="center"/>
              </w:tcPr>
              <w:p>
                <w:pPr>
                  <w:jc w:val="right"/>
                  <w:rPr>
                    <w:sz w:val="21"/>
                    <w:szCs w:val="21"/>
                  </w:rPr>
                </w:pPr>
                <w:r>
                  <w:rPr>
                    <w:sz w:val="21"/>
                    <w:szCs w:val="21"/>
                  </w:rPr>
                  <w:t xml:space="preserve">9,033 </w:t>
                </w:r>
              </w:p>
            </w:tc>
            <w:tc>
              <w:tcPr>
                <w:tcW w:w="992" w:type="dxa"/>
                <w:shd w:val="clear" w:color="auto" w:fill="auto"/>
                <w:vAlign w:val="center"/>
              </w:tcPr>
              <w:p>
                <w:pPr>
                  <w:jc w:val="right"/>
                  <w:rPr>
                    <w:sz w:val="21"/>
                    <w:szCs w:val="21"/>
                  </w:rPr>
                </w:pPr>
                <w:r>
                  <w:rPr>
                    <w:sz w:val="21"/>
                    <w:szCs w:val="21"/>
                  </w:rPr>
                  <w:t xml:space="preserve">8,077 </w:t>
                </w:r>
              </w:p>
            </w:tc>
            <w:tc>
              <w:tcPr>
                <w:tcW w:w="1134" w:type="dxa"/>
                <w:vAlign w:val="center"/>
              </w:tcPr>
              <w:p>
                <w:pPr>
                  <w:jc w:val="right"/>
                  <w:rPr>
                    <w:sz w:val="21"/>
                    <w:szCs w:val="21"/>
                  </w:rPr>
                </w:pPr>
                <w:r>
                  <w:rPr>
                    <w:sz w:val="21"/>
                    <w:szCs w:val="21"/>
                  </w:rPr>
                  <w:t xml:space="preserve">1,379.16 </w:t>
                </w:r>
              </w:p>
            </w:tc>
            <w:tc>
              <w:tcPr>
                <w:tcW w:w="1276" w:type="dxa"/>
                <w:vAlign w:val="center"/>
              </w:tcPr>
              <w:p>
                <w:pPr>
                  <w:jc w:val="right"/>
                  <w:rPr>
                    <w:sz w:val="21"/>
                    <w:szCs w:val="21"/>
                  </w:rPr>
                </w:pPr>
                <w:r>
                  <w:rPr>
                    <w:sz w:val="21"/>
                    <w:szCs w:val="21"/>
                  </w:rPr>
                  <w:t xml:space="preserve">11,139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8,026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8,198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1,513.15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12,405 </w:t>
                </w:r>
              </w:p>
            </w:tc>
          </w:tr>
          <w:tr>
            <w:trPr>
              <w:trHeight w:val="312"/>
              <w:jc w:val="center"/>
            </w:trPr>
            <w:tc>
              <w:tcPr>
                <w:tcW w:w="1838" w:type="dxa"/>
              </w:tcPr>
              <w:p>
                <w:pPr>
                  <w:widowControl w:val="0"/>
                  <w:ind w:firstLineChars="200" w:firstLine="420"/>
                  <w:jc w:val="both"/>
                  <w:rPr>
                    <w:rFonts w:cs="Times New Roman"/>
                    <w:kern w:val="2"/>
                    <w:sz w:val="21"/>
                    <w:szCs w:val="21"/>
                  </w:rPr>
                </w:pPr>
                <w:r>
                  <w:rPr>
                    <w:rFonts w:cs="Times New Roman" w:hint="eastAsia"/>
                    <w:kern w:val="2"/>
                    <w:sz w:val="21"/>
                    <w:szCs w:val="21"/>
                  </w:rPr>
                  <w:t>洗混煤</w:t>
                </w:r>
              </w:p>
            </w:tc>
            <w:tc>
              <w:tcPr>
                <w:tcW w:w="998" w:type="dxa"/>
                <w:vAlign w:val="center"/>
              </w:tcPr>
              <w:p>
                <w:pPr>
                  <w:jc w:val="right"/>
                  <w:rPr>
                    <w:sz w:val="21"/>
                    <w:szCs w:val="21"/>
                  </w:rPr>
                </w:pPr>
                <w:r>
                  <w:rPr>
                    <w:sz w:val="21"/>
                    <w:szCs w:val="21"/>
                  </w:rPr>
                  <w:t xml:space="preserve">3,218 </w:t>
                </w:r>
              </w:p>
            </w:tc>
            <w:tc>
              <w:tcPr>
                <w:tcW w:w="992" w:type="dxa"/>
                <w:shd w:val="clear" w:color="auto" w:fill="auto"/>
                <w:vAlign w:val="center"/>
              </w:tcPr>
              <w:p>
                <w:pPr>
                  <w:jc w:val="right"/>
                  <w:rPr>
                    <w:sz w:val="21"/>
                    <w:szCs w:val="21"/>
                  </w:rPr>
                </w:pPr>
                <w:r>
                  <w:rPr>
                    <w:sz w:val="21"/>
                    <w:szCs w:val="21"/>
                  </w:rPr>
                  <w:t xml:space="preserve">3,562 </w:t>
                </w:r>
              </w:p>
            </w:tc>
            <w:tc>
              <w:tcPr>
                <w:tcW w:w="1134" w:type="dxa"/>
                <w:vAlign w:val="center"/>
              </w:tcPr>
              <w:p>
                <w:pPr>
                  <w:jc w:val="right"/>
                  <w:rPr>
                    <w:sz w:val="21"/>
                    <w:szCs w:val="21"/>
                  </w:rPr>
                </w:pPr>
                <w:r>
                  <w:rPr>
                    <w:sz w:val="21"/>
                    <w:szCs w:val="21"/>
                  </w:rPr>
                  <w:t xml:space="preserve">386.60 </w:t>
                </w:r>
              </w:p>
            </w:tc>
            <w:tc>
              <w:tcPr>
                <w:tcW w:w="1276" w:type="dxa"/>
                <w:vAlign w:val="center"/>
              </w:tcPr>
              <w:p>
                <w:pPr>
                  <w:jc w:val="right"/>
                  <w:rPr>
                    <w:sz w:val="21"/>
                    <w:szCs w:val="21"/>
                  </w:rPr>
                </w:pPr>
                <w:r>
                  <w:rPr>
                    <w:sz w:val="21"/>
                    <w:szCs w:val="21"/>
                  </w:rPr>
                  <w:t xml:space="preserve">1,377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2,771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3,203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423.16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1,355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四、天池能源</w:t>
                </w:r>
              </w:p>
            </w:tc>
            <w:tc>
              <w:tcPr>
                <w:tcW w:w="998" w:type="dxa"/>
                <w:vAlign w:val="center"/>
              </w:tcPr>
              <w:p>
                <w:pPr>
                  <w:jc w:val="right"/>
                  <w:rPr>
                    <w:sz w:val="21"/>
                    <w:szCs w:val="21"/>
                  </w:rPr>
                </w:pPr>
                <w:r>
                  <w:rPr>
                    <w:sz w:val="21"/>
                    <w:szCs w:val="21"/>
                  </w:rPr>
                  <w:t xml:space="preserve">1,199 </w:t>
                </w:r>
              </w:p>
            </w:tc>
            <w:tc>
              <w:tcPr>
                <w:tcW w:w="992" w:type="dxa"/>
                <w:shd w:val="clear" w:color="auto" w:fill="auto"/>
                <w:vAlign w:val="center"/>
              </w:tcPr>
              <w:p>
                <w:pPr>
                  <w:jc w:val="right"/>
                  <w:rPr>
                    <w:sz w:val="21"/>
                    <w:szCs w:val="21"/>
                  </w:rPr>
                </w:pPr>
                <w:r>
                  <w:rPr>
                    <w:sz w:val="21"/>
                    <w:szCs w:val="21"/>
                  </w:rPr>
                  <w:t xml:space="preserve">1,228 </w:t>
                </w:r>
              </w:p>
            </w:tc>
            <w:tc>
              <w:tcPr>
                <w:tcW w:w="1134" w:type="dxa"/>
                <w:vAlign w:val="center"/>
              </w:tcPr>
              <w:p>
                <w:pPr>
                  <w:jc w:val="right"/>
                  <w:rPr>
                    <w:sz w:val="21"/>
                    <w:szCs w:val="21"/>
                  </w:rPr>
                </w:pPr>
                <w:r>
                  <w:rPr>
                    <w:sz w:val="21"/>
                    <w:szCs w:val="21"/>
                  </w:rPr>
                  <w:t xml:space="preserve">532.82 </w:t>
                </w:r>
              </w:p>
            </w:tc>
            <w:tc>
              <w:tcPr>
                <w:tcW w:w="1276" w:type="dxa"/>
                <w:vAlign w:val="center"/>
              </w:tcPr>
              <w:p>
                <w:pPr>
                  <w:jc w:val="right"/>
                  <w:rPr>
                    <w:sz w:val="21"/>
                    <w:szCs w:val="21"/>
                  </w:rPr>
                </w:pPr>
                <w:r>
                  <w:rPr>
                    <w:sz w:val="21"/>
                    <w:szCs w:val="21"/>
                  </w:rPr>
                  <w:t xml:space="preserve">654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1,201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1,206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558.93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674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1,199 </w:t>
                </w:r>
              </w:p>
            </w:tc>
            <w:tc>
              <w:tcPr>
                <w:tcW w:w="992" w:type="dxa"/>
                <w:shd w:val="clear" w:color="auto" w:fill="auto"/>
                <w:vAlign w:val="center"/>
              </w:tcPr>
              <w:p>
                <w:pPr>
                  <w:jc w:val="right"/>
                  <w:rPr>
                    <w:sz w:val="21"/>
                    <w:szCs w:val="21"/>
                  </w:rPr>
                </w:pPr>
                <w:r>
                  <w:rPr>
                    <w:sz w:val="21"/>
                    <w:szCs w:val="21"/>
                  </w:rPr>
                  <w:t xml:space="preserve">1,228 </w:t>
                </w:r>
              </w:p>
            </w:tc>
            <w:tc>
              <w:tcPr>
                <w:tcW w:w="1134" w:type="dxa"/>
                <w:vAlign w:val="center"/>
              </w:tcPr>
              <w:p>
                <w:pPr>
                  <w:jc w:val="right"/>
                  <w:rPr>
                    <w:sz w:val="21"/>
                    <w:szCs w:val="21"/>
                  </w:rPr>
                </w:pPr>
                <w:r>
                  <w:rPr>
                    <w:sz w:val="21"/>
                    <w:szCs w:val="21"/>
                  </w:rPr>
                  <w:t xml:space="preserve">532.82 </w:t>
                </w:r>
              </w:p>
            </w:tc>
            <w:tc>
              <w:tcPr>
                <w:tcW w:w="1276" w:type="dxa"/>
                <w:vAlign w:val="center"/>
              </w:tcPr>
              <w:p>
                <w:pPr>
                  <w:jc w:val="right"/>
                  <w:rPr>
                    <w:sz w:val="21"/>
                    <w:szCs w:val="21"/>
                  </w:rPr>
                </w:pPr>
                <w:r>
                  <w:rPr>
                    <w:sz w:val="21"/>
                    <w:szCs w:val="21"/>
                  </w:rPr>
                  <w:t xml:space="preserve">654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1,201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1,206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558.93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674 </w:t>
                </w:r>
              </w:p>
            </w:tc>
          </w:tr>
          <w:tr>
            <w:trPr>
              <w:trHeight w:val="312"/>
              <w:jc w:val="center"/>
            </w:trPr>
            <w:tc>
              <w:tcPr>
                <w:tcW w:w="1838" w:type="dxa"/>
                <w:shd w:val="clear" w:color="auto" w:fill="auto"/>
                <w:vAlign w:val="center"/>
              </w:tcPr>
              <w:p>
                <w:pPr>
                  <w:widowControl w:val="0"/>
                  <w:jc w:val="both"/>
                  <w:rPr>
                    <w:rFonts w:cs="Times New Roman"/>
                    <w:kern w:val="2"/>
                    <w:sz w:val="21"/>
                    <w:szCs w:val="21"/>
                  </w:rPr>
                </w:pPr>
                <w:r>
                  <w:rPr>
                    <w:rFonts w:cs="Times New Roman" w:hint="eastAsia"/>
                    <w:kern w:val="2"/>
                    <w:sz w:val="21"/>
                    <w:szCs w:val="21"/>
                  </w:rPr>
                  <w:t>五、未来能源</w:t>
                </w:r>
              </w:p>
            </w:tc>
            <w:tc>
              <w:tcPr>
                <w:tcW w:w="998" w:type="dxa"/>
                <w:vAlign w:val="center"/>
              </w:tcPr>
              <w:p>
                <w:pPr>
                  <w:jc w:val="right"/>
                  <w:rPr>
                    <w:sz w:val="21"/>
                    <w:szCs w:val="21"/>
                  </w:rPr>
                </w:pPr>
                <w:r>
                  <w:rPr>
                    <w:sz w:val="21"/>
                    <w:szCs w:val="21"/>
                  </w:rPr>
                  <w:t xml:space="preserve">17,812 </w:t>
                </w:r>
              </w:p>
            </w:tc>
            <w:tc>
              <w:tcPr>
                <w:tcW w:w="992" w:type="dxa"/>
                <w:shd w:val="clear" w:color="auto" w:fill="auto"/>
                <w:vAlign w:val="center"/>
              </w:tcPr>
              <w:p>
                <w:pPr>
                  <w:jc w:val="right"/>
                  <w:rPr>
                    <w:sz w:val="21"/>
                    <w:szCs w:val="21"/>
                  </w:rPr>
                </w:pPr>
                <w:r>
                  <w:rPr>
                    <w:sz w:val="21"/>
                    <w:szCs w:val="21"/>
                  </w:rPr>
                  <w:t xml:space="preserve">12,902 </w:t>
                </w:r>
              </w:p>
            </w:tc>
            <w:tc>
              <w:tcPr>
                <w:tcW w:w="1134" w:type="dxa"/>
                <w:vAlign w:val="center"/>
              </w:tcPr>
              <w:p>
                <w:pPr>
                  <w:jc w:val="right"/>
                  <w:rPr>
                    <w:sz w:val="21"/>
                    <w:szCs w:val="21"/>
                  </w:rPr>
                </w:pPr>
                <w:r>
                  <w:rPr>
                    <w:sz w:val="21"/>
                    <w:szCs w:val="21"/>
                  </w:rPr>
                  <w:t xml:space="preserve">555.45 </w:t>
                </w:r>
              </w:p>
            </w:tc>
            <w:tc>
              <w:tcPr>
                <w:tcW w:w="1276" w:type="dxa"/>
                <w:vAlign w:val="center"/>
              </w:tcPr>
              <w:p>
                <w:pPr>
                  <w:jc w:val="right"/>
                  <w:rPr>
                    <w:sz w:val="21"/>
                    <w:szCs w:val="21"/>
                  </w:rPr>
                </w:pPr>
                <w:r>
                  <w:rPr>
                    <w:sz w:val="21"/>
                    <w:szCs w:val="21"/>
                  </w:rPr>
                  <w:t xml:space="preserve">7,166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17,218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11,242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598.16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6,725 </w:t>
                </w:r>
              </w:p>
            </w:tc>
          </w:tr>
          <w:tr>
            <w:trPr>
              <w:trHeight w:val="312"/>
              <w:jc w:val="center"/>
            </w:trPr>
            <w:tc>
              <w:tcPr>
                <w:tcW w:w="1838" w:type="dxa"/>
                <w:shd w:val="clear" w:color="auto" w:fill="auto"/>
                <w:vAlign w:val="center"/>
              </w:tcPr>
              <w:p>
                <w:pPr>
                  <w:widowControl w:val="0"/>
                  <w:ind w:firstLineChars="200" w:firstLine="420"/>
                  <w:jc w:val="both"/>
                  <w:rPr>
                    <w:rFonts w:cs="Times New Roman"/>
                    <w:kern w:val="2"/>
                    <w:sz w:val="21"/>
                    <w:szCs w:val="21"/>
                  </w:rPr>
                </w:pPr>
                <w:r>
                  <w:rPr>
                    <w:rFonts w:cs="Times New Roman" w:hint="eastAsia"/>
                    <w:kern w:val="2"/>
                    <w:sz w:val="21"/>
                    <w:szCs w:val="21"/>
                  </w:rPr>
                  <w:t>3号精煤</w:t>
                </w:r>
              </w:p>
            </w:tc>
            <w:tc>
              <w:tcPr>
                <w:tcW w:w="998" w:type="dxa"/>
                <w:vAlign w:val="center"/>
              </w:tcPr>
              <w:p>
                <w:pPr>
                  <w:jc w:val="right"/>
                  <w:rPr>
                    <w:sz w:val="21"/>
                    <w:szCs w:val="21"/>
                  </w:rPr>
                </w:pPr>
                <w:r>
                  <w:rPr>
                    <w:sz w:val="21"/>
                    <w:szCs w:val="21"/>
                  </w:rPr>
                  <w:t xml:space="preserve">2,109 </w:t>
                </w:r>
              </w:p>
            </w:tc>
            <w:tc>
              <w:tcPr>
                <w:tcW w:w="992" w:type="dxa"/>
                <w:shd w:val="clear" w:color="auto" w:fill="auto"/>
                <w:vAlign w:val="center"/>
              </w:tcPr>
              <w:p>
                <w:pPr>
                  <w:jc w:val="right"/>
                  <w:rPr>
                    <w:sz w:val="21"/>
                    <w:szCs w:val="21"/>
                  </w:rPr>
                </w:pPr>
                <w:r>
                  <w:rPr>
                    <w:sz w:val="21"/>
                    <w:szCs w:val="21"/>
                  </w:rPr>
                  <w:t xml:space="preserve">1,275 </w:t>
                </w:r>
              </w:p>
            </w:tc>
            <w:tc>
              <w:tcPr>
                <w:tcW w:w="1134" w:type="dxa"/>
                <w:vAlign w:val="center"/>
              </w:tcPr>
              <w:p>
                <w:pPr>
                  <w:jc w:val="right"/>
                  <w:rPr>
                    <w:sz w:val="21"/>
                    <w:szCs w:val="21"/>
                  </w:rPr>
                </w:pPr>
                <w:r>
                  <w:rPr>
                    <w:sz w:val="21"/>
                    <w:szCs w:val="21"/>
                  </w:rPr>
                  <w:t xml:space="preserve">669.05 </w:t>
                </w:r>
              </w:p>
            </w:tc>
            <w:tc>
              <w:tcPr>
                <w:tcW w:w="1276" w:type="dxa"/>
                <w:vAlign w:val="center"/>
              </w:tcPr>
              <w:p>
                <w:pPr>
                  <w:jc w:val="right"/>
                  <w:rPr>
                    <w:sz w:val="21"/>
                    <w:szCs w:val="21"/>
                  </w:rPr>
                </w:pPr>
                <w:r>
                  <w:rPr>
                    <w:sz w:val="21"/>
                    <w:szCs w:val="21"/>
                  </w:rPr>
                  <w:t xml:space="preserve">853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2,061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1,719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792.56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1,362 </w:t>
                </w:r>
              </w:p>
            </w:tc>
          </w:tr>
          <w:tr>
            <w:trPr>
              <w:trHeight w:val="312"/>
              <w:jc w:val="center"/>
            </w:trPr>
            <w:tc>
              <w:tcPr>
                <w:tcW w:w="1838" w:type="dxa"/>
                <w:shd w:val="clear" w:color="auto" w:fill="auto"/>
                <w:vAlign w:val="center"/>
              </w:tcPr>
              <w:p>
                <w:pPr>
                  <w:widowControl w:val="0"/>
                  <w:ind w:firstLineChars="200" w:firstLine="420"/>
                  <w:jc w:val="both"/>
                  <w:rPr>
                    <w:rFonts w:cs="Times New Roman"/>
                    <w:kern w:val="2"/>
                    <w:sz w:val="21"/>
                    <w:szCs w:val="21"/>
                  </w:rPr>
                </w:pPr>
                <w:r>
                  <w:rPr>
                    <w:rFonts w:cs="Times New Roman" w:hint="eastAsia"/>
                    <w:kern w:val="2"/>
                    <w:sz w:val="21"/>
                    <w:szCs w:val="21"/>
                  </w:rPr>
                  <w:t>块煤</w:t>
                </w:r>
              </w:p>
            </w:tc>
            <w:tc>
              <w:tcPr>
                <w:tcW w:w="998" w:type="dxa"/>
                <w:vAlign w:val="center"/>
              </w:tcPr>
              <w:p>
                <w:pPr>
                  <w:jc w:val="right"/>
                  <w:rPr>
                    <w:sz w:val="21"/>
                    <w:szCs w:val="21"/>
                  </w:rPr>
                </w:pPr>
                <w:r>
                  <w:rPr>
                    <w:sz w:val="21"/>
                    <w:szCs w:val="21"/>
                  </w:rPr>
                  <w:t xml:space="preserve">3,750 </w:t>
                </w:r>
              </w:p>
            </w:tc>
            <w:tc>
              <w:tcPr>
                <w:tcW w:w="992" w:type="dxa"/>
                <w:shd w:val="clear" w:color="auto" w:fill="auto"/>
                <w:vAlign w:val="center"/>
              </w:tcPr>
              <w:p>
                <w:pPr>
                  <w:jc w:val="right"/>
                  <w:rPr>
                    <w:sz w:val="21"/>
                    <w:szCs w:val="21"/>
                  </w:rPr>
                </w:pPr>
                <w:r>
                  <w:rPr>
                    <w:sz w:val="21"/>
                    <w:szCs w:val="21"/>
                  </w:rPr>
                  <w:t xml:space="preserve">3,648 </w:t>
                </w:r>
              </w:p>
            </w:tc>
            <w:tc>
              <w:tcPr>
                <w:tcW w:w="1134" w:type="dxa"/>
                <w:vAlign w:val="center"/>
              </w:tcPr>
              <w:p>
                <w:pPr>
                  <w:jc w:val="right"/>
                  <w:rPr>
                    <w:sz w:val="21"/>
                    <w:szCs w:val="21"/>
                  </w:rPr>
                </w:pPr>
                <w:r>
                  <w:rPr>
                    <w:sz w:val="21"/>
                    <w:szCs w:val="21"/>
                  </w:rPr>
                  <w:t xml:space="preserve">683.74 </w:t>
                </w:r>
              </w:p>
            </w:tc>
            <w:tc>
              <w:tcPr>
                <w:tcW w:w="1276" w:type="dxa"/>
                <w:vAlign w:val="center"/>
              </w:tcPr>
              <w:p>
                <w:pPr>
                  <w:jc w:val="right"/>
                  <w:rPr>
                    <w:sz w:val="21"/>
                    <w:szCs w:val="21"/>
                  </w:rPr>
                </w:pPr>
                <w:r>
                  <w:rPr>
                    <w:sz w:val="21"/>
                    <w:szCs w:val="21"/>
                  </w:rPr>
                  <w:t xml:space="preserve">2,494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3,332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3,068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791.32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2,428 </w:t>
                </w:r>
              </w:p>
            </w:tc>
          </w:tr>
          <w:tr>
            <w:trPr>
              <w:trHeight w:val="312"/>
              <w:jc w:val="center"/>
            </w:trPr>
            <w:tc>
              <w:tcPr>
                <w:tcW w:w="1838" w:type="dxa"/>
                <w:shd w:val="clear" w:color="auto" w:fill="auto"/>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11,952 </w:t>
                </w:r>
              </w:p>
            </w:tc>
            <w:tc>
              <w:tcPr>
                <w:tcW w:w="992" w:type="dxa"/>
                <w:shd w:val="clear" w:color="auto" w:fill="auto"/>
                <w:vAlign w:val="center"/>
              </w:tcPr>
              <w:p>
                <w:pPr>
                  <w:jc w:val="right"/>
                  <w:rPr>
                    <w:sz w:val="21"/>
                    <w:szCs w:val="21"/>
                  </w:rPr>
                </w:pPr>
                <w:r>
                  <w:rPr>
                    <w:sz w:val="21"/>
                    <w:szCs w:val="21"/>
                  </w:rPr>
                  <w:t xml:space="preserve">7,979 </w:t>
                </w:r>
              </w:p>
            </w:tc>
            <w:tc>
              <w:tcPr>
                <w:tcW w:w="1134" w:type="dxa"/>
                <w:vAlign w:val="center"/>
              </w:tcPr>
              <w:p>
                <w:pPr>
                  <w:jc w:val="right"/>
                  <w:rPr>
                    <w:sz w:val="21"/>
                    <w:szCs w:val="21"/>
                  </w:rPr>
                </w:pPr>
                <w:r>
                  <w:rPr>
                    <w:sz w:val="21"/>
                    <w:szCs w:val="21"/>
                  </w:rPr>
                  <w:t xml:space="preserve">478.66 </w:t>
                </w:r>
              </w:p>
            </w:tc>
            <w:tc>
              <w:tcPr>
                <w:tcW w:w="1276" w:type="dxa"/>
                <w:vAlign w:val="center"/>
              </w:tcPr>
              <w:p>
                <w:pPr>
                  <w:jc w:val="right"/>
                  <w:rPr>
                    <w:sz w:val="21"/>
                    <w:szCs w:val="21"/>
                  </w:rPr>
                </w:pPr>
                <w:r>
                  <w:rPr>
                    <w:sz w:val="21"/>
                    <w:szCs w:val="21"/>
                  </w:rPr>
                  <w:t xml:space="preserve">3,819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11,826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6,455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454.58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2,934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六、鄂尔多斯公司</w:t>
                </w:r>
              </w:p>
            </w:tc>
            <w:tc>
              <w:tcPr>
                <w:tcW w:w="998" w:type="dxa"/>
                <w:vAlign w:val="center"/>
              </w:tcPr>
              <w:p>
                <w:pPr>
                  <w:jc w:val="right"/>
                  <w:rPr>
                    <w:sz w:val="21"/>
                    <w:szCs w:val="21"/>
                  </w:rPr>
                </w:pPr>
                <w:r>
                  <w:rPr>
                    <w:sz w:val="21"/>
                    <w:szCs w:val="21"/>
                  </w:rPr>
                  <w:t xml:space="preserve">11,230 </w:t>
                </w:r>
              </w:p>
            </w:tc>
            <w:tc>
              <w:tcPr>
                <w:tcW w:w="992" w:type="dxa"/>
                <w:shd w:val="clear" w:color="auto" w:fill="auto"/>
                <w:vAlign w:val="center"/>
              </w:tcPr>
              <w:p>
                <w:pPr>
                  <w:jc w:val="right"/>
                  <w:rPr>
                    <w:sz w:val="21"/>
                    <w:szCs w:val="21"/>
                  </w:rPr>
                </w:pPr>
                <w:r>
                  <w:rPr>
                    <w:sz w:val="21"/>
                    <w:szCs w:val="21"/>
                  </w:rPr>
                  <w:t xml:space="preserve">8,749 </w:t>
                </w:r>
              </w:p>
            </w:tc>
            <w:tc>
              <w:tcPr>
                <w:tcW w:w="1134" w:type="dxa"/>
                <w:vAlign w:val="center"/>
              </w:tcPr>
              <w:p>
                <w:pPr>
                  <w:jc w:val="right"/>
                  <w:rPr>
                    <w:sz w:val="21"/>
                    <w:szCs w:val="21"/>
                  </w:rPr>
                </w:pPr>
                <w:r>
                  <w:rPr>
                    <w:sz w:val="21"/>
                    <w:szCs w:val="21"/>
                  </w:rPr>
                  <w:t xml:space="preserve">419.70 </w:t>
                </w:r>
              </w:p>
            </w:tc>
            <w:tc>
              <w:tcPr>
                <w:tcW w:w="1276" w:type="dxa"/>
                <w:vAlign w:val="center"/>
              </w:tcPr>
              <w:p>
                <w:pPr>
                  <w:jc w:val="right"/>
                  <w:rPr>
                    <w:sz w:val="21"/>
                    <w:szCs w:val="21"/>
                  </w:rPr>
                </w:pPr>
                <w:r>
                  <w:rPr>
                    <w:sz w:val="21"/>
                    <w:szCs w:val="21"/>
                  </w:rPr>
                  <w:t xml:space="preserve">3,672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9,614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5,900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398.15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2,349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11,230 </w:t>
                </w:r>
              </w:p>
            </w:tc>
            <w:tc>
              <w:tcPr>
                <w:tcW w:w="992" w:type="dxa"/>
                <w:shd w:val="clear" w:color="auto" w:fill="auto"/>
                <w:vAlign w:val="center"/>
              </w:tcPr>
              <w:p>
                <w:pPr>
                  <w:jc w:val="right"/>
                  <w:rPr>
                    <w:sz w:val="21"/>
                    <w:szCs w:val="21"/>
                  </w:rPr>
                </w:pPr>
                <w:r>
                  <w:rPr>
                    <w:sz w:val="21"/>
                    <w:szCs w:val="21"/>
                  </w:rPr>
                  <w:t xml:space="preserve">8,749 </w:t>
                </w:r>
              </w:p>
            </w:tc>
            <w:tc>
              <w:tcPr>
                <w:tcW w:w="1134" w:type="dxa"/>
                <w:vAlign w:val="center"/>
              </w:tcPr>
              <w:p>
                <w:pPr>
                  <w:jc w:val="right"/>
                  <w:rPr>
                    <w:sz w:val="21"/>
                    <w:szCs w:val="21"/>
                  </w:rPr>
                </w:pPr>
                <w:r>
                  <w:rPr>
                    <w:sz w:val="21"/>
                    <w:szCs w:val="21"/>
                  </w:rPr>
                  <w:t xml:space="preserve">419.70 </w:t>
                </w:r>
              </w:p>
            </w:tc>
            <w:tc>
              <w:tcPr>
                <w:tcW w:w="1276" w:type="dxa"/>
                <w:vAlign w:val="center"/>
              </w:tcPr>
              <w:p>
                <w:pPr>
                  <w:jc w:val="right"/>
                  <w:rPr>
                    <w:sz w:val="21"/>
                    <w:szCs w:val="21"/>
                  </w:rPr>
                </w:pPr>
                <w:r>
                  <w:rPr>
                    <w:sz w:val="21"/>
                    <w:szCs w:val="21"/>
                  </w:rPr>
                  <w:t xml:space="preserve">3,672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9,614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5,900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398.15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2,349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七、昊盛煤业</w:t>
                </w:r>
              </w:p>
            </w:tc>
            <w:tc>
              <w:tcPr>
                <w:tcW w:w="998" w:type="dxa"/>
                <w:vAlign w:val="center"/>
              </w:tcPr>
              <w:p>
                <w:pPr>
                  <w:jc w:val="right"/>
                  <w:rPr>
                    <w:sz w:val="21"/>
                    <w:szCs w:val="21"/>
                  </w:rPr>
                </w:pPr>
                <w:r>
                  <w:rPr>
                    <w:sz w:val="21"/>
                    <w:szCs w:val="21"/>
                  </w:rPr>
                  <w:t xml:space="preserve">6,227 </w:t>
                </w:r>
              </w:p>
            </w:tc>
            <w:tc>
              <w:tcPr>
                <w:tcW w:w="992" w:type="dxa"/>
                <w:shd w:val="clear" w:color="auto" w:fill="auto"/>
                <w:vAlign w:val="center"/>
              </w:tcPr>
              <w:p>
                <w:pPr>
                  <w:jc w:val="right"/>
                  <w:rPr>
                    <w:sz w:val="21"/>
                    <w:szCs w:val="21"/>
                  </w:rPr>
                </w:pPr>
                <w:r>
                  <w:rPr>
                    <w:sz w:val="21"/>
                    <w:szCs w:val="21"/>
                  </w:rPr>
                  <w:t xml:space="preserve">4,913 </w:t>
                </w:r>
              </w:p>
            </w:tc>
            <w:tc>
              <w:tcPr>
                <w:tcW w:w="1134" w:type="dxa"/>
                <w:vAlign w:val="center"/>
              </w:tcPr>
              <w:p>
                <w:pPr>
                  <w:jc w:val="right"/>
                  <w:rPr>
                    <w:sz w:val="21"/>
                    <w:szCs w:val="21"/>
                  </w:rPr>
                </w:pPr>
                <w:r>
                  <w:rPr>
                    <w:sz w:val="21"/>
                    <w:szCs w:val="21"/>
                  </w:rPr>
                  <w:t xml:space="preserve">539.57 </w:t>
                </w:r>
              </w:p>
            </w:tc>
            <w:tc>
              <w:tcPr>
                <w:tcW w:w="1276" w:type="dxa"/>
                <w:vAlign w:val="center"/>
              </w:tcPr>
              <w:p>
                <w:pPr>
                  <w:jc w:val="right"/>
                  <w:rPr>
                    <w:sz w:val="21"/>
                    <w:szCs w:val="21"/>
                  </w:rPr>
                </w:pPr>
                <w:r>
                  <w:rPr>
                    <w:sz w:val="21"/>
                    <w:szCs w:val="21"/>
                  </w:rPr>
                  <w:t xml:space="preserve">2,651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4,601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4,607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562.34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2,591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6,227 </w:t>
                </w:r>
              </w:p>
            </w:tc>
            <w:tc>
              <w:tcPr>
                <w:tcW w:w="992" w:type="dxa"/>
                <w:shd w:val="clear" w:color="auto" w:fill="auto"/>
                <w:vAlign w:val="center"/>
              </w:tcPr>
              <w:p>
                <w:pPr>
                  <w:jc w:val="right"/>
                  <w:rPr>
                    <w:sz w:val="21"/>
                    <w:szCs w:val="21"/>
                  </w:rPr>
                </w:pPr>
                <w:r>
                  <w:rPr>
                    <w:sz w:val="21"/>
                    <w:szCs w:val="21"/>
                  </w:rPr>
                  <w:t xml:space="preserve">4,913 </w:t>
                </w:r>
              </w:p>
            </w:tc>
            <w:tc>
              <w:tcPr>
                <w:tcW w:w="1134" w:type="dxa"/>
                <w:vAlign w:val="center"/>
              </w:tcPr>
              <w:p>
                <w:pPr>
                  <w:jc w:val="right"/>
                  <w:rPr>
                    <w:sz w:val="21"/>
                    <w:szCs w:val="21"/>
                  </w:rPr>
                </w:pPr>
                <w:r>
                  <w:rPr>
                    <w:sz w:val="21"/>
                    <w:szCs w:val="21"/>
                  </w:rPr>
                  <w:t xml:space="preserve">539.57 </w:t>
                </w:r>
              </w:p>
            </w:tc>
            <w:tc>
              <w:tcPr>
                <w:tcW w:w="1276" w:type="dxa"/>
                <w:vAlign w:val="center"/>
              </w:tcPr>
              <w:p>
                <w:pPr>
                  <w:jc w:val="right"/>
                  <w:rPr>
                    <w:sz w:val="21"/>
                    <w:szCs w:val="21"/>
                  </w:rPr>
                </w:pPr>
                <w:r>
                  <w:rPr>
                    <w:sz w:val="21"/>
                    <w:szCs w:val="21"/>
                  </w:rPr>
                  <w:t xml:space="preserve">2,651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4,601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4,607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562.34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2,591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八、内蒙古矿业</w:t>
                </w:r>
              </w:p>
            </w:tc>
            <w:tc>
              <w:tcPr>
                <w:tcW w:w="998" w:type="dxa"/>
                <w:vAlign w:val="center"/>
              </w:tcPr>
              <w:p>
                <w:pPr>
                  <w:jc w:val="right"/>
                  <w:rPr>
                    <w:sz w:val="21"/>
                    <w:szCs w:val="21"/>
                  </w:rPr>
                </w:pPr>
                <w:r>
                  <w:rPr>
                    <w:sz w:val="21"/>
                    <w:szCs w:val="21"/>
                  </w:rPr>
                  <w:t xml:space="preserve">6,653 </w:t>
                </w:r>
              </w:p>
            </w:tc>
            <w:tc>
              <w:tcPr>
                <w:tcW w:w="992" w:type="dxa"/>
                <w:shd w:val="clear" w:color="auto" w:fill="auto"/>
                <w:vAlign w:val="center"/>
              </w:tcPr>
              <w:p>
                <w:pPr>
                  <w:jc w:val="right"/>
                  <w:rPr>
                    <w:sz w:val="21"/>
                    <w:szCs w:val="21"/>
                  </w:rPr>
                </w:pPr>
                <w:r>
                  <w:rPr>
                    <w:sz w:val="21"/>
                    <w:szCs w:val="21"/>
                  </w:rPr>
                  <w:t xml:space="preserve">5,534 </w:t>
                </w:r>
              </w:p>
            </w:tc>
            <w:tc>
              <w:tcPr>
                <w:tcW w:w="1134" w:type="dxa"/>
                <w:vAlign w:val="center"/>
              </w:tcPr>
              <w:p>
                <w:pPr>
                  <w:jc w:val="right"/>
                  <w:rPr>
                    <w:sz w:val="21"/>
                    <w:szCs w:val="21"/>
                  </w:rPr>
                </w:pPr>
                <w:r>
                  <w:rPr>
                    <w:sz w:val="21"/>
                    <w:szCs w:val="21"/>
                  </w:rPr>
                  <w:t xml:space="preserve">516.25 </w:t>
                </w:r>
              </w:p>
            </w:tc>
            <w:tc>
              <w:tcPr>
                <w:tcW w:w="1276" w:type="dxa"/>
                <w:vAlign w:val="center"/>
              </w:tcPr>
              <w:p>
                <w:pPr>
                  <w:jc w:val="right"/>
                  <w:rPr>
                    <w:sz w:val="21"/>
                    <w:szCs w:val="21"/>
                  </w:rPr>
                </w:pPr>
                <w:r>
                  <w:rPr>
                    <w:sz w:val="21"/>
                    <w:szCs w:val="21"/>
                  </w:rPr>
                  <w:t xml:space="preserve">2,857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3,826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3,931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521.21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2,049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6,653 </w:t>
                </w:r>
              </w:p>
            </w:tc>
            <w:tc>
              <w:tcPr>
                <w:tcW w:w="992" w:type="dxa"/>
                <w:shd w:val="clear" w:color="auto" w:fill="auto"/>
                <w:vAlign w:val="center"/>
              </w:tcPr>
              <w:p>
                <w:pPr>
                  <w:jc w:val="right"/>
                  <w:rPr>
                    <w:sz w:val="21"/>
                    <w:szCs w:val="21"/>
                  </w:rPr>
                </w:pPr>
                <w:r>
                  <w:rPr>
                    <w:sz w:val="21"/>
                    <w:szCs w:val="21"/>
                  </w:rPr>
                  <w:t xml:space="preserve">5,534 </w:t>
                </w:r>
              </w:p>
            </w:tc>
            <w:tc>
              <w:tcPr>
                <w:tcW w:w="1134" w:type="dxa"/>
                <w:vAlign w:val="center"/>
              </w:tcPr>
              <w:p>
                <w:pPr>
                  <w:jc w:val="right"/>
                  <w:rPr>
                    <w:sz w:val="21"/>
                    <w:szCs w:val="21"/>
                  </w:rPr>
                </w:pPr>
                <w:r>
                  <w:rPr>
                    <w:sz w:val="21"/>
                    <w:szCs w:val="21"/>
                  </w:rPr>
                  <w:t xml:space="preserve">516.25 </w:t>
                </w:r>
              </w:p>
            </w:tc>
            <w:tc>
              <w:tcPr>
                <w:tcW w:w="1276" w:type="dxa"/>
                <w:vAlign w:val="center"/>
              </w:tcPr>
              <w:p>
                <w:pPr>
                  <w:jc w:val="right"/>
                  <w:rPr>
                    <w:sz w:val="21"/>
                    <w:szCs w:val="21"/>
                  </w:rPr>
                </w:pPr>
                <w:r>
                  <w:rPr>
                    <w:sz w:val="21"/>
                    <w:szCs w:val="21"/>
                  </w:rPr>
                  <w:t xml:space="preserve">2,857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3,826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3,931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521.21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2,049 </w:t>
                </w:r>
              </w:p>
            </w:tc>
          </w:tr>
          <w:tr>
            <w:trPr>
              <w:trHeight w:val="312"/>
              <w:jc w:val="center"/>
            </w:trPr>
            <w:tc>
              <w:tcPr>
                <w:tcW w:w="1838" w:type="dxa"/>
              </w:tcPr>
              <w:p>
                <w:pPr>
                  <w:widowControl w:val="0"/>
                  <w:jc w:val="both"/>
                  <w:rPr>
                    <w:rFonts w:cs="Times New Roman"/>
                    <w:kern w:val="2"/>
                    <w:sz w:val="21"/>
                    <w:szCs w:val="21"/>
                  </w:rPr>
                </w:pPr>
                <w:r>
                  <w:rPr>
                    <w:rFonts w:cs="Times New Roman" w:hint="eastAsia"/>
                    <w:kern w:val="2"/>
                    <w:sz w:val="21"/>
                    <w:szCs w:val="21"/>
                  </w:rPr>
                  <w:t>九、新疆能化</w:t>
                </w:r>
              </w:p>
            </w:tc>
            <w:tc>
              <w:tcPr>
                <w:tcW w:w="998" w:type="dxa"/>
                <w:vAlign w:val="center"/>
              </w:tcPr>
              <w:p>
                <w:pPr>
                  <w:jc w:val="right"/>
                  <w:rPr>
                    <w:sz w:val="21"/>
                    <w:szCs w:val="21"/>
                  </w:rPr>
                </w:pPr>
                <w:r>
                  <w:rPr>
                    <w:sz w:val="21"/>
                    <w:szCs w:val="21"/>
                  </w:rPr>
                  <w:t xml:space="preserve">20,117 </w:t>
                </w:r>
              </w:p>
            </w:tc>
            <w:tc>
              <w:tcPr>
                <w:tcW w:w="992" w:type="dxa"/>
                <w:shd w:val="clear" w:color="auto" w:fill="auto"/>
                <w:vAlign w:val="center"/>
              </w:tcPr>
              <w:p>
                <w:pPr>
                  <w:jc w:val="right"/>
                  <w:rPr>
                    <w:sz w:val="21"/>
                    <w:szCs w:val="21"/>
                  </w:rPr>
                </w:pPr>
                <w:r>
                  <w:rPr>
                    <w:sz w:val="21"/>
                    <w:szCs w:val="21"/>
                  </w:rPr>
                  <w:t xml:space="preserve">18,868 </w:t>
                </w:r>
              </w:p>
            </w:tc>
            <w:tc>
              <w:tcPr>
                <w:tcW w:w="1134" w:type="dxa"/>
                <w:vAlign w:val="center"/>
              </w:tcPr>
              <w:p>
                <w:pPr>
                  <w:jc w:val="right"/>
                  <w:rPr>
                    <w:sz w:val="21"/>
                    <w:szCs w:val="21"/>
                  </w:rPr>
                </w:pPr>
                <w:r>
                  <w:rPr>
                    <w:sz w:val="21"/>
                    <w:szCs w:val="21"/>
                  </w:rPr>
                  <w:t xml:space="preserve">149.56 </w:t>
                </w:r>
              </w:p>
            </w:tc>
            <w:tc>
              <w:tcPr>
                <w:tcW w:w="1276" w:type="dxa"/>
                <w:vAlign w:val="center"/>
              </w:tcPr>
              <w:p>
                <w:pPr>
                  <w:jc w:val="right"/>
                  <w:rPr>
                    <w:sz w:val="21"/>
                    <w:szCs w:val="21"/>
                  </w:rPr>
                </w:pPr>
                <w:r>
                  <w:rPr>
                    <w:sz w:val="21"/>
                    <w:szCs w:val="21"/>
                  </w:rPr>
                  <w:t xml:space="preserve">2,822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19,362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18,964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162.60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3,084 </w:t>
                </w:r>
              </w:p>
            </w:tc>
          </w:tr>
          <w:tr>
            <w:trPr>
              <w:trHeight w:val="312"/>
              <w:jc w:val="center"/>
            </w:trPr>
            <w:tc>
              <w:tcPr>
                <w:tcW w:w="1838" w:type="dxa"/>
              </w:tcPr>
              <w:p>
                <w:pPr>
                  <w:widowControl w:val="0"/>
                  <w:ind w:firstLineChars="200" w:firstLine="420"/>
                  <w:jc w:val="both"/>
                  <w:rPr>
                    <w:rFonts w:cs="Times New Roman"/>
                    <w:kern w:val="2"/>
                    <w:sz w:val="21"/>
                    <w:szCs w:val="21"/>
                  </w:rPr>
                </w:pPr>
                <w:r>
                  <w:rPr>
                    <w:rFonts w:cs="Times New Roman" w:hint="eastAsia"/>
                    <w:kern w:val="2"/>
                    <w:sz w:val="21"/>
                    <w:szCs w:val="21"/>
                  </w:rPr>
                  <w:t>经筛选原煤</w:t>
                </w:r>
              </w:p>
            </w:tc>
            <w:tc>
              <w:tcPr>
                <w:tcW w:w="998" w:type="dxa"/>
                <w:vAlign w:val="center"/>
              </w:tcPr>
              <w:p>
                <w:pPr>
                  <w:jc w:val="right"/>
                  <w:rPr>
                    <w:sz w:val="21"/>
                    <w:szCs w:val="21"/>
                  </w:rPr>
                </w:pPr>
                <w:r>
                  <w:rPr>
                    <w:sz w:val="21"/>
                    <w:szCs w:val="21"/>
                  </w:rPr>
                  <w:t xml:space="preserve">20,117 </w:t>
                </w:r>
              </w:p>
            </w:tc>
            <w:tc>
              <w:tcPr>
                <w:tcW w:w="992" w:type="dxa"/>
                <w:shd w:val="clear" w:color="auto" w:fill="auto"/>
                <w:vAlign w:val="center"/>
              </w:tcPr>
              <w:p>
                <w:pPr>
                  <w:jc w:val="right"/>
                  <w:rPr>
                    <w:sz w:val="21"/>
                    <w:szCs w:val="21"/>
                  </w:rPr>
                </w:pPr>
                <w:r>
                  <w:rPr>
                    <w:sz w:val="21"/>
                    <w:szCs w:val="21"/>
                  </w:rPr>
                  <w:t xml:space="preserve">18,868 </w:t>
                </w:r>
              </w:p>
            </w:tc>
            <w:tc>
              <w:tcPr>
                <w:tcW w:w="1134" w:type="dxa"/>
                <w:vAlign w:val="center"/>
              </w:tcPr>
              <w:p>
                <w:pPr>
                  <w:jc w:val="right"/>
                  <w:rPr>
                    <w:sz w:val="21"/>
                    <w:szCs w:val="21"/>
                  </w:rPr>
                </w:pPr>
                <w:r>
                  <w:rPr>
                    <w:sz w:val="21"/>
                    <w:szCs w:val="21"/>
                  </w:rPr>
                  <w:t xml:space="preserve">149.56 </w:t>
                </w:r>
              </w:p>
            </w:tc>
            <w:tc>
              <w:tcPr>
                <w:tcW w:w="1276" w:type="dxa"/>
                <w:vAlign w:val="center"/>
              </w:tcPr>
              <w:p>
                <w:pPr>
                  <w:jc w:val="right"/>
                  <w:rPr>
                    <w:sz w:val="21"/>
                    <w:szCs w:val="21"/>
                  </w:rPr>
                </w:pPr>
                <w:r>
                  <w:rPr>
                    <w:sz w:val="21"/>
                    <w:szCs w:val="21"/>
                  </w:rPr>
                  <w:t xml:space="preserve">2,822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19,362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18,964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162.60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3,084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十、兖煤澳洲</w:t>
                </w:r>
              </w:p>
            </w:tc>
            <w:tc>
              <w:tcPr>
                <w:tcW w:w="998" w:type="dxa"/>
                <w:vAlign w:val="center"/>
              </w:tcPr>
              <w:p>
                <w:pPr>
                  <w:jc w:val="right"/>
                  <w:rPr>
                    <w:sz w:val="21"/>
                    <w:szCs w:val="21"/>
                  </w:rPr>
                </w:pPr>
                <w:r>
                  <w:rPr>
                    <w:sz w:val="21"/>
                    <w:szCs w:val="21"/>
                  </w:rPr>
                  <w:t xml:space="preserve">36,937 </w:t>
                </w:r>
              </w:p>
            </w:tc>
            <w:tc>
              <w:tcPr>
                <w:tcW w:w="992" w:type="dxa"/>
                <w:shd w:val="clear" w:color="auto" w:fill="auto"/>
                <w:vAlign w:val="center"/>
              </w:tcPr>
              <w:p>
                <w:pPr>
                  <w:jc w:val="right"/>
                  <w:rPr>
                    <w:sz w:val="21"/>
                    <w:szCs w:val="21"/>
                  </w:rPr>
                </w:pPr>
                <w:r>
                  <w:rPr>
                    <w:sz w:val="21"/>
                    <w:szCs w:val="21"/>
                  </w:rPr>
                  <w:t xml:space="preserve">37,696 </w:t>
                </w:r>
              </w:p>
            </w:tc>
            <w:tc>
              <w:tcPr>
                <w:tcW w:w="1134" w:type="dxa"/>
                <w:vAlign w:val="center"/>
              </w:tcPr>
              <w:p>
                <w:pPr>
                  <w:jc w:val="right"/>
                  <w:rPr>
                    <w:sz w:val="21"/>
                    <w:szCs w:val="21"/>
                  </w:rPr>
                </w:pPr>
                <w:r>
                  <w:rPr>
                    <w:sz w:val="21"/>
                    <w:szCs w:val="21"/>
                  </w:rPr>
                  <w:t xml:space="preserve">814.30 </w:t>
                </w:r>
              </w:p>
            </w:tc>
            <w:tc>
              <w:tcPr>
                <w:tcW w:w="1276" w:type="dxa"/>
                <w:vAlign w:val="center"/>
              </w:tcPr>
              <w:p>
                <w:pPr>
                  <w:jc w:val="right"/>
                  <w:rPr>
                    <w:sz w:val="21"/>
                    <w:szCs w:val="21"/>
                  </w:rPr>
                </w:pPr>
                <w:r>
                  <w:rPr>
                    <w:sz w:val="21"/>
                    <w:szCs w:val="21"/>
                  </w:rPr>
                  <w:t xml:space="preserve">30,696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33,412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33,102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1,063.73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35,212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半硬焦煤</w:t>
                </w:r>
              </w:p>
            </w:tc>
            <w:tc>
              <w:tcPr>
                <w:tcW w:w="998" w:type="dxa"/>
                <w:vAlign w:val="center"/>
              </w:tcPr>
              <w:p>
                <w:pPr>
                  <w:jc w:val="right"/>
                  <w:rPr>
                    <w:sz w:val="21"/>
                    <w:szCs w:val="21"/>
                  </w:rPr>
                </w:pPr>
                <w:r>
                  <w:rPr>
                    <w:sz w:val="21"/>
                    <w:szCs w:val="21"/>
                  </w:rPr>
                  <w:t xml:space="preserve">51 </w:t>
                </w:r>
              </w:p>
            </w:tc>
            <w:tc>
              <w:tcPr>
                <w:tcW w:w="992" w:type="dxa"/>
                <w:shd w:val="clear" w:color="auto" w:fill="auto"/>
                <w:vAlign w:val="center"/>
              </w:tcPr>
              <w:p>
                <w:pPr>
                  <w:jc w:val="right"/>
                  <w:rPr>
                    <w:sz w:val="21"/>
                    <w:szCs w:val="21"/>
                  </w:rPr>
                </w:pPr>
                <w:r>
                  <w:rPr>
                    <w:sz w:val="21"/>
                    <w:szCs w:val="21"/>
                  </w:rPr>
                  <w:t xml:space="preserve">52 </w:t>
                </w:r>
              </w:p>
            </w:tc>
            <w:tc>
              <w:tcPr>
                <w:tcW w:w="1134" w:type="dxa"/>
                <w:vAlign w:val="center"/>
              </w:tcPr>
              <w:p>
                <w:pPr>
                  <w:jc w:val="right"/>
                  <w:rPr>
                    <w:sz w:val="21"/>
                    <w:szCs w:val="21"/>
                  </w:rPr>
                </w:pPr>
                <w:r>
                  <w:rPr>
                    <w:sz w:val="21"/>
                    <w:szCs w:val="21"/>
                  </w:rPr>
                  <w:t xml:space="preserve">2,121.86 </w:t>
                </w:r>
              </w:p>
            </w:tc>
            <w:tc>
              <w:tcPr>
                <w:tcW w:w="1276" w:type="dxa"/>
                <w:vAlign w:val="center"/>
              </w:tcPr>
              <w:p>
                <w:pPr>
                  <w:jc w:val="right"/>
                  <w:rPr>
                    <w:sz w:val="21"/>
                    <w:szCs w:val="21"/>
                  </w:rPr>
                </w:pPr>
                <w:r>
                  <w:rPr>
                    <w:sz w:val="21"/>
                    <w:szCs w:val="21"/>
                  </w:rPr>
                  <w:t xml:space="preserve">111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160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159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1,708.09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271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半软焦煤</w:t>
                </w:r>
              </w:p>
            </w:tc>
            <w:tc>
              <w:tcPr>
                <w:tcW w:w="998" w:type="dxa"/>
                <w:vAlign w:val="center"/>
              </w:tcPr>
              <w:p>
                <w:pPr>
                  <w:jc w:val="right"/>
                  <w:rPr>
                    <w:sz w:val="21"/>
                    <w:szCs w:val="21"/>
                  </w:rPr>
                </w:pPr>
                <w:r>
                  <w:rPr>
                    <w:sz w:val="21"/>
                    <w:szCs w:val="21"/>
                  </w:rPr>
                  <w:t xml:space="preserve">3,014 </w:t>
                </w:r>
              </w:p>
            </w:tc>
            <w:tc>
              <w:tcPr>
                <w:tcW w:w="992" w:type="dxa"/>
                <w:shd w:val="clear" w:color="auto" w:fill="auto"/>
                <w:vAlign w:val="center"/>
              </w:tcPr>
              <w:p>
                <w:pPr>
                  <w:jc w:val="right"/>
                  <w:rPr>
                    <w:sz w:val="21"/>
                    <w:szCs w:val="21"/>
                  </w:rPr>
                </w:pPr>
                <w:r>
                  <w:rPr>
                    <w:sz w:val="21"/>
                    <w:szCs w:val="21"/>
                  </w:rPr>
                  <w:t xml:space="preserve">3,076 </w:t>
                </w:r>
              </w:p>
            </w:tc>
            <w:tc>
              <w:tcPr>
                <w:tcW w:w="1134" w:type="dxa"/>
                <w:vAlign w:val="center"/>
              </w:tcPr>
              <w:p>
                <w:pPr>
                  <w:jc w:val="right"/>
                  <w:rPr>
                    <w:sz w:val="21"/>
                    <w:szCs w:val="21"/>
                  </w:rPr>
                </w:pPr>
                <w:r>
                  <w:rPr>
                    <w:sz w:val="21"/>
                    <w:szCs w:val="21"/>
                  </w:rPr>
                  <w:t xml:space="preserve">1,267.87 </w:t>
                </w:r>
              </w:p>
            </w:tc>
            <w:tc>
              <w:tcPr>
                <w:tcW w:w="1276" w:type="dxa"/>
                <w:vAlign w:val="center"/>
              </w:tcPr>
              <w:p>
                <w:pPr>
                  <w:jc w:val="right"/>
                  <w:rPr>
                    <w:sz w:val="21"/>
                    <w:szCs w:val="21"/>
                  </w:rPr>
                </w:pPr>
                <w:r>
                  <w:rPr>
                    <w:sz w:val="21"/>
                    <w:szCs w:val="21"/>
                  </w:rPr>
                  <w:t xml:space="preserve">3,900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2,457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2,434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1,731.78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4,216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喷吹煤</w:t>
                </w:r>
              </w:p>
            </w:tc>
            <w:tc>
              <w:tcPr>
                <w:tcW w:w="998" w:type="dxa"/>
                <w:vAlign w:val="center"/>
              </w:tcPr>
              <w:p>
                <w:pPr>
                  <w:jc w:val="right"/>
                  <w:rPr>
                    <w:sz w:val="21"/>
                    <w:szCs w:val="21"/>
                  </w:rPr>
                </w:pPr>
                <w:r>
                  <w:rPr>
                    <w:sz w:val="21"/>
                    <w:szCs w:val="21"/>
                  </w:rPr>
                  <w:t xml:space="preserve">1,988 </w:t>
                </w:r>
              </w:p>
            </w:tc>
            <w:tc>
              <w:tcPr>
                <w:tcW w:w="992" w:type="dxa"/>
                <w:shd w:val="clear" w:color="auto" w:fill="auto"/>
                <w:vAlign w:val="center"/>
              </w:tcPr>
              <w:p>
                <w:pPr>
                  <w:jc w:val="right"/>
                  <w:rPr>
                    <w:sz w:val="21"/>
                    <w:szCs w:val="21"/>
                  </w:rPr>
                </w:pPr>
                <w:r>
                  <w:rPr>
                    <w:sz w:val="21"/>
                    <w:szCs w:val="21"/>
                  </w:rPr>
                  <w:t xml:space="preserve">2,029 </w:t>
                </w:r>
              </w:p>
            </w:tc>
            <w:tc>
              <w:tcPr>
                <w:tcW w:w="1134" w:type="dxa"/>
                <w:vAlign w:val="center"/>
              </w:tcPr>
              <w:p>
                <w:pPr>
                  <w:jc w:val="right"/>
                  <w:rPr>
                    <w:sz w:val="21"/>
                    <w:szCs w:val="21"/>
                  </w:rPr>
                </w:pPr>
                <w:r>
                  <w:rPr>
                    <w:sz w:val="21"/>
                    <w:szCs w:val="21"/>
                  </w:rPr>
                  <w:t xml:space="preserve">1,334.55 </w:t>
                </w:r>
              </w:p>
            </w:tc>
            <w:tc>
              <w:tcPr>
                <w:tcW w:w="1276" w:type="dxa"/>
                <w:vAlign w:val="center"/>
              </w:tcPr>
              <w:p>
                <w:pPr>
                  <w:jc w:val="right"/>
                  <w:rPr>
                    <w:sz w:val="21"/>
                    <w:szCs w:val="21"/>
                  </w:rPr>
                </w:pPr>
                <w:r>
                  <w:rPr>
                    <w:sz w:val="21"/>
                    <w:szCs w:val="21"/>
                  </w:rPr>
                  <w:t xml:space="preserve">2,708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2,124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2,105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1,675.45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3,526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动力煤</w:t>
                </w:r>
              </w:p>
            </w:tc>
            <w:tc>
              <w:tcPr>
                <w:tcW w:w="998" w:type="dxa"/>
                <w:vAlign w:val="center"/>
              </w:tcPr>
              <w:p>
                <w:pPr>
                  <w:jc w:val="right"/>
                  <w:rPr>
                    <w:sz w:val="21"/>
                    <w:szCs w:val="21"/>
                  </w:rPr>
                </w:pPr>
                <w:r>
                  <w:rPr>
                    <w:sz w:val="21"/>
                    <w:szCs w:val="21"/>
                  </w:rPr>
                  <w:t xml:space="preserve">31,883 </w:t>
                </w:r>
              </w:p>
            </w:tc>
            <w:tc>
              <w:tcPr>
                <w:tcW w:w="992" w:type="dxa"/>
                <w:shd w:val="clear" w:color="auto" w:fill="auto"/>
                <w:vAlign w:val="center"/>
              </w:tcPr>
              <w:p>
                <w:pPr>
                  <w:jc w:val="right"/>
                  <w:rPr>
                    <w:sz w:val="21"/>
                    <w:szCs w:val="21"/>
                  </w:rPr>
                </w:pPr>
                <w:r>
                  <w:rPr>
                    <w:sz w:val="21"/>
                    <w:szCs w:val="21"/>
                  </w:rPr>
                  <w:t xml:space="preserve">32,538 </w:t>
                </w:r>
              </w:p>
            </w:tc>
            <w:tc>
              <w:tcPr>
                <w:tcW w:w="1134" w:type="dxa"/>
                <w:vAlign w:val="center"/>
              </w:tcPr>
              <w:p>
                <w:pPr>
                  <w:jc w:val="right"/>
                  <w:rPr>
                    <w:sz w:val="21"/>
                    <w:szCs w:val="21"/>
                  </w:rPr>
                </w:pPr>
                <w:r>
                  <w:rPr>
                    <w:sz w:val="21"/>
                    <w:szCs w:val="21"/>
                  </w:rPr>
                  <w:t xml:space="preserve">736.87 </w:t>
                </w:r>
              </w:p>
            </w:tc>
            <w:tc>
              <w:tcPr>
                <w:tcW w:w="1276" w:type="dxa"/>
                <w:vAlign w:val="center"/>
              </w:tcPr>
              <w:p>
                <w:pPr>
                  <w:jc w:val="right"/>
                  <w:rPr>
                    <w:sz w:val="21"/>
                    <w:szCs w:val="21"/>
                  </w:rPr>
                </w:pPr>
                <w:r>
                  <w:rPr>
                    <w:sz w:val="21"/>
                    <w:szCs w:val="21"/>
                  </w:rPr>
                  <w:t xml:space="preserve">23,976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28,671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28,405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957.56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27,199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十一、兖煤国际</w:t>
                </w:r>
              </w:p>
            </w:tc>
            <w:tc>
              <w:tcPr>
                <w:tcW w:w="998" w:type="dxa"/>
                <w:vAlign w:val="center"/>
              </w:tcPr>
              <w:p>
                <w:pPr>
                  <w:jc w:val="right"/>
                  <w:rPr>
                    <w:sz w:val="21"/>
                    <w:szCs w:val="21"/>
                  </w:rPr>
                </w:pPr>
                <w:r>
                  <w:rPr>
                    <w:sz w:val="21"/>
                    <w:szCs w:val="21"/>
                  </w:rPr>
                  <w:t xml:space="preserve">5,357 </w:t>
                </w:r>
              </w:p>
            </w:tc>
            <w:tc>
              <w:tcPr>
                <w:tcW w:w="992" w:type="dxa"/>
                <w:shd w:val="clear" w:color="auto" w:fill="auto"/>
                <w:vAlign w:val="center"/>
              </w:tcPr>
              <w:p>
                <w:pPr>
                  <w:jc w:val="right"/>
                  <w:rPr>
                    <w:sz w:val="21"/>
                    <w:szCs w:val="21"/>
                  </w:rPr>
                </w:pPr>
                <w:r>
                  <w:rPr>
                    <w:sz w:val="21"/>
                    <w:szCs w:val="21"/>
                  </w:rPr>
                  <w:t xml:space="preserve">5,349 </w:t>
                </w:r>
              </w:p>
            </w:tc>
            <w:tc>
              <w:tcPr>
                <w:tcW w:w="1134" w:type="dxa"/>
                <w:vAlign w:val="center"/>
              </w:tcPr>
              <w:p>
                <w:pPr>
                  <w:jc w:val="right"/>
                  <w:rPr>
                    <w:sz w:val="21"/>
                    <w:szCs w:val="21"/>
                  </w:rPr>
                </w:pPr>
                <w:r>
                  <w:rPr>
                    <w:sz w:val="21"/>
                    <w:szCs w:val="21"/>
                  </w:rPr>
                  <w:t xml:space="preserve">679.27 </w:t>
                </w:r>
              </w:p>
            </w:tc>
            <w:tc>
              <w:tcPr>
                <w:tcW w:w="1276" w:type="dxa"/>
                <w:vAlign w:val="center"/>
              </w:tcPr>
              <w:p>
                <w:pPr>
                  <w:jc w:val="right"/>
                  <w:rPr>
                    <w:sz w:val="21"/>
                    <w:szCs w:val="21"/>
                  </w:rPr>
                </w:pPr>
                <w:r>
                  <w:rPr>
                    <w:sz w:val="21"/>
                    <w:szCs w:val="21"/>
                  </w:rPr>
                  <w:t xml:space="preserve">3,634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5,453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5,330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830.01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4,424 </w:t>
                </w:r>
              </w:p>
            </w:tc>
          </w:tr>
          <w:tr>
            <w:trPr>
              <w:trHeight w:val="312"/>
              <w:jc w:val="center"/>
            </w:trPr>
            <w:tc>
              <w:tcPr>
                <w:tcW w:w="1838" w:type="dxa"/>
                <w:vAlign w:val="center"/>
              </w:tcPr>
              <w:p>
                <w:pPr>
                  <w:widowControl w:val="0"/>
                  <w:ind w:firstLineChars="200" w:firstLine="420"/>
                  <w:jc w:val="both"/>
                  <w:rPr>
                    <w:rFonts w:cs="Times New Roman"/>
                    <w:kern w:val="2"/>
                    <w:sz w:val="21"/>
                    <w:szCs w:val="21"/>
                  </w:rPr>
                </w:pPr>
                <w:r>
                  <w:rPr>
                    <w:rFonts w:cs="Times New Roman" w:hint="eastAsia"/>
                    <w:kern w:val="2"/>
                    <w:sz w:val="21"/>
                    <w:szCs w:val="21"/>
                  </w:rPr>
                  <w:t>动力煤</w:t>
                </w:r>
              </w:p>
            </w:tc>
            <w:tc>
              <w:tcPr>
                <w:tcW w:w="998" w:type="dxa"/>
                <w:vAlign w:val="center"/>
              </w:tcPr>
              <w:p>
                <w:pPr>
                  <w:jc w:val="right"/>
                  <w:rPr>
                    <w:sz w:val="21"/>
                    <w:szCs w:val="21"/>
                  </w:rPr>
                </w:pPr>
                <w:r>
                  <w:rPr>
                    <w:sz w:val="21"/>
                    <w:szCs w:val="21"/>
                  </w:rPr>
                  <w:t xml:space="preserve">5,357 </w:t>
                </w:r>
              </w:p>
            </w:tc>
            <w:tc>
              <w:tcPr>
                <w:tcW w:w="992" w:type="dxa"/>
                <w:shd w:val="clear" w:color="auto" w:fill="auto"/>
                <w:vAlign w:val="center"/>
              </w:tcPr>
              <w:p>
                <w:pPr>
                  <w:jc w:val="right"/>
                  <w:rPr>
                    <w:sz w:val="21"/>
                    <w:szCs w:val="21"/>
                  </w:rPr>
                </w:pPr>
                <w:r>
                  <w:rPr>
                    <w:sz w:val="21"/>
                    <w:szCs w:val="21"/>
                  </w:rPr>
                  <w:t xml:space="preserve">5,349 </w:t>
                </w:r>
              </w:p>
            </w:tc>
            <w:tc>
              <w:tcPr>
                <w:tcW w:w="1134" w:type="dxa"/>
                <w:vAlign w:val="center"/>
              </w:tcPr>
              <w:p>
                <w:pPr>
                  <w:jc w:val="right"/>
                  <w:rPr>
                    <w:sz w:val="21"/>
                    <w:szCs w:val="21"/>
                  </w:rPr>
                </w:pPr>
                <w:r>
                  <w:rPr>
                    <w:sz w:val="21"/>
                    <w:szCs w:val="21"/>
                  </w:rPr>
                  <w:t xml:space="preserve">679.27 </w:t>
                </w:r>
              </w:p>
            </w:tc>
            <w:tc>
              <w:tcPr>
                <w:tcW w:w="1276" w:type="dxa"/>
                <w:vAlign w:val="center"/>
              </w:tcPr>
              <w:p>
                <w:pPr>
                  <w:jc w:val="right"/>
                  <w:rPr>
                    <w:sz w:val="21"/>
                    <w:szCs w:val="21"/>
                  </w:rPr>
                </w:pPr>
                <w:r>
                  <w:rPr>
                    <w:sz w:val="21"/>
                    <w:szCs w:val="21"/>
                  </w:rPr>
                  <w:t xml:space="preserve">3,634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5,453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5,330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830.01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4,424 </w:t>
                </w:r>
              </w:p>
            </w:tc>
          </w:tr>
          <w:tr>
            <w:trPr>
              <w:trHeight w:val="312"/>
              <w:jc w:val="center"/>
            </w:trPr>
            <w:tc>
              <w:tcPr>
                <w:tcW w:w="1838" w:type="dxa"/>
                <w:vAlign w:val="center"/>
              </w:tcPr>
              <w:p>
                <w:pPr>
                  <w:widowControl w:val="0"/>
                  <w:jc w:val="both"/>
                  <w:rPr>
                    <w:rFonts w:cs="Times New Roman"/>
                    <w:kern w:val="2"/>
                    <w:sz w:val="21"/>
                    <w:szCs w:val="21"/>
                  </w:rPr>
                </w:pPr>
                <w:r>
                  <w:rPr>
                    <w:rFonts w:cs="Times New Roman" w:hint="eastAsia"/>
                    <w:kern w:val="2"/>
                    <w:sz w:val="21"/>
                    <w:szCs w:val="21"/>
                  </w:rPr>
                  <w:t>十二、贸易煤</w:t>
                </w:r>
              </w:p>
            </w:tc>
            <w:tc>
              <w:tcPr>
                <w:tcW w:w="998" w:type="dxa"/>
                <w:vAlign w:val="center"/>
              </w:tcPr>
              <w:p>
                <w:pPr>
                  <w:jc w:val="right"/>
                  <w:rPr>
                    <w:sz w:val="21"/>
                    <w:szCs w:val="21"/>
                  </w:rPr>
                </w:pPr>
                <w:r>
                  <w:rPr>
                    <w:szCs w:val="21"/>
                  </w:rPr>
                  <w:t>-</w:t>
                </w:r>
                <w:r>
                  <w:rPr>
                    <w:sz w:val="21"/>
                    <w:szCs w:val="21"/>
                  </w:rPr>
                  <w:t xml:space="preserve"> </w:t>
                </w:r>
              </w:p>
            </w:tc>
            <w:tc>
              <w:tcPr>
                <w:tcW w:w="992" w:type="dxa"/>
                <w:shd w:val="clear" w:color="auto" w:fill="auto"/>
                <w:vAlign w:val="center"/>
              </w:tcPr>
              <w:p>
                <w:pPr>
                  <w:jc w:val="right"/>
                  <w:rPr>
                    <w:sz w:val="21"/>
                    <w:szCs w:val="21"/>
                  </w:rPr>
                </w:pPr>
                <w:r>
                  <w:rPr>
                    <w:sz w:val="21"/>
                    <w:szCs w:val="21"/>
                  </w:rPr>
                  <w:t xml:space="preserve">6,547 </w:t>
                </w:r>
              </w:p>
            </w:tc>
            <w:tc>
              <w:tcPr>
                <w:tcW w:w="1134" w:type="dxa"/>
                <w:vAlign w:val="center"/>
              </w:tcPr>
              <w:p>
                <w:pPr>
                  <w:jc w:val="right"/>
                  <w:rPr>
                    <w:sz w:val="21"/>
                    <w:szCs w:val="21"/>
                  </w:rPr>
                </w:pPr>
                <w:r>
                  <w:rPr>
                    <w:sz w:val="21"/>
                    <w:szCs w:val="21"/>
                  </w:rPr>
                  <w:t xml:space="preserve">989.70 </w:t>
                </w:r>
              </w:p>
            </w:tc>
            <w:tc>
              <w:tcPr>
                <w:tcW w:w="1276" w:type="dxa"/>
                <w:vAlign w:val="center"/>
              </w:tcPr>
              <w:p>
                <w:pPr>
                  <w:jc w:val="right"/>
                  <w:rPr>
                    <w:sz w:val="21"/>
                    <w:szCs w:val="21"/>
                  </w:rPr>
                </w:pPr>
                <w:r>
                  <w:rPr>
                    <w:sz w:val="21"/>
                    <w:szCs w:val="21"/>
                  </w:rPr>
                  <w:t xml:space="preserve">6,480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6,051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1,161.81 </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7,030 </w:t>
                </w:r>
              </w:p>
            </w:tc>
          </w:tr>
          <w:tr>
            <w:trPr>
              <w:trHeight w:val="312"/>
              <w:jc w:val="center"/>
            </w:trPr>
            <w:tc>
              <w:tcPr>
                <w:tcW w:w="1838" w:type="dxa"/>
                <w:vAlign w:val="center"/>
              </w:tcPr>
              <w:p>
                <w:pPr>
                  <w:widowControl w:val="0"/>
                  <w:ind w:firstLineChars="100" w:firstLine="210"/>
                  <w:jc w:val="both"/>
                  <w:rPr>
                    <w:rFonts w:cs="Times New Roman"/>
                    <w:kern w:val="2"/>
                    <w:sz w:val="21"/>
                    <w:szCs w:val="21"/>
                  </w:rPr>
                </w:pPr>
                <w:r>
                  <w:rPr>
                    <w:rFonts w:cs="Times New Roman" w:hint="eastAsia"/>
                    <w:kern w:val="2"/>
                    <w:sz w:val="21"/>
                    <w:szCs w:val="21"/>
                  </w:rPr>
                  <w:t>本集团总计</w:t>
                </w:r>
              </w:p>
            </w:tc>
            <w:tc>
              <w:tcPr>
                <w:tcW w:w="998" w:type="dxa"/>
                <w:vAlign w:val="center"/>
              </w:tcPr>
              <w:p>
                <w:pPr>
                  <w:jc w:val="right"/>
                  <w:rPr>
                    <w:sz w:val="21"/>
                    <w:szCs w:val="21"/>
                  </w:rPr>
                </w:pPr>
                <w:r>
                  <w:rPr>
                    <w:sz w:val="21"/>
                    <w:szCs w:val="21"/>
                  </w:rPr>
                  <w:t xml:space="preserve">142,493 </w:t>
                </w:r>
              </w:p>
            </w:tc>
            <w:tc>
              <w:tcPr>
                <w:tcW w:w="992" w:type="dxa"/>
                <w:shd w:val="clear" w:color="auto" w:fill="auto"/>
                <w:vAlign w:val="center"/>
              </w:tcPr>
              <w:p>
                <w:pPr>
                  <w:jc w:val="right"/>
                  <w:rPr>
                    <w:sz w:val="21"/>
                    <w:szCs w:val="21"/>
                  </w:rPr>
                </w:pPr>
                <w:r>
                  <w:rPr>
                    <w:sz w:val="21"/>
                    <w:szCs w:val="21"/>
                  </w:rPr>
                  <w:t xml:space="preserve">136,309 </w:t>
                </w:r>
              </w:p>
            </w:tc>
            <w:tc>
              <w:tcPr>
                <w:tcW w:w="1134" w:type="dxa"/>
                <w:vAlign w:val="center"/>
              </w:tcPr>
              <w:p>
                <w:pPr>
                  <w:jc w:val="right"/>
                  <w:rPr>
                    <w:sz w:val="21"/>
                    <w:szCs w:val="21"/>
                  </w:rPr>
                </w:pPr>
                <w:r>
                  <w:rPr>
                    <w:sz w:val="21"/>
                    <w:szCs w:val="21"/>
                  </w:rPr>
                  <w:t xml:space="preserve">672.18 </w:t>
                </w:r>
              </w:p>
            </w:tc>
            <w:tc>
              <w:tcPr>
                <w:tcW w:w="1276" w:type="dxa"/>
                <w:vAlign w:val="center"/>
              </w:tcPr>
              <w:p>
                <w:pPr>
                  <w:jc w:val="right"/>
                  <w:rPr>
                    <w:sz w:val="21"/>
                    <w:szCs w:val="21"/>
                  </w:rPr>
                </w:pPr>
                <w:r>
                  <w:rPr>
                    <w:sz w:val="21"/>
                    <w:szCs w:val="21"/>
                  </w:rPr>
                  <w:t xml:space="preserve">91,625 </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132,107</w:t>
                </w:r>
              </w:p>
            </w:tc>
            <w:tc>
              <w:tcPr>
                <w:tcW w:w="992"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127,024 </w:t>
                </w:r>
              </w:p>
            </w:tc>
            <w:tc>
              <w:tcPr>
                <w:tcW w:w="1134"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803.15</w:t>
                </w:r>
              </w:p>
            </w:tc>
            <w:tc>
              <w:tcPr>
                <w:tcW w:w="1276" w:type="dxa"/>
                <w:tcBorders>
                  <w:top w:val="single" w:sz="4" w:space="0" w:color="auto"/>
                  <w:left w:val="single" w:sz="4" w:space="0" w:color="auto"/>
                  <w:bottom w:val="single" w:sz="4" w:space="0" w:color="auto"/>
                  <w:right w:val="single" w:sz="4" w:space="0" w:color="auto"/>
                </w:tcBorders>
                <w:vAlign w:val="center"/>
              </w:tcPr>
              <w:p>
                <w:pPr>
                  <w:jc w:val="right"/>
                  <w:rPr>
                    <w:sz w:val="21"/>
                    <w:szCs w:val="21"/>
                  </w:rPr>
                </w:pPr>
                <w:r>
                  <w:rPr>
                    <w:rFonts w:hint="eastAsia"/>
                    <w:sz w:val="21"/>
                    <w:szCs w:val="21"/>
                  </w:rPr>
                  <w:t xml:space="preserve">102,019 </w:t>
                </w:r>
              </w:p>
            </w:tc>
          </w:tr>
        </w:tbl>
        <w:p>
          <w:pPr>
            <w:rPr>
              <w:szCs w:val="21"/>
            </w:rPr>
          </w:pPr>
        </w:p>
        <w:p>
          <w:pPr>
            <w:widowControl w:val="0"/>
            <w:ind w:firstLineChars="200" w:firstLine="420"/>
            <w:jc w:val="both"/>
            <w:rPr>
              <w:rFonts w:cs="Times New Roman"/>
              <w:kern w:val="2"/>
              <w:szCs w:val="21"/>
            </w:rPr>
          </w:pPr>
          <w:r>
            <w:rPr>
              <w:rFonts w:cs="Times New Roman" w:hint="eastAsia"/>
              <w:kern w:val="2"/>
              <w:szCs w:val="21"/>
            </w:rPr>
            <w:t>影响煤炭业务销售收入变动因素分析如下表：</w:t>
          </w:r>
        </w:p>
        <w:tbl>
          <w:tblPr>
            <w:tblStyle w:val="g2"/>
            <w:tblW w:w="89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29"/>
            <w:gridCol w:w="3065"/>
          </w:tblGrid>
          <w:tr>
            <w:trPr>
              <w:trHeight w:val="400"/>
              <w:jc w:val="center"/>
            </w:trPr>
            <w:tc>
              <w:tcPr>
                <w:tcW w:w="2728" w:type="dxa"/>
                <w:vMerge w:val="restart"/>
                <w:hideMark/>
              </w:tcPr>
              <w:p>
                <w:pPr>
                  <w:widowControl w:val="0"/>
                  <w:jc w:val="both"/>
                  <w:rPr>
                    <w:rFonts w:cs="Times New Roman"/>
                    <w:kern w:val="2"/>
                    <w:sz w:val="21"/>
                    <w:szCs w:val="21"/>
                  </w:rPr>
                </w:pPr>
                <w:bookmarkStart w:id="48" w:name="_Hlk67517613"/>
              </w:p>
            </w:tc>
            <w:tc>
              <w:tcPr>
                <w:tcW w:w="3129" w:type="dxa"/>
                <w:vAlign w:val="center"/>
                <w:hideMark/>
              </w:tcPr>
              <w:p>
                <w:pPr>
                  <w:widowControl w:val="0"/>
                  <w:jc w:val="center"/>
                  <w:rPr>
                    <w:rFonts w:cs="Times New Roman"/>
                    <w:kern w:val="2"/>
                    <w:sz w:val="21"/>
                    <w:szCs w:val="21"/>
                  </w:rPr>
                </w:pPr>
                <w:r>
                  <w:rPr>
                    <w:rFonts w:cs="Times New Roman" w:hint="eastAsia"/>
                    <w:kern w:val="2"/>
                    <w:sz w:val="21"/>
                    <w:szCs w:val="21"/>
                  </w:rPr>
                  <w:t>煤炭销量变化影响</w:t>
                </w:r>
              </w:p>
            </w:tc>
            <w:tc>
              <w:tcPr>
                <w:tcW w:w="3065" w:type="dxa"/>
                <w:vAlign w:val="center"/>
                <w:hideMark/>
              </w:tcPr>
              <w:p>
                <w:pPr>
                  <w:widowControl w:val="0"/>
                  <w:jc w:val="center"/>
                  <w:rPr>
                    <w:rFonts w:cs="Times New Roman"/>
                    <w:kern w:val="2"/>
                    <w:sz w:val="21"/>
                    <w:szCs w:val="21"/>
                  </w:rPr>
                </w:pPr>
                <w:r>
                  <w:rPr>
                    <w:rFonts w:cs="Times New Roman" w:hint="eastAsia"/>
                    <w:kern w:val="2"/>
                    <w:sz w:val="21"/>
                    <w:szCs w:val="21"/>
                  </w:rPr>
                  <w:t>煤炭销售价格变化影响</w:t>
                </w:r>
              </w:p>
            </w:tc>
          </w:tr>
          <w:tr>
            <w:trPr>
              <w:trHeight w:val="400"/>
              <w:jc w:val="center"/>
            </w:trPr>
            <w:tc>
              <w:tcPr>
                <w:tcW w:w="0" w:type="auto"/>
                <w:vMerge/>
                <w:vAlign w:val="center"/>
                <w:hideMark/>
              </w:tcPr>
              <w:p>
                <w:pPr>
                  <w:widowControl w:val="0"/>
                  <w:jc w:val="both"/>
                  <w:rPr>
                    <w:rFonts w:cs="Times New Roman"/>
                    <w:kern w:val="2"/>
                    <w:sz w:val="21"/>
                    <w:szCs w:val="21"/>
                  </w:rPr>
                </w:pPr>
              </w:p>
            </w:tc>
            <w:tc>
              <w:tcPr>
                <w:tcW w:w="3129" w:type="dxa"/>
                <w:vAlign w:val="center"/>
                <w:hideMark/>
              </w:tcPr>
              <w:p>
                <w:pPr>
                  <w:widowControl w:val="0"/>
                  <w:jc w:val="center"/>
                  <w:rPr>
                    <w:rFonts w:cs="Times New Roman"/>
                    <w:kern w:val="2"/>
                    <w:sz w:val="21"/>
                    <w:szCs w:val="21"/>
                  </w:rPr>
                </w:pPr>
                <w:r>
                  <w:rPr>
                    <w:rFonts w:cs="Times New Roman" w:hint="eastAsia"/>
                    <w:kern w:val="2"/>
                    <w:sz w:val="21"/>
                    <w:szCs w:val="21"/>
                  </w:rPr>
                  <w:t>（百万元）</w:t>
                </w:r>
              </w:p>
            </w:tc>
            <w:tc>
              <w:tcPr>
                <w:tcW w:w="3065" w:type="dxa"/>
                <w:vAlign w:val="center"/>
                <w:hideMark/>
              </w:tcPr>
              <w:p>
                <w:pPr>
                  <w:widowControl w:val="0"/>
                  <w:jc w:val="center"/>
                  <w:rPr>
                    <w:rFonts w:cs="Times New Roman"/>
                    <w:kern w:val="2"/>
                    <w:sz w:val="21"/>
                    <w:szCs w:val="21"/>
                  </w:rPr>
                </w:pPr>
                <w:r>
                  <w:rPr>
                    <w:rFonts w:cs="Times New Roman" w:hint="eastAsia"/>
                    <w:kern w:val="2"/>
                    <w:sz w:val="21"/>
                    <w:szCs w:val="21"/>
                  </w:rPr>
                  <w:t>（百万元）</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公司</w:t>
                </w:r>
              </w:p>
            </w:tc>
            <w:tc>
              <w:tcPr>
                <w:tcW w:w="3129" w:type="dxa"/>
                <w:vAlign w:val="center"/>
              </w:tcPr>
              <w:p>
                <w:pPr>
                  <w:jc w:val="right"/>
                  <w:rPr>
                    <w:sz w:val="21"/>
                    <w:szCs w:val="21"/>
                  </w:rPr>
                </w:pPr>
                <w:r>
                  <w:rPr>
                    <w:sz w:val="21"/>
                    <w:szCs w:val="21"/>
                  </w:rPr>
                  <w:t xml:space="preserve">-1,220 </w:t>
                </w:r>
              </w:p>
            </w:tc>
            <w:tc>
              <w:tcPr>
                <w:tcW w:w="3065" w:type="dxa"/>
                <w:vAlign w:val="center"/>
              </w:tcPr>
              <w:p>
                <w:pPr>
                  <w:jc w:val="right"/>
                  <w:rPr>
                    <w:sz w:val="21"/>
                    <w:szCs w:val="21"/>
                  </w:rPr>
                </w:pPr>
                <w:r>
                  <w:rPr>
                    <w:sz w:val="21"/>
                    <w:szCs w:val="21"/>
                  </w:rPr>
                  <w:t xml:space="preserve">-2,902 </w:t>
                </w:r>
              </w:p>
            </w:tc>
          </w:tr>
          <w:tr>
            <w:trPr>
              <w:trHeight w:val="400"/>
              <w:jc w:val="center"/>
            </w:trPr>
            <w:tc>
              <w:tcPr>
                <w:tcW w:w="2728" w:type="dxa"/>
                <w:vAlign w:val="center"/>
              </w:tcPr>
              <w:p>
                <w:pPr>
                  <w:widowControl w:val="0"/>
                  <w:jc w:val="both"/>
                  <w:rPr>
                    <w:rFonts w:cs="Times New Roman"/>
                    <w:kern w:val="2"/>
                    <w:sz w:val="21"/>
                    <w:szCs w:val="21"/>
                  </w:rPr>
                </w:pPr>
                <w:r>
                  <w:rPr>
                    <w:rFonts w:cs="Times New Roman" w:hint="eastAsia"/>
                    <w:kern w:val="2"/>
                    <w:sz w:val="21"/>
                    <w:szCs w:val="21"/>
                  </w:rPr>
                  <w:t>菏泽能化</w:t>
                </w:r>
              </w:p>
            </w:tc>
            <w:tc>
              <w:tcPr>
                <w:tcW w:w="3129" w:type="dxa"/>
                <w:vAlign w:val="center"/>
              </w:tcPr>
              <w:p>
                <w:pPr>
                  <w:jc w:val="right"/>
                  <w:rPr>
                    <w:sz w:val="21"/>
                    <w:szCs w:val="21"/>
                  </w:rPr>
                </w:pPr>
                <w:r>
                  <w:rPr>
                    <w:sz w:val="21"/>
                    <w:szCs w:val="21"/>
                  </w:rPr>
                  <w:t xml:space="preserve">-1,484 </w:t>
                </w:r>
              </w:p>
            </w:tc>
            <w:tc>
              <w:tcPr>
                <w:tcW w:w="3065" w:type="dxa"/>
                <w:vAlign w:val="center"/>
              </w:tcPr>
              <w:p>
                <w:pPr>
                  <w:jc w:val="right"/>
                  <w:rPr>
                    <w:sz w:val="21"/>
                    <w:szCs w:val="21"/>
                  </w:rPr>
                </w:pPr>
                <w:r>
                  <w:rPr>
                    <w:sz w:val="21"/>
                    <w:szCs w:val="21"/>
                  </w:rPr>
                  <w:t xml:space="preserve">-39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鲁西矿业</w:t>
                </w:r>
              </w:p>
            </w:tc>
            <w:tc>
              <w:tcPr>
                <w:tcW w:w="3129" w:type="dxa"/>
                <w:vAlign w:val="center"/>
              </w:tcPr>
              <w:p>
                <w:pPr>
                  <w:jc w:val="right"/>
                  <w:rPr>
                    <w:sz w:val="21"/>
                    <w:szCs w:val="21"/>
                  </w:rPr>
                </w:pPr>
                <w:r>
                  <w:rPr>
                    <w:sz w:val="21"/>
                    <w:szCs w:val="21"/>
                  </w:rPr>
                  <w:t xml:space="preserve">287 </w:t>
                </w:r>
              </w:p>
            </w:tc>
            <w:tc>
              <w:tcPr>
                <w:tcW w:w="3065" w:type="dxa"/>
                <w:vAlign w:val="center"/>
              </w:tcPr>
              <w:p>
                <w:pPr>
                  <w:jc w:val="right"/>
                  <w:rPr>
                    <w:sz w:val="21"/>
                    <w:szCs w:val="21"/>
                  </w:rPr>
                </w:pPr>
                <w:r>
                  <w:rPr>
                    <w:sz w:val="21"/>
                    <w:szCs w:val="21"/>
                  </w:rPr>
                  <w:t xml:space="preserve">-1,531 </w:t>
                </w:r>
              </w:p>
            </w:tc>
          </w:tr>
          <w:tr>
            <w:trPr>
              <w:trHeight w:val="400"/>
              <w:jc w:val="center"/>
            </w:trPr>
            <w:tc>
              <w:tcPr>
                <w:tcW w:w="2728" w:type="dxa"/>
                <w:vAlign w:val="center"/>
              </w:tcPr>
              <w:p>
                <w:pPr>
                  <w:widowControl w:val="0"/>
                  <w:jc w:val="both"/>
                  <w:rPr>
                    <w:rFonts w:cs="Times New Roman"/>
                    <w:kern w:val="2"/>
                    <w:sz w:val="21"/>
                    <w:szCs w:val="21"/>
                  </w:rPr>
                </w:pPr>
                <w:r>
                  <w:rPr>
                    <w:rFonts w:cs="Times New Roman" w:hint="eastAsia"/>
                    <w:kern w:val="2"/>
                    <w:sz w:val="21"/>
                    <w:szCs w:val="21"/>
                  </w:rPr>
                  <w:t>天池能源</w:t>
                </w:r>
              </w:p>
            </w:tc>
            <w:tc>
              <w:tcPr>
                <w:tcW w:w="3129" w:type="dxa"/>
                <w:vAlign w:val="center"/>
              </w:tcPr>
              <w:p>
                <w:pPr>
                  <w:jc w:val="right"/>
                  <w:rPr>
                    <w:sz w:val="21"/>
                    <w:szCs w:val="21"/>
                  </w:rPr>
                </w:pPr>
                <w:r>
                  <w:rPr>
                    <w:sz w:val="21"/>
                    <w:szCs w:val="21"/>
                  </w:rPr>
                  <w:t xml:space="preserve">12 </w:t>
                </w:r>
              </w:p>
            </w:tc>
            <w:tc>
              <w:tcPr>
                <w:tcW w:w="3065" w:type="dxa"/>
                <w:vAlign w:val="center"/>
              </w:tcPr>
              <w:p>
                <w:pPr>
                  <w:jc w:val="right"/>
                  <w:rPr>
                    <w:sz w:val="21"/>
                    <w:szCs w:val="21"/>
                  </w:rPr>
                </w:pPr>
                <w:r>
                  <w:rPr>
                    <w:sz w:val="21"/>
                    <w:szCs w:val="21"/>
                  </w:rPr>
                  <w:t xml:space="preserve">-32 </w:t>
                </w:r>
              </w:p>
            </w:tc>
          </w:tr>
          <w:tr>
            <w:trPr>
              <w:trHeight w:val="400"/>
              <w:jc w:val="center"/>
            </w:trPr>
            <w:tc>
              <w:tcPr>
                <w:tcW w:w="2728" w:type="dxa"/>
                <w:vAlign w:val="center"/>
              </w:tcPr>
              <w:p>
                <w:pPr>
                  <w:widowControl w:val="0"/>
                  <w:jc w:val="both"/>
                  <w:rPr>
                    <w:rFonts w:cs="Times New Roman"/>
                    <w:kern w:val="2"/>
                    <w:sz w:val="21"/>
                    <w:szCs w:val="21"/>
                  </w:rPr>
                </w:pPr>
                <w:r>
                  <w:rPr>
                    <w:rFonts w:cs="Times New Roman" w:hint="eastAsia"/>
                    <w:kern w:val="2"/>
                    <w:sz w:val="21"/>
                    <w:szCs w:val="21"/>
                  </w:rPr>
                  <w:t>未来能源</w:t>
                </w:r>
              </w:p>
            </w:tc>
            <w:tc>
              <w:tcPr>
                <w:tcW w:w="3129" w:type="dxa"/>
                <w:vAlign w:val="center"/>
              </w:tcPr>
              <w:p>
                <w:pPr>
                  <w:jc w:val="right"/>
                  <w:rPr>
                    <w:sz w:val="21"/>
                    <w:szCs w:val="21"/>
                  </w:rPr>
                </w:pPr>
                <w:r>
                  <w:rPr>
                    <w:sz w:val="21"/>
                    <w:szCs w:val="21"/>
                  </w:rPr>
                  <w:t xml:space="preserve">993 </w:t>
                </w:r>
              </w:p>
            </w:tc>
            <w:tc>
              <w:tcPr>
                <w:tcW w:w="3065" w:type="dxa"/>
                <w:vAlign w:val="center"/>
              </w:tcPr>
              <w:p>
                <w:pPr>
                  <w:jc w:val="right"/>
                  <w:rPr>
                    <w:sz w:val="21"/>
                    <w:szCs w:val="21"/>
                  </w:rPr>
                </w:pPr>
                <w:r>
                  <w:rPr>
                    <w:sz w:val="21"/>
                    <w:szCs w:val="21"/>
                  </w:rPr>
                  <w:t xml:space="preserve">-551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鄂尔多斯公司</w:t>
                </w:r>
              </w:p>
            </w:tc>
            <w:tc>
              <w:tcPr>
                <w:tcW w:w="3129" w:type="dxa"/>
                <w:vAlign w:val="center"/>
              </w:tcPr>
              <w:p>
                <w:pPr>
                  <w:jc w:val="right"/>
                  <w:rPr>
                    <w:sz w:val="21"/>
                    <w:szCs w:val="21"/>
                  </w:rPr>
                </w:pPr>
                <w:r>
                  <w:rPr>
                    <w:sz w:val="21"/>
                    <w:szCs w:val="21"/>
                  </w:rPr>
                  <w:t xml:space="preserve">1,134 </w:t>
                </w:r>
              </w:p>
            </w:tc>
            <w:tc>
              <w:tcPr>
                <w:tcW w:w="3065" w:type="dxa"/>
                <w:vAlign w:val="center"/>
              </w:tcPr>
              <w:p>
                <w:pPr>
                  <w:jc w:val="right"/>
                  <w:rPr>
                    <w:sz w:val="21"/>
                    <w:szCs w:val="21"/>
                  </w:rPr>
                </w:pPr>
                <w:r>
                  <w:rPr>
                    <w:sz w:val="21"/>
                    <w:szCs w:val="21"/>
                  </w:rPr>
                  <w:t xml:space="preserve">189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昊盛煤业</w:t>
                </w:r>
              </w:p>
            </w:tc>
            <w:tc>
              <w:tcPr>
                <w:tcW w:w="3129" w:type="dxa"/>
                <w:vAlign w:val="center"/>
              </w:tcPr>
              <w:p>
                <w:pPr>
                  <w:jc w:val="right"/>
                  <w:rPr>
                    <w:sz w:val="21"/>
                    <w:szCs w:val="21"/>
                  </w:rPr>
                </w:pPr>
                <w:r>
                  <w:rPr>
                    <w:sz w:val="21"/>
                    <w:szCs w:val="21"/>
                  </w:rPr>
                  <w:t xml:space="preserve">173 </w:t>
                </w:r>
              </w:p>
            </w:tc>
            <w:tc>
              <w:tcPr>
                <w:tcW w:w="3065" w:type="dxa"/>
                <w:vAlign w:val="center"/>
              </w:tcPr>
              <w:p>
                <w:pPr>
                  <w:jc w:val="right"/>
                  <w:rPr>
                    <w:sz w:val="21"/>
                    <w:szCs w:val="21"/>
                  </w:rPr>
                </w:pPr>
                <w:r>
                  <w:rPr>
                    <w:sz w:val="21"/>
                    <w:szCs w:val="21"/>
                  </w:rPr>
                  <w:t xml:space="preserve">-112 </w:t>
                </w:r>
              </w:p>
            </w:tc>
          </w:tr>
          <w:tr>
            <w:trPr>
              <w:trHeight w:val="400"/>
              <w:jc w:val="center"/>
            </w:trPr>
            <w:tc>
              <w:tcPr>
                <w:tcW w:w="2728" w:type="dxa"/>
                <w:vAlign w:val="center"/>
              </w:tcPr>
              <w:p>
                <w:pPr>
                  <w:widowControl w:val="0"/>
                  <w:jc w:val="both"/>
                  <w:rPr>
                    <w:rFonts w:cs="Times New Roman"/>
                    <w:kern w:val="2"/>
                    <w:sz w:val="21"/>
                    <w:szCs w:val="21"/>
                  </w:rPr>
                </w:pPr>
                <w:r>
                  <w:rPr>
                    <w:rFonts w:cs="Times New Roman" w:hint="eastAsia"/>
                    <w:kern w:val="2"/>
                    <w:sz w:val="21"/>
                    <w:szCs w:val="21"/>
                  </w:rPr>
                  <w:t>内蒙古矿业</w:t>
                </w:r>
              </w:p>
            </w:tc>
            <w:tc>
              <w:tcPr>
                <w:tcW w:w="3129" w:type="dxa"/>
                <w:vAlign w:val="center"/>
              </w:tcPr>
              <w:p>
                <w:pPr>
                  <w:jc w:val="right"/>
                  <w:rPr>
                    <w:sz w:val="21"/>
                    <w:szCs w:val="21"/>
                  </w:rPr>
                </w:pPr>
                <w:r>
                  <w:rPr>
                    <w:sz w:val="21"/>
                    <w:szCs w:val="21"/>
                  </w:rPr>
                  <w:t xml:space="preserve">835 </w:t>
                </w:r>
              </w:p>
            </w:tc>
            <w:tc>
              <w:tcPr>
                <w:tcW w:w="3065" w:type="dxa"/>
                <w:vAlign w:val="center"/>
              </w:tcPr>
              <w:p>
                <w:pPr>
                  <w:jc w:val="right"/>
                  <w:rPr>
                    <w:sz w:val="21"/>
                    <w:szCs w:val="21"/>
                  </w:rPr>
                </w:pPr>
                <w:r>
                  <w:rPr>
                    <w:sz w:val="21"/>
                    <w:szCs w:val="21"/>
                  </w:rPr>
                  <w:t xml:space="preserve">-27 </w:t>
                </w:r>
              </w:p>
            </w:tc>
          </w:tr>
          <w:tr>
            <w:trPr>
              <w:trHeight w:val="400"/>
              <w:jc w:val="center"/>
            </w:trPr>
            <w:tc>
              <w:tcPr>
                <w:tcW w:w="2728" w:type="dxa"/>
                <w:vAlign w:val="center"/>
              </w:tcPr>
              <w:p>
                <w:pPr>
                  <w:widowControl w:val="0"/>
                  <w:jc w:val="both"/>
                  <w:rPr>
                    <w:rFonts w:cs="Times New Roman"/>
                    <w:kern w:val="2"/>
                    <w:sz w:val="21"/>
                    <w:szCs w:val="21"/>
                  </w:rPr>
                </w:pPr>
                <w:r>
                  <w:rPr>
                    <w:rFonts w:cs="Times New Roman" w:hint="eastAsia"/>
                    <w:kern w:val="2"/>
                    <w:sz w:val="21"/>
                    <w:szCs w:val="21"/>
                  </w:rPr>
                  <w:t>新疆能化</w:t>
                </w:r>
              </w:p>
            </w:tc>
            <w:tc>
              <w:tcPr>
                <w:tcW w:w="3129" w:type="dxa"/>
                <w:vAlign w:val="center"/>
              </w:tcPr>
              <w:p>
                <w:pPr>
                  <w:jc w:val="right"/>
                  <w:rPr>
                    <w:sz w:val="21"/>
                    <w:szCs w:val="21"/>
                  </w:rPr>
                </w:pPr>
                <w:r>
                  <w:rPr>
                    <w:sz w:val="21"/>
                    <w:szCs w:val="21"/>
                  </w:rPr>
                  <w:t xml:space="preserve">-15 </w:t>
                </w:r>
              </w:p>
            </w:tc>
            <w:tc>
              <w:tcPr>
                <w:tcW w:w="3065" w:type="dxa"/>
                <w:vAlign w:val="center"/>
              </w:tcPr>
              <w:p>
                <w:pPr>
                  <w:jc w:val="right"/>
                  <w:rPr>
                    <w:sz w:val="21"/>
                    <w:szCs w:val="21"/>
                  </w:rPr>
                </w:pPr>
                <w:r>
                  <w:rPr>
                    <w:sz w:val="21"/>
                    <w:szCs w:val="21"/>
                  </w:rPr>
                  <w:t xml:space="preserve">-246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兖煤澳洲</w:t>
                </w:r>
              </w:p>
            </w:tc>
            <w:tc>
              <w:tcPr>
                <w:tcW w:w="3129" w:type="dxa"/>
                <w:vAlign w:val="center"/>
              </w:tcPr>
              <w:p>
                <w:pPr>
                  <w:jc w:val="right"/>
                  <w:rPr>
                    <w:sz w:val="21"/>
                    <w:szCs w:val="21"/>
                  </w:rPr>
                </w:pPr>
                <w:r>
                  <w:rPr>
                    <w:sz w:val="21"/>
                    <w:szCs w:val="21"/>
                  </w:rPr>
                  <w:t xml:space="preserve">4,887 </w:t>
                </w:r>
              </w:p>
            </w:tc>
            <w:tc>
              <w:tcPr>
                <w:tcW w:w="3065" w:type="dxa"/>
                <w:vAlign w:val="center"/>
              </w:tcPr>
              <w:p>
                <w:pPr>
                  <w:jc w:val="right"/>
                  <w:rPr>
                    <w:sz w:val="21"/>
                    <w:szCs w:val="21"/>
                  </w:rPr>
                </w:pPr>
                <w:r>
                  <w:rPr>
                    <w:sz w:val="21"/>
                    <w:szCs w:val="21"/>
                  </w:rPr>
                  <w:t xml:space="preserve">-9,403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兖煤国际</w:t>
                </w:r>
              </w:p>
            </w:tc>
            <w:tc>
              <w:tcPr>
                <w:tcW w:w="3129" w:type="dxa"/>
                <w:vAlign w:val="center"/>
              </w:tcPr>
              <w:p>
                <w:pPr>
                  <w:jc w:val="right"/>
                  <w:rPr>
                    <w:sz w:val="21"/>
                    <w:szCs w:val="21"/>
                  </w:rPr>
                </w:pPr>
                <w:r>
                  <w:rPr>
                    <w:sz w:val="21"/>
                    <w:szCs w:val="21"/>
                  </w:rPr>
                  <w:t xml:space="preserve">16 </w:t>
                </w:r>
              </w:p>
            </w:tc>
            <w:tc>
              <w:tcPr>
                <w:tcW w:w="3065" w:type="dxa"/>
                <w:vAlign w:val="center"/>
              </w:tcPr>
              <w:p>
                <w:pPr>
                  <w:jc w:val="right"/>
                  <w:rPr>
                    <w:sz w:val="21"/>
                    <w:szCs w:val="21"/>
                  </w:rPr>
                </w:pPr>
                <w:r>
                  <w:rPr>
                    <w:sz w:val="21"/>
                    <w:szCs w:val="21"/>
                  </w:rPr>
                  <w:t xml:space="preserve">-806 </w:t>
                </w:r>
              </w:p>
            </w:tc>
          </w:tr>
          <w:tr>
            <w:trPr>
              <w:trHeight w:val="400"/>
              <w:jc w:val="center"/>
            </w:trPr>
            <w:tc>
              <w:tcPr>
                <w:tcW w:w="2728" w:type="dxa"/>
                <w:vAlign w:val="center"/>
                <w:hideMark/>
              </w:tcPr>
              <w:p>
                <w:pPr>
                  <w:widowControl w:val="0"/>
                  <w:jc w:val="both"/>
                  <w:rPr>
                    <w:rFonts w:cs="Times New Roman"/>
                    <w:kern w:val="2"/>
                    <w:sz w:val="21"/>
                    <w:szCs w:val="21"/>
                  </w:rPr>
                </w:pPr>
                <w:r>
                  <w:rPr>
                    <w:rFonts w:cs="Times New Roman" w:hint="eastAsia"/>
                    <w:kern w:val="2"/>
                    <w:sz w:val="21"/>
                    <w:szCs w:val="21"/>
                  </w:rPr>
                  <w:t>贸易煤</w:t>
                </w:r>
              </w:p>
            </w:tc>
            <w:tc>
              <w:tcPr>
                <w:tcW w:w="3129" w:type="dxa"/>
                <w:vAlign w:val="center"/>
              </w:tcPr>
              <w:p>
                <w:pPr>
                  <w:jc w:val="right"/>
                  <w:rPr>
                    <w:sz w:val="21"/>
                    <w:szCs w:val="21"/>
                  </w:rPr>
                </w:pPr>
                <w:r>
                  <w:rPr>
                    <w:sz w:val="21"/>
                    <w:szCs w:val="21"/>
                  </w:rPr>
                  <w:t xml:space="preserve">577 </w:t>
                </w:r>
              </w:p>
            </w:tc>
            <w:tc>
              <w:tcPr>
                <w:tcW w:w="3065" w:type="dxa"/>
                <w:vAlign w:val="center"/>
              </w:tcPr>
              <w:p>
                <w:pPr>
                  <w:jc w:val="right"/>
                  <w:rPr>
                    <w:sz w:val="21"/>
                    <w:szCs w:val="21"/>
                  </w:rPr>
                </w:pPr>
                <w:r>
                  <w:rPr>
                    <w:sz w:val="21"/>
                    <w:szCs w:val="21"/>
                  </w:rPr>
                  <w:t xml:space="preserve">-1,127 </w:t>
                </w:r>
              </w:p>
            </w:tc>
          </w:tr>
          <w:bookmarkEnd w:id="48"/>
        </w:tbl>
        <w:p>
          <w:pPr>
            <w:rPr>
              <w:szCs w:val="21"/>
            </w:rPr>
          </w:pPr>
        </w:p>
        <w:p>
          <w:pPr>
            <w:widowControl w:val="0"/>
            <w:ind w:firstLineChars="200" w:firstLine="420"/>
            <w:jc w:val="both"/>
            <w:rPr>
              <w:rFonts w:cs="Times New Roman"/>
              <w:kern w:val="2"/>
              <w:szCs w:val="21"/>
            </w:rPr>
          </w:pPr>
          <w:r>
            <w:rPr>
              <w:rFonts w:cs="Times New Roman" w:hint="eastAsia"/>
              <w:kern w:val="2"/>
              <w:szCs w:val="21"/>
            </w:rPr>
            <w:t>本集团煤炭产品销售主要集中于中国、日本、韩国、澳大利亚、泰国等市场。</w:t>
          </w:r>
        </w:p>
        <w:p>
          <w:pPr>
            <w:widowControl w:val="0"/>
            <w:ind w:firstLineChars="200" w:firstLine="420"/>
            <w:jc w:val="both"/>
            <w:rPr>
              <w:rFonts w:cs="Times New Roman"/>
              <w:kern w:val="2"/>
              <w:szCs w:val="21"/>
            </w:rPr>
          </w:pPr>
          <w:r>
            <w:rPr>
              <w:rFonts w:cs="Times New Roman" w:hint="eastAsia"/>
              <w:kern w:val="2"/>
              <w:szCs w:val="21"/>
            </w:rPr>
            <w:t>2024年本集团按地区分类的煤炭销售情况如下表：</w:t>
          </w:r>
        </w:p>
        <w:tbl>
          <w:tblPr>
            <w:tblStyle w:val="g2"/>
            <w:tblW w:w="4871" w:type="pct"/>
            <w:jc w:val="center"/>
            <w:tblLook w:val="04A0" w:firstRow="1" w:lastRow="0" w:firstColumn="1" w:lastColumn="0" w:noHBand="0" w:noVBand="1"/>
          </w:tblPr>
          <w:tblGrid>
            <w:gridCol w:w="2313"/>
            <w:gridCol w:w="1554"/>
            <w:gridCol w:w="1606"/>
            <w:gridCol w:w="1661"/>
            <w:gridCol w:w="1461"/>
          </w:tblGrid>
          <w:tr>
            <w:trPr>
              <w:trHeight w:val="333"/>
              <w:tblHeader/>
              <w:jc w:val="center"/>
            </w:trPr>
            <w:tc>
              <w:tcPr>
                <w:tcW w:w="1346" w:type="pct"/>
                <w:vMerge w:val="restar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p>
            </w:tc>
            <w:tc>
              <w:tcPr>
                <w:tcW w:w="1838" w:type="pct"/>
                <w:gridSpan w:val="2"/>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2024年</w:t>
                </w:r>
              </w:p>
            </w:tc>
            <w:tc>
              <w:tcPr>
                <w:tcW w:w="1816" w:type="pct"/>
                <w:gridSpan w:val="2"/>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2023年</w:t>
                </w:r>
              </w:p>
            </w:tc>
          </w:tr>
          <w:tr>
            <w:trPr>
              <w:trHeight w:val="7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p>
            </w:tc>
            <w:tc>
              <w:tcPr>
                <w:tcW w:w="904"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销量</w:t>
                </w:r>
              </w:p>
            </w:tc>
            <w:tc>
              <w:tcPr>
                <w:tcW w:w="934"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销售收入</w:t>
                </w:r>
              </w:p>
            </w:tc>
            <w:tc>
              <w:tcPr>
                <w:tcW w:w="966"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销量</w:t>
                </w:r>
              </w:p>
            </w:tc>
            <w:tc>
              <w:tcPr>
                <w:tcW w:w="850"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销售收入</w:t>
                </w:r>
              </w:p>
            </w:tc>
          </w:tr>
          <w:tr>
            <w:trPr>
              <w:trHeight w:val="7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p>
            </w:tc>
            <w:tc>
              <w:tcPr>
                <w:tcW w:w="904"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（千吨）</w:t>
                </w:r>
              </w:p>
            </w:tc>
            <w:tc>
              <w:tcPr>
                <w:tcW w:w="934"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（百万元）</w:t>
                </w:r>
              </w:p>
            </w:tc>
            <w:tc>
              <w:tcPr>
                <w:tcW w:w="966"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（千吨）</w:t>
                </w:r>
              </w:p>
            </w:tc>
            <w:tc>
              <w:tcPr>
                <w:tcW w:w="850" w:type="pct"/>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（百万元）</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一、中国</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111,165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hint="eastAsia"/>
                    <w:sz w:val="21"/>
                    <w:szCs w:val="21"/>
                  </w:rPr>
                  <w:t xml:space="preserve">70,342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102,725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76,252 </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ind w:firstLineChars="200" w:firstLine="420"/>
                  <w:jc w:val="both"/>
                  <w:rPr>
                    <w:rFonts w:cs="Times New Roman"/>
                    <w:kern w:val="2"/>
                    <w:sz w:val="21"/>
                    <w:szCs w:val="21"/>
                  </w:rPr>
                </w:pPr>
                <w:r>
                  <w:rPr>
                    <w:rFonts w:cs="Times New Roman" w:hint="eastAsia"/>
                    <w:kern w:val="2"/>
                    <w:sz w:val="21"/>
                    <w:szCs w:val="21"/>
                  </w:rPr>
                  <w:t>华东地区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48,985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hint="eastAsia"/>
                    <w:sz w:val="21"/>
                    <w:szCs w:val="21"/>
                  </w:rPr>
                  <w:t xml:space="preserve">38,184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49,584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46,700 </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ind w:firstLineChars="200" w:firstLine="420"/>
                  <w:jc w:val="both"/>
                  <w:rPr>
                    <w:rFonts w:cs="Times New Roman"/>
                    <w:kern w:val="2"/>
                    <w:sz w:val="21"/>
                    <w:szCs w:val="21"/>
                  </w:rPr>
                </w:pPr>
                <w:r>
                  <w:rPr>
                    <w:rFonts w:cs="Times New Roman" w:hint="eastAsia"/>
                    <w:kern w:val="2"/>
                    <w:sz w:val="21"/>
                    <w:szCs w:val="21"/>
                  </w:rPr>
                  <w:t>华南地区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15,558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10,302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11,044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7,963 </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tcPr>
              <w:p>
                <w:pPr>
                  <w:widowControl w:val="0"/>
                  <w:ind w:firstLineChars="200" w:firstLine="420"/>
                  <w:jc w:val="both"/>
                  <w:rPr>
                    <w:rFonts w:cs="Times New Roman"/>
                    <w:kern w:val="2"/>
                    <w:sz w:val="21"/>
                    <w:szCs w:val="21"/>
                  </w:rPr>
                </w:pPr>
                <w:r>
                  <w:rPr>
                    <w:rFonts w:cs="Times New Roman" w:hint="eastAsia"/>
                    <w:kern w:val="2"/>
                    <w:sz w:val="21"/>
                    <w:szCs w:val="21"/>
                  </w:rPr>
                  <w:t>华中地区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6,605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5,749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6,217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6,388 </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ind w:firstLineChars="200" w:firstLine="420"/>
                  <w:jc w:val="both"/>
                  <w:rPr>
                    <w:rFonts w:cs="Times New Roman"/>
                    <w:kern w:val="2"/>
                    <w:sz w:val="21"/>
                    <w:szCs w:val="21"/>
                  </w:rPr>
                </w:pPr>
                <w:r>
                  <w:rPr>
                    <w:rFonts w:cs="Times New Roman" w:hint="eastAsia"/>
                    <w:kern w:val="2"/>
                    <w:sz w:val="21"/>
                    <w:szCs w:val="21"/>
                  </w:rPr>
                  <w:t>华北地区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13,369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8,194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9,169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6,988 </w:t>
                </w:r>
              </w:p>
            </w:tc>
          </w:tr>
          <w:tr>
            <w:trPr>
              <w:trHeight w:val="333"/>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ind w:firstLineChars="200" w:firstLine="420"/>
                  <w:jc w:val="both"/>
                  <w:rPr>
                    <w:rFonts w:cs="Times New Roman"/>
                    <w:kern w:val="2"/>
                    <w:sz w:val="21"/>
                    <w:szCs w:val="21"/>
                  </w:rPr>
                </w:pPr>
                <w:r>
                  <w:rPr>
                    <w:rFonts w:cs="Times New Roman" w:hint="eastAsia"/>
                    <w:kern w:val="2"/>
                    <w:sz w:val="21"/>
                    <w:szCs w:val="21"/>
                  </w:rPr>
                  <w:t>西北地区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25,088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6,432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25,050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6,438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ind w:firstLineChars="200" w:firstLine="420"/>
                  <w:jc w:val="both"/>
                  <w:rPr>
                    <w:rFonts w:cs="Times New Roman"/>
                    <w:kern w:val="2"/>
                    <w:sz w:val="21"/>
                    <w:szCs w:val="21"/>
                  </w:rPr>
                </w:pPr>
                <w:r>
                  <w:rPr>
                    <w:rFonts w:cs="Times New Roman" w:hint="eastAsia"/>
                    <w:kern w:val="2"/>
                    <w:sz w:val="21"/>
                    <w:szCs w:val="21"/>
                  </w:rPr>
                  <w:t>其他地区</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1,559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1,481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1,660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1,775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二、日本</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9,983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10,684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8,470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12,735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三、韩国</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5,291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4,859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4,386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5,641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四、澳大利亚</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3,773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1,666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4,080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2,288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r>
                  <w:rPr>
                    <w:rFonts w:cs="Times New Roman" w:hint="eastAsia"/>
                    <w:kern w:val="2"/>
                    <w:sz w:val="21"/>
                    <w:szCs w:val="21"/>
                  </w:rPr>
                  <w:t>五、泰国</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3,554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1,788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3,594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1,740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六、其他</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2,542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2,286 </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3,769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3,362 </w:t>
                </w:r>
              </w:p>
            </w:tc>
          </w:tr>
          <w:tr>
            <w:trPr>
              <w:trHeight w:val="349"/>
              <w:jc w:val="center"/>
            </w:trPr>
            <w:tc>
              <w:tcPr>
                <w:tcW w:w="1346" w:type="pct"/>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七、本集团总计</w:t>
                </w:r>
              </w:p>
            </w:tc>
            <w:tc>
              <w:tcPr>
                <w:tcW w:w="90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136,309 </w:t>
                </w:r>
              </w:p>
            </w:tc>
            <w:tc>
              <w:tcPr>
                <w:tcW w:w="934"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91,625</w:t>
                </w:r>
              </w:p>
            </w:tc>
            <w:tc>
              <w:tcPr>
                <w:tcW w:w="966"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127,024 </w:t>
                </w:r>
              </w:p>
            </w:tc>
            <w:tc>
              <w:tcPr>
                <w:tcW w:w="850" w:type="pct"/>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102,019 </w:t>
                </w:r>
              </w:p>
            </w:tc>
          </w:tr>
        </w:tbl>
        <w:p>
          <w:pPr>
            <w:rPr>
              <w:szCs w:val="21"/>
            </w:rPr>
          </w:pPr>
        </w:p>
        <w:p>
          <w:pPr>
            <w:rPr>
              <w:rFonts w:cs="Times New Roman"/>
              <w:kern w:val="2"/>
              <w:szCs w:val="21"/>
            </w:rPr>
          </w:pPr>
          <w:r>
            <w:rPr>
              <w:rFonts w:cs="Times New Roman"/>
              <w:kern w:val="2"/>
              <w:szCs w:val="21"/>
            </w:rPr>
            <w:br w:type="page"/>
          </w:r>
        </w:p>
        <w:p>
          <w:pPr>
            <w:widowControl w:val="0"/>
            <w:ind w:firstLineChars="200" w:firstLine="420"/>
            <w:jc w:val="both"/>
            <w:rPr>
              <w:rFonts w:cs="Times New Roman"/>
              <w:kern w:val="2"/>
              <w:szCs w:val="21"/>
            </w:rPr>
          </w:pPr>
          <w:r>
            <w:rPr>
              <w:rFonts w:cs="Times New Roman" w:hint="eastAsia"/>
              <w:kern w:val="2"/>
              <w:szCs w:val="21"/>
            </w:rPr>
            <w:lastRenderedPageBreak/>
            <w:t>本集团煤炭产品大部分销往电力、冶金、化工、商贸等行业。</w:t>
          </w:r>
        </w:p>
        <w:p>
          <w:pPr>
            <w:widowControl w:val="0"/>
            <w:ind w:firstLineChars="200" w:firstLine="420"/>
            <w:jc w:val="both"/>
            <w:rPr>
              <w:rFonts w:cs="Times New Roman"/>
              <w:kern w:val="2"/>
              <w:szCs w:val="21"/>
            </w:rPr>
          </w:pPr>
          <w:r>
            <w:rPr>
              <w:rFonts w:cs="Times New Roman" w:hint="eastAsia"/>
              <w:kern w:val="2"/>
              <w:szCs w:val="21"/>
            </w:rPr>
            <w:t>2024年本集团按行业分类的煤炭销售情况如下表：</w:t>
          </w:r>
        </w:p>
        <w:tbl>
          <w:tblPr>
            <w:tblStyle w:val="g2"/>
            <w:tblW w:w="9070" w:type="dxa"/>
            <w:jc w:val="center"/>
            <w:tblLayout w:type="fixed"/>
            <w:tblLook w:val="04A0" w:firstRow="1" w:lastRow="0" w:firstColumn="1" w:lastColumn="0" w:noHBand="0" w:noVBand="1"/>
          </w:tblPr>
          <w:tblGrid>
            <w:gridCol w:w="2278"/>
            <w:gridCol w:w="1697"/>
            <w:gridCol w:w="1699"/>
            <w:gridCol w:w="1697"/>
            <w:gridCol w:w="1699"/>
          </w:tblGrid>
          <w:tr>
            <w:trPr>
              <w:trHeight w:val="348"/>
              <w:jc w:val="center"/>
            </w:trPr>
            <w:tc>
              <w:tcPr>
                <w:tcW w:w="2278" w:type="dxa"/>
                <w:vMerge w:val="restar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 w:val="21"/>
                    <w:szCs w:val="21"/>
                  </w:rPr>
                </w:pPr>
              </w:p>
            </w:tc>
            <w:tc>
              <w:tcPr>
                <w:tcW w:w="3396" w:type="dxa"/>
                <w:gridSpan w:val="2"/>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2024年</w:t>
                </w:r>
              </w:p>
            </w:tc>
            <w:tc>
              <w:tcPr>
                <w:tcW w:w="3396" w:type="dxa"/>
                <w:gridSpan w:val="2"/>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2023年</w:t>
                </w:r>
              </w:p>
            </w:tc>
          </w:tr>
          <w:tr>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p>
            </w:tc>
            <w:tc>
              <w:tcPr>
                <w:tcW w:w="1697"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销量</w:t>
                </w:r>
              </w:p>
            </w:tc>
            <w:tc>
              <w:tcPr>
                <w:tcW w:w="1699"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销售收入</w:t>
                </w:r>
              </w:p>
            </w:tc>
            <w:tc>
              <w:tcPr>
                <w:tcW w:w="1697"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销量</w:t>
                </w:r>
              </w:p>
            </w:tc>
            <w:tc>
              <w:tcPr>
                <w:tcW w:w="1699"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销售收入</w:t>
                </w:r>
              </w:p>
            </w:tc>
          </w:tr>
          <w:tr>
            <w:trPr>
              <w:trHeight w:val="161"/>
              <w:jc w:val="center"/>
            </w:trPr>
            <w:tc>
              <w:tcPr>
                <w:tcW w:w="2278" w:type="dxa"/>
                <w:vMerge/>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p>
            </w:tc>
            <w:tc>
              <w:tcPr>
                <w:tcW w:w="1697"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（千吨）</w:t>
                </w:r>
              </w:p>
            </w:tc>
            <w:tc>
              <w:tcPr>
                <w:tcW w:w="1699"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（百万元）</w:t>
                </w:r>
              </w:p>
            </w:tc>
            <w:tc>
              <w:tcPr>
                <w:tcW w:w="1697"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（千吨）</w:t>
                </w:r>
              </w:p>
            </w:tc>
            <w:tc>
              <w:tcPr>
                <w:tcW w:w="1699" w:type="dxa"/>
                <w:tcBorders>
                  <w:top w:val="single" w:sz="4" w:space="0" w:color="auto"/>
                  <w:left w:val="nil"/>
                  <w:bottom w:val="single" w:sz="4" w:space="0" w:color="auto"/>
                  <w:right w:val="single" w:sz="4" w:space="0" w:color="auto"/>
                </w:tcBorders>
                <w:vAlign w:val="center"/>
                <w:hideMark/>
              </w:tcPr>
              <w:p>
                <w:pPr>
                  <w:widowControl w:val="0"/>
                  <w:jc w:val="center"/>
                  <w:rPr>
                    <w:rFonts w:cs="Times New Roman"/>
                    <w:kern w:val="2"/>
                    <w:sz w:val="21"/>
                    <w:szCs w:val="21"/>
                  </w:rPr>
                </w:pPr>
                <w:r>
                  <w:rPr>
                    <w:rFonts w:cs="Times New Roman" w:hint="eastAsia"/>
                    <w:kern w:val="2"/>
                    <w:sz w:val="21"/>
                    <w:szCs w:val="21"/>
                  </w:rPr>
                  <w:t>（百万元）</w:t>
                </w:r>
              </w:p>
            </w:tc>
          </w:tr>
          <w:tr>
            <w:trPr>
              <w:trHeight w:val="280"/>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一、电力</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66,668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41,022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65,022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46,495 </w:t>
                </w:r>
              </w:p>
            </w:tc>
          </w:tr>
          <w:tr>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二、冶金</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19,186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22,806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14,213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22,019 </w:t>
                </w:r>
              </w:p>
            </w:tc>
          </w:tr>
          <w:tr>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三、化工</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19,350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11,288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17,092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10,793 </w:t>
                </w:r>
              </w:p>
            </w:tc>
          </w:tr>
          <w:tr>
            <w:trPr>
              <w:trHeight w:val="29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四、商贸</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24,788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12,298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28,504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20,965 </w:t>
                </w:r>
              </w:p>
            </w:tc>
          </w:tr>
          <w:tr>
            <w:trPr>
              <w:trHeight w:val="335"/>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五、其他</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6,317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4,210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2,192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1,747 </w:t>
                </w:r>
              </w:p>
            </w:tc>
          </w:tr>
          <w:tr>
            <w:trPr>
              <w:trHeight w:val="351"/>
              <w:jc w:val="center"/>
            </w:trPr>
            <w:tc>
              <w:tcPr>
                <w:tcW w:w="2278" w:type="dxa"/>
                <w:tcBorders>
                  <w:top w:val="single" w:sz="4" w:space="0" w:color="auto"/>
                  <w:left w:val="single" w:sz="4" w:space="0" w:color="auto"/>
                  <w:bottom w:val="single" w:sz="4" w:space="0" w:color="auto"/>
                  <w:right w:val="single" w:sz="4" w:space="0" w:color="auto"/>
                </w:tcBorders>
                <w:vAlign w:val="center"/>
                <w:hideMark/>
              </w:tcPr>
              <w:p>
                <w:pPr>
                  <w:widowControl w:val="0"/>
                  <w:jc w:val="both"/>
                  <w:rPr>
                    <w:rFonts w:cs="Times New Roman"/>
                    <w:kern w:val="2"/>
                    <w:sz w:val="21"/>
                    <w:szCs w:val="21"/>
                  </w:rPr>
                </w:pPr>
                <w:r>
                  <w:rPr>
                    <w:rFonts w:cs="Times New Roman" w:hint="eastAsia"/>
                    <w:kern w:val="2"/>
                    <w:sz w:val="21"/>
                    <w:szCs w:val="21"/>
                  </w:rPr>
                  <w:t>六、本集团总计</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136,309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hint="eastAsia"/>
                    <w:kern w:val="2"/>
                    <w:sz w:val="21"/>
                    <w:szCs w:val="21"/>
                  </w:rPr>
                  <w:t xml:space="preserve">91,625 </w:t>
                </w:r>
              </w:p>
            </w:tc>
            <w:tc>
              <w:tcPr>
                <w:tcW w:w="1697"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127,024 </w:t>
                </w:r>
              </w:p>
            </w:tc>
            <w:tc>
              <w:tcPr>
                <w:tcW w:w="1699" w:type="dxa"/>
                <w:tcBorders>
                  <w:top w:val="single" w:sz="4" w:space="0" w:color="auto"/>
                  <w:left w:val="nil"/>
                  <w:bottom w:val="single" w:sz="4" w:space="0" w:color="auto"/>
                  <w:right w:val="single" w:sz="4" w:space="0" w:color="auto"/>
                </w:tcBorders>
                <w:vAlign w:val="center"/>
              </w:tcPr>
              <w:p>
                <w:pPr>
                  <w:widowControl w:val="0"/>
                  <w:jc w:val="right"/>
                  <w:rPr>
                    <w:rFonts w:cs="Times New Roman"/>
                    <w:kern w:val="2"/>
                    <w:sz w:val="21"/>
                    <w:szCs w:val="21"/>
                  </w:rPr>
                </w:pPr>
                <w:r>
                  <w:rPr>
                    <w:rFonts w:cs="Times New Roman"/>
                    <w:kern w:val="2"/>
                    <w:sz w:val="21"/>
                    <w:szCs w:val="21"/>
                  </w:rPr>
                  <w:t xml:space="preserve">102,019 </w:t>
                </w:r>
              </w:p>
            </w:tc>
          </w:tr>
        </w:tbl>
        <w:p>
          <w:pPr>
            <w:rPr>
              <w:szCs w:val="21"/>
            </w:rPr>
          </w:pPr>
        </w:p>
        <w:p>
          <w:pPr>
            <w:widowControl w:val="0"/>
            <w:jc w:val="both"/>
            <w:rPr>
              <w:rFonts w:cs="Times New Roman"/>
              <w:b/>
              <w:bCs/>
              <w:kern w:val="2"/>
              <w:szCs w:val="21"/>
            </w:rPr>
          </w:pPr>
          <w:r>
            <w:rPr>
              <w:rFonts w:cs="Times New Roman" w:hint="eastAsia"/>
              <w:b/>
              <w:bCs/>
              <w:kern w:val="2"/>
              <w:szCs w:val="21"/>
            </w:rPr>
            <w:t>(3)煤炭销售成本</w:t>
          </w:r>
        </w:p>
        <w:p>
          <w:pPr>
            <w:widowControl w:val="0"/>
            <w:ind w:firstLineChars="200" w:firstLine="420"/>
            <w:jc w:val="both"/>
            <w:rPr>
              <w:rFonts w:cs="Times New Roman"/>
              <w:kern w:val="2"/>
              <w:szCs w:val="21"/>
            </w:rPr>
          </w:pPr>
          <w:r>
            <w:rPr>
              <w:rFonts w:cs="Times New Roman"/>
              <w:kern w:val="2"/>
              <w:szCs w:val="21"/>
            </w:rPr>
            <w:t>2024年本集团煤炭业务销售成本497.90亿元，同比</w:t>
          </w:r>
          <w:r>
            <w:rPr>
              <w:rFonts w:cs="Times New Roman" w:hint="eastAsia"/>
              <w:kern w:val="2"/>
              <w:szCs w:val="21"/>
            </w:rPr>
            <w:t>增加</w:t>
          </w:r>
          <w:r>
            <w:rPr>
              <w:rFonts w:cs="Times New Roman"/>
              <w:kern w:val="2"/>
              <w:szCs w:val="21"/>
            </w:rPr>
            <w:t>4.59亿元或0.9%。</w:t>
          </w:r>
        </w:p>
        <w:p>
          <w:pPr>
            <w:widowControl w:val="0"/>
            <w:ind w:firstLineChars="200" w:firstLine="420"/>
            <w:jc w:val="both"/>
            <w:rPr>
              <w:rFonts w:cs="Times New Roman"/>
              <w:kern w:val="2"/>
              <w:szCs w:val="21"/>
            </w:rPr>
          </w:pPr>
          <w:r>
            <w:rPr>
              <w:rFonts w:cs="Times New Roman" w:hint="eastAsia"/>
              <w:kern w:val="2"/>
              <w:szCs w:val="21"/>
            </w:rPr>
            <w:t>按经营主体分类的煤炭业务销售成本情况如下表：</w:t>
          </w:r>
        </w:p>
        <w:p>
          <w:pPr>
            <w:rPr>
              <w:szCs w:val="21"/>
            </w:rPr>
          </w:pPr>
        </w:p>
        <w:tbl>
          <w:tblPr>
            <w:tblStyle w:val="g2"/>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99"/>
            <w:gridCol w:w="857"/>
            <w:gridCol w:w="1427"/>
            <w:gridCol w:w="1284"/>
            <w:gridCol w:w="1393"/>
            <w:gridCol w:w="1461"/>
          </w:tblGrid>
          <w:tr>
            <w:trPr>
              <w:trHeight w:val="158"/>
              <w:tblHeader/>
              <w:jc w:val="center"/>
            </w:trPr>
            <w:tc>
              <w:tcPr>
                <w:tcW w:w="3154" w:type="dxa"/>
                <w:gridSpan w:val="2"/>
              </w:tcPr>
              <w:p>
                <w:pPr>
                  <w:widowControl w:val="0"/>
                  <w:jc w:val="both"/>
                  <w:rPr>
                    <w:rFonts w:cs="Times New Roman"/>
                    <w:kern w:val="2"/>
                    <w:sz w:val="21"/>
                    <w:szCs w:val="21"/>
                  </w:rPr>
                </w:pPr>
                <w:bookmarkStart w:id="49" w:name="_Hlk129109185"/>
              </w:p>
            </w:tc>
            <w:tc>
              <w:tcPr>
                <w:tcW w:w="857" w:type="dxa"/>
                <w:vAlign w:val="center"/>
                <w:hideMark/>
              </w:tcPr>
              <w:p>
                <w:pPr>
                  <w:widowControl w:val="0"/>
                  <w:jc w:val="center"/>
                  <w:rPr>
                    <w:rFonts w:cs="Times New Roman"/>
                    <w:kern w:val="2"/>
                    <w:sz w:val="21"/>
                    <w:szCs w:val="21"/>
                  </w:rPr>
                </w:pPr>
                <w:r>
                  <w:rPr>
                    <w:rFonts w:cs="Times New Roman" w:hint="eastAsia"/>
                    <w:kern w:val="2"/>
                    <w:sz w:val="21"/>
                    <w:szCs w:val="21"/>
                  </w:rPr>
                  <w:t>单位</w:t>
                </w:r>
              </w:p>
            </w:tc>
            <w:tc>
              <w:tcPr>
                <w:tcW w:w="1427" w:type="dxa"/>
                <w:vAlign w:val="center"/>
                <w:hideMark/>
              </w:tcPr>
              <w:p>
                <w:pPr>
                  <w:widowControl w:val="0"/>
                  <w:jc w:val="center"/>
                  <w:rPr>
                    <w:rFonts w:cs="Times New Roman"/>
                    <w:kern w:val="2"/>
                    <w:sz w:val="21"/>
                    <w:szCs w:val="21"/>
                  </w:rPr>
                </w:pPr>
                <w:r>
                  <w:rPr>
                    <w:rFonts w:cs="Times New Roman" w:hint="eastAsia"/>
                    <w:kern w:val="2"/>
                    <w:sz w:val="21"/>
                    <w:szCs w:val="21"/>
                  </w:rPr>
                  <w:t>2024年</w:t>
                </w:r>
              </w:p>
            </w:tc>
            <w:tc>
              <w:tcPr>
                <w:tcW w:w="1284" w:type="dxa"/>
                <w:vAlign w:val="center"/>
                <w:hideMark/>
              </w:tcPr>
              <w:p>
                <w:pPr>
                  <w:widowControl w:val="0"/>
                  <w:jc w:val="center"/>
                  <w:rPr>
                    <w:rFonts w:cs="Times New Roman"/>
                    <w:kern w:val="2"/>
                    <w:sz w:val="21"/>
                    <w:szCs w:val="21"/>
                  </w:rPr>
                </w:pPr>
                <w:r>
                  <w:rPr>
                    <w:rFonts w:cs="Times New Roman" w:hint="eastAsia"/>
                    <w:kern w:val="2"/>
                    <w:sz w:val="21"/>
                    <w:szCs w:val="21"/>
                  </w:rPr>
                  <w:t>2023年</w:t>
                </w:r>
              </w:p>
            </w:tc>
            <w:tc>
              <w:tcPr>
                <w:tcW w:w="1393" w:type="dxa"/>
                <w:vAlign w:val="center"/>
                <w:hideMark/>
              </w:tcPr>
              <w:p>
                <w:pPr>
                  <w:widowControl w:val="0"/>
                  <w:jc w:val="center"/>
                  <w:rPr>
                    <w:rFonts w:cs="Times New Roman"/>
                    <w:kern w:val="2"/>
                    <w:sz w:val="21"/>
                    <w:szCs w:val="21"/>
                  </w:rPr>
                </w:pPr>
                <w:r>
                  <w:rPr>
                    <w:rFonts w:cs="Times New Roman" w:hint="eastAsia"/>
                    <w:kern w:val="2"/>
                    <w:sz w:val="21"/>
                    <w:szCs w:val="21"/>
                  </w:rPr>
                  <w:t>增减</w:t>
                </w:r>
              </w:p>
            </w:tc>
            <w:tc>
              <w:tcPr>
                <w:tcW w:w="1461" w:type="dxa"/>
                <w:vAlign w:val="center"/>
                <w:hideMark/>
              </w:tcPr>
              <w:p>
                <w:pPr>
                  <w:widowControl w:val="0"/>
                  <w:jc w:val="center"/>
                  <w:rPr>
                    <w:rFonts w:cs="Times New Roman"/>
                    <w:kern w:val="2"/>
                    <w:sz w:val="21"/>
                    <w:szCs w:val="21"/>
                  </w:rPr>
                </w:pPr>
                <w:r>
                  <w:rPr>
                    <w:rFonts w:cs="Times New Roman" w:hint="eastAsia"/>
                    <w:kern w:val="2"/>
                    <w:sz w:val="21"/>
                    <w:szCs w:val="21"/>
                  </w:rPr>
                  <w:t>增减幅（%）</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公司</w:t>
                </w:r>
              </w:p>
            </w:tc>
            <w:tc>
              <w:tcPr>
                <w:tcW w:w="1599" w:type="dxa"/>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8,399 </w:t>
                </w:r>
              </w:p>
            </w:tc>
            <w:tc>
              <w:tcPr>
                <w:tcW w:w="1284" w:type="dxa"/>
                <w:shd w:val="clear" w:color="auto" w:fill="auto"/>
                <w:vAlign w:val="center"/>
                <w:hideMark/>
              </w:tcPr>
              <w:p>
                <w:pPr>
                  <w:jc w:val="right"/>
                  <w:rPr>
                    <w:sz w:val="21"/>
                    <w:szCs w:val="21"/>
                  </w:rPr>
                </w:pPr>
                <w:r>
                  <w:rPr>
                    <w:sz w:val="21"/>
                    <w:szCs w:val="21"/>
                  </w:rPr>
                  <w:t xml:space="preserve">7,801 </w:t>
                </w:r>
              </w:p>
            </w:tc>
            <w:tc>
              <w:tcPr>
                <w:tcW w:w="1393" w:type="dxa"/>
                <w:shd w:val="clear" w:color="auto" w:fill="auto"/>
                <w:vAlign w:val="center"/>
              </w:tcPr>
              <w:p>
                <w:pPr>
                  <w:jc w:val="right"/>
                  <w:rPr>
                    <w:sz w:val="21"/>
                    <w:szCs w:val="21"/>
                  </w:rPr>
                </w:pPr>
                <w:r>
                  <w:rPr>
                    <w:sz w:val="21"/>
                    <w:szCs w:val="21"/>
                  </w:rPr>
                  <w:t xml:space="preserve">598 </w:t>
                </w:r>
              </w:p>
            </w:tc>
            <w:tc>
              <w:tcPr>
                <w:tcW w:w="1461" w:type="dxa"/>
                <w:shd w:val="clear" w:color="auto" w:fill="auto"/>
                <w:vAlign w:val="center"/>
              </w:tcPr>
              <w:p>
                <w:pPr>
                  <w:jc w:val="right"/>
                  <w:rPr>
                    <w:sz w:val="21"/>
                    <w:szCs w:val="21"/>
                  </w:rPr>
                </w:pPr>
                <w:r>
                  <w:rPr>
                    <w:sz w:val="21"/>
                    <w:szCs w:val="21"/>
                  </w:rPr>
                  <w:t xml:space="preserve">7.67 </w:t>
                </w:r>
              </w:p>
            </w:tc>
          </w:tr>
          <w:tr>
            <w:trPr>
              <w:trHeight w:val="92"/>
              <w:jc w:val="center"/>
            </w:trPr>
            <w:tc>
              <w:tcPr>
                <w:tcW w:w="1555" w:type="dxa"/>
                <w:vMerge/>
                <w:hideMark/>
              </w:tcPr>
              <w:p>
                <w:pPr>
                  <w:widowControl w:val="0"/>
                  <w:jc w:val="both"/>
                  <w:rPr>
                    <w:rFonts w:cs="Times New Roman"/>
                    <w:kern w:val="2"/>
                    <w:sz w:val="21"/>
                    <w:szCs w:val="21"/>
                  </w:rPr>
                </w:pPr>
              </w:p>
            </w:tc>
            <w:tc>
              <w:tcPr>
                <w:tcW w:w="1599" w:type="dxa"/>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360.20 </w:t>
                </w:r>
              </w:p>
            </w:tc>
            <w:tc>
              <w:tcPr>
                <w:tcW w:w="1284" w:type="dxa"/>
                <w:shd w:val="clear" w:color="auto" w:fill="auto"/>
                <w:vAlign w:val="center"/>
                <w:hideMark/>
              </w:tcPr>
              <w:p>
                <w:pPr>
                  <w:jc w:val="right"/>
                  <w:rPr>
                    <w:sz w:val="21"/>
                    <w:szCs w:val="21"/>
                  </w:rPr>
                </w:pPr>
                <w:r>
                  <w:rPr>
                    <w:sz w:val="21"/>
                    <w:szCs w:val="21"/>
                  </w:rPr>
                  <w:t xml:space="preserve">317.05 </w:t>
                </w:r>
              </w:p>
            </w:tc>
            <w:tc>
              <w:tcPr>
                <w:tcW w:w="1393" w:type="dxa"/>
                <w:shd w:val="clear" w:color="auto" w:fill="auto"/>
                <w:vAlign w:val="center"/>
              </w:tcPr>
              <w:p>
                <w:pPr>
                  <w:jc w:val="right"/>
                  <w:rPr>
                    <w:sz w:val="21"/>
                    <w:szCs w:val="21"/>
                  </w:rPr>
                </w:pPr>
                <w:r>
                  <w:rPr>
                    <w:sz w:val="21"/>
                    <w:szCs w:val="21"/>
                  </w:rPr>
                  <w:t xml:space="preserve">43.16 </w:t>
                </w:r>
              </w:p>
            </w:tc>
            <w:tc>
              <w:tcPr>
                <w:tcW w:w="1461" w:type="dxa"/>
                <w:shd w:val="clear" w:color="auto" w:fill="auto"/>
                <w:vAlign w:val="center"/>
              </w:tcPr>
              <w:p>
                <w:pPr>
                  <w:jc w:val="right"/>
                  <w:rPr>
                    <w:sz w:val="21"/>
                    <w:szCs w:val="21"/>
                  </w:rPr>
                </w:pPr>
                <w:r>
                  <w:rPr>
                    <w:sz w:val="21"/>
                    <w:szCs w:val="21"/>
                  </w:rPr>
                  <w:t xml:space="preserve">13.61 </w:t>
                </w:r>
              </w:p>
            </w:tc>
          </w:tr>
          <w:tr>
            <w:trPr>
              <w:trHeight w:val="88"/>
              <w:jc w:val="center"/>
            </w:trPr>
            <w:tc>
              <w:tcPr>
                <w:tcW w:w="1555" w:type="dxa"/>
                <w:vMerge w:val="restart"/>
                <w:vAlign w:val="center"/>
              </w:tcPr>
              <w:p>
                <w:pPr>
                  <w:widowControl w:val="0"/>
                  <w:jc w:val="both"/>
                  <w:rPr>
                    <w:rFonts w:cs="Times New Roman"/>
                    <w:kern w:val="2"/>
                    <w:sz w:val="21"/>
                    <w:szCs w:val="21"/>
                  </w:rPr>
                </w:pPr>
                <w:r>
                  <w:rPr>
                    <w:rFonts w:cs="Times New Roman"/>
                    <w:kern w:val="2"/>
                    <w:sz w:val="21"/>
                    <w:szCs w:val="21"/>
                  </w:rPr>
                  <w:t>菏泽能化</w:t>
                </w:r>
              </w:p>
            </w:tc>
            <w:tc>
              <w:tcPr>
                <w:tcW w:w="1599" w:type="dxa"/>
                <w:vAlign w:val="center"/>
              </w:tcPr>
              <w:p>
                <w:pPr>
                  <w:widowControl w:val="0"/>
                  <w:jc w:val="both"/>
                  <w:rPr>
                    <w:rFonts w:cs="Times New Roman"/>
                    <w:kern w:val="2"/>
                    <w:sz w:val="21"/>
                    <w:szCs w:val="21"/>
                  </w:rPr>
                </w:pPr>
                <w:r>
                  <w:rPr>
                    <w:rFonts w:cs="Times New Roman"/>
                    <w:kern w:val="2"/>
                    <w:sz w:val="21"/>
                    <w:szCs w:val="21"/>
                  </w:rPr>
                  <w:t>销售成本总额</w:t>
                </w:r>
              </w:p>
            </w:tc>
            <w:tc>
              <w:tcPr>
                <w:tcW w:w="857" w:type="dxa"/>
                <w:vAlign w:val="center"/>
              </w:tcPr>
              <w:p>
                <w:pPr>
                  <w:widowControl w:val="0"/>
                  <w:jc w:val="both"/>
                  <w:rPr>
                    <w:rFonts w:cs="Times New Roman"/>
                    <w:kern w:val="2"/>
                    <w:sz w:val="21"/>
                    <w:szCs w:val="21"/>
                  </w:rPr>
                </w:pPr>
                <w:r>
                  <w:rPr>
                    <w:rFonts w:cs="Times New Roman"/>
                    <w:kern w:val="2"/>
                    <w:sz w:val="21"/>
                    <w:szCs w:val="21"/>
                  </w:rPr>
                  <w:t>百万元</w:t>
                </w:r>
              </w:p>
            </w:tc>
            <w:tc>
              <w:tcPr>
                <w:tcW w:w="1427" w:type="dxa"/>
                <w:shd w:val="clear" w:color="auto" w:fill="auto"/>
                <w:vAlign w:val="center"/>
              </w:tcPr>
              <w:p>
                <w:pPr>
                  <w:jc w:val="right"/>
                  <w:rPr>
                    <w:sz w:val="21"/>
                    <w:szCs w:val="21"/>
                  </w:rPr>
                </w:pPr>
                <w:r>
                  <w:rPr>
                    <w:sz w:val="21"/>
                    <w:szCs w:val="21"/>
                  </w:rPr>
                  <w:t xml:space="preserve">1,244 </w:t>
                </w:r>
              </w:p>
            </w:tc>
            <w:tc>
              <w:tcPr>
                <w:tcW w:w="1284" w:type="dxa"/>
                <w:shd w:val="clear" w:color="auto" w:fill="auto"/>
                <w:vAlign w:val="center"/>
              </w:tcPr>
              <w:p>
                <w:pPr>
                  <w:jc w:val="right"/>
                  <w:rPr>
                    <w:sz w:val="21"/>
                    <w:szCs w:val="21"/>
                  </w:rPr>
                </w:pPr>
                <w:r>
                  <w:rPr>
                    <w:sz w:val="21"/>
                    <w:szCs w:val="21"/>
                  </w:rPr>
                  <w:t xml:space="preserve">1,481 </w:t>
                </w:r>
              </w:p>
            </w:tc>
            <w:tc>
              <w:tcPr>
                <w:tcW w:w="1393" w:type="dxa"/>
                <w:shd w:val="clear" w:color="auto" w:fill="auto"/>
                <w:vAlign w:val="center"/>
              </w:tcPr>
              <w:p>
                <w:pPr>
                  <w:jc w:val="right"/>
                  <w:rPr>
                    <w:sz w:val="21"/>
                    <w:szCs w:val="21"/>
                  </w:rPr>
                </w:pPr>
                <w:r>
                  <w:rPr>
                    <w:sz w:val="21"/>
                    <w:szCs w:val="21"/>
                  </w:rPr>
                  <w:t xml:space="preserve">-236 </w:t>
                </w:r>
              </w:p>
            </w:tc>
            <w:tc>
              <w:tcPr>
                <w:tcW w:w="1461" w:type="dxa"/>
                <w:shd w:val="clear" w:color="auto" w:fill="auto"/>
                <w:vAlign w:val="center"/>
              </w:tcPr>
              <w:p>
                <w:pPr>
                  <w:jc w:val="right"/>
                  <w:rPr>
                    <w:sz w:val="21"/>
                    <w:szCs w:val="21"/>
                  </w:rPr>
                </w:pPr>
                <w:r>
                  <w:rPr>
                    <w:sz w:val="21"/>
                    <w:szCs w:val="21"/>
                  </w:rPr>
                  <w:t xml:space="preserve">-15.95 </w:t>
                </w:r>
              </w:p>
            </w:tc>
          </w:tr>
          <w:tr>
            <w:trPr>
              <w:trHeight w:val="88"/>
              <w:jc w:val="center"/>
            </w:trPr>
            <w:tc>
              <w:tcPr>
                <w:tcW w:w="1555" w:type="dxa"/>
                <w:vMerge/>
                <w:vAlign w:val="center"/>
              </w:tcPr>
              <w:p>
                <w:pPr>
                  <w:widowControl w:val="0"/>
                  <w:jc w:val="both"/>
                  <w:rPr>
                    <w:rFonts w:cs="Times New Roman"/>
                    <w:kern w:val="2"/>
                    <w:sz w:val="21"/>
                    <w:szCs w:val="21"/>
                  </w:rPr>
                </w:pPr>
              </w:p>
            </w:tc>
            <w:tc>
              <w:tcPr>
                <w:tcW w:w="1599" w:type="dxa"/>
                <w:vAlign w:val="center"/>
              </w:tcPr>
              <w:p>
                <w:pPr>
                  <w:widowControl w:val="0"/>
                  <w:jc w:val="both"/>
                  <w:rPr>
                    <w:rFonts w:cs="Times New Roman"/>
                    <w:kern w:val="2"/>
                    <w:sz w:val="21"/>
                    <w:szCs w:val="21"/>
                  </w:rPr>
                </w:pPr>
                <w:r>
                  <w:rPr>
                    <w:rFonts w:cs="Times New Roman"/>
                    <w:kern w:val="2"/>
                    <w:sz w:val="21"/>
                    <w:szCs w:val="21"/>
                  </w:rPr>
                  <w:t>吨煤销售成本</w:t>
                </w:r>
              </w:p>
            </w:tc>
            <w:tc>
              <w:tcPr>
                <w:tcW w:w="857" w:type="dxa"/>
                <w:vAlign w:val="center"/>
              </w:tcPr>
              <w:p>
                <w:pPr>
                  <w:widowControl w:val="0"/>
                  <w:jc w:val="both"/>
                  <w:rPr>
                    <w:rFonts w:cs="Times New Roman"/>
                    <w:kern w:val="2"/>
                    <w:sz w:val="21"/>
                    <w:szCs w:val="21"/>
                  </w:rPr>
                </w:pPr>
                <w:r>
                  <w:rPr>
                    <w:rFonts w:cs="Times New Roman"/>
                    <w:kern w:val="2"/>
                    <w:sz w:val="21"/>
                    <w:szCs w:val="21"/>
                  </w:rPr>
                  <w:t>元/吨</w:t>
                </w:r>
              </w:p>
            </w:tc>
            <w:tc>
              <w:tcPr>
                <w:tcW w:w="1427" w:type="dxa"/>
                <w:shd w:val="clear" w:color="auto" w:fill="auto"/>
                <w:vAlign w:val="center"/>
              </w:tcPr>
              <w:p>
                <w:pPr>
                  <w:jc w:val="right"/>
                  <w:rPr>
                    <w:sz w:val="21"/>
                    <w:szCs w:val="21"/>
                  </w:rPr>
                </w:pPr>
                <w:r>
                  <w:rPr>
                    <w:sz w:val="21"/>
                    <w:szCs w:val="21"/>
                  </w:rPr>
                  <w:t xml:space="preserve">784.05 </w:t>
                </w:r>
              </w:p>
            </w:tc>
            <w:tc>
              <w:tcPr>
                <w:tcW w:w="1284" w:type="dxa"/>
                <w:shd w:val="clear" w:color="auto" w:fill="auto"/>
                <w:vAlign w:val="center"/>
              </w:tcPr>
              <w:p>
                <w:pPr>
                  <w:jc w:val="right"/>
                  <w:rPr>
                    <w:sz w:val="21"/>
                    <w:szCs w:val="21"/>
                  </w:rPr>
                </w:pPr>
                <w:r>
                  <w:rPr>
                    <w:sz w:val="21"/>
                    <w:szCs w:val="21"/>
                  </w:rPr>
                  <w:t xml:space="preserve">634.33 </w:t>
                </w:r>
              </w:p>
            </w:tc>
            <w:tc>
              <w:tcPr>
                <w:tcW w:w="1393" w:type="dxa"/>
                <w:shd w:val="clear" w:color="auto" w:fill="auto"/>
                <w:vAlign w:val="center"/>
              </w:tcPr>
              <w:p>
                <w:pPr>
                  <w:jc w:val="right"/>
                  <w:rPr>
                    <w:sz w:val="21"/>
                    <w:szCs w:val="21"/>
                  </w:rPr>
                </w:pPr>
                <w:r>
                  <w:rPr>
                    <w:sz w:val="21"/>
                    <w:szCs w:val="21"/>
                  </w:rPr>
                  <w:t xml:space="preserve">149.72 </w:t>
                </w:r>
              </w:p>
            </w:tc>
            <w:tc>
              <w:tcPr>
                <w:tcW w:w="1461" w:type="dxa"/>
                <w:shd w:val="clear" w:color="auto" w:fill="auto"/>
                <w:vAlign w:val="center"/>
              </w:tcPr>
              <w:p>
                <w:pPr>
                  <w:jc w:val="right"/>
                  <w:rPr>
                    <w:sz w:val="21"/>
                    <w:szCs w:val="21"/>
                  </w:rPr>
                </w:pPr>
                <w:r>
                  <w:rPr>
                    <w:sz w:val="21"/>
                    <w:szCs w:val="21"/>
                  </w:rPr>
                  <w:t xml:space="preserve">23.60 </w:t>
                </w:r>
              </w:p>
            </w:tc>
          </w:tr>
          <w:tr>
            <w:trPr>
              <w:trHeight w:val="88"/>
              <w:jc w:val="center"/>
            </w:trPr>
            <w:tc>
              <w:tcPr>
                <w:tcW w:w="1555" w:type="dxa"/>
                <w:vMerge w:val="restart"/>
                <w:vAlign w:val="center"/>
              </w:tcPr>
              <w:p>
                <w:pPr>
                  <w:widowControl w:val="0"/>
                  <w:jc w:val="both"/>
                  <w:rPr>
                    <w:rFonts w:cs="Times New Roman"/>
                    <w:kern w:val="2"/>
                    <w:sz w:val="21"/>
                    <w:szCs w:val="21"/>
                  </w:rPr>
                </w:pPr>
                <w:r>
                  <w:rPr>
                    <w:rFonts w:cs="Times New Roman" w:hint="eastAsia"/>
                    <w:kern w:val="2"/>
                    <w:sz w:val="21"/>
                    <w:szCs w:val="21"/>
                  </w:rPr>
                  <w:t>鲁西矿业</w:t>
                </w:r>
              </w:p>
            </w:tc>
            <w:tc>
              <w:tcPr>
                <w:tcW w:w="1599" w:type="dxa"/>
                <w:vAlign w:val="center"/>
              </w:tcPr>
              <w:p>
                <w:pPr>
                  <w:widowControl w:val="0"/>
                  <w:jc w:val="both"/>
                  <w:rPr>
                    <w:rFonts w:cs="Times New Roman"/>
                    <w:kern w:val="2"/>
                    <w:sz w:val="21"/>
                    <w:szCs w:val="21"/>
                  </w:rPr>
                </w:pPr>
                <w:r>
                  <w:rPr>
                    <w:rFonts w:cs="Times New Roman"/>
                    <w:kern w:val="2"/>
                    <w:sz w:val="21"/>
                    <w:szCs w:val="21"/>
                  </w:rPr>
                  <w:t>销售成本总额</w:t>
                </w:r>
              </w:p>
            </w:tc>
            <w:tc>
              <w:tcPr>
                <w:tcW w:w="857" w:type="dxa"/>
                <w:vAlign w:val="center"/>
              </w:tcPr>
              <w:p>
                <w:pPr>
                  <w:widowControl w:val="0"/>
                  <w:jc w:val="both"/>
                  <w:rPr>
                    <w:rFonts w:cs="Times New Roman"/>
                    <w:kern w:val="2"/>
                    <w:sz w:val="21"/>
                    <w:szCs w:val="21"/>
                  </w:rPr>
                </w:pPr>
                <w:r>
                  <w:rPr>
                    <w:rFonts w:cs="Times New Roman"/>
                    <w:kern w:val="2"/>
                    <w:sz w:val="21"/>
                    <w:szCs w:val="21"/>
                  </w:rPr>
                  <w:t>百万元</w:t>
                </w:r>
              </w:p>
            </w:tc>
            <w:tc>
              <w:tcPr>
                <w:tcW w:w="1427" w:type="dxa"/>
                <w:shd w:val="clear" w:color="auto" w:fill="auto"/>
                <w:vAlign w:val="center"/>
              </w:tcPr>
              <w:p>
                <w:pPr>
                  <w:jc w:val="right"/>
                  <w:rPr>
                    <w:sz w:val="21"/>
                    <w:szCs w:val="21"/>
                  </w:rPr>
                </w:pPr>
                <w:r>
                  <w:rPr>
                    <w:sz w:val="21"/>
                    <w:szCs w:val="21"/>
                  </w:rPr>
                  <w:t xml:space="preserve">6,361 </w:t>
                </w:r>
              </w:p>
            </w:tc>
            <w:tc>
              <w:tcPr>
                <w:tcW w:w="1284" w:type="dxa"/>
                <w:shd w:val="clear" w:color="auto" w:fill="auto"/>
                <w:vAlign w:val="center"/>
              </w:tcPr>
              <w:p>
                <w:pPr>
                  <w:jc w:val="right"/>
                  <w:rPr>
                    <w:sz w:val="21"/>
                    <w:szCs w:val="21"/>
                  </w:rPr>
                </w:pPr>
                <w:r>
                  <w:rPr>
                    <w:sz w:val="21"/>
                    <w:szCs w:val="21"/>
                  </w:rPr>
                  <w:t xml:space="preserve">6,887 </w:t>
                </w:r>
              </w:p>
            </w:tc>
            <w:tc>
              <w:tcPr>
                <w:tcW w:w="1393" w:type="dxa"/>
                <w:shd w:val="clear" w:color="auto" w:fill="auto"/>
                <w:vAlign w:val="center"/>
              </w:tcPr>
              <w:p>
                <w:pPr>
                  <w:jc w:val="right"/>
                  <w:rPr>
                    <w:sz w:val="21"/>
                    <w:szCs w:val="21"/>
                  </w:rPr>
                </w:pPr>
                <w:r>
                  <w:rPr>
                    <w:sz w:val="21"/>
                    <w:szCs w:val="21"/>
                  </w:rPr>
                  <w:t xml:space="preserve">-527 </w:t>
                </w:r>
              </w:p>
            </w:tc>
            <w:tc>
              <w:tcPr>
                <w:tcW w:w="1461" w:type="dxa"/>
                <w:shd w:val="clear" w:color="auto" w:fill="auto"/>
                <w:vAlign w:val="center"/>
              </w:tcPr>
              <w:p>
                <w:pPr>
                  <w:jc w:val="right"/>
                  <w:rPr>
                    <w:sz w:val="21"/>
                    <w:szCs w:val="21"/>
                  </w:rPr>
                </w:pPr>
                <w:r>
                  <w:rPr>
                    <w:sz w:val="21"/>
                    <w:szCs w:val="21"/>
                  </w:rPr>
                  <w:t xml:space="preserve">-7.65 </w:t>
                </w:r>
              </w:p>
            </w:tc>
          </w:tr>
          <w:tr>
            <w:trPr>
              <w:trHeight w:val="88"/>
              <w:jc w:val="center"/>
            </w:trPr>
            <w:tc>
              <w:tcPr>
                <w:tcW w:w="1555" w:type="dxa"/>
                <w:vMerge/>
                <w:vAlign w:val="center"/>
              </w:tcPr>
              <w:p>
                <w:pPr>
                  <w:widowControl w:val="0"/>
                  <w:jc w:val="both"/>
                  <w:rPr>
                    <w:rFonts w:cs="Times New Roman"/>
                    <w:kern w:val="2"/>
                    <w:sz w:val="21"/>
                    <w:szCs w:val="21"/>
                  </w:rPr>
                </w:pPr>
              </w:p>
            </w:tc>
            <w:tc>
              <w:tcPr>
                <w:tcW w:w="1599" w:type="dxa"/>
                <w:vAlign w:val="center"/>
              </w:tcPr>
              <w:p>
                <w:pPr>
                  <w:widowControl w:val="0"/>
                  <w:jc w:val="both"/>
                  <w:rPr>
                    <w:rFonts w:cs="Times New Roman"/>
                    <w:kern w:val="2"/>
                    <w:sz w:val="21"/>
                    <w:szCs w:val="21"/>
                  </w:rPr>
                </w:pPr>
                <w:r>
                  <w:rPr>
                    <w:rFonts w:cs="Times New Roman"/>
                    <w:kern w:val="2"/>
                    <w:sz w:val="21"/>
                    <w:szCs w:val="21"/>
                  </w:rPr>
                  <w:t>吨煤销售成本</w:t>
                </w:r>
              </w:p>
            </w:tc>
            <w:tc>
              <w:tcPr>
                <w:tcW w:w="857" w:type="dxa"/>
                <w:vAlign w:val="center"/>
              </w:tcPr>
              <w:p>
                <w:pPr>
                  <w:widowControl w:val="0"/>
                  <w:jc w:val="both"/>
                  <w:rPr>
                    <w:rFonts w:cs="Times New Roman"/>
                    <w:kern w:val="2"/>
                    <w:sz w:val="21"/>
                    <w:szCs w:val="21"/>
                  </w:rPr>
                </w:pPr>
                <w:r>
                  <w:rPr>
                    <w:rFonts w:cs="Times New Roman"/>
                    <w:kern w:val="2"/>
                    <w:sz w:val="21"/>
                    <w:szCs w:val="21"/>
                  </w:rPr>
                  <w:t>元/吨</w:t>
                </w:r>
              </w:p>
            </w:tc>
            <w:tc>
              <w:tcPr>
                <w:tcW w:w="1427" w:type="dxa"/>
                <w:shd w:val="clear" w:color="auto" w:fill="auto"/>
                <w:vAlign w:val="center"/>
              </w:tcPr>
              <w:p>
                <w:pPr>
                  <w:jc w:val="right"/>
                  <w:rPr>
                    <w:sz w:val="21"/>
                    <w:szCs w:val="21"/>
                  </w:rPr>
                </w:pPr>
                <w:r>
                  <w:rPr>
                    <w:sz w:val="21"/>
                    <w:szCs w:val="21"/>
                  </w:rPr>
                  <w:t xml:space="preserve">550.59 </w:t>
                </w:r>
              </w:p>
            </w:tc>
            <w:tc>
              <w:tcPr>
                <w:tcW w:w="1284" w:type="dxa"/>
                <w:shd w:val="clear" w:color="auto" w:fill="auto"/>
                <w:vAlign w:val="center"/>
              </w:tcPr>
              <w:p>
                <w:pPr>
                  <w:jc w:val="right"/>
                  <w:rPr>
                    <w:sz w:val="21"/>
                    <w:szCs w:val="21"/>
                  </w:rPr>
                </w:pPr>
                <w:r>
                  <w:rPr>
                    <w:sz w:val="21"/>
                    <w:szCs w:val="21"/>
                  </w:rPr>
                  <w:t xml:space="preserve">604.10 </w:t>
                </w:r>
              </w:p>
            </w:tc>
            <w:tc>
              <w:tcPr>
                <w:tcW w:w="1393" w:type="dxa"/>
                <w:shd w:val="clear" w:color="auto" w:fill="auto"/>
                <w:vAlign w:val="center"/>
              </w:tcPr>
              <w:p>
                <w:pPr>
                  <w:jc w:val="right"/>
                  <w:rPr>
                    <w:sz w:val="21"/>
                    <w:szCs w:val="21"/>
                  </w:rPr>
                </w:pPr>
                <w:r>
                  <w:rPr>
                    <w:sz w:val="21"/>
                    <w:szCs w:val="21"/>
                  </w:rPr>
                  <w:t xml:space="preserve">-53.51 </w:t>
                </w:r>
              </w:p>
            </w:tc>
            <w:tc>
              <w:tcPr>
                <w:tcW w:w="1461" w:type="dxa"/>
                <w:shd w:val="clear" w:color="auto" w:fill="auto"/>
                <w:vAlign w:val="center"/>
              </w:tcPr>
              <w:p>
                <w:pPr>
                  <w:jc w:val="right"/>
                  <w:rPr>
                    <w:sz w:val="21"/>
                    <w:szCs w:val="21"/>
                  </w:rPr>
                </w:pPr>
                <w:r>
                  <w:rPr>
                    <w:sz w:val="21"/>
                    <w:szCs w:val="21"/>
                  </w:rPr>
                  <w:t xml:space="preserve">-8.86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天池能源</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437 </w:t>
                </w:r>
              </w:p>
            </w:tc>
            <w:tc>
              <w:tcPr>
                <w:tcW w:w="1284" w:type="dxa"/>
                <w:shd w:val="clear" w:color="auto" w:fill="auto"/>
                <w:vAlign w:val="center"/>
                <w:hideMark/>
              </w:tcPr>
              <w:p>
                <w:pPr>
                  <w:jc w:val="right"/>
                  <w:rPr>
                    <w:sz w:val="21"/>
                    <w:szCs w:val="21"/>
                  </w:rPr>
                </w:pPr>
                <w:r>
                  <w:rPr>
                    <w:sz w:val="21"/>
                    <w:szCs w:val="21"/>
                  </w:rPr>
                  <w:t xml:space="preserve">407 </w:t>
                </w:r>
              </w:p>
            </w:tc>
            <w:tc>
              <w:tcPr>
                <w:tcW w:w="1393" w:type="dxa"/>
                <w:shd w:val="clear" w:color="auto" w:fill="auto"/>
                <w:vAlign w:val="center"/>
              </w:tcPr>
              <w:p>
                <w:pPr>
                  <w:jc w:val="right"/>
                  <w:rPr>
                    <w:sz w:val="21"/>
                    <w:szCs w:val="21"/>
                  </w:rPr>
                </w:pPr>
                <w:r>
                  <w:rPr>
                    <w:sz w:val="21"/>
                    <w:szCs w:val="21"/>
                  </w:rPr>
                  <w:t xml:space="preserve">30 </w:t>
                </w:r>
              </w:p>
            </w:tc>
            <w:tc>
              <w:tcPr>
                <w:tcW w:w="1461" w:type="dxa"/>
                <w:shd w:val="clear" w:color="auto" w:fill="auto"/>
                <w:vAlign w:val="center"/>
              </w:tcPr>
              <w:p>
                <w:pPr>
                  <w:jc w:val="right"/>
                  <w:rPr>
                    <w:sz w:val="21"/>
                    <w:szCs w:val="21"/>
                  </w:rPr>
                </w:pPr>
                <w:r>
                  <w:rPr>
                    <w:sz w:val="21"/>
                    <w:szCs w:val="21"/>
                  </w:rPr>
                  <w:t xml:space="preserve">7.41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356.02 </w:t>
                </w:r>
              </w:p>
            </w:tc>
            <w:tc>
              <w:tcPr>
                <w:tcW w:w="1284" w:type="dxa"/>
                <w:shd w:val="clear" w:color="auto" w:fill="auto"/>
                <w:vAlign w:val="center"/>
                <w:hideMark/>
              </w:tcPr>
              <w:p>
                <w:pPr>
                  <w:jc w:val="right"/>
                  <w:rPr>
                    <w:sz w:val="21"/>
                    <w:szCs w:val="21"/>
                  </w:rPr>
                </w:pPr>
                <w:r>
                  <w:rPr>
                    <w:sz w:val="21"/>
                    <w:szCs w:val="21"/>
                  </w:rPr>
                  <w:t xml:space="preserve">337.41 </w:t>
                </w:r>
              </w:p>
            </w:tc>
            <w:tc>
              <w:tcPr>
                <w:tcW w:w="1393" w:type="dxa"/>
                <w:shd w:val="clear" w:color="auto" w:fill="auto"/>
                <w:vAlign w:val="center"/>
              </w:tcPr>
              <w:p>
                <w:pPr>
                  <w:jc w:val="right"/>
                  <w:rPr>
                    <w:sz w:val="21"/>
                    <w:szCs w:val="21"/>
                  </w:rPr>
                </w:pPr>
                <w:r>
                  <w:rPr>
                    <w:sz w:val="21"/>
                    <w:szCs w:val="21"/>
                  </w:rPr>
                  <w:t xml:space="preserve">18.61 </w:t>
                </w:r>
              </w:p>
            </w:tc>
            <w:tc>
              <w:tcPr>
                <w:tcW w:w="1461" w:type="dxa"/>
                <w:shd w:val="clear" w:color="auto" w:fill="auto"/>
                <w:vAlign w:val="center"/>
              </w:tcPr>
              <w:p>
                <w:pPr>
                  <w:jc w:val="right"/>
                  <w:rPr>
                    <w:sz w:val="21"/>
                    <w:szCs w:val="21"/>
                  </w:rPr>
                </w:pPr>
                <w:r>
                  <w:rPr>
                    <w:sz w:val="21"/>
                    <w:szCs w:val="21"/>
                  </w:rPr>
                  <w:t xml:space="preserve">5.52 </w:t>
                </w:r>
              </w:p>
            </w:tc>
          </w:tr>
          <w:tr>
            <w:trPr>
              <w:trHeight w:val="88"/>
              <w:jc w:val="center"/>
            </w:trPr>
            <w:tc>
              <w:tcPr>
                <w:tcW w:w="1555" w:type="dxa"/>
                <w:vMerge w:val="restart"/>
                <w:vAlign w:val="center"/>
              </w:tcPr>
              <w:p>
                <w:pPr>
                  <w:widowControl w:val="0"/>
                  <w:jc w:val="both"/>
                  <w:rPr>
                    <w:rFonts w:cs="Times New Roman"/>
                    <w:kern w:val="2"/>
                    <w:sz w:val="21"/>
                    <w:szCs w:val="21"/>
                  </w:rPr>
                </w:pPr>
                <w:r>
                  <w:rPr>
                    <w:rFonts w:cs="Times New Roman" w:hint="eastAsia"/>
                    <w:kern w:val="2"/>
                    <w:sz w:val="21"/>
                    <w:szCs w:val="21"/>
                  </w:rPr>
                  <w:t>未来能源</w:t>
                </w:r>
              </w:p>
            </w:tc>
            <w:tc>
              <w:tcPr>
                <w:tcW w:w="1599" w:type="dxa"/>
                <w:vAlign w:val="center"/>
              </w:tcPr>
              <w:p>
                <w:pPr>
                  <w:widowControl w:val="0"/>
                  <w:jc w:val="both"/>
                  <w:rPr>
                    <w:rFonts w:cs="Times New Roman"/>
                    <w:kern w:val="2"/>
                    <w:sz w:val="21"/>
                    <w:szCs w:val="21"/>
                  </w:rPr>
                </w:pPr>
                <w:r>
                  <w:rPr>
                    <w:rFonts w:cs="Times New Roman"/>
                    <w:kern w:val="2"/>
                    <w:sz w:val="21"/>
                    <w:szCs w:val="21"/>
                  </w:rPr>
                  <w:t>销售成本总额</w:t>
                </w:r>
              </w:p>
            </w:tc>
            <w:tc>
              <w:tcPr>
                <w:tcW w:w="857" w:type="dxa"/>
                <w:vAlign w:val="center"/>
              </w:tcPr>
              <w:p>
                <w:pPr>
                  <w:widowControl w:val="0"/>
                  <w:jc w:val="both"/>
                  <w:rPr>
                    <w:rFonts w:cs="Times New Roman"/>
                    <w:kern w:val="2"/>
                    <w:sz w:val="21"/>
                    <w:szCs w:val="21"/>
                  </w:rPr>
                </w:pPr>
                <w:r>
                  <w:rPr>
                    <w:rFonts w:cs="Times New Roman"/>
                    <w:kern w:val="2"/>
                    <w:sz w:val="21"/>
                    <w:szCs w:val="21"/>
                  </w:rPr>
                  <w:t>百万元</w:t>
                </w:r>
              </w:p>
            </w:tc>
            <w:tc>
              <w:tcPr>
                <w:tcW w:w="1427" w:type="dxa"/>
                <w:shd w:val="clear" w:color="auto" w:fill="auto"/>
                <w:vAlign w:val="center"/>
              </w:tcPr>
              <w:p>
                <w:pPr>
                  <w:jc w:val="right"/>
                  <w:rPr>
                    <w:sz w:val="21"/>
                    <w:szCs w:val="21"/>
                  </w:rPr>
                </w:pPr>
                <w:r>
                  <w:rPr>
                    <w:sz w:val="21"/>
                    <w:szCs w:val="21"/>
                  </w:rPr>
                  <w:t xml:space="preserve">2,055 </w:t>
                </w:r>
              </w:p>
            </w:tc>
            <w:tc>
              <w:tcPr>
                <w:tcW w:w="1284" w:type="dxa"/>
                <w:shd w:val="clear" w:color="auto" w:fill="auto"/>
                <w:vAlign w:val="center"/>
              </w:tcPr>
              <w:p>
                <w:pPr>
                  <w:jc w:val="right"/>
                  <w:rPr>
                    <w:sz w:val="21"/>
                    <w:szCs w:val="21"/>
                  </w:rPr>
                </w:pPr>
                <w:r>
                  <w:rPr>
                    <w:sz w:val="21"/>
                    <w:szCs w:val="21"/>
                  </w:rPr>
                  <w:t xml:space="preserve">1,838 </w:t>
                </w:r>
              </w:p>
            </w:tc>
            <w:tc>
              <w:tcPr>
                <w:tcW w:w="1393" w:type="dxa"/>
                <w:shd w:val="clear" w:color="auto" w:fill="auto"/>
                <w:vAlign w:val="center"/>
              </w:tcPr>
              <w:p>
                <w:pPr>
                  <w:jc w:val="right"/>
                  <w:rPr>
                    <w:sz w:val="21"/>
                    <w:szCs w:val="21"/>
                  </w:rPr>
                </w:pPr>
                <w:r>
                  <w:rPr>
                    <w:sz w:val="21"/>
                    <w:szCs w:val="21"/>
                  </w:rPr>
                  <w:t xml:space="preserve">217 </w:t>
                </w:r>
              </w:p>
            </w:tc>
            <w:tc>
              <w:tcPr>
                <w:tcW w:w="1461" w:type="dxa"/>
                <w:shd w:val="clear" w:color="auto" w:fill="auto"/>
                <w:vAlign w:val="center"/>
              </w:tcPr>
              <w:p>
                <w:pPr>
                  <w:jc w:val="right"/>
                  <w:rPr>
                    <w:sz w:val="21"/>
                    <w:szCs w:val="21"/>
                  </w:rPr>
                </w:pPr>
                <w:r>
                  <w:rPr>
                    <w:sz w:val="21"/>
                    <w:szCs w:val="21"/>
                  </w:rPr>
                  <w:t xml:space="preserve">11.80 </w:t>
                </w:r>
              </w:p>
            </w:tc>
          </w:tr>
          <w:tr>
            <w:trPr>
              <w:trHeight w:val="88"/>
              <w:jc w:val="center"/>
            </w:trPr>
            <w:tc>
              <w:tcPr>
                <w:tcW w:w="1555" w:type="dxa"/>
                <w:vMerge/>
                <w:vAlign w:val="center"/>
              </w:tcPr>
              <w:p>
                <w:pPr>
                  <w:widowControl w:val="0"/>
                  <w:jc w:val="both"/>
                  <w:rPr>
                    <w:rFonts w:cs="Times New Roman"/>
                    <w:kern w:val="2"/>
                    <w:sz w:val="21"/>
                    <w:szCs w:val="21"/>
                  </w:rPr>
                </w:pPr>
              </w:p>
            </w:tc>
            <w:tc>
              <w:tcPr>
                <w:tcW w:w="1599" w:type="dxa"/>
                <w:vAlign w:val="center"/>
              </w:tcPr>
              <w:p>
                <w:pPr>
                  <w:widowControl w:val="0"/>
                  <w:jc w:val="both"/>
                  <w:rPr>
                    <w:rFonts w:cs="Times New Roman"/>
                    <w:kern w:val="2"/>
                    <w:sz w:val="21"/>
                    <w:szCs w:val="21"/>
                  </w:rPr>
                </w:pPr>
                <w:r>
                  <w:rPr>
                    <w:rFonts w:cs="Times New Roman"/>
                    <w:kern w:val="2"/>
                    <w:sz w:val="21"/>
                    <w:szCs w:val="21"/>
                  </w:rPr>
                  <w:t>吨煤销售成本</w:t>
                </w:r>
              </w:p>
            </w:tc>
            <w:tc>
              <w:tcPr>
                <w:tcW w:w="857" w:type="dxa"/>
                <w:vAlign w:val="center"/>
              </w:tcPr>
              <w:p>
                <w:pPr>
                  <w:widowControl w:val="0"/>
                  <w:jc w:val="both"/>
                  <w:rPr>
                    <w:rFonts w:cs="Times New Roman"/>
                    <w:kern w:val="2"/>
                    <w:sz w:val="21"/>
                    <w:szCs w:val="21"/>
                  </w:rPr>
                </w:pPr>
                <w:r>
                  <w:rPr>
                    <w:rFonts w:cs="Times New Roman"/>
                    <w:kern w:val="2"/>
                    <w:sz w:val="21"/>
                    <w:szCs w:val="21"/>
                  </w:rPr>
                  <w:t>元/吨</w:t>
                </w:r>
              </w:p>
            </w:tc>
            <w:tc>
              <w:tcPr>
                <w:tcW w:w="1427" w:type="dxa"/>
                <w:shd w:val="clear" w:color="auto" w:fill="auto"/>
                <w:vAlign w:val="center"/>
              </w:tcPr>
              <w:p>
                <w:pPr>
                  <w:jc w:val="right"/>
                  <w:rPr>
                    <w:sz w:val="21"/>
                    <w:szCs w:val="21"/>
                  </w:rPr>
                </w:pPr>
                <w:r>
                  <w:rPr>
                    <w:sz w:val="21"/>
                    <w:szCs w:val="21"/>
                  </w:rPr>
                  <w:t xml:space="preserve">136.14 </w:t>
                </w:r>
              </w:p>
            </w:tc>
            <w:tc>
              <w:tcPr>
                <w:tcW w:w="1284" w:type="dxa"/>
                <w:shd w:val="clear" w:color="auto" w:fill="auto"/>
                <w:vAlign w:val="center"/>
              </w:tcPr>
              <w:p>
                <w:pPr>
                  <w:jc w:val="right"/>
                  <w:rPr>
                    <w:sz w:val="21"/>
                    <w:szCs w:val="21"/>
                  </w:rPr>
                </w:pPr>
                <w:r>
                  <w:rPr>
                    <w:sz w:val="21"/>
                    <w:szCs w:val="21"/>
                  </w:rPr>
                  <w:t xml:space="preserve">132.84 </w:t>
                </w:r>
              </w:p>
            </w:tc>
            <w:tc>
              <w:tcPr>
                <w:tcW w:w="1393" w:type="dxa"/>
                <w:shd w:val="clear" w:color="auto" w:fill="auto"/>
                <w:vAlign w:val="center"/>
              </w:tcPr>
              <w:p>
                <w:pPr>
                  <w:jc w:val="right"/>
                  <w:rPr>
                    <w:sz w:val="21"/>
                    <w:szCs w:val="21"/>
                  </w:rPr>
                </w:pPr>
                <w:r>
                  <w:rPr>
                    <w:sz w:val="21"/>
                    <w:szCs w:val="21"/>
                  </w:rPr>
                  <w:t xml:space="preserve">3.30 </w:t>
                </w:r>
              </w:p>
            </w:tc>
            <w:tc>
              <w:tcPr>
                <w:tcW w:w="1461" w:type="dxa"/>
                <w:shd w:val="clear" w:color="auto" w:fill="auto"/>
                <w:vAlign w:val="center"/>
              </w:tcPr>
              <w:p>
                <w:pPr>
                  <w:jc w:val="right"/>
                  <w:rPr>
                    <w:sz w:val="21"/>
                    <w:szCs w:val="21"/>
                  </w:rPr>
                </w:pPr>
                <w:r>
                  <w:rPr>
                    <w:sz w:val="21"/>
                    <w:szCs w:val="21"/>
                  </w:rPr>
                  <w:t xml:space="preserve">2.49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鄂尔多斯公司</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1,746 </w:t>
                </w:r>
              </w:p>
            </w:tc>
            <w:tc>
              <w:tcPr>
                <w:tcW w:w="1284" w:type="dxa"/>
                <w:shd w:val="clear" w:color="auto" w:fill="auto"/>
                <w:vAlign w:val="center"/>
                <w:hideMark/>
              </w:tcPr>
              <w:p>
                <w:pPr>
                  <w:jc w:val="right"/>
                  <w:rPr>
                    <w:sz w:val="21"/>
                    <w:szCs w:val="21"/>
                  </w:rPr>
                </w:pPr>
                <w:r>
                  <w:rPr>
                    <w:sz w:val="21"/>
                    <w:szCs w:val="21"/>
                  </w:rPr>
                  <w:t xml:space="preserve">1,495 </w:t>
                </w:r>
              </w:p>
            </w:tc>
            <w:tc>
              <w:tcPr>
                <w:tcW w:w="1393" w:type="dxa"/>
                <w:shd w:val="clear" w:color="auto" w:fill="auto"/>
                <w:vAlign w:val="center"/>
              </w:tcPr>
              <w:p>
                <w:pPr>
                  <w:jc w:val="right"/>
                  <w:rPr>
                    <w:sz w:val="21"/>
                    <w:szCs w:val="21"/>
                  </w:rPr>
                </w:pPr>
                <w:r>
                  <w:rPr>
                    <w:sz w:val="21"/>
                    <w:szCs w:val="21"/>
                  </w:rPr>
                  <w:t xml:space="preserve">251 </w:t>
                </w:r>
              </w:p>
            </w:tc>
            <w:tc>
              <w:tcPr>
                <w:tcW w:w="1461" w:type="dxa"/>
                <w:shd w:val="clear" w:color="auto" w:fill="auto"/>
                <w:vAlign w:val="center"/>
              </w:tcPr>
              <w:p>
                <w:pPr>
                  <w:jc w:val="right"/>
                  <w:rPr>
                    <w:sz w:val="21"/>
                    <w:szCs w:val="21"/>
                  </w:rPr>
                </w:pPr>
                <w:r>
                  <w:rPr>
                    <w:sz w:val="21"/>
                    <w:szCs w:val="21"/>
                  </w:rPr>
                  <w:t xml:space="preserve">16.81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183.20 </w:t>
                </w:r>
              </w:p>
            </w:tc>
            <w:tc>
              <w:tcPr>
                <w:tcW w:w="1284" w:type="dxa"/>
                <w:shd w:val="clear" w:color="auto" w:fill="auto"/>
                <w:vAlign w:val="center"/>
                <w:hideMark/>
              </w:tcPr>
              <w:p>
                <w:pPr>
                  <w:jc w:val="right"/>
                  <w:rPr>
                    <w:sz w:val="21"/>
                    <w:szCs w:val="21"/>
                  </w:rPr>
                </w:pPr>
                <w:r>
                  <w:rPr>
                    <w:sz w:val="21"/>
                    <w:szCs w:val="21"/>
                  </w:rPr>
                  <w:t xml:space="preserve">195.57 </w:t>
                </w:r>
              </w:p>
            </w:tc>
            <w:tc>
              <w:tcPr>
                <w:tcW w:w="1393" w:type="dxa"/>
                <w:shd w:val="clear" w:color="auto" w:fill="auto"/>
                <w:vAlign w:val="center"/>
              </w:tcPr>
              <w:p>
                <w:pPr>
                  <w:jc w:val="right"/>
                  <w:rPr>
                    <w:sz w:val="21"/>
                    <w:szCs w:val="21"/>
                  </w:rPr>
                </w:pPr>
                <w:r>
                  <w:rPr>
                    <w:sz w:val="21"/>
                    <w:szCs w:val="21"/>
                  </w:rPr>
                  <w:t xml:space="preserve">-12.37 </w:t>
                </w:r>
              </w:p>
            </w:tc>
            <w:tc>
              <w:tcPr>
                <w:tcW w:w="1461" w:type="dxa"/>
                <w:shd w:val="clear" w:color="auto" w:fill="auto"/>
                <w:vAlign w:val="center"/>
              </w:tcPr>
              <w:p>
                <w:pPr>
                  <w:jc w:val="right"/>
                  <w:rPr>
                    <w:sz w:val="21"/>
                    <w:szCs w:val="21"/>
                  </w:rPr>
                </w:pPr>
                <w:r>
                  <w:rPr>
                    <w:sz w:val="21"/>
                    <w:szCs w:val="21"/>
                  </w:rPr>
                  <w:t xml:space="preserve">-6.32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昊盛煤业</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2,040 </w:t>
                </w:r>
              </w:p>
            </w:tc>
            <w:tc>
              <w:tcPr>
                <w:tcW w:w="1284" w:type="dxa"/>
                <w:shd w:val="clear" w:color="auto" w:fill="auto"/>
                <w:vAlign w:val="center"/>
                <w:hideMark/>
              </w:tcPr>
              <w:p>
                <w:pPr>
                  <w:jc w:val="right"/>
                  <w:rPr>
                    <w:sz w:val="21"/>
                    <w:szCs w:val="21"/>
                  </w:rPr>
                </w:pPr>
                <w:r>
                  <w:rPr>
                    <w:sz w:val="21"/>
                    <w:szCs w:val="21"/>
                  </w:rPr>
                  <w:t xml:space="preserve">1,652 </w:t>
                </w:r>
              </w:p>
            </w:tc>
            <w:tc>
              <w:tcPr>
                <w:tcW w:w="1393" w:type="dxa"/>
                <w:shd w:val="clear" w:color="auto" w:fill="auto"/>
                <w:vAlign w:val="center"/>
              </w:tcPr>
              <w:p>
                <w:pPr>
                  <w:jc w:val="right"/>
                  <w:rPr>
                    <w:sz w:val="21"/>
                    <w:szCs w:val="21"/>
                  </w:rPr>
                </w:pPr>
                <w:r>
                  <w:rPr>
                    <w:sz w:val="21"/>
                    <w:szCs w:val="21"/>
                  </w:rPr>
                  <w:t xml:space="preserve">389 </w:t>
                </w:r>
              </w:p>
            </w:tc>
            <w:tc>
              <w:tcPr>
                <w:tcW w:w="1461" w:type="dxa"/>
                <w:shd w:val="clear" w:color="auto" w:fill="auto"/>
                <w:vAlign w:val="center"/>
              </w:tcPr>
              <w:p>
                <w:pPr>
                  <w:jc w:val="right"/>
                  <w:rPr>
                    <w:sz w:val="21"/>
                    <w:szCs w:val="21"/>
                  </w:rPr>
                </w:pPr>
                <w:r>
                  <w:rPr>
                    <w:sz w:val="21"/>
                    <w:szCs w:val="21"/>
                  </w:rPr>
                  <w:t xml:space="preserve">23.54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328.58 </w:t>
                </w:r>
              </w:p>
            </w:tc>
            <w:tc>
              <w:tcPr>
                <w:tcW w:w="1284" w:type="dxa"/>
                <w:shd w:val="clear" w:color="auto" w:fill="auto"/>
                <w:vAlign w:val="center"/>
                <w:hideMark/>
              </w:tcPr>
              <w:p>
                <w:pPr>
                  <w:jc w:val="right"/>
                  <w:rPr>
                    <w:sz w:val="21"/>
                    <w:szCs w:val="21"/>
                  </w:rPr>
                </w:pPr>
                <w:r>
                  <w:rPr>
                    <w:sz w:val="21"/>
                    <w:szCs w:val="21"/>
                  </w:rPr>
                  <w:t xml:space="preserve">358.51 </w:t>
                </w:r>
              </w:p>
            </w:tc>
            <w:tc>
              <w:tcPr>
                <w:tcW w:w="1393" w:type="dxa"/>
                <w:shd w:val="clear" w:color="auto" w:fill="auto"/>
                <w:vAlign w:val="center"/>
              </w:tcPr>
              <w:p>
                <w:pPr>
                  <w:jc w:val="right"/>
                  <w:rPr>
                    <w:sz w:val="21"/>
                    <w:szCs w:val="21"/>
                  </w:rPr>
                </w:pPr>
                <w:r>
                  <w:rPr>
                    <w:sz w:val="21"/>
                    <w:szCs w:val="21"/>
                  </w:rPr>
                  <w:t xml:space="preserve">-29.93 </w:t>
                </w:r>
              </w:p>
            </w:tc>
            <w:tc>
              <w:tcPr>
                <w:tcW w:w="1461" w:type="dxa"/>
                <w:shd w:val="clear" w:color="auto" w:fill="auto"/>
                <w:vAlign w:val="center"/>
              </w:tcPr>
              <w:p>
                <w:pPr>
                  <w:jc w:val="right"/>
                  <w:rPr>
                    <w:sz w:val="21"/>
                    <w:szCs w:val="21"/>
                  </w:rPr>
                </w:pPr>
                <w:r>
                  <w:rPr>
                    <w:sz w:val="21"/>
                    <w:szCs w:val="21"/>
                  </w:rPr>
                  <w:t xml:space="preserve">-8.35 </w:t>
                </w:r>
              </w:p>
            </w:tc>
          </w:tr>
          <w:tr>
            <w:trPr>
              <w:trHeight w:val="88"/>
              <w:jc w:val="center"/>
            </w:trPr>
            <w:tc>
              <w:tcPr>
                <w:tcW w:w="1555" w:type="dxa"/>
                <w:vMerge w:val="restart"/>
                <w:vAlign w:val="center"/>
              </w:tcPr>
              <w:p>
                <w:pPr>
                  <w:widowControl w:val="0"/>
                  <w:jc w:val="both"/>
                  <w:rPr>
                    <w:rFonts w:cs="Times New Roman"/>
                    <w:kern w:val="2"/>
                    <w:sz w:val="21"/>
                    <w:szCs w:val="21"/>
                  </w:rPr>
                </w:pPr>
                <w:r>
                  <w:rPr>
                    <w:rFonts w:cs="Times New Roman" w:hint="eastAsia"/>
                    <w:kern w:val="2"/>
                    <w:sz w:val="21"/>
                    <w:szCs w:val="21"/>
                  </w:rPr>
                  <w:t>内蒙古矿业</w:t>
                </w:r>
              </w:p>
            </w:tc>
            <w:tc>
              <w:tcPr>
                <w:tcW w:w="1599" w:type="dxa"/>
                <w:vAlign w:val="center"/>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1,794 </w:t>
                </w:r>
              </w:p>
            </w:tc>
            <w:tc>
              <w:tcPr>
                <w:tcW w:w="1284" w:type="dxa"/>
                <w:shd w:val="clear" w:color="auto" w:fill="auto"/>
                <w:vAlign w:val="center"/>
              </w:tcPr>
              <w:p>
                <w:pPr>
                  <w:jc w:val="right"/>
                  <w:rPr>
                    <w:sz w:val="21"/>
                    <w:szCs w:val="21"/>
                  </w:rPr>
                </w:pPr>
                <w:r>
                  <w:rPr>
                    <w:sz w:val="21"/>
                    <w:szCs w:val="21"/>
                  </w:rPr>
                  <w:t xml:space="preserve">1,303 </w:t>
                </w:r>
              </w:p>
            </w:tc>
            <w:tc>
              <w:tcPr>
                <w:tcW w:w="1393" w:type="dxa"/>
                <w:shd w:val="clear" w:color="auto" w:fill="auto"/>
                <w:vAlign w:val="center"/>
              </w:tcPr>
              <w:p>
                <w:pPr>
                  <w:jc w:val="right"/>
                  <w:rPr>
                    <w:sz w:val="21"/>
                    <w:szCs w:val="21"/>
                  </w:rPr>
                </w:pPr>
                <w:r>
                  <w:rPr>
                    <w:sz w:val="21"/>
                    <w:szCs w:val="21"/>
                  </w:rPr>
                  <w:t xml:space="preserve">491 </w:t>
                </w:r>
              </w:p>
            </w:tc>
            <w:tc>
              <w:tcPr>
                <w:tcW w:w="1461" w:type="dxa"/>
                <w:shd w:val="clear" w:color="auto" w:fill="auto"/>
                <w:vAlign w:val="center"/>
              </w:tcPr>
              <w:p>
                <w:pPr>
                  <w:jc w:val="right"/>
                  <w:rPr>
                    <w:sz w:val="21"/>
                    <w:szCs w:val="21"/>
                  </w:rPr>
                </w:pPr>
                <w:r>
                  <w:rPr>
                    <w:sz w:val="21"/>
                    <w:szCs w:val="21"/>
                  </w:rPr>
                  <w:t xml:space="preserve">37.73 </w:t>
                </w:r>
              </w:p>
            </w:tc>
          </w:tr>
          <w:tr>
            <w:trPr>
              <w:trHeight w:val="88"/>
              <w:jc w:val="center"/>
            </w:trPr>
            <w:tc>
              <w:tcPr>
                <w:tcW w:w="1555" w:type="dxa"/>
                <w:vMerge/>
                <w:vAlign w:val="center"/>
              </w:tcPr>
              <w:p>
                <w:pPr>
                  <w:widowControl w:val="0"/>
                  <w:jc w:val="both"/>
                  <w:rPr>
                    <w:rFonts w:cs="Times New Roman"/>
                    <w:kern w:val="2"/>
                    <w:sz w:val="21"/>
                    <w:szCs w:val="21"/>
                  </w:rPr>
                </w:pPr>
              </w:p>
            </w:tc>
            <w:tc>
              <w:tcPr>
                <w:tcW w:w="1599" w:type="dxa"/>
                <w:vAlign w:val="center"/>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270.75 </w:t>
                </w:r>
              </w:p>
            </w:tc>
            <w:tc>
              <w:tcPr>
                <w:tcW w:w="1284" w:type="dxa"/>
                <w:shd w:val="clear" w:color="auto" w:fill="auto"/>
                <w:vAlign w:val="center"/>
              </w:tcPr>
              <w:p>
                <w:pPr>
                  <w:jc w:val="right"/>
                  <w:rPr>
                    <w:sz w:val="21"/>
                    <w:szCs w:val="21"/>
                  </w:rPr>
                </w:pPr>
                <w:r>
                  <w:rPr>
                    <w:sz w:val="21"/>
                    <w:szCs w:val="21"/>
                  </w:rPr>
                  <w:t xml:space="preserve">331.33 </w:t>
                </w:r>
              </w:p>
            </w:tc>
            <w:tc>
              <w:tcPr>
                <w:tcW w:w="1393" w:type="dxa"/>
                <w:shd w:val="clear" w:color="auto" w:fill="auto"/>
                <w:vAlign w:val="center"/>
              </w:tcPr>
              <w:p>
                <w:pPr>
                  <w:jc w:val="right"/>
                  <w:rPr>
                    <w:sz w:val="21"/>
                    <w:szCs w:val="21"/>
                  </w:rPr>
                </w:pPr>
                <w:r>
                  <w:rPr>
                    <w:sz w:val="21"/>
                    <w:szCs w:val="21"/>
                  </w:rPr>
                  <w:t xml:space="preserve">-60.58 </w:t>
                </w:r>
              </w:p>
            </w:tc>
            <w:tc>
              <w:tcPr>
                <w:tcW w:w="1461" w:type="dxa"/>
                <w:shd w:val="clear" w:color="auto" w:fill="auto"/>
                <w:vAlign w:val="center"/>
              </w:tcPr>
              <w:p>
                <w:pPr>
                  <w:jc w:val="right"/>
                  <w:rPr>
                    <w:sz w:val="21"/>
                    <w:szCs w:val="21"/>
                  </w:rPr>
                </w:pPr>
                <w:r>
                  <w:rPr>
                    <w:sz w:val="21"/>
                    <w:szCs w:val="21"/>
                  </w:rPr>
                  <w:t xml:space="preserve">-18.28 </w:t>
                </w:r>
              </w:p>
            </w:tc>
          </w:tr>
          <w:tr>
            <w:trPr>
              <w:trHeight w:val="88"/>
              <w:jc w:val="center"/>
            </w:trPr>
            <w:tc>
              <w:tcPr>
                <w:tcW w:w="1555" w:type="dxa"/>
                <w:vMerge w:val="restart"/>
                <w:vAlign w:val="center"/>
              </w:tcPr>
              <w:p>
                <w:pPr>
                  <w:widowControl w:val="0"/>
                  <w:jc w:val="both"/>
                  <w:rPr>
                    <w:rFonts w:cs="Times New Roman"/>
                    <w:kern w:val="2"/>
                    <w:sz w:val="21"/>
                    <w:szCs w:val="21"/>
                  </w:rPr>
                </w:pPr>
                <w:r>
                  <w:rPr>
                    <w:rFonts w:cs="Times New Roman" w:hint="eastAsia"/>
                    <w:kern w:val="2"/>
                    <w:sz w:val="21"/>
                    <w:szCs w:val="21"/>
                  </w:rPr>
                  <w:t>新疆能化</w:t>
                </w:r>
              </w:p>
            </w:tc>
            <w:tc>
              <w:tcPr>
                <w:tcW w:w="1599" w:type="dxa"/>
                <w:vAlign w:val="center"/>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1,870 </w:t>
                </w:r>
              </w:p>
            </w:tc>
            <w:tc>
              <w:tcPr>
                <w:tcW w:w="1284" w:type="dxa"/>
                <w:shd w:val="clear" w:color="auto" w:fill="auto"/>
                <w:vAlign w:val="center"/>
              </w:tcPr>
              <w:p>
                <w:pPr>
                  <w:jc w:val="right"/>
                  <w:rPr>
                    <w:sz w:val="21"/>
                    <w:szCs w:val="21"/>
                  </w:rPr>
                </w:pPr>
                <w:r>
                  <w:rPr>
                    <w:sz w:val="21"/>
                    <w:szCs w:val="21"/>
                  </w:rPr>
                  <w:t xml:space="preserve">1,932 </w:t>
                </w:r>
              </w:p>
            </w:tc>
            <w:tc>
              <w:tcPr>
                <w:tcW w:w="1393" w:type="dxa"/>
                <w:shd w:val="clear" w:color="auto" w:fill="auto"/>
                <w:vAlign w:val="center"/>
              </w:tcPr>
              <w:p>
                <w:pPr>
                  <w:jc w:val="right"/>
                  <w:rPr>
                    <w:sz w:val="21"/>
                    <w:szCs w:val="21"/>
                  </w:rPr>
                </w:pPr>
                <w:r>
                  <w:rPr>
                    <w:sz w:val="21"/>
                    <w:szCs w:val="21"/>
                  </w:rPr>
                  <w:t xml:space="preserve">-61 </w:t>
                </w:r>
              </w:p>
            </w:tc>
            <w:tc>
              <w:tcPr>
                <w:tcW w:w="1461" w:type="dxa"/>
                <w:shd w:val="clear" w:color="auto" w:fill="auto"/>
                <w:vAlign w:val="center"/>
              </w:tcPr>
              <w:p>
                <w:pPr>
                  <w:jc w:val="right"/>
                  <w:rPr>
                    <w:sz w:val="21"/>
                    <w:szCs w:val="21"/>
                  </w:rPr>
                </w:pPr>
                <w:r>
                  <w:rPr>
                    <w:sz w:val="21"/>
                    <w:szCs w:val="21"/>
                  </w:rPr>
                  <w:t xml:space="preserve">-3.16 </w:t>
                </w:r>
              </w:p>
            </w:tc>
          </w:tr>
          <w:tr>
            <w:trPr>
              <w:trHeight w:val="88"/>
              <w:jc w:val="center"/>
            </w:trPr>
            <w:tc>
              <w:tcPr>
                <w:tcW w:w="1555" w:type="dxa"/>
                <w:vMerge/>
                <w:vAlign w:val="center"/>
              </w:tcPr>
              <w:p>
                <w:pPr>
                  <w:widowControl w:val="0"/>
                  <w:jc w:val="both"/>
                  <w:rPr>
                    <w:rFonts w:cs="Times New Roman"/>
                    <w:kern w:val="2"/>
                    <w:sz w:val="21"/>
                    <w:szCs w:val="21"/>
                  </w:rPr>
                </w:pPr>
              </w:p>
            </w:tc>
            <w:tc>
              <w:tcPr>
                <w:tcW w:w="1599" w:type="dxa"/>
                <w:vAlign w:val="center"/>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99.13 </w:t>
                </w:r>
              </w:p>
            </w:tc>
            <w:tc>
              <w:tcPr>
                <w:tcW w:w="1284" w:type="dxa"/>
                <w:shd w:val="clear" w:color="auto" w:fill="auto"/>
                <w:vAlign w:val="center"/>
              </w:tcPr>
              <w:p>
                <w:pPr>
                  <w:jc w:val="right"/>
                  <w:rPr>
                    <w:sz w:val="21"/>
                    <w:szCs w:val="21"/>
                  </w:rPr>
                </w:pPr>
                <w:r>
                  <w:rPr>
                    <w:sz w:val="21"/>
                    <w:szCs w:val="21"/>
                  </w:rPr>
                  <w:t xml:space="preserve">101.86 </w:t>
                </w:r>
              </w:p>
            </w:tc>
            <w:tc>
              <w:tcPr>
                <w:tcW w:w="1393" w:type="dxa"/>
                <w:shd w:val="clear" w:color="auto" w:fill="auto"/>
                <w:vAlign w:val="center"/>
              </w:tcPr>
              <w:p>
                <w:pPr>
                  <w:jc w:val="right"/>
                  <w:rPr>
                    <w:sz w:val="21"/>
                    <w:szCs w:val="21"/>
                  </w:rPr>
                </w:pPr>
                <w:r>
                  <w:rPr>
                    <w:sz w:val="21"/>
                    <w:szCs w:val="21"/>
                  </w:rPr>
                  <w:t xml:space="preserve">-2.72 </w:t>
                </w:r>
              </w:p>
            </w:tc>
            <w:tc>
              <w:tcPr>
                <w:tcW w:w="1461" w:type="dxa"/>
                <w:shd w:val="clear" w:color="auto" w:fill="auto"/>
                <w:vAlign w:val="center"/>
              </w:tcPr>
              <w:p>
                <w:pPr>
                  <w:jc w:val="right"/>
                  <w:rPr>
                    <w:sz w:val="21"/>
                    <w:szCs w:val="21"/>
                  </w:rPr>
                </w:pPr>
                <w:r>
                  <w:rPr>
                    <w:sz w:val="21"/>
                    <w:szCs w:val="21"/>
                  </w:rPr>
                  <w:t xml:space="preserve">-2.67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兖煤澳洲</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19,228 </w:t>
                </w:r>
              </w:p>
            </w:tc>
            <w:tc>
              <w:tcPr>
                <w:tcW w:w="1284" w:type="dxa"/>
                <w:shd w:val="clear" w:color="auto" w:fill="auto"/>
                <w:vAlign w:val="center"/>
                <w:hideMark/>
              </w:tcPr>
              <w:p>
                <w:pPr>
                  <w:jc w:val="right"/>
                  <w:rPr>
                    <w:sz w:val="21"/>
                    <w:szCs w:val="21"/>
                  </w:rPr>
                </w:pPr>
                <w:r>
                  <w:rPr>
                    <w:sz w:val="21"/>
                    <w:szCs w:val="21"/>
                  </w:rPr>
                  <w:t xml:space="preserve">19,002 </w:t>
                </w:r>
              </w:p>
            </w:tc>
            <w:tc>
              <w:tcPr>
                <w:tcW w:w="1393" w:type="dxa"/>
                <w:shd w:val="clear" w:color="auto" w:fill="auto"/>
                <w:vAlign w:val="center"/>
              </w:tcPr>
              <w:p>
                <w:pPr>
                  <w:jc w:val="right"/>
                  <w:rPr>
                    <w:sz w:val="21"/>
                    <w:szCs w:val="21"/>
                  </w:rPr>
                </w:pPr>
                <w:r>
                  <w:rPr>
                    <w:sz w:val="21"/>
                    <w:szCs w:val="21"/>
                  </w:rPr>
                  <w:t xml:space="preserve">226 </w:t>
                </w:r>
              </w:p>
            </w:tc>
            <w:tc>
              <w:tcPr>
                <w:tcW w:w="1461" w:type="dxa"/>
                <w:shd w:val="clear" w:color="auto" w:fill="auto"/>
                <w:vAlign w:val="center"/>
              </w:tcPr>
              <w:p>
                <w:pPr>
                  <w:jc w:val="right"/>
                  <w:rPr>
                    <w:sz w:val="21"/>
                    <w:szCs w:val="21"/>
                  </w:rPr>
                </w:pPr>
                <w:r>
                  <w:rPr>
                    <w:sz w:val="21"/>
                    <w:szCs w:val="21"/>
                  </w:rPr>
                  <w:t xml:space="preserve">1.19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510.09 </w:t>
                </w:r>
              </w:p>
            </w:tc>
            <w:tc>
              <w:tcPr>
                <w:tcW w:w="1284" w:type="dxa"/>
                <w:shd w:val="clear" w:color="auto" w:fill="auto"/>
                <w:vAlign w:val="center"/>
                <w:hideMark/>
              </w:tcPr>
              <w:p>
                <w:pPr>
                  <w:jc w:val="right"/>
                  <w:rPr>
                    <w:sz w:val="21"/>
                    <w:szCs w:val="21"/>
                  </w:rPr>
                </w:pPr>
                <w:r>
                  <w:rPr>
                    <w:sz w:val="21"/>
                    <w:szCs w:val="21"/>
                  </w:rPr>
                  <w:t xml:space="preserve">574.04 </w:t>
                </w:r>
              </w:p>
            </w:tc>
            <w:tc>
              <w:tcPr>
                <w:tcW w:w="1393" w:type="dxa"/>
                <w:shd w:val="clear" w:color="auto" w:fill="auto"/>
                <w:vAlign w:val="center"/>
              </w:tcPr>
              <w:p>
                <w:pPr>
                  <w:jc w:val="right"/>
                  <w:rPr>
                    <w:sz w:val="21"/>
                    <w:szCs w:val="21"/>
                  </w:rPr>
                </w:pPr>
                <w:r>
                  <w:rPr>
                    <w:sz w:val="21"/>
                    <w:szCs w:val="21"/>
                  </w:rPr>
                  <w:t xml:space="preserve">-63.95 </w:t>
                </w:r>
              </w:p>
            </w:tc>
            <w:tc>
              <w:tcPr>
                <w:tcW w:w="1461" w:type="dxa"/>
                <w:shd w:val="clear" w:color="auto" w:fill="auto"/>
                <w:vAlign w:val="center"/>
              </w:tcPr>
              <w:p>
                <w:pPr>
                  <w:jc w:val="right"/>
                  <w:rPr>
                    <w:sz w:val="21"/>
                    <w:szCs w:val="21"/>
                  </w:rPr>
                </w:pPr>
                <w:r>
                  <w:rPr>
                    <w:sz w:val="21"/>
                    <w:szCs w:val="21"/>
                  </w:rPr>
                  <w:t xml:space="preserve">-11.14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兖煤国际</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2,758 </w:t>
                </w:r>
              </w:p>
            </w:tc>
            <w:tc>
              <w:tcPr>
                <w:tcW w:w="1284" w:type="dxa"/>
                <w:shd w:val="clear" w:color="auto" w:fill="auto"/>
                <w:vAlign w:val="center"/>
                <w:hideMark/>
              </w:tcPr>
              <w:p>
                <w:pPr>
                  <w:jc w:val="right"/>
                  <w:rPr>
                    <w:sz w:val="21"/>
                    <w:szCs w:val="21"/>
                  </w:rPr>
                </w:pPr>
                <w:r>
                  <w:rPr>
                    <w:sz w:val="21"/>
                    <w:szCs w:val="21"/>
                  </w:rPr>
                  <w:t xml:space="preserve">2,531 </w:t>
                </w:r>
              </w:p>
            </w:tc>
            <w:tc>
              <w:tcPr>
                <w:tcW w:w="1393" w:type="dxa"/>
                <w:shd w:val="clear" w:color="auto" w:fill="auto"/>
                <w:vAlign w:val="center"/>
              </w:tcPr>
              <w:p>
                <w:pPr>
                  <w:jc w:val="right"/>
                  <w:rPr>
                    <w:sz w:val="21"/>
                    <w:szCs w:val="21"/>
                  </w:rPr>
                </w:pPr>
                <w:r>
                  <w:rPr>
                    <w:sz w:val="21"/>
                    <w:szCs w:val="21"/>
                  </w:rPr>
                  <w:t xml:space="preserve">227 </w:t>
                </w:r>
              </w:p>
            </w:tc>
            <w:tc>
              <w:tcPr>
                <w:tcW w:w="1461" w:type="dxa"/>
                <w:shd w:val="clear" w:color="auto" w:fill="auto"/>
                <w:vAlign w:val="center"/>
              </w:tcPr>
              <w:p>
                <w:pPr>
                  <w:jc w:val="right"/>
                  <w:rPr>
                    <w:sz w:val="21"/>
                    <w:szCs w:val="21"/>
                  </w:rPr>
                </w:pPr>
                <w:r>
                  <w:rPr>
                    <w:sz w:val="21"/>
                    <w:szCs w:val="21"/>
                  </w:rPr>
                  <w:t xml:space="preserve">8.96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515.63 </w:t>
                </w:r>
              </w:p>
            </w:tc>
            <w:tc>
              <w:tcPr>
                <w:tcW w:w="1284" w:type="dxa"/>
                <w:shd w:val="clear" w:color="auto" w:fill="auto"/>
                <w:vAlign w:val="center"/>
                <w:hideMark/>
              </w:tcPr>
              <w:p>
                <w:pPr>
                  <w:jc w:val="right"/>
                  <w:rPr>
                    <w:sz w:val="21"/>
                    <w:szCs w:val="21"/>
                  </w:rPr>
                </w:pPr>
                <w:r>
                  <w:rPr>
                    <w:sz w:val="21"/>
                    <w:szCs w:val="21"/>
                  </w:rPr>
                  <w:t xml:space="preserve">474.89 </w:t>
                </w:r>
              </w:p>
            </w:tc>
            <w:tc>
              <w:tcPr>
                <w:tcW w:w="1393" w:type="dxa"/>
                <w:shd w:val="clear" w:color="auto" w:fill="auto"/>
                <w:vAlign w:val="center"/>
              </w:tcPr>
              <w:p>
                <w:pPr>
                  <w:jc w:val="right"/>
                  <w:rPr>
                    <w:sz w:val="21"/>
                    <w:szCs w:val="21"/>
                  </w:rPr>
                </w:pPr>
                <w:r>
                  <w:rPr>
                    <w:sz w:val="21"/>
                    <w:szCs w:val="21"/>
                  </w:rPr>
                  <w:t xml:space="preserve">40.75 </w:t>
                </w:r>
              </w:p>
            </w:tc>
            <w:tc>
              <w:tcPr>
                <w:tcW w:w="1461" w:type="dxa"/>
                <w:shd w:val="clear" w:color="auto" w:fill="auto"/>
                <w:vAlign w:val="center"/>
              </w:tcPr>
              <w:p>
                <w:pPr>
                  <w:jc w:val="right"/>
                  <w:rPr>
                    <w:sz w:val="21"/>
                    <w:szCs w:val="21"/>
                  </w:rPr>
                </w:pPr>
                <w:r>
                  <w:rPr>
                    <w:sz w:val="21"/>
                    <w:szCs w:val="21"/>
                  </w:rPr>
                  <w:t xml:space="preserve">8.58 </w:t>
                </w:r>
              </w:p>
            </w:tc>
          </w:tr>
          <w:tr>
            <w:trPr>
              <w:trHeight w:val="88"/>
              <w:jc w:val="center"/>
            </w:trPr>
            <w:tc>
              <w:tcPr>
                <w:tcW w:w="1555" w:type="dxa"/>
                <w:vMerge w:val="restart"/>
                <w:vAlign w:val="center"/>
                <w:hideMark/>
              </w:tcPr>
              <w:p>
                <w:pPr>
                  <w:widowControl w:val="0"/>
                  <w:jc w:val="both"/>
                  <w:rPr>
                    <w:rFonts w:cs="Times New Roman"/>
                    <w:kern w:val="2"/>
                    <w:sz w:val="21"/>
                    <w:szCs w:val="21"/>
                  </w:rPr>
                </w:pPr>
                <w:r>
                  <w:rPr>
                    <w:rFonts w:cs="Times New Roman" w:hint="eastAsia"/>
                    <w:kern w:val="2"/>
                    <w:sz w:val="21"/>
                    <w:szCs w:val="21"/>
                  </w:rPr>
                  <w:t>贸易煤</w:t>
                </w: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销售成本总额</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百万元</w:t>
                </w:r>
              </w:p>
            </w:tc>
            <w:tc>
              <w:tcPr>
                <w:tcW w:w="1427" w:type="dxa"/>
                <w:shd w:val="clear" w:color="auto" w:fill="auto"/>
                <w:vAlign w:val="center"/>
              </w:tcPr>
              <w:p>
                <w:pPr>
                  <w:jc w:val="right"/>
                  <w:rPr>
                    <w:sz w:val="21"/>
                    <w:szCs w:val="21"/>
                  </w:rPr>
                </w:pPr>
                <w:r>
                  <w:rPr>
                    <w:sz w:val="21"/>
                    <w:szCs w:val="21"/>
                  </w:rPr>
                  <w:t xml:space="preserve">5,986 </w:t>
                </w:r>
              </w:p>
            </w:tc>
            <w:tc>
              <w:tcPr>
                <w:tcW w:w="1284" w:type="dxa"/>
                <w:shd w:val="clear" w:color="auto" w:fill="auto"/>
                <w:vAlign w:val="center"/>
              </w:tcPr>
              <w:p>
                <w:pPr>
                  <w:jc w:val="right"/>
                  <w:rPr>
                    <w:sz w:val="21"/>
                    <w:szCs w:val="21"/>
                  </w:rPr>
                </w:pPr>
                <w:r>
                  <w:rPr>
                    <w:sz w:val="21"/>
                    <w:szCs w:val="21"/>
                  </w:rPr>
                  <w:t xml:space="preserve">7,058 </w:t>
                </w:r>
              </w:p>
            </w:tc>
            <w:tc>
              <w:tcPr>
                <w:tcW w:w="1393" w:type="dxa"/>
                <w:shd w:val="clear" w:color="auto" w:fill="auto"/>
                <w:vAlign w:val="center"/>
              </w:tcPr>
              <w:p>
                <w:pPr>
                  <w:jc w:val="right"/>
                  <w:rPr>
                    <w:sz w:val="21"/>
                    <w:szCs w:val="21"/>
                  </w:rPr>
                </w:pPr>
                <w:r>
                  <w:rPr>
                    <w:sz w:val="21"/>
                    <w:szCs w:val="21"/>
                  </w:rPr>
                  <w:t xml:space="preserve">-1,072 </w:t>
                </w:r>
              </w:p>
            </w:tc>
            <w:tc>
              <w:tcPr>
                <w:tcW w:w="1461" w:type="dxa"/>
                <w:shd w:val="clear" w:color="auto" w:fill="auto"/>
                <w:vAlign w:val="center"/>
              </w:tcPr>
              <w:p>
                <w:pPr>
                  <w:jc w:val="right"/>
                  <w:rPr>
                    <w:sz w:val="21"/>
                    <w:szCs w:val="21"/>
                  </w:rPr>
                </w:pPr>
                <w:r>
                  <w:rPr>
                    <w:sz w:val="21"/>
                    <w:szCs w:val="21"/>
                  </w:rPr>
                  <w:t xml:space="preserve">-15.19 </w:t>
                </w:r>
              </w:p>
            </w:tc>
          </w:tr>
          <w:tr>
            <w:trPr>
              <w:trHeight w:val="88"/>
              <w:jc w:val="center"/>
            </w:trPr>
            <w:tc>
              <w:tcPr>
                <w:tcW w:w="1555" w:type="dxa"/>
                <w:vMerge/>
                <w:vAlign w:val="center"/>
                <w:hideMark/>
              </w:tcPr>
              <w:p>
                <w:pPr>
                  <w:widowControl w:val="0"/>
                  <w:jc w:val="both"/>
                  <w:rPr>
                    <w:rFonts w:cs="Times New Roman"/>
                    <w:kern w:val="2"/>
                    <w:sz w:val="21"/>
                    <w:szCs w:val="21"/>
                  </w:rPr>
                </w:pPr>
              </w:p>
            </w:tc>
            <w:tc>
              <w:tcPr>
                <w:tcW w:w="1599" w:type="dxa"/>
                <w:vAlign w:val="center"/>
                <w:hideMark/>
              </w:tcPr>
              <w:p>
                <w:pPr>
                  <w:widowControl w:val="0"/>
                  <w:jc w:val="both"/>
                  <w:rPr>
                    <w:rFonts w:cs="Times New Roman"/>
                    <w:kern w:val="2"/>
                    <w:sz w:val="21"/>
                    <w:szCs w:val="21"/>
                  </w:rPr>
                </w:pPr>
                <w:r>
                  <w:rPr>
                    <w:rFonts w:cs="Times New Roman" w:hint="eastAsia"/>
                    <w:kern w:val="2"/>
                    <w:sz w:val="21"/>
                    <w:szCs w:val="21"/>
                  </w:rPr>
                  <w:t>吨煤销售成本</w:t>
                </w:r>
              </w:p>
            </w:tc>
            <w:tc>
              <w:tcPr>
                <w:tcW w:w="857" w:type="dxa"/>
                <w:vAlign w:val="center"/>
                <w:hideMark/>
              </w:tcPr>
              <w:p>
                <w:pPr>
                  <w:widowControl w:val="0"/>
                  <w:jc w:val="both"/>
                  <w:rPr>
                    <w:rFonts w:cs="Times New Roman"/>
                    <w:kern w:val="2"/>
                    <w:sz w:val="21"/>
                    <w:szCs w:val="21"/>
                  </w:rPr>
                </w:pPr>
                <w:r>
                  <w:rPr>
                    <w:rFonts w:cs="Times New Roman" w:hint="eastAsia"/>
                    <w:kern w:val="2"/>
                    <w:sz w:val="21"/>
                    <w:szCs w:val="21"/>
                  </w:rPr>
                  <w:t>元/吨</w:t>
                </w:r>
              </w:p>
            </w:tc>
            <w:tc>
              <w:tcPr>
                <w:tcW w:w="1427" w:type="dxa"/>
                <w:shd w:val="clear" w:color="auto" w:fill="auto"/>
                <w:vAlign w:val="center"/>
              </w:tcPr>
              <w:p>
                <w:pPr>
                  <w:jc w:val="right"/>
                  <w:rPr>
                    <w:sz w:val="21"/>
                    <w:szCs w:val="21"/>
                  </w:rPr>
                </w:pPr>
                <w:r>
                  <w:rPr>
                    <w:sz w:val="21"/>
                    <w:szCs w:val="21"/>
                  </w:rPr>
                  <w:t xml:space="preserve">914.35 </w:t>
                </w:r>
              </w:p>
            </w:tc>
            <w:tc>
              <w:tcPr>
                <w:tcW w:w="1284" w:type="dxa"/>
                <w:shd w:val="clear" w:color="auto" w:fill="auto"/>
                <w:vAlign w:val="center"/>
              </w:tcPr>
              <w:p>
                <w:pPr>
                  <w:jc w:val="right"/>
                  <w:rPr>
                    <w:sz w:val="21"/>
                    <w:szCs w:val="21"/>
                  </w:rPr>
                </w:pPr>
                <w:r>
                  <w:rPr>
                    <w:sz w:val="21"/>
                    <w:szCs w:val="21"/>
                  </w:rPr>
                  <w:t xml:space="preserve">1,166.56 </w:t>
                </w:r>
              </w:p>
            </w:tc>
            <w:tc>
              <w:tcPr>
                <w:tcW w:w="1393" w:type="dxa"/>
                <w:shd w:val="clear" w:color="auto" w:fill="auto"/>
                <w:vAlign w:val="center"/>
              </w:tcPr>
              <w:p>
                <w:pPr>
                  <w:jc w:val="right"/>
                  <w:rPr>
                    <w:sz w:val="21"/>
                    <w:szCs w:val="21"/>
                  </w:rPr>
                </w:pPr>
                <w:r>
                  <w:rPr>
                    <w:sz w:val="21"/>
                    <w:szCs w:val="21"/>
                  </w:rPr>
                  <w:t xml:space="preserve">-252.22 </w:t>
                </w:r>
              </w:p>
            </w:tc>
            <w:tc>
              <w:tcPr>
                <w:tcW w:w="1461" w:type="dxa"/>
                <w:shd w:val="clear" w:color="auto" w:fill="auto"/>
                <w:vAlign w:val="center"/>
              </w:tcPr>
              <w:p>
                <w:pPr>
                  <w:jc w:val="right"/>
                  <w:rPr>
                    <w:sz w:val="21"/>
                    <w:szCs w:val="21"/>
                  </w:rPr>
                </w:pPr>
                <w:r>
                  <w:rPr>
                    <w:sz w:val="21"/>
                    <w:szCs w:val="21"/>
                  </w:rPr>
                  <w:t xml:space="preserve">-21.62 </w:t>
                </w:r>
              </w:p>
            </w:tc>
          </w:tr>
          <w:bookmarkEnd w:id="49"/>
        </w:tbl>
        <w:p>
          <w:pPr>
            <w:rPr>
              <w:rFonts w:cs="Times New Roman"/>
              <w:b/>
              <w:bCs/>
              <w:kern w:val="2"/>
              <w:szCs w:val="21"/>
            </w:rPr>
          </w:pPr>
          <w:r>
            <w:rPr>
              <w:rFonts w:cs="Times New Roman"/>
              <w:b/>
              <w:bCs/>
              <w:kern w:val="2"/>
              <w:szCs w:val="21"/>
            </w:rPr>
            <w:br w:type="page"/>
          </w:r>
        </w:p>
        <w:p>
          <w:pPr>
            <w:widowControl w:val="0"/>
            <w:jc w:val="both"/>
            <w:rPr>
              <w:rFonts w:cs="Times New Roman"/>
              <w:b/>
              <w:bCs/>
              <w:kern w:val="2"/>
              <w:szCs w:val="21"/>
            </w:rPr>
          </w:pPr>
          <w:r>
            <w:rPr>
              <w:rFonts w:cs="Times New Roman" w:hint="eastAsia"/>
              <w:b/>
              <w:bCs/>
              <w:kern w:val="2"/>
              <w:szCs w:val="21"/>
            </w:rPr>
            <w:lastRenderedPageBreak/>
            <w:t>2</w:t>
          </w:r>
          <w:r>
            <w:rPr>
              <w:rFonts w:cs="Times New Roman"/>
              <w:b/>
              <w:bCs/>
              <w:kern w:val="2"/>
              <w:szCs w:val="21"/>
            </w:rPr>
            <w:t>.</w:t>
          </w:r>
          <w:r>
            <w:rPr>
              <w:rFonts w:cs="Times New Roman" w:hint="eastAsia"/>
              <w:b/>
              <w:bCs/>
              <w:kern w:val="2"/>
              <w:szCs w:val="21"/>
            </w:rPr>
            <w:t>煤化工业务</w:t>
          </w:r>
        </w:p>
        <w:p>
          <w:pPr>
            <w:widowControl w:val="0"/>
            <w:ind w:firstLineChars="200" w:firstLine="420"/>
            <w:jc w:val="both"/>
            <w:rPr>
              <w:rFonts w:cs="Times New Roman"/>
              <w:kern w:val="2"/>
              <w:szCs w:val="21"/>
            </w:rPr>
          </w:pPr>
          <w:r>
            <w:rPr>
              <w:rFonts w:cs="Times New Roman" w:hint="eastAsia"/>
              <w:kern w:val="2"/>
              <w:szCs w:val="21"/>
            </w:rPr>
            <w:t>2024年本集团煤化工业务经营情况如下表：</w:t>
          </w:r>
        </w:p>
        <w:tbl>
          <w:tblPr>
            <w:tblStyle w:val="g114"/>
            <w:tblW w:w="10190" w:type="dxa"/>
            <w:jc w:val="center"/>
            <w:tblCellMar>
              <w:left w:w="0" w:type="dxa"/>
            </w:tblCellMar>
            <w:tblLook w:val="0600" w:firstRow="0" w:lastRow="0" w:firstColumn="0" w:lastColumn="0" w:noHBand="1" w:noVBand="1"/>
          </w:tblPr>
          <w:tblGrid>
            <w:gridCol w:w="2127"/>
            <w:gridCol w:w="962"/>
            <w:gridCol w:w="840"/>
            <w:gridCol w:w="1007"/>
            <w:gridCol w:w="1002"/>
            <w:gridCol w:w="992"/>
            <w:gridCol w:w="992"/>
            <w:gridCol w:w="1134"/>
            <w:gridCol w:w="1134"/>
          </w:tblGrid>
          <w:tr>
            <w:trPr>
              <w:trHeight w:val="312"/>
              <w:jc w:val="center"/>
            </w:trPr>
            <w:tc>
              <w:tcPr>
                <w:tcW w:w="2127" w:type="dxa"/>
                <w:vMerge w:val="restart"/>
                <w:vAlign w:val="center"/>
              </w:tcPr>
              <w:p>
                <w:pPr>
                  <w:spacing w:line="240" w:lineRule="atLeast"/>
                  <w:rPr>
                    <w:rFonts w:eastAsia="宋体" w:cs="Times New Roman"/>
                    <w:szCs w:val="21"/>
                  </w:rPr>
                </w:pPr>
                <w:bookmarkStart w:id="50" w:name="_Hlk3298498"/>
                <w:bookmarkEnd w:id="50"/>
              </w:p>
            </w:tc>
            <w:tc>
              <w:tcPr>
                <w:tcW w:w="3811" w:type="dxa"/>
                <w:gridSpan w:val="4"/>
                <w:vAlign w:val="center"/>
              </w:tcPr>
              <w:p>
                <w:pPr>
                  <w:spacing w:line="240" w:lineRule="atLeast"/>
                  <w:jc w:val="center"/>
                  <w:rPr>
                    <w:rFonts w:eastAsia="宋体" w:cs="Times New Roman"/>
                    <w:szCs w:val="21"/>
                  </w:rPr>
                </w:pPr>
                <w:r>
                  <w:rPr>
                    <w:rFonts w:eastAsia="宋体" w:cs="Times New Roman" w:hint="eastAsia"/>
                    <w:szCs w:val="21"/>
                  </w:rPr>
                  <w:t>2024年</w:t>
                </w:r>
              </w:p>
            </w:tc>
            <w:tc>
              <w:tcPr>
                <w:tcW w:w="4252" w:type="dxa"/>
                <w:gridSpan w:val="4"/>
                <w:vAlign w:val="center"/>
              </w:tcPr>
              <w:p>
                <w:pPr>
                  <w:spacing w:line="240" w:lineRule="atLeast"/>
                  <w:jc w:val="center"/>
                  <w:rPr>
                    <w:rFonts w:eastAsia="宋体" w:cs="Times New Roman"/>
                    <w:szCs w:val="21"/>
                  </w:rPr>
                </w:pPr>
                <w:r>
                  <w:rPr>
                    <w:rFonts w:eastAsia="宋体" w:cs="Times New Roman" w:hint="eastAsia"/>
                    <w:szCs w:val="21"/>
                  </w:rPr>
                  <w:t>2023年</w:t>
                </w:r>
              </w:p>
            </w:tc>
          </w:tr>
          <w:tr>
            <w:trPr>
              <w:trHeight w:val="312"/>
              <w:jc w:val="center"/>
            </w:trPr>
            <w:tc>
              <w:tcPr>
                <w:tcW w:w="2127" w:type="dxa"/>
                <w:vMerge/>
                <w:vAlign w:val="center"/>
              </w:tcPr>
              <w:p>
                <w:pPr>
                  <w:spacing w:line="240" w:lineRule="atLeast"/>
                  <w:rPr>
                    <w:rFonts w:eastAsia="宋体" w:cs="Times New Roman"/>
                    <w:szCs w:val="21"/>
                  </w:rPr>
                </w:pPr>
              </w:p>
            </w:tc>
            <w:tc>
              <w:tcPr>
                <w:tcW w:w="962" w:type="dxa"/>
                <w:vAlign w:val="center"/>
              </w:tcPr>
              <w:p>
                <w:pPr>
                  <w:jc w:val="center"/>
                  <w:rPr>
                    <w:rFonts w:eastAsia="宋体" w:cs="Times New Roman"/>
                    <w:szCs w:val="21"/>
                  </w:rPr>
                </w:pPr>
                <w:r>
                  <w:rPr>
                    <w:rFonts w:eastAsia="宋体" w:cs="Times New Roman" w:hint="eastAsia"/>
                    <w:szCs w:val="21"/>
                  </w:rPr>
                  <w:t>产量</w:t>
                </w:r>
              </w:p>
            </w:tc>
            <w:tc>
              <w:tcPr>
                <w:tcW w:w="840" w:type="dxa"/>
                <w:vAlign w:val="center"/>
              </w:tcPr>
              <w:p>
                <w:pPr>
                  <w:jc w:val="center"/>
                  <w:rPr>
                    <w:rFonts w:eastAsia="宋体" w:cs="Times New Roman"/>
                    <w:szCs w:val="21"/>
                  </w:rPr>
                </w:pPr>
                <w:r>
                  <w:rPr>
                    <w:rFonts w:eastAsia="宋体" w:cs="Times New Roman" w:hint="eastAsia"/>
                    <w:szCs w:val="21"/>
                  </w:rPr>
                  <w:t>销量</w:t>
                </w:r>
              </w:p>
            </w:tc>
            <w:tc>
              <w:tcPr>
                <w:tcW w:w="1007" w:type="dxa"/>
                <w:vAlign w:val="center"/>
              </w:tcPr>
              <w:p>
                <w:pPr>
                  <w:jc w:val="center"/>
                  <w:rPr>
                    <w:rFonts w:eastAsia="宋体" w:cs="Times New Roman"/>
                    <w:szCs w:val="21"/>
                  </w:rPr>
                </w:pPr>
                <w:r>
                  <w:rPr>
                    <w:rFonts w:eastAsia="宋体" w:cs="Times New Roman" w:hint="eastAsia"/>
                    <w:szCs w:val="21"/>
                  </w:rPr>
                  <w:t>销售收入</w:t>
                </w:r>
              </w:p>
            </w:tc>
            <w:tc>
              <w:tcPr>
                <w:tcW w:w="1002" w:type="dxa"/>
                <w:vAlign w:val="center"/>
              </w:tcPr>
              <w:p>
                <w:pPr>
                  <w:jc w:val="center"/>
                  <w:rPr>
                    <w:rFonts w:eastAsia="宋体" w:cs="Times New Roman"/>
                    <w:szCs w:val="21"/>
                  </w:rPr>
                </w:pPr>
                <w:r>
                  <w:rPr>
                    <w:rFonts w:eastAsia="宋体" w:cs="Times New Roman" w:hint="eastAsia"/>
                    <w:szCs w:val="21"/>
                  </w:rPr>
                  <w:t>销售成本</w:t>
                </w:r>
              </w:p>
            </w:tc>
            <w:tc>
              <w:tcPr>
                <w:tcW w:w="992" w:type="dxa"/>
                <w:vAlign w:val="center"/>
              </w:tcPr>
              <w:p>
                <w:pPr>
                  <w:jc w:val="center"/>
                  <w:rPr>
                    <w:rFonts w:eastAsia="宋体" w:cs="Times New Roman"/>
                    <w:szCs w:val="21"/>
                  </w:rPr>
                </w:pPr>
                <w:r>
                  <w:rPr>
                    <w:rFonts w:eastAsia="宋体" w:cs="Times New Roman" w:hint="eastAsia"/>
                    <w:szCs w:val="21"/>
                  </w:rPr>
                  <w:t>产量</w:t>
                </w:r>
              </w:p>
            </w:tc>
            <w:tc>
              <w:tcPr>
                <w:tcW w:w="992" w:type="dxa"/>
                <w:vAlign w:val="center"/>
              </w:tcPr>
              <w:p>
                <w:pPr>
                  <w:jc w:val="center"/>
                  <w:rPr>
                    <w:rFonts w:eastAsia="宋体" w:cs="Times New Roman"/>
                    <w:szCs w:val="21"/>
                  </w:rPr>
                </w:pPr>
                <w:r>
                  <w:rPr>
                    <w:rFonts w:eastAsia="宋体" w:cs="Times New Roman" w:hint="eastAsia"/>
                    <w:szCs w:val="21"/>
                  </w:rPr>
                  <w:t>销量</w:t>
                </w:r>
              </w:p>
            </w:tc>
            <w:tc>
              <w:tcPr>
                <w:tcW w:w="1134" w:type="dxa"/>
                <w:vAlign w:val="center"/>
              </w:tcPr>
              <w:p>
                <w:pPr>
                  <w:jc w:val="center"/>
                  <w:rPr>
                    <w:rFonts w:eastAsia="宋体" w:cs="Times New Roman"/>
                    <w:szCs w:val="21"/>
                  </w:rPr>
                </w:pPr>
                <w:r>
                  <w:rPr>
                    <w:rFonts w:eastAsia="宋体" w:cs="Times New Roman" w:hint="eastAsia"/>
                    <w:szCs w:val="21"/>
                  </w:rPr>
                  <w:t>销售收入</w:t>
                </w:r>
              </w:p>
            </w:tc>
            <w:tc>
              <w:tcPr>
                <w:tcW w:w="1134" w:type="dxa"/>
                <w:vAlign w:val="center"/>
              </w:tcPr>
              <w:p>
                <w:pPr>
                  <w:jc w:val="center"/>
                  <w:rPr>
                    <w:rFonts w:eastAsia="宋体" w:cs="Times New Roman"/>
                    <w:szCs w:val="21"/>
                  </w:rPr>
                </w:pPr>
                <w:r>
                  <w:rPr>
                    <w:rFonts w:eastAsia="宋体" w:cs="Times New Roman" w:hint="eastAsia"/>
                    <w:szCs w:val="21"/>
                  </w:rPr>
                  <w:t>销售成本</w:t>
                </w:r>
              </w:p>
            </w:tc>
          </w:tr>
          <w:tr>
            <w:trPr>
              <w:trHeight w:val="312"/>
              <w:jc w:val="center"/>
            </w:trPr>
            <w:tc>
              <w:tcPr>
                <w:tcW w:w="2127" w:type="dxa"/>
                <w:vMerge/>
                <w:vAlign w:val="center"/>
              </w:tcPr>
              <w:p>
                <w:pPr>
                  <w:spacing w:line="240" w:lineRule="atLeast"/>
                  <w:rPr>
                    <w:rFonts w:eastAsia="宋体" w:cs="Times New Roman"/>
                    <w:bCs/>
                    <w:szCs w:val="21"/>
                  </w:rPr>
                </w:pPr>
              </w:p>
            </w:tc>
            <w:tc>
              <w:tcPr>
                <w:tcW w:w="962" w:type="dxa"/>
                <w:vAlign w:val="center"/>
              </w:tcPr>
              <w:p>
                <w:pPr>
                  <w:ind w:leftChars="-50" w:left="-105" w:rightChars="-50" w:right="-105"/>
                  <w:jc w:val="center"/>
                  <w:rPr>
                    <w:rFonts w:eastAsia="宋体" w:cs="Times New Roman"/>
                    <w:szCs w:val="21"/>
                  </w:rPr>
                </w:pPr>
                <w:r>
                  <w:rPr>
                    <w:rFonts w:eastAsia="宋体" w:cs="Times New Roman" w:hint="eastAsia"/>
                    <w:szCs w:val="21"/>
                  </w:rPr>
                  <w:t>（千吨）</w:t>
                </w:r>
              </w:p>
            </w:tc>
            <w:tc>
              <w:tcPr>
                <w:tcW w:w="840" w:type="dxa"/>
                <w:vAlign w:val="center"/>
              </w:tcPr>
              <w:p>
                <w:pPr>
                  <w:ind w:leftChars="-50" w:left="-105" w:rightChars="-50" w:right="-105"/>
                  <w:jc w:val="center"/>
                  <w:rPr>
                    <w:rFonts w:eastAsia="宋体" w:cs="Times New Roman"/>
                    <w:szCs w:val="21"/>
                  </w:rPr>
                </w:pPr>
                <w:r>
                  <w:rPr>
                    <w:rFonts w:eastAsia="宋体" w:cs="Times New Roman" w:hint="eastAsia"/>
                    <w:szCs w:val="21"/>
                  </w:rPr>
                  <w:t>（千吨）</w:t>
                </w:r>
              </w:p>
            </w:tc>
            <w:tc>
              <w:tcPr>
                <w:tcW w:w="1007" w:type="dxa"/>
                <w:vAlign w:val="center"/>
              </w:tcPr>
              <w:p>
                <w:pPr>
                  <w:ind w:leftChars="-50" w:left="-105" w:rightChars="-50" w:right="-105"/>
                  <w:jc w:val="center"/>
                  <w:rPr>
                    <w:rFonts w:eastAsia="宋体" w:cs="Times New Roman"/>
                    <w:szCs w:val="21"/>
                  </w:rPr>
                </w:pPr>
                <w:r>
                  <w:rPr>
                    <w:rFonts w:eastAsia="宋体" w:cs="Times New Roman" w:hint="eastAsia"/>
                    <w:szCs w:val="21"/>
                  </w:rPr>
                  <w:t>（百万元）</w:t>
                </w:r>
              </w:p>
            </w:tc>
            <w:tc>
              <w:tcPr>
                <w:tcW w:w="1002" w:type="dxa"/>
                <w:vAlign w:val="center"/>
              </w:tcPr>
              <w:p>
                <w:pPr>
                  <w:ind w:leftChars="-50" w:left="-105" w:rightChars="-50" w:right="-105"/>
                  <w:jc w:val="center"/>
                  <w:rPr>
                    <w:rFonts w:eastAsia="宋体" w:cs="Times New Roman"/>
                    <w:szCs w:val="21"/>
                  </w:rPr>
                </w:pPr>
                <w:r>
                  <w:rPr>
                    <w:rFonts w:eastAsia="宋体" w:cs="Times New Roman" w:hint="eastAsia"/>
                    <w:szCs w:val="21"/>
                  </w:rPr>
                  <w:t>（百万元）</w:t>
                </w:r>
              </w:p>
            </w:tc>
            <w:tc>
              <w:tcPr>
                <w:tcW w:w="992" w:type="dxa"/>
                <w:vAlign w:val="center"/>
              </w:tcPr>
              <w:p>
                <w:pPr>
                  <w:ind w:leftChars="-50" w:left="-105" w:rightChars="-50" w:right="-105"/>
                  <w:jc w:val="center"/>
                  <w:rPr>
                    <w:rFonts w:eastAsia="宋体" w:cs="Times New Roman"/>
                    <w:szCs w:val="21"/>
                  </w:rPr>
                </w:pPr>
                <w:r>
                  <w:rPr>
                    <w:rFonts w:eastAsia="宋体" w:cs="Times New Roman" w:hint="eastAsia"/>
                    <w:szCs w:val="21"/>
                  </w:rPr>
                  <w:t>（千吨）</w:t>
                </w:r>
              </w:p>
            </w:tc>
            <w:tc>
              <w:tcPr>
                <w:tcW w:w="992" w:type="dxa"/>
                <w:vAlign w:val="center"/>
              </w:tcPr>
              <w:p>
                <w:pPr>
                  <w:ind w:leftChars="-50" w:left="-105" w:rightChars="-50" w:right="-105"/>
                  <w:jc w:val="center"/>
                  <w:rPr>
                    <w:rFonts w:eastAsia="宋体" w:cs="Times New Roman"/>
                    <w:szCs w:val="21"/>
                  </w:rPr>
                </w:pPr>
                <w:r>
                  <w:rPr>
                    <w:rFonts w:eastAsia="宋体" w:cs="Times New Roman" w:hint="eastAsia"/>
                    <w:szCs w:val="21"/>
                  </w:rPr>
                  <w:t>（千吨）</w:t>
                </w:r>
              </w:p>
            </w:tc>
            <w:tc>
              <w:tcPr>
                <w:tcW w:w="1134" w:type="dxa"/>
                <w:vAlign w:val="center"/>
              </w:tcPr>
              <w:p>
                <w:pPr>
                  <w:ind w:leftChars="-50" w:left="-105" w:rightChars="-50" w:right="-105"/>
                  <w:jc w:val="center"/>
                  <w:rPr>
                    <w:rFonts w:eastAsia="宋体" w:cs="Times New Roman"/>
                    <w:szCs w:val="21"/>
                  </w:rPr>
                </w:pPr>
                <w:r>
                  <w:rPr>
                    <w:rFonts w:eastAsia="宋体" w:cs="Times New Roman" w:hint="eastAsia"/>
                    <w:szCs w:val="21"/>
                  </w:rPr>
                  <w:t>（百万元）</w:t>
                </w:r>
              </w:p>
            </w:tc>
            <w:tc>
              <w:tcPr>
                <w:tcW w:w="1134" w:type="dxa"/>
                <w:vAlign w:val="center"/>
              </w:tcPr>
              <w:p>
                <w:pPr>
                  <w:ind w:leftChars="-50" w:left="-105" w:rightChars="-50" w:right="-105"/>
                  <w:jc w:val="center"/>
                  <w:rPr>
                    <w:rFonts w:eastAsia="宋体" w:cs="Times New Roman"/>
                    <w:szCs w:val="21"/>
                  </w:rPr>
                </w:pPr>
                <w:r>
                  <w:rPr>
                    <w:rFonts w:eastAsia="宋体" w:cs="Times New Roman" w:hint="eastAsia"/>
                    <w:szCs w:val="21"/>
                  </w:rPr>
                  <w:t>（百万元）</w:t>
                </w:r>
              </w:p>
            </w:tc>
          </w:tr>
          <w:tr>
            <w:trPr>
              <w:trHeight w:val="312"/>
              <w:jc w:val="center"/>
            </w:trPr>
            <w:tc>
              <w:tcPr>
                <w:tcW w:w="2127" w:type="dxa"/>
                <w:vAlign w:val="center"/>
              </w:tcPr>
              <w:p>
                <w:pPr>
                  <w:ind w:firstLineChars="200" w:firstLine="420"/>
                  <w:rPr>
                    <w:rFonts w:eastAsia="宋体" w:cs="Times New Roman"/>
                    <w:szCs w:val="21"/>
                  </w:rPr>
                </w:pPr>
                <w:r>
                  <w:rPr>
                    <w:rFonts w:eastAsia="宋体" w:cs="Times New Roman" w:hint="eastAsia"/>
                    <w:szCs w:val="21"/>
                  </w:rPr>
                  <w:t>甲醇</w:t>
                </w:r>
              </w:p>
            </w:tc>
            <w:tc>
              <w:tcPr>
                <w:tcW w:w="962" w:type="dxa"/>
                <w:shd w:val="clear" w:color="auto" w:fill="auto"/>
                <w:vAlign w:val="center"/>
              </w:tcPr>
              <w:p>
                <w:pPr>
                  <w:jc w:val="right"/>
                  <w:rPr>
                    <w:rFonts w:eastAsia="宋体"/>
                    <w:szCs w:val="21"/>
                  </w:rPr>
                </w:pPr>
                <w:r>
                  <w:rPr>
                    <w:rFonts w:eastAsia="宋体"/>
                    <w:szCs w:val="21"/>
                  </w:rPr>
                  <w:t xml:space="preserve">4,105 </w:t>
                </w:r>
              </w:p>
            </w:tc>
            <w:tc>
              <w:tcPr>
                <w:tcW w:w="840" w:type="dxa"/>
                <w:shd w:val="clear" w:color="auto" w:fill="auto"/>
                <w:vAlign w:val="center"/>
              </w:tcPr>
              <w:p>
                <w:pPr>
                  <w:jc w:val="right"/>
                  <w:rPr>
                    <w:rFonts w:eastAsia="宋体"/>
                    <w:szCs w:val="21"/>
                  </w:rPr>
                </w:pPr>
                <w:r>
                  <w:rPr>
                    <w:rFonts w:eastAsia="宋体"/>
                    <w:szCs w:val="21"/>
                  </w:rPr>
                  <w:t xml:space="preserve">3,938 </w:t>
                </w:r>
              </w:p>
            </w:tc>
            <w:tc>
              <w:tcPr>
                <w:tcW w:w="1007" w:type="dxa"/>
                <w:shd w:val="clear" w:color="auto" w:fill="auto"/>
                <w:vAlign w:val="center"/>
              </w:tcPr>
              <w:p>
                <w:pPr>
                  <w:jc w:val="right"/>
                  <w:rPr>
                    <w:rFonts w:eastAsia="宋体"/>
                    <w:szCs w:val="21"/>
                  </w:rPr>
                </w:pPr>
                <w:r>
                  <w:rPr>
                    <w:rFonts w:eastAsia="宋体"/>
                    <w:szCs w:val="21"/>
                  </w:rPr>
                  <w:t xml:space="preserve">7,163 </w:t>
                </w:r>
              </w:p>
            </w:tc>
            <w:tc>
              <w:tcPr>
                <w:tcW w:w="1002" w:type="dxa"/>
                <w:shd w:val="clear" w:color="auto" w:fill="auto"/>
                <w:vAlign w:val="center"/>
              </w:tcPr>
              <w:p>
                <w:pPr>
                  <w:jc w:val="right"/>
                  <w:rPr>
                    <w:rFonts w:eastAsia="宋体"/>
                    <w:szCs w:val="21"/>
                  </w:rPr>
                </w:pPr>
                <w:r>
                  <w:rPr>
                    <w:rFonts w:eastAsia="宋体"/>
                    <w:szCs w:val="21"/>
                  </w:rPr>
                  <w:t xml:space="preserve">5,818 </w:t>
                </w:r>
              </w:p>
            </w:tc>
            <w:tc>
              <w:tcPr>
                <w:tcW w:w="992" w:type="dxa"/>
                <w:shd w:val="clear" w:color="auto" w:fill="auto"/>
                <w:vAlign w:val="center"/>
              </w:tcPr>
              <w:p>
                <w:pPr>
                  <w:jc w:val="right"/>
                  <w:rPr>
                    <w:rFonts w:eastAsia="宋体"/>
                    <w:szCs w:val="21"/>
                  </w:rPr>
                </w:pPr>
                <w:r>
                  <w:rPr>
                    <w:rFonts w:eastAsia="宋体"/>
                    <w:szCs w:val="21"/>
                  </w:rPr>
                  <w:t xml:space="preserve">4,016 </w:t>
                </w:r>
              </w:p>
            </w:tc>
            <w:tc>
              <w:tcPr>
                <w:tcW w:w="992" w:type="dxa"/>
                <w:shd w:val="clear" w:color="auto" w:fill="auto"/>
                <w:vAlign w:val="center"/>
              </w:tcPr>
              <w:p>
                <w:pPr>
                  <w:jc w:val="right"/>
                  <w:rPr>
                    <w:rFonts w:eastAsia="宋体"/>
                    <w:szCs w:val="21"/>
                  </w:rPr>
                </w:pPr>
                <w:r>
                  <w:rPr>
                    <w:rFonts w:eastAsia="宋体"/>
                    <w:szCs w:val="21"/>
                  </w:rPr>
                  <w:t xml:space="preserve">3,955 </w:t>
                </w:r>
              </w:p>
            </w:tc>
            <w:tc>
              <w:tcPr>
                <w:tcW w:w="1134" w:type="dxa"/>
                <w:shd w:val="clear" w:color="auto" w:fill="auto"/>
                <w:vAlign w:val="center"/>
              </w:tcPr>
              <w:p>
                <w:pPr>
                  <w:jc w:val="right"/>
                  <w:rPr>
                    <w:rFonts w:eastAsia="宋体"/>
                    <w:szCs w:val="21"/>
                  </w:rPr>
                </w:pPr>
                <w:r>
                  <w:rPr>
                    <w:rFonts w:eastAsia="宋体"/>
                    <w:szCs w:val="21"/>
                  </w:rPr>
                  <w:t xml:space="preserve">7,235 </w:t>
                </w:r>
              </w:p>
            </w:tc>
            <w:tc>
              <w:tcPr>
                <w:tcW w:w="1134" w:type="dxa"/>
                <w:shd w:val="clear" w:color="auto" w:fill="auto"/>
                <w:vAlign w:val="center"/>
              </w:tcPr>
              <w:p>
                <w:pPr>
                  <w:jc w:val="right"/>
                  <w:rPr>
                    <w:rFonts w:eastAsia="宋体"/>
                    <w:szCs w:val="21"/>
                  </w:rPr>
                </w:pPr>
                <w:r>
                  <w:rPr>
                    <w:rFonts w:eastAsia="宋体"/>
                    <w:szCs w:val="21"/>
                  </w:rPr>
                  <w:t xml:space="preserve">6,782 </w:t>
                </w:r>
              </w:p>
            </w:tc>
          </w:tr>
          <w:tr>
            <w:trPr>
              <w:trHeight w:val="312"/>
              <w:jc w:val="center"/>
            </w:trPr>
            <w:tc>
              <w:tcPr>
                <w:tcW w:w="2127" w:type="dxa"/>
                <w:vAlign w:val="center"/>
              </w:tcPr>
              <w:p>
                <w:pPr>
                  <w:ind w:firstLineChars="200" w:firstLine="420"/>
                  <w:rPr>
                    <w:rFonts w:eastAsia="宋体" w:cs="Times New Roman"/>
                    <w:szCs w:val="21"/>
                  </w:rPr>
                </w:pPr>
                <w:r>
                  <w:rPr>
                    <w:rFonts w:eastAsia="宋体" w:cs="Times New Roman" w:hint="eastAsia"/>
                    <w:szCs w:val="21"/>
                  </w:rPr>
                  <w:t>醋酸</w:t>
                </w:r>
              </w:p>
            </w:tc>
            <w:tc>
              <w:tcPr>
                <w:tcW w:w="962" w:type="dxa"/>
                <w:shd w:val="clear" w:color="auto" w:fill="auto"/>
                <w:vAlign w:val="center"/>
              </w:tcPr>
              <w:p>
                <w:pPr>
                  <w:jc w:val="right"/>
                  <w:rPr>
                    <w:rFonts w:eastAsia="宋体"/>
                    <w:szCs w:val="21"/>
                  </w:rPr>
                </w:pPr>
                <w:r>
                  <w:rPr>
                    <w:rFonts w:eastAsia="宋体"/>
                    <w:szCs w:val="21"/>
                  </w:rPr>
                  <w:t xml:space="preserve">1,040 </w:t>
                </w:r>
              </w:p>
            </w:tc>
            <w:tc>
              <w:tcPr>
                <w:tcW w:w="840" w:type="dxa"/>
                <w:shd w:val="clear" w:color="auto" w:fill="auto"/>
                <w:vAlign w:val="center"/>
              </w:tcPr>
              <w:p>
                <w:pPr>
                  <w:jc w:val="right"/>
                  <w:rPr>
                    <w:rFonts w:eastAsia="宋体"/>
                    <w:szCs w:val="21"/>
                  </w:rPr>
                </w:pPr>
                <w:r>
                  <w:rPr>
                    <w:rFonts w:eastAsia="宋体"/>
                    <w:szCs w:val="21"/>
                  </w:rPr>
                  <w:t xml:space="preserve">743 </w:t>
                </w:r>
              </w:p>
            </w:tc>
            <w:tc>
              <w:tcPr>
                <w:tcW w:w="1007" w:type="dxa"/>
                <w:shd w:val="clear" w:color="auto" w:fill="auto"/>
                <w:vAlign w:val="center"/>
              </w:tcPr>
              <w:p>
                <w:pPr>
                  <w:jc w:val="right"/>
                  <w:rPr>
                    <w:rFonts w:eastAsia="宋体"/>
                    <w:szCs w:val="21"/>
                  </w:rPr>
                </w:pPr>
                <w:r>
                  <w:rPr>
                    <w:rFonts w:eastAsia="宋体"/>
                    <w:szCs w:val="21"/>
                  </w:rPr>
                  <w:t xml:space="preserve">1,928 </w:t>
                </w:r>
              </w:p>
            </w:tc>
            <w:tc>
              <w:tcPr>
                <w:tcW w:w="1002" w:type="dxa"/>
                <w:shd w:val="clear" w:color="auto" w:fill="auto"/>
                <w:vAlign w:val="center"/>
              </w:tcPr>
              <w:p>
                <w:pPr>
                  <w:jc w:val="right"/>
                  <w:rPr>
                    <w:rFonts w:eastAsia="宋体"/>
                    <w:szCs w:val="21"/>
                  </w:rPr>
                </w:pPr>
                <w:r>
                  <w:rPr>
                    <w:rFonts w:eastAsia="宋体"/>
                    <w:szCs w:val="21"/>
                  </w:rPr>
                  <w:t xml:space="preserve">1,656 </w:t>
                </w:r>
              </w:p>
            </w:tc>
            <w:tc>
              <w:tcPr>
                <w:tcW w:w="992" w:type="dxa"/>
                <w:shd w:val="clear" w:color="auto" w:fill="auto"/>
                <w:vAlign w:val="center"/>
              </w:tcPr>
              <w:p>
                <w:pPr>
                  <w:jc w:val="right"/>
                  <w:rPr>
                    <w:rFonts w:eastAsia="宋体"/>
                    <w:szCs w:val="21"/>
                  </w:rPr>
                </w:pPr>
                <w:r>
                  <w:rPr>
                    <w:rFonts w:eastAsia="宋体"/>
                    <w:szCs w:val="21"/>
                  </w:rPr>
                  <w:t xml:space="preserve">1,139 </w:t>
                </w:r>
              </w:p>
            </w:tc>
            <w:tc>
              <w:tcPr>
                <w:tcW w:w="992" w:type="dxa"/>
                <w:shd w:val="clear" w:color="auto" w:fill="auto"/>
                <w:vAlign w:val="center"/>
              </w:tcPr>
              <w:p>
                <w:pPr>
                  <w:jc w:val="right"/>
                  <w:rPr>
                    <w:rFonts w:eastAsia="宋体"/>
                    <w:szCs w:val="21"/>
                  </w:rPr>
                </w:pPr>
                <w:r>
                  <w:rPr>
                    <w:rFonts w:eastAsia="宋体"/>
                    <w:szCs w:val="21"/>
                  </w:rPr>
                  <w:t xml:space="preserve">738 </w:t>
                </w:r>
              </w:p>
            </w:tc>
            <w:tc>
              <w:tcPr>
                <w:tcW w:w="1134" w:type="dxa"/>
                <w:shd w:val="clear" w:color="auto" w:fill="auto"/>
                <w:vAlign w:val="center"/>
              </w:tcPr>
              <w:p>
                <w:pPr>
                  <w:jc w:val="right"/>
                  <w:rPr>
                    <w:rFonts w:eastAsia="宋体"/>
                    <w:szCs w:val="21"/>
                  </w:rPr>
                </w:pPr>
                <w:r>
                  <w:rPr>
                    <w:rFonts w:eastAsia="宋体"/>
                    <w:szCs w:val="21"/>
                  </w:rPr>
                  <w:t xml:space="preserve">2,057 </w:t>
                </w:r>
              </w:p>
            </w:tc>
            <w:tc>
              <w:tcPr>
                <w:tcW w:w="1134" w:type="dxa"/>
                <w:shd w:val="clear" w:color="auto" w:fill="auto"/>
                <w:vAlign w:val="center"/>
              </w:tcPr>
              <w:p>
                <w:pPr>
                  <w:jc w:val="right"/>
                  <w:rPr>
                    <w:rFonts w:eastAsia="宋体"/>
                    <w:szCs w:val="21"/>
                  </w:rPr>
                </w:pPr>
                <w:r>
                  <w:rPr>
                    <w:rFonts w:eastAsia="宋体"/>
                    <w:szCs w:val="21"/>
                  </w:rPr>
                  <w:t xml:space="preserve">1,726 </w:t>
                </w:r>
              </w:p>
            </w:tc>
          </w:tr>
          <w:tr>
            <w:trPr>
              <w:trHeight w:val="312"/>
              <w:jc w:val="center"/>
            </w:trPr>
            <w:tc>
              <w:tcPr>
                <w:tcW w:w="2127" w:type="dxa"/>
                <w:vAlign w:val="center"/>
              </w:tcPr>
              <w:p>
                <w:pPr>
                  <w:ind w:firstLineChars="200" w:firstLine="420"/>
                  <w:rPr>
                    <w:rFonts w:eastAsia="宋体" w:cs="Times New Roman"/>
                    <w:szCs w:val="21"/>
                  </w:rPr>
                </w:pPr>
                <w:r>
                  <w:rPr>
                    <w:rFonts w:eastAsia="宋体" w:cs="Times New Roman" w:hint="eastAsia"/>
                    <w:szCs w:val="21"/>
                  </w:rPr>
                  <w:t>醋酸乙酯</w:t>
                </w:r>
                <w:r>
                  <w:rPr>
                    <w:rFonts w:eastAsia="宋体" w:cs="Times New Roman" w:hint="eastAsia"/>
                    <w:szCs w:val="21"/>
                    <w:vertAlign w:val="superscript"/>
                  </w:rPr>
                  <w:t>①</w:t>
                </w:r>
              </w:p>
            </w:tc>
            <w:tc>
              <w:tcPr>
                <w:tcW w:w="962" w:type="dxa"/>
                <w:shd w:val="clear" w:color="auto" w:fill="auto"/>
                <w:vAlign w:val="center"/>
              </w:tcPr>
              <w:p>
                <w:pPr>
                  <w:jc w:val="right"/>
                  <w:rPr>
                    <w:rFonts w:eastAsia="宋体"/>
                    <w:szCs w:val="21"/>
                  </w:rPr>
                </w:pPr>
                <w:r>
                  <w:rPr>
                    <w:rFonts w:eastAsia="宋体"/>
                    <w:szCs w:val="21"/>
                  </w:rPr>
                  <w:t xml:space="preserve">285 </w:t>
                </w:r>
              </w:p>
            </w:tc>
            <w:tc>
              <w:tcPr>
                <w:tcW w:w="840" w:type="dxa"/>
                <w:shd w:val="clear" w:color="auto" w:fill="auto"/>
                <w:vAlign w:val="center"/>
              </w:tcPr>
              <w:p>
                <w:pPr>
                  <w:jc w:val="right"/>
                  <w:rPr>
                    <w:rFonts w:eastAsia="宋体"/>
                    <w:szCs w:val="21"/>
                  </w:rPr>
                </w:pPr>
                <w:r>
                  <w:rPr>
                    <w:rFonts w:eastAsia="宋体"/>
                    <w:szCs w:val="21"/>
                  </w:rPr>
                  <w:t xml:space="preserve">284 </w:t>
                </w:r>
              </w:p>
            </w:tc>
            <w:tc>
              <w:tcPr>
                <w:tcW w:w="1007" w:type="dxa"/>
                <w:shd w:val="clear" w:color="auto" w:fill="auto"/>
                <w:vAlign w:val="center"/>
              </w:tcPr>
              <w:p>
                <w:pPr>
                  <w:jc w:val="right"/>
                  <w:rPr>
                    <w:rFonts w:eastAsia="宋体"/>
                    <w:szCs w:val="21"/>
                  </w:rPr>
                </w:pPr>
                <w:r>
                  <w:rPr>
                    <w:rFonts w:eastAsia="宋体"/>
                    <w:szCs w:val="21"/>
                  </w:rPr>
                  <w:t xml:space="preserve">1,457 </w:t>
                </w:r>
              </w:p>
            </w:tc>
            <w:tc>
              <w:tcPr>
                <w:tcW w:w="1002" w:type="dxa"/>
                <w:shd w:val="clear" w:color="auto" w:fill="auto"/>
                <w:vAlign w:val="center"/>
              </w:tcPr>
              <w:p>
                <w:pPr>
                  <w:jc w:val="right"/>
                  <w:rPr>
                    <w:rFonts w:eastAsia="宋体"/>
                    <w:szCs w:val="21"/>
                  </w:rPr>
                </w:pPr>
                <w:r>
                  <w:rPr>
                    <w:rFonts w:eastAsia="宋体"/>
                    <w:szCs w:val="21"/>
                  </w:rPr>
                  <w:t xml:space="preserve">1,366 </w:t>
                </w:r>
              </w:p>
            </w:tc>
            <w:tc>
              <w:tcPr>
                <w:tcW w:w="992" w:type="dxa"/>
                <w:shd w:val="clear" w:color="auto" w:fill="auto"/>
                <w:vAlign w:val="center"/>
              </w:tcPr>
              <w:p>
                <w:pPr>
                  <w:jc w:val="right"/>
                  <w:rPr>
                    <w:rFonts w:eastAsia="宋体"/>
                    <w:szCs w:val="21"/>
                  </w:rPr>
                </w:pPr>
                <w:r>
                  <w:rPr>
                    <w:rFonts w:eastAsia="宋体"/>
                    <w:szCs w:val="21"/>
                  </w:rPr>
                  <w:t xml:space="preserve">423 </w:t>
                </w:r>
              </w:p>
            </w:tc>
            <w:tc>
              <w:tcPr>
                <w:tcW w:w="992" w:type="dxa"/>
                <w:shd w:val="clear" w:color="auto" w:fill="auto"/>
                <w:vAlign w:val="center"/>
              </w:tcPr>
              <w:p>
                <w:pPr>
                  <w:jc w:val="right"/>
                  <w:rPr>
                    <w:rFonts w:eastAsia="宋体"/>
                    <w:szCs w:val="21"/>
                  </w:rPr>
                </w:pPr>
                <w:r>
                  <w:rPr>
                    <w:rFonts w:eastAsia="宋体"/>
                    <w:szCs w:val="21"/>
                  </w:rPr>
                  <w:t xml:space="preserve">426 </w:t>
                </w:r>
              </w:p>
            </w:tc>
            <w:tc>
              <w:tcPr>
                <w:tcW w:w="1134" w:type="dxa"/>
                <w:shd w:val="clear" w:color="auto" w:fill="auto"/>
                <w:vAlign w:val="center"/>
              </w:tcPr>
              <w:p>
                <w:pPr>
                  <w:jc w:val="right"/>
                  <w:rPr>
                    <w:rFonts w:eastAsia="宋体"/>
                    <w:szCs w:val="21"/>
                  </w:rPr>
                </w:pPr>
                <w:r>
                  <w:rPr>
                    <w:rFonts w:eastAsia="宋体"/>
                    <w:szCs w:val="21"/>
                  </w:rPr>
                  <w:t xml:space="preserve">2,421 </w:t>
                </w:r>
              </w:p>
            </w:tc>
            <w:tc>
              <w:tcPr>
                <w:tcW w:w="1134" w:type="dxa"/>
                <w:shd w:val="clear" w:color="auto" w:fill="auto"/>
                <w:vAlign w:val="center"/>
              </w:tcPr>
              <w:p>
                <w:pPr>
                  <w:jc w:val="right"/>
                  <w:rPr>
                    <w:rFonts w:eastAsia="宋体"/>
                    <w:szCs w:val="21"/>
                  </w:rPr>
                </w:pPr>
                <w:r>
                  <w:rPr>
                    <w:rFonts w:eastAsia="宋体"/>
                    <w:szCs w:val="21"/>
                  </w:rPr>
                  <w:t xml:space="preserve">2,287 </w:t>
                </w:r>
              </w:p>
            </w:tc>
          </w:tr>
          <w:tr>
            <w:trPr>
              <w:trHeight w:val="312"/>
              <w:jc w:val="center"/>
            </w:trPr>
            <w:tc>
              <w:tcPr>
                <w:tcW w:w="2127" w:type="dxa"/>
                <w:vAlign w:val="center"/>
              </w:tcPr>
              <w:p>
                <w:pPr>
                  <w:ind w:firstLineChars="200" w:firstLine="420"/>
                  <w:rPr>
                    <w:rFonts w:eastAsia="宋体" w:cs="Times New Roman"/>
                    <w:szCs w:val="21"/>
                  </w:rPr>
                </w:pPr>
                <w:r>
                  <w:rPr>
                    <w:rFonts w:eastAsia="宋体" w:cs="Times New Roman" w:hint="eastAsia"/>
                    <w:szCs w:val="21"/>
                  </w:rPr>
                  <w:t>己内酰胺</w:t>
                </w:r>
              </w:p>
            </w:tc>
            <w:tc>
              <w:tcPr>
                <w:tcW w:w="962" w:type="dxa"/>
                <w:shd w:val="clear" w:color="auto" w:fill="auto"/>
                <w:vAlign w:val="center"/>
              </w:tcPr>
              <w:p>
                <w:pPr>
                  <w:jc w:val="right"/>
                  <w:rPr>
                    <w:rFonts w:eastAsia="宋体"/>
                    <w:szCs w:val="21"/>
                  </w:rPr>
                </w:pPr>
                <w:r>
                  <w:rPr>
                    <w:rFonts w:eastAsia="宋体"/>
                    <w:szCs w:val="21"/>
                  </w:rPr>
                  <w:t xml:space="preserve">337 </w:t>
                </w:r>
              </w:p>
            </w:tc>
            <w:tc>
              <w:tcPr>
                <w:tcW w:w="840" w:type="dxa"/>
                <w:shd w:val="clear" w:color="auto" w:fill="auto"/>
                <w:vAlign w:val="center"/>
              </w:tcPr>
              <w:p>
                <w:pPr>
                  <w:jc w:val="right"/>
                  <w:rPr>
                    <w:rFonts w:eastAsia="宋体"/>
                    <w:szCs w:val="21"/>
                  </w:rPr>
                </w:pPr>
                <w:r>
                  <w:rPr>
                    <w:rFonts w:eastAsia="宋体"/>
                    <w:szCs w:val="21"/>
                  </w:rPr>
                  <w:t xml:space="preserve">336 </w:t>
                </w:r>
              </w:p>
            </w:tc>
            <w:tc>
              <w:tcPr>
                <w:tcW w:w="1007" w:type="dxa"/>
                <w:shd w:val="clear" w:color="auto" w:fill="auto"/>
                <w:vAlign w:val="center"/>
              </w:tcPr>
              <w:p>
                <w:pPr>
                  <w:jc w:val="right"/>
                  <w:rPr>
                    <w:rFonts w:eastAsia="宋体"/>
                    <w:szCs w:val="21"/>
                  </w:rPr>
                </w:pPr>
                <w:r>
                  <w:rPr>
                    <w:rFonts w:eastAsia="宋体"/>
                    <w:szCs w:val="21"/>
                  </w:rPr>
                  <w:t xml:space="preserve">3,626 </w:t>
                </w:r>
              </w:p>
            </w:tc>
            <w:tc>
              <w:tcPr>
                <w:tcW w:w="1002" w:type="dxa"/>
                <w:shd w:val="clear" w:color="auto" w:fill="auto"/>
                <w:vAlign w:val="center"/>
              </w:tcPr>
              <w:p>
                <w:pPr>
                  <w:jc w:val="right"/>
                  <w:rPr>
                    <w:rFonts w:eastAsia="宋体"/>
                    <w:szCs w:val="21"/>
                  </w:rPr>
                </w:pPr>
                <w:r>
                  <w:rPr>
                    <w:rFonts w:eastAsia="宋体"/>
                    <w:szCs w:val="21"/>
                  </w:rPr>
                  <w:t xml:space="preserve">3,324 </w:t>
                </w:r>
              </w:p>
            </w:tc>
            <w:tc>
              <w:tcPr>
                <w:tcW w:w="992" w:type="dxa"/>
                <w:shd w:val="clear" w:color="auto" w:fill="auto"/>
                <w:vAlign w:val="center"/>
              </w:tcPr>
              <w:p>
                <w:pPr>
                  <w:jc w:val="right"/>
                  <w:rPr>
                    <w:rFonts w:eastAsia="宋体"/>
                    <w:szCs w:val="21"/>
                  </w:rPr>
                </w:pPr>
                <w:r>
                  <w:rPr>
                    <w:rFonts w:eastAsia="宋体"/>
                    <w:szCs w:val="21"/>
                  </w:rPr>
                  <w:t xml:space="preserve">297 </w:t>
                </w:r>
              </w:p>
            </w:tc>
            <w:tc>
              <w:tcPr>
                <w:tcW w:w="992" w:type="dxa"/>
                <w:shd w:val="clear" w:color="auto" w:fill="auto"/>
                <w:vAlign w:val="center"/>
              </w:tcPr>
              <w:p>
                <w:pPr>
                  <w:jc w:val="right"/>
                  <w:rPr>
                    <w:rFonts w:eastAsia="宋体"/>
                    <w:szCs w:val="21"/>
                  </w:rPr>
                </w:pPr>
                <w:r>
                  <w:rPr>
                    <w:rFonts w:eastAsia="宋体"/>
                    <w:szCs w:val="21"/>
                  </w:rPr>
                  <w:t xml:space="preserve">297 </w:t>
                </w:r>
              </w:p>
            </w:tc>
            <w:tc>
              <w:tcPr>
                <w:tcW w:w="1134" w:type="dxa"/>
                <w:shd w:val="clear" w:color="auto" w:fill="auto"/>
                <w:vAlign w:val="center"/>
              </w:tcPr>
              <w:p>
                <w:pPr>
                  <w:jc w:val="right"/>
                  <w:rPr>
                    <w:rFonts w:eastAsia="宋体"/>
                    <w:szCs w:val="21"/>
                  </w:rPr>
                </w:pPr>
                <w:r>
                  <w:rPr>
                    <w:rFonts w:eastAsia="宋体"/>
                    <w:szCs w:val="21"/>
                  </w:rPr>
                  <w:t xml:space="preserve">3,224 </w:t>
                </w:r>
              </w:p>
            </w:tc>
            <w:tc>
              <w:tcPr>
                <w:tcW w:w="1134" w:type="dxa"/>
                <w:shd w:val="clear" w:color="auto" w:fill="auto"/>
                <w:vAlign w:val="center"/>
              </w:tcPr>
              <w:p>
                <w:pPr>
                  <w:jc w:val="right"/>
                  <w:rPr>
                    <w:rFonts w:eastAsia="宋体"/>
                    <w:szCs w:val="21"/>
                  </w:rPr>
                </w:pPr>
                <w:r>
                  <w:rPr>
                    <w:rFonts w:eastAsia="宋体"/>
                    <w:szCs w:val="21"/>
                  </w:rPr>
                  <w:t xml:space="preserve">3,080 </w:t>
                </w:r>
              </w:p>
            </w:tc>
          </w:tr>
          <w:tr>
            <w:trPr>
              <w:trHeight w:val="312"/>
              <w:jc w:val="center"/>
            </w:trPr>
            <w:tc>
              <w:tcPr>
                <w:tcW w:w="2127" w:type="dxa"/>
                <w:vAlign w:val="center"/>
              </w:tcPr>
              <w:p>
                <w:pPr>
                  <w:ind w:firstLineChars="200" w:firstLine="420"/>
                  <w:rPr>
                    <w:rFonts w:eastAsia="宋体" w:cs="Times New Roman"/>
                    <w:szCs w:val="21"/>
                  </w:rPr>
                </w:pPr>
                <w:r>
                  <w:rPr>
                    <w:rFonts w:eastAsia="宋体" w:cs="Times New Roman" w:hint="eastAsia"/>
                    <w:szCs w:val="21"/>
                  </w:rPr>
                  <w:t>聚甲醛</w:t>
                </w:r>
              </w:p>
            </w:tc>
            <w:tc>
              <w:tcPr>
                <w:tcW w:w="962" w:type="dxa"/>
                <w:shd w:val="clear" w:color="auto" w:fill="auto"/>
                <w:vAlign w:val="center"/>
              </w:tcPr>
              <w:p>
                <w:pPr>
                  <w:jc w:val="right"/>
                  <w:rPr>
                    <w:rFonts w:eastAsia="宋体"/>
                    <w:szCs w:val="21"/>
                  </w:rPr>
                </w:pPr>
                <w:r>
                  <w:rPr>
                    <w:rFonts w:eastAsia="宋体"/>
                    <w:szCs w:val="21"/>
                  </w:rPr>
                  <w:t xml:space="preserve">65 </w:t>
                </w:r>
              </w:p>
            </w:tc>
            <w:tc>
              <w:tcPr>
                <w:tcW w:w="840" w:type="dxa"/>
                <w:shd w:val="clear" w:color="auto" w:fill="auto"/>
                <w:vAlign w:val="center"/>
              </w:tcPr>
              <w:p>
                <w:pPr>
                  <w:jc w:val="right"/>
                  <w:rPr>
                    <w:rFonts w:eastAsia="宋体"/>
                    <w:szCs w:val="21"/>
                  </w:rPr>
                </w:pPr>
                <w:r>
                  <w:rPr>
                    <w:rFonts w:eastAsia="宋体"/>
                    <w:szCs w:val="21"/>
                  </w:rPr>
                  <w:t xml:space="preserve">65 </w:t>
                </w:r>
              </w:p>
            </w:tc>
            <w:tc>
              <w:tcPr>
                <w:tcW w:w="1007" w:type="dxa"/>
                <w:shd w:val="clear" w:color="auto" w:fill="auto"/>
                <w:vAlign w:val="center"/>
              </w:tcPr>
              <w:p>
                <w:pPr>
                  <w:jc w:val="right"/>
                  <w:rPr>
                    <w:rFonts w:eastAsia="宋体"/>
                    <w:szCs w:val="21"/>
                  </w:rPr>
                </w:pPr>
                <w:r>
                  <w:rPr>
                    <w:rFonts w:eastAsia="宋体"/>
                    <w:szCs w:val="21"/>
                  </w:rPr>
                  <w:t xml:space="preserve">626 </w:t>
                </w:r>
              </w:p>
            </w:tc>
            <w:tc>
              <w:tcPr>
                <w:tcW w:w="1002" w:type="dxa"/>
                <w:shd w:val="clear" w:color="auto" w:fill="auto"/>
                <w:vAlign w:val="center"/>
              </w:tcPr>
              <w:p>
                <w:pPr>
                  <w:jc w:val="right"/>
                  <w:rPr>
                    <w:rFonts w:eastAsia="宋体"/>
                    <w:szCs w:val="21"/>
                  </w:rPr>
                </w:pPr>
                <w:r>
                  <w:rPr>
                    <w:rFonts w:eastAsia="宋体"/>
                    <w:szCs w:val="21"/>
                  </w:rPr>
                  <w:t xml:space="preserve">565 </w:t>
                </w:r>
              </w:p>
            </w:tc>
            <w:tc>
              <w:tcPr>
                <w:tcW w:w="992" w:type="dxa"/>
                <w:shd w:val="clear" w:color="auto" w:fill="auto"/>
                <w:vAlign w:val="center"/>
              </w:tcPr>
              <w:p>
                <w:pPr>
                  <w:jc w:val="right"/>
                  <w:rPr>
                    <w:rFonts w:eastAsia="宋体"/>
                    <w:szCs w:val="21"/>
                  </w:rPr>
                </w:pPr>
                <w:r>
                  <w:rPr>
                    <w:rFonts w:eastAsia="宋体"/>
                    <w:szCs w:val="21"/>
                  </w:rPr>
                  <w:t xml:space="preserve">74 </w:t>
                </w:r>
              </w:p>
            </w:tc>
            <w:tc>
              <w:tcPr>
                <w:tcW w:w="992" w:type="dxa"/>
                <w:shd w:val="clear" w:color="auto" w:fill="auto"/>
                <w:vAlign w:val="center"/>
              </w:tcPr>
              <w:p>
                <w:pPr>
                  <w:jc w:val="right"/>
                  <w:rPr>
                    <w:rFonts w:eastAsia="宋体"/>
                    <w:szCs w:val="21"/>
                  </w:rPr>
                </w:pPr>
                <w:r>
                  <w:rPr>
                    <w:rFonts w:eastAsia="宋体"/>
                    <w:szCs w:val="21"/>
                  </w:rPr>
                  <w:t xml:space="preserve">74 </w:t>
                </w:r>
              </w:p>
            </w:tc>
            <w:tc>
              <w:tcPr>
                <w:tcW w:w="1134" w:type="dxa"/>
                <w:shd w:val="clear" w:color="auto" w:fill="auto"/>
                <w:vAlign w:val="center"/>
              </w:tcPr>
              <w:p>
                <w:pPr>
                  <w:jc w:val="right"/>
                  <w:rPr>
                    <w:rFonts w:eastAsia="宋体"/>
                    <w:szCs w:val="21"/>
                  </w:rPr>
                </w:pPr>
                <w:r>
                  <w:rPr>
                    <w:rFonts w:eastAsia="宋体"/>
                    <w:szCs w:val="21"/>
                  </w:rPr>
                  <w:t xml:space="preserve">776 </w:t>
                </w:r>
              </w:p>
            </w:tc>
            <w:tc>
              <w:tcPr>
                <w:tcW w:w="1134" w:type="dxa"/>
                <w:shd w:val="clear" w:color="auto" w:fill="auto"/>
                <w:vAlign w:val="center"/>
              </w:tcPr>
              <w:p>
                <w:pPr>
                  <w:jc w:val="right"/>
                  <w:rPr>
                    <w:rFonts w:eastAsia="宋体"/>
                    <w:szCs w:val="21"/>
                  </w:rPr>
                </w:pPr>
                <w:r>
                  <w:rPr>
                    <w:rFonts w:eastAsia="宋体"/>
                    <w:szCs w:val="21"/>
                  </w:rPr>
                  <w:t xml:space="preserve">613 </w:t>
                </w:r>
              </w:p>
            </w:tc>
          </w:tr>
          <w:tr>
            <w:trPr>
              <w:trHeight w:val="312"/>
              <w:jc w:val="center"/>
            </w:trPr>
            <w:tc>
              <w:tcPr>
                <w:tcW w:w="2127" w:type="dxa"/>
                <w:shd w:val="clear" w:color="auto" w:fill="auto"/>
                <w:vAlign w:val="center"/>
              </w:tcPr>
              <w:p>
                <w:pPr>
                  <w:ind w:firstLineChars="200" w:firstLine="420"/>
                  <w:rPr>
                    <w:rFonts w:eastAsia="宋体" w:cs="Times New Roman"/>
                    <w:szCs w:val="21"/>
                  </w:rPr>
                </w:pPr>
                <w:r>
                  <w:rPr>
                    <w:rFonts w:eastAsia="宋体" w:cs="Times New Roman" w:hint="eastAsia"/>
                    <w:szCs w:val="21"/>
                  </w:rPr>
                  <w:t>粗液体蜡</w:t>
                </w:r>
                <w:r>
                  <w:rPr>
                    <w:rFonts w:eastAsia="宋体" w:cs="Times New Roman" w:hint="eastAsia"/>
                    <w:szCs w:val="21"/>
                    <w:vertAlign w:val="superscript"/>
                  </w:rPr>
                  <w:t>②</w:t>
                </w:r>
              </w:p>
            </w:tc>
            <w:tc>
              <w:tcPr>
                <w:tcW w:w="962" w:type="dxa"/>
                <w:shd w:val="clear" w:color="auto" w:fill="auto"/>
                <w:vAlign w:val="center"/>
              </w:tcPr>
              <w:p>
                <w:pPr>
                  <w:jc w:val="right"/>
                  <w:rPr>
                    <w:rFonts w:eastAsia="宋体"/>
                    <w:szCs w:val="21"/>
                  </w:rPr>
                </w:pPr>
                <w:r>
                  <w:rPr>
                    <w:rFonts w:eastAsia="宋体"/>
                    <w:szCs w:val="21"/>
                  </w:rPr>
                  <w:t xml:space="preserve">288 </w:t>
                </w:r>
              </w:p>
            </w:tc>
            <w:tc>
              <w:tcPr>
                <w:tcW w:w="840" w:type="dxa"/>
                <w:shd w:val="clear" w:color="auto" w:fill="auto"/>
                <w:vAlign w:val="center"/>
              </w:tcPr>
              <w:p>
                <w:pPr>
                  <w:jc w:val="right"/>
                  <w:rPr>
                    <w:rFonts w:eastAsia="宋体"/>
                    <w:szCs w:val="21"/>
                  </w:rPr>
                </w:pPr>
                <w:r>
                  <w:rPr>
                    <w:rFonts w:eastAsia="宋体"/>
                    <w:szCs w:val="21"/>
                  </w:rPr>
                  <w:t xml:space="preserve">300 </w:t>
                </w:r>
              </w:p>
            </w:tc>
            <w:tc>
              <w:tcPr>
                <w:tcW w:w="1007" w:type="dxa"/>
                <w:shd w:val="clear" w:color="auto" w:fill="auto"/>
                <w:vAlign w:val="center"/>
              </w:tcPr>
              <w:p>
                <w:pPr>
                  <w:jc w:val="right"/>
                  <w:rPr>
                    <w:rFonts w:eastAsia="宋体"/>
                    <w:szCs w:val="21"/>
                  </w:rPr>
                </w:pPr>
                <w:r>
                  <w:rPr>
                    <w:rFonts w:eastAsia="宋体"/>
                    <w:szCs w:val="21"/>
                  </w:rPr>
                  <w:t xml:space="preserve">1,874 </w:t>
                </w:r>
              </w:p>
            </w:tc>
            <w:tc>
              <w:tcPr>
                <w:tcW w:w="1002" w:type="dxa"/>
                <w:shd w:val="clear" w:color="auto" w:fill="auto"/>
                <w:vAlign w:val="center"/>
              </w:tcPr>
              <w:p>
                <w:pPr>
                  <w:jc w:val="right"/>
                  <w:rPr>
                    <w:rFonts w:eastAsia="宋体"/>
                    <w:szCs w:val="21"/>
                  </w:rPr>
                </w:pPr>
                <w:r>
                  <w:rPr>
                    <w:rFonts w:eastAsia="宋体"/>
                    <w:szCs w:val="21"/>
                  </w:rPr>
                  <w:t xml:space="preserve">899 </w:t>
                </w:r>
              </w:p>
            </w:tc>
            <w:tc>
              <w:tcPr>
                <w:tcW w:w="992" w:type="dxa"/>
                <w:shd w:val="clear" w:color="auto" w:fill="auto"/>
                <w:vAlign w:val="center"/>
              </w:tcPr>
              <w:p>
                <w:pPr>
                  <w:jc w:val="right"/>
                  <w:rPr>
                    <w:rFonts w:eastAsia="宋体"/>
                    <w:szCs w:val="21"/>
                  </w:rPr>
                </w:pPr>
                <w:r>
                  <w:rPr>
                    <w:rFonts w:eastAsia="宋体"/>
                    <w:szCs w:val="21"/>
                  </w:rPr>
                  <w:t xml:space="preserve">162 </w:t>
                </w:r>
              </w:p>
            </w:tc>
            <w:tc>
              <w:tcPr>
                <w:tcW w:w="992" w:type="dxa"/>
                <w:shd w:val="clear" w:color="auto" w:fill="auto"/>
                <w:vAlign w:val="center"/>
              </w:tcPr>
              <w:p>
                <w:pPr>
                  <w:jc w:val="right"/>
                  <w:rPr>
                    <w:rFonts w:eastAsia="宋体"/>
                    <w:szCs w:val="21"/>
                  </w:rPr>
                </w:pPr>
                <w:r>
                  <w:rPr>
                    <w:rFonts w:eastAsia="宋体"/>
                    <w:szCs w:val="21"/>
                  </w:rPr>
                  <w:t xml:space="preserve">146 </w:t>
                </w:r>
              </w:p>
            </w:tc>
            <w:tc>
              <w:tcPr>
                <w:tcW w:w="1134" w:type="dxa"/>
                <w:shd w:val="clear" w:color="auto" w:fill="auto"/>
                <w:vAlign w:val="center"/>
              </w:tcPr>
              <w:p>
                <w:pPr>
                  <w:jc w:val="right"/>
                  <w:rPr>
                    <w:rFonts w:eastAsia="宋体"/>
                    <w:szCs w:val="21"/>
                  </w:rPr>
                </w:pPr>
                <w:r>
                  <w:rPr>
                    <w:rFonts w:eastAsia="宋体"/>
                    <w:szCs w:val="21"/>
                  </w:rPr>
                  <w:t xml:space="preserve">995 </w:t>
                </w:r>
              </w:p>
            </w:tc>
            <w:tc>
              <w:tcPr>
                <w:tcW w:w="1134" w:type="dxa"/>
                <w:shd w:val="clear" w:color="auto" w:fill="auto"/>
                <w:vAlign w:val="center"/>
              </w:tcPr>
              <w:p>
                <w:pPr>
                  <w:jc w:val="right"/>
                  <w:rPr>
                    <w:rFonts w:eastAsia="宋体"/>
                    <w:szCs w:val="21"/>
                  </w:rPr>
                </w:pPr>
                <w:r>
                  <w:rPr>
                    <w:rFonts w:eastAsia="宋体"/>
                    <w:szCs w:val="21"/>
                  </w:rPr>
                  <w:t xml:space="preserve">337 </w:t>
                </w:r>
              </w:p>
            </w:tc>
          </w:tr>
          <w:tr>
            <w:trPr>
              <w:trHeight w:val="312"/>
              <w:jc w:val="center"/>
            </w:trPr>
            <w:tc>
              <w:tcPr>
                <w:tcW w:w="2127" w:type="dxa"/>
                <w:shd w:val="clear" w:color="auto" w:fill="auto"/>
                <w:vAlign w:val="center"/>
              </w:tcPr>
              <w:p>
                <w:pPr>
                  <w:ind w:firstLineChars="200" w:firstLine="420"/>
                  <w:rPr>
                    <w:rFonts w:eastAsia="宋体" w:cs="Times New Roman"/>
                    <w:szCs w:val="21"/>
                  </w:rPr>
                </w:pPr>
                <w:r>
                  <w:rPr>
                    <w:rFonts w:eastAsia="宋体" w:cs="Times New Roman" w:hint="eastAsia"/>
                    <w:szCs w:val="21"/>
                  </w:rPr>
                  <w:t>柴油</w:t>
                </w:r>
                <w:r>
                  <w:rPr>
                    <w:rFonts w:eastAsia="宋体" w:cs="Times New Roman" w:hint="eastAsia"/>
                    <w:szCs w:val="21"/>
                    <w:vertAlign w:val="superscript"/>
                  </w:rPr>
                  <w:t>②</w:t>
                </w:r>
              </w:p>
            </w:tc>
            <w:tc>
              <w:tcPr>
                <w:tcW w:w="962" w:type="dxa"/>
                <w:shd w:val="clear" w:color="auto" w:fill="auto"/>
                <w:vAlign w:val="center"/>
              </w:tcPr>
              <w:p>
                <w:pPr>
                  <w:jc w:val="right"/>
                  <w:rPr>
                    <w:rFonts w:eastAsia="宋体"/>
                    <w:szCs w:val="21"/>
                  </w:rPr>
                </w:pPr>
                <w:r>
                  <w:rPr>
                    <w:rFonts w:eastAsia="宋体"/>
                    <w:szCs w:val="21"/>
                  </w:rPr>
                  <w:t xml:space="preserve">- </w:t>
                </w:r>
              </w:p>
            </w:tc>
            <w:tc>
              <w:tcPr>
                <w:tcW w:w="840" w:type="dxa"/>
                <w:shd w:val="clear" w:color="auto" w:fill="auto"/>
                <w:vAlign w:val="center"/>
              </w:tcPr>
              <w:p>
                <w:pPr>
                  <w:jc w:val="right"/>
                </w:pPr>
                <w:r>
                  <w:rPr>
                    <w:rFonts w:eastAsia="宋体"/>
                    <w:szCs w:val="21"/>
                  </w:rPr>
                  <w:t>-</w:t>
                </w:r>
              </w:p>
            </w:tc>
            <w:tc>
              <w:tcPr>
                <w:tcW w:w="1007" w:type="dxa"/>
                <w:shd w:val="clear" w:color="auto" w:fill="auto"/>
                <w:vAlign w:val="center"/>
              </w:tcPr>
              <w:p>
                <w:pPr>
                  <w:jc w:val="right"/>
                </w:pPr>
                <w:r>
                  <w:rPr>
                    <w:rFonts w:eastAsia="宋体"/>
                    <w:szCs w:val="21"/>
                  </w:rPr>
                  <w:t>-</w:t>
                </w:r>
              </w:p>
            </w:tc>
            <w:tc>
              <w:tcPr>
                <w:tcW w:w="1002" w:type="dxa"/>
                <w:shd w:val="clear" w:color="auto" w:fill="auto"/>
                <w:vAlign w:val="center"/>
              </w:tcPr>
              <w:p>
                <w:pPr>
                  <w:jc w:val="right"/>
                </w:pPr>
                <w:r>
                  <w:rPr>
                    <w:rFonts w:eastAsia="宋体"/>
                    <w:szCs w:val="21"/>
                  </w:rPr>
                  <w:t>-</w:t>
                </w:r>
              </w:p>
            </w:tc>
            <w:tc>
              <w:tcPr>
                <w:tcW w:w="992" w:type="dxa"/>
                <w:shd w:val="clear" w:color="auto" w:fill="auto"/>
                <w:vAlign w:val="center"/>
              </w:tcPr>
              <w:p>
                <w:pPr>
                  <w:jc w:val="right"/>
                  <w:rPr>
                    <w:rFonts w:eastAsia="宋体"/>
                    <w:szCs w:val="21"/>
                  </w:rPr>
                </w:pPr>
                <w:r>
                  <w:rPr>
                    <w:rFonts w:eastAsia="宋体"/>
                    <w:szCs w:val="21"/>
                  </w:rPr>
                  <w:t xml:space="preserve">277 </w:t>
                </w:r>
              </w:p>
            </w:tc>
            <w:tc>
              <w:tcPr>
                <w:tcW w:w="992" w:type="dxa"/>
                <w:shd w:val="clear" w:color="auto" w:fill="auto"/>
                <w:vAlign w:val="center"/>
              </w:tcPr>
              <w:p>
                <w:pPr>
                  <w:jc w:val="right"/>
                  <w:rPr>
                    <w:rFonts w:eastAsia="宋体"/>
                    <w:szCs w:val="21"/>
                  </w:rPr>
                </w:pPr>
                <w:r>
                  <w:rPr>
                    <w:rFonts w:eastAsia="宋体"/>
                    <w:szCs w:val="21"/>
                  </w:rPr>
                  <w:t xml:space="preserve">269 </w:t>
                </w:r>
              </w:p>
            </w:tc>
            <w:tc>
              <w:tcPr>
                <w:tcW w:w="1134" w:type="dxa"/>
                <w:shd w:val="clear" w:color="auto" w:fill="auto"/>
                <w:vAlign w:val="center"/>
              </w:tcPr>
              <w:p>
                <w:pPr>
                  <w:jc w:val="right"/>
                  <w:rPr>
                    <w:rFonts w:eastAsia="宋体"/>
                    <w:szCs w:val="21"/>
                  </w:rPr>
                </w:pPr>
                <w:r>
                  <w:rPr>
                    <w:rFonts w:eastAsia="宋体"/>
                    <w:szCs w:val="21"/>
                  </w:rPr>
                  <w:t xml:space="preserve">1,800 </w:t>
                </w:r>
              </w:p>
            </w:tc>
            <w:tc>
              <w:tcPr>
                <w:tcW w:w="1134" w:type="dxa"/>
                <w:shd w:val="clear" w:color="auto" w:fill="auto"/>
                <w:vAlign w:val="center"/>
              </w:tcPr>
              <w:p>
                <w:pPr>
                  <w:jc w:val="right"/>
                  <w:rPr>
                    <w:rFonts w:eastAsia="宋体"/>
                    <w:szCs w:val="21"/>
                  </w:rPr>
                </w:pPr>
                <w:r>
                  <w:rPr>
                    <w:rFonts w:eastAsia="宋体"/>
                    <w:szCs w:val="21"/>
                  </w:rPr>
                  <w:t xml:space="preserve">595 </w:t>
                </w:r>
              </w:p>
            </w:tc>
          </w:tr>
          <w:tr>
            <w:trPr>
              <w:trHeight w:val="312"/>
              <w:jc w:val="center"/>
            </w:trPr>
            <w:tc>
              <w:tcPr>
                <w:tcW w:w="2127" w:type="dxa"/>
                <w:shd w:val="clear" w:color="auto" w:fill="auto"/>
                <w:vAlign w:val="center"/>
              </w:tcPr>
              <w:p>
                <w:pPr>
                  <w:ind w:firstLineChars="200" w:firstLine="420"/>
                  <w:rPr>
                    <w:rFonts w:eastAsia="宋体" w:cs="Times New Roman"/>
                    <w:szCs w:val="21"/>
                  </w:rPr>
                </w:pPr>
                <w:r>
                  <w:rPr>
                    <w:rFonts w:eastAsia="宋体" w:hint="eastAsia"/>
                    <w:szCs w:val="21"/>
                  </w:rPr>
                  <w:t>石脑油</w:t>
                </w:r>
              </w:p>
            </w:tc>
            <w:tc>
              <w:tcPr>
                <w:tcW w:w="962" w:type="dxa"/>
                <w:shd w:val="clear" w:color="auto" w:fill="auto"/>
                <w:vAlign w:val="center"/>
              </w:tcPr>
              <w:p>
                <w:pPr>
                  <w:jc w:val="right"/>
                  <w:rPr>
                    <w:rFonts w:eastAsia="宋体"/>
                    <w:szCs w:val="21"/>
                  </w:rPr>
                </w:pPr>
                <w:r>
                  <w:rPr>
                    <w:rFonts w:eastAsia="宋体"/>
                    <w:szCs w:val="21"/>
                  </w:rPr>
                  <w:t xml:space="preserve">233 </w:t>
                </w:r>
              </w:p>
            </w:tc>
            <w:tc>
              <w:tcPr>
                <w:tcW w:w="840" w:type="dxa"/>
                <w:shd w:val="clear" w:color="auto" w:fill="auto"/>
                <w:vAlign w:val="center"/>
              </w:tcPr>
              <w:p>
                <w:pPr>
                  <w:jc w:val="right"/>
                  <w:rPr>
                    <w:rFonts w:eastAsia="宋体"/>
                    <w:szCs w:val="21"/>
                  </w:rPr>
                </w:pPr>
                <w:r>
                  <w:rPr>
                    <w:rFonts w:eastAsia="宋体"/>
                    <w:szCs w:val="21"/>
                  </w:rPr>
                  <w:t xml:space="preserve">235 </w:t>
                </w:r>
              </w:p>
            </w:tc>
            <w:tc>
              <w:tcPr>
                <w:tcW w:w="1007" w:type="dxa"/>
                <w:shd w:val="clear" w:color="auto" w:fill="auto"/>
                <w:vAlign w:val="center"/>
              </w:tcPr>
              <w:p>
                <w:pPr>
                  <w:jc w:val="right"/>
                  <w:rPr>
                    <w:rFonts w:eastAsia="宋体"/>
                    <w:szCs w:val="21"/>
                  </w:rPr>
                </w:pPr>
                <w:r>
                  <w:rPr>
                    <w:rFonts w:eastAsia="宋体"/>
                    <w:szCs w:val="21"/>
                  </w:rPr>
                  <w:t xml:space="preserve">1,537 </w:t>
                </w:r>
              </w:p>
            </w:tc>
            <w:tc>
              <w:tcPr>
                <w:tcW w:w="1002" w:type="dxa"/>
                <w:shd w:val="clear" w:color="auto" w:fill="auto"/>
                <w:vAlign w:val="center"/>
              </w:tcPr>
              <w:p>
                <w:pPr>
                  <w:jc w:val="right"/>
                  <w:rPr>
                    <w:rFonts w:eastAsia="宋体"/>
                    <w:szCs w:val="21"/>
                  </w:rPr>
                </w:pPr>
                <w:r>
                  <w:rPr>
                    <w:rFonts w:eastAsia="宋体"/>
                    <w:szCs w:val="21"/>
                  </w:rPr>
                  <w:t xml:space="preserve">693 </w:t>
                </w:r>
              </w:p>
            </w:tc>
            <w:tc>
              <w:tcPr>
                <w:tcW w:w="992" w:type="dxa"/>
                <w:shd w:val="clear" w:color="auto" w:fill="auto"/>
                <w:vAlign w:val="center"/>
              </w:tcPr>
              <w:p>
                <w:pPr>
                  <w:jc w:val="right"/>
                  <w:rPr>
                    <w:rFonts w:eastAsia="宋体"/>
                    <w:szCs w:val="21"/>
                  </w:rPr>
                </w:pPr>
                <w:r>
                  <w:rPr>
                    <w:rFonts w:eastAsia="宋体"/>
                    <w:szCs w:val="21"/>
                  </w:rPr>
                  <w:t xml:space="preserve">256 </w:t>
                </w:r>
              </w:p>
            </w:tc>
            <w:tc>
              <w:tcPr>
                <w:tcW w:w="992" w:type="dxa"/>
                <w:shd w:val="clear" w:color="auto" w:fill="auto"/>
                <w:vAlign w:val="center"/>
              </w:tcPr>
              <w:p>
                <w:pPr>
                  <w:jc w:val="right"/>
                  <w:rPr>
                    <w:rFonts w:eastAsia="宋体"/>
                    <w:szCs w:val="21"/>
                  </w:rPr>
                </w:pPr>
                <w:r>
                  <w:rPr>
                    <w:rFonts w:eastAsia="宋体"/>
                    <w:szCs w:val="21"/>
                  </w:rPr>
                  <w:t xml:space="preserve">254 </w:t>
                </w:r>
              </w:p>
            </w:tc>
            <w:tc>
              <w:tcPr>
                <w:tcW w:w="1134" w:type="dxa"/>
                <w:shd w:val="clear" w:color="auto" w:fill="auto"/>
                <w:vAlign w:val="center"/>
              </w:tcPr>
              <w:p>
                <w:pPr>
                  <w:jc w:val="right"/>
                  <w:rPr>
                    <w:rFonts w:eastAsia="宋体"/>
                    <w:szCs w:val="21"/>
                  </w:rPr>
                </w:pPr>
                <w:r>
                  <w:rPr>
                    <w:rFonts w:eastAsia="宋体"/>
                    <w:szCs w:val="21"/>
                  </w:rPr>
                  <w:t xml:space="preserve">1,697 </w:t>
                </w:r>
              </w:p>
            </w:tc>
            <w:tc>
              <w:tcPr>
                <w:tcW w:w="1134" w:type="dxa"/>
                <w:shd w:val="clear" w:color="auto" w:fill="auto"/>
                <w:vAlign w:val="center"/>
              </w:tcPr>
              <w:p>
                <w:pPr>
                  <w:jc w:val="right"/>
                  <w:rPr>
                    <w:rFonts w:eastAsia="宋体"/>
                    <w:szCs w:val="21"/>
                  </w:rPr>
                </w:pPr>
                <w:r>
                  <w:rPr>
                    <w:rFonts w:eastAsia="宋体"/>
                    <w:szCs w:val="21"/>
                  </w:rPr>
                  <w:t xml:space="preserve">586 </w:t>
                </w:r>
              </w:p>
            </w:tc>
          </w:tr>
          <w:tr>
            <w:trPr>
              <w:trHeight w:val="312"/>
              <w:jc w:val="center"/>
            </w:trPr>
            <w:tc>
              <w:tcPr>
                <w:tcW w:w="2127" w:type="dxa"/>
                <w:shd w:val="clear" w:color="auto" w:fill="auto"/>
                <w:vAlign w:val="center"/>
              </w:tcPr>
              <w:p>
                <w:pPr>
                  <w:ind w:firstLineChars="200" w:firstLine="420"/>
                  <w:rPr>
                    <w:rFonts w:cs="Times New Roman"/>
                    <w:szCs w:val="21"/>
                  </w:rPr>
                </w:pPr>
                <w:r>
                  <w:rPr>
                    <w:rFonts w:cs="Times New Roman"/>
                    <w:szCs w:val="21"/>
                  </w:rPr>
                  <w:t>全馏分液体石蜡</w:t>
                </w:r>
                <w:r>
                  <w:rPr>
                    <w:rFonts w:cs="Times New Roman" w:hint="eastAsia"/>
                    <w:szCs w:val="21"/>
                    <w:vertAlign w:val="superscript"/>
                  </w:rPr>
                  <w:t>②</w:t>
                </w:r>
                <w:r>
                  <w:rPr>
                    <w:rFonts w:cs="Times New Roman"/>
                    <w:szCs w:val="21"/>
                  </w:rPr>
                  <w:t xml:space="preserve"> </w:t>
                </w:r>
              </w:p>
            </w:tc>
            <w:tc>
              <w:tcPr>
                <w:tcW w:w="962" w:type="dxa"/>
                <w:shd w:val="clear" w:color="auto" w:fill="auto"/>
                <w:vAlign w:val="center"/>
              </w:tcPr>
              <w:p>
                <w:pPr>
                  <w:jc w:val="right"/>
                  <w:rPr>
                    <w:rFonts w:eastAsia="宋体"/>
                    <w:szCs w:val="21"/>
                  </w:rPr>
                </w:pPr>
                <w:r>
                  <w:rPr>
                    <w:rFonts w:eastAsia="宋体"/>
                    <w:szCs w:val="21"/>
                  </w:rPr>
                  <w:t xml:space="preserve">116 </w:t>
                </w:r>
              </w:p>
            </w:tc>
            <w:tc>
              <w:tcPr>
                <w:tcW w:w="840" w:type="dxa"/>
                <w:shd w:val="clear" w:color="auto" w:fill="auto"/>
                <w:vAlign w:val="center"/>
              </w:tcPr>
              <w:p>
                <w:pPr>
                  <w:jc w:val="right"/>
                  <w:rPr>
                    <w:rFonts w:eastAsia="宋体"/>
                    <w:szCs w:val="21"/>
                  </w:rPr>
                </w:pPr>
                <w:r>
                  <w:rPr>
                    <w:rFonts w:eastAsia="宋体"/>
                    <w:szCs w:val="21"/>
                  </w:rPr>
                  <w:t xml:space="preserve">111 </w:t>
                </w:r>
              </w:p>
            </w:tc>
            <w:tc>
              <w:tcPr>
                <w:tcW w:w="1007" w:type="dxa"/>
                <w:shd w:val="clear" w:color="auto" w:fill="auto"/>
                <w:vAlign w:val="center"/>
              </w:tcPr>
              <w:p>
                <w:pPr>
                  <w:jc w:val="right"/>
                  <w:rPr>
                    <w:rFonts w:eastAsia="宋体"/>
                    <w:szCs w:val="21"/>
                  </w:rPr>
                </w:pPr>
                <w:r>
                  <w:rPr>
                    <w:rFonts w:eastAsia="宋体"/>
                    <w:szCs w:val="21"/>
                  </w:rPr>
                  <w:t xml:space="preserve">660 </w:t>
                </w:r>
              </w:p>
            </w:tc>
            <w:tc>
              <w:tcPr>
                <w:tcW w:w="1002" w:type="dxa"/>
                <w:shd w:val="clear" w:color="auto" w:fill="auto"/>
                <w:vAlign w:val="center"/>
              </w:tcPr>
              <w:p>
                <w:pPr>
                  <w:jc w:val="right"/>
                  <w:rPr>
                    <w:rFonts w:eastAsia="宋体"/>
                    <w:szCs w:val="21"/>
                  </w:rPr>
                </w:pPr>
                <w:r>
                  <w:rPr>
                    <w:rFonts w:eastAsia="宋体"/>
                    <w:szCs w:val="21"/>
                  </w:rPr>
                  <w:t xml:space="preserve">313 </w:t>
                </w:r>
              </w:p>
            </w:tc>
            <w:tc>
              <w:tcPr>
                <w:tcW w:w="992" w:type="dxa"/>
                <w:shd w:val="clear" w:color="auto" w:fill="auto"/>
                <w:vAlign w:val="center"/>
              </w:tcPr>
              <w:p>
                <w:pPr>
                  <w:jc w:val="right"/>
                  <w:rPr>
                    <w:rFonts w:eastAsia="宋体"/>
                    <w:szCs w:val="21"/>
                  </w:rPr>
                </w:pPr>
                <w:r>
                  <w:rPr>
                    <w:rFonts w:eastAsia="宋体"/>
                    <w:szCs w:val="21"/>
                  </w:rPr>
                  <w:t xml:space="preserve">- </w:t>
                </w:r>
              </w:p>
            </w:tc>
            <w:tc>
              <w:tcPr>
                <w:tcW w:w="992" w:type="dxa"/>
                <w:shd w:val="clear" w:color="auto" w:fill="auto"/>
                <w:vAlign w:val="center"/>
              </w:tcPr>
              <w:p>
                <w:pPr>
                  <w:jc w:val="right"/>
                </w:pPr>
                <w:r>
                  <w:rPr>
                    <w:rFonts w:eastAsia="宋体"/>
                    <w:szCs w:val="21"/>
                  </w:rPr>
                  <w:t>-</w:t>
                </w:r>
              </w:p>
            </w:tc>
            <w:tc>
              <w:tcPr>
                <w:tcW w:w="1134" w:type="dxa"/>
                <w:shd w:val="clear" w:color="auto" w:fill="auto"/>
                <w:vAlign w:val="center"/>
              </w:tcPr>
              <w:p>
                <w:pPr>
                  <w:jc w:val="right"/>
                </w:pPr>
                <w:r>
                  <w:rPr>
                    <w:rFonts w:eastAsia="宋体"/>
                    <w:szCs w:val="21"/>
                  </w:rPr>
                  <w:t>-</w:t>
                </w:r>
              </w:p>
            </w:tc>
            <w:tc>
              <w:tcPr>
                <w:tcW w:w="1134" w:type="dxa"/>
                <w:shd w:val="clear" w:color="auto" w:fill="auto"/>
                <w:vAlign w:val="center"/>
              </w:tcPr>
              <w:p>
                <w:pPr>
                  <w:jc w:val="right"/>
                </w:pPr>
                <w:r>
                  <w:rPr>
                    <w:rFonts w:eastAsia="宋体"/>
                    <w:szCs w:val="21"/>
                  </w:rPr>
                  <w:t>-</w:t>
                </w:r>
              </w:p>
            </w:tc>
          </w:tr>
          <w:tr>
            <w:trPr>
              <w:trHeight w:val="312"/>
              <w:jc w:val="center"/>
            </w:trPr>
            <w:tc>
              <w:tcPr>
                <w:tcW w:w="2127" w:type="dxa"/>
                <w:shd w:val="clear" w:color="auto" w:fill="auto"/>
                <w:vAlign w:val="center"/>
              </w:tcPr>
              <w:p>
                <w:pPr>
                  <w:ind w:firstLineChars="200" w:firstLine="420"/>
                  <w:rPr>
                    <w:rFonts w:eastAsia="宋体" w:cs="Times New Roman"/>
                    <w:szCs w:val="21"/>
                  </w:rPr>
                </w:pPr>
                <w:r>
                  <w:rPr>
                    <w:rFonts w:eastAsia="宋体" w:cs="Times New Roman" w:hint="eastAsia"/>
                    <w:szCs w:val="21"/>
                  </w:rPr>
                  <w:t>乙二醇</w:t>
                </w:r>
              </w:p>
            </w:tc>
            <w:tc>
              <w:tcPr>
                <w:tcW w:w="962" w:type="dxa"/>
                <w:shd w:val="clear" w:color="auto" w:fill="auto"/>
                <w:vAlign w:val="center"/>
              </w:tcPr>
              <w:p>
                <w:pPr>
                  <w:jc w:val="right"/>
                  <w:rPr>
                    <w:rFonts w:eastAsia="宋体"/>
                    <w:szCs w:val="21"/>
                  </w:rPr>
                </w:pPr>
                <w:r>
                  <w:rPr>
                    <w:rFonts w:eastAsia="宋体"/>
                    <w:szCs w:val="21"/>
                  </w:rPr>
                  <w:t xml:space="preserve">401 </w:t>
                </w:r>
              </w:p>
            </w:tc>
            <w:tc>
              <w:tcPr>
                <w:tcW w:w="840" w:type="dxa"/>
                <w:shd w:val="clear" w:color="auto" w:fill="auto"/>
                <w:vAlign w:val="center"/>
              </w:tcPr>
              <w:p>
                <w:pPr>
                  <w:jc w:val="right"/>
                  <w:rPr>
                    <w:rFonts w:eastAsia="宋体"/>
                    <w:szCs w:val="21"/>
                  </w:rPr>
                </w:pPr>
                <w:r>
                  <w:rPr>
                    <w:rFonts w:eastAsia="宋体"/>
                    <w:szCs w:val="21"/>
                  </w:rPr>
                  <w:t xml:space="preserve">394 </w:t>
                </w:r>
              </w:p>
            </w:tc>
            <w:tc>
              <w:tcPr>
                <w:tcW w:w="1007" w:type="dxa"/>
                <w:shd w:val="clear" w:color="auto" w:fill="auto"/>
                <w:vAlign w:val="center"/>
              </w:tcPr>
              <w:p>
                <w:pPr>
                  <w:jc w:val="right"/>
                  <w:rPr>
                    <w:rFonts w:eastAsia="宋体"/>
                    <w:szCs w:val="21"/>
                  </w:rPr>
                </w:pPr>
                <w:r>
                  <w:rPr>
                    <w:rFonts w:eastAsia="宋体"/>
                    <w:szCs w:val="21"/>
                  </w:rPr>
                  <w:t xml:space="preserve">1,524 </w:t>
                </w:r>
              </w:p>
            </w:tc>
            <w:tc>
              <w:tcPr>
                <w:tcW w:w="1002" w:type="dxa"/>
                <w:shd w:val="clear" w:color="auto" w:fill="auto"/>
                <w:vAlign w:val="center"/>
              </w:tcPr>
              <w:p>
                <w:pPr>
                  <w:jc w:val="right"/>
                  <w:rPr>
                    <w:rFonts w:eastAsia="宋体"/>
                    <w:szCs w:val="21"/>
                  </w:rPr>
                </w:pPr>
                <w:r>
                  <w:rPr>
                    <w:rFonts w:eastAsia="宋体"/>
                    <w:szCs w:val="21"/>
                  </w:rPr>
                  <w:t xml:space="preserve">1,078 </w:t>
                </w:r>
              </w:p>
            </w:tc>
            <w:tc>
              <w:tcPr>
                <w:tcW w:w="992" w:type="dxa"/>
                <w:shd w:val="clear" w:color="auto" w:fill="auto"/>
                <w:vAlign w:val="center"/>
              </w:tcPr>
              <w:p>
                <w:pPr>
                  <w:jc w:val="right"/>
                  <w:rPr>
                    <w:rFonts w:eastAsia="宋体"/>
                    <w:szCs w:val="21"/>
                  </w:rPr>
                </w:pPr>
                <w:r>
                  <w:rPr>
                    <w:rFonts w:eastAsia="宋体"/>
                    <w:szCs w:val="21"/>
                  </w:rPr>
                  <w:t xml:space="preserve">360 </w:t>
                </w:r>
              </w:p>
            </w:tc>
            <w:tc>
              <w:tcPr>
                <w:tcW w:w="992" w:type="dxa"/>
                <w:shd w:val="clear" w:color="auto" w:fill="auto"/>
                <w:vAlign w:val="center"/>
              </w:tcPr>
              <w:p>
                <w:pPr>
                  <w:jc w:val="right"/>
                  <w:rPr>
                    <w:rFonts w:eastAsia="宋体"/>
                    <w:szCs w:val="21"/>
                  </w:rPr>
                </w:pPr>
                <w:r>
                  <w:rPr>
                    <w:rFonts w:eastAsia="宋体"/>
                    <w:szCs w:val="21"/>
                  </w:rPr>
                  <w:t xml:space="preserve">391 </w:t>
                </w:r>
              </w:p>
            </w:tc>
            <w:tc>
              <w:tcPr>
                <w:tcW w:w="1134" w:type="dxa"/>
                <w:shd w:val="clear" w:color="auto" w:fill="auto"/>
                <w:vAlign w:val="center"/>
              </w:tcPr>
              <w:p>
                <w:pPr>
                  <w:jc w:val="right"/>
                  <w:rPr>
                    <w:rFonts w:eastAsia="宋体"/>
                    <w:szCs w:val="21"/>
                  </w:rPr>
                </w:pPr>
                <w:r>
                  <w:rPr>
                    <w:rFonts w:eastAsia="宋体"/>
                    <w:szCs w:val="21"/>
                  </w:rPr>
                  <w:t xml:space="preserve">1,332 </w:t>
                </w:r>
              </w:p>
            </w:tc>
            <w:tc>
              <w:tcPr>
                <w:tcW w:w="1134" w:type="dxa"/>
                <w:shd w:val="clear" w:color="auto" w:fill="auto"/>
                <w:vAlign w:val="center"/>
              </w:tcPr>
              <w:p>
                <w:pPr>
                  <w:jc w:val="right"/>
                  <w:rPr>
                    <w:rFonts w:eastAsia="宋体"/>
                    <w:szCs w:val="21"/>
                  </w:rPr>
                </w:pPr>
                <w:r>
                  <w:rPr>
                    <w:rFonts w:eastAsia="宋体"/>
                    <w:szCs w:val="21"/>
                  </w:rPr>
                  <w:t xml:space="preserve">1,107 </w:t>
                </w:r>
              </w:p>
            </w:tc>
          </w:tr>
          <w:tr>
            <w:trPr>
              <w:trHeight w:val="312"/>
              <w:jc w:val="center"/>
            </w:trPr>
            <w:tc>
              <w:tcPr>
                <w:tcW w:w="2127" w:type="dxa"/>
                <w:shd w:val="clear" w:color="auto" w:fill="auto"/>
                <w:vAlign w:val="center"/>
              </w:tcPr>
              <w:p>
                <w:pPr>
                  <w:ind w:firstLineChars="200" w:firstLine="420"/>
                  <w:rPr>
                    <w:rFonts w:eastAsia="宋体" w:cs="Times New Roman"/>
                    <w:szCs w:val="21"/>
                  </w:rPr>
                </w:pPr>
                <w:r>
                  <w:rPr>
                    <w:rFonts w:eastAsia="宋体" w:cs="Times New Roman" w:hint="eastAsia"/>
                    <w:szCs w:val="21"/>
                  </w:rPr>
                  <w:t>尿素</w:t>
                </w:r>
              </w:p>
            </w:tc>
            <w:tc>
              <w:tcPr>
                <w:tcW w:w="962" w:type="dxa"/>
                <w:shd w:val="clear" w:color="auto" w:fill="auto"/>
                <w:vAlign w:val="center"/>
              </w:tcPr>
              <w:p>
                <w:pPr>
                  <w:jc w:val="right"/>
                  <w:rPr>
                    <w:rFonts w:eastAsia="宋体"/>
                    <w:szCs w:val="21"/>
                  </w:rPr>
                </w:pPr>
                <w:r>
                  <w:rPr>
                    <w:rFonts w:eastAsia="宋体"/>
                    <w:szCs w:val="21"/>
                  </w:rPr>
                  <w:t xml:space="preserve">716 </w:t>
                </w:r>
              </w:p>
            </w:tc>
            <w:tc>
              <w:tcPr>
                <w:tcW w:w="840" w:type="dxa"/>
                <w:shd w:val="clear" w:color="auto" w:fill="auto"/>
                <w:vAlign w:val="center"/>
              </w:tcPr>
              <w:p>
                <w:pPr>
                  <w:jc w:val="right"/>
                  <w:rPr>
                    <w:rFonts w:eastAsia="宋体"/>
                    <w:szCs w:val="21"/>
                  </w:rPr>
                </w:pPr>
                <w:r>
                  <w:rPr>
                    <w:rFonts w:eastAsia="宋体"/>
                    <w:szCs w:val="21"/>
                  </w:rPr>
                  <w:t xml:space="preserve">664 </w:t>
                </w:r>
              </w:p>
            </w:tc>
            <w:tc>
              <w:tcPr>
                <w:tcW w:w="1007" w:type="dxa"/>
                <w:shd w:val="clear" w:color="auto" w:fill="auto"/>
                <w:vAlign w:val="center"/>
              </w:tcPr>
              <w:p>
                <w:pPr>
                  <w:jc w:val="right"/>
                  <w:rPr>
                    <w:rFonts w:eastAsia="宋体"/>
                    <w:szCs w:val="21"/>
                  </w:rPr>
                </w:pPr>
                <w:r>
                  <w:rPr>
                    <w:rFonts w:eastAsia="宋体"/>
                    <w:szCs w:val="21"/>
                  </w:rPr>
                  <w:t xml:space="preserve">1,192 </w:t>
                </w:r>
              </w:p>
            </w:tc>
            <w:tc>
              <w:tcPr>
                <w:tcW w:w="1002" w:type="dxa"/>
                <w:shd w:val="clear" w:color="auto" w:fill="auto"/>
                <w:vAlign w:val="center"/>
              </w:tcPr>
              <w:p>
                <w:pPr>
                  <w:jc w:val="right"/>
                  <w:rPr>
                    <w:rFonts w:eastAsia="宋体"/>
                    <w:szCs w:val="21"/>
                  </w:rPr>
                </w:pPr>
                <w:r>
                  <w:rPr>
                    <w:rFonts w:eastAsia="宋体"/>
                    <w:szCs w:val="21"/>
                  </w:rPr>
                  <w:t xml:space="preserve">892 </w:t>
                </w:r>
              </w:p>
            </w:tc>
            <w:tc>
              <w:tcPr>
                <w:tcW w:w="992" w:type="dxa"/>
                <w:shd w:val="clear" w:color="auto" w:fill="auto"/>
                <w:vAlign w:val="center"/>
              </w:tcPr>
              <w:p>
                <w:pPr>
                  <w:jc w:val="right"/>
                  <w:rPr>
                    <w:rFonts w:eastAsia="宋体"/>
                    <w:szCs w:val="21"/>
                  </w:rPr>
                </w:pPr>
                <w:r>
                  <w:rPr>
                    <w:rFonts w:eastAsia="宋体"/>
                    <w:szCs w:val="21"/>
                  </w:rPr>
                  <w:t xml:space="preserve">591 </w:t>
                </w:r>
              </w:p>
            </w:tc>
            <w:tc>
              <w:tcPr>
                <w:tcW w:w="992" w:type="dxa"/>
                <w:shd w:val="clear" w:color="auto" w:fill="auto"/>
                <w:vAlign w:val="center"/>
              </w:tcPr>
              <w:p>
                <w:pPr>
                  <w:jc w:val="right"/>
                  <w:rPr>
                    <w:rFonts w:eastAsia="宋体"/>
                    <w:szCs w:val="21"/>
                  </w:rPr>
                </w:pPr>
                <w:r>
                  <w:rPr>
                    <w:rFonts w:eastAsia="宋体"/>
                    <w:szCs w:val="21"/>
                  </w:rPr>
                  <w:t xml:space="preserve">615 </w:t>
                </w:r>
              </w:p>
            </w:tc>
            <w:tc>
              <w:tcPr>
                <w:tcW w:w="1134" w:type="dxa"/>
                <w:shd w:val="clear" w:color="auto" w:fill="auto"/>
                <w:vAlign w:val="center"/>
              </w:tcPr>
              <w:p>
                <w:pPr>
                  <w:jc w:val="right"/>
                  <w:rPr>
                    <w:rFonts w:eastAsia="宋体"/>
                    <w:szCs w:val="21"/>
                  </w:rPr>
                </w:pPr>
                <w:r>
                  <w:rPr>
                    <w:rFonts w:eastAsia="宋体"/>
                    <w:szCs w:val="21"/>
                  </w:rPr>
                  <w:t xml:space="preserve">1,208 </w:t>
                </w:r>
              </w:p>
            </w:tc>
            <w:tc>
              <w:tcPr>
                <w:tcW w:w="1134" w:type="dxa"/>
                <w:shd w:val="clear" w:color="auto" w:fill="auto"/>
                <w:vAlign w:val="center"/>
              </w:tcPr>
              <w:p>
                <w:pPr>
                  <w:jc w:val="right"/>
                  <w:rPr>
                    <w:rFonts w:eastAsia="宋体"/>
                    <w:szCs w:val="21"/>
                  </w:rPr>
                </w:pPr>
                <w:r>
                  <w:rPr>
                    <w:rFonts w:eastAsia="宋体"/>
                    <w:szCs w:val="21"/>
                  </w:rPr>
                  <w:t xml:space="preserve">873 </w:t>
                </w:r>
              </w:p>
            </w:tc>
          </w:tr>
          <w:tr>
            <w:trPr>
              <w:trHeight w:val="70"/>
              <w:jc w:val="center"/>
            </w:trPr>
            <w:tc>
              <w:tcPr>
                <w:tcW w:w="2127" w:type="dxa"/>
                <w:shd w:val="clear" w:color="auto" w:fill="auto"/>
                <w:vAlign w:val="center"/>
              </w:tcPr>
              <w:p>
                <w:pPr>
                  <w:ind w:firstLineChars="200" w:firstLine="420"/>
                  <w:rPr>
                    <w:rFonts w:eastAsia="宋体" w:cs="Times New Roman"/>
                    <w:szCs w:val="21"/>
                  </w:rPr>
                </w:pPr>
                <w:r>
                  <w:rPr>
                    <w:rFonts w:eastAsia="宋体" w:cs="Times New Roman" w:hint="eastAsia"/>
                    <w:szCs w:val="21"/>
                  </w:rPr>
                  <w:t>其他</w:t>
                </w:r>
              </w:p>
            </w:tc>
            <w:tc>
              <w:tcPr>
                <w:tcW w:w="962" w:type="dxa"/>
                <w:shd w:val="clear" w:color="auto" w:fill="auto"/>
                <w:vAlign w:val="center"/>
              </w:tcPr>
              <w:p>
                <w:pPr>
                  <w:jc w:val="right"/>
                  <w:rPr>
                    <w:rFonts w:eastAsia="宋体"/>
                    <w:szCs w:val="21"/>
                  </w:rPr>
                </w:pPr>
                <w:r>
                  <w:rPr>
                    <w:rFonts w:eastAsia="宋体"/>
                    <w:szCs w:val="21"/>
                  </w:rPr>
                  <w:t xml:space="preserve">1,116 </w:t>
                </w:r>
              </w:p>
            </w:tc>
            <w:tc>
              <w:tcPr>
                <w:tcW w:w="840" w:type="dxa"/>
                <w:shd w:val="clear" w:color="auto" w:fill="auto"/>
                <w:vAlign w:val="center"/>
              </w:tcPr>
              <w:p>
                <w:pPr>
                  <w:jc w:val="right"/>
                  <w:rPr>
                    <w:rFonts w:eastAsia="宋体"/>
                    <w:szCs w:val="21"/>
                  </w:rPr>
                </w:pPr>
                <w:r>
                  <w:rPr>
                    <w:rFonts w:eastAsia="宋体"/>
                    <w:szCs w:val="21"/>
                  </w:rPr>
                  <w:t xml:space="preserve">731 </w:t>
                </w:r>
              </w:p>
            </w:tc>
            <w:tc>
              <w:tcPr>
                <w:tcW w:w="1007" w:type="dxa"/>
                <w:shd w:val="clear" w:color="auto" w:fill="auto"/>
                <w:vAlign w:val="center"/>
              </w:tcPr>
              <w:p>
                <w:pPr>
                  <w:jc w:val="right"/>
                  <w:rPr>
                    <w:rFonts w:eastAsia="宋体"/>
                    <w:szCs w:val="21"/>
                  </w:rPr>
                </w:pPr>
                <w:r>
                  <w:rPr>
                    <w:rFonts w:eastAsia="宋体"/>
                    <w:szCs w:val="21"/>
                  </w:rPr>
                  <w:t xml:space="preserve">3,637 </w:t>
                </w:r>
              </w:p>
            </w:tc>
            <w:tc>
              <w:tcPr>
                <w:tcW w:w="1002" w:type="dxa"/>
                <w:shd w:val="clear" w:color="auto" w:fill="auto"/>
                <w:vAlign w:val="center"/>
              </w:tcPr>
              <w:p>
                <w:pPr>
                  <w:jc w:val="right"/>
                  <w:rPr>
                    <w:rFonts w:eastAsia="宋体"/>
                    <w:szCs w:val="21"/>
                  </w:rPr>
                </w:pPr>
                <w:r>
                  <w:rPr>
                    <w:rFonts w:eastAsia="宋体"/>
                    <w:szCs w:val="21"/>
                  </w:rPr>
                  <w:t xml:space="preserve">3,171 </w:t>
                </w:r>
              </w:p>
            </w:tc>
            <w:tc>
              <w:tcPr>
                <w:tcW w:w="992" w:type="dxa"/>
                <w:shd w:val="clear" w:color="auto" w:fill="auto"/>
                <w:vAlign w:val="center"/>
              </w:tcPr>
              <w:p>
                <w:pPr>
                  <w:jc w:val="right"/>
                  <w:rPr>
                    <w:rFonts w:eastAsia="宋体"/>
                    <w:szCs w:val="21"/>
                  </w:rPr>
                </w:pPr>
                <w:r>
                  <w:rPr>
                    <w:rFonts w:eastAsia="宋体"/>
                    <w:szCs w:val="21"/>
                  </w:rPr>
                  <w:t xml:space="preserve">991 </w:t>
                </w:r>
              </w:p>
            </w:tc>
            <w:tc>
              <w:tcPr>
                <w:tcW w:w="992" w:type="dxa"/>
                <w:shd w:val="clear" w:color="auto" w:fill="auto"/>
                <w:vAlign w:val="center"/>
              </w:tcPr>
              <w:p>
                <w:pPr>
                  <w:jc w:val="right"/>
                  <w:rPr>
                    <w:rFonts w:eastAsia="宋体"/>
                    <w:szCs w:val="21"/>
                  </w:rPr>
                </w:pPr>
                <w:r>
                  <w:rPr>
                    <w:rFonts w:eastAsia="宋体"/>
                    <w:szCs w:val="21"/>
                  </w:rPr>
                  <w:t xml:space="preserve">697 </w:t>
                </w:r>
              </w:p>
            </w:tc>
            <w:tc>
              <w:tcPr>
                <w:tcW w:w="1134" w:type="dxa"/>
                <w:shd w:val="clear" w:color="auto" w:fill="auto"/>
                <w:vAlign w:val="center"/>
              </w:tcPr>
              <w:p>
                <w:pPr>
                  <w:jc w:val="right"/>
                  <w:rPr>
                    <w:rFonts w:eastAsia="宋体"/>
                    <w:szCs w:val="21"/>
                  </w:rPr>
                </w:pPr>
                <w:r>
                  <w:rPr>
                    <w:rFonts w:eastAsia="宋体"/>
                    <w:szCs w:val="21"/>
                  </w:rPr>
                  <w:t xml:space="preserve">3,654 </w:t>
                </w:r>
              </w:p>
            </w:tc>
            <w:tc>
              <w:tcPr>
                <w:tcW w:w="1134" w:type="dxa"/>
                <w:shd w:val="clear" w:color="auto" w:fill="auto"/>
                <w:vAlign w:val="center"/>
              </w:tcPr>
              <w:p>
                <w:pPr>
                  <w:jc w:val="right"/>
                  <w:rPr>
                    <w:rFonts w:eastAsia="宋体"/>
                    <w:szCs w:val="21"/>
                  </w:rPr>
                </w:pPr>
                <w:r>
                  <w:rPr>
                    <w:rFonts w:eastAsia="宋体"/>
                    <w:szCs w:val="21"/>
                  </w:rPr>
                  <w:t xml:space="preserve">3,145 </w:t>
                </w:r>
              </w:p>
            </w:tc>
          </w:tr>
          <w:tr>
            <w:trPr>
              <w:trHeight w:val="312"/>
              <w:jc w:val="center"/>
            </w:trPr>
            <w:tc>
              <w:tcPr>
                <w:tcW w:w="2127" w:type="dxa"/>
                <w:shd w:val="clear" w:color="auto" w:fill="auto"/>
                <w:vAlign w:val="center"/>
              </w:tcPr>
              <w:p>
                <w:pPr>
                  <w:jc w:val="center"/>
                  <w:rPr>
                    <w:rFonts w:eastAsia="宋体" w:cs="Times New Roman"/>
                    <w:szCs w:val="21"/>
                  </w:rPr>
                </w:pPr>
                <w:r>
                  <w:rPr>
                    <w:rFonts w:eastAsia="宋体" w:cs="Times New Roman" w:hint="eastAsia"/>
                    <w:szCs w:val="21"/>
                  </w:rPr>
                  <w:t>合计</w:t>
                </w:r>
              </w:p>
            </w:tc>
            <w:tc>
              <w:tcPr>
                <w:tcW w:w="962" w:type="dxa"/>
                <w:shd w:val="clear" w:color="auto" w:fill="auto"/>
                <w:vAlign w:val="center"/>
              </w:tcPr>
              <w:p>
                <w:pPr>
                  <w:jc w:val="right"/>
                  <w:rPr>
                    <w:rFonts w:eastAsia="宋体"/>
                    <w:szCs w:val="21"/>
                  </w:rPr>
                </w:pPr>
                <w:r>
                  <w:rPr>
                    <w:rFonts w:eastAsia="宋体"/>
                    <w:szCs w:val="21"/>
                  </w:rPr>
                  <w:t xml:space="preserve">8,702 </w:t>
                </w:r>
              </w:p>
            </w:tc>
            <w:tc>
              <w:tcPr>
                <w:tcW w:w="840" w:type="dxa"/>
                <w:shd w:val="clear" w:color="auto" w:fill="auto"/>
                <w:vAlign w:val="center"/>
              </w:tcPr>
              <w:p>
                <w:pPr>
                  <w:jc w:val="right"/>
                  <w:rPr>
                    <w:rFonts w:eastAsia="宋体"/>
                    <w:szCs w:val="21"/>
                  </w:rPr>
                </w:pPr>
                <w:r>
                  <w:rPr>
                    <w:rFonts w:eastAsia="宋体"/>
                    <w:szCs w:val="21"/>
                  </w:rPr>
                  <w:t xml:space="preserve">7,801 </w:t>
                </w:r>
              </w:p>
            </w:tc>
            <w:tc>
              <w:tcPr>
                <w:tcW w:w="1007" w:type="dxa"/>
                <w:shd w:val="clear" w:color="auto" w:fill="auto"/>
                <w:vAlign w:val="center"/>
              </w:tcPr>
              <w:p>
                <w:pPr>
                  <w:jc w:val="right"/>
                  <w:rPr>
                    <w:rFonts w:eastAsia="宋体"/>
                    <w:szCs w:val="21"/>
                  </w:rPr>
                </w:pPr>
                <w:r>
                  <w:rPr>
                    <w:rFonts w:eastAsia="宋体"/>
                    <w:szCs w:val="21"/>
                  </w:rPr>
                  <w:t xml:space="preserve">25,223 </w:t>
                </w:r>
              </w:p>
            </w:tc>
            <w:tc>
              <w:tcPr>
                <w:tcW w:w="1002" w:type="dxa"/>
                <w:shd w:val="clear" w:color="auto" w:fill="auto"/>
                <w:vAlign w:val="center"/>
              </w:tcPr>
              <w:p>
                <w:pPr>
                  <w:jc w:val="right"/>
                  <w:rPr>
                    <w:rFonts w:eastAsia="宋体"/>
                    <w:szCs w:val="21"/>
                  </w:rPr>
                </w:pPr>
                <w:r>
                  <w:rPr>
                    <w:rFonts w:eastAsia="宋体"/>
                    <w:szCs w:val="21"/>
                  </w:rPr>
                  <w:t xml:space="preserve">19,776 </w:t>
                </w:r>
              </w:p>
            </w:tc>
            <w:tc>
              <w:tcPr>
                <w:tcW w:w="992" w:type="dxa"/>
                <w:shd w:val="clear" w:color="auto" w:fill="auto"/>
                <w:vAlign w:val="center"/>
              </w:tcPr>
              <w:p>
                <w:pPr>
                  <w:jc w:val="right"/>
                  <w:rPr>
                    <w:rFonts w:eastAsia="宋体"/>
                    <w:szCs w:val="21"/>
                  </w:rPr>
                </w:pPr>
                <w:r>
                  <w:rPr>
                    <w:rFonts w:eastAsia="宋体"/>
                    <w:szCs w:val="21"/>
                  </w:rPr>
                  <w:t xml:space="preserve">8,587 </w:t>
                </w:r>
              </w:p>
            </w:tc>
            <w:tc>
              <w:tcPr>
                <w:tcW w:w="992" w:type="dxa"/>
                <w:shd w:val="clear" w:color="auto" w:fill="auto"/>
                <w:vAlign w:val="center"/>
              </w:tcPr>
              <w:p>
                <w:pPr>
                  <w:jc w:val="right"/>
                  <w:rPr>
                    <w:rFonts w:eastAsia="宋体"/>
                    <w:szCs w:val="21"/>
                  </w:rPr>
                </w:pPr>
                <w:r>
                  <w:rPr>
                    <w:rFonts w:eastAsia="宋体"/>
                    <w:szCs w:val="21"/>
                  </w:rPr>
                  <w:t xml:space="preserve">7,862 </w:t>
                </w:r>
              </w:p>
            </w:tc>
            <w:tc>
              <w:tcPr>
                <w:tcW w:w="1134" w:type="dxa"/>
                <w:shd w:val="clear" w:color="auto" w:fill="auto"/>
                <w:vAlign w:val="center"/>
              </w:tcPr>
              <w:p>
                <w:pPr>
                  <w:jc w:val="right"/>
                  <w:rPr>
                    <w:rFonts w:eastAsia="宋体"/>
                    <w:szCs w:val="21"/>
                  </w:rPr>
                </w:pPr>
                <w:r>
                  <w:rPr>
                    <w:rFonts w:eastAsia="宋体"/>
                    <w:szCs w:val="21"/>
                  </w:rPr>
                  <w:t xml:space="preserve">26,398 </w:t>
                </w:r>
              </w:p>
            </w:tc>
            <w:tc>
              <w:tcPr>
                <w:tcW w:w="1134" w:type="dxa"/>
                <w:shd w:val="clear" w:color="auto" w:fill="auto"/>
                <w:vAlign w:val="center"/>
              </w:tcPr>
              <w:p>
                <w:pPr>
                  <w:jc w:val="right"/>
                  <w:rPr>
                    <w:rFonts w:eastAsia="宋体"/>
                    <w:szCs w:val="21"/>
                  </w:rPr>
                </w:pPr>
                <w:r>
                  <w:rPr>
                    <w:rFonts w:eastAsia="宋体"/>
                    <w:szCs w:val="21"/>
                  </w:rPr>
                  <w:t xml:space="preserve">21,130 </w:t>
                </w:r>
              </w:p>
            </w:tc>
          </w:tr>
        </w:tbl>
        <w:p>
          <w:pPr>
            <w:widowControl w:val="0"/>
            <w:ind w:firstLineChars="200" w:firstLine="420"/>
            <w:jc w:val="both"/>
            <w:rPr>
              <w:rFonts w:cs="Times New Roman"/>
              <w:kern w:val="2"/>
              <w:szCs w:val="21"/>
            </w:rPr>
          </w:pPr>
          <w:r>
            <w:rPr>
              <w:rFonts w:cs="Times New Roman" w:hint="eastAsia"/>
              <w:kern w:val="2"/>
              <w:szCs w:val="21"/>
            </w:rPr>
            <w:t>注：</w:t>
          </w:r>
        </w:p>
        <w:p>
          <w:pPr>
            <w:widowControl w:val="0"/>
            <w:ind w:firstLineChars="200" w:firstLine="420"/>
            <w:jc w:val="both"/>
            <w:rPr>
              <w:rFonts w:cs="Times New Roman"/>
              <w:kern w:val="2"/>
              <w:szCs w:val="21"/>
            </w:rPr>
          </w:pPr>
          <w:bookmarkStart w:id="51" w:name="_Hlk192528591"/>
          <w:r>
            <w:rPr>
              <w:rFonts w:cs="Times New Roman" w:hint="eastAsia"/>
              <w:kern w:val="2"/>
              <w:szCs w:val="21"/>
            </w:rPr>
            <w:t>①醋酸乙酯产量、销量、销售收入、销售成本同比减少，主要是由于：鲁南化工积极应对市场环境变化，进行柔性生产，醋酸乙酯产量、销量同比减少。</w:t>
          </w:r>
        </w:p>
        <w:p>
          <w:pPr>
            <w:widowControl w:val="0"/>
            <w:ind w:firstLineChars="200" w:firstLine="420"/>
            <w:jc w:val="both"/>
            <w:rPr>
              <w:rFonts w:cs="Times New Roman"/>
              <w:kern w:val="2"/>
              <w:szCs w:val="21"/>
            </w:rPr>
          </w:pPr>
          <w:r>
            <w:rPr>
              <w:rFonts w:cs="Times New Roman" w:hint="eastAsia"/>
              <w:kern w:val="2"/>
              <w:szCs w:val="21"/>
            </w:rPr>
            <w:t>②粗液体蜡、柴油、全馏分液体石蜡产量、销量、销售收入、销售成本同比增减变动，主要是由于：未来能源积极应对市场环境变化，进行柔性生产，不断优化产品结构，影响其化工产品产量、销量变动。</w:t>
          </w:r>
        </w:p>
        <w:bookmarkEnd w:id="51"/>
        <w:p>
          <w:pPr>
            <w:widowControl w:val="0"/>
            <w:ind w:firstLineChars="200" w:firstLine="420"/>
            <w:jc w:val="both"/>
            <w:rPr>
              <w:rFonts w:cs="Times New Roman"/>
              <w:kern w:val="2"/>
              <w:szCs w:val="21"/>
            </w:rPr>
          </w:pPr>
        </w:p>
        <w:p>
          <w:pPr>
            <w:widowControl w:val="0"/>
            <w:jc w:val="both"/>
            <w:rPr>
              <w:rFonts w:cs="Times New Roman"/>
              <w:b/>
              <w:bCs/>
              <w:kern w:val="2"/>
              <w:szCs w:val="21"/>
            </w:rPr>
          </w:pPr>
          <w:r>
            <w:rPr>
              <w:rFonts w:cs="Times New Roman" w:hint="eastAsia"/>
              <w:b/>
              <w:bCs/>
              <w:kern w:val="2"/>
              <w:szCs w:val="21"/>
            </w:rPr>
            <w:t>3</w:t>
          </w:r>
          <w:r>
            <w:rPr>
              <w:rFonts w:cs="Times New Roman"/>
              <w:b/>
              <w:bCs/>
              <w:kern w:val="2"/>
              <w:szCs w:val="21"/>
            </w:rPr>
            <w:t>.</w:t>
          </w:r>
          <w:r>
            <w:rPr>
              <w:rFonts w:cs="Times New Roman" w:hint="eastAsia"/>
              <w:b/>
              <w:bCs/>
              <w:kern w:val="2"/>
              <w:szCs w:val="21"/>
            </w:rPr>
            <w:t>电力业务</w:t>
          </w:r>
        </w:p>
        <w:p>
          <w:pPr>
            <w:widowControl w:val="0"/>
            <w:ind w:firstLineChars="200" w:firstLine="420"/>
            <w:jc w:val="both"/>
            <w:rPr>
              <w:rFonts w:cs="Times New Roman"/>
              <w:kern w:val="2"/>
              <w:szCs w:val="21"/>
            </w:rPr>
          </w:pPr>
          <w:r>
            <w:rPr>
              <w:rFonts w:cs="Times New Roman" w:hint="eastAsia"/>
              <w:kern w:val="2"/>
              <w:szCs w:val="21"/>
            </w:rPr>
            <w:t>2024年本集团电力业务经营情况如下：</w:t>
          </w:r>
        </w:p>
        <w:tbl>
          <w:tblPr>
            <w:tblStyle w:val="g114"/>
            <w:tblW w:w="10393" w:type="dxa"/>
            <w:jc w:val="center"/>
            <w:tblCellMar>
              <w:left w:w="0" w:type="dxa"/>
            </w:tblCellMar>
            <w:tblLook w:val="0600" w:firstRow="0" w:lastRow="0" w:firstColumn="0" w:lastColumn="0" w:noHBand="1" w:noVBand="1"/>
          </w:tblPr>
          <w:tblGrid>
            <w:gridCol w:w="1695"/>
            <w:gridCol w:w="1070"/>
            <w:gridCol w:w="1198"/>
            <w:gridCol w:w="1134"/>
            <w:gridCol w:w="992"/>
            <w:gridCol w:w="1134"/>
            <w:gridCol w:w="1134"/>
            <w:gridCol w:w="1044"/>
            <w:gridCol w:w="992"/>
          </w:tblGrid>
          <w:tr>
            <w:trPr>
              <w:trHeight w:val="312"/>
              <w:jc w:val="center"/>
            </w:trPr>
            <w:tc>
              <w:tcPr>
                <w:tcW w:w="1695" w:type="dxa"/>
                <w:vMerge w:val="restart"/>
                <w:vAlign w:val="center"/>
              </w:tcPr>
              <w:p>
                <w:pPr>
                  <w:spacing w:line="240" w:lineRule="atLeast"/>
                  <w:rPr>
                    <w:rFonts w:eastAsia="宋体" w:cs="Times New Roman"/>
                    <w:szCs w:val="21"/>
                  </w:rPr>
                </w:pPr>
                <w:bookmarkStart w:id="52" w:name="_Hlk3298539"/>
                <w:bookmarkStart w:id="53" w:name="_Hlk192414028"/>
                <w:bookmarkEnd w:id="52"/>
              </w:p>
            </w:tc>
            <w:tc>
              <w:tcPr>
                <w:tcW w:w="4394" w:type="dxa"/>
                <w:gridSpan w:val="4"/>
                <w:vAlign w:val="center"/>
              </w:tcPr>
              <w:p>
                <w:pPr>
                  <w:spacing w:line="240" w:lineRule="atLeast"/>
                  <w:jc w:val="center"/>
                  <w:rPr>
                    <w:rFonts w:eastAsia="宋体" w:cs="Times New Roman"/>
                    <w:szCs w:val="21"/>
                  </w:rPr>
                </w:pPr>
                <w:r>
                  <w:rPr>
                    <w:rFonts w:eastAsia="宋体" w:cs="Times New Roman" w:hint="eastAsia"/>
                    <w:szCs w:val="21"/>
                  </w:rPr>
                  <w:t>2024年</w:t>
                </w:r>
              </w:p>
            </w:tc>
            <w:tc>
              <w:tcPr>
                <w:tcW w:w="4304" w:type="dxa"/>
                <w:gridSpan w:val="4"/>
                <w:vAlign w:val="center"/>
              </w:tcPr>
              <w:p>
                <w:pPr>
                  <w:spacing w:line="240" w:lineRule="atLeast"/>
                  <w:jc w:val="center"/>
                  <w:rPr>
                    <w:rFonts w:eastAsia="宋体" w:cs="Times New Roman"/>
                    <w:szCs w:val="21"/>
                  </w:rPr>
                </w:pPr>
                <w:r>
                  <w:rPr>
                    <w:rFonts w:eastAsia="宋体" w:cs="Times New Roman" w:hint="eastAsia"/>
                    <w:szCs w:val="21"/>
                  </w:rPr>
                  <w:t>2023年</w:t>
                </w:r>
              </w:p>
            </w:tc>
          </w:tr>
          <w:tr>
            <w:trPr>
              <w:trHeight w:val="312"/>
              <w:jc w:val="center"/>
            </w:trPr>
            <w:tc>
              <w:tcPr>
                <w:tcW w:w="1695" w:type="dxa"/>
                <w:vMerge/>
                <w:vAlign w:val="center"/>
              </w:tcPr>
              <w:p>
                <w:pPr>
                  <w:spacing w:line="240" w:lineRule="atLeast"/>
                  <w:rPr>
                    <w:rFonts w:eastAsia="宋体" w:cs="Times New Roman"/>
                    <w:szCs w:val="21"/>
                  </w:rPr>
                </w:pPr>
              </w:p>
            </w:tc>
            <w:tc>
              <w:tcPr>
                <w:tcW w:w="1070" w:type="dxa"/>
                <w:vAlign w:val="center"/>
              </w:tcPr>
              <w:p>
                <w:pPr>
                  <w:jc w:val="center"/>
                  <w:rPr>
                    <w:rFonts w:eastAsia="宋体" w:cs="Times New Roman"/>
                    <w:szCs w:val="21"/>
                  </w:rPr>
                </w:pPr>
                <w:r>
                  <w:rPr>
                    <w:rFonts w:eastAsia="宋体" w:cs="Times New Roman" w:hint="eastAsia"/>
                    <w:szCs w:val="21"/>
                  </w:rPr>
                  <w:t>发电量</w:t>
                </w:r>
              </w:p>
            </w:tc>
            <w:tc>
              <w:tcPr>
                <w:tcW w:w="1198" w:type="dxa"/>
                <w:vAlign w:val="center"/>
              </w:tcPr>
              <w:p>
                <w:pPr>
                  <w:jc w:val="center"/>
                  <w:rPr>
                    <w:rFonts w:eastAsia="宋体" w:cs="Times New Roman"/>
                    <w:szCs w:val="21"/>
                  </w:rPr>
                </w:pPr>
                <w:r>
                  <w:rPr>
                    <w:rFonts w:eastAsia="宋体" w:cs="Times New Roman" w:hint="eastAsia"/>
                    <w:szCs w:val="21"/>
                  </w:rPr>
                  <w:t>售电量</w:t>
                </w:r>
              </w:p>
            </w:tc>
            <w:tc>
              <w:tcPr>
                <w:tcW w:w="1134" w:type="dxa"/>
                <w:vAlign w:val="center"/>
              </w:tcPr>
              <w:p>
                <w:pPr>
                  <w:jc w:val="center"/>
                  <w:rPr>
                    <w:rFonts w:eastAsia="宋体" w:cs="Times New Roman"/>
                    <w:szCs w:val="21"/>
                  </w:rPr>
                </w:pPr>
                <w:r>
                  <w:rPr>
                    <w:rFonts w:eastAsia="宋体" w:cs="Times New Roman" w:hint="eastAsia"/>
                    <w:szCs w:val="21"/>
                  </w:rPr>
                  <w:t>销售收入</w:t>
                </w:r>
              </w:p>
            </w:tc>
            <w:tc>
              <w:tcPr>
                <w:tcW w:w="992" w:type="dxa"/>
                <w:vAlign w:val="center"/>
              </w:tcPr>
              <w:p>
                <w:pPr>
                  <w:jc w:val="center"/>
                  <w:rPr>
                    <w:rFonts w:eastAsia="宋体" w:cs="Times New Roman"/>
                    <w:szCs w:val="21"/>
                  </w:rPr>
                </w:pPr>
                <w:r>
                  <w:rPr>
                    <w:rFonts w:eastAsia="宋体" w:cs="Times New Roman" w:hint="eastAsia"/>
                    <w:szCs w:val="21"/>
                  </w:rPr>
                  <w:t>销售成本</w:t>
                </w:r>
              </w:p>
            </w:tc>
            <w:tc>
              <w:tcPr>
                <w:tcW w:w="1134" w:type="dxa"/>
                <w:vAlign w:val="center"/>
              </w:tcPr>
              <w:p>
                <w:pPr>
                  <w:jc w:val="center"/>
                  <w:rPr>
                    <w:rFonts w:eastAsia="宋体" w:cs="Times New Roman"/>
                    <w:szCs w:val="21"/>
                  </w:rPr>
                </w:pPr>
                <w:r>
                  <w:rPr>
                    <w:rFonts w:eastAsia="宋体" w:cs="Times New Roman" w:hint="eastAsia"/>
                    <w:szCs w:val="21"/>
                  </w:rPr>
                  <w:t>发电量</w:t>
                </w:r>
              </w:p>
            </w:tc>
            <w:tc>
              <w:tcPr>
                <w:tcW w:w="1134" w:type="dxa"/>
                <w:vAlign w:val="center"/>
              </w:tcPr>
              <w:p>
                <w:pPr>
                  <w:jc w:val="center"/>
                  <w:rPr>
                    <w:rFonts w:eastAsia="宋体" w:cs="Times New Roman"/>
                    <w:szCs w:val="21"/>
                  </w:rPr>
                </w:pPr>
                <w:r>
                  <w:rPr>
                    <w:rFonts w:eastAsia="宋体" w:cs="Times New Roman" w:hint="eastAsia"/>
                    <w:szCs w:val="21"/>
                  </w:rPr>
                  <w:t>售电量</w:t>
                </w:r>
              </w:p>
            </w:tc>
            <w:tc>
              <w:tcPr>
                <w:tcW w:w="1044" w:type="dxa"/>
                <w:vAlign w:val="center"/>
              </w:tcPr>
              <w:p>
                <w:pPr>
                  <w:jc w:val="center"/>
                  <w:rPr>
                    <w:rFonts w:eastAsia="宋体" w:cs="Times New Roman"/>
                    <w:szCs w:val="21"/>
                  </w:rPr>
                </w:pPr>
                <w:r>
                  <w:rPr>
                    <w:rFonts w:eastAsia="宋体" w:cs="Times New Roman" w:hint="eastAsia"/>
                    <w:szCs w:val="21"/>
                  </w:rPr>
                  <w:t>销售收入</w:t>
                </w:r>
              </w:p>
            </w:tc>
            <w:tc>
              <w:tcPr>
                <w:tcW w:w="992" w:type="dxa"/>
                <w:vAlign w:val="center"/>
              </w:tcPr>
              <w:p>
                <w:pPr>
                  <w:jc w:val="center"/>
                  <w:rPr>
                    <w:rFonts w:eastAsia="宋体" w:cs="Times New Roman"/>
                    <w:szCs w:val="21"/>
                  </w:rPr>
                </w:pPr>
                <w:r>
                  <w:rPr>
                    <w:rFonts w:eastAsia="宋体" w:cs="Times New Roman" w:hint="eastAsia"/>
                    <w:szCs w:val="21"/>
                  </w:rPr>
                  <w:t>销售成本</w:t>
                </w:r>
              </w:p>
            </w:tc>
          </w:tr>
          <w:tr>
            <w:trPr>
              <w:trHeight w:val="312"/>
              <w:jc w:val="center"/>
            </w:trPr>
            <w:tc>
              <w:tcPr>
                <w:tcW w:w="1695" w:type="dxa"/>
                <w:vMerge/>
                <w:vAlign w:val="center"/>
              </w:tcPr>
              <w:p>
                <w:pPr>
                  <w:spacing w:line="240" w:lineRule="atLeast"/>
                  <w:rPr>
                    <w:rFonts w:eastAsia="宋体" w:cs="Times New Roman"/>
                    <w:bCs/>
                    <w:szCs w:val="21"/>
                  </w:rPr>
                </w:pPr>
              </w:p>
            </w:tc>
            <w:tc>
              <w:tcPr>
                <w:tcW w:w="1070"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（万千瓦时）</w:t>
                </w:r>
              </w:p>
            </w:tc>
            <w:tc>
              <w:tcPr>
                <w:tcW w:w="1198"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（万千瓦时）</w:t>
                </w:r>
              </w:p>
            </w:tc>
            <w:tc>
              <w:tcPr>
                <w:tcW w:w="1134"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（百万元）</w:t>
                </w:r>
              </w:p>
            </w:tc>
            <w:tc>
              <w:tcPr>
                <w:tcW w:w="992"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（百万元）</w:t>
                </w:r>
              </w:p>
            </w:tc>
            <w:tc>
              <w:tcPr>
                <w:tcW w:w="1134"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（万千瓦时）</w:t>
                </w:r>
              </w:p>
            </w:tc>
            <w:tc>
              <w:tcPr>
                <w:tcW w:w="1134"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（万千瓦时）</w:t>
                </w:r>
              </w:p>
            </w:tc>
            <w:tc>
              <w:tcPr>
                <w:tcW w:w="1044"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（百万元）</w:t>
                </w:r>
              </w:p>
            </w:tc>
            <w:tc>
              <w:tcPr>
                <w:tcW w:w="992" w:type="dxa"/>
                <w:vAlign w:val="center"/>
              </w:tcPr>
              <w:p>
                <w:pPr>
                  <w:ind w:leftChars="-50" w:left="-105" w:rightChars="-50" w:right="-105"/>
                  <w:jc w:val="center"/>
                  <w:rPr>
                    <w:rFonts w:eastAsia="宋体" w:cs="Times New Roman"/>
                    <w:spacing w:val="-20"/>
                    <w:szCs w:val="21"/>
                  </w:rPr>
                </w:pPr>
                <w:r>
                  <w:rPr>
                    <w:rFonts w:eastAsia="宋体" w:cs="Times New Roman" w:hint="eastAsia"/>
                    <w:spacing w:val="-20"/>
                    <w:szCs w:val="21"/>
                  </w:rPr>
                  <w:t>（百万元）</w:t>
                </w:r>
              </w:p>
            </w:tc>
          </w:tr>
          <w:tr>
            <w:trPr>
              <w:trHeight w:val="312"/>
              <w:jc w:val="center"/>
            </w:trPr>
            <w:tc>
              <w:tcPr>
                <w:tcW w:w="1695" w:type="dxa"/>
              </w:tcPr>
              <w:p>
                <w:pPr>
                  <w:rPr>
                    <w:rFonts w:eastAsia="宋体" w:cs="Times New Roman"/>
                    <w:szCs w:val="21"/>
                  </w:rPr>
                </w:pPr>
                <w:r>
                  <w:rPr>
                    <w:rFonts w:eastAsia="宋体" w:cs="Times New Roman" w:hint="eastAsia"/>
                    <w:szCs w:val="21"/>
                  </w:rPr>
                  <w:t>一、济三电力</w:t>
                </w:r>
                <w:r>
                  <w:rPr>
                    <w:rFonts w:eastAsia="宋体" w:cs="Times New Roman" w:hint="eastAsia"/>
                    <w:szCs w:val="21"/>
                    <w:vertAlign w:val="superscript"/>
                  </w:rPr>
                  <w:t>①</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134,391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120,451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519 </w:t>
                </w:r>
              </w:p>
            </w:tc>
            <w:tc>
              <w:tcPr>
                <w:tcW w:w="992" w:type="dxa"/>
                <w:shd w:val="clear" w:color="auto" w:fill="auto"/>
                <w:vAlign w:val="center"/>
              </w:tcPr>
              <w:p>
                <w:pPr>
                  <w:jc w:val="right"/>
                  <w:rPr>
                    <w:rFonts w:eastAsia="宋体" w:cs="Times New Roman"/>
                    <w:szCs w:val="21"/>
                  </w:rPr>
                </w:pPr>
                <w:r>
                  <w:t xml:space="preserve">341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148,645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128,226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539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406 </w:t>
                </w:r>
              </w:p>
            </w:tc>
          </w:tr>
          <w:tr>
            <w:trPr>
              <w:trHeight w:val="312"/>
              <w:jc w:val="center"/>
            </w:trPr>
            <w:tc>
              <w:tcPr>
                <w:tcW w:w="1695" w:type="dxa"/>
                <w:vAlign w:val="center"/>
              </w:tcPr>
              <w:p>
                <w:pPr>
                  <w:rPr>
                    <w:rFonts w:eastAsia="宋体" w:cs="Times New Roman"/>
                    <w:szCs w:val="21"/>
                  </w:rPr>
                </w:pPr>
                <w:r>
                  <w:rPr>
                    <w:rFonts w:eastAsia="宋体" w:cs="Times New Roman" w:hint="eastAsia"/>
                    <w:szCs w:val="21"/>
                  </w:rPr>
                  <w:t>二、菏泽能化</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145,924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129,991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529 </w:t>
                </w:r>
              </w:p>
            </w:tc>
            <w:tc>
              <w:tcPr>
                <w:tcW w:w="992" w:type="dxa"/>
                <w:shd w:val="clear" w:color="auto" w:fill="auto"/>
                <w:vAlign w:val="center"/>
              </w:tcPr>
              <w:p>
                <w:pPr>
                  <w:jc w:val="right"/>
                  <w:rPr>
                    <w:rFonts w:eastAsia="宋体" w:cs="Times New Roman"/>
                    <w:szCs w:val="21"/>
                  </w:rPr>
                </w:pPr>
                <w:r>
                  <w:t xml:space="preserve">468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152,175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135,961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538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448 </w:t>
                </w:r>
              </w:p>
            </w:tc>
          </w:tr>
          <w:tr>
            <w:trPr>
              <w:trHeight w:val="312"/>
              <w:jc w:val="center"/>
            </w:trPr>
            <w:tc>
              <w:tcPr>
                <w:tcW w:w="1695" w:type="dxa"/>
                <w:shd w:val="clear" w:color="auto" w:fill="auto"/>
                <w:vAlign w:val="center"/>
              </w:tcPr>
              <w:p>
                <w:pPr>
                  <w:rPr>
                    <w:rFonts w:eastAsia="宋体" w:cs="Times New Roman"/>
                    <w:szCs w:val="21"/>
                  </w:rPr>
                </w:pPr>
                <w:r>
                  <w:rPr>
                    <w:rFonts w:eastAsia="宋体" w:cs="Times New Roman" w:hint="eastAsia"/>
                    <w:szCs w:val="21"/>
                  </w:rPr>
                  <w:t>三、鲁南化工</w:t>
                </w:r>
                <w:r>
                  <w:rPr>
                    <w:rFonts w:eastAsia="宋体" w:cs="Times New Roman" w:hint="eastAsia"/>
                    <w:szCs w:val="21"/>
                    <w:vertAlign w:val="superscript"/>
                  </w:rPr>
                  <w:t>②</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21,985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14,787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49 </w:t>
                </w:r>
              </w:p>
            </w:tc>
            <w:tc>
              <w:tcPr>
                <w:tcW w:w="992" w:type="dxa"/>
                <w:shd w:val="clear" w:color="auto" w:fill="auto"/>
                <w:vAlign w:val="center"/>
              </w:tcPr>
              <w:p>
                <w:pPr>
                  <w:jc w:val="right"/>
                  <w:rPr>
                    <w:rFonts w:eastAsia="宋体" w:cs="Times New Roman"/>
                    <w:szCs w:val="21"/>
                  </w:rPr>
                </w:pPr>
                <w:r>
                  <w:t xml:space="preserve">43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33,170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25,167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88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74 </w:t>
                </w:r>
              </w:p>
            </w:tc>
          </w:tr>
          <w:tr>
            <w:trPr>
              <w:trHeight w:val="312"/>
              <w:jc w:val="center"/>
            </w:trPr>
            <w:tc>
              <w:tcPr>
                <w:tcW w:w="1695" w:type="dxa"/>
                <w:shd w:val="clear" w:color="auto" w:fill="auto"/>
                <w:vAlign w:val="center"/>
              </w:tcPr>
              <w:p>
                <w:pPr>
                  <w:rPr>
                    <w:rFonts w:eastAsia="宋体" w:cs="Times New Roman"/>
                    <w:szCs w:val="21"/>
                  </w:rPr>
                </w:pPr>
                <w:r>
                  <w:rPr>
                    <w:rFonts w:eastAsia="宋体" w:cs="Times New Roman" w:hint="eastAsia"/>
                    <w:szCs w:val="21"/>
                  </w:rPr>
                  <w:t>四、榆林能化</w:t>
                </w:r>
                <w:r>
                  <w:rPr>
                    <w:rFonts w:eastAsia="宋体" w:cs="Times New Roman" w:hint="eastAsia"/>
                    <w:szCs w:val="21"/>
                    <w:vertAlign w:val="superscript"/>
                  </w:rPr>
                  <w:t>③</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14,924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11,782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29 </w:t>
                </w:r>
              </w:p>
            </w:tc>
            <w:tc>
              <w:tcPr>
                <w:tcW w:w="992" w:type="dxa"/>
                <w:shd w:val="clear" w:color="auto" w:fill="auto"/>
                <w:vAlign w:val="center"/>
              </w:tcPr>
              <w:p>
                <w:pPr>
                  <w:jc w:val="right"/>
                  <w:rPr>
                    <w:rFonts w:eastAsia="宋体" w:cs="Times New Roman"/>
                    <w:szCs w:val="21"/>
                  </w:rPr>
                </w:pPr>
                <w:r>
                  <w:t xml:space="preserve">29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19,369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17,074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42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42 </w:t>
                </w:r>
              </w:p>
            </w:tc>
          </w:tr>
          <w:tr>
            <w:trPr>
              <w:trHeight w:val="312"/>
              <w:jc w:val="center"/>
            </w:trPr>
            <w:tc>
              <w:tcPr>
                <w:tcW w:w="1695" w:type="dxa"/>
                <w:shd w:val="clear" w:color="auto" w:fill="auto"/>
              </w:tcPr>
              <w:p>
                <w:pPr>
                  <w:rPr>
                    <w:rFonts w:eastAsia="宋体" w:cs="Times New Roman"/>
                    <w:szCs w:val="21"/>
                  </w:rPr>
                </w:pPr>
                <w:r>
                  <w:rPr>
                    <w:rFonts w:eastAsia="宋体" w:cs="Times New Roman" w:hint="eastAsia"/>
                    <w:szCs w:val="21"/>
                  </w:rPr>
                  <w:t>五、未来能源</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94,799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29,944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87 </w:t>
                </w:r>
              </w:p>
            </w:tc>
            <w:tc>
              <w:tcPr>
                <w:tcW w:w="992" w:type="dxa"/>
                <w:shd w:val="clear" w:color="auto" w:fill="auto"/>
                <w:vAlign w:val="center"/>
              </w:tcPr>
              <w:p>
                <w:pPr>
                  <w:jc w:val="right"/>
                  <w:rPr>
                    <w:rFonts w:eastAsia="宋体" w:cs="Times New Roman"/>
                    <w:szCs w:val="21"/>
                  </w:rPr>
                </w:pPr>
                <w:r>
                  <w:t xml:space="preserve">86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111,659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39,636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112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144 </w:t>
                </w:r>
              </w:p>
            </w:tc>
          </w:tr>
          <w:tr>
            <w:trPr>
              <w:trHeight w:val="312"/>
              <w:jc w:val="center"/>
            </w:trPr>
            <w:tc>
              <w:tcPr>
                <w:tcW w:w="1695" w:type="dxa"/>
                <w:shd w:val="clear" w:color="auto" w:fill="auto"/>
              </w:tcPr>
              <w:p>
                <w:pPr>
                  <w:rPr>
                    <w:rFonts w:eastAsia="宋体" w:cs="Times New Roman"/>
                    <w:szCs w:val="21"/>
                  </w:rPr>
                </w:pPr>
                <w:r>
                  <w:rPr>
                    <w:rFonts w:eastAsia="宋体" w:cs="Times New Roman" w:hint="eastAsia"/>
                    <w:szCs w:val="21"/>
                  </w:rPr>
                  <w:t>六、内蒙古矿业</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400,026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372,889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1,322 </w:t>
                </w:r>
              </w:p>
            </w:tc>
            <w:tc>
              <w:tcPr>
                <w:tcW w:w="992" w:type="dxa"/>
                <w:shd w:val="clear" w:color="auto" w:fill="auto"/>
                <w:vAlign w:val="center"/>
              </w:tcPr>
              <w:p>
                <w:pPr>
                  <w:jc w:val="right"/>
                  <w:rPr>
                    <w:rFonts w:eastAsia="宋体" w:cs="Times New Roman"/>
                    <w:szCs w:val="21"/>
                  </w:rPr>
                </w:pPr>
                <w:r>
                  <w:t xml:space="preserve">1,237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375,333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364,657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1,269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1,237 </w:t>
                </w:r>
              </w:p>
            </w:tc>
          </w:tr>
          <w:tr>
            <w:trPr>
              <w:trHeight w:val="312"/>
              <w:jc w:val="center"/>
            </w:trPr>
            <w:tc>
              <w:tcPr>
                <w:tcW w:w="1695" w:type="dxa"/>
                <w:shd w:val="clear" w:color="auto" w:fill="auto"/>
                <w:vAlign w:val="center"/>
              </w:tcPr>
              <w:p>
                <w:pPr>
                  <w:jc w:val="center"/>
                  <w:rPr>
                    <w:rFonts w:eastAsia="宋体" w:cs="Times New Roman"/>
                    <w:szCs w:val="21"/>
                  </w:rPr>
                </w:pPr>
                <w:r>
                  <w:rPr>
                    <w:rFonts w:eastAsia="宋体" w:cs="Times New Roman" w:hint="eastAsia"/>
                    <w:szCs w:val="21"/>
                  </w:rPr>
                  <w:t>合计</w:t>
                </w:r>
              </w:p>
            </w:tc>
            <w:tc>
              <w:tcPr>
                <w:tcW w:w="1070" w:type="dxa"/>
                <w:shd w:val="clear" w:color="auto" w:fill="auto"/>
                <w:vAlign w:val="center"/>
              </w:tcPr>
              <w:p>
                <w:pPr>
                  <w:jc w:val="right"/>
                  <w:rPr>
                    <w:rFonts w:eastAsia="宋体" w:cs="Times New Roman"/>
                    <w:szCs w:val="21"/>
                  </w:rPr>
                </w:pPr>
                <w:r>
                  <w:rPr>
                    <w:rFonts w:eastAsia="宋体" w:cs="Times New Roman"/>
                    <w:szCs w:val="21"/>
                  </w:rPr>
                  <w:t xml:space="preserve">812,048 </w:t>
                </w:r>
              </w:p>
            </w:tc>
            <w:tc>
              <w:tcPr>
                <w:tcW w:w="1198" w:type="dxa"/>
                <w:shd w:val="clear" w:color="auto" w:fill="auto"/>
                <w:vAlign w:val="center"/>
              </w:tcPr>
              <w:p>
                <w:pPr>
                  <w:jc w:val="right"/>
                  <w:rPr>
                    <w:rFonts w:eastAsia="宋体" w:cs="Times New Roman"/>
                    <w:szCs w:val="21"/>
                  </w:rPr>
                </w:pPr>
                <w:r>
                  <w:rPr>
                    <w:rFonts w:eastAsia="宋体" w:cs="Times New Roman"/>
                    <w:szCs w:val="21"/>
                  </w:rPr>
                  <w:t xml:space="preserve">679,843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2,537 </w:t>
                </w:r>
              </w:p>
            </w:tc>
            <w:tc>
              <w:tcPr>
                <w:tcW w:w="992" w:type="dxa"/>
                <w:shd w:val="clear" w:color="auto" w:fill="auto"/>
                <w:vAlign w:val="center"/>
              </w:tcPr>
              <w:p>
                <w:pPr>
                  <w:jc w:val="right"/>
                  <w:rPr>
                    <w:rFonts w:eastAsia="宋体" w:cs="Times New Roman"/>
                    <w:szCs w:val="21"/>
                  </w:rPr>
                </w:pPr>
                <w:r>
                  <w:t xml:space="preserve">2,205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840,351 </w:t>
                </w:r>
              </w:p>
            </w:tc>
            <w:tc>
              <w:tcPr>
                <w:tcW w:w="1134" w:type="dxa"/>
                <w:shd w:val="clear" w:color="auto" w:fill="auto"/>
                <w:vAlign w:val="center"/>
              </w:tcPr>
              <w:p>
                <w:pPr>
                  <w:jc w:val="right"/>
                  <w:rPr>
                    <w:rFonts w:eastAsia="宋体" w:cs="Times New Roman"/>
                    <w:szCs w:val="21"/>
                  </w:rPr>
                </w:pPr>
                <w:r>
                  <w:rPr>
                    <w:rFonts w:eastAsia="宋体" w:cs="Times New Roman"/>
                    <w:szCs w:val="21"/>
                  </w:rPr>
                  <w:t xml:space="preserve">710,722 </w:t>
                </w:r>
              </w:p>
            </w:tc>
            <w:tc>
              <w:tcPr>
                <w:tcW w:w="1044" w:type="dxa"/>
                <w:shd w:val="clear" w:color="auto" w:fill="auto"/>
                <w:vAlign w:val="center"/>
              </w:tcPr>
              <w:p>
                <w:pPr>
                  <w:jc w:val="right"/>
                  <w:rPr>
                    <w:rFonts w:eastAsia="宋体" w:cs="Times New Roman"/>
                    <w:szCs w:val="21"/>
                  </w:rPr>
                </w:pPr>
                <w:r>
                  <w:rPr>
                    <w:rFonts w:eastAsia="宋体" w:cs="Times New Roman"/>
                    <w:szCs w:val="21"/>
                  </w:rPr>
                  <w:t xml:space="preserve">2,589 </w:t>
                </w:r>
              </w:p>
            </w:tc>
            <w:tc>
              <w:tcPr>
                <w:tcW w:w="992" w:type="dxa"/>
                <w:shd w:val="clear" w:color="auto" w:fill="auto"/>
                <w:vAlign w:val="center"/>
              </w:tcPr>
              <w:p>
                <w:pPr>
                  <w:jc w:val="right"/>
                  <w:rPr>
                    <w:rFonts w:eastAsia="宋体" w:cs="Times New Roman"/>
                    <w:szCs w:val="21"/>
                  </w:rPr>
                </w:pPr>
                <w:r>
                  <w:rPr>
                    <w:rFonts w:eastAsia="宋体" w:cs="Times New Roman"/>
                    <w:szCs w:val="21"/>
                  </w:rPr>
                  <w:t xml:space="preserve">2,351 </w:t>
                </w:r>
              </w:p>
            </w:tc>
          </w:tr>
        </w:tbl>
        <w:p>
          <w:pPr>
            <w:widowControl w:val="0"/>
            <w:ind w:firstLineChars="200" w:firstLine="420"/>
            <w:jc w:val="both"/>
            <w:rPr>
              <w:rFonts w:cs="Times New Roman"/>
              <w:kern w:val="2"/>
              <w:szCs w:val="21"/>
            </w:rPr>
          </w:pPr>
          <w:bookmarkStart w:id="54" w:name="_Hlk160607301"/>
          <w:bookmarkEnd w:id="53"/>
          <w:r>
            <w:rPr>
              <w:rFonts w:cs="Times New Roman" w:hint="eastAsia"/>
              <w:kern w:val="2"/>
              <w:szCs w:val="21"/>
            </w:rPr>
            <w:t>注：</w:t>
          </w:r>
        </w:p>
        <w:p>
          <w:pPr>
            <w:widowControl w:val="0"/>
            <w:ind w:firstLineChars="200" w:firstLine="420"/>
            <w:jc w:val="both"/>
            <w:rPr>
              <w:rFonts w:cs="Times New Roman"/>
              <w:kern w:val="2"/>
              <w:szCs w:val="21"/>
            </w:rPr>
          </w:pPr>
          <w:r>
            <w:rPr>
              <w:rFonts w:cs="Times New Roman" w:hint="eastAsia"/>
              <w:kern w:val="2"/>
              <w:szCs w:val="21"/>
            </w:rPr>
            <w:t>①济三电力是指山东兖矿济三电力有限公司。</w:t>
          </w:r>
        </w:p>
        <w:p>
          <w:pPr>
            <w:widowControl w:val="0"/>
            <w:ind w:firstLineChars="200" w:firstLine="420"/>
            <w:jc w:val="both"/>
            <w:rPr>
              <w:rFonts w:cs="Times New Roman"/>
              <w:kern w:val="2"/>
              <w:szCs w:val="21"/>
            </w:rPr>
          </w:pPr>
          <w:bookmarkStart w:id="55" w:name="_Hlk192528614"/>
          <w:bookmarkEnd w:id="54"/>
          <w:r>
            <w:rPr>
              <w:rFonts w:cs="Times New Roman" w:hint="eastAsia"/>
              <w:kern w:val="2"/>
              <w:szCs w:val="21"/>
            </w:rPr>
            <w:t>②鲁南化工电力业务发电量、售电量、销售收入、销售成本同比减少，主要是由于：报告期内发电机组进行了系统检修，影响发电量同比减少。</w:t>
          </w:r>
        </w:p>
        <w:p>
          <w:pPr>
            <w:widowControl w:val="0"/>
            <w:ind w:firstLineChars="200" w:firstLine="420"/>
            <w:jc w:val="both"/>
            <w:rPr>
              <w:rFonts w:cs="Times New Roman"/>
              <w:kern w:val="2"/>
              <w:szCs w:val="21"/>
            </w:rPr>
          </w:pPr>
          <w:r>
            <w:rPr>
              <w:rFonts w:cs="Times New Roman" w:hint="eastAsia"/>
              <w:kern w:val="2"/>
              <w:szCs w:val="21"/>
            </w:rPr>
            <w:t>③榆林能化电力业务售电量、销售收入、销售成本同比减少，主要是由于：榆林能化电力业务在满足自用后对外销售，报告期内自用电量同比增加。</w:t>
          </w:r>
          <w:bookmarkEnd w:id="44"/>
          <w:bookmarkEnd w:id="55"/>
        </w:p>
        <w:p>
          <w:pPr>
            <w:widowControl w:val="0"/>
            <w:ind w:firstLineChars="200" w:firstLine="420"/>
            <w:jc w:val="both"/>
            <w:rPr>
              <w:rFonts w:cs="Times New Roman"/>
              <w:kern w:val="2"/>
              <w:szCs w:val="21"/>
              <w:u w:val="single"/>
            </w:rPr>
          </w:pPr>
        </w:p>
      </w:sdtContent>
    </w:sdt>
    <w:p>
      <w:pPr>
        <w:pStyle w:val="afffffffffffff8"/>
      </w:pPr>
      <w:r>
        <w:br w:type="page"/>
      </w:r>
    </w:p>
    <w:p>
      <w:pPr>
        <w:keepNext/>
        <w:keepLines/>
        <w:widowControl w:val="0"/>
        <w:numPr>
          <w:ilvl w:val="0"/>
          <w:numId w:val="7"/>
        </w:numPr>
        <w:spacing w:before="60" w:after="60"/>
        <w:ind w:left="369" w:hangingChars="175" w:hanging="369"/>
        <w:jc w:val="both"/>
        <w:outlineLvl w:val="2"/>
        <w:rPr>
          <w:rFonts w:cs="Times New Roman"/>
          <w:b/>
          <w:bCs/>
          <w:kern w:val="2"/>
          <w:szCs w:val="21"/>
        </w:rPr>
      </w:pPr>
      <w:bookmarkStart w:id="56" w:name="_Toc342559738"/>
      <w:bookmarkStart w:id="57" w:name="_Toc342565895"/>
      <w:r>
        <w:rPr>
          <w:rFonts w:cs="Times New Roman" w:hint="eastAsia"/>
          <w:b/>
          <w:bCs/>
          <w:kern w:val="2"/>
          <w:szCs w:val="21"/>
        </w:rPr>
        <w:lastRenderedPageBreak/>
        <w:t>主营业务分析</w:t>
      </w:r>
      <w:bookmarkEnd w:id="56"/>
      <w:bookmarkEnd w:id="57"/>
    </w:p>
    <w:p>
      <w:pPr>
        <w:pStyle w:val="4"/>
        <w:numPr>
          <w:ilvl w:val="0"/>
          <w:numId w:val="18"/>
        </w:numPr>
      </w:pPr>
      <w:bookmarkStart w:id="58" w:name="_Hlk192239619"/>
      <w:r>
        <w:t>利润表及现金流量表相关科目变动分析表</w:t>
      </w:r>
    </w:p>
    <w:p>
      <w:pPr>
        <w:pStyle w:val="afffffb"/>
        <w:ind w:left="360" w:firstLineChars="0" w:firstLine="0"/>
        <w:jc w:val="right"/>
        <w:rPr>
          <w:rFonts w:ascii="宋体" w:hAnsi="宋体"/>
        </w:rPr>
      </w:pPr>
      <w:bookmarkStart w:id="59" w:name="_Hlk10208083"/>
      <w:bookmarkStart w:id="60" w:name="_Hlk89098131"/>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3382749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百万元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317958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fffff7"/>
        <w:tblW w:w="5000" w:type="pct"/>
        <w:tblLook w:val="04A0" w:firstRow="1" w:lastRow="0" w:firstColumn="1" w:lastColumn="0" w:noHBand="0" w:noVBand="1"/>
      </w:tblPr>
      <w:tblGrid>
        <w:gridCol w:w="3012"/>
        <w:gridCol w:w="2075"/>
        <w:gridCol w:w="1938"/>
        <w:gridCol w:w="1798"/>
      </w:tblGrid>
      <w:tr>
        <w:bookmarkEnd w:id="58" w:displacedByCustomXml="next"/>
        <w:bookmarkStart w:id="61" w:name="_Hlk10208057" w:displacedByCustomXml="next"/>
        <w:sdt>
          <w:sdtPr>
            <w:tag w:val="_PLD_e184eafc8be3478d9fc8a544274385f7"/>
            <w:id w:val="400488408"/>
          </w:sdtPr>
          <w:sdtContent>
            <w:tc>
              <w:tcPr>
                <w:tcW w:w="1707" w:type="pct"/>
                <w:vAlign w:val="center"/>
              </w:tcPr>
              <w:p>
                <w:pPr>
                  <w:pStyle w:val="afffffb"/>
                  <w:ind w:firstLineChars="0" w:firstLine="0"/>
                  <w:jc w:val="center"/>
                  <w:rPr>
                    <w:rFonts w:ascii="宋体" w:hAnsi="宋体"/>
                    <w:szCs w:val="21"/>
                  </w:rPr>
                </w:pPr>
                <w:r>
                  <w:rPr>
                    <w:rFonts w:ascii="宋体" w:hAnsi="宋体" w:hint="eastAsia"/>
                    <w:szCs w:val="21"/>
                  </w:rPr>
                  <w:t>科目</w:t>
                </w:r>
              </w:p>
            </w:tc>
          </w:sdtContent>
        </w:sdt>
        <w:sdt>
          <w:sdtPr>
            <w:tag w:val="_PLD_c49cd176da60479fbcfeedd35cc9f509"/>
            <w:id w:val="-2125923814"/>
          </w:sdtPr>
          <w:sdtContent>
            <w:tc>
              <w:tcPr>
                <w:tcW w:w="1176" w:type="pct"/>
                <w:vAlign w:val="center"/>
              </w:tcPr>
              <w:p>
                <w:pPr>
                  <w:pStyle w:val="afffffb"/>
                  <w:ind w:firstLineChars="0" w:firstLine="0"/>
                  <w:jc w:val="center"/>
                  <w:rPr>
                    <w:rFonts w:ascii="宋体" w:hAnsi="宋体"/>
                    <w:szCs w:val="21"/>
                  </w:rPr>
                </w:pPr>
                <w:r>
                  <w:rPr>
                    <w:rFonts w:ascii="宋体" w:hAnsi="宋体" w:hint="eastAsia"/>
                    <w:szCs w:val="21"/>
                  </w:rPr>
                  <w:t>本期数</w:t>
                </w:r>
              </w:p>
            </w:tc>
          </w:sdtContent>
        </w:sdt>
        <w:sdt>
          <w:sdtPr>
            <w:tag w:val="_PLD_0b6df7534554463db9f304bbe9b6a71e"/>
            <w:id w:val="599223876"/>
          </w:sdtPr>
          <w:sdtContent>
            <w:tc>
              <w:tcPr>
                <w:tcW w:w="1098" w:type="pct"/>
                <w:vAlign w:val="center"/>
              </w:tcPr>
              <w:p>
                <w:pPr>
                  <w:pStyle w:val="afffffb"/>
                  <w:ind w:firstLineChars="0" w:firstLine="0"/>
                  <w:jc w:val="center"/>
                  <w:rPr>
                    <w:rFonts w:ascii="宋体" w:hAnsi="宋体"/>
                    <w:szCs w:val="21"/>
                  </w:rPr>
                </w:pPr>
                <w:r>
                  <w:rPr>
                    <w:rFonts w:ascii="宋体" w:hAnsi="宋体" w:hint="eastAsia"/>
                    <w:szCs w:val="21"/>
                  </w:rPr>
                  <w:t>上年同期数</w:t>
                </w:r>
              </w:p>
            </w:tc>
          </w:sdtContent>
        </w:sdt>
        <w:sdt>
          <w:sdtPr>
            <w:tag w:val="_PLD_a903eeff1728490ba821c9389249303c"/>
            <w:id w:val="1986966436"/>
          </w:sdtPr>
          <w:sdtContent>
            <w:tc>
              <w:tcPr>
                <w:tcW w:w="1019" w:type="pct"/>
                <w:vAlign w:val="center"/>
              </w:tcPr>
              <w:p>
                <w:pPr>
                  <w:pStyle w:val="afffffb"/>
                  <w:ind w:firstLineChars="0" w:firstLine="0"/>
                  <w:jc w:val="center"/>
                  <w:rPr>
                    <w:rFonts w:ascii="宋体" w:hAnsi="宋体"/>
                    <w:szCs w:val="21"/>
                  </w:rPr>
                </w:pPr>
                <w:r>
                  <w:rPr>
                    <w:rFonts w:ascii="宋体" w:hAnsi="宋体" w:hint="eastAsia"/>
                    <w:szCs w:val="21"/>
                  </w:rPr>
                  <w:t>变动比例（%）</w:t>
                </w:r>
              </w:p>
            </w:tc>
          </w:sdtContent>
        </w:sdt>
      </w:tr>
      <w:tr>
        <w:tc>
          <w:tcPr>
            <w:tcW w:w="1707" w:type="pct"/>
          </w:tcPr>
          <w:p>
            <w:pPr>
              <w:pStyle w:val="afffffb"/>
              <w:ind w:firstLineChars="0" w:firstLine="0"/>
              <w:rPr>
                <w:rFonts w:ascii="宋体" w:hAnsi="宋体"/>
                <w:szCs w:val="21"/>
              </w:rPr>
            </w:pPr>
            <w:r>
              <w:rPr>
                <w:rFonts w:ascii="宋体" w:hAnsi="宋体" w:hint="eastAsia"/>
                <w:szCs w:val="21"/>
              </w:rPr>
              <w:t>营业收入</w:t>
            </w:r>
          </w:p>
        </w:tc>
        <w:tc>
          <w:tcPr>
            <w:tcW w:w="1176" w:type="pct"/>
            <w:vAlign w:val="center"/>
          </w:tcPr>
          <w:p>
            <w:pPr>
              <w:jc w:val="right"/>
              <w:rPr>
                <w:szCs w:val="21"/>
              </w:rPr>
            </w:pPr>
            <w:r>
              <w:rPr>
                <w:szCs w:val="21"/>
              </w:rPr>
              <w:t xml:space="preserve">139,124 </w:t>
            </w:r>
          </w:p>
        </w:tc>
        <w:tc>
          <w:tcPr>
            <w:tcW w:w="1098" w:type="pct"/>
            <w:vAlign w:val="center"/>
          </w:tcPr>
          <w:p>
            <w:pPr>
              <w:jc w:val="right"/>
              <w:rPr>
                <w:szCs w:val="21"/>
              </w:rPr>
            </w:pPr>
            <w:r>
              <w:rPr>
                <w:szCs w:val="21"/>
              </w:rPr>
              <w:t xml:space="preserve">150,068 </w:t>
            </w:r>
          </w:p>
        </w:tc>
        <w:tc>
          <w:tcPr>
            <w:tcW w:w="1019" w:type="pct"/>
            <w:vAlign w:val="center"/>
          </w:tcPr>
          <w:p>
            <w:pPr>
              <w:jc w:val="right"/>
              <w:rPr>
                <w:szCs w:val="21"/>
              </w:rPr>
            </w:pPr>
            <w:r>
              <w:rPr>
                <w:szCs w:val="21"/>
              </w:rPr>
              <w:t xml:space="preserve">-7.29 </w:t>
            </w:r>
          </w:p>
        </w:tc>
      </w:tr>
      <w:tr>
        <w:tc>
          <w:tcPr>
            <w:tcW w:w="1707" w:type="pct"/>
          </w:tcPr>
          <w:p>
            <w:pPr>
              <w:pStyle w:val="afffffb"/>
              <w:ind w:firstLineChars="0" w:firstLine="0"/>
              <w:rPr>
                <w:rFonts w:ascii="宋体" w:hAnsi="宋体"/>
                <w:szCs w:val="21"/>
              </w:rPr>
            </w:pPr>
            <w:r>
              <w:rPr>
                <w:rFonts w:ascii="宋体" w:hAnsi="宋体"/>
                <w:szCs w:val="21"/>
              </w:rPr>
              <w:t>营业成本</w:t>
            </w:r>
          </w:p>
        </w:tc>
        <w:tc>
          <w:tcPr>
            <w:tcW w:w="1176" w:type="pct"/>
            <w:vAlign w:val="center"/>
          </w:tcPr>
          <w:p>
            <w:pPr>
              <w:jc w:val="right"/>
              <w:rPr>
                <w:szCs w:val="21"/>
              </w:rPr>
            </w:pPr>
            <w:r>
              <w:rPr>
                <w:szCs w:val="21"/>
              </w:rPr>
              <w:t xml:space="preserve">89,312 </w:t>
            </w:r>
          </w:p>
        </w:tc>
        <w:tc>
          <w:tcPr>
            <w:tcW w:w="1098" w:type="pct"/>
            <w:vAlign w:val="center"/>
          </w:tcPr>
          <w:p>
            <w:pPr>
              <w:jc w:val="right"/>
              <w:rPr>
                <w:szCs w:val="21"/>
              </w:rPr>
            </w:pPr>
            <w:r>
              <w:rPr>
                <w:szCs w:val="21"/>
              </w:rPr>
              <w:t xml:space="preserve">89,079 </w:t>
            </w:r>
          </w:p>
        </w:tc>
        <w:tc>
          <w:tcPr>
            <w:tcW w:w="1019" w:type="pct"/>
            <w:vAlign w:val="center"/>
          </w:tcPr>
          <w:p>
            <w:pPr>
              <w:jc w:val="right"/>
              <w:rPr>
                <w:szCs w:val="21"/>
              </w:rPr>
            </w:pPr>
            <w:r>
              <w:rPr>
                <w:szCs w:val="21"/>
              </w:rPr>
              <w:t xml:space="preserve">0.26 </w:t>
            </w:r>
          </w:p>
        </w:tc>
      </w:tr>
      <w:tr>
        <w:tc>
          <w:tcPr>
            <w:tcW w:w="1707" w:type="pct"/>
          </w:tcPr>
          <w:p>
            <w:pPr>
              <w:pStyle w:val="afffffb"/>
              <w:ind w:firstLineChars="0" w:firstLine="0"/>
              <w:rPr>
                <w:rFonts w:ascii="宋体" w:hAnsi="宋体"/>
                <w:szCs w:val="21"/>
              </w:rPr>
            </w:pPr>
            <w:r>
              <w:rPr>
                <w:rFonts w:ascii="宋体" w:hAnsi="宋体"/>
                <w:szCs w:val="21"/>
              </w:rPr>
              <w:t>销售费用</w:t>
            </w:r>
          </w:p>
        </w:tc>
        <w:tc>
          <w:tcPr>
            <w:tcW w:w="1176" w:type="pct"/>
            <w:vAlign w:val="center"/>
          </w:tcPr>
          <w:p>
            <w:pPr>
              <w:jc w:val="right"/>
              <w:rPr>
                <w:szCs w:val="21"/>
              </w:rPr>
            </w:pPr>
            <w:r>
              <w:rPr>
                <w:szCs w:val="21"/>
              </w:rPr>
              <w:t xml:space="preserve">4,713 </w:t>
            </w:r>
          </w:p>
        </w:tc>
        <w:tc>
          <w:tcPr>
            <w:tcW w:w="1098" w:type="pct"/>
            <w:vAlign w:val="center"/>
          </w:tcPr>
          <w:p>
            <w:pPr>
              <w:jc w:val="right"/>
              <w:rPr>
                <w:szCs w:val="21"/>
              </w:rPr>
            </w:pPr>
            <w:r>
              <w:rPr>
                <w:szCs w:val="21"/>
              </w:rPr>
              <w:t xml:space="preserve">5,002 </w:t>
            </w:r>
          </w:p>
        </w:tc>
        <w:tc>
          <w:tcPr>
            <w:tcW w:w="1019" w:type="pct"/>
            <w:vAlign w:val="center"/>
          </w:tcPr>
          <w:p>
            <w:pPr>
              <w:jc w:val="right"/>
              <w:rPr>
                <w:szCs w:val="21"/>
              </w:rPr>
            </w:pPr>
            <w:r>
              <w:rPr>
                <w:szCs w:val="21"/>
              </w:rPr>
              <w:t xml:space="preserve">-5.78 </w:t>
            </w:r>
          </w:p>
        </w:tc>
      </w:tr>
      <w:tr>
        <w:tc>
          <w:tcPr>
            <w:tcW w:w="1707" w:type="pct"/>
          </w:tcPr>
          <w:p>
            <w:pPr>
              <w:pStyle w:val="afffffb"/>
              <w:ind w:firstLineChars="0" w:firstLine="0"/>
              <w:rPr>
                <w:rFonts w:ascii="宋体" w:hAnsi="宋体"/>
                <w:szCs w:val="21"/>
              </w:rPr>
            </w:pPr>
            <w:r>
              <w:rPr>
                <w:rFonts w:ascii="宋体" w:hAnsi="宋体"/>
                <w:szCs w:val="21"/>
              </w:rPr>
              <w:t>管理费用</w:t>
            </w:r>
          </w:p>
        </w:tc>
        <w:tc>
          <w:tcPr>
            <w:tcW w:w="1176" w:type="pct"/>
            <w:vAlign w:val="center"/>
          </w:tcPr>
          <w:p>
            <w:pPr>
              <w:jc w:val="right"/>
            </w:pPr>
            <w:r>
              <w:t xml:space="preserve">8,575 </w:t>
            </w:r>
          </w:p>
        </w:tc>
        <w:tc>
          <w:tcPr>
            <w:tcW w:w="1098" w:type="pct"/>
            <w:vAlign w:val="center"/>
          </w:tcPr>
          <w:p>
            <w:pPr>
              <w:jc w:val="right"/>
            </w:pPr>
            <w:r>
              <w:t xml:space="preserve">8,493 </w:t>
            </w:r>
          </w:p>
        </w:tc>
        <w:tc>
          <w:tcPr>
            <w:tcW w:w="1019" w:type="pct"/>
            <w:vAlign w:val="center"/>
          </w:tcPr>
          <w:p>
            <w:pPr>
              <w:jc w:val="right"/>
            </w:pPr>
            <w:r>
              <w:t xml:space="preserve">0.96 </w:t>
            </w:r>
          </w:p>
        </w:tc>
      </w:tr>
      <w:tr>
        <w:tc>
          <w:tcPr>
            <w:tcW w:w="1707" w:type="pct"/>
          </w:tcPr>
          <w:p>
            <w:pPr>
              <w:pStyle w:val="afffffb"/>
              <w:ind w:firstLineChars="0" w:firstLine="0"/>
              <w:rPr>
                <w:rFonts w:ascii="宋体" w:hAnsi="宋体"/>
                <w:szCs w:val="21"/>
              </w:rPr>
            </w:pPr>
            <w:r>
              <w:rPr>
                <w:rFonts w:ascii="宋体" w:hAnsi="宋体"/>
                <w:szCs w:val="21"/>
              </w:rPr>
              <w:t>财务费用</w:t>
            </w:r>
          </w:p>
        </w:tc>
        <w:tc>
          <w:tcPr>
            <w:tcW w:w="1176" w:type="pct"/>
            <w:vAlign w:val="center"/>
          </w:tcPr>
          <w:p>
            <w:pPr>
              <w:jc w:val="right"/>
              <w:rPr>
                <w:szCs w:val="21"/>
              </w:rPr>
            </w:pPr>
            <w:r>
              <w:rPr>
                <w:szCs w:val="21"/>
              </w:rPr>
              <w:t xml:space="preserve">2,792 </w:t>
            </w:r>
          </w:p>
        </w:tc>
        <w:tc>
          <w:tcPr>
            <w:tcW w:w="1098" w:type="pct"/>
            <w:vAlign w:val="center"/>
          </w:tcPr>
          <w:p>
            <w:pPr>
              <w:jc w:val="right"/>
              <w:rPr>
                <w:szCs w:val="21"/>
              </w:rPr>
            </w:pPr>
            <w:r>
              <w:rPr>
                <w:szCs w:val="21"/>
              </w:rPr>
              <w:t xml:space="preserve">3,903 </w:t>
            </w:r>
          </w:p>
        </w:tc>
        <w:tc>
          <w:tcPr>
            <w:tcW w:w="1019" w:type="pct"/>
            <w:vAlign w:val="center"/>
          </w:tcPr>
          <w:p>
            <w:pPr>
              <w:jc w:val="right"/>
              <w:rPr>
                <w:szCs w:val="21"/>
              </w:rPr>
            </w:pPr>
            <w:r>
              <w:rPr>
                <w:szCs w:val="21"/>
              </w:rPr>
              <w:t xml:space="preserve">-28.46 </w:t>
            </w:r>
          </w:p>
        </w:tc>
      </w:tr>
      <w:tr>
        <w:tc>
          <w:tcPr>
            <w:tcW w:w="1707" w:type="pct"/>
          </w:tcPr>
          <w:p>
            <w:pPr>
              <w:pStyle w:val="afffffb"/>
              <w:ind w:firstLineChars="0" w:firstLine="0"/>
              <w:rPr>
                <w:rFonts w:ascii="宋体" w:hAnsi="宋体"/>
                <w:szCs w:val="21"/>
              </w:rPr>
            </w:pPr>
            <w:r>
              <w:rPr>
                <w:rFonts w:ascii="宋体" w:hAnsi="宋体" w:hint="eastAsia"/>
                <w:szCs w:val="21"/>
              </w:rPr>
              <w:t>研发费用</w:t>
            </w:r>
          </w:p>
        </w:tc>
        <w:tc>
          <w:tcPr>
            <w:tcW w:w="1176" w:type="pct"/>
            <w:vAlign w:val="center"/>
          </w:tcPr>
          <w:p>
            <w:pPr>
              <w:jc w:val="right"/>
              <w:rPr>
                <w:szCs w:val="21"/>
              </w:rPr>
            </w:pPr>
            <w:r>
              <w:rPr>
                <w:szCs w:val="21"/>
              </w:rPr>
              <w:t xml:space="preserve">2,735 </w:t>
            </w:r>
          </w:p>
        </w:tc>
        <w:tc>
          <w:tcPr>
            <w:tcW w:w="1098" w:type="pct"/>
            <w:vAlign w:val="center"/>
          </w:tcPr>
          <w:p>
            <w:pPr>
              <w:jc w:val="right"/>
              <w:rPr>
                <w:szCs w:val="21"/>
              </w:rPr>
            </w:pPr>
            <w:r>
              <w:rPr>
                <w:szCs w:val="21"/>
              </w:rPr>
              <w:t xml:space="preserve">2,912 </w:t>
            </w:r>
          </w:p>
        </w:tc>
        <w:tc>
          <w:tcPr>
            <w:tcW w:w="1019" w:type="pct"/>
            <w:vAlign w:val="center"/>
          </w:tcPr>
          <w:p>
            <w:pPr>
              <w:jc w:val="right"/>
              <w:rPr>
                <w:szCs w:val="21"/>
              </w:rPr>
            </w:pPr>
            <w:r>
              <w:rPr>
                <w:szCs w:val="21"/>
              </w:rPr>
              <w:t xml:space="preserve">-6.10 </w:t>
            </w:r>
          </w:p>
        </w:tc>
      </w:tr>
      <w:tr>
        <w:tc>
          <w:tcPr>
            <w:tcW w:w="1707" w:type="pct"/>
          </w:tcPr>
          <w:p>
            <w:pPr>
              <w:pStyle w:val="afffffb"/>
              <w:ind w:firstLineChars="0" w:firstLine="0"/>
              <w:rPr>
                <w:rFonts w:ascii="宋体" w:hAnsi="宋体"/>
                <w:szCs w:val="21"/>
              </w:rPr>
            </w:pPr>
            <w:r>
              <w:rPr>
                <w:rFonts w:ascii="宋体" w:hAnsi="宋体"/>
                <w:szCs w:val="21"/>
              </w:rPr>
              <w:t>经营活动产生的现金流量净额</w:t>
            </w:r>
          </w:p>
        </w:tc>
        <w:tc>
          <w:tcPr>
            <w:tcW w:w="1176" w:type="pct"/>
            <w:vAlign w:val="center"/>
          </w:tcPr>
          <w:p>
            <w:pPr>
              <w:jc w:val="right"/>
            </w:pPr>
            <w:r>
              <w:t xml:space="preserve">22,342 </w:t>
            </w:r>
          </w:p>
        </w:tc>
        <w:tc>
          <w:tcPr>
            <w:tcW w:w="1098" w:type="pct"/>
            <w:vAlign w:val="center"/>
          </w:tcPr>
          <w:p>
            <w:pPr>
              <w:jc w:val="right"/>
            </w:pPr>
            <w:r>
              <w:t xml:space="preserve">16,159 </w:t>
            </w:r>
          </w:p>
        </w:tc>
        <w:tc>
          <w:tcPr>
            <w:tcW w:w="1019" w:type="pct"/>
            <w:vAlign w:val="center"/>
          </w:tcPr>
          <w:p>
            <w:pPr>
              <w:jc w:val="right"/>
            </w:pPr>
            <w:r>
              <w:t xml:space="preserve">38.27 </w:t>
            </w:r>
          </w:p>
        </w:tc>
      </w:tr>
      <w:tr>
        <w:tc>
          <w:tcPr>
            <w:tcW w:w="1707" w:type="pct"/>
          </w:tcPr>
          <w:p>
            <w:pPr>
              <w:pStyle w:val="afffffb"/>
              <w:ind w:firstLineChars="0" w:firstLine="0"/>
              <w:rPr>
                <w:rFonts w:ascii="宋体" w:hAnsi="宋体"/>
                <w:szCs w:val="21"/>
              </w:rPr>
            </w:pPr>
            <w:r>
              <w:rPr>
                <w:rFonts w:ascii="宋体" w:hAnsi="宋体"/>
                <w:szCs w:val="21"/>
              </w:rPr>
              <w:t>投资活动产生的现金流量净额</w:t>
            </w:r>
          </w:p>
        </w:tc>
        <w:tc>
          <w:tcPr>
            <w:tcW w:w="1176" w:type="pct"/>
            <w:vAlign w:val="center"/>
          </w:tcPr>
          <w:p>
            <w:pPr>
              <w:jc w:val="right"/>
            </w:pPr>
            <w:r>
              <w:t xml:space="preserve">-9,726 </w:t>
            </w:r>
          </w:p>
        </w:tc>
        <w:tc>
          <w:tcPr>
            <w:tcW w:w="1098" w:type="pct"/>
            <w:vAlign w:val="center"/>
          </w:tcPr>
          <w:p>
            <w:pPr>
              <w:jc w:val="right"/>
            </w:pPr>
            <w:r>
              <w:t xml:space="preserve">-12,203 </w:t>
            </w:r>
          </w:p>
        </w:tc>
        <w:tc>
          <w:tcPr>
            <w:tcW w:w="1019" w:type="pct"/>
            <w:vAlign w:val="center"/>
          </w:tcPr>
          <w:p>
            <w:pPr>
              <w:jc w:val="right"/>
            </w:pPr>
            <w:r>
              <w:t xml:space="preserve">- </w:t>
            </w:r>
          </w:p>
        </w:tc>
      </w:tr>
      <w:tr>
        <w:tc>
          <w:tcPr>
            <w:tcW w:w="1707" w:type="pct"/>
          </w:tcPr>
          <w:p>
            <w:pPr>
              <w:pStyle w:val="afffffb"/>
              <w:ind w:firstLineChars="0" w:firstLine="0"/>
              <w:rPr>
                <w:rFonts w:ascii="宋体" w:hAnsi="宋体"/>
                <w:szCs w:val="21"/>
              </w:rPr>
            </w:pPr>
            <w:r>
              <w:rPr>
                <w:rFonts w:ascii="宋体" w:hAnsi="宋体"/>
                <w:szCs w:val="21"/>
              </w:rPr>
              <w:t>筹资活动产生的现金流量净额</w:t>
            </w:r>
          </w:p>
        </w:tc>
        <w:tc>
          <w:tcPr>
            <w:tcW w:w="1176" w:type="pct"/>
            <w:vAlign w:val="center"/>
          </w:tcPr>
          <w:p>
            <w:pPr>
              <w:jc w:val="right"/>
            </w:pPr>
            <w:r>
              <w:t xml:space="preserve">-12,386 </w:t>
            </w:r>
          </w:p>
        </w:tc>
        <w:tc>
          <w:tcPr>
            <w:tcW w:w="1098" w:type="pct"/>
            <w:vAlign w:val="center"/>
          </w:tcPr>
          <w:p>
            <w:pPr>
              <w:jc w:val="right"/>
            </w:pPr>
            <w:r>
              <w:t xml:space="preserve">-32,515 </w:t>
            </w:r>
          </w:p>
        </w:tc>
        <w:tc>
          <w:tcPr>
            <w:tcW w:w="1019" w:type="pct"/>
            <w:vAlign w:val="center"/>
          </w:tcPr>
          <w:p>
            <w:pPr>
              <w:jc w:val="right"/>
            </w:pPr>
            <w:r>
              <w:t xml:space="preserve">- </w:t>
            </w:r>
          </w:p>
        </w:tc>
      </w:tr>
      <w:tr>
        <w:tc>
          <w:tcPr>
            <w:tcW w:w="1707" w:type="pct"/>
          </w:tcPr>
          <w:p>
            <w:pPr>
              <w:pStyle w:val="afffffb"/>
              <w:ind w:firstLineChars="0" w:firstLine="0"/>
              <w:rPr>
                <w:rFonts w:ascii="宋体" w:hAnsi="宋体"/>
                <w:szCs w:val="21"/>
              </w:rPr>
            </w:pPr>
            <w:r>
              <w:rPr>
                <w:rFonts w:ascii="宋体" w:hAnsi="宋体" w:hint="eastAsia"/>
                <w:szCs w:val="21"/>
              </w:rPr>
              <w:t>所得税费用</w:t>
            </w:r>
            <w:r>
              <w:rPr>
                <w:rFonts w:ascii="宋体" w:hAnsi="宋体"/>
                <w:szCs w:val="21"/>
              </w:rPr>
              <w:t xml:space="preserve"> </w:t>
            </w:r>
          </w:p>
        </w:tc>
        <w:tc>
          <w:tcPr>
            <w:tcW w:w="1176" w:type="pct"/>
            <w:vAlign w:val="center"/>
          </w:tcPr>
          <w:p>
            <w:pPr>
              <w:jc w:val="right"/>
            </w:pPr>
            <w:r>
              <w:t xml:space="preserve">6,359 </w:t>
            </w:r>
          </w:p>
        </w:tc>
        <w:tc>
          <w:tcPr>
            <w:tcW w:w="1098" w:type="pct"/>
            <w:vAlign w:val="center"/>
          </w:tcPr>
          <w:p>
            <w:pPr>
              <w:jc w:val="right"/>
            </w:pPr>
            <w:r>
              <w:t xml:space="preserve">9,857 </w:t>
            </w:r>
          </w:p>
        </w:tc>
        <w:tc>
          <w:tcPr>
            <w:tcW w:w="1019" w:type="pct"/>
            <w:vAlign w:val="center"/>
          </w:tcPr>
          <w:p>
            <w:pPr>
              <w:jc w:val="right"/>
            </w:pPr>
            <w:r>
              <w:t xml:space="preserve">-35.48 </w:t>
            </w:r>
          </w:p>
        </w:tc>
      </w:tr>
    </w:tbl>
    <w:p>
      <w:pPr>
        <w:pStyle w:val="afffffb"/>
        <w:rPr>
          <w:rFonts w:ascii="宋体" w:hAnsi="宋体"/>
        </w:rPr>
      </w:pPr>
      <w:bookmarkStart w:id="62" w:name="_Hlk192239635"/>
      <w:bookmarkEnd w:id="61"/>
      <w:r>
        <w:rPr>
          <w:rFonts w:ascii="宋体" w:hAnsi="宋体" w:hint="eastAsia"/>
        </w:rPr>
        <w:t>财务费用变动原因说明：</w:t>
      </w:r>
      <w:sdt>
        <w:sdtPr>
          <w:rPr>
            <w:rFonts w:ascii="宋体" w:hAnsi="宋体" w:hint="eastAsia"/>
          </w:rPr>
          <w:alias w:val="财务费用变动原因说明"/>
          <w:tag w:val="_GBC_ae0e447440184dbb94565c35b97d07a6"/>
          <w:id w:val="72168839"/>
          <w:placeholder>
            <w:docPart w:val="GBC22222222222222222222222222222"/>
          </w:placeholder>
        </w:sdtPr>
        <w:sdtContent>
          <w:r>
            <w:rPr>
              <w:rFonts w:ascii="宋体" w:hAnsi="宋体" w:hint="eastAsia"/>
            </w:rPr>
            <w:t>①汇兑收益同比增加5</w:t>
          </w:r>
          <w:r>
            <w:rPr>
              <w:rFonts w:ascii="宋体" w:hAnsi="宋体"/>
            </w:rPr>
            <w:t>.83</w:t>
          </w:r>
          <w:r>
            <w:rPr>
              <w:rFonts w:ascii="宋体" w:hAnsi="宋体" w:hint="eastAsia"/>
            </w:rPr>
            <w:t>亿元；②利息费用同比减少</w:t>
          </w:r>
          <w:r>
            <w:rPr>
              <w:rFonts w:ascii="宋体" w:hAnsi="宋体"/>
            </w:rPr>
            <w:t>3.66</w:t>
          </w:r>
          <w:r>
            <w:rPr>
              <w:rFonts w:ascii="宋体" w:hAnsi="宋体" w:hint="eastAsia"/>
            </w:rPr>
            <w:t>亿元。</w:t>
          </w:r>
        </w:sdtContent>
      </w:sdt>
    </w:p>
    <w:bookmarkEnd w:id="62"/>
    <w:p>
      <w:pPr>
        <w:pStyle w:val="afffffb"/>
        <w:rPr>
          <w:rFonts w:ascii="宋体" w:hAnsi="宋体"/>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738477843"/>
          <w:placeholder>
            <w:docPart w:val="GBC22222222222222222222222222222"/>
          </w:placeholder>
        </w:sdtPr>
        <w:sdtContent>
          <w:r>
            <w:rPr>
              <w:rFonts w:ascii="宋体" w:hAnsi="宋体" w:hint="eastAsia"/>
              <w:szCs w:val="21"/>
            </w:rPr>
            <w:t>山能财司对外提供存贷款等金融服务，影响本集团经营活动产生的现金流量变动。剔除山能财司对经营活动现金流的影响后，</w:t>
          </w:r>
          <w:r>
            <w:rPr>
              <w:rFonts w:ascii="宋体" w:hAnsi="宋体"/>
              <w:szCs w:val="21"/>
            </w:rPr>
            <w:t>2024年本集团经营活动产生的现金流量净额为240.48亿元，上年同期为264.53亿元，同比减少24.05亿元</w:t>
          </w:r>
          <w:r>
            <w:rPr>
              <w:rFonts w:ascii="宋体" w:hAnsi="宋体" w:hint="eastAsia"/>
              <w:szCs w:val="21"/>
            </w:rPr>
            <w:t>或9</w:t>
          </w:r>
          <w:r>
            <w:rPr>
              <w:rFonts w:ascii="宋体" w:hAnsi="宋体"/>
              <w:szCs w:val="21"/>
            </w:rPr>
            <w:t>.1%。</w:t>
          </w:r>
        </w:sdtContent>
      </w:sdt>
    </w:p>
    <w:p>
      <w:pPr>
        <w:pStyle w:val="afffffb"/>
        <w:rPr>
          <w:rFonts w:ascii="宋体" w:hAnsi="宋体"/>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1027632674"/>
          <w:placeholder>
            <w:docPart w:val="GBC22222222222222222222222222222"/>
          </w:placeholder>
        </w:sdtPr>
        <w:sdtContent>
          <w:r>
            <w:rPr>
              <w:rFonts w:ascii="宋体" w:hAnsi="宋体" w:hint="eastAsia"/>
              <w:szCs w:val="21"/>
            </w:rPr>
            <w:t>①</w:t>
          </w:r>
          <w:r>
            <w:rPr>
              <w:rFonts w:ascii="宋体" w:hAnsi="宋体"/>
              <w:szCs w:val="21"/>
            </w:rPr>
            <w:t>吸收投资收到的现金</w:t>
          </w:r>
          <w:r>
            <w:rPr>
              <w:rFonts w:ascii="宋体" w:hAnsi="宋体" w:hint="eastAsia"/>
              <w:szCs w:val="21"/>
            </w:rPr>
            <w:t>同比增加1</w:t>
          </w:r>
          <w:r>
            <w:rPr>
              <w:rFonts w:ascii="宋体" w:hAnsi="宋体"/>
              <w:szCs w:val="21"/>
            </w:rPr>
            <w:t>23.70</w:t>
          </w:r>
          <w:r>
            <w:rPr>
              <w:rFonts w:ascii="宋体" w:hAnsi="宋体" w:hint="eastAsia"/>
              <w:szCs w:val="21"/>
            </w:rPr>
            <w:t>亿元；②</w:t>
          </w:r>
          <w:r>
            <w:rPr>
              <w:rFonts w:ascii="宋体" w:hAnsi="宋体"/>
              <w:szCs w:val="21"/>
            </w:rPr>
            <w:t>分配股利、利润或偿付利息所支付的现金</w:t>
          </w:r>
          <w:r>
            <w:rPr>
              <w:rFonts w:ascii="宋体" w:hAnsi="宋体" w:hint="eastAsia"/>
              <w:szCs w:val="21"/>
            </w:rPr>
            <w:t>同比减少</w:t>
          </w:r>
          <w:r>
            <w:rPr>
              <w:rFonts w:ascii="宋体" w:hAnsi="宋体"/>
              <w:szCs w:val="21"/>
            </w:rPr>
            <w:t>75.51</w:t>
          </w:r>
          <w:r>
            <w:rPr>
              <w:rFonts w:ascii="宋体" w:hAnsi="宋体" w:hint="eastAsia"/>
              <w:szCs w:val="21"/>
            </w:rPr>
            <w:t>亿元。</w:t>
          </w:r>
        </w:sdtContent>
      </w:sdt>
    </w:p>
    <w:sdt>
      <w:sdtPr>
        <w:rPr>
          <w:rFonts w:ascii="宋体" w:hAnsi="宋体" w:hint="eastAsia"/>
          <w:szCs w:val="21"/>
        </w:rPr>
        <w:alias w:val="利润表及现金流量表相关科目变动分析"/>
        <w:tag w:val="_TUP_5989ae500ae74401876a819076b8f108"/>
        <w:id w:val="-667562307"/>
        <w:placeholder>
          <w:docPart w:val="GBC22222222222222222222222222222"/>
        </w:placeholder>
      </w:sdtPr>
      <w:sdtContent>
        <w:p>
          <w:pPr>
            <w:pStyle w:val="afffffb"/>
            <w:rPr>
              <w:rFonts w:ascii="宋体" w:hAnsi="宋体" w:cs="宋体"/>
              <w:kern w:val="0"/>
              <w:szCs w:val="24"/>
            </w:rPr>
          </w:pPr>
          <w:sdt>
            <w:sdtPr>
              <w:rPr>
                <w:rFonts w:ascii="宋体" w:hAnsi="宋体" w:hint="eastAsia"/>
                <w:szCs w:val="21"/>
              </w:rPr>
              <w:alias w:val="利润表及现金流量表相关科目变动分析-科目名称"/>
              <w:tag w:val="_GBC_6a3b5b3ab1e744efb8a1a528ee1c5244"/>
              <w:id w:val="1676917506"/>
              <w:placeholder>
                <w:docPart w:val="GBC22222222222222222222222222222"/>
              </w:placeholder>
            </w:sdtPr>
            <w:sdtContent>
              <w:r>
                <w:rPr>
                  <w:rFonts w:ascii="宋体" w:hAnsi="宋体" w:hint="eastAsia"/>
                  <w:szCs w:val="21"/>
                </w:rPr>
                <w:t>所得税费用</w:t>
              </w:r>
            </w:sdtContent>
          </w:sdt>
          <w:r>
            <w:rPr>
              <w:rFonts w:ascii="宋体" w:hAnsi="宋体" w:hint="eastAsia"/>
              <w:szCs w:val="21"/>
            </w:rPr>
            <w:t>变动原因说明：</w:t>
          </w:r>
          <w:sdt>
            <w:sdtPr>
              <w:rPr>
                <w:rFonts w:ascii="宋体" w:hAnsi="宋体" w:hint="eastAsia"/>
                <w:szCs w:val="21"/>
              </w:rPr>
              <w:alias w:val="利润表及现金流量表相关科目变动分析-变动原因说明"/>
              <w:tag w:val="_GBC_65e672f3a2fd46a7b2e0f2ced7a1bdb6"/>
              <w:id w:val="-1864665743"/>
              <w:placeholder>
                <w:docPart w:val="GBC22222222222222222222222222222"/>
              </w:placeholder>
            </w:sdtPr>
            <w:sdtContent>
              <w:r>
                <w:rPr>
                  <w:rFonts w:ascii="宋体" w:hAnsi="宋体" w:hint="eastAsia"/>
                  <w:szCs w:val="21"/>
                </w:rPr>
                <w:t>本集团应纳税所得额同比减少。</w:t>
              </w:r>
            </w:sdtContent>
          </w:sdt>
        </w:p>
      </w:sdtContent>
    </w:sdt>
    <w:bookmarkEnd w:id="59"/>
    <w:bookmarkEnd w:id="60"/>
    <w:p>
      <w:pPr>
        <w:pStyle w:val="affffffd"/>
      </w:pPr>
    </w:p>
    <w:p>
      <w:pPr>
        <w:pStyle w:val="affffffd"/>
      </w:pPr>
      <w:bookmarkStart w:id="63"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617598088"/>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bookmarkEnd w:id="63"/>
    <w:p>
      <w:pPr>
        <w:pStyle w:val="4"/>
        <w:numPr>
          <w:ilvl w:val="0"/>
          <w:numId w:val="18"/>
        </w:numPr>
      </w:pPr>
      <w:r>
        <w:rPr>
          <w:rFonts w:hint="eastAsia"/>
        </w:rPr>
        <w:t>收入和成本分析</w:t>
      </w:r>
    </w:p>
    <w:sdt>
      <w:sdtPr>
        <w:alias w:val="是否适用：收入和成本分析[双击切换]"/>
        <w:tag w:val="_GBC_c1a771ff956341da84dd26322335800f"/>
        <w:id w:val="1962226534"/>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851"/>
        </w:tabs>
      </w:pPr>
    </w:p>
    <w:p>
      <w:pPr>
        <w:pStyle w:val="5"/>
        <w:numPr>
          <w:ilvl w:val="0"/>
          <w:numId w:val="20"/>
        </w:numPr>
        <w:tabs>
          <w:tab w:val="left" w:pos="567"/>
        </w:tabs>
        <w:ind w:leftChars="0"/>
      </w:pPr>
      <w:bookmarkStart w:id="64" w:name="_Toc340829716"/>
      <w:bookmarkStart w:id="65" w:name="_Toc342559756"/>
      <w:bookmarkStart w:id="66" w:name="_Toc342565904"/>
      <w:bookmarkStart w:id="67" w:name="_Hlk89876312"/>
      <w:r>
        <w:t>主营业务</w:t>
      </w:r>
      <w:r>
        <w:rPr>
          <w:rFonts w:hint="eastAsia"/>
        </w:rPr>
        <w:t>分</w:t>
      </w:r>
      <w:r>
        <w:t>行业</w:t>
      </w:r>
      <w:r>
        <w:rPr>
          <w:rFonts w:hint="eastAsia"/>
        </w:rPr>
        <w:t>、分</w:t>
      </w:r>
      <w:r>
        <w:t>产品</w:t>
      </w:r>
      <w:r>
        <w:rPr>
          <w:rFonts w:hint="eastAsia"/>
        </w:rPr>
        <w:t>、分地区、分销售模式情况</w:t>
      </w:r>
      <w:bookmarkEnd w:id="64"/>
      <w:bookmarkEnd w:id="65"/>
      <w:bookmarkEnd w:id="66"/>
    </w:p>
    <w:p>
      <w:pPr>
        <w:jc w:val="right"/>
        <w:rPr>
          <w:szCs w:val="21"/>
        </w:rPr>
      </w:pPr>
      <w:r>
        <w:rPr>
          <w:rFonts w:hint="eastAsia"/>
          <w:szCs w:val="21"/>
        </w:rPr>
        <w:t>单位：</w:t>
      </w:r>
      <w:sdt>
        <w:sdtPr>
          <w:rPr>
            <w:szCs w:val="21"/>
          </w:rPr>
          <w:alias w:val="单位：主营业务分行业、分产品情况表"/>
          <w:tag w:val="_GBC_f77c8e6b92b44adf9014b95a44af704b"/>
          <w:id w:val="6806312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百万元</w:t>
          </w:r>
        </w:sdtContent>
      </w:sdt>
      <w:r>
        <w:rPr>
          <w:rFonts w:hint="eastAsia"/>
          <w:szCs w:val="21"/>
        </w:rPr>
        <w:t xml:space="preserve">  币种：</w:t>
      </w:r>
      <w:sdt>
        <w:sdtPr>
          <w:rPr>
            <w:szCs w:val="21"/>
          </w:rPr>
          <w:alias w:val="币种：主营业务分行业、分产品情况表"/>
          <w:tag w:val="_GBC_3341f58078504155bf0c18cadb3b7f9d"/>
          <w:id w:val="-13256681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fffff7"/>
        <w:tblW w:w="5485" w:type="pct"/>
        <w:jc w:val="center"/>
        <w:tblLook w:val="0000" w:firstRow="0" w:lastRow="0" w:firstColumn="0" w:lastColumn="0" w:noHBand="0" w:noVBand="0"/>
      </w:tblPr>
      <w:tblGrid>
        <w:gridCol w:w="2068"/>
        <w:gridCol w:w="1357"/>
        <w:gridCol w:w="1442"/>
        <w:gridCol w:w="1204"/>
        <w:gridCol w:w="1204"/>
        <w:gridCol w:w="1204"/>
        <w:gridCol w:w="1200"/>
      </w:tblGrid>
      <w:tr>
        <w:trPr>
          <w:jc w:val="center"/>
        </w:trPr>
        <w:sdt>
          <w:sdtPr>
            <w:tag w:val="_PLD_b5033a4d190942bd99650d59a8d741f9"/>
            <w:id w:val="-1693680707"/>
          </w:sdtPr>
          <w:sdtContent>
            <w:tc>
              <w:tcPr>
                <w:tcW w:w="5000" w:type="pct"/>
                <w:gridSpan w:val="7"/>
                <w:vAlign w:val="center"/>
              </w:tcPr>
              <w:p>
                <w:pPr>
                  <w:jc w:val="center"/>
                  <w:rPr>
                    <w:szCs w:val="21"/>
                  </w:rPr>
                </w:pPr>
                <w:r>
                  <w:rPr>
                    <w:rFonts w:hint="eastAsia"/>
                    <w:szCs w:val="21"/>
                  </w:rPr>
                  <w:t>主营业务分行业情况</w:t>
                </w:r>
              </w:p>
            </w:tc>
          </w:sdtContent>
        </w:sdt>
      </w:tr>
      <w:tr>
        <w:trPr>
          <w:jc w:val="center"/>
        </w:trPr>
        <w:sdt>
          <w:sdtPr>
            <w:tag w:val="_PLD_ab888f46a9d64f09b94dccfab854ad45"/>
            <w:id w:val="1561602186"/>
          </w:sdtPr>
          <w:sdtContent>
            <w:tc>
              <w:tcPr>
                <w:tcW w:w="1068" w:type="pct"/>
                <w:vAlign w:val="center"/>
              </w:tcPr>
              <w:p>
                <w:pPr>
                  <w:jc w:val="center"/>
                  <w:rPr>
                    <w:szCs w:val="21"/>
                  </w:rPr>
                </w:pPr>
                <w:r>
                  <w:rPr>
                    <w:szCs w:val="21"/>
                  </w:rPr>
                  <w:t>分行业</w:t>
                </w:r>
              </w:p>
            </w:tc>
          </w:sdtContent>
        </w:sdt>
        <w:sdt>
          <w:sdtPr>
            <w:tag w:val="_PLD_7fe8bd490c23482eac6c726b40c3125c"/>
            <w:id w:val="-1742172336"/>
          </w:sdtPr>
          <w:sdtContent>
            <w:tc>
              <w:tcPr>
                <w:tcW w:w="701" w:type="pct"/>
                <w:vAlign w:val="center"/>
              </w:tcPr>
              <w:p>
                <w:pPr>
                  <w:jc w:val="center"/>
                  <w:rPr>
                    <w:szCs w:val="21"/>
                  </w:rPr>
                </w:pPr>
                <w:r>
                  <w:rPr>
                    <w:szCs w:val="21"/>
                  </w:rPr>
                  <w:t>营业收入</w:t>
                </w:r>
              </w:p>
            </w:tc>
          </w:sdtContent>
        </w:sdt>
        <w:sdt>
          <w:sdtPr>
            <w:tag w:val="_PLD_43ea5bcd646542838f56af8b6a2863cb"/>
            <w:id w:val="1492440064"/>
          </w:sdtPr>
          <w:sdtContent>
            <w:tc>
              <w:tcPr>
                <w:tcW w:w="745" w:type="pct"/>
                <w:vAlign w:val="center"/>
              </w:tcPr>
              <w:p>
                <w:pPr>
                  <w:jc w:val="center"/>
                  <w:rPr>
                    <w:szCs w:val="21"/>
                  </w:rPr>
                </w:pPr>
                <w:r>
                  <w:rPr>
                    <w:szCs w:val="21"/>
                  </w:rPr>
                  <w:t>营业成本</w:t>
                </w:r>
              </w:p>
            </w:tc>
          </w:sdtContent>
        </w:sdt>
        <w:sdt>
          <w:sdtPr>
            <w:tag w:val="_PLD_2beea8e29ca14ce68ca930225f6b78ba"/>
            <w:id w:val="1700818168"/>
          </w:sdtPr>
          <w:sdtContent>
            <w:tc>
              <w:tcPr>
                <w:tcW w:w="622" w:type="pct"/>
                <w:vAlign w:val="center"/>
              </w:tcPr>
              <w:p>
                <w:pPr>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143349975"/>
          </w:sdtPr>
          <w:sdtContent>
            <w:tc>
              <w:tcPr>
                <w:tcW w:w="622" w:type="pct"/>
                <w:vAlign w:val="center"/>
              </w:tcPr>
              <w:p>
                <w:pPr>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622765199"/>
          </w:sdtPr>
          <w:sdtContent>
            <w:tc>
              <w:tcPr>
                <w:tcW w:w="622" w:type="pct"/>
                <w:vAlign w:val="center"/>
              </w:tcPr>
              <w:p>
                <w:pPr>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557124049"/>
          </w:sdtPr>
          <w:sdtContent>
            <w:tc>
              <w:tcPr>
                <w:tcW w:w="620" w:type="pct"/>
                <w:vAlign w:val="center"/>
              </w:tcPr>
              <w:p>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trPr>
          <w:jc w:val="center"/>
        </w:trPr>
        <w:tc>
          <w:tcPr>
            <w:tcW w:w="1068" w:type="pct"/>
            <w:vAlign w:val="center"/>
          </w:tcPr>
          <w:p>
            <w:pPr>
              <w:pStyle w:val="affffffd"/>
            </w:pPr>
            <w:r>
              <w:t>1.煤炭业务</w:t>
            </w:r>
          </w:p>
        </w:tc>
        <w:tc>
          <w:tcPr>
            <w:tcW w:w="701" w:type="pct"/>
            <w:vAlign w:val="center"/>
          </w:tcPr>
          <w:p>
            <w:pPr>
              <w:jc w:val="right"/>
            </w:pPr>
            <w:r>
              <w:t xml:space="preserve">91,625 </w:t>
            </w:r>
          </w:p>
        </w:tc>
        <w:tc>
          <w:tcPr>
            <w:tcW w:w="745" w:type="pct"/>
            <w:vAlign w:val="center"/>
          </w:tcPr>
          <w:p>
            <w:pPr>
              <w:jc w:val="right"/>
            </w:pPr>
            <w:r>
              <w:t xml:space="preserve">49,790 </w:t>
            </w:r>
          </w:p>
        </w:tc>
        <w:tc>
          <w:tcPr>
            <w:tcW w:w="622" w:type="pct"/>
            <w:vAlign w:val="center"/>
          </w:tcPr>
          <w:p>
            <w:pPr>
              <w:jc w:val="right"/>
            </w:pPr>
            <w:r>
              <w:t xml:space="preserve">45.66 </w:t>
            </w:r>
          </w:p>
        </w:tc>
        <w:tc>
          <w:tcPr>
            <w:tcW w:w="622" w:type="pct"/>
            <w:vAlign w:val="center"/>
          </w:tcPr>
          <w:p>
            <w:pPr>
              <w:jc w:val="right"/>
            </w:pPr>
            <w:r>
              <w:t xml:space="preserve">-10.19 </w:t>
            </w:r>
          </w:p>
        </w:tc>
        <w:tc>
          <w:tcPr>
            <w:tcW w:w="622" w:type="pct"/>
            <w:vAlign w:val="center"/>
          </w:tcPr>
          <w:p>
            <w:pPr>
              <w:jc w:val="right"/>
            </w:pPr>
            <w:r>
              <w:t xml:space="preserve">0.93 </w:t>
            </w:r>
          </w:p>
        </w:tc>
        <w:tc>
          <w:tcPr>
            <w:tcW w:w="620" w:type="pct"/>
            <w:vAlign w:val="center"/>
          </w:tcPr>
          <w:p>
            <w:pPr>
              <w:jc w:val="right"/>
            </w:pPr>
            <w:r>
              <w:rPr>
                <w:rFonts w:hint="eastAsia"/>
              </w:rPr>
              <w:t>减少</w:t>
            </w:r>
            <w:r>
              <w:t>5.99个百分点</w:t>
            </w:r>
          </w:p>
        </w:tc>
      </w:tr>
      <w:tr>
        <w:trPr>
          <w:jc w:val="center"/>
        </w:trPr>
        <w:tc>
          <w:tcPr>
            <w:tcW w:w="1068" w:type="pct"/>
            <w:vAlign w:val="center"/>
          </w:tcPr>
          <w:p>
            <w:pPr>
              <w:pStyle w:val="affffffd"/>
            </w:pPr>
            <w:r>
              <w:rPr>
                <w:rFonts w:hint="eastAsia"/>
              </w:rPr>
              <w:t>其中：自产煤业务</w:t>
            </w:r>
          </w:p>
        </w:tc>
        <w:tc>
          <w:tcPr>
            <w:tcW w:w="701" w:type="pct"/>
            <w:vAlign w:val="center"/>
          </w:tcPr>
          <w:p>
            <w:pPr>
              <w:jc w:val="right"/>
            </w:pPr>
            <w:r>
              <w:t xml:space="preserve">85,145 </w:t>
            </w:r>
          </w:p>
        </w:tc>
        <w:tc>
          <w:tcPr>
            <w:tcW w:w="745" w:type="pct"/>
            <w:vAlign w:val="center"/>
          </w:tcPr>
          <w:p>
            <w:pPr>
              <w:jc w:val="right"/>
            </w:pPr>
            <w:r>
              <w:t xml:space="preserve">43,804 </w:t>
            </w:r>
          </w:p>
        </w:tc>
        <w:tc>
          <w:tcPr>
            <w:tcW w:w="622" w:type="pct"/>
            <w:vAlign w:val="center"/>
          </w:tcPr>
          <w:p>
            <w:pPr>
              <w:jc w:val="right"/>
            </w:pPr>
            <w:r>
              <w:t xml:space="preserve">48.55 </w:t>
            </w:r>
          </w:p>
        </w:tc>
        <w:tc>
          <w:tcPr>
            <w:tcW w:w="622" w:type="pct"/>
            <w:vAlign w:val="center"/>
          </w:tcPr>
          <w:p>
            <w:pPr>
              <w:jc w:val="right"/>
            </w:pPr>
            <w:r>
              <w:t xml:space="preserve">-10.36 </w:t>
            </w:r>
          </w:p>
        </w:tc>
        <w:tc>
          <w:tcPr>
            <w:tcW w:w="622" w:type="pct"/>
            <w:vAlign w:val="center"/>
          </w:tcPr>
          <w:p>
            <w:pPr>
              <w:jc w:val="right"/>
            </w:pPr>
            <w:r>
              <w:t xml:space="preserve">3.62 </w:t>
            </w:r>
          </w:p>
        </w:tc>
        <w:tc>
          <w:tcPr>
            <w:tcW w:w="620" w:type="pct"/>
            <w:vAlign w:val="center"/>
          </w:tcPr>
          <w:p>
            <w:pPr>
              <w:jc w:val="right"/>
            </w:pPr>
            <w:r>
              <w:rPr>
                <w:rFonts w:hint="eastAsia"/>
              </w:rPr>
              <w:t>减少</w:t>
            </w:r>
            <w:r>
              <w:t>6.94个百分点</w:t>
            </w:r>
          </w:p>
        </w:tc>
      </w:tr>
      <w:tr>
        <w:trPr>
          <w:jc w:val="center"/>
        </w:trPr>
        <w:tc>
          <w:tcPr>
            <w:tcW w:w="1068" w:type="pct"/>
            <w:vAlign w:val="center"/>
          </w:tcPr>
          <w:p>
            <w:pPr>
              <w:ind w:firstLineChars="300" w:firstLine="630"/>
            </w:pPr>
            <w:r>
              <w:rPr>
                <w:rFonts w:hint="eastAsia"/>
              </w:rPr>
              <w:t>贸易煤业务</w:t>
            </w:r>
          </w:p>
        </w:tc>
        <w:tc>
          <w:tcPr>
            <w:tcW w:w="701" w:type="pct"/>
            <w:vAlign w:val="center"/>
          </w:tcPr>
          <w:p>
            <w:pPr>
              <w:jc w:val="right"/>
            </w:pPr>
            <w:r>
              <w:t xml:space="preserve">6,480 </w:t>
            </w:r>
          </w:p>
        </w:tc>
        <w:tc>
          <w:tcPr>
            <w:tcW w:w="745" w:type="pct"/>
            <w:vAlign w:val="center"/>
          </w:tcPr>
          <w:p>
            <w:pPr>
              <w:jc w:val="right"/>
            </w:pPr>
            <w:r>
              <w:t xml:space="preserve">5,986 </w:t>
            </w:r>
          </w:p>
        </w:tc>
        <w:tc>
          <w:tcPr>
            <w:tcW w:w="622" w:type="pct"/>
            <w:vAlign w:val="center"/>
          </w:tcPr>
          <w:p>
            <w:pPr>
              <w:jc w:val="right"/>
            </w:pPr>
            <w:r>
              <w:t xml:space="preserve">7.61 </w:t>
            </w:r>
          </w:p>
        </w:tc>
        <w:tc>
          <w:tcPr>
            <w:tcW w:w="622" w:type="pct"/>
            <w:vAlign w:val="center"/>
          </w:tcPr>
          <w:p>
            <w:pPr>
              <w:jc w:val="right"/>
            </w:pPr>
            <w:r>
              <w:t xml:space="preserve">-7.82 </w:t>
            </w:r>
          </w:p>
        </w:tc>
        <w:tc>
          <w:tcPr>
            <w:tcW w:w="622" w:type="pct"/>
            <w:vAlign w:val="center"/>
          </w:tcPr>
          <w:p>
            <w:pPr>
              <w:jc w:val="right"/>
            </w:pPr>
            <w:r>
              <w:t xml:space="preserve">-15.19 </w:t>
            </w:r>
          </w:p>
        </w:tc>
        <w:tc>
          <w:tcPr>
            <w:tcW w:w="620" w:type="pct"/>
            <w:vAlign w:val="center"/>
          </w:tcPr>
          <w:p>
            <w:pPr>
              <w:jc w:val="right"/>
            </w:pPr>
            <w:r>
              <w:rPr>
                <w:rFonts w:hint="eastAsia"/>
              </w:rPr>
              <w:t>增加</w:t>
            </w:r>
            <w:r>
              <w:t>8.02个百分点</w:t>
            </w:r>
          </w:p>
        </w:tc>
      </w:tr>
      <w:tr>
        <w:trPr>
          <w:jc w:val="center"/>
        </w:trPr>
        <w:tc>
          <w:tcPr>
            <w:tcW w:w="1068" w:type="pct"/>
            <w:vAlign w:val="center"/>
          </w:tcPr>
          <w:p>
            <w:pPr>
              <w:pStyle w:val="affffffd"/>
            </w:pPr>
            <w:r>
              <w:t>2.煤化工业务</w:t>
            </w:r>
          </w:p>
        </w:tc>
        <w:tc>
          <w:tcPr>
            <w:tcW w:w="701" w:type="pct"/>
            <w:vAlign w:val="center"/>
          </w:tcPr>
          <w:p>
            <w:pPr>
              <w:jc w:val="right"/>
            </w:pPr>
            <w:r>
              <w:t xml:space="preserve">25,223 </w:t>
            </w:r>
          </w:p>
        </w:tc>
        <w:tc>
          <w:tcPr>
            <w:tcW w:w="745" w:type="pct"/>
            <w:vAlign w:val="center"/>
          </w:tcPr>
          <w:p>
            <w:pPr>
              <w:jc w:val="right"/>
            </w:pPr>
            <w:r>
              <w:t xml:space="preserve">19,776 </w:t>
            </w:r>
          </w:p>
        </w:tc>
        <w:tc>
          <w:tcPr>
            <w:tcW w:w="622" w:type="pct"/>
            <w:vAlign w:val="center"/>
          </w:tcPr>
          <w:p>
            <w:pPr>
              <w:jc w:val="right"/>
            </w:pPr>
            <w:r>
              <w:t xml:space="preserve">21.60 </w:t>
            </w:r>
          </w:p>
        </w:tc>
        <w:tc>
          <w:tcPr>
            <w:tcW w:w="622" w:type="pct"/>
            <w:vAlign w:val="center"/>
          </w:tcPr>
          <w:p>
            <w:pPr>
              <w:jc w:val="right"/>
            </w:pPr>
            <w:r>
              <w:t xml:space="preserve">-4.45 </w:t>
            </w:r>
          </w:p>
        </w:tc>
        <w:tc>
          <w:tcPr>
            <w:tcW w:w="622" w:type="pct"/>
            <w:vAlign w:val="center"/>
          </w:tcPr>
          <w:p>
            <w:pPr>
              <w:jc w:val="right"/>
            </w:pPr>
            <w:r>
              <w:t xml:space="preserve">-6.41 </w:t>
            </w:r>
          </w:p>
        </w:tc>
        <w:tc>
          <w:tcPr>
            <w:tcW w:w="620" w:type="pct"/>
            <w:vAlign w:val="center"/>
          </w:tcPr>
          <w:p>
            <w:pPr>
              <w:jc w:val="right"/>
            </w:pPr>
            <w:r>
              <w:rPr>
                <w:rFonts w:hint="eastAsia"/>
              </w:rPr>
              <w:t>增加</w:t>
            </w:r>
            <w:r>
              <w:t>1.64个百分点</w:t>
            </w:r>
          </w:p>
        </w:tc>
      </w:tr>
      <w:tr>
        <w:trPr>
          <w:jc w:val="center"/>
        </w:trPr>
        <w:tc>
          <w:tcPr>
            <w:tcW w:w="1068" w:type="pct"/>
            <w:vAlign w:val="center"/>
          </w:tcPr>
          <w:p>
            <w:pPr>
              <w:pStyle w:val="affffffd"/>
            </w:pPr>
            <w:r>
              <w:t>3.电力业务</w:t>
            </w:r>
          </w:p>
        </w:tc>
        <w:tc>
          <w:tcPr>
            <w:tcW w:w="701" w:type="pct"/>
            <w:vAlign w:val="center"/>
          </w:tcPr>
          <w:p>
            <w:pPr>
              <w:jc w:val="right"/>
            </w:pPr>
            <w:r>
              <w:t xml:space="preserve">2,537 </w:t>
            </w:r>
          </w:p>
        </w:tc>
        <w:tc>
          <w:tcPr>
            <w:tcW w:w="745" w:type="pct"/>
            <w:vAlign w:val="center"/>
          </w:tcPr>
          <w:p>
            <w:pPr>
              <w:jc w:val="right"/>
            </w:pPr>
            <w:r>
              <w:t xml:space="preserve">2,205 </w:t>
            </w:r>
          </w:p>
        </w:tc>
        <w:tc>
          <w:tcPr>
            <w:tcW w:w="622" w:type="pct"/>
            <w:vAlign w:val="center"/>
          </w:tcPr>
          <w:p>
            <w:pPr>
              <w:jc w:val="right"/>
            </w:pPr>
            <w:r>
              <w:t xml:space="preserve">13.07 </w:t>
            </w:r>
          </w:p>
        </w:tc>
        <w:tc>
          <w:tcPr>
            <w:tcW w:w="622" w:type="pct"/>
            <w:vAlign w:val="center"/>
          </w:tcPr>
          <w:p>
            <w:pPr>
              <w:jc w:val="right"/>
            </w:pPr>
            <w:r>
              <w:t xml:space="preserve">-2.00 </w:t>
            </w:r>
          </w:p>
        </w:tc>
        <w:tc>
          <w:tcPr>
            <w:tcW w:w="622" w:type="pct"/>
            <w:vAlign w:val="center"/>
          </w:tcPr>
          <w:p>
            <w:pPr>
              <w:jc w:val="right"/>
            </w:pPr>
            <w:r>
              <w:t xml:space="preserve">-6.21 </w:t>
            </w:r>
          </w:p>
        </w:tc>
        <w:tc>
          <w:tcPr>
            <w:tcW w:w="620" w:type="pct"/>
            <w:vAlign w:val="center"/>
          </w:tcPr>
          <w:p>
            <w:pPr>
              <w:jc w:val="right"/>
            </w:pPr>
            <w:r>
              <w:rPr>
                <w:rFonts w:hint="eastAsia"/>
              </w:rPr>
              <w:t>增加</w:t>
            </w:r>
            <w:r>
              <w:t>3.90个百分点</w:t>
            </w:r>
          </w:p>
        </w:tc>
      </w:tr>
      <w:tr>
        <w:trPr>
          <w:jc w:val="center"/>
        </w:trPr>
        <w:tc>
          <w:tcPr>
            <w:tcW w:w="1068" w:type="pct"/>
            <w:vAlign w:val="center"/>
          </w:tcPr>
          <w:p>
            <w:pPr>
              <w:pStyle w:val="affffffd"/>
            </w:pPr>
            <w:r>
              <w:t>4.其他业务</w:t>
            </w:r>
          </w:p>
        </w:tc>
        <w:tc>
          <w:tcPr>
            <w:tcW w:w="701" w:type="pct"/>
            <w:vAlign w:val="center"/>
          </w:tcPr>
          <w:p>
            <w:pPr>
              <w:jc w:val="right"/>
            </w:pPr>
            <w:r>
              <w:t xml:space="preserve">5,150 </w:t>
            </w:r>
          </w:p>
        </w:tc>
        <w:tc>
          <w:tcPr>
            <w:tcW w:w="745" w:type="pct"/>
            <w:vAlign w:val="center"/>
          </w:tcPr>
          <w:p>
            <w:pPr>
              <w:jc w:val="right"/>
            </w:pPr>
            <w:r>
              <w:t xml:space="preserve">4,565 </w:t>
            </w:r>
          </w:p>
        </w:tc>
        <w:tc>
          <w:tcPr>
            <w:tcW w:w="622" w:type="pct"/>
            <w:vAlign w:val="center"/>
          </w:tcPr>
          <w:p>
            <w:pPr>
              <w:jc w:val="right"/>
            </w:pPr>
            <w:r>
              <w:t xml:space="preserve">11.37 </w:t>
            </w:r>
          </w:p>
        </w:tc>
        <w:tc>
          <w:tcPr>
            <w:tcW w:w="622" w:type="pct"/>
            <w:vAlign w:val="center"/>
          </w:tcPr>
          <w:p>
            <w:pPr>
              <w:jc w:val="right"/>
            </w:pPr>
            <w:r>
              <w:t xml:space="preserve">196.54 </w:t>
            </w:r>
          </w:p>
        </w:tc>
        <w:tc>
          <w:tcPr>
            <w:tcW w:w="622" w:type="pct"/>
            <w:vAlign w:val="center"/>
          </w:tcPr>
          <w:p>
            <w:pPr>
              <w:jc w:val="right"/>
            </w:pPr>
            <w:r>
              <w:t xml:space="preserve">166.19 </w:t>
            </w:r>
          </w:p>
        </w:tc>
        <w:tc>
          <w:tcPr>
            <w:tcW w:w="620" w:type="pct"/>
            <w:vAlign w:val="center"/>
          </w:tcPr>
          <w:p>
            <w:pPr>
              <w:jc w:val="right"/>
            </w:pPr>
            <w:r>
              <w:rPr>
                <w:rFonts w:hint="eastAsia"/>
              </w:rPr>
              <w:t>增加</w:t>
            </w:r>
            <w:r>
              <w:t>10.11个百分点</w:t>
            </w:r>
          </w:p>
        </w:tc>
      </w:tr>
      <w:tr>
        <w:trPr>
          <w:jc w:val="center"/>
        </w:trPr>
        <w:sdt>
          <w:sdtPr>
            <w:tag w:val="_PLD_49258193d94b4f5fa47e482cd615784f"/>
            <w:id w:val="1473486256"/>
          </w:sdtPr>
          <w:sdtContent>
            <w:tc>
              <w:tcPr>
                <w:tcW w:w="5000" w:type="pct"/>
                <w:gridSpan w:val="7"/>
                <w:vAlign w:val="center"/>
              </w:tcPr>
              <w:p>
                <w:pPr>
                  <w:jc w:val="center"/>
                  <w:rPr>
                    <w:szCs w:val="21"/>
                  </w:rPr>
                </w:pPr>
                <w:r>
                  <w:rPr>
                    <w:rFonts w:hint="eastAsia"/>
                    <w:szCs w:val="21"/>
                  </w:rPr>
                  <w:t>主营业务分产品情况</w:t>
                </w:r>
              </w:p>
            </w:tc>
          </w:sdtContent>
        </w:sdt>
      </w:tr>
      <w:tr>
        <w:trPr>
          <w:jc w:val="center"/>
        </w:trPr>
        <w:sdt>
          <w:sdtPr>
            <w:tag w:val="_PLD_1d72749a5d4248359cb1b92e381ef722"/>
            <w:id w:val="-748962002"/>
          </w:sdtPr>
          <w:sdtContent>
            <w:tc>
              <w:tcPr>
                <w:tcW w:w="1068" w:type="pct"/>
                <w:vAlign w:val="center"/>
              </w:tcPr>
              <w:p>
                <w:pPr>
                  <w:pStyle w:val="afffffb"/>
                  <w:ind w:firstLineChars="0" w:firstLine="0"/>
                  <w:jc w:val="center"/>
                  <w:rPr>
                    <w:szCs w:val="21"/>
                  </w:rPr>
                </w:pPr>
                <w:r>
                  <w:rPr>
                    <w:rFonts w:hint="eastAsia"/>
                    <w:szCs w:val="21"/>
                  </w:rPr>
                  <w:t>分产品</w:t>
                </w:r>
              </w:p>
            </w:tc>
          </w:sdtContent>
        </w:sdt>
        <w:sdt>
          <w:sdtPr>
            <w:tag w:val="_PLD_5e318ae25ee540258ffd6821c201e0af"/>
            <w:id w:val="-1453703303"/>
          </w:sdtPr>
          <w:sdtContent>
            <w:tc>
              <w:tcPr>
                <w:tcW w:w="701" w:type="pct"/>
                <w:vAlign w:val="center"/>
              </w:tcPr>
              <w:p>
                <w:pPr>
                  <w:jc w:val="center"/>
                  <w:rPr>
                    <w:szCs w:val="21"/>
                  </w:rPr>
                </w:pPr>
                <w:r>
                  <w:rPr>
                    <w:rFonts w:hint="eastAsia"/>
                    <w:szCs w:val="21"/>
                  </w:rPr>
                  <w:t>营业收入</w:t>
                </w:r>
              </w:p>
            </w:tc>
          </w:sdtContent>
        </w:sdt>
        <w:sdt>
          <w:sdtPr>
            <w:tag w:val="_PLD_d7023b8e0b18494eaae569b7bcd4781f"/>
            <w:id w:val="1632363269"/>
          </w:sdtPr>
          <w:sdtContent>
            <w:tc>
              <w:tcPr>
                <w:tcW w:w="745" w:type="pct"/>
                <w:vAlign w:val="center"/>
              </w:tcPr>
              <w:p>
                <w:pPr>
                  <w:jc w:val="center"/>
                  <w:rPr>
                    <w:szCs w:val="21"/>
                  </w:rPr>
                </w:pPr>
                <w:r>
                  <w:rPr>
                    <w:rFonts w:hint="eastAsia"/>
                    <w:szCs w:val="21"/>
                  </w:rPr>
                  <w:t>营业成本</w:t>
                </w:r>
              </w:p>
            </w:tc>
          </w:sdtContent>
        </w:sdt>
        <w:sdt>
          <w:sdtPr>
            <w:tag w:val="_PLD_c7e7c31f672744488b53ec34a4e0abde"/>
            <w:id w:val="-1886015672"/>
          </w:sdtPr>
          <w:sdtContent>
            <w:tc>
              <w:tcPr>
                <w:tcW w:w="622" w:type="pct"/>
                <w:vAlign w:val="center"/>
              </w:tcPr>
              <w:p>
                <w:pPr>
                  <w:jc w:val="center"/>
                  <w:rPr>
                    <w:szCs w:val="21"/>
                  </w:rPr>
                </w:pPr>
                <w:r>
                  <w:rPr>
                    <w:rFonts w:hint="eastAsia"/>
                    <w:szCs w:val="21"/>
                  </w:rPr>
                  <w:t>毛利率（%）</w:t>
                </w:r>
              </w:p>
            </w:tc>
          </w:sdtContent>
        </w:sdt>
        <w:sdt>
          <w:sdtPr>
            <w:tag w:val="_PLD_0ca65e94b76d4933977b3fe13864caf2"/>
            <w:id w:val="-1185979940"/>
          </w:sdtPr>
          <w:sdtContent>
            <w:tc>
              <w:tcPr>
                <w:tcW w:w="622" w:type="pct"/>
                <w:vAlign w:val="center"/>
              </w:tcPr>
              <w:p>
                <w:pPr>
                  <w:jc w:val="center"/>
                  <w:rPr>
                    <w:szCs w:val="21"/>
                  </w:rPr>
                </w:pPr>
                <w:r>
                  <w:rPr>
                    <w:rFonts w:hint="eastAsia"/>
                    <w:szCs w:val="21"/>
                  </w:rPr>
                  <w:t>营业收入比上年增减（%）</w:t>
                </w:r>
              </w:p>
            </w:tc>
          </w:sdtContent>
        </w:sdt>
        <w:sdt>
          <w:sdtPr>
            <w:tag w:val="_PLD_0fcddf8af1ce40e3bbe0b8e78c8c2496"/>
            <w:id w:val="-2104943788"/>
          </w:sdtPr>
          <w:sdtContent>
            <w:tc>
              <w:tcPr>
                <w:tcW w:w="622" w:type="pct"/>
                <w:vAlign w:val="center"/>
              </w:tcPr>
              <w:p>
                <w:pPr>
                  <w:jc w:val="center"/>
                  <w:rPr>
                    <w:szCs w:val="21"/>
                  </w:rPr>
                </w:pPr>
                <w:r>
                  <w:rPr>
                    <w:rFonts w:hint="eastAsia"/>
                    <w:szCs w:val="21"/>
                  </w:rPr>
                  <w:t>营业成本比上年增减（%）</w:t>
                </w:r>
              </w:p>
            </w:tc>
          </w:sdtContent>
        </w:sdt>
        <w:sdt>
          <w:sdtPr>
            <w:tag w:val="_PLD_fd695ef26ff948df8cd16c66ef5ffea9"/>
            <w:id w:val="-1610348239"/>
          </w:sdtPr>
          <w:sdtContent>
            <w:tc>
              <w:tcPr>
                <w:tcW w:w="620" w:type="pct"/>
                <w:vAlign w:val="center"/>
              </w:tcPr>
              <w:p>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trPr>
          <w:jc w:val="center"/>
        </w:trPr>
        <w:tc>
          <w:tcPr>
            <w:tcW w:w="1068" w:type="pct"/>
            <w:vAlign w:val="center"/>
          </w:tcPr>
          <w:p>
            <w:pPr>
              <w:pStyle w:val="affffffd"/>
            </w:pPr>
            <w:r>
              <w:t>1.煤炭业务</w:t>
            </w:r>
          </w:p>
        </w:tc>
        <w:tc>
          <w:tcPr>
            <w:tcW w:w="701" w:type="pct"/>
            <w:vAlign w:val="center"/>
          </w:tcPr>
          <w:p>
            <w:pPr>
              <w:jc w:val="right"/>
            </w:pPr>
            <w:r>
              <w:t xml:space="preserve">91,625 </w:t>
            </w:r>
          </w:p>
        </w:tc>
        <w:tc>
          <w:tcPr>
            <w:tcW w:w="745" w:type="pct"/>
            <w:vAlign w:val="center"/>
          </w:tcPr>
          <w:p>
            <w:pPr>
              <w:jc w:val="right"/>
            </w:pPr>
            <w:r>
              <w:t xml:space="preserve">49,790 </w:t>
            </w:r>
          </w:p>
        </w:tc>
        <w:tc>
          <w:tcPr>
            <w:tcW w:w="622" w:type="pct"/>
            <w:vAlign w:val="center"/>
          </w:tcPr>
          <w:p>
            <w:pPr>
              <w:jc w:val="right"/>
            </w:pPr>
            <w:r>
              <w:t xml:space="preserve">45.66 </w:t>
            </w:r>
          </w:p>
        </w:tc>
        <w:tc>
          <w:tcPr>
            <w:tcW w:w="622" w:type="pct"/>
            <w:vAlign w:val="center"/>
          </w:tcPr>
          <w:p>
            <w:pPr>
              <w:jc w:val="right"/>
            </w:pPr>
            <w:r>
              <w:t xml:space="preserve">-10.19 </w:t>
            </w:r>
          </w:p>
        </w:tc>
        <w:tc>
          <w:tcPr>
            <w:tcW w:w="622" w:type="pct"/>
            <w:vAlign w:val="center"/>
          </w:tcPr>
          <w:p>
            <w:pPr>
              <w:jc w:val="right"/>
            </w:pPr>
            <w:r>
              <w:t xml:space="preserve">0.93 </w:t>
            </w:r>
          </w:p>
        </w:tc>
        <w:tc>
          <w:tcPr>
            <w:tcW w:w="620" w:type="pct"/>
            <w:vAlign w:val="center"/>
          </w:tcPr>
          <w:p>
            <w:pPr>
              <w:jc w:val="right"/>
            </w:pPr>
            <w:r>
              <w:rPr>
                <w:rFonts w:hint="eastAsia"/>
              </w:rPr>
              <w:t>减少</w:t>
            </w:r>
            <w:r>
              <w:t>5.99个百分点</w:t>
            </w:r>
          </w:p>
        </w:tc>
      </w:tr>
      <w:tr>
        <w:trPr>
          <w:jc w:val="center"/>
        </w:trPr>
        <w:tc>
          <w:tcPr>
            <w:tcW w:w="1068" w:type="pct"/>
            <w:vAlign w:val="center"/>
          </w:tcPr>
          <w:p>
            <w:pPr>
              <w:pStyle w:val="affffffd"/>
            </w:pPr>
            <w:r>
              <w:rPr>
                <w:rFonts w:hint="eastAsia"/>
              </w:rPr>
              <w:t>其中：自产煤业务</w:t>
            </w:r>
          </w:p>
        </w:tc>
        <w:tc>
          <w:tcPr>
            <w:tcW w:w="701" w:type="pct"/>
            <w:vAlign w:val="center"/>
          </w:tcPr>
          <w:p>
            <w:pPr>
              <w:jc w:val="right"/>
            </w:pPr>
            <w:r>
              <w:t xml:space="preserve">85,145 </w:t>
            </w:r>
          </w:p>
        </w:tc>
        <w:tc>
          <w:tcPr>
            <w:tcW w:w="745" w:type="pct"/>
            <w:vAlign w:val="center"/>
          </w:tcPr>
          <w:p>
            <w:pPr>
              <w:jc w:val="right"/>
            </w:pPr>
            <w:r>
              <w:t xml:space="preserve">43,804 </w:t>
            </w:r>
          </w:p>
        </w:tc>
        <w:tc>
          <w:tcPr>
            <w:tcW w:w="622" w:type="pct"/>
            <w:vAlign w:val="center"/>
          </w:tcPr>
          <w:p>
            <w:pPr>
              <w:jc w:val="right"/>
            </w:pPr>
            <w:r>
              <w:t xml:space="preserve">48.55 </w:t>
            </w:r>
          </w:p>
        </w:tc>
        <w:tc>
          <w:tcPr>
            <w:tcW w:w="622" w:type="pct"/>
            <w:vAlign w:val="center"/>
          </w:tcPr>
          <w:p>
            <w:pPr>
              <w:jc w:val="right"/>
            </w:pPr>
            <w:r>
              <w:t xml:space="preserve">-10.36 </w:t>
            </w:r>
          </w:p>
        </w:tc>
        <w:tc>
          <w:tcPr>
            <w:tcW w:w="622" w:type="pct"/>
            <w:vAlign w:val="center"/>
          </w:tcPr>
          <w:p>
            <w:pPr>
              <w:jc w:val="right"/>
            </w:pPr>
            <w:r>
              <w:t xml:space="preserve">3.62 </w:t>
            </w:r>
          </w:p>
        </w:tc>
        <w:tc>
          <w:tcPr>
            <w:tcW w:w="620" w:type="pct"/>
            <w:vAlign w:val="center"/>
          </w:tcPr>
          <w:p>
            <w:pPr>
              <w:jc w:val="right"/>
            </w:pPr>
            <w:r>
              <w:rPr>
                <w:rFonts w:hint="eastAsia"/>
              </w:rPr>
              <w:t>减少</w:t>
            </w:r>
            <w:r>
              <w:t>6.94个百分点</w:t>
            </w:r>
          </w:p>
        </w:tc>
      </w:tr>
      <w:tr>
        <w:trPr>
          <w:jc w:val="center"/>
        </w:trPr>
        <w:tc>
          <w:tcPr>
            <w:tcW w:w="1068" w:type="pct"/>
            <w:vAlign w:val="center"/>
          </w:tcPr>
          <w:p>
            <w:pPr>
              <w:ind w:firstLineChars="300" w:firstLine="630"/>
            </w:pPr>
            <w:r>
              <w:rPr>
                <w:rFonts w:hint="eastAsia"/>
              </w:rPr>
              <w:t>贸易煤业务</w:t>
            </w:r>
          </w:p>
        </w:tc>
        <w:tc>
          <w:tcPr>
            <w:tcW w:w="701" w:type="pct"/>
            <w:vAlign w:val="center"/>
          </w:tcPr>
          <w:p>
            <w:pPr>
              <w:jc w:val="right"/>
            </w:pPr>
            <w:r>
              <w:t xml:space="preserve">6,480 </w:t>
            </w:r>
          </w:p>
        </w:tc>
        <w:tc>
          <w:tcPr>
            <w:tcW w:w="745" w:type="pct"/>
            <w:vAlign w:val="center"/>
          </w:tcPr>
          <w:p>
            <w:pPr>
              <w:jc w:val="right"/>
            </w:pPr>
            <w:r>
              <w:t xml:space="preserve">5,986 </w:t>
            </w:r>
          </w:p>
        </w:tc>
        <w:tc>
          <w:tcPr>
            <w:tcW w:w="622" w:type="pct"/>
            <w:vAlign w:val="center"/>
          </w:tcPr>
          <w:p>
            <w:pPr>
              <w:jc w:val="right"/>
            </w:pPr>
            <w:r>
              <w:t xml:space="preserve">7.61 </w:t>
            </w:r>
          </w:p>
        </w:tc>
        <w:tc>
          <w:tcPr>
            <w:tcW w:w="622" w:type="pct"/>
            <w:vAlign w:val="center"/>
          </w:tcPr>
          <w:p>
            <w:pPr>
              <w:jc w:val="right"/>
            </w:pPr>
            <w:r>
              <w:t xml:space="preserve">-7.82 </w:t>
            </w:r>
          </w:p>
        </w:tc>
        <w:tc>
          <w:tcPr>
            <w:tcW w:w="622" w:type="pct"/>
            <w:vAlign w:val="center"/>
          </w:tcPr>
          <w:p>
            <w:pPr>
              <w:jc w:val="right"/>
            </w:pPr>
            <w:r>
              <w:t xml:space="preserve">-15.19 </w:t>
            </w:r>
          </w:p>
        </w:tc>
        <w:tc>
          <w:tcPr>
            <w:tcW w:w="620" w:type="pct"/>
            <w:vAlign w:val="center"/>
          </w:tcPr>
          <w:p>
            <w:pPr>
              <w:jc w:val="right"/>
            </w:pPr>
            <w:r>
              <w:rPr>
                <w:rFonts w:hint="eastAsia"/>
              </w:rPr>
              <w:t>增加</w:t>
            </w:r>
            <w:r>
              <w:t>8.02个百分点</w:t>
            </w:r>
          </w:p>
        </w:tc>
      </w:tr>
      <w:tr>
        <w:trPr>
          <w:jc w:val="center"/>
        </w:trPr>
        <w:tc>
          <w:tcPr>
            <w:tcW w:w="1068" w:type="pct"/>
            <w:vAlign w:val="center"/>
          </w:tcPr>
          <w:p>
            <w:pPr>
              <w:pStyle w:val="affffffd"/>
            </w:pPr>
            <w:r>
              <w:t>2.煤化工业务</w:t>
            </w:r>
          </w:p>
        </w:tc>
        <w:tc>
          <w:tcPr>
            <w:tcW w:w="701" w:type="pct"/>
            <w:vAlign w:val="center"/>
          </w:tcPr>
          <w:p>
            <w:pPr>
              <w:jc w:val="right"/>
            </w:pPr>
            <w:r>
              <w:t xml:space="preserve">25,223 </w:t>
            </w:r>
          </w:p>
        </w:tc>
        <w:tc>
          <w:tcPr>
            <w:tcW w:w="745" w:type="pct"/>
            <w:vAlign w:val="center"/>
          </w:tcPr>
          <w:p>
            <w:pPr>
              <w:jc w:val="right"/>
            </w:pPr>
            <w:r>
              <w:t xml:space="preserve">19,776 </w:t>
            </w:r>
          </w:p>
        </w:tc>
        <w:tc>
          <w:tcPr>
            <w:tcW w:w="622" w:type="pct"/>
            <w:vAlign w:val="center"/>
          </w:tcPr>
          <w:p>
            <w:pPr>
              <w:jc w:val="right"/>
            </w:pPr>
            <w:r>
              <w:t xml:space="preserve">21.60 </w:t>
            </w:r>
          </w:p>
        </w:tc>
        <w:tc>
          <w:tcPr>
            <w:tcW w:w="622" w:type="pct"/>
            <w:vAlign w:val="center"/>
          </w:tcPr>
          <w:p>
            <w:pPr>
              <w:jc w:val="right"/>
            </w:pPr>
            <w:r>
              <w:t xml:space="preserve">-4.45 </w:t>
            </w:r>
          </w:p>
        </w:tc>
        <w:tc>
          <w:tcPr>
            <w:tcW w:w="622" w:type="pct"/>
            <w:vAlign w:val="center"/>
          </w:tcPr>
          <w:p>
            <w:pPr>
              <w:jc w:val="right"/>
            </w:pPr>
            <w:r>
              <w:t xml:space="preserve">-6.41 </w:t>
            </w:r>
          </w:p>
        </w:tc>
        <w:tc>
          <w:tcPr>
            <w:tcW w:w="620" w:type="pct"/>
            <w:vAlign w:val="center"/>
          </w:tcPr>
          <w:p>
            <w:pPr>
              <w:jc w:val="right"/>
            </w:pPr>
            <w:r>
              <w:rPr>
                <w:rFonts w:hint="eastAsia"/>
              </w:rPr>
              <w:t>增加</w:t>
            </w:r>
            <w:r>
              <w:t>1.64个百分点</w:t>
            </w:r>
          </w:p>
        </w:tc>
      </w:tr>
      <w:tr>
        <w:trPr>
          <w:jc w:val="center"/>
        </w:trPr>
        <w:tc>
          <w:tcPr>
            <w:tcW w:w="1068" w:type="pct"/>
            <w:vAlign w:val="center"/>
          </w:tcPr>
          <w:p>
            <w:pPr>
              <w:pStyle w:val="affffffd"/>
            </w:pPr>
            <w:r>
              <w:t>3.电力业务</w:t>
            </w:r>
          </w:p>
        </w:tc>
        <w:tc>
          <w:tcPr>
            <w:tcW w:w="701" w:type="pct"/>
            <w:vAlign w:val="center"/>
          </w:tcPr>
          <w:p>
            <w:pPr>
              <w:jc w:val="right"/>
            </w:pPr>
            <w:r>
              <w:t xml:space="preserve">2,537 </w:t>
            </w:r>
          </w:p>
        </w:tc>
        <w:tc>
          <w:tcPr>
            <w:tcW w:w="745" w:type="pct"/>
            <w:vAlign w:val="center"/>
          </w:tcPr>
          <w:p>
            <w:pPr>
              <w:jc w:val="right"/>
            </w:pPr>
            <w:r>
              <w:t xml:space="preserve">2,205 </w:t>
            </w:r>
          </w:p>
        </w:tc>
        <w:tc>
          <w:tcPr>
            <w:tcW w:w="622" w:type="pct"/>
            <w:vAlign w:val="center"/>
          </w:tcPr>
          <w:p>
            <w:pPr>
              <w:jc w:val="right"/>
            </w:pPr>
            <w:r>
              <w:t xml:space="preserve">13.07 </w:t>
            </w:r>
          </w:p>
        </w:tc>
        <w:tc>
          <w:tcPr>
            <w:tcW w:w="622" w:type="pct"/>
            <w:vAlign w:val="center"/>
          </w:tcPr>
          <w:p>
            <w:pPr>
              <w:jc w:val="right"/>
            </w:pPr>
            <w:r>
              <w:t xml:space="preserve">-2.00 </w:t>
            </w:r>
          </w:p>
        </w:tc>
        <w:tc>
          <w:tcPr>
            <w:tcW w:w="622" w:type="pct"/>
            <w:vAlign w:val="center"/>
          </w:tcPr>
          <w:p>
            <w:pPr>
              <w:jc w:val="right"/>
            </w:pPr>
            <w:r>
              <w:t xml:space="preserve">-6.21 </w:t>
            </w:r>
          </w:p>
        </w:tc>
        <w:tc>
          <w:tcPr>
            <w:tcW w:w="620" w:type="pct"/>
            <w:vAlign w:val="center"/>
          </w:tcPr>
          <w:p>
            <w:pPr>
              <w:jc w:val="right"/>
            </w:pPr>
            <w:r>
              <w:rPr>
                <w:rFonts w:hint="eastAsia"/>
              </w:rPr>
              <w:t>增加</w:t>
            </w:r>
            <w:r>
              <w:t>3.90个百分点</w:t>
            </w:r>
          </w:p>
        </w:tc>
      </w:tr>
      <w:tr>
        <w:trPr>
          <w:jc w:val="center"/>
        </w:trPr>
        <w:tc>
          <w:tcPr>
            <w:tcW w:w="1068" w:type="pct"/>
            <w:vAlign w:val="center"/>
          </w:tcPr>
          <w:p>
            <w:pPr>
              <w:pStyle w:val="affffffd"/>
            </w:pPr>
            <w:r>
              <w:t>4.其他业务</w:t>
            </w:r>
          </w:p>
        </w:tc>
        <w:tc>
          <w:tcPr>
            <w:tcW w:w="701" w:type="pct"/>
            <w:vAlign w:val="center"/>
          </w:tcPr>
          <w:p>
            <w:pPr>
              <w:jc w:val="right"/>
            </w:pPr>
            <w:r>
              <w:t xml:space="preserve">5,150 </w:t>
            </w:r>
          </w:p>
        </w:tc>
        <w:tc>
          <w:tcPr>
            <w:tcW w:w="745" w:type="pct"/>
            <w:vAlign w:val="center"/>
          </w:tcPr>
          <w:p>
            <w:pPr>
              <w:jc w:val="right"/>
            </w:pPr>
            <w:r>
              <w:t xml:space="preserve">4,565 </w:t>
            </w:r>
          </w:p>
        </w:tc>
        <w:tc>
          <w:tcPr>
            <w:tcW w:w="622" w:type="pct"/>
            <w:vAlign w:val="center"/>
          </w:tcPr>
          <w:p>
            <w:pPr>
              <w:jc w:val="right"/>
            </w:pPr>
            <w:r>
              <w:t xml:space="preserve">11.37 </w:t>
            </w:r>
          </w:p>
        </w:tc>
        <w:tc>
          <w:tcPr>
            <w:tcW w:w="622" w:type="pct"/>
            <w:vAlign w:val="center"/>
          </w:tcPr>
          <w:p>
            <w:pPr>
              <w:jc w:val="right"/>
            </w:pPr>
            <w:r>
              <w:t xml:space="preserve">196.54 </w:t>
            </w:r>
          </w:p>
        </w:tc>
        <w:tc>
          <w:tcPr>
            <w:tcW w:w="622" w:type="pct"/>
            <w:vAlign w:val="center"/>
          </w:tcPr>
          <w:p>
            <w:pPr>
              <w:jc w:val="right"/>
            </w:pPr>
            <w:r>
              <w:t xml:space="preserve">166.19 </w:t>
            </w:r>
          </w:p>
        </w:tc>
        <w:tc>
          <w:tcPr>
            <w:tcW w:w="620" w:type="pct"/>
            <w:vAlign w:val="center"/>
          </w:tcPr>
          <w:p>
            <w:pPr>
              <w:jc w:val="right"/>
            </w:pPr>
            <w:r>
              <w:rPr>
                <w:rFonts w:hint="eastAsia"/>
              </w:rPr>
              <w:t>增加</w:t>
            </w:r>
            <w:r>
              <w:t>10.11个百分点</w:t>
            </w:r>
          </w:p>
        </w:tc>
      </w:tr>
      <w:tr>
        <w:trPr>
          <w:jc w:val="center"/>
        </w:trPr>
        <w:sdt>
          <w:sdtPr>
            <w:tag w:val="_PLD_fe4b98c3f70c495d9eb9797ce0f7b5f6"/>
            <w:id w:val="-530346230"/>
          </w:sdtPr>
          <w:sdtContent>
            <w:tc>
              <w:tcPr>
                <w:tcW w:w="5000" w:type="pct"/>
                <w:gridSpan w:val="7"/>
              </w:tcPr>
              <w:p>
                <w:pPr>
                  <w:jc w:val="center"/>
                  <w:rPr>
                    <w:szCs w:val="21"/>
                  </w:rPr>
                </w:pPr>
                <w:r>
                  <w:rPr>
                    <w:rFonts w:hint="eastAsia"/>
                    <w:szCs w:val="21"/>
                  </w:rPr>
                  <w:t>主营业务分地区情况</w:t>
                </w:r>
              </w:p>
            </w:tc>
          </w:sdtContent>
        </w:sdt>
      </w:tr>
      <w:tr>
        <w:trPr>
          <w:jc w:val="center"/>
        </w:trPr>
        <w:sdt>
          <w:sdtPr>
            <w:tag w:val="_PLD_88d8ea3d867f4a97a5a66d059c2a507e"/>
            <w:id w:val="-970894791"/>
          </w:sdtPr>
          <w:sdtContent>
            <w:tc>
              <w:tcPr>
                <w:tcW w:w="1068" w:type="pct"/>
                <w:vAlign w:val="center"/>
              </w:tcPr>
              <w:p>
                <w:pPr>
                  <w:jc w:val="center"/>
                  <w:rPr>
                    <w:szCs w:val="21"/>
                  </w:rPr>
                </w:pPr>
                <w:r>
                  <w:rPr>
                    <w:rFonts w:hint="eastAsia"/>
                    <w:szCs w:val="21"/>
                  </w:rPr>
                  <w:t>分地区</w:t>
                </w:r>
              </w:p>
            </w:tc>
          </w:sdtContent>
        </w:sdt>
        <w:sdt>
          <w:sdtPr>
            <w:tag w:val="_PLD_d960c947c6424e2a87acbd6f4d534b0a"/>
            <w:id w:val="-1383402365"/>
          </w:sdtPr>
          <w:sdtContent>
            <w:tc>
              <w:tcPr>
                <w:tcW w:w="701" w:type="pct"/>
                <w:vAlign w:val="center"/>
              </w:tcPr>
              <w:p>
                <w:pPr>
                  <w:jc w:val="center"/>
                  <w:rPr>
                    <w:szCs w:val="21"/>
                  </w:rPr>
                </w:pPr>
                <w:r>
                  <w:rPr>
                    <w:rFonts w:hint="eastAsia"/>
                    <w:szCs w:val="21"/>
                  </w:rPr>
                  <w:t>营业收入</w:t>
                </w:r>
              </w:p>
            </w:tc>
          </w:sdtContent>
        </w:sdt>
        <w:sdt>
          <w:sdtPr>
            <w:tag w:val="_PLD_0cab657ed1664cda8d161069df0d4ffe"/>
            <w:id w:val="-987855911"/>
          </w:sdtPr>
          <w:sdtContent>
            <w:tc>
              <w:tcPr>
                <w:tcW w:w="745" w:type="pct"/>
                <w:vAlign w:val="center"/>
              </w:tcPr>
              <w:p>
                <w:pPr>
                  <w:jc w:val="center"/>
                  <w:rPr>
                    <w:szCs w:val="21"/>
                  </w:rPr>
                </w:pPr>
                <w:r>
                  <w:rPr>
                    <w:rFonts w:hint="eastAsia"/>
                    <w:szCs w:val="21"/>
                  </w:rPr>
                  <w:t>营业成本</w:t>
                </w:r>
              </w:p>
            </w:tc>
          </w:sdtContent>
        </w:sdt>
        <w:sdt>
          <w:sdtPr>
            <w:tag w:val="_PLD_de52f565c0c94f5f8930a8d275890566"/>
            <w:id w:val="-2013134288"/>
          </w:sdtPr>
          <w:sdtContent>
            <w:tc>
              <w:tcPr>
                <w:tcW w:w="622" w:type="pct"/>
                <w:vAlign w:val="center"/>
              </w:tcPr>
              <w:p>
                <w:pPr>
                  <w:jc w:val="center"/>
                  <w:rPr>
                    <w:szCs w:val="21"/>
                  </w:rPr>
                </w:pPr>
                <w:r>
                  <w:rPr>
                    <w:rFonts w:hint="eastAsia"/>
                    <w:szCs w:val="21"/>
                  </w:rPr>
                  <w:t>毛利率（%）</w:t>
                </w:r>
              </w:p>
            </w:tc>
          </w:sdtContent>
        </w:sdt>
        <w:sdt>
          <w:sdtPr>
            <w:tag w:val="_PLD_66acbff90fbb46ac8fc6c5840a2a1352"/>
            <w:id w:val="1187949828"/>
          </w:sdtPr>
          <w:sdtContent>
            <w:tc>
              <w:tcPr>
                <w:tcW w:w="622" w:type="pct"/>
                <w:vAlign w:val="center"/>
              </w:tcPr>
              <w:p>
                <w:pPr>
                  <w:jc w:val="center"/>
                  <w:rPr>
                    <w:szCs w:val="21"/>
                  </w:rPr>
                </w:pPr>
                <w:r>
                  <w:rPr>
                    <w:rFonts w:hint="eastAsia"/>
                    <w:szCs w:val="21"/>
                  </w:rPr>
                  <w:t>营业收入比上年增减（%）</w:t>
                </w:r>
              </w:p>
            </w:tc>
          </w:sdtContent>
        </w:sdt>
        <w:sdt>
          <w:sdtPr>
            <w:tag w:val="_PLD_24222e0fb06f4b87bb8e6a25bfc923a9"/>
            <w:id w:val="-445691672"/>
          </w:sdtPr>
          <w:sdtContent>
            <w:tc>
              <w:tcPr>
                <w:tcW w:w="622" w:type="pct"/>
                <w:vAlign w:val="center"/>
              </w:tcPr>
              <w:p>
                <w:pPr>
                  <w:jc w:val="center"/>
                  <w:rPr>
                    <w:szCs w:val="21"/>
                  </w:rPr>
                </w:pPr>
                <w:r>
                  <w:rPr>
                    <w:rFonts w:hint="eastAsia"/>
                    <w:szCs w:val="21"/>
                  </w:rPr>
                  <w:t>营业成本比上年增减（%）</w:t>
                </w:r>
              </w:p>
            </w:tc>
          </w:sdtContent>
        </w:sdt>
        <w:sdt>
          <w:sdtPr>
            <w:tag w:val="_PLD_055160da443c4e4a8c520dbbde5baec3"/>
            <w:id w:val="1289542138"/>
          </w:sdtPr>
          <w:sdtContent>
            <w:tc>
              <w:tcPr>
                <w:tcW w:w="620" w:type="pct"/>
                <w:vAlign w:val="center"/>
              </w:tcPr>
              <w:p>
                <w:pPr>
                  <w:jc w:val="center"/>
                  <w:rPr>
                    <w:szCs w:val="21"/>
                  </w:rPr>
                </w:pPr>
                <w:r>
                  <w:rPr>
                    <w:rFonts w:hint="eastAsia"/>
                    <w:szCs w:val="21"/>
                  </w:rPr>
                  <w:t>毛利率</w:t>
                </w:r>
                <w:r>
                  <w:rPr>
                    <w:szCs w:val="21"/>
                  </w:rPr>
                  <w:t>比上年增减（</w:t>
                </w:r>
                <w:r>
                  <w:rPr>
                    <w:rFonts w:hint="eastAsia"/>
                    <w:szCs w:val="21"/>
                  </w:rPr>
                  <w:t>%</w:t>
                </w:r>
                <w:r>
                  <w:rPr>
                    <w:szCs w:val="21"/>
                  </w:rPr>
                  <w:t>）</w:t>
                </w:r>
              </w:p>
            </w:tc>
          </w:sdtContent>
        </w:sdt>
      </w:tr>
      <w:tr>
        <w:trPr>
          <w:jc w:val="center"/>
        </w:trPr>
        <w:tc>
          <w:tcPr>
            <w:tcW w:w="1068" w:type="pct"/>
            <w:vAlign w:val="center"/>
          </w:tcPr>
          <w:p>
            <w:pPr>
              <w:pStyle w:val="afffffb"/>
              <w:ind w:firstLineChars="0" w:firstLine="0"/>
              <w:rPr>
                <w:rFonts w:ascii="宋体" w:hAnsi="宋体" w:cs="宋体"/>
                <w:kern w:val="0"/>
                <w:szCs w:val="21"/>
              </w:rPr>
            </w:pPr>
            <w:r>
              <w:rPr>
                <w:rFonts w:ascii="宋体" w:hAnsi="宋体" w:hint="eastAsia"/>
              </w:rPr>
              <w:t>国内</w:t>
            </w:r>
          </w:p>
        </w:tc>
        <w:tc>
          <w:tcPr>
            <w:tcW w:w="701" w:type="pct"/>
            <w:vAlign w:val="center"/>
          </w:tcPr>
          <w:p>
            <w:pPr>
              <w:jc w:val="right"/>
            </w:pPr>
            <w:r>
              <w:t>88,858</w:t>
            </w:r>
          </w:p>
        </w:tc>
        <w:tc>
          <w:tcPr>
            <w:tcW w:w="745" w:type="pct"/>
            <w:vAlign w:val="center"/>
          </w:tcPr>
          <w:p>
            <w:pPr>
              <w:jc w:val="right"/>
            </w:pPr>
            <w:r>
              <w:t>53,232</w:t>
            </w:r>
          </w:p>
        </w:tc>
        <w:tc>
          <w:tcPr>
            <w:tcW w:w="622" w:type="pct"/>
            <w:vAlign w:val="center"/>
          </w:tcPr>
          <w:p>
            <w:pPr>
              <w:jc w:val="right"/>
            </w:pPr>
            <w:r>
              <w:t xml:space="preserve">40.09 </w:t>
            </w:r>
          </w:p>
        </w:tc>
        <w:tc>
          <w:tcPr>
            <w:tcW w:w="622" w:type="pct"/>
            <w:vAlign w:val="center"/>
          </w:tcPr>
          <w:p>
            <w:pPr>
              <w:jc w:val="right"/>
            </w:pPr>
            <w:r>
              <w:t xml:space="preserve">-3.66 </w:t>
            </w:r>
          </w:p>
        </w:tc>
        <w:tc>
          <w:tcPr>
            <w:tcW w:w="622" w:type="pct"/>
            <w:vAlign w:val="center"/>
          </w:tcPr>
          <w:p>
            <w:pPr>
              <w:jc w:val="right"/>
            </w:pPr>
            <w:r>
              <w:t xml:space="preserve">1.94 </w:t>
            </w:r>
          </w:p>
        </w:tc>
        <w:tc>
          <w:tcPr>
            <w:tcW w:w="620" w:type="pct"/>
            <w:vAlign w:val="center"/>
          </w:tcPr>
          <w:p>
            <w:pPr>
              <w:jc w:val="right"/>
            </w:pPr>
            <w:r>
              <w:rPr>
                <w:rFonts w:hint="eastAsia"/>
              </w:rPr>
              <w:t>减少</w:t>
            </w:r>
            <w:r>
              <w:t>3.29个百分点</w:t>
            </w:r>
          </w:p>
        </w:tc>
      </w:tr>
      <w:tr>
        <w:trPr>
          <w:jc w:val="center"/>
        </w:trPr>
        <w:tc>
          <w:tcPr>
            <w:tcW w:w="1068" w:type="pct"/>
            <w:vAlign w:val="center"/>
          </w:tcPr>
          <w:p>
            <w:pPr>
              <w:pStyle w:val="afffffb"/>
              <w:ind w:firstLineChars="0" w:firstLine="0"/>
              <w:rPr>
                <w:rFonts w:ascii="宋体" w:hAnsi="宋体" w:cs="宋体"/>
                <w:kern w:val="0"/>
                <w:szCs w:val="21"/>
              </w:rPr>
            </w:pPr>
            <w:r>
              <w:rPr>
                <w:rFonts w:ascii="宋体" w:hAnsi="宋体" w:hint="eastAsia"/>
              </w:rPr>
              <w:t>国外</w:t>
            </w:r>
          </w:p>
        </w:tc>
        <w:tc>
          <w:tcPr>
            <w:tcW w:w="701" w:type="pct"/>
            <w:vAlign w:val="center"/>
          </w:tcPr>
          <w:p>
            <w:pPr>
              <w:jc w:val="right"/>
            </w:pPr>
            <w:r>
              <w:t>35,676</w:t>
            </w:r>
          </w:p>
        </w:tc>
        <w:tc>
          <w:tcPr>
            <w:tcW w:w="745" w:type="pct"/>
            <w:vAlign w:val="center"/>
          </w:tcPr>
          <w:p>
            <w:pPr>
              <w:jc w:val="right"/>
            </w:pPr>
            <w:r>
              <w:t>23,104</w:t>
            </w:r>
          </w:p>
        </w:tc>
        <w:tc>
          <w:tcPr>
            <w:tcW w:w="622" w:type="pct"/>
            <w:vAlign w:val="center"/>
          </w:tcPr>
          <w:p>
            <w:pPr>
              <w:jc w:val="right"/>
            </w:pPr>
            <w:r>
              <w:t xml:space="preserve">35.24 </w:t>
            </w:r>
          </w:p>
        </w:tc>
        <w:tc>
          <w:tcPr>
            <w:tcW w:w="622" w:type="pct"/>
            <w:vAlign w:val="center"/>
          </w:tcPr>
          <w:p>
            <w:pPr>
              <w:jc w:val="right"/>
            </w:pPr>
            <w:r>
              <w:t xml:space="preserve">-11.93 </w:t>
            </w:r>
          </w:p>
        </w:tc>
        <w:tc>
          <w:tcPr>
            <w:tcW w:w="622" w:type="pct"/>
            <w:vAlign w:val="center"/>
          </w:tcPr>
          <w:p>
            <w:pPr>
              <w:jc w:val="right"/>
            </w:pPr>
            <w:r>
              <w:t xml:space="preserve">3.56 </w:t>
            </w:r>
          </w:p>
        </w:tc>
        <w:tc>
          <w:tcPr>
            <w:tcW w:w="620" w:type="pct"/>
            <w:vAlign w:val="center"/>
          </w:tcPr>
          <w:p>
            <w:pPr>
              <w:jc w:val="right"/>
            </w:pPr>
            <w:r>
              <w:rPr>
                <w:rFonts w:hint="eastAsia"/>
              </w:rPr>
              <w:t>减少</w:t>
            </w:r>
            <w:r>
              <w:t>9.69个百分点</w:t>
            </w:r>
          </w:p>
        </w:tc>
      </w:tr>
      <w:tr>
        <w:trPr>
          <w:jc w:val="center"/>
        </w:trPr>
        <w:tc>
          <w:tcPr>
            <w:tcW w:w="5000" w:type="pct"/>
            <w:gridSpan w:val="7"/>
          </w:tcPr>
          <w:p>
            <w:pPr>
              <w:jc w:val="center"/>
              <w:rPr>
                <w:szCs w:val="21"/>
              </w:rPr>
            </w:pPr>
            <w:sdt>
              <w:sdtPr>
                <w:tag w:val="_PLD_4be57b876a364ef5aee49673f139ef4a"/>
                <w:id w:val="-1449237426"/>
              </w:sdtPr>
              <w:sdtContent>
                <w:r>
                  <w:rPr>
                    <w:rFonts w:hint="eastAsia"/>
                    <w:szCs w:val="21"/>
                  </w:rPr>
                  <w:t>主营业务分销售模式情况</w:t>
                </w:r>
              </w:sdtContent>
            </w:sdt>
          </w:p>
        </w:tc>
      </w:tr>
      <w:tr>
        <w:trPr>
          <w:jc w:val="center"/>
        </w:trPr>
        <w:sdt>
          <w:sdtPr>
            <w:tag w:val="_PLD_fe8c7b7bf3a444db814cf5c56b1b72e0"/>
            <w:id w:val="1566678079"/>
          </w:sdtPr>
          <w:sdtContent>
            <w:tc>
              <w:tcPr>
                <w:tcW w:w="1068" w:type="pct"/>
                <w:vAlign w:val="center"/>
              </w:tcPr>
              <w:p>
                <w:pPr>
                  <w:pStyle w:val="afffffb"/>
                  <w:ind w:firstLineChars="0" w:firstLine="0"/>
                  <w:jc w:val="center"/>
                  <w:rPr>
                    <w:rFonts w:ascii="宋体" w:hAnsi="宋体" w:cs="宋体"/>
                    <w:kern w:val="0"/>
                    <w:szCs w:val="21"/>
                  </w:rPr>
                </w:pPr>
                <w:r>
                  <w:rPr>
                    <w:rFonts w:ascii="宋体" w:hAnsi="宋体" w:cs="宋体" w:hint="eastAsia"/>
                    <w:kern w:val="0"/>
                    <w:szCs w:val="21"/>
                  </w:rPr>
                  <w:t>销售模式</w:t>
                </w:r>
              </w:p>
            </w:tc>
          </w:sdtContent>
        </w:sdt>
        <w:sdt>
          <w:sdtPr>
            <w:tag w:val="_PLD_a8a3a2b010534c9d820c7f9b6fd92caf"/>
            <w:id w:val="2069302021"/>
          </w:sdtPr>
          <w:sdtContent>
            <w:tc>
              <w:tcPr>
                <w:tcW w:w="701" w:type="pct"/>
                <w:vAlign w:val="center"/>
              </w:tcPr>
              <w:p>
                <w:pPr>
                  <w:jc w:val="center"/>
                  <w:rPr>
                    <w:szCs w:val="21"/>
                  </w:rPr>
                </w:pPr>
                <w:r>
                  <w:rPr>
                    <w:rFonts w:hint="eastAsia"/>
                    <w:szCs w:val="21"/>
                  </w:rPr>
                  <w:t>营业收入</w:t>
                </w:r>
              </w:p>
            </w:tc>
          </w:sdtContent>
        </w:sdt>
        <w:sdt>
          <w:sdtPr>
            <w:tag w:val="_PLD_cc237396dacd4c16b49a8294763c220b"/>
            <w:id w:val="245465568"/>
          </w:sdtPr>
          <w:sdtContent>
            <w:tc>
              <w:tcPr>
                <w:tcW w:w="745" w:type="pct"/>
                <w:vAlign w:val="center"/>
              </w:tcPr>
              <w:p>
                <w:pPr>
                  <w:jc w:val="center"/>
                  <w:rPr>
                    <w:szCs w:val="21"/>
                  </w:rPr>
                </w:pPr>
                <w:r>
                  <w:rPr>
                    <w:rFonts w:hint="eastAsia"/>
                    <w:szCs w:val="21"/>
                  </w:rPr>
                  <w:t>营业成本</w:t>
                </w:r>
              </w:p>
            </w:tc>
          </w:sdtContent>
        </w:sdt>
        <w:sdt>
          <w:sdtPr>
            <w:tag w:val="_PLD_941b22ab04a244cdbd8aa22ae424dacb"/>
            <w:id w:val="-1202860747"/>
          </w:sdtPr>
          <w:sdtContent>
            <w:tc>
              <w:tcPr>
                <w:tcW w:w="622" w:type="pct"/>
                <w:vAlign w:val="center"/>
              </w:tcPr>
              <w:p>
                <w:pPr>
                  <w:jc w:val="center"/>
                  <w:rPr>
                    <w:szCs w:val="21"/>
                  </w:rPr>
                </w:pPr>
                <w:r>
                  <w:rPr>
                    <w:rFonts w:hint="eastAsia"/>
                    <w:szCs w:val="21"/>
                  </w:rPr>
                  <w:t>毛利率（</w:t>
                </w:r>
                <w:r>
                  <w:rPr>
                    <w:szCs w:val="21"/>
                  </w:rPr>
                  <w:t>%）</w:t>
                </w:r>
              </w:p>
            </w:tc>
          </w:sdtContent>
        </w:sdt>
        <w:sdt>
          <w:sdtPr>
            <w:tag w:val="_PLD_e219c48b013d406696797c069f5c1054"/>
            <w:id w:val="-537115506"/>
          </w:sdtPr>
          <w:sdtContent>
            <w:tc>
              <w:tcPr>
                <w:tcW w:w="622" w:type="pct"/>
                <w:vAlign w:val="center"/>
              </w:tcPr>
              <w:p>
                <w:pPr>
                  <w:jc w:val="center"/>
                  <w:rPr>
                    <w:szCs w:val="21"/>
                  </w:rPr>
                </w:pPr>
                <w:r>
                  <w:rPr>
                    <w:rFonts w:hint="eastAsia"/>
                    <w:szCs w:val="21"/>
                  </w:rPr>
                  <w:t>营业收入比上年增减（</w:t>
                </w:r>
                <w:r>
                  <w:rPr>
                    <w:szCs w:val="21"/>
                  </w:rPr>
                  <w:t>%）</w:t>
                </w:r>
              </w:p>
            </w:tc>
          </w:sdtContent>
        </w:sdt>
        <w:sdt>
          <w:sdtPr>
            <w:tag w:val="_PLD_ea6dd0b86c3c4f81ac1d0aab660982a0"/>
            <w:id w:val="1479031544"/>
          </w:sdtPr>
          <w:sdtContent>
            <w:tc>
              <w:tcPr>
                <w:tcW w:w="622" w:type="pct"/>
                <w:vAlign w:val="center"/>
              </w:tcPr>
              <w:p>
                <w:pPr>
                  <w:jc w:val="center"/>
                  <w:rPr>
                    <w:szCs w:val="21"/>
                  </w:rPr>
                </w:pPr>
                <w:r>
                  <w:rPr>
                    <w:rFonts w:hint="eastAsia"/>
                    <w:szCs w:val="21"/>
                  </w:rPr>
                  <w:t>营业成本比上年增减（</w:t>
                </w:r>
                <w:r>
                  <w:rPr>
                    <w:szCs w:val="21"/>
                  </w:rPr>
                  <w:t>%）</w:t>
                </w:r>
              </w:p>
            </w:tc>
          </w:sdtContent>
        </w:sdt>
        <w:sdt>
          <w:sdtPr>
            <w:tag w:val="_PLD_b228d83849d948259a50feeb3c8039e4"/>
            <w:id w:val="-1749182249"/>
          </w:sdtPr>
          <w:sdtContent>
            <w:tc>
              <w:tcPr>
                <w:tcW w:w="620" w:type="pct"/>
                <w:vAlign w:val="center"/>
              </w:tcPr>
              <w:p>
                <w:pPr>
                  <w:jc w:val="center"/>
                  <w:rPr>
                    <w:szCs w:val="21"/>
                  </w:rPr>
                </w:pPr>
                <w:r>
                  <w:rPr>
                    <w:rFonts w:hint="eastAsia"/>
                    <w:szCs w:val="21"/>
                  </w:rPr>
                  <w:t>毛利率比上年增减（</w:t>
                </w:r>
                <w:r>
                  <w:rPr>
                    <w:szCs w:val="21"/>
                  </w:rPr>
                  <w:t>%）</w:t>
                </w:r>
              </w:p>
            </w:tc>
          </w:sdtContent>
        </w:sdt>
      </w:tr>
      <w:tr>
        <w:trPr>
          <w:jc w:val="center"/>
        </w:trPr>
        <w:tc>
          <w:tcPr>
            <w:tcW w:w="1068" w:type="pct"/>
            <w:vAlign w:val="center"/>
          </w:tcPr>
          <w:p>
            <w:pPr>
              <w:pStyle w:val="afffffb"/>
              <w:ind w:firstLineChars="0" w:firstLine="0"/>
              <w:rPr>
                <w:rFonts w:ascii="宋体" w:hAnsi="宋体" w:cs="宋体"/>
                <w:kern w:val="0"/>
                <w:szCs w:val="21"/>
              </w:rPr>
            </w:pPr>
            <w:r>
              <w:rPr>
                <w:rFonts w:ascii="宋体" w:hAnsi="宋体" w:cs="宋体" w:hint="eastAsia"/>
                <w:kern w:val="0"/>
                <w:szCs w:val="21"/>
              </w:rPr>
              <w:t>直销</w:t>
            </w:r>
          </w:p>
        </w:tc>
        <w:tc>
          <w:tcPr>
            <w:tcW w:w="701" w:type="pct"/>
            <w:vAlign w:val="center"/>
          </w:tcPr>
          <w:p>
            <w:pPr>
              <w:jc w:val="right"/>
            </w:pPr>
            <w:r>
              <w:t>124,534</w:t>
            </w:r>
          </w:p>
        </w:tc>
        <w:tc>
          <w:tcPr>
            <w:tcW w:w="745" w:type="pct"/>
            <w:vAlign w:val="center"/>
          </w:tcPr>
          <w:p>
            <w:pPr>
              <w:jc w:val="right"/>
            </w:pPr>
            <w:r>
              <w:t xml:space="preserve">76,336 </w:t>
            </w:r>
          </w:p>
        </w:tc>
        <w:tc>
          <w:tcPr>
            <w:tcW w:w="622" w:type="pct"/>
            <w:vAlign w:val="center"/>
          </w:tcPr>
          <w:p>
            <w:pPr>
              <w:jc w:val="right"/>
            </w:pPr>
            <w:r>
              <w:t xml:space="preserve">38.70 </w:t>
            </w:r>
          </w:p>
        </w:tc>
        <w:tc>
          <w:tcPr>
            <w:tcW w:w="622" w:type="pct"/>
            <w:vAlign w:val="center"/>
          </w:tcPr>
          <w:p>
            <w:pPr>
              <w:jc w:val="right"/>
            </w:pPr>
            <w:r>
              <w:t xml:space="preserve">-6.18 </w:t>
            </w:r>
          </w:p>
        </w:tc>
        <w:tc>
          <w:tcPr>
            <w:tcW w:w="622" w:type="pct"/>
            <w:vAlign w:val="center"/>
          </w:tcPr>
          <w:p>
            <w:pPr>
              <w:jc w:val="right"/>
            </w:pPr>
            <w:r>
              <w:t xml:space="preserve">2.43 </w:t>
            </w:r>
          </w:p>
        </w:tc>
        <w:tc>
          <w:tcPr>
            <w:tcW w:w="620" w:type="pct"/>
            <w:vAlign w:val="center"/>
          </w:tcPr>
          <w:p>
            <w:pPr>
              <w:jc w:val="right"/>
            </w:pPr>
            <w:r>
              <w:rPr>
                <w:rFonts w:hint="eastAsia"/>
              </w:rPr>
              <w:t>减少</w:t>
            </w:r>
            <w:r>
              <w:t>5.15个百分点</w:t>
            </w:r>
          </w:p>
        </w:tc>
      </w:tr>
    </w:tbl>
    <w:p>
      <w:pPr>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993728746"/>
        <w:placeholder>
          <w:docPart w:val="GBC22222222222222222222222222222"/>
        </w:placeholder>
      </w:sdtPr>
      <w:sdtContent>
        <w:p>
          <w:pPr>
            <w:ind w:firstLineChars="200" w:firstLine="420"/>
            <w:jc w:val="both"/>
            <w:rPr>
              <w:szCs w:val="21"/>
            </w:rPr>
          </w:pPr>
          <w:r>
            <w:rPr>
              <w:rFonts w:hint="eastAsia"/>
              <w:szCs w:val="21"/>
            </w:rPr>
            <w:t>上述各业务分部间销售详情请见按中国会计准则编制的财务报表附注“其他重要事项—分部信息”。</w:t>
          </w:r>
        </w:p>
      </w:sdtContent>
    </w:sdt>
    <w:bookmarkEnd w:id="67"/>
    <w:p>
      <w:pPr>
        <w:pStyle w:val="affffffd"/>
      </w:pPr>
      <w:r>
        <w:br w:type="page"/>
      </w:r>
    </w:p>
    <w:p>
      <w:pPr>
        <w:pStyle w:val="5"/>
        <w:numPr>
          <w:ilvl w:val="0"/>
          <w:numId w:val="20"/>
        </w:numPr>
        <w:tabs>
          <w:tab w:val="left" w:pos="567"/>
        </w:tabs>
        <w:ind w:leftChars="0"/>
      </w:pPr>
      <w:r>
        <w:rPr>
          <w:rFonts w:ascii="宋体" w:hAnsi="宋体" w:cs="宋体" w:hint="eastAsia"/>
          <w:kern w:val="0"/>
          <w:szCs w:val="24"/>
        </w:rPr>
        <w:lastRenderedPageBreak/>
        <w:t>产销量情况</w:t>
      </w:r>
      <w:r>
        <w:rPr>
          <w:rFonts w:ascii="宋体" w:hAnsi="宋体" w:cs="宋体"/>
          <w:kern w:val="0"/>
          <w:szCs w:val="24"/>
        </w:rPr>
        <w:t>分析表</w:t>
      </w:r>
    </w:p>
    <w:sdt>
      <w:sdtPr>
        <w:alias w:val="是否适用：产销量情况分析表[双击切换]"/>
        <w:tag w:val="_GBC_6ff51c492b3040799712ea51f78bdcc0"/>
        <w:id w:val="-1547986301"/>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7"/>
        <w:tblW w:w="5164" w:type="pct"/>
        <w:jc w:val="center"/>
        <w:tblLook w:val="04A0" w:firstRow="1" w:lastRow="0" w:firstColumn="1" w:lastColumn="0" w:noHBand="0" w:noVBand="1"/>
      </w:tblPr>
      <w:tblGrid>
        <w:gridCol w:w="1382"/>
        <w:gridCol w:w="1096"/>
        <w:gridCol w:w="1095"/>
        <w:gridCol w:w="1095"/>
        <w:gridCol w:w="1095"/>
        <w:gridCol w:w="1095"/>
        <w:gridCol w:w="1095"/>
        <w:gridCol w:w="1159"/>
      </w:tblGrid>
      <w:tr>
        <w:trPr>
          <w:jc w:val="center"/>
        </w:trPr>
        <w:sdt>
          <w:sdtPr>
            <w:tag w:val="_PLD_259e79e9293847dfb1bd7816b6ad48e6"/>
            <w:id w:val="24379665"/>
          </w:sdtPr>
          <w:sdtContent>
            <w:tc>
              <w:tcPr>
                <w:tcW w:w="758" w:type="pct"/>
                <w:vAlign w:val="center"/>
              </w:tcPr>
              <w:p>
                <w:pPr>
                  <w:jc w:val="center"/>
                  <w:rPr>
                    <w:szCs w:val="21"/>
                  </w:rPr>
                </w:pPr>
                <w:r>
                  <w:rPr>
                    <w:rFonts w:hint="eastAsia"/>
                    <w:szCs w:val="21"/>
                  </w:rPr>
                  <w:t>主要产品</w:t>
                </w:r>
              </w:p>
            </w:tc>
          </w:sdtContent>
        </w:sdt>
        <w:tc>
          <w:tcPr>
            <w:tcW w:w="601" w:type="pct"/>
            <w:vAlign w:val="center"/>
          </w:tcPr>
          <w:sdt>
            <w:sdtPr>
              <w:tag w:val="_PLD_6d13c84fd3694535a3f1b6bcdd58d107"/>
              <w:id w:val="1078563543"/>
            </w:sdtPr>
            <w:sdtContent>
              <w:p>
                <w:pPr>
                  <w:jc w:val="center"/>
                </w:pPr>
                <w:r>
                  <w:rPr>
                    <w:rFonts w:hint="eastAsia"/>
                  </w:rPr>
                  <w:t>单位</w:t>
                </w:r>
              </w:p>
            </w:sdtContent>
          </w:sdt>
        </w:tc>
        <w:sdt>
          <w:sdtPr>
            <w:tag w:val="_PLD_3645c9ae184248f6bd2dda9de0540406"/>
            <w:id w:val="-1688973723"/>
          </w:sdtPr>
          <w:sdtContent>
            <w:tc>
              <w:tcPr>
                <w:tcW w:w="601" w:type="pct"/>
                <w:vAlign w:val="center"/>
              </w:tcPr>
              <w:p>
                <w:pPr>
                  <w:jc w:val="center"/>
                  <w:rPr>
                    <w:szCs w:val="21"/>
                  </w:rPr>
                </w:pPr>
                <w:r>
                  <w:rPr>
                    <w:rFonts w:hint="eastAsia"/>
                    <w:szCs w:val="21"/>
                  </w:rPr>
                  <w:t>生产量</w:t>
                </w:r>
              </w:p>
            </w:tc>
          </w:sdtContent>
        </w:sdt>
        <w:sdt>
          <w:sdtPr>
            <w:tag w:val="_PLD_b4bd7da564c3452cb40ff15542829b7a"/>
            <w:id w:val="-627161340"/>
          </w:sdtPr>
          <w:sdtContent>
            <w:tc>
              <w:tcPr>
                <w:tcW w:w="601" w:type="pct"/>
                <w:vAlign w:val="center"/>
              </w:tcPr>
              <w:p>
                <w:pPr>
                  <w:jc w:val="center"/>
                  <w:rPr>
                    <w:szCs w:val="21"/>
                  </w:rPr>
                </w:pPr>
                <w:r>
                  <w:rPr>
                    <w:rFonts w:hint="eastAsia"/>
                    <w:szCs w:val="21"/>
                  </w:rPr>
                  <w:t>销售量</w:t>
                </w:r>
              </w:p>
            </w:tc>
          </w:sdtContent>
        </w:sdt>
        <w:sdt>
          <w:sdtPr>
            <w:tag w:val="_PLD_4f74a09ae16245a3a6e2c536c1266361"/>
            <w:id w:val="-1343851911"/>
          </w:sdtPr>
          <w:sdtContent>
            <w:tc>
              <w:tcPr>
                <w:tcW w:w="601" w:type="pct"/>
                <w:vAlign w:val="center"/>
              </w:tcPr>
              <w:p>
                <w:pPr>
                  <w:jc w:val="center"/>
                  <w:rPr>
                    <w:szCs w:val="21"/>
                  </w:rPr>
                </w:pPr>
                <w:r>
                  <w:rPr>
                    <w:rFonts w:hint="eastAsia"/>
                    <w:szCs w:val="21"/>
                  </w:rPr>
                  <w:t>库存量</w:t>
                </w:r>
              </w:p>
            </w:tc>
          </w:sdtContent>
        </w:sdt>
        <w:sdt>
          <w:sdtPr>
            <w:tag w:val="_PLD_21bd7a4d992742feb4b83db592f976fd"/>
            <w:id w:val="-301766835"/>
          </w:sdtPr>
          <w:sdtContent>
            <w:tc>
              <w:tcPr>
                <w:tcW w:w="601" w:type="pct"/>
                <w:vAlign w:val="center"/>
              </w:tcPr>
              <w:p>
                <w:pPr>
                  <w:jc w:val="center"/>
                  <w:rPr>
                    <w:szCs w:val="21"/>
                  </w:rPr>
                </w:pPr>
                <w:r>
                  <w:rPr>
                    <w:rFonts w:hint="eastAsia"/>
                    <w:szCs w:val="21"/>
                  </w:rPr>
                  <w:t>生产量比上年增减（%）</w:t>
                </w:r>
              </w:p>
            </w:tc>
          </w:sdtContent>
        </w:sdt>
        <w:sdt>
          <w:sdtPr>
            <w:tag w:val="_PLD_37e055a5474a4aac989b4e3a88756935"/>
            <w:id w:val="1097297055"/>
          </w:sdtPr>
          <w:sdtContent>
            <w:tc>
              <w:tcPr>
                <w:tcW w:w="601" w:type="pct"/>
                <w:vAlign w:val="center"/>
              </w:tcPr>
              <w:p>
                <w:pPr>
                  <w:jc w:val="center"/>
                  <w:rPr>
                    <w:szCs w:val="21"/>
                  </w:rPr>
                </w:pPr>
                <w:r>
                  <w:rPr>
                    <w:rFonts w:hint="eastAsia"/>
                    <w:szCs w:val="21"/>
                  </w:rPr>
                  <w:t>销售量比上年增减（%）</w:t>
                </w:r>
              </w:p>
            </w:tc>
          </w:sdtContent>
        </w:sdt>
        <w:sdt>
          <w:sdtPr>
            <w:tag w:val="_PLD_d03cdf85475e4722ae39e10ea525eee5"/>
            <w:id w:val="1521123097"/>
          </w:sdtPr>
          <w:sdtContent>
            <w:tc>
              <w:tcPr>
                <w:tcW w:w="636" w:type="pct"/>
                <w:vAlign w:val="center"/>
              </w:tcPr>
              <w:p>
                <w:pPr>
                  <w:jc w:val="center"/>
                  <w:rPr>
                    <w:szCs w:val="21"/>
                  </w:rPr>
                </w:pPr>
                <w:r>
                  <w:rPr>
                    <w:rFonts w:hint="eastAsia"/>
                    <w:szCs w:val="21"/>
                  </w:rPr>
                  <w:t>库存量比上年增减（%）</w:t>
                </w:r>
              </w:p>
            </w:tc>
          </w:sdtContent>
        </w:sdt>
      </w:tr>
      <w:tr>
        <w:trPr>
          <w:trHeight w:val="248"/>
          <w:jc w:val="center"/>
        </w:trPr>
        <w:tc>
          <w:tcPr>
            <w:tcW w:w="758" w:type="pct"/>
            <w:vAlign w:val="center"/>
          </w:tcPr>
          <w:p>
            <w:pPr>
              <w:pStyle w:val="affffffd"/>
            </w:pPr>
            <w:r>
              <w:rPr>
                <w:rFonts w:hint="eastAsia"/>
              </w:rPr>
              <w:t>自产商品煤</w:t>
            </w:r>
          </w:p>
        </w:tc>
        <w:tc>
          <w:tcPr>
            <w:tcW w:w="601" w:type="pct"/>
            <w:vAlign w:val="center"/>
          </w:tcPr>
          <w:p>
            <w:pPr>
              <w:jc w:val="center"/>
            </w:pPr>
            <w:r>
              <w:rPr>
                <w:rFonts w:hint="eastAsia"/>
              </w:rPr>
              <w:t>千吨</w:t>
            </w:r>
          </w:p>
        </w:tc>
        <w:tc>
          <w:tcPr>
            <w:tcW w:w="601" w:type="pct"/>
            <w:vAlign w:val="center"/>
          </w:tcPr>
          <w:p>
            <w:pPr>
              <w:jc w:val="right"/>
            </w:pPr>
            <w:r>
              <w:t xml:space="preserve">142,493 </w:t>
            </w:r>
          </w:p>
        </w:tc>
        <w:tc>
          <w:tcPr>
            <w:tcW w:w="601" w:type="pct"/>
            <w:vAlign w:val="center"/>
          </w:tcPr>
          <w:p>
            <w:pPr>
              <w:jc w:val="right"/>
            </w:pPr>
            <w:r>
              <w:t xml:space="preserve">129,762 </w:t>
            </w:r>
          </w:p>
        </w:tc>
        <w:tc>
          <w:tcPr>
            <w:tcW w:w="601" w:type="pct"/>
            <w:vAlign w:val="center"/>
          </w:tcPr>
          <w:p>
            <w:pPr>
              <w:jc w:val="right"/>
            </w:pPr>
            <w:r>
              <w:t xml:space="preserve">7,235 </w:t>
            </w:r>
          </w:p>
        </w:tc>
        <w:tc>
          <w:tcPr>
            <w:tcW w:w="601" w:type="pct"/>
            <w:vAlign w:val="center"/>
          </w:tcPr>
          <w:p>
            <w:pPr>
              <w:jc w:val="right"/>
            </w:pPr>
            <w:r>
              <w:t xml:space="preserve">7.86 </w:t>
            </w:r>
          </w:p>
        </w:tc>
        <w:tc>
          <w:tcPr>
            <w:tcW w:w="601" w:type="pct"/>
            <w:vAlign w:val="center"/>
          </w:tcPr>
          <w:p>
            <w:pPr>
              <w:jc w:val="right"/>
            </w:pPr>
            <w:r>
              <w:t xml:space="preserve">7.26 </w:t>
            </w:r>
          </w:p>
        </w:tc>
        <w:tc>
          <w:tcPr>
            <w:tcW w:w="636" w:type="pct"/>
            <w:vAlign w:val="center"/>
          </w:tcPr>
          <w:p>
            <w:pPr>
              <w:jc w:val="right"/>
            </w:pPr>
            <w:r>
              <w:t xml:space="preserve">13.17 </w:t>
            </w:r>
          </w:p>
        </w:tc>
      </w:tr>
      <w:tr>
        <w:trPr>
          <w:trHeight w:val="248"/>
          <w:jc w:val="center"/>
        </w:trPr>
        <w:tc>
          <w:tcPr>
            <w:tcW w:w="758" w:type="pct"/>
            <w:vAlign w:val="center"/>
          </w:tcPr>
          <w:p>
            <w:pPr>
              <w:pStyle w:val="affffffd"/>
            </w:pPr>
            <w:r>
              <w:rPr>
                <w:rFonts w:hint="eastAsia"/>
              </w:rPr>
              <w:t>甲醇</w:t>
            </w:r>
          </w:p>
        </w:tc>
        <w:tc>
          <w:tcPr>
            <w:tcW w:w="601" w:type="pct"/>
            <w:vAlign w:val="center"/>
          </w:tcPr>
          <w:p>
            <w:pPr>
              <w:jc w:val="center"/>
            </w:pPr>
            <w:r>
              <w:rPr>
                <w:rFonts w:hint="eastAsia"/>
              </w:rPr>
              <w:t>千吨</w:t>
            </w:r>
          </w:p>
        </w:tc>
        <w:tc>
          <w:tcPr>
            <w:tcW w:w="601" w:type="pct"/>
            <w:vAlign w:val="center"/>
          </w:tcPr>
          <w:p>
            <w:pPr>
              <w:jc w:val="right"/>
            </w:pPr>
            <w:r>
              <w:t xml:space="preserve">4,105 </w:t>
            </w:r>
          </w:p>
        </w:tc>
        <w:tc>
          <w:tcPr>
            <w:tcW w:w="601" w:type="pct"/>
            <w:vAlign w:val="center"/>
          </w:tcPr>
          <w:p>
            <w:pPr>
              <w:jc w:val="right"/>
            </w:pPr>
            <w:r>
              <w:t xml:space="preserve">3,938 </w:t>
            </w:r>
          </w:p>
        </w:tc>
        <w:tc>
          <w:tcPr>
            <w:tcW w:w="601" w:type="pct"/>
            <w:vAlign w:val="center"/>
          </w:tcPr>
          <w:p>
            <w:pPr>
              <w:jc w:val="right"/>
            </w:pPr>
            <w:r>
              <w:t xml:space="preserve">58 </w:t>
            </w:r>
          </w:p>
        </w:tc>
        <w:tc>
          <w:tcPr>
            <w:tcW w:w="601" w:type="pct"/>
            <w:vAlign w:val="center"/>
          </w:tcPr>
          <w:p>
            <w:pPr>
              <w:jc w:val="right"/>
            </w:pPr>
            <w:r>
              <w:t xml:space="preserve">2.22 </w:t>
            </w:r>
          </w:p>
        </w:tc>
        <w:tc>
          <w:tcPr>
            <w:tcW w:w="601" w:type="pct"/>
            <w:vAlign w:val="center"/>
          </w:tcPr>
          <w:p>
            <w:pPr>
              <w:jc w:val="right"/>
            </w:pPr>
            <w:r>
              <w:t xml:space="preserve">-0.42 </w:t>
            </w:r>
          </w:p>
        </w:tc>
        <w:tc>
          <w:tcPr>
            <w:tcW w:w="636" w:type="pct"/>
            <w:vAlign w:val="center"/>
          </w:tcPr>
          <w:p>
            <w:pPr>
              <w:jc w:val="right"/>
            </w:pPr>
            <w:r>
              <w:t xml:space="preserve">-12.29 </w:t>
            </w:r>
          </w:p>
        </w:tc>
      </w:tr>
      <w:tr>
        <w:trPr>
          <w:trHeight w:val="248"/>
          <w:jc w:val="center"/>
        </w:trPr>
        <w:tc>
          <w:tcPr>
            <w:tcW w:w="758" w:type="pct"/>
            <w:vAlign w:val="center"/>
          </w:tcPr>
          <w:p>
            <w:pPr>
              <w:pStyle w:val="affffffd"/>
            </w:pPr>
            <w:r>
              <w:rPr>
                <w:rFonts w:hint="eastAsia"/>
              </w:rPr>
              <w:t>乙二醇</w:t>
            </w:r>
          </w:p>
        </w:tc>
        <w:tc>
          <w:tcPr>
            <w:tcW w:w="601" w:type="pct"/>
            <w:vAlign w:val="center"/>
          </w:tcPr>
          <w:p>
            <w:pPr>
              <w:jc w:val="center"/>
            </w:pPr>
            <w:r>
              <w:rPr>
                <w:rFonts w:hint="eastAsia"/>
              </w:rPr>
              <w:t>千吨</w:t>
            </w:r>
          </w:p>
        </w:tc>
        <w:tc>
          <w:tcPr>
            <w:tcW w:w="601" w:type="pct"/>
            <w:vAlign w:val="center"/>
          </w:tcPr>
          <w:p>
            <w:pPr>
              <w:jc w:val="right"/>
            </w:pPr>
            <w:r>
              <w:t xml:space="preserve">401 </w:t>
            </w:r>
          </w:p>
        </w:tc>
        <w:tc>
          <w:tcPr>
            <w:tcW w:w="601" w:type="pct"/>
            <w:vAlign w:val="center"/>
          </w:tcPr>
          <w:p>
            <w:pPr>
              <w:jc w:val="right"/>
            </w:pPr>
            <w:r>
              <w:t xml:space="preserve">394 </w:t>
            </w:r>
          </w:p>
        </w:tc>
        <w:tc>
          <w:tcPr>
            <w:tcW w:w="601" w:type="pct"/>
            <w:vAlign w:val="center"/>
          </w:tcPr>
          <w:p>
            <w:pPr>
              <w:jc w:val="right"/>
            </w:pPr>
            <w:r>
              <w:t xml:space="preserve">25 </w:t>
            </w:r>
          </w:p>
        </w:tc>
        <w:tc>
          <w:tcPr>
            <w:tcW w:w="601" w:type="pct"/>
            <w:vAlign w:val="center"/>
          </w:tcPr>
          <w:p>
            <w:pPr>
              <w:jc w:val="right"/>
            </w:pPr>
            <w:r>
              <w:t xml:space="preserve">11.37 </w:t>
            </w:r>
          </w:p>
        </w:tc>
        <w:tc>
          <w:tcPr>
            <w:tcW w:w="601" w:type="pct"/>
            <w:vAlign w:val="center"/>
          </w:tcPr>
          <w:p>
            <w:pPr>
              <w:jc w:val="right"/>
            </w:pPr>
            <w:r>
              <w:t xml:space="preserve">0.72 </w:t>
            </w:r>
          </w:p>
        </w:tc>
        <w:tc>
          <w:tcPr>
            <w:tcW w:w="636" w:type="pct"/>
            <w:vAlign w:val="center"/>
          </w:tcPr>
          <w:p>
            <w:pPr>
              <w:jc w:val="right"/>
            </w:pPr>
            <w:r>
              <w:t xml:space="preserve">41.73 </w:t>
            </w:r>
          </w:p>
        </w:tc>
      </w:tr>
      <w:tr>
        <w:trPr>
          <w:trHeight w:val="248"/>
          <w:jc w:val="center"/>
        </w:trPr>
        <w:tc>
          <w:tcPr>
            <w:tcW w:w="758" w:type="pct"/>
            <w:vAlign w:val="center"/>
          </w:tcPr>
          <w:p>
            <w:pPr>
              <w:pStyle w:val="affffffd"/>
            </w:pPr>
            <w:r>
              <w:rPr>
                <w:rFonts w:hint="eastAsia"/>
              </w:rPr>
              <w:t>醋酸</w:t>
            </w:r>
          </w:p>
        </w:tc>
        <w:tc>
          <w:tcPr>
            <w:tcW w:w="601" w:type="pct"/>
            <w:vAlign w:val="center"/>
          </w:tcPr>
          <w:p>
            <w:pPr>
              <w:jc w:val="center"/>
            </w:pPr>
            <w:r>
              <w:rPr>
                <w:rFonts w:hint="eastAsia"/>
              </w:rPr>
              <w:t>千吨</w:t>
            </w:r>
          </w:p>
        </w:tc>
        <w:tc>
          <w:tcPr>
            <w:tcW w:w="601" w:type="pct"/>
            <w:vAlign w:val="center"/>
          </w:tcPr>
          <w:p>
            <w:pPr>
              <w:jc w:val="right"/>
            </w:pPr>
            <w:r>
              <w:t xml:space="preserve">1,040 </w:t>
            </w:r>
          </w:p>
        </w:tc>
        <w:tc>
          <w:tcPr>
            <w:tcW w:w="601" w:type="pct"/>
            <w:vAlign w:val="center"/>
          </w:tcPr>
          <w:p>
            <w:pPr>
              <w:jc w:val="right"/>
            </w:pPr>
            <w:r>
              <w:t xml:space="preserve">743 </w:t>
            </w:r>
          </w:p>
        </w:tc>
        <w:tc>
          <w:tcPr>
            <w:tcW w:w="601" w:type="pct"/>
            <w:vAlign w:val="center"/>
          </w:tcPr>
          <w:p>
            <w:pPr>
              <w:jc w:val="right"/>
            </w:pPr>
            <w:r>
              <w:t xml:space="preserve">4 </w:t>
            </w:r>
          </w:p>
        </w:tc>
        <w:tc>
          <w:tcPr>
            <w:tcW w:w="601" w:type="pct"/>
            <w:vAlign w:val="center"/>
          </w:tcPr>
          <w:p>
            <w:pPr>
              <w:jc w:val="right"/>
            </w:pPr>
            <w:r>
              <w:t xml:space="preserve">-8.69 </w:t>
            </w:r>
          </w:p>
        </w:tc>
        <w:tc>
          <w:tcPr>
            <w:tcW w:w="601" w:type="pct"/>
            <w:vAlign w:val="center"/>
          </w:tcPr>
          <w:p>
            <w:pPr>
              <w:jc w:val="right"/>
            </w:pPr>
            <w:r>
              <w:t xml:space="preserve">0.62 </w:t>
            </w:r>
          </w:p>
        </w:tc>
        <w:tc>
          <w:tcPr>
            <w:tcW w:w="636" w:type="pct"/>
            <w:vAlign w:val="center"/>
          </w:tcPr>
          <w:p>
            <w:pPr>
              <w:jc w:val="right"/>
            </w:pPr>
            <w:r>
              <w:t xml:space="preserve">-19.50 </w:t>
            </w:r>
          </w:p>
        </w:tc>
      </w:tr>
      <w:tr>
        <w:trPr>
          <w:trHeight w:val="248"/>
          <w:jc w:val="center"/>
        </w:trPr>
        <w:tc>
          <w:tcPr>
            <w:tcW w:w="758" w:type="pct"/>
            <w:vAlign w:val="center"/>
          </w:tcPr>
          <w:p>
            <w:pPr>
              <w:pStyle w:val="affffffd"/>
            </w:pPr>
            <w:r>
              <w:rPr>
                <w:rFonts w:hint="eastAsia"/>
              </w:rPr>
              <w:t>醋酸乙酯</w:t>
            </w:r>
          </w:p>
        </w:tc>
        <w:tc>
          <w:tcPr>
            <w:tcW w:w="601" w:type="pct"/>
            <w:vAlign w:val="center"/>
          </w:tcPr>
          <w:p>
            <w:pPr>
              <w:jc w:val="center"/>
            </w:pPr>
            <w:r>
              <w:rPr>
                <w:rFonts w:hint="eastAsia"/>
              </w:rPr>
              <w:t>千吨</w:t>
            </w:r>
          </w:p>
        </w:tc>
        <w:tc>
          <w:tcPr>
            <w:tcW w:w="601" w:type="pct"/>
            <w:vAlign w:val="center"/>
          </w:tcPr>
          <w:p>
            <w:pPr>
              <w:jc w:val="right"/>
            </w:pPr>
            <w:r>
              <w:t xml:space="preserve">285 </w:t>
            </w:r>
          </w:p>
        </w:tc>
        <w:tc>
          <w:tcPr>
            <w:tcW w:w="601" w:type="pct"/>
            <w:vAlign w:val="center"/>
          </w:tcPr>
          <w:p>
            <w:pPr>
              <w:jc w:val="right"/>
            </w:pPr>
            <w:r>
              <w:t xml:space="preserve">284 </w:t>
            </w:r>
          </w:p>
        </w:tc>
        <w:tc>
          <w:tcPr>
            <w:tcW w:w="601" w:type="pct"/>
            <w:vAlign w:val="center"/>
          </w:tcPr>
          <w:p>
            <w:pPr>
              <w:jc w:val="right"/>
            </w:pPr>
            <w:r>
              <w:t xml:space="preserve">5 </w:t>
            </w:r>
          </w:p>
        </w:tc>
        <w:tc>
          <w:tcPr>
            <w:tcW w:w="601" w:type="pct"/>
            <w:vAlign w:val="center"/>
          </w:tcPr>
          <w:p>
            <w:pPr>
              <w:jc w:val="right"/>
            </w:pPr>
            <w:r>
              <w:t xml:space="preserve">-32.78 </w:t>
            </w:r>
          </w:p>
        </w:tc>
        <w:tc>
          <w:tcPr>
            <w:tcW w:w="601" w:type="pct"/>
            <w:vAlign w:val="center"/>
          </w:tcPr>
          <w:p>
            <w:pPr>
              <w:jc w:val="right"/>
            </w:pPr>
            <w:r>
              <w:t xml:space="preserve">-33.34 </w:t>
            </w:r>
          </w:p>
        </w:tc>
        <w:tc>
          <w:tcPr>
            <w:tcW w:w="636" w:type="pct"/>
            <w:vAlign w:val="center"/>
          </w:tcPr>
          <w:p>
            <w:pPr>
              <w:jc w:val="right"/>
            </w:pPr>
            <w:r>
              <w:t xml:space="preserve">11.39 </w:t>
            </w:r>
          </w:p>
        </w:tc>
      </w:tr>
      <w:tr>
        <w:trPr>
          <w:trHeight w:val="248"/>
          <w:jc w:val="center"/>
        </w:trPr>
        <w:tc>
          <w:tcPr>
            <w:tcW w:w="758" w:type="pct"/>
            <w:vAlign w:val="center"/>
          </w:tcPr>
          <w:p>
            <w:pPr>
              <w:pStyle w:val="affffffd"/>
            </w:pPr>
            <w:r>
              <w:rPr>
                <w:rFonts w:hint="eastAsia"/>
              </w:rPr>
              <w:t>聚甲醛</w:t>
            </w:r>
          </w:p>
        </w:tc>
        <w:tc>
          <w:tcPr>
            <w:tcW w:w="601" w:type="pct"/>
            <w:vAlign w:val="center"/>
          </w:tcPr>
          <w:p>
            <w:pPr>
              <w:jc w:val="center"/>
            </w:pPr>
            <w:r>
              <w:rPr>
                <w:rFonts w:hint="eastAsia"/>
              </w:rPr>
              <w:t>千吨</w:t>
            </w:r>
          </w:p>
        </w:tc>
        <w:tc>
          <w:tcPr>
            <w:tcW w:w="601" w:type="pct"/>
            <w:vAlign w:val="center"/>
          </w:tcPr>
          <w:p>
            <w:pPr>
              <w:jc w:val="right"/>
            </w:pPr>
            <w:r>
              <w:t xml:space="preserve">65 </w:t>
            </w:r>
          </w:p>
        </w:tc>
        <w:tc>
          <w:tcPr>
            <w:tcW w:w="601" w:type="pct"/>
            <w:vAlign w:val="center"/>
          </w:tcPr>
          <w:p>
            <w:pPr>
              <w:jc w:val="right"/>
            </w:pPr>
            <w:r>
              <w:t xml:space="preserve">65 </w:t>
            </w:r>
          </w:p>
        </w:tc>
        <w:tc>
          <w:tcPr>
            <w:tcW w:w="601" w:type="pct"/>
            <w:vAlign w:val="center"/>
          </w:tcPr>
          <w:p>
            <w:pPr>
              <w:jc w:val="right"/>
            </w:pPr>
            <w:r>
              <w:t xml:space="preserve">1 </w:t>
            </w:r>
          </w:p>
        </w:tc>
        <w:tc>
          <w:tcPr>
            <w:tcW w:w="601" w:type="pct"/>
            <w:vAlign w:val="center"/>
          </w:tcPr>
          <w:p>
            <w:pPr>
              <w:jc w:val="right"/>
            </w:pPr>
            <w:r>
              <w:t xml:space="preserve">-11.92 </w:t>
            </w:r>
          </w:p>
        </w:tc>
        <w:tc>
          <w:tcPr>
            <w:tcW w:w="601" w:type="pct"/>
            <w:vAlign w:val="center"/>
          </w:tcPr>
          <w:p>
            <w:pPr>
              <w:jc w:val="right"/>
            </w:pPr>
            <w:r>
              <w:t xml:space="preserve">-12.16 </w:t>
            </w:r>
          </w:p>
        </w:tc>
        <w:tc>
          <w:tcPr>
            <w:tcW w:w="636" w:type="pct"/>
            <w:vAlign w:val="center"/>
          </w:tcPr>
          <w:p>
            <w:pPr>
              <w:jc w:val="right"/>
            </w:pPr>
            <w:r>
              <w:t xml:space="preserve">11.82 </w:t>
            </w:r>
          </w:p>
        </w:tc>
      </w:tr>
      <w:tr>
        <w:trPr>
          <w:trHeight w:val="248"/>
          <w:jc w:val="center"/>
        </w:trPr>
        <w:tc>
          <w:tcPr>
            <w:tcW w:w="758" w:type="pct"/>
            <w:vAlign w:val="center"/>
          </w:tcPr>
          <w:p>
            <w:pPr>
              <w:pStyle w:val="affffffd"/>
            </w:pPr>
            <w:r>
              <w:rPr>
                <w:rFonts w:hint="eastAsia"/>
              </w:rPr>
              <w:t>己内酰胺</w:t>
            </w:r>
          </w:p>
        </w:tc>
        <w:tc>
          <w:tcPr>
            <w:tcW w:w="601" w:type="pct"/>
            <w:vAlign w:val="center"/>
          </w:tcPr>
          <w:p>
            <w:pPr>
              <w:jc w:val="center"/>
            </w:pPr>
            <w:r>
              <w:rPr>
                <w:rFonts w:hint="eastAsia"/>
              </w:rPr>
              <w:t>千吨</w:t>
            </w:r>
          </w:p>
        </w:tc>
        <w:tc>
          <w:tcPr>
            <w:tcW w:w="601" w:type="pct"/>
            <w:vAlign w:val="center"/>
          </w:tcPr>
          <w:p>
            <w:pPr>
              <w:jc w:val="right"/>
            </w:pPr>
            <w:r>
              <w:t xml:space="preserve">337 </w:t>
            </w:r>
          </w:p>
        </w:tc>
        <w:tc>
          <w:tcPr>
            <w:tcW w:w="601" w:type="pct"/>
            <w:vAlign w:val="center"/>
          </w:tcPr>
          <w:p>
            <w:pPr>
              <w:jc w:val="right"/>
            </w:pPr>
            <w:r>
              <w:t xml:space="preserve">336 </w:t>
            </w:r>
          </w:p>
        </w:tc>
        <w:tc>
          <w:tcPr>
            <w:tcW w:w="601" w:type="pct"/>
            <w:vAlign w:val="center"/>
          </w:tcPr>
          <w:p>
            <w:pPr>
              <w:jc w:val="right"/>
            </w:pPr>
            <w:r>
              <w:t xml:space="preserve">5 </w:t>
            </w:r>
          </w:p>
        </w:tc>
        <w:tc>
          <w:tcPr>
            <w:tcW w:w="601" w:type="pct"/>
            <w:vAlign w:val="center"/>
          </w:tcPr>
          <w:p>
            <w:pPr>
              <w:jc w:val="right"/>
            </w:pPr>
            <w:r>
              <w:t xml:space="preserve">13.41 </w:t>
            </w:r>
          </w:p>
        </w:tc>
        <w:tc>
          <w:tcPr>
            <w:tcW w:w="601" w:type="pct"/>
            <w:vAlign w:val="center"/>
          </w:tcPr>
          <w:p>
            <w:pPr>
              <w:jc w:val="right"/>
            </w:pPr>
            <w:r>
              <w:t xml:space="preserve">13.12 </w:t>
            </w:r>
          </w:p>
        </w:tc>
        <w:tc>
          <w:tcPr>
            <w:tcW w:w="636" w:type="pct"/>
            <w:vAlign w:val="center"/>
          </w:tcPr>
          <w:p>
            <w:pPr>
              <w:jc w:val="right"/>
            </w:pPr>
            <w:r>
              <w:t xml:space="preserve">178.38 </w:t>
            </w:r>
          </w:p>
        </w:tc>
      </w:tr>
      <w:tr>
        <w:trPr>
          <w:trHeight w:val="248"/>
          <w:jc w:val="center"/>
        </w:trPr>
        <w:tc>
          <w:tcPr>
            <w:tcW w:w="758" w:type="pct"/>
            <w:vAlign w:val="center"/>
          </w:tcPr>
          <w:p>
            <w:pPr>
              <w:pStyle w:val="affffffd"/>
            </w:pPr>
            <w:r>
              <w:rPr>
                <w:rFonts w:hint="eastAsia"/>
              </w:rPr>
              <w:t>粗液体蜡</w:t>
            </w:r>
          </w:p>
        </w:tc>
        <w:tc>
          <w:tcPr>
            <w:tcW w:w="601" w:type="pct"/>
            <w:vAlign w:val="center"/>
          </w:tcPr>
          <w:p>
            <w:pPr>
              <w:jc w:val="center"/>
            </w:pPr>
            <w:r>
              <w:rPr>
                <w:rFonts w:hint="eastAsia"/>
              </w:rPr>
              <w:t>千吨</w:t>
            </w:r>
          </w:p>
        </w:tc>
        <w:tc>
          <w:tcPr>
            <w:tcW w:w="601" w:type="pct"/>
            <w:vAlign w:val="center"/>
          </w:tcPr>
          <w:p>
            <w:pPr>
              <w:jc w:val="right"/>
            </w:pPr>
            <w:r>
              <w:t xml:space="preserve">288 </w:t>
            </w:r>
          </w:p>
        </w:tc>
        <w:tc>
          <w:tcPr>
            <w:tcW w:w="601" w:type="pct"/>
            <w:vAlign w:val="center"/>
          </w:tcPr>
          <w:p>
            <w:pPr>
              <w:jc w:val="right"/>
            </w:pPr>
            <w:r>
              <w:t xml:space="preserve">300 </w:t>
            </w:r>
          </w:p>
        </w:tc>
        <w:tc>
          <w:tcPr>
            <w:tcW w:w="601" w:type="pct"/>
            <w:vAlign w:val="center"/>
          </w:tcPr>
          <w:p>
            <w:pPr>
              <w:jc w:val="right"/>
            </w:pPr>
            <w:r>
              <w:rPr>
                <w:rFonts w:hint="eastAsia"/>
              </w:rPr>
              <w:t>-</w:t>
            </w:r>
          </w:p>
        </w:tc>
        <w:tc>
          <w:tcPr>
            <w:tcW w:w="601" w:type="pct"/>
            <w:vAlign w:val="center"/>
          </w:tcPr>
          <w:p>
            <w:pPr>
              <w:jc w:val="right"/>
            </w:pPr>
            <w:r>
              <w:t xml:space="preserve">77.72 </w:t>
            </w:r>
          </w:p>
        </w:tc>
        <w:tc>
          <w:tcPr>
            <w:tcW w:w="601" w:type="pct"/>
            <w:vAlign w:val="center"/>
          </w:tcPr>
          <w:p>
            <w:pPr>
              <w:jc w:val="right"/>
            </w:pPr>
            <w:r>
              <w:t xml:space="preserve">105.72 </w:t>
            </w:r>
          </w:p>
        </w:tc>
        <w:tc>
          <w:tcPr>
            <w:tcW w:w="636" w:type="pct"/>
            <w:vAlign w:val="center"/>
          </w:tcPr>
          <w:p>
            <w:pPr>
              <w:jc w:val="right"/>
            </w:pPr>
            <w:r>
              <w:t xml:space="preserve">-100.00 </w:t>
            </w:r>
          </w:p>
        </w:tc>
      </w:tr>
      <w:tr>
        <w:trPr>
          <w:trHeight w:val="248"/>
          <w:jc w:val="center"/>
        </w:trPr>
        <w:tc>
          <w:tcPr>
            <w:tcW w:w="758" w:type="pct"/>
            <w:vAlign w:val="center"/>
          </w:tcPr>
          <w:p>
            <w:pPr>
              <w:pStyle w:val="affffffd"/>
            </w:pPr>
            <w:r>
              <w:t xml:space="preserve">全馏分液体石蜡 </w:t>
            </w:r>
          </w:p>
        </w:tc>
        <w:tc>
          <w:tcPr>
            <w:tcW w:w="601" w:type="pct"/>
            <w:vAlign w:val="center"/>
          </w:tcPr>
          <w:p>
            <w:pPr>
              <w:jc w:val="center"/>
            </w:pPr>
            <w:r>
              <w:rPr>
                <w:rFonts w:hint="eastAsia"/>
              </w:rPr>
              <w:t>千吨</w:t>
            </w:r>
          </w:p>
        </w:tc>
        <w:tc>
          <w:tcPr>
            <w:tcW w:w="601" w:type="pct"/>
            <w:vAlign w:val="center"/>
          </w:tcPr>
          <w:p>
            <w:pPr>
              <w:jc w:val="right"/>
            </w:pPr>
            <w:r>
              <w:t xml:space="preserve">116 </w:t>
            </w:r>
          </w:p>
        </w:tc>
        <w:tc>
          <w:tcPr>
            <w:tcW w:w="601" w:type="pct"/>
            <w:vAlign w:val="center"/>
          </w:tcPr>
          <w:p>
            <w:pPr>
              <w:jc w:val="right"/>
            </w:pPr>
            <w:r>
              <w:t xml:space="preserve">111 </w:t>
            </w:r>
          </w:p>
        </w:tc>
        <w:tc>
          <w:tcPr>
            <w:tcW w:w="601" w:type="pct"/>
            <w:vAlign w:val="center"/>
          </w:tcPr>
          <w:p>
            <w:pPr>
              <w:jc w:val="right"/>
            </w:pPr>
            <w:r>
              <w:t xml:space="preserve">5 </w:t>
            </w:r>
          </w:p>
        </w:tc>
        <w:tc>
          <w:tcPr>
            <w:tcW w:w="601" w:type="pct"/>
            <w:vAlign w:val="center"/>
          </w:tcPr>
          <w:p>
            <w:pPr>
              <w:jc w:val="right"/>
            </w:pPr>
            <w:r>
              <w:t>-</w:t>
            </w:r>
          </w:p>
        </w:tc>
        <w:tc>
          <w:tcPr>
            <w:tcW w:w="601" w:type="pct"/>
            <w:vAlign w:val="center"/>
          </w:tcPr>
          <w:p>
            <w:pPr>
              <w:jc w:val="right"/>
            </w:pPr>
            <w:r>
              <w:t>-</w:t>
            </w:r>
          </w:p>
        </w:tc>
        <w:tc>
          <w:tcPr>
            <w:tcW w:w="636" w:type="pct"/>
            <w:vAlign w:val="center"/>
          </w:tcPr>
          <w:p>
            <w:pPr>
              <w:jc w:val="right"/>
            </w:pPr>
            <w:r>
              <w:t>-</w:t>
            </w:r>
          </w:p>
        </w:tc>
      </w:tr>
      <w:tr>
        <w:trPr>
          <w:trHeight w:val="248"/>
          <w:jc w:val="center"/>
        </w:trPr>
        <w:tc>
          <w:tcPr>
            <w:tcW w:w="758" w:type="pct"/>
            <w:vAlign w:val="center"/>
          </w:tcPr>
          <w:p>
            <w:pPr>
              <w:pStyle w:val="affffffd"/>
            </w:pPr>
            <w:r>
              <w:rPr>
                <w:rFonts w:hint="eastAsia"/>
              </w:rPr>
              <w:t>石脑油</w:t>
            </w:r>
          </w:p>
        </w:tc>
        <w:tc>
          <w:tcPr>
            <w:tcW w:w="601" w:type="pct"/>
            <w:vAlign w:val="center"/>
          </w:tcPr>
          <w:p>
            <w:pPr>
              <w:jc w:val="center"/>
            </w:pPr>
            <w:r>
              <w:rPr>
                <w:rFonts w:hint="eastAsia"/>
              </w:rPr>
              <w:t>千吨</w:t>
            </w:r>
          </w:p>
        </w:tc>
        <w:tc>
          <w:tcPr>
            <w:tcW w:w="601" w:type="pct"/>
            <w:vAlign w:val="center"/>
          </w:tcPr>
          <w:p>
            <w:pPr>
              <w:jc w:val="right"/>
            </w:pPr>
            <w:r>
              <w:t xml:space="preserve">233 </w:t>
            </w:r>
          </w:p>
        </w:tc>
        <w:tc>
          <w:tcPr>
            <w:tcW w:w="601" w:type="pct"/>
            <w:vAlign w:val="center"/>
          </w:tcPr>
          <w:p>
            <w:pPr>
              <w:jc w:val="right"/>
            </w:pPr>
            <w:r>
              <w:t xml:space="preserve">235 </w:t>
            </w:r>
          </w:p>
        </w:tc>
        <w:tc>
          <w:tcPr>
            <w:tcW w:w="601" w:type="pct"/>
            <w:vAlign w:val="center"/>
          </w:tcPr>
          <w:p>
            <w:pPr>
              <w:jc w:val="right"/>
            </w:pPr>
            <w:r>
              <w:t xml:space="preserve">3 </w:t>
            </w:r>
          </w:p>
        </w:tc>
        <w:tc>
          <w:tcPr>
            <w:tcW w:w="601" w:type="pct"/>
            <w:vAlign w:val="center"/>
          </w:tcPr>
          <w:p>
            <w:pPr>
              <w:jc w:val="right"/>
            </w:pPr>
            <w:r>
              <w:t xml:space="preserve">-8.74 </w:t>
            </w:r>
          </w:p>
        </w:tc>
        <w:tc>
          <w:tcPr>
            <w:tcW w:w="601" w:type="pct"/>
            <w:vAlign w:val="center"/>
          </w:tcPr>
          <w:p>
            <w:pPr>
              <w:jc w:val="right"/>
            </w:pPr>
            <w:r>
              <w:t xml:space="preserve">-7.48 </w:t>
            </w:r>
          </w:p>
        </w:tc>
        <w:tc>
          <w:tcPr>
            <w:tcW w:w="636" w:type="pct"/>
            <w:vAlign w:val="center"/>
          </w:tcPr>
          <w:p>
            <w:pPr>
              <w:jc w:val="right"/>
            </w:pPr>
            <w:r>
              <w:t xml:space="preserve">-32.52 </w:t>
            </w:r>
          </w:p>
        </w:tc>
      </w:tr>
      <w:tr>
        <w:trPr>
          <w:trHeight w:val="248"/>
          <w:jc w:val="center"/>
        </w:trPr>
        <w:tc>
          <w:tcPr>
            <w:tcW w:w="758" w:type="pct"/>
            <w:vAlign w:val="center"/>
          </w:tcPr>
          <w:p>
            <w:pPr>
              <w:pStyle w:val="affffffd"/>
            </w:pPr>
            <w:r>
              <w:rPr>
                <w:rFonts w:hint="eastAsia"/>
              </w:rPr>
              <w:t>尿素</w:t>
            </w:r>
          </w:p>
        </w:tc>
        <w:tc>
          <w:tcPr>
            <w:tcW w:w="601" w:type="pct"/>
            <w:vAlign w:val="center"/>
          </w:tcPr>
          <w:p>
            <w:pPr>
              <w:jc w:val="center"/>
            </w:pPr>
            <w:r>
              <w:rPr>
                <w:rFonts w:hint="eastAsia"/>
              </w:rPr>
              <w:t>千吨</w:t>
            </w:r>
          </w:p>
        </w:tc>
        <w:tc>
          <w:tcPr>
            <w:tcW w:w="601" w:type="pct"/>
            <w:vAlign w:val="center"/>
          </w:tcPr>
          <w:p>
            <w:pPr>
              <w:jc w:val="right"/>
            </w:pPr>
            <w:r>
              <w:t xml:space="preserve">716 </w:t>
            </w:r>
          </w:p>
        </w:tc>
        <w:tc>
          <w:tcPr>
            <w:tcW w:w="601" w:type="pct"/>
            <w:vAlign w:val="center"/>
          </w:tcPr>
          <w:p>
            <w:pPr>
              <w:jc w:val="right"/>
            </w:pPr>
            <w:r>
              <w:t xml:space="preserve">664 </w:t>
            </w:r>
          </w:p>
        </w:tc>
        <w:tc>
          <w:tcPr>
            <w:tcW w:w="601" w:type="pct"/>
            <w:vAlign w:val="center"/>
          </w:tcPr>
          <w:p>
            <w:pPr>
              <w:jc w:val="right"/>
            </w:pPr>
            <w:r>
              <w:t xml:space="preserve">22 </w:t>
            </w:r>
          </w:p>
        </w:tc>
        <w:tc>
          <w:tcPr>
            <w:tcW w:w="601" w:type="pct"/>
            <w:vAlign w:val="center"/>
          </w:tcPr>
          <w:p>
            <w:pPr>
              <w:jc w:val="right"/>
            </w:pPr>
            <w:r>
              <w:t xml:space="preserve">21.05 </w:t>
            </w:r>
          </w:p>
        </w:tc>
        <w:tc>
          <w:tcPr>
            <w:tcW w:w="601" w:type="pct"/>
            <w:vAlign w:val="center"/>
          </w:tcPr>
          <w:p>
            <w:pPr>
              <w:jc w:val="right"/>
            </w:pPr>
            <w:r>
              <w:t xml:space="preserve">7.91 </w:t>
            </w:r>
          </w:p>
        </w:tc>
        <w:tc>
          <w:tcPr>
            <w:tcW w:w="636" w:type="pct"/>
            <w:vAlign w:val="center"/>
          </w:tcPr>
          <w:p>
            <w:pPr>
              <w:jc w:val="right"/>
            </w:pPr>
            <w:r>
              <w:t xml:space="preserve">3,249.90 </w:t>
            </w:r>
          </w:p>
        </w:tc>
      </w:tr>
    </w:tbl>
    <w:p>
      <w:pPr>
        <w:rPr>
          <w:szCs w:val="21"/>
        </w:rPr>
      </w:pPr>
    </w:p>
    <w:p>
      <w:pPr>
        <w:rPr>
          <w:szCs w:val="21"/>
        </w:rPr>
      </w:pPr>
      <w:r>
        <w:rPr>
          <w:rFonts w:hint="eastAsia"/>
          <w:szCs w:val="21"/>
        </w:rPr>
        <w:t>产销量情况说明</w:t>
      </w:r>
    </w:p>
    <w:sdt>
      <w:sdtPr>
        <w:rPr>
          <w:rFonts w:hint="eastAsia"/>
          <w:szCs w:val="21"/>
        </w:rPr>
        <w:alias w:val="产销量情况说明"/>
        <w:tag w:val="_GBC_1aea839efa9940859168bf3f05061254"/>
        <w:id w:val="1361545273"/>
        <w:placeholder>
          <w:docPart w:val="GBC22222222222222222222222222222"/>
        </w:placeholder>
      </w:sdtPr>
      <w:sdtContent>
        <w:p>
          <w:pPr>
            <w:ind w:firstLineChars="200" w:firstLine="420"/>
            <w:rPr>
              <w:szCs w:val="21"/>
            </w:rPr>
          </w:pPr>
          <w:r>
            <w:rPr>
              <w:rFonts w:hint="eastAsia"/>
              <w:szCs w:val="21"/>
            </w:rPr>
            <w:t>主要产品的产销量变动详情请见本节之“各业务分部经营情况”相关内容。</w:t>
          </w:r>
        </w:p>
      </w:sdtContent>
    </w:sdt>
    <w:p>
      <w:pPr>
        <w:pStyle w:val="affffffd"/>
      </w:pPr>
    </w:p>
    <w:p>
      <w:pPr>
        <w:pStyle w:val="5"/>
        <w:numPr>
          <w:ilvl w:val="0"/>
          <w:numId w:val="20"/>
        </w:numPr>
        <w:tabs>
          <w:tab w:val="left" w:pos="567"/>
        </w:tabs>
        <w:ind w:leftChars="0"/>
      </w:pPr>
      <w:bookmarkStart w:id="68" w:name="_Hlk89876471"/>
      <w:r>
        <w:rPr>
          <w:rFonts w:ascii="宋体" w:hAnsi="宋体" w:cs="宋体" w:hint="eastAsia"/>
          <w:kern w:val="0"/>
          <w:szCs w:val="24"/>
        </w:rPr>
        <w:t>重大采购合同、重大销售合同的履行情况</w:t>
      </w:r>
    </w:p>
    <w:sdt>
      <w:sdtPr>
        <w:rPr>
          <w:rFonts w:hint="eastAsia"/>
        </w:rPr>
        <w:alias w:val="是否适用：重大采购合同、重大销售合同的履行情况 [双击切换]"/>
        <w:tag w:val="_GBC_7db64bb10282470b9d1599cd986236d4"/>
        <w:id w:val="1384138819"/>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bookmarkEnd w:id="68"/>
    <w:p>
      <w:pPr>
        <w:pStyle w:val="5"/>
        <w:numPr>
          <w:ilvl w:val="0"/>
          <w:numId w:val="20"/>
        </w:numPr>
        <w:tabs>
          <w:tab w:val="left" w:pos="567"/>
        </w:tabs>
        <w:ind w:leftChars="0"/>
      </w:pPr>
      <w:r>
        <w:rPr>
          <w:rFonts w:ascii="宋体" w:hAnsi="宋体" w:cs="宋体"/>
          <w:kern w:val="0"/>
          <w:szCs w:val="24"/>
        </w:rPr>
        <w:t>成本分析表</w:t>
      </w:r>
    </w:p>
    <w:p>
      <w:pPr>
        <w:pStyle w:val="afffffb"/>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231369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百万元</w:t>
          </w:r>
        </w:sdtContent>
      </w:sdt>
    </w:p>
    <w:tbl>
      <w:tblPr>
        <w:tblStyle w:val="afffff7"/>
        <w:tblW w:w="5732" w:type="pct"/>
        <w:jc w:val="center"/>
        <w:tblLook w:val="04A0" w:firstRow="1" w:lastRow="0" w:firstColumn="1" w:lastColumn="0" w:noHBand="0" w:noVBand="1"/>
      </w:tblPr>
      <w:tblGrid>
        <w:gridCol w:w="2116"/>
        <w:gridCol w:w="1552"/>
        <w:gridCol w:w="1663"/>
        <w:gridCol w:w="1622"/>
        <w:gridCol w:w="1594"/>
        <w:gridCol w:w="1568"/>
      </w:tblGrid>
      <w:tr>
        <w:trPr>
          <w:trHeight w:val="195"/>
          <w:jc w:val="center"/>
        </w:trPr>
        <w:sdt>
          <w:sdtPr>
            <w:tag w:val="_PLD_23eca1a24a6a46819aede5056d21b4e0"/>
            <w:id w:val="-1271007364"/>
          </w:sdtPr>
          <w:sdtContent>
            <w:tc>
              <w:tcPr>
                <w:tcW w:w="5000" w:type="pct"/>
                <w:gridSpan w:val="6"/>
                <w:vAlign w:val="center"/>
              </w:tcPr>
              <w:p>
                <w:pPr>
                  <w:jc w:val="center"/>
                </w:pPr>
                <w:r>
                  <w:t>分行业情况</w:t>
                </w:r>
              </w:p>
            </w:tc>
          </w:sdtContent>
        </w:sdt>
      </w:tr>
      <w:tr>
        <w:trPr>
          <w:trHeight w:val="135"/>
          <w:jc w:val="center"/>
        </w:trPr>
        <w:sdt>
          <w:sdtPr>
            <w:tag w:val="_PLD_11eb33bcb20d4489a1b9fff2216d0a84"/>
            <w:id w:val="-975750931"/>
          </w:sdtPr>
          <w:sdtContent>
            <w:tc>
              <w:tcPr>
                <w:tcW w:w="1046" w:type="pct"/>
                <w:vAlign w:val="center"/>
              </w:tcPr>
              <w:p>
                <w:pPr>
                  <w:jc w:val="center"/>
                </w:pPr>
                <w:r>
                  <w:t>成本构成项目</w:t>
                </w:r>
              </w:p>
            </w:tc>
          </w:sdtContent>
        </w:sdt>
        <w:sdt>
          <w:sdtPr>
            <w:tag w:val="_PLD_25c03477e66a432199f6493c38aaca71"/>
            <w:id w:val="804596105"/>
          </w:sdtPr>
          <w:sdtContent>
            <w:tc>
              <w:tcPr>
                <w:tcW w:w="767" w:type="pct"/>
                <w:vAlign w:val="center"/>
              </w:tcPr>
              <w:p>
                <w:pPr>
                  <w:jc w:val="center"/>
                </w:pPr>
                <w:r>
                  <w:t>本期金额</w:t>
                </w:r>
              </w:p>
            </w:tc>
          </w:sdtContent>
        </w:sdt>
        <w:sdt>
          <w:sdtPr>
            <w:tag w:val="_PLD_29b86b13ed1449cfb64b8547d9ed08a7"/>
            <w:id w:val="-1253960624"/>
          </w:sdtPr>
          <w:sdtContent>
            <w:tc>
              <w:tcPr>
                <w:tcW w:w="822" w:type="pct"/>
                <w:vAlign w:val="center"/>
              </w:tcPr>
              <w:p>
                <w:pPr>
                  <w:jc w:val="center"/>
                </w:pPr>
                <w:r>
                  <w:t>本期占总成本比例(</w:t>
                </w:r>
                <w:r>
                  <w:rPr>
                    <w:rFonts w:hint="eastAsia"/>
                  </w:rPr>
                  <w:t>%</w:t>
                </w:r>
                <w:r>
                  <w:t>)</w:t>
                </w:r>
              </w:p>
            </w:tc>
          </w:sdtContent>
        </w:sdt>
        <w:sdt>
          <w:sdtPr>
            <w:tag w:val="_PLD_5ff02c2ae2d941d5bb2ed5b1e6bfa8e6"/>
            <w:id w:val="-1883394296"/>
          </w:sdtPr>
          <w:sdtContent>
            <w:tc>
              <w:tcPr>
                <w:tcW w:w="802" w:type="pct"/>
                <w:vAlign w:val="center"/>
              </w:tcPr>
              <w:p>
                <w:pPr>
                  <w:jc w:val="center"/>
                </w:pPr>
                <w:r>
                  <w:t>上年同期金额</w:t>
                </w:r>
              </w:p>
            </w:tc>
          </w:sdtContent>
        </w:sdt>
        <w:sdt>
          <w:sdtPr>
            <w:tag w:val="_PLD_517f7979a01748fba12b11d5561fdcdd"/>
            <w:id w:val="854858137"/>
          </w:sdtPr>
          <w:sdtContent>
            <w:tc>
              <w:tcPr>
                <w:tcW w:w="788" w:type="pct"/>
                <w:vAlign w:val="center"/>
              </w:tcPr>
              <w:p>
                <w:pPr>
                  <w:jc w:val="center"/>
                </w:pPr>
                <w:r>
                  <w:t>上年同期占总成本比例(</w:t>
                </w:r>
                <w:r>
                  <w:rPr>
                    <w:rFonts w:hint="eastAsia"/>
                  </w:rPr>
                  <w:t>%</w:t>
                </w:r>
                <w:r>
                  <w:t>)</w:t>
                </w:r>
              </w:p>
            </w:tc>
          </w:sdtContent>
        </w:sdt>
        <w:sdt>
          <w:sdtPr>
            <w:tag w:val="_PLD_51133d067ddc4eeda00133d4c26d206f"/>
            <w:id w:val="1457759717"/>
          </w:sdtPr>
          <w:sdtContent>
            <w:tc>
              <w:tcPr>
                <w:tcW w:w="775" w:type="pct"/>
                <w:vAlign w:val="center"/>
              </w:tcPr>
              <w:p>
                <w:pPr>
                  <w:jc w:val="center"/>
                </w:pPr>
                <w:r>
                  <w:t>本期金额较上年同期变动比例(</w:t>
                </w:r>
                <w:r>
                  <w:rPr>
                    <w:rFonts w:hint="eastAsia"/>
                  </w:rPr>
                  <w:t>%</w:t>
                </w:r>
                <w:r>
                  <w:t>)</w:t>
                </w:r>
              </w:p>
            </w:tc>
          </w:sdtContent>
        </w:sdt>
      </w:tr>
      <w:tr>
        <w:trPr>
          <w:trHeight w:val="165"/>
          <w:jc w:val="center"/>
        </w:trPr>
        <w:tc>
          <w:tcPr>
            <w:tcW w:w="1046" w:type="pct"/>
          </w:tcPr>
          <w:p>
            <w:pPr>
              <w:pStyle w:val="afffffffffffff8"/>
            </w:pPr>
            <w:r>
              <w:rPr>
                <w:rFonts w:hint="eastAsia"/>
              </w:rPr>
              <w:t>一、自产煤成本</w:t>
            </w:r>
          </w:p>
        </w:tc>
        <w:tc>
          <w:tcPr>
            <w:tcW w:w="767" w:type="pct"/>
            <w:vAlign w:val="center"/>
          </w:tcPr>
          <w:p>
            <w:pPr>
              <w:jc w:val="right"/>
            </w:pPr>
            <w:r>
              <w:t xml:space="preserve">43,804 </w:t>
            </w:r>
          </w:p>
        </w:tc>
        <w:tc>
          <w:tcPr>
            <w:tcW w:w="822" w:type="pct"/>
            <w:vAlign w:val="center"/>
          </w:tcPr>
          <w:p>
            <w:pPr>
              <w:jc w:val="right"/>
            </w:pPr>
            <w:r>
              <w:t xml:space="preserve">100.00 </w:t>
            </w:r>
          </w:p>
        </w:tc>
        <w:tc>
          <w:tcPr>
            <w:tcW w:w="802" w:type="pct"/>
            <w:vAlign w:val="center"/>
          </w:tcPr>
          <w:p>
            <w:pPr>
              <w:jc w:val="right"/>
            </w:pPr>
            <w:r>
              <w:t xml:space="preserve">42,273 </w:t>
            </w:r>
          </w:p>
        </w:tc>
        <w:tc>
          <w:tcPr>
            <w:tcW w:w="788" w:type="pct"/>
            <w:vAlign w:val="center"/>
          </w:tcPr>
          <w:p>
            <w:pPr>
              <w:jc w:val="right"/>
            </w:pPr>
            <w:r>
              <w:t xml:space="preserve">100.00 </w:t>
            </w:r>
          </w:p>
        </w:tc>
        <w:tc>
          <w:tcPr>
            <w:tcW w:w="775" w:type="pct"/>
            <w:vAlign w:val="center"/>
          </w:tcPr>
          <w:p>
            <w:pPr>
              <w:jc w:val="right"/>
            </w:pPr>
            <w:r>
              <w:t xml:space="preserve">3.62 </w:t>
            </w:r>
          </w:p>
        </w:tc>
      </w:tr>
      <w:tr>
        <w:trPr>
          <w:trHeight w:val="165"/>
          <w:jc w:val="center"/>
        </w:trPr>
        <w:tc>
          <w:tcPr>
            <w:tcW w:w="1046" w:type="pct"/>
          </w:tcPr>
          <w:p>
            <w:pPr>
              <w:pStyle w:val="afffffffffffff8"/>
            </w:pPr>
            <w:r>
              <w:t>1.材料</w:t>
            </w:r>
          </w:p>
        </w:tc>
        <w:tc>
          <w:tcPr>
            <w:tcW w:w="767" w:type="pct"/>
            <w:vAlign w:val="center"/>
          </w:tcPr>
          <w:p>
            <w:pPr>
              <w:jc w:val="right"/>
            </w:pPr>
            <w:r>
              <w:t xml:space="preserve">5,688 </w:t>
            </w:r>
          </w:p>
        </w:tc>
        <w:tc>
          <w:tcPr>
            <w:tcW w:w="822" w:type="pct"/>
            <w:vAlign w:val="center"/>
          </w:tcPr>
          <w:p>
            <w:pPr>
              <w:jc w:val="right"/>
            </w:pPr>
            <w:r>
              <w:t xml:space="preserve">12.98 </w:t>
            </w:r>
          </w:p>
        </w:tc>
        <w:tc>
          <w:tcPr>
            <w:tcW w:w="802" w:type="pct"/>
            <w:vAlign w:val="center"/>
          </w:tcPr>
          <w:p>
            <w:pPr>
              <w:jc w:val="right"/>
            </w:pPr>
            <w:r>
              <w:t xml:space="preserve">5,960 </w:t>
            </w:r>
          </w:p>
        </w:tc>
        <w:tc>
          <w:tcPr>
            <w:tcW w:w="788" w:type="pct"/>
            <w:vAlign w:val="center"/>
          </w:tcPr>
          <w:p>
            <w:pPr>
              <w:jc w:val="right"/>
            </w:pPr>
            <w:r>
              <w:t xml:space="preserve">14.10 </w:t>
            </w:r>
          </w:p>
        </w:tc>
        <w:tc>
          <w:tcPr>
            <w:tcW w:w="775" w:type="pct"/>
            <w:vAlign w:val="center"/>
          </w:tcPr>
          <w:p>
            <w:pPr>
              <w:jc w:val="right"/>
            </w:pPr>
            <w:r>
              <w:t xml:space="preserve">-4.57 </w:t>
            </w:r>
          </w:p>
        </w:tc>
      </w:tr>
      <w:tr>
        <w:trPr>
          <w:trHeight w:val="165"/>
          <w:jc w:val="center"/>
        </w:trPr>
        <w:tc>
          <w:tcPr>
            <w:tcW w:w="1046" w:type="pct"/>
          </w:tcPr>
          <w:p>
            <w:pPr>
              <w:pStyle w:val="afffffffffffff8"/>
            </w:pPr>
            <w:r>
              <w:t>2.工资及雇员福利</w:t>
            </w:r>
          </w:p>
        </w:tc>
        <w:tc>
          <w:tcPr>
            <w:tcW w:w="767" w:type="pct"/>
            <w:vAlign w:val="center"/>
          </w:tcPr>
          <w:p>
            <w:pPr>
              <w:jc w:val="right"/>
            </w:pPr>
            <w:r>
              <w:t xml:space="preserve">11,071 </w:t>
            </w:r>
          </w:p>
        </w:tc>
        <w:tc>
          <w:tcPr>
            <w:tcW w:w="822" w:type="pct"/>
            <w:vAlign w:val="center"/>
          </w:tcPr>
          <w:p>
            <w:pPr>
              <w:jc w:val="right"/>
            </w:pPr>
            <w:r>
              <w:t xml:space="preserve">25.27 </w:t>
            </w:r>
          </w:p>
        </w:tc>
        <w:tc>
          <w:tcPr>
            <w:tcW w:w="802" w:type="pct"/>
            <w:vAlign w:val="center"/>
          </w:tcPr>
          <w:p>
            <w:pPr>
              <w:jc w:val="right"/>
            </w:pPr>
            <w:r>
              <w:t xml:space="preserve">10,597 </w:t>
            </w:r>
          </w:p>
        </w:tc>
        <w:tc>
          <w:tcPr>
            <w:tcW w:w="788" w:type="pct"/>
            <w:vAlign w:val="center"/>
          </w:tcPr>
          <w:p>
            <w:pPr>
              <w:jc w:val="right"/>
            </w:pPr>
            <w:r>
              <w:t xml:space="preserve">25.07 </w:t>
            </w:r>
          </w:p>
        </w:tc>
        <w:tc>
          <w:tcPr>
            <w:tcW w:w="775" w:type="pct"/>
            <w:vAlign w:val="center"/>
          </w:tcPr>
          <w:p>
            <w:pPr>
              <w:jc w:val="right"/>
            </w:pPr>
            <w:r>
              <w:t xml:space="preserve">4.47 </w:t>
            </w:r>
          </w:p>
        </w:tc>
      </w:tr>
      <w:tr>
        <w:trPr>
          <w:trHeight w:val="165"/>
          <w:jc w:val="center"/>
        </w:trPr>
        <w:tc>
          <w:tcPr>
            <w:tcW w:w="1046" w:type="pct"/>
          </w:tcPr>
          <w:p>
            <w:pPr>
              <w:pStyle w:val="afffffffffffff8"/>
            </w:pPr>
            <w:r>
              <w:t>3.电力</w:t>
            </w:r>
          </w:p>
        </w:tc>
        <w:tc>
          <w:tcPr>
            <w:tcW w:w="767" w:type="pct"/>
            <w:vAlign w:val="center"/>
          </w:tcPr>
          <w:p>
            <w:pPr>
              <w:jc w:val="right"/>
            </w:pPr>
            <w:r>
              <w:t xml:space="preserve">2,119 </w:t>
            </w:r>
          </w:p>
        </w:tc>
        <w:tc>
          <w:tcPr>
            <w:tcW w:w="822" w:type="pct"/>
            <w:vAlign w:val="center"/>
          </w:tcPr>
          <w:p>
            <w:pPr>
              <w:jc w:val="right"/>
            </w:pPr>
            <w:r>
              <w:t xml:space="preserve">4.84 </w:t>
            </w:r>
          </w:p>
        </w:tc>
        <w:tc>
          <w:tcPr>
            <w:tcW w:w="802" w:type="pct"/>
            <w:vAlign w:val="center"/>
          </w:tcPr>
          <w:p>
            <w:pPr>
              <w:jc w:val="right"/>
            </w:pPr>
            <w:r>
              <w:t xml:space="preserve">1,928 </w:t>
            </w:r>
          </w:p>
        </w:tc>
        <w:tc>
          <w:tcPr>
            <w:tcW w:w="788" w:type="pct"/>
            <w:vAlign w:val="center"/>
          </w:tcPr>
          <w:p>
            <w:pPr>
              <w:jc w:val="right"/>
            </w:pPr>
            <w:r>
              <w:t xml:space="preserve">4.56 </w:t>
            </w:r>
          </w:p>
        </w:tc>
        <w:tc>
          <w:tcPr>
            <w:tcW w:w="775" w:type="pct"/>
            <w:vAlign w:val="center"/>
          </w:tcPr>
          <w:p>
            <w:pPr>
              <w:jc w:val="right"/>
            </w:pPr>
            <w:r>
              <w:t xml:space="preserve">9.88 </w:t>
            </w:r>
          </w:p>
        </w:tc>
      </w:tr>
      <w:tr>
        <w:trPr>
          <w:trHeight w:val="165"/>
          <w:jc w:val="center"/>
        </w:trPr>
        <w:tc>
          <w:tcPr>
            <w:tcW w:w="1046" w:type="pct"/>
          </w:tcPr>
          <w:p>
            <w:pPr>
              <w:pStyle w:val="afffffffffffff8"/>
            </w:pPr>
            <w:r>
              <w:t>4.折旧</w:t>
            </w:r>
          </w:p>
        </w:tc>
        <w:tc>
          <w:tcPr>
            <w:tcW w:w="767" w:type="pct"/>
            <w:vAlign w:val="center"/>
          </w:tcPr>
          <w:p>
            <w:pPr>
              <w:jc w:val="right"/>
            </w:pPr>
            <w:r>
              <w:t xml:space="preserve">5,291 </w:t>
            </w:r>
          </w:p>
        </w:tc>
        <w:tc>
          <w:tcPr>
            <w:tcW w:w="822" w:type="pct"/>
            <w:vAlign w:val="center"/>
          </w:tcPr>
          <w:p>
            <w:pPr>
              <w:jc w:val="right"/>
            </w:pPr>
            <w:r>
              <w:t xml:space="preserve">12.08 </w:t>
            </w:r>
          </w:p>
        </w:tc>
        <w:tc>
          <w:tcPr>
            <w:tcW w:w="802" w:type="pct"/>
            <w:vAlign w:val="center"/>
          </w:tcPr>
          <w:p>
            <w:pPr>
              <w:jc w:val="right"/>
            </w:pPr>
            <w:r>
              <w:t xml:space="preserve">5,939 </w:t>
            </w:r>
          </w:p>
        </w:tc>
        <w:tc>
          <w:tcPr>
            <w:tcW w:w="788" w:type="pct"/>
            <w:vAlign w:val="center"/>
          </w:tcPr>
          <w:p>
            <w:pPr>
              <w:jc w:val="right"/>
            </w:pPr>
            <w:r>
              <w:t xml:space="preserve">14.05 </w:t>
            </w:r>
          </w:p>
        </w:tc>
        <w:tc>
          <w:tcPr>
            <w:tcW w:w="775" w:type="pct"/>
            <w:vAlign w:val="center"/>
          </w:tcPr>
          <w:p>
            <w:pPr>
              <w:jc w:val="right"/>
            </w:pPr>
            <w:r>
              <w:t xml:space="preserve">-10.92 </w:t>
            </w:r>
          </w:p>
        </w:tc>
      </w:tr>
      <w:tr>
        <w:trPr>
          <w:trHeight w:val="165"/>
          <w:jc w:val="center"/>
        </w:trPr>
        <w:tc>
          <w:tcPr>
            <w:tcW w:w="1046" w:type="pct"/>
          </w:tcPr>
          <w:p>
            <w:pPr>
              <w:pStyle w:val="afffffffffffff8"/>
            </w:pPr>
            <w:r>
              <w:t>5.塌陷费</w:t>
            </w:r>
          </w:p>
        </w:tc>
        <w:tc>
          <w:tcPr>
            <w:tcW w:w="767" w:type="pct"/>
            <w:vAlign w:val="center"/>
          </w:tcPr>
          <w:p>
            <w:pPr>
              <w:jc w:val="right"/>
            </w:pPr>
            <w:r>
              <w:t xml:space="preserve">2,298 </w:t>
            </w:r>
          </w:p>
        </w:tc>
        <w:tc>
          <w:tcPr>
            <w:tcW w:w="822" w:type="pct"/>
            <w:vAlign w:val="center"/>
          </w:tcPr>
          <w:p>
            <w:pPr>
              <w:jc w:val="right"/>
            </w:pPr>
            <w:r>
              <w:t xml:space="preserve">5.25 </w:t>
            </w:r>
          </w:p>
        </w:tc>
        <w:tc>
          <w:tcPr>
            <w:tcW w:w="802" w:type="pct"/>
            <w:vAlign w:val="center"/>
          </w:tcPr>
          <w:p>
            <w:pPr>
              <w:jc w:val="right"/>
            </w:pPr>
            <w:r>
              <w:t xml:space="preserve">2,522 </w:t>
            </w:r>
          </w:p>
        </w:tc>
        <w:tc>
          <w:tcPr>
            <w:tcW w:w="788" w:type="pct"/>
            <w:vAlign w:val="center"/>
          </w:tcPr>
          <w:p>
            <w:pPr>
              <w:jc w:val="right"/>
            </w:pPr>
            <w:r>
              <w:t xml:space="preserve">5.97 </w:t>
            </w:r>
          </w:p>
        </w:tc>
        <w:tc>
          <w:tcPr>
            <w:tcW w:w="775" w:type="pct"/>
            <w:vAlign w:val="center"/>
          </w:tcPr>
          <w:p>
            <w:pPr>
              <w:jc w:val="right"/>
            </w:pPr>
            <w:r>
              <w:t xml:space="preserve">-8.87 </w:t>
            </w:r>
          </w:p>
        </w:tc>
      </w:tr>
      <w:tr>
        <w:trPr>
          <w:trHeight w:val="165"/>
          <w:jc w:val="center"/>
        </w:trPr>
        <w:tc>
          <w:tcPr>
            <w:tcW w:w="1046" w:type="pct"/>
          </w:tcPr>
          <w:p>
            <w:pPr>
              <w:pStyle w:val="afffffffffffff8"/>
            </w:pPr>
            <w:r>
              <w:t>6.修理费</w:t>
            </w:r>
          </w:p>
        </w:tc>
        <w:tc>
          <w:tcPr>
            <w:tcW w:w="767" w:type="pct"/>
            <w:vAlign w:val="center"/>
          </w:tcPr>
          <w:p>
            <w:pPr>
              <w:jc w:val="right"/>
            </w:pPr>
            <w:r>
              <w:t xml:space="preserve">2,971 </w:t>
            </w:r>
          </w:p>
        </w:tc>
        <w:tc>
          <w:tcPr>
            <w:tcW w:w="822" w:type="pct"/>
            <w:vAlign w:val="center"/>
          </w:tcPr>
          <w:p>
            <w:pPr>
              <w:jc w:val="right"/>
            </w:pPr>
            <w:r>
              <w:t xml:space="preserve">6.78 </w:t>
            </w:r>
          </w:p>
        </w:tc>
        <w:tc>
          <w:tcPr>
            <w:tcW w:w="802" w:type="pct"/>
            <w:vAlign w:val="center"/>
          </w:tcPr>
          <w:p>
            <w:pPr>
              <w:jc w:val="right"/>
            </w:pPr>
            <w:r>
              <w:t xml:space="preserve">2,660 </w:t>
            </w:r>
          </w:p>
        </w:tc>
        <w:tc>
          <w:tcPr>
            <w:tcW w:w="788" w:type="pct"/>
            <w:vAlign w:val="center"/>
          </w:tcPr>
          <w:p>
            <w:pPr>
              <w:jc w:val="right"/>
            </w:pPr>
            <w:r>
              <w:t xml:space="preserve">6.29 </w:t>
            </w:r>
          </w:p>
        </w:tc>
        <w:tc>
          <w:tcPr>
            <w:tcW w:w="775" w:type="pct"/>
            <w:vAlign w:val="center"/>
          </w:tcPr>
          <w:p>
            <w:pPr>
              <w:jc w:val="right"/>
            </w:pPr>
            <w:r>
              <w:t xml:space="preserve">11.71 </w:t>
            </w:r>
          </w:p>
        </w:tc>
      </w:tr>
      <w:tr>
        <w:trPr>
          <w:trHeight w:val="165"/>
          <w:jc w:val="center"/>
        </w:trPr>
        <w:tc>
          <w:tcPr>
            <w:tcW w:w="1046" w:type="pct"/>
          </w:tcPr>
          <w:p>
            <w:pPr>
              <w:pStyle w:val="afffffffffffff8"/>
            </w:pPr>
            <w:r>
              <w:t>7.采矿权摊销</w:t>
            </w:r>
          </w:p>
        </w:tc>
        <w:tc>
          <w:tcPr>
            <w:tcW w:w="767" w:type="pct"/>
            <w:vAlign w:val="center"/>
          </w:tcPr>
          <w:p>
            <w:pPr>
              <w:jc w:val="right"/>
            </w:pPr>
            <w:r>
              <w:t xml:space="preserve">2,295 </w:t>
            </w:r>
          </w:p>
        </w:tc>
        <w:tc>
          <w:tcPr>
            <w:tcW w:w="822" w:type="pct"/>
            <w:vAlign w:val="center"/>
          </w:tcPr>
          <w:p>
            <w:pPr>
              <w:jc w:val="right"/>
            </w:pPr>
            <w:r>
              <w:t xml:space="preserve">5.24 </w:t>
            </w:r>
          </w:p>
        </w:tc>
        <w:tc>
          <w:tcPr>
            <w:tcW w:w="802" w:type="pct"/>
            <w:vAlign w:val="center"/>
          </w:tcPr>
          <w:p>
            <w:pPr>
              <w:jc w:val="right"/>
            </w:pPr>
            <w:r>
              <w:t xml:space="preserve">2,360 </w:t>
            </w:r>
          </w:p>
        </w:tc>
        <w:tc>
          <w:tcPr>
            <w:tcW w:w="788" w:type="pct"/>
            <w:vAlign w:val="center"/>
          </w:tcPr>
          <w:p>
            <w:pPr>
              <w:jc w:val="right"/>
            </w:pPr>
            <w:r>
              <w:t xml:space="preserve">5.58 </w:t>
            </w:r>
          </w:p>
        </w:tc>
        <w:tc>
          <w:tcPr>
            <w:tcW w:w="775" w:type="pct"/>
            <w:vAlign w:val="center"/>
          </w:tcPr>
          <w:p>
            <w:pPr>
              <w:jc w:val="right"/>
            </w:pPr>
            <w:r>
              <w:t xml:space="preserve">-2.78 </w:t>
            </w:r>
          </w:p>
        </w:tc>
      </w:tr>
      <w:tr>
        <w:trPr>
          <w:trHeight w:val="165"/>
          <w:jc w:val="center"/>
        </w:trPr>
        <w:tc>
          <w:tcPr>
            <w:tcW w:w="1046" w:type="pct"/>
          </w:tcPr>
          <w:p>
            <w:pPr>
              <w:pStyle w:val="afffffffffffff8"/>
            </w:pPr>
            <w:r>
              <w:t>8.运输</w:t>
            </w:r>
          </w:p>
        </w:tc>
        <w:tc>
          <w:tcPr>
            <w:tcW w:w="767" w:type="pct"/>
            <w:vAlign w:val="center"/>
          </w:tcPr>
          <w:p>
            <w:pPr>
              <w:jc w:val="right"/>
            </w:pPr>
            <w:r>
              <w:t xml:space="preserve">4,614 </w:t>
            </w:r>
          </w:p>
        </w:tc>
        <w:tc>
          <w:tcPr>
            <w:tcW w:w="822" w:type="pct"/>
            <w:vAlign w:val="center"/>
          </w:tcPr>
          <w:p>
            <w:pPr>
              <w:jc w:val="right"/>
            </w:pPr>
            <w:r>
              <w:t xml:space="preserve">10.53 </w:t>
            </w:r>
          </w:p>
        </w:tc>
        <w:tc>
          <w:tcPr>
            <w:tcW w:w="802" w:type="pct"/>
            <w:vAlign w:val="center"/>
          </w:tcPr>
          <w:p>
            <w:pPr>
              <w:jc w:val="right"/>
            </w:pPr>
            <w:r>
              <w:t xml:space="preserve">4,499 </w:t>
            </w:r>
          </w:p>
        </w:tc>
        <w:tc>
          <w:tcPr>
            <w:tcW w:w="788" w:type="pct"/>
            <w:vAlign w:val="center"/>
          </w:tcPr>
          <w:p>
            <w:pPr>
              <w:jc w:val="right"/>
            </w:pPr>
            <w:r>
              <w:t xml:space="preserve">10.64 </w:t>
            </w:r>
          </w:p>
        </w:tc>
        <w:tc>
          <w:tcPr>
            <w:tcW w:w="775" w:type="pct"/>
            <w:vAlign w:val="center"/>
          </w:tcPr>
          <w:p>
            <w:pPr>
              <w:jc w:val="right"/>
            </w:pPr>
            <w:r>
              <w:t xml:space="preserve">2.55 </w:t>
            </w:r>
          </w:p>
        </w:tc>
      </w:tr>
      <w:tr>
        <w:trPr>
          <w:trHeight w:val="165"/>
          <w:jc w:val="center"/>
        </w:trPr>
        <w:tc>
          <w:tcPr>
            <w:tcW w:w="1046" w:type="pct"/>
          </w:tcPr>
          <w:p>
            <w:pPr>
              <w:pStyle w:val="afffffffffffff8"/>
            </w:pPr>
            <w:r>
              <w:t>9.其他</w:t>
            </w:r>
          </w:p>
        </w:tc>
        <w:tc>
          <w:tcPr>
            <w:tcW w:w="767" w:type="pct"/>
            <w:vAlign w:val="center"/>
          </w:tcPr>
          <w:p>
            <w:pPr>
              <w:jc w:val="right"/>
            </w:pPr>
            <w:r>
              <w:t xml:space="preserve">7,457 </w:t>
            </w:r>
          </w:p>
        </w:tc>
        <w:tc>
          <w:tcPr>
            <w:tcW w:w="822" w:type="pct"/>
            <w:vAlign w:val="center"/>
          </w:tcPr>
          <w:p>
            <w:pPr>
              <w:jc w:val="right"/>
            </w:pPr>
            <w:r>
              <w:t xml:space="preserve">17.02 </w:t>
            </w:r>
          </w:p>
        </w:tc>
        <w:tc>
          <w:tcPr>
            <w:tcW w:w="802" w:type="pct"/>
            <w:vAlign w:val="center"/>
          </w:tcPr>
          <w:p>
            <w:pPr>
              <w:jc w:val="right"/>
            </w:pPr>
            <w:r>
              <w:t xml:space="preserve">5,806 </w:t>
            </w:r>
          </w:p>
        </w:tc>
        <w:tc>
          <w:tcPr>
            <w:tcW w:w="788" w:type="pct"/>
            <w:vAlign w:val="center"/>
          </w:tcPr>
          <w:p>
            <w:pPr>
              <w:jc w:val="right"/>
            </w:pPr>
            <w:r>
              <w:t xml:space="preserve">13.74 </w:t>
            </w:r>
          </w:p>
        </w:tc>
        <w:tc>
          <w:tcPr>
            <w:tcW w:w="775" w:type="pct"/>
            <w:vAlign w:val="center"/>
          </w:tcPr>
          <w:p>
            <w:pPr>
              <w:jc w:val="right"/>
            </w:pPr>
            <w:r>
              <w:t xml:space="preserve">28.43 </w:t>
            </w:r>
          </w:p>
        </w:tc>
      </w:tr>
      <w:tr>
        <w:trPr>
          <w:trHeight w:val="165"/>
          <w:jc w:val="center"/>
        </w:trPr>
        <w:tc>
          <w:tcPr>
            <w:tcW w:w="1046" w:type="pct"/>
          </w:tcPr>
          <w:p>
            <w:pPr>
              <w:pStyle w:val="afffffffffffff8"/>
            </w:pPr>
            <w:r>
              <w:rPr>
                <w:rFonts w:hint="eastAsia"/>
              </w:rPr>
              <w:t>二、贸易煤成本</w:t>
            </w:r>
          </w:p>
        </w:tc>
        <w:tc>
          <w:tcPr>
            <w:tcW w:w="767" w:type="pct"/>
          </w:tcPr>
          <w:p>
            <w:pPr>
              <w:jc w:val="right"/>
            </w:pPr>
            <w:r>
              <w:t xml:space="preserve">5,986 </w:t>
            </w:r>
          </w:p>
        </w:tc>
        <w:tc>
          <w:tcPr>
            <w:tcW w:w="822" w:type="pct"/>
            <w:vAlign w:val="center"/>
          </w:tcPr>
          <w:p>
            <w:pPr>
              <w:jc w:val="right"/>
            </w:pPr>
            <w:r>
              <w:t>-</w:t>
            </w:r>
          </w:p>
        </w:tc>
        <w:tc>
          <w:tcPr>
            <w:tcW w:w="802" w:type="pct"/>
            <w:vAlign w:val="center"/>
          </w:tcPr>
          <w:p>
            <w:pPr>
              <w:jc w:val="right"/>
            </w:pPr>
            <w:r>
              <w:t xml:space="preserve">7,058 </w:t>
            </w:r>
          </w:p>
        </w:tc>
        <w:tc>
          <w:tcPr>
            <w:tcW w:w="788" w:type="pct"/>
            <w:vAlign w:val="center"/>
          </w:tcPr>
          <w:p>
            <w:pPr>
              <w:jc w:val="right"/>
            </w:pPr>
            <w:r>
              <w:t>-</w:t>
            </w:r>
          </w:p>
        </w:tc>
        <w:tc>
          <w:tcPr>
            <w:tcW w:w="775" w:type="pct"/>
          </w:tcPr>
          <w:p>
            <w:pPr>
              <w:jc w:val="right"/>
            </w:pPr>
            <w:r>
              <w:t xml:space="preserve">-15.19 </w:t>
            </w:r>
          </w:p>
        </w:tc>
      </w:tr>
      <w:tr>
        <w:trPr>
          <w:trHeight w:val="165"/>
          <w:jc w:val="center"/>
        </w:trPr>
        <w:tc>
          <w:tcPr>
            <w:tcW w:w="1046" w:type="pct"/>
          </w:tcPr>
          <w:p>
            <w:pPr>
              <w:pStyle w:val="afffffffffffff8"/>
            </w:pPr>
            <w:r>
              <w:rPr>
                <w:rFonts w:hint="eastAsia"/>
              </w:rPr>
              <w:t>三、合计</w:t>
            </w:r>
          </w:p>
        </w:tc>
        <w:tc>
          <w:tcPr>
            <w:tcW w:w="767" w:type="pct"/>
          </w:tcPr>
          <w:p>
            <w:pPr>
              <w:jc w:val="right"/>
            </w:pPr>
            <w:r>
              <w:t xml:space="preserve">49,790 </w:t>
            </w:r>
          </w:p>
        </w:tc>
        <w:tc>
          <w:tcPr>
            <w:tcW w:w="822" w:type="pct"/>
            <w:vAlign w:val="center"/>
          </w:tcPr>
          <w:p>
            <w:pPr>
              <w:jc w:val="right"/>
            </w:pPr>
            <w:r>
              <w:t>-</w:t>
            </w:r>
          </w:p>
        </w:tc>
        <w:tc>
          <w:tcPr>
            <w:tcW w:w="802" w:type="pct"/>
            <w:vAlign w:val="center"/>
          </w:tcPr>
          <w:p>
            <w:pPr>
              <w:jc w:val="right"/>
            </w:pPr>
            <w:r>
              <w:t xml:space="preserve">49,331 </w:t>
            </w:r>
          </w:p>
        </w:tc>
        <w:tc>
          <w:tcPr>
            <w:tcW w:w="788" w:type="pct"/>
            <w:vAlign w:val="center"/>
          </w:tcPr>
          <w:p>
            <w:pPr>
              <w:jc w:val="right"/>
            </w:pPr>
            <w:r>
              <w:t>-</w:t>
            </w:r>
          </w:p>
        </w:tc>
        <w:tc>
          <w:tcPr>
            <w:tcW w:w="775" w:type="pct"/>
          </w:tcPr>
          <w:p>
            <w:pPr>
              <w:jc w:val="right"/>
            </w:pPr>
            <w:r>
              <w:t xml:space="preserve">0.93 </w:t>
            </w:r>
          </w:p>
        </w:tc>
      </w:tr>
    </w:tbl>
    <w:p>
      <w:pPr>
        <w:pStyle w:val="afffffffffffff8"/>
      </w:pPr>
    </w:p>
    <w:p>
      <w:pPr>
        <w:spacing w:beforeLines="100" w:before="240" w:line="360" w:lineRule="auto"/>
        <w:rPr>
          <w:szCs w:val="21"/>
        </w:rPr>
      </w:pPr>
      <w:r>
        <w:rPr>
          <w:rFonts w:hint="eastAsia"/>
          <w:szCs w:val="21"/>
        </w:rPr>
        <w:t>成本分析其他情况说明</w:t>
      </w:r>
    </w:p>
    <w:sdt>
      <w:sdtPr>
        <w:rPr>
          <w:rFonts w:hint="eastAsia"/>
          <w:szCs w:val="21"/>
        </w:rPr>
        <w:alias w:val="成本分析其他情况"/>
        <w:tag w:val="_GBC_93fdd34ed0d546d3bf448336c6187b3a"/>
        <w:id w:val="-1285417070"/>
        <w:placeholder>
          <w:docPart w:val="GBC22222222222222222222222222222"/>
        </w:placeholder>
      </w:sdtPr>
      <w:sdtContent>
        <w:p>
          <w:pPr>
            <w:ind w:firstLineChars="200" w:firstLine="420"/>
            <w:jc w:val="both"/>
            <w:rPr>
              <w:szCs w:val="21"/>
            </w:rPr>
          </w:pPr>
          <w:r>
            <w:rPr>
              <w:rFonts w:hint="eastAsia"/>
              <w:szCs w:val="21"/>
            </w:rPr>
            <w:t>因煤炭业务销售成本占本集团主营业务成本（其他业务基本为贸易业务）的</w:t>
          </w:r>
          <w:r>
            <w:rPr>
              <w:szCs w:val="21"/>
            </w:rPr>
            <w:t>65.2%，故上表所列分行业成本构成仅为报告期内本集团煤炭业务销售成本的构成。</w:t>
          </w:r>
        </w:p>
      </w:sdtContent>
    </w:sdt>
    <w:p>
      <w:pPr>
        <w:rPr>
          <w:szCs w:val="21"/>
        </w:rPr>
      </w:pPr>
    </w:p>
    <w:p>
      <w:pPr>
        <w:pStyle w:val="5"/>
        <w:numPr>
          <w:ilvl w:val="0"/>
          <w:numId w:val="20"/>
        </w:numPr>
        <w:tabs>
          <w:tab w:val="left" w:pos="567"/>
        </w:tabs>
        <w:ind w:leftChars="0"/>
      </w:pPr>
      <w:bookmarkStart w:id="69"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2112344909"/>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主要子公司股权变动导致合并范围变化 "/>
        <w:tag w:val="_GBC_f76ab547bfda48a7bfad4c28f29bb995"/>
        <w:id w:val="341357718"/>
        <w:placeholder>
          <w:docPart w:val="GBC22222222222222222222222222222"/>
        </w:placeholder>
      </w:sdtPr>
      <w:sdtContent>
        <w:p>
          <w:pPr>
            <w:ind w:firstLineChars="200" w:firstLine="420"/>
            <w:jc w:val="both"/>
          </w:pPr>
          <w:r>
            <w:rPr>
              <w:rFonts w:hint="eastAsia"/>
            </w:rPr>
            <w:t>有关合并范围变化详情请见按中国会计准则编制的财务报表附注“合并范围的变更”相关内容。</w:t>
          </w:r>
        </w:p>
      </w:sdtContent>
    </w:sdt>
    <w:p>
      <w:pPr>
        <w:pStyle w:val="affffffd"/>
      </w:pPr>
    </w:p>
    <w:p>
      <w:pPr>
        <w:pStyle w:val="5"/>
        <w:numPr>
          <w:ilvl w:val="0"/>
          <w:numId w:val="20"/>
        </w:numPr>
        <w:tabs>
          <w:tab w:val="left" w:pos="567"/>
        </w:tabs>
        <w:ind w:leftChars="0"/>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1150482611"/>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bookmarkEnd w:id="69"/>
    <w:p>
      <w:pPr>
        <w:pStyle w:val="5"/>
        <w:numPr>
          <w:ilvl w:val="0"/>
          <w:numId w:val="20"/>
        </w:numPr>
        <w:tabs>
          <w:tab w:val="left" w:pos="567"/>
        </w:tabs>
        <w:ind w:leftChars="0"/>
      </w:pPr>
      <w:r>
        <w:rPr>
          <w:rFonts w:ascii="宋体" w:hAnsi="宋体" w:cs="宋体"/>
          <w:kern w:val="0"/>
          <w:szCs w:val="24"/>
        </w:rPr>
        <w:t>主要销售客户及主要供应商情况</w:t>
      </w:r>
    </w:p>
    <w:p>
      <w:pPr>
        <w:autoSpaceDE w:val="0"/>
        <w:autoSpaceDN w:val="0"/>
        <w:adjustRightInd w:val="0"/>
        <w:rPr>
          <w:b/>
          <w:szCs w:val="22"/>
          <w:lang w:val="zh-CN"/>
        </w:rPr>
      </w:pPr>
      <w:r>
        <w:rPr>
          <w:rFonts w:hint="eastAsia"/>
          <w:b/>
          <w:szCs w:val="21"/>
        </w:rPr>
        <w:t>A.</w:t>
      </w:r>
      <w:r>
        <w:rPr>
          <w:rFonts w:hint="eastAsia"/>
          <w:b/>
          <w:lang w:val="zh-CN"/>
        </w:rPr>
        <w:t>公司主要销售客户情况</w:t>
      </w:r>
    </w:p>
    <w:sdt>
      <w:sdtPr>
        <w:rPr>
          <w:szCs w:val="21"/>
        </w:rPr>
        <w:alias w:val="是否适用：主要销售客户情况[双击切换]"/>
        <w:tag w:val="_GBC_a2403594b48a40da9560c8bc71e01f56"/>
        <w:id w:val="1361238392"/>
        <w:lock w:val="conten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firstLineChars="200" w:firstLine="420"/>
        <w:jc w:val="both"/>
        <w:rPr>
          <w:szCs w:val="21"/>
        </w:rPr>
      </w:pPr>
      <w:r>
        <w:rPr>
          <w:rFonts w:hint="eastAsia"/>
          <w:szCs w:val="21"/>
        </w:rPr>
        <w:t>最大客户销售额</w:t>
      </w:r>
      <w:r>
        <w:rPr>
          <w:szCs w:val="21"/>
        </w:rPr>
        <w:t>13.80亿元，占年度销售总额1.1%；</w:t>
      </w:r>
      <w:r>
        <w:rPr>
          <w:rFonts w:hint="eastAsia"/>
          <w:szCs w:val="21"/>
        </w:rPr>
        <w:t>前五名客户销售额</w:t>
      </w:r>
      <w:sdt>
        <w:sdtPr>
          <w:rPr>
            <w:rFonts w:hint="eastAsia"/>
            <w:szCs w:val="21"/>
          </w:rPr>
          <w:alias w:val="前五名客户销售额"/>
          <w:tag w:val="_GBC_e497000fdfbc4e548555b7f8ddf9780c"/>
          <w:id w:val="993993218"/>
          <w:placeholder>
            <w:docPart w:val="GBC22222222222222222222222222222"/>
          </w:placeholder>
        </w:sdtPr>
        <w:sdtContent>
          <w:r>
            <w:rPr>
              <w:szCs w:val="21"/>
            </w:rPr>
            <w:t>67.01</w:t>
          </w:r>
        </w:sdtContent>
      </w:sdt>
      <w:sdt>
        <w:sdtPr>
          <w:rPr>
            <w:rFonts w:hint="eastAsia"/>
            <w:szCs w:val="21"/>
          </w:rPr>
          <w:alias w:val="单位：前五名客户销售额"/>
          <w:tag w:val="_GBC_4bd6620b209a4bae8dc3404e8b89ea35"/>
          <w:id w:val="1314477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亿元</w:t>
          </w:r>
        </w:sdtContent>
      </w:sdt>
      <w:r>
        <w:rPr>
          <w:szCs w:val="21"/>
        </w:rPr>
        <w:t>，占年度销售总额</w:t>
      </w:r>
      <w:sdt>
        <w:sdtPr>
          <w:rPr>
            <w:szCs w:val="21"/>
          </w:rPr>
          <w:alias w:val="前五名客户销售额占年度销售总额比例"/>
          <w:tag w:val="_GBC_68b3c8b493d04b6c9db16e7e475d7b35"/>
          <w:id w:val="-1054618343"/>
          <w:placeholder>
            <w:docPart w:val="GBC22222222222222222222222222222"/>
          </w:placeholder>
        </w:sdtPr>
        <w:sdtContent>
          <w:r>
            <w:rPr>
              <w:szCs w:val="21"/>
            </w:rPr>
            <w:t>5.4%</w:t>
          </w:r>
        </w:sdtContent>
      </w:sdt>
      <w:r>
        <w:rPr>
          <w:szCs w:val="21"/>
        </w:rPr>
        <w:t>；其中前五名客户销售额中关联方销售额</w:t>
      </w:r>
      <w:sdt>
        <w:sdtPr>
          <w:rPr>
            <w:szCs w:val="21"/>
          </w:rPr>
          <w:alias w:val="前五名客户销售额中关联方销售额"/>
          <w:tag w:val="_GBC_bfa0971257a44f65996f01cfb0497b07"/>
          <w:id w:val="-1429428056"/>
          <w:placeholder>
            <w:docPart w:val="GBC22222222222222222222222222222"/>
          </w:placeholder>
        </w:sdtPr>
        <w:sdtContent>
          <w:r>
            <w:rPr>
              <w:szCs w:val="21"/>
            </w:rPr>
            <w:t>13.77</w:t>
          </w:r>
        </w:sdtContent>
      </w:sdt>
      <w:sdt>
        <w:sdtPr>
          <w:rPr>
            <w:szCs w:val="21"/>
          </w:rPr>
          <w:alias w:val="单位：前五名客户销售额中关联方销售额"/>
          <w:tag w:val="_GBC_f3c03afc93a5429f9fa45fc25f9018ab"/>
          <w:id w:val="-19591737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亿元</w:t>
          </w:r>
        </w:sdtContent>
      </w:sdt>
      <w:r>
        <w:rPr>
          <w:szCs w:val="21"/>
        </w:rPr>
        <w:t>，占年度销售总额</w:t>
      </w:r>
      <w:sdt>
        <w:sdtPr>
          <w:rPr>
            <w:szCs w:val="21"/>
          </w:rPr>
          <w:alias w:val="前五名客户销售额中关联方销售额占年度销售总额比例"/>
          <w:tag w:val="_GBC_a84a9f2fd5cd467fa7226eab846a8fd4"/>
          <w:id w:val="-4752688"/>
          <w:placeholder>
            <w:docPart w:val="GBC22222222222222222222222222222"/>
          </w:placeholder>
        </w:sdtPr>
        <w:sdtContent>
          <w:r>
            <w:rPr>
              <w:szCs w:val="21"/>
            </w:rPr>
            <w:t>1.1%</w:t>
          </w:r>
        </w:sdtContent>
      </w:sdt>
      <w:r>
        <w:rPr>
          <w:szCs w:val="21"/>
        </w:rPr>
        <w:t>。</w:t>
      </w:r>
    </w:p>
    <w:p>
      <w:pPr>
        <w:rPr>
          <w:szCs w:val="21"/>
        </w:rPr>
      </w:pPr>
    </w:p>
    <w:p>
      <w:pPr>
        <w:pStyle w:val="affffffd"/>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862508233"/>
        <w:placeholder>
          <w:docPart w:val="GBC22222222222222222222222222222"/>
        </w:placeholder>
      </w:sdtPr>
      <w:sdtContent>
        <w:p>
          <w:pPr>
            <w:pStyle w:val="afffffffffffff8"/>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szCs w:val="21"/>
          </w:rPr>
          <w:alias w:val="单位：前5名销售客户中存在新增客户的或严重依赖于少数客户的情形表"/>
          <w:tag w:val="_GBC_22674a8b80bc41d9ba2de131e15d1af2"/>
          <w:id w:val="71817677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亿元</w:t>
          </w:r>
        </w:sdtContent>
      </w:sdt>
      <w:r>
        <w:rPr>
          <w:rFonts w:hint="eastAsia"/>
          <w:szCs w:val="21"/>
        </w:rPr>
        <w:t xml:space="preserve">  币种：</w:t>
      </w:r>
      <w:sdt>
        <w:sdtPr>
          <w:rPr>
            <w:szCs w:val="21"/>
          </w:rPr>
          <w:alias w:val="币种：前5名销售客户中存在新增客户的或严重依赖于少数客户的情形表"/>
          <w:tag w:val="_GBC_e2457c42f05f41bb95eff5baccf7c4df"/>
          <w:id w:val="12181649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ffffffffffff7"/>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2255"/>
        <w:gridCol w:w="1655"/>
        <w:gridCol w:w="1964"/>
      </w:tblGrid>
      <w:tr>
        <w:trPr>
          <w:trHeight w:val="135"/>
          <w:jc w:val="center"/>
        </w:trPr>
        <w:sdt>
          <w:sdtPr>
            <w:tag w:val="_PLD_56b739c89f6b4e3b98c3214aa6c0ebed"/>
            <w:id w:val="-1301451818"/>
          </w:sdtPr>
          <w:sdtContent>
            <w:tc>
              <w:tcPr>
                <w:tcW w:w="1671" w:type="pct"/>
                <w:shd w:val="clear" w:color="auto" w:fill="auto"/>
                <w:vAlign w:val="center"/>
              </w:tcPr>
              <w:p>
                <w:pPr>
                  <w:jc w:val="center"/>
                  <w:rPr>
                    <w:szCs w:val="21"/>
                  </w:rPr>
                </w:pPr>
                <w:r>
                  <w:rPr>
                    <w:rFonts w:hint="eastAsia"/>
                  </w:rPr>
                  <w:t>客户名称</w:t>
                </w:r>
              </w:p>
            </w:tc>
          </w:sdtContent>
        </w:sdt>
        <w:sdt>
          <w:sdtPr>
            <w:tag w:val="_PLD_929992b727ca44b38f0aeadace422195"/>
            <w:id w:val="1066689872"/>
          </w:sdtPr>
          <w:sdtContent>
            <w:tc>
              <w:tcPr>
                <w:tcW w:w="1278" w:type="pct"/>
                <w:shd w:val="clear" w:color="auto" w:fill="auto"/>
                <w:vAlign w:val="center"/>
              </w:tcPr>
              <w:p>
                <w:pPr>
                  <w:jc w:val="center"/>
                  <w:rPr>
                    <w:szCs w:val="21"/>
                  </w:rPr>
                </w:pPr>
                <w:r>
                  <w:rPr>
                    <w:rFonts w:hint="eastAsia"/>
                  </w:rPr>
                  <w:t>销售额</w:t>
                </w:r>
              </w:p>
            </w:tc>
          </w:sdtContent>
        </w:sdt>
        <w:sdt>
          <w:sdtPr>
            <w:tag w:val="_PLD_ae46fbca7efd4f50ac5928cc7757a5ee"/>
            <w:id w:val="404112128"/>
          </w:sdtPr>
          <w:sdtContent>
            <w:tc>
              <w:tcPr>
                <w:tcW w:w="938" w:type="pct"/>
                <w:vAlign w:val="center"/>
              </w:tcPr>
              <w:p>
                <w:pPr>
                  <w:jc w:val="center"/>
                </w:pPr>
                <w:r>
                  <w:rPr>
                    <w:rFonts w:hint="eastAsia"/>
                  </w:rPr>
                  <w:t>占年度销售总额比例（%）</w:t>
                </w:r>
              </w:p>
            </w:tc>
          </w:sdtContent>
        </w:sdt>
        <w:tc>
          <w:tcPr>
            <w:tcW w:w="1113" w:type="pct"/>
            <w:vAlign w:val="center"/>
          </w:tcPr>
          <w:p>
            <w:pPr>
              <w:jc w:val="center"/>
            </w:pPr>
            <w:r>
              <w:rPr>
                <w:rFonts w:hint="eastAsia"/>
              </w:rPr>
              <w:t>情形</w:t>
            </w:r>
          </w:p>
        </w:tc>
      </w:tr>
      <w:tr>
        <w:trPr>
          <w:trHeight w:val="147"/>
          <w:jc w:val="center"/>
        </w:trPr>
        <w:tc>
          <w:tcPr>
            <w:tcW w:w="1671" w:type="pct"/>
            <w:shd w:val="clear" w:color="auto" w:fill="auto"/>
            <w:vAlign w:val="center"/>
          </w:tcPr>
          <w:p>
            <w:pPr>
              <w:jc w:val="center"/>
              <w:rPr>
                <w:szCs w:val="21"/>
              </w:rPr>
            </w:pPr>
            <w:r>
              <w:rPr>
                <w:rFonts w:hint="eastAsia"/>
                <w:szCs w:val="21"/>
              </w:rPr>
              <w:t>山东瑞中合化工贸易有限公司</w:t>
            </w:r>
          </w:p>
        </w:tc>
        <w:tc>
          <w:tcPr>
            <w:tcW w:w="1278" w:type="pct"/>
            <w:shd w:val="clear" w:color="auto" w:fill="auto"/>
            <w:vAlign w:val="center"/>
          </w:tcPr>
          <w:p>
            <w:pPr>
              <w:jc w:val="center"/>
              <w:rPr>
                <w:szCs w:val="21"/>
              </w:rPr>
            </w:pPr>
            <w:r>
              <w:rPr>
                <w:rFonts w:hint="eastAsia"/>
                <w:szCs w:val="21"/>
              </w:rPr>
              <w:t>1</w:t>
            </w:r>
            <w:r>
              <w:rPr>
                <w:szCs w:val="21"/>
              </w:rPr>
              <w:t>3.19</w:t>
            </w:r>
          </w:p>
        </w:tc>
        <w:tc>
          <w:tcPr>
            <w:tcW w:w="938" w:type="pct"/>
            <w:vAlign w:val="center"/>
          </w:tcPr>
          <w:p>
            <w:pPr>
              <w:jc w:val="center"/>
              <w:rPr>
                <w:szCs w:val="21"/>
              </w:rPr>
            </w:pPr>
            <w:r>
              <w:rPr>
                <w:rFonts w:hint="eastAsia"/>
                <w:szCs w:val="21"/>
              </w:rPr>
              <w:t>1</w:t>
            </w:r>
            <w:r>
              <w:rPr>
                <w:szCs w:val="21"/>
              </w:rPr>
              <w:t>.06</w:t>
            </w:r>
          </w:p>
        </w:tc>
        <w:tc>
          <w:tcPr>
            <w:tcW w:w="1113" w:type="pct"/>
            <w:vAlign w:val="center"/>
          </w:tcPr>
          <w:p>
            <w:pPr>
              <w:jc w:val="center"/>
              <w:rPr>
                <w:szCs w:val="21"/>
              </w:rPr>
            </w:pPr>
            <w:r>
              <w:rPr>
                <w:rFonts w:hint="eastAsia"/>
                <w:szCs w:val="21"/>
              </w:rPr>
              <w:t>新增</w:t>
            </w:r>
          </w:p>
        </w:tc>
      </w:tr>
    </w:tbl>
    <w:p>
      <w:pPr>
        <w:pStyle w:val="affffffd"/>
      </w:pPr>
    </w:p>
    <w:p>
      <w:pPr>
        <w:rPr>
          <w:szCs w:val="21"/>
        </w:rPr>
      </w:pPr>
      <w:r>
        <w:rPr>
          <w:rFonts w:hint="eastAsia"/>
          <w:b/>
          <w:szCs w:val="21"/>
        </w:rPr>
        <w:t>B.</w:t>
      </w:r>
      <w:r>
        <w:rPr>
          <w:rFonts w:hint="eastAsia"/>
          <w:b/>
          <w:lang w:val="zh-CN"/>
        </w:rPr>
        <w:t>公司主要供应商情况</w:t>
      </w:r>
    </w:p>
    <w:sdt>
      <w:sdtPr>
        <w:rPr>
          <w:szCs w:val="21"/>
        </w:rPr>
        <w:alias w:val="是否适用：主要供应商情况[双击切换]"/>
        <w:tag w:val="_GBC_fea16361481c4fe3babe7fcb670d973f"/>
        <w:id w:val="-1351560827"/>
        <w:lock w:val="conten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d"/>
        <w:ind w:firstLineChars="200" w:firstLine="420"/>
      </w:pPr>
      <w:r>
        <w:rPr>
          <w:rFonts w:hint="eastAsia"/>
          <w:szCs w:val="21"/>
        </w:rPr>
        <w:t>最大供应商采购额</w:t>
      </w:r>
      <w:r>
        <w:rPr>
          <w:szCs w:val="21"/>
        </w:rPr>
        <w:t>24.70亿元，占年度采购总额7.1%；</w:t>
      </w:r>
      <w:r>
        <w:rPr>
          <w:rFonts w:hint="eastAsia"/>
          <w:szCs w:val="21"/>
        </w:rPr>
        <w:t>前五名供应商采购额</w:t>
      </w:r>
      <w:sdt>
        <w:sdtPr>
          <w:rPr>
            <w:rFonts w:hint="eastAsia"/>
            <w:szCs w:val="21"/>
          </w:rPr>
          <w:alias w:val="前五名供应商采购额"/>
          <w:tag w:val="_GBC_4552254972a04ec6983b359a0f18d4bf"/>
          <w:id w:val="1167141055"/>
          <w:placeholder>
            <w:docPart w:val="GBC22222222222222222222222222222"/>
          </w:placeholder>
        </w:sdtPr>
        <w:sdtContent>
          <w:r>
            <w:rPr>
              <w:szCs w:val="21"/>
            </w:rPr>
            <w:t>64.34</w:t>
          </w:r>
        </w:sdtContent>
      </w:sdt>
      <w:sdt>
        <w:sdtPr>
          <w:rPr>
            <w:rFonts w:hint="eastAsia"/>
            <w:szCs w:val="21"/>
          </w:rPr>
          <w:alias w:val="单位：前五名供应商采购额"/>
          <w:tag w:val="_GBC_418fcbdb1c1a4643afb7cce014bdeca2"/>
          <w:id w:val="18484392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亿元</w:t>
          </w:r>
        </w:sdtContent>
      </w:sdt>
      <w:r>
        <w:rPr>
          <w:szCs w:val="21"/>
        </w:rPr>
        <w:t>，占年度采购总额</w:t>
      </w:r>
      <w:sdt>
        <w:sdtPr>
          <w:rPr>
            <w:szCs w:val="21"/>
          </w:rPr>
          <w:alias w:val="前五名供应商采购额占年度采购总额比例"/>
          <w:tag w:val="_GBC_f32c49f691154cc4b6ba587f4a582958"/>
          <w:id w:val="2007395622"/>
          <w:placeholder>
            <w:docPart w:val="GBC22222222222222222222222222222"/>
          </w:placeholder>
        </w:sdtPr>
        <w:sdtContent>
          <w:r>
            <w:rPr>
              <w:szCs w:val="21"/>
            </w:rPr>
            <w:t>18.5%</w:t>
          </w:r>
        </w:sdtContent>
      </w:sdt>
      <w:r>
        <w:rPr>
          <w:szCs w:val="21"/>
        </w:rPr>
        <w:t>；其中前五名供应商采购额中关联方采购额</w:t>
      </w:r>
      <w:sdt>
        <w:sdtPr>
          <w:rPr>
            <w:szCs w:val="21"/>
          </w:rPr>
          <w:alias w:val="前五名供应商采购额中关联方采购额"/>
          <w:tag w:val="_GBC_b4791060802442e186017fdd5f31805a"/>
          <w:id w:val="-1727367747"/>
          <w:placeholder>
            <w:docPart w:val="GBC22222222222222222222222222222"/>
          </w:placeholder>
        </w:sdtPr>
        <w:sdtContent>
          <w:r>
            <w:rPr>
              <w:szCs w:val="21"/>
            </w:rPr>
            <w:t>0</w:t>
          </w:r>
        </w:sdtContent>
      </w:sdt>
      <w:sdt>
        <w:sdtPr>
          <w:rPr>
            <w:szCs w:val="21"/>
          </w:rPr>
          <w:alias w:val="单位：前五名供应商采购额中关联方采购额"/>
          <w:tag w:val="_GBC_bac6c3f63a9a4b0db685f5ee8e883818"/>
          <w:id w:val="10272998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亿元</w:t>
          </w:r>
        </w:sdtContent>
      </w:sdt>
      <w:r>
        <w:rPr>
          <w:szCs w:val="21"/>
        </w:rPr>
        <w:t>，占年度采购总额</w:t>
      </w:r>
      <w:sdt>
        <w:sdtPr>
          <w:rPr>
            <w:szCs w:val="21"/>
          </w:rPr>
          <w:alias w:val="前五名供应商采购额中关联方采购额占年度采购总额比例"/>
          <w:tag w:val="_GBC_41b2f0a67a5743e1a4ccf8f427eec0a3"/>
          <w:id w:val="-2141798531"/>
          <w:placeholder>
            <w:docPart w:val="GBC22222222222222222222222222222"/>
          </w:placeholder>
        </w:sdtPr>
        <w:sdtContent>
          <w:r>
            <w:rPr>
              <w:szCs w:val="21"/>
            </w:rPr>
            <w:t>0%</w:t>
          </w:r>
        </w:sdtContent>
      </w:sdt>
      <w:r>
        <w:rPr>
          <w:rFonts w:hint="eastAsia"/>
        </w:rPr>
        <w:t>。</w:t>
      </w:r>
    </w:p>
    <w:p>
      <w:pPr>
        <w:rPr>
          <w:szCs w:val="21"/>
        </w:rPr>
      </w:pPr>
    </w:p>
    <w:p>
      <w:pPr>
        <w:pStyle w:val="affffffd"/>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2031758528"/>
        <w:placeholder>
          <w:docPart w:val="GBC22222222222222222222222222222"/>
        </w:placeholder>
      </w:sdtPr>
      <w:sdtContent>
        <w:p>
          <w:pPr>
            <w:pStyle w:val="afffffffffffff8"/>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70" w:name="_Hlk184741846" w:displacedByCustomXml="prev"/>
    <w:p>
      <w:pPr>
        <w:pStyle w:val="afffffffffffff8"/>
      </w:pPr>
    </w:p>
    <w:p>
      <w:pPr>
        <w:rPr>
          <w:szCs w:val="21"/>
        </w:rPr>
      </w:pPr>
      <w:r>
        <w:rPr>
          <w:rFonts w:hint="eastAsia"/>
          <w:szCs w:val="21"/>
        </w:rPr>
        <w:t>其他说明：</w:t>
      </w:r>
    </w:p>
    <w:sdt>
      <w:sdtPr>
        <w:rPr>
          <w:szCs w:val="21"/>
        </w:rPr>
        <w:alias w:val="主要销售客户及主要供应商情况其他说明"/>
        <w:tag w:val="_GBC_671f841429ed4c5aaa013b86ad58b88f"/>
        <w:id w:val="61995525"/>
        <w:placeholder>
          <w:docPart w:val="GBC22222222222222222222222222222"/>
        </w:placeholder>
      </w:sdtPr>
      <w:sdtContent>
        <w:p>
          <w:pPr>
            <w:ind w:firstLineChars="200" w:firstLine="420"/>
            <w:jc w:val="both"/>
            <w:rPr>
              <w:szCs w:val="21"/>
            </w:rPr>
          </w:pPr>
          <w:r>
            <w:rPr>
              <w:rFonts w:hint="eastAsia"/>
              <w:szCs w:val="21"/>
            </w:rPr>
            <w:t>①最大客户、前五大客户和最大供应商、前五大供应商为本集团主营业务自产商品的相关客户和供应商。</w:t>
          </w:r>
        </w:p>
        <w:p>
          <w:pPr>
            <w:ind w:firstLineChars="200" w:firstLine="420"/>
            <w:jc w:val="both"/>
            <w:rPr>
              <w:szCs w:val="21"/>
            </w:rPr>
          </w:pPr>
          <w:r>
            <w:rPr>
              <w:rFonts w:hint="eastAsia"/>
              <w:szCs w:val="21"/>
            </w:rPr>
            <w:t>②上述客户及供应商均为稳定运营的境内外公司。本集团设有专业机构，对客户及供应商进行资质审查、授信管理等动态监测及调整，以防范风险。</w:t>
          </w:r>
        </w:p>
      </w:sdtContent>
    </w:sdt>
    <w:p>
      <w:pPr>
        <w:rPr>
          <w:szCs w:val="21"/>
        </w:rPr>
      </w:pPr>
    </w:p>
    <w:bookmarkEnd w:id="70"/>
    <w:p>
      <w:pPr>
        <w:pStyle w:val="4"/>
        <w:numPr>
          <w:ilvl w:val="0"/>
          <w:numId w:val="18"/>
        </w:numPr>
      </w:pPr>
      <w:r>
        <w:rPr>
          <w:rFonts w:hint="eastAsia"/>
        </w:rPr>
        <w:t>费用</w:t>
      </w:r>
    </w:p>
    <w:sdt>
      <w:sdtPr>
        <w:alias w:val="是否适用：费用[双击切换]"/>
        <w:tag w:val="_GBC_fa9cd5e43a8f426c8b793a737190d8db"/>
        <w:id w:val="-138803763"/>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882015852"/>
        <w:placeholder>
          <w:docPart w:val="GBC22222222222222222222222222222"/>
        </w:placeholder>
      </w:sdtPr>
      <w:sdtContent>
        <w:p>
          <w:pPr>
            <w:ind w:firstLineChars="200" w:firstLine="420"/>
            <w:rPr>
              <w:szCs w:val="21"/>
            </w:rPr>
          </w:pPr>
          <w:r>
            <w:rPr>
              <w:rFonts w:hint="eastAsia"/>
              <w:szCs w:val="21"/>
            </w:rPr>
            <w:t>费用变动分析详情请见本节“利润表及现金流量表相关科目变动分析表”相关内容。</w:t>
          </w:r>
        </w:p>
        <w:p>
          <w:pPr>
            <w:ind w:firstLineChars="200" w:firstLine="420"/>
            <w:rPr>
              <w:szCs w:val="21"/>
            </w:rPr>
          </w:pPr>
        </w:p>
      </w:sdtContent>
    </w:sdt>
    <w:p>
      <w:pPr>
        <w:pStyle w:val="4"/>
        <w:numPr>
          <w:ilvl w:val="0"/>
          <w:numId w:val="18"/>
        </w:numPr>
      </w:pPr>
      <w:r>
        <w:rPr>
          <w:rFonts w:hint="eastAsia"/>
        </w:rPr>
        <w:t>研发投入</w:t>
      </w:r>
    </w:p>
    <w:p>
      <w:pPr>
        <w:pStyle w:val="afffffb"/>
        <w:numPr>
          <w:ilvl w:val="0"/>
          <w:numId w:val="22"/>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787703415"/>
        <w:placeholder>
          <w:docPart w:val="GBC22222222222222222222222222222"/>
        </w:placeholder>
      </w:sdtPr>
      <w:sdtContent>
        <w:p>
          <w:pPr>
            <w:rPr>
              <w:rStyle w:val="50"/>
              <w:b w:val="0"/>
              <w:szCs w:val="21"/>
            </w:rPr>
          </w:pPr>
          <w:r>
            <w:rPr>
              <w:rStyle w:val="50"/>
              <w:b w:val="0"/>
              <w:szCs w:val="21"/>
            </w:rPr>
            <w:fldChar w:fldCharType="begin"/>
          </w:r>
          <w:r>
            <w:rPr>
              <w:rStyle w:val="50"/>
              <w:b w:val="0"/>
              <w:szCs w:val="21"/>
            </w:rPr>
            <w:instrText xml:space="preserve"> 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p>
      <w:pPr>
        <w:jc w:val="right"/>
        <w:rPr>
          <w:rStyle w:val="50"/>
          <w:b w:val="0"/>
          <w:szCs w:val="21"/>
        </w:rPr>
      </w:pPr>
      <w:r>
        <w:rPr>
          <w:rFonts w:hint="eastAsia"/>
          <w:szCs w:val="21"/>
        </w:rPr>
        <w:t>单位：</w:t>
      </w:r>
      <w:sdt>
        <w:sdtPr>
          <w:rPr>
            <w:rFonts w:hint="eastAsia"/>
            <w:szCs w:val="21"/>
          </w:rPr>
          <w:alias w:val="单位：研发投入"/>
          <w:tag w:val="_GBC_74cd81424a3c41dd9b3b9f335eae8c21"/>
          <w:id w:val="-16085718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百万元</w:t>
          </w:r>
        </w:sdtContent>
      </w:sdt>
    </w:p>
    <w:tbl>
      <w:tblPr>
        <w:tblStyle w:val="afffff7"/>
        <w:tblW w:w="5000" w:type="pct"/>
        <w:tblLook w:val="04A0" w:firstRow="1" w:lastRow="0" w:firstColumn="1" w:lastColumn="0" w:noHBand="0" w:noVBand="1"/>
      </w:tblPr>
      <w:tblGrid>
        <w:gridCol w:w="3700"/>
        <w:gridCol w:w="5123"/>
      </w:tblGrid>
      <w:tr>
        <w:trPr>
          <w:trHeight w:val="135"/>
        </w:trPr>
        <w:sdt>
          <w:sdtPr>
            <w:tag w:val="_PLD_34e4faf6ae244cfbac1fd41757cfe96b"/>
            <w:id w:val="-1888862031"/>
          </w:sdtPr>
          <w:sdtContent>
            <w:tc>
              <w:tcPr>
                <w:tcW w:w="2097" w:type="pct"/>
              </w:tcPr>
              <w:p>
                <w:pPr>
                  <w:rPr>
                    <w:rStyle w:val="50"/>
                    <w:b w:val="0"/>
                    <w:bCs w:val="0"/>
                    <w:szCs w:val="21"/>
                  </w:rPr>
                </w:pPr>
                <w:r>
                  <w:rPr>
                    <w:szCs w:val="21"/>
                  </w:rPr>
                  <w:t>本期费用化研发</w:t>
                </w:r>
                <w:r>
                  <w:rPr>
                    <w:rFonts w:hint="eastAsia"/>
                    <w:szCs w:val="21"/>
                  </w:rPr>
                  <w:t>投入</w:t>
                </w:r>
              </w:p>
            </w:tc>
          </w:sdtContent>
        </w:sdt>
        <w:sdt>
          <w:sdtPr>
            <w:rPr>
              <w:rStyle w:val="50"/>
              <w:rFonts w:hint="eastAsia"/>
              <w:b w:val="0"/>
              <w:szCs w:val="21"/>
            </w:rPr>
            <w:alias w:val="费用化研发投入"/>
            <w:tag w:val="_GBC_4fb175bc5990483bb41db359eecfdbdb"/>
            <w:id w:val="201684794"/>
          </w:sdtPr>
          <w:sdtContent>
            <w:tc>
              <w:tcPr>
                <w:tcW w:w="2903" w:type="pct"/>
                <w:vAlign w:val="center"/>
              </w:tcPr>
              <w:p>
                <w:pPr>
                  <w:jc w:val="right"/>
                  <w:rPr>
                    <w:rStyle w:val="50"/>
                    <w:b w:val="0"/>
                    <w:szCs w:val="21"/>
                  </w:rPr>
                </w:pPr>
                <w:r>
                  <w:rPr>
                    <w:rStyle w:val="50"/>
                    <w:b w:val="0"/>
                    <w:szCs w:val="21"/>
                  </w:rPr>
                  <w:t>2,7</w:t>
                </w:r>
                <w:r>
                  <w:rPr>
                    <w:rStyle w:val="50"/>
                    <w:b w:val="0"/>
                  </w:rPr>
                  <w:t>35</w:t>
                </w:r>
              </w:p>
            </w:tc>
          </w:sdtContent>
        </w:sdt>
      </w:tr>
      <w:tr>
        <w:trPr>
          <w:trHeight w:val="147"/>
        </w:trPr>
        <w:tc>
          <w:tcPr>
            <w:tcW w:w="2097" w:type="pct"/>
          </w:tcPr>
          <w:p>
            <w:pPr>
              <w:rPr>
                <w:rStyle w:val="50"/>
                <w:szCs w:val="21"/>
              </w:rPr>
            </w:pPr>
            <w:r>
              <w:rPr>
                <w:szCs w:val="21"/>
              </w:rPr>
              <w:t>本期资本化研发</w:t>
            </w:r>
            <w:r>
              <w:rPr>
                <w:rFonts w:hint="eastAsia"/>
                <w:szCs w:val="21"/>
              </w:rPr>
              <w:t>投入</w:t>
            </w:r>
          </w:p>
        </w:tc>
        <w:tc>
          <w:tcPr>
            <w:tcW w:w="2903" w:type="pct"/>
            <w:vAlign w:val="center"/>
          </w:tcPr>
          <w:p>
            <w:pPr>
              <w:jc w:val="right"/>
              <w:rPr>
                <w:rStyle w:val="50"/>
                <w:b w:val="0"/>
                <w:szCs w:val="21"/>
              </w:rPr>
            </w:pPr>
            <w:r>
              <w:rPr>
                <w:rStyle w:val="50"/>
                <w:b w:val="0"/>
                <w:szCs w:val="21"/>
              </w:rPr>
              <w:t>0</w:t>
            </w:r>
          </w:p>
        </w:tc>
      </w:tr>
      <w:tr>
        <w:trPr>
          <w:trHeight w:val="102"/>
        </w:trPr>
        <w:tc>
          <w:tcPr>
            <w:tcW w:w="2097" w:type="pct"/>
          </w:tcPr>
          <w:p>
            <w:pPr>
              <w:rPr>
                <w:rStyle w:val="50"/>
                <w:szCs w:val="21"/>
              </w:rPr>
            </w:pPr>
            <w:r>
              <w:rPr>
                <w:szCs w:val="21"/>
              </w:rPr>
              <w:t>研发</w:t>
            </w:r>
            <w:r>
              <w:rPr>
                <w:rFonts w:hint="eastAsia"/>
                <w:szCs w:val="21"/>
              </w:rPr>
              <w:t>投入</w:t>
            </w:r>
            <w:r>
              <w:rPr>
                <w:szCs w:val="21"/>
              </w:rPr>
              <w:t>合计</w:t>
            </w:r>
          </w:p>
        </w:tc>
        <w:tc>
          <w:tcPr>
            <w:tcW w:w="2903" w:type="pct"/>
            <w:vAlign w:val="center"/>
          </w:tcPr>
          <w:p>
            <w:pPr>
              <w:jc w:val="right"/>
              <w:rPr>
                <w:rStyle w:val="50"/>
                <w:b w:val="0"/>
                <w:szCs w:val="21"/>
              </w:rPr>
            </w:pPr>
            <w:r>
              <w:rPr>
                <w:rStyle w:val="50"/>
                <w:rFonts w:hint="eastAsia"/>
                <w:b w:val="0"/>
                <w:szCs w:val="21"/>
              </w:rPr>
              <w:t>2</w:t>
            </w:r>
            <w:r>
              <w:rPr>
                <w:rStyle w:val="50"/>
                <w:b w:val="0"/>
                <w:szCs w:val="21"/>
              </w:rPr>
              <w:t>,</w:t>
            </w:r>
            <w:r>
              <w:rPr>
                <w:rStyle w:val="50"/>
                <w:b w:val="0"/>
              </w:rPr>
              <w:t>735</w:t>
            </w:r>
          </w:p>
        </w:tc>
      </w:tr>
      <w:tr>
        <w:trPr>
          <w:trHeight w:val="135"/>
        </w:trPr>
        <w:tc>
          <w:tcPr>
            <w:tcW w:w="2097" w:type="pct"/>
          </w:tcPr>
          <w:p>
            <w:pPr>
              <w:rPr>
                <w:rStyle w:val="50"/>
                <w:szCs w:val="21"/>
              </w:rPr>
            </w:pPr>
            <w:r>
              <w:rPr>
                <w:szCs w:val="21"/>
              </w:rPr>
              <w:t>研发</w:t>
            </w:r>
            <w:r>
              <w:rPr>
                <w:rFonts w:hint="eastAsia"/>
                <w:szCs w:val="21"/>
              </w:rPr>
              <w:t>投入</w:t>
            </w:r>
            <w:r>
              <w:rPr>
                <w:szCs w:val="21"/>
              </w:rPr>
              <w:t>总额占营业收入比例（%）</w:t>
            </w:r>
          </w:p>
        </w:tc>
        <w:tc>
          <w:tcPr>
            <w:tcW w:w="2903" w:type="pct"/>
            <w:vAlign w:val="center"/>
          </w:tcPr>
          <w:p>
            <w:pPr>
              <w:jc w:val="right"/>
              <w:rPr>
                <w:rStyle w:val="50"/>
                <w:b w:val="0"/>
                <w:szCs w:val="21"/>
              </w:rPr>
            </w:pPr>
            <w:r>
              <w:rPr>
                <w:rStyle w:val="50"/>
                <w:b w:val="0"/>
                <w:szCs w:val="21"/>
              </w:rPr>
              <w:t xml:space="preserve">1.97 </w:t>
            </w:r>
          </w:p>
        </w:tc>
      </w:tr>
      <w:tr>
        <w:trPr>
          <w:trHeight w:val="135"/>
        </w:trPr>
        <w:tc>
          <w:tcPr>
            <w:tcW w:w="2097" w:type="pct"/>
          </w:tcPr>
          <w:p>
            <w:pPr>
              <w:rPr>
                <w:szCs w:val="21"/>
              </w:rPr>
            </w:pPr>
            <w:r>
              <w:rPr>
                <w:rFonts w:hint="eastAsia"/>
                <w:szCs w:val="21"/>
              </w:rPr>
              <w:t>研发投入资本化的比重</w:t>
            </w:r>
            <w:r>
              <w:rPr>
                <w:szCs w:val="21"/>
              </w:rPr>
              <w:t>（%）</w:t>
            </w:r>
          </w:p>
        </w:tc>
        <w:tc>
          <w:tcPr>
            <w:tcW w:w="2903" w:type="pct"/>
            <w:vAlign w:val="center"/>
          </w:tcPr>
          <w:p>
            <w:pPr>
              <w:jc w:val="right"/>
              <w:rPr>
                <w:bCs/>
                <w:szCs w:val="21"/>
              </w:rPr>
            </w:pPr>
            <w:r>
              <w:rPr>
                <w:rFonts w:hint="eastAsia"/>
                <w:bCs/>
                <w:szCs w:val="21"/>
              </w:rPr>
              <w:t>0</w:t>
            </w:r>
          </w:p>
        </w:tc>
      </w:tr>
    </w:tbl>
    <w:p>
      <w:pPr>
        <w:pStyle w:val="affffffd"/>
      </w:pPr>
    </w:p>
    <w:p>
      <w:pPr>
        <w:pStyle w:val="afffffb"/>
        <w:numPr>
          <w:ilvl w:val="0"/>
          <w:numId w:val="22"/>
        </w:numPr>
        <w:spacing w:before="60" w:after="60"/>
        <w:ind w:firstLineChars="0"/>
        <w:rPr>
          <w:rStyle w:val="50"/>
          <w:szCs w:val="21"/>
        </w:rPr>
      </w:pPr>
      <w:bookmarkStart w:id="71" w:name="_Hlk89876622"/>
      <w:r>
        <w:rPr>
          <w:rStyle w:val="50"/>
          <w:szCs w:val="21"/>
        </w:rPr>
        <w:t>研发人员情况表</w:t>
      </w:r>
    </w:p>
    <w:sdt>
      <w:sdtPr>
        <w:rPr>
          <w:rFonts w:hint="eastAsia"/>
        </w:rPr>
        <w:alias w:val="是否适用：研发人员情况[双击切换]"/>
        <w:tag w:val="_GBC_ef3f376f125b4e219be789ed3078c140"/>
        <w:id w:val="1389294663"/>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tbl>
      <w:tblPr>
        <w:tblStyle w:val="affffffffffff7"/>
        <w:tblW w:w="5000" w:type="pct"/>
        <w:jc w:val="center"/>
        <w:tblLook w:val="04A0" w:firstRow="1" w:lastRow="0" w:firstColumn="1" w:lastColumn="0" w:noHBand="0" w:noVBand="1"/>
      </w:tblPr>
      <w:tblGrid>
        <w:gridCol w:w="5601"/>
        <w:gridCol w:w="3222"/>
      </w:tblGrid>
      <w:tr>
        <w:trPr>
          <w:trHeight w:val="270"/>
          <w:jc w:val="center"/>
        </w:trPr>
        <w:sdt>
          <w:sdtPr>
            <w:tag w:val="_PLD_13cec8f1a3504661b1b570efe7519fa3"/>
            <w:id w:val="-1298611253"/>
          </w:sdtPr>
          <w:sdtContent>
            <w:tc>
              <w:tcPr>
                <w:tcW w:w="3174" w:type="pct"/>
                <w:tcBorders>
                  <w:top w:val="single" w:sz="4" w:space="0" w:color="auto"/>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公司研发人员的数量</w:t>
                </w:r>
              </w:p>
            </w:tc>
          </w:sdtContent>
        </w:sdt>
        <w:tc>
          <w:tcPr>
            <w:tcW w:w="1826" w:type="pct"/>
            <w:tcBorders>
              <w:top w:val="single" w:sz="4" w:space="0" w:color="auto"/>
              <w:left w:val="nil"/>
              <w:bottom w:val="single" w:sz="4" w:space="0" w:color="auto"/>
              <w:right w:val="single" w:sz="4" w:space="0" w:color="auto"/>
            </w:tcBorders>
            <w:shd w:val="clear" w:color="auto" w:fill="auto"/>
            <w:vAlign w:val="center"/>
            <w:hideMark/>
          </w:tcPr>
          <w:p>
            <w:pPr>
              <w:jc w:val="right"/>
            </w:pPr>
            <w:r>
              <w:t>4,491</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研发人员数量占公司总人数的比例（%）</w:t>
            </w:r>
          </w:p>
        </w:tc>
        <w:tc>
          <w:tcPr>
            <w:tcW w:w="1826" w:type="pct"/>
            <w:tcBorders>
              <w:top w:val="nil"/>
              <w:left w:val="nil"/>
              <w:bottom w:val="single" w:sz="4" w:space="0" w:color="auto"/>
              <w:right w:val="single" w:sz="4" w:space="0" w:color="auto"/>
            </w:tcBorders>
            <w:shd w:val="clear" w:color="auto" w:fill="auto"/>
            <w:vAlign w:val="center"/>
            <w:hideMark/>
          </w:tcPr>
          <w:p>
            <w:pPr>
              <w:jc w:val="right"/>
            </w:pPr>
            <w:r>
              <w:rPr>
                <w:rFonts w:hint="eastAsia"/>
              </w:rPr>
              <w:t>5</w:t>
            </w:r>
            <w:r>
              <w:t>.76</w:t>
            </w:r>
          </w:p>
        </w:tc>
      </w:tr>
      <w:tr>
        <w:trPr>
          <w:trHeight w:val="270"/>
          <w:jc w:val="center"/>
        </w:trPr>
        <w:sdt>
          <w:sdtPr>
            <w:tag w:val="_PLD_b048dc379aae455a86f744476f1bb4a1"/>
            <w:id w:val="-1757123808"/>
          </w:sdtPr>
          <w:sdtContent>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rPr>
                    <w:szCs w:val="21"/>
                  </w:rPr>
                </w:pPr>
                <w:r>
                  <w:rPr>
                    <w:rFonts w:hint="eastAsia"/>
                    <w:szCs w:val="21"/>
                  </w:rPr>
                  <w:t>研发人员学历结构</w:t>
                </w:r>
              </w:p>
            </w:tc>
          </w:sdtContent>
        </w:sdt>
      </w:tr>
      <w:tr>
        <w:trPr>
          <w:trHeight w:val="270"/>
          <w:jc w:val="center"/>
        </w:trPr>
        <w:sdt>
          <w:sdtPr>
            <w:tag w:val="_PLD_f770501e43654648a563d2a86970204f"/>
            <w:id w:val="306215579"/>
          </w:sdt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学历结构类别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pPr>
              <w:jc w:val="center"/>
              <w:rPr>
                <w:szCs w:val="21"/>
              </w:rPr>
            </w:pPr>
            <w:r>
              <w:rPr>
                <w:rFonts w:hint="eastAsia"/>
                <w:szCs w:val="21"/>
              </w:rPr>
              <w:t>学历结构人数</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博士研究生</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2</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硕士研究生</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259</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本科</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3,253</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专科</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635</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高中及以下</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342</w:t>
            </w:r>
          </w:p>
        </w:tc>
      </w:tr>
      <w:tr>
        <w:trPr>
          <w:trHeight w:val="270"/>
          <w:jc w:val="center"/>
        </w:trPr>
        <w:sdt>
          <w:sdtPr>
            <w:tag w:val="_PLD_10352dc928264c50aa8776e0ae8ec569"/>
            <w:id w:val="-247581593"/>
          </w:sdtPr>
          <w:sdtContent>
            <w:tc>
              <w:tcPr>
                <w:tcW w:w="5000" w:type="pct"/>
                <w:gridSpan w:val="2"/>
                <w:tcBorders>
                  <w:top w:val="nil"/>
                  <w:left w:val="single" w:sz="4" w:space="0" w:color="auto"/>
                  <w:bottom w:val="single" w:sz="4" w:space="0" w:color="auto"/>
                  <w:right w:val="single" w:sz="4" w:space="0" w:color="auto"/>
                </w:tcBorders>
                <w:shd w:val="clear" w:color="auto" w:fill="auto"/>
                <w:vAlign w:val="center"/>
                <w:hideMark/>
              </w:tcPr>
              <w:p>
                <w:pPr>
                  <w:jc w:val="center"/>
                  <w:rPr>
                    <w:szCs w:val="21"/>
                  </w:rPr>
                </w:pPr>
                <w:r>
                  <w:rPr>
                    <w:rFonts w:hint="eastAsia"/>
                    <w:szCs w:val="21"/>
                  </w:rPr>
                  <w:t>研发人员年龄结构</w:t>
                </w:r>
              </w:p>
            </w:tc>
          </w:sdtContent>
        </w:sdt>
      </w:tr>
      <w:tr>
        <w:trPr>
          <w:trHeight w:val="270"/>
          <w:jc w:val="center"/>
        </w:trPr>
        <w:sdt>
          <w:sdtPr>
            <w:tag w:val="_PLD_b9dd411387bd4ae4b04fe660cc0aac1b"/>
            <w:id w:val="-1490168180"/>
          </w:sdtPr>
          <w:sdtContent>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年龄结构类别</w:t>
                </w:r>
              </w:p>
            </w:tc>
          </w:sdtContent>
        </w:sdt>
        <w:tc>
          <w:tcPr>
            <w:tcW w:w="1826" w:type="pct"/>
            <w:tcBorders>
              <w:top w:val="nil"/>
              <w:left w:val="nil"/>
              <w:bottom w:val="single" w:sz="4" w:space="0" w:color="auto"/>
              <w:right w:val="single" w:sz="4" w:space="0" w:color="auto"/>
            </w:tcBorders>
            <w:shd w:val="clear" w:color="auto" w:fill="auto"/>
            <w:noWrap/>
            <w:vAlign w:val="center"/>
            <w:hideMark/>
          </w:tcPr>
          <w:p>
            <w:pPr>
              <w:jc w:val="center"/>
              <w:rPr>
                <w:szCs w:val="21"/>
              </w:rPr>
            </w:pPr>
            <w:r>
              <w:rPr>
                <w:rFonts w:hint="eastAsia"/>
                <w:szCs w:val="21"/>
              </w:rPr>
              <w:t>年龄结构人数</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jc w:val="both"/>
              <w:rPr>
                <w:szCs w:val="21"/>
              </w:rPr>
            </w:pPr>
            <w:r>
              <w:rPr>
                <w:rFonts w:hint="eastAsia"/>
                <w:szCs w:val="21"/>
              </w:rPr>
              <w:t>30岁以下（不含30岁）</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605</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30-40岁（含30岁，不含40岁）</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1,685</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40-50岁（含40岁，不含50岁）</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1,706</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50-60岁（含50岁，不含60岁）</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495</w:t>
            </w:r>
          </w:p>
        </w:tc>
      </w:tr>
      <w:tr>
        <w:trPr>
          <w:trHeight w:val="270"/>
          <w:jc w:val="center"/>
        </w:trPr>
        <w:tc>
          <w:tcPr>
            <w:tcW w:w="3174" w:type="pct"/>
            <w:tcBorders>
              <w:top w:val="nil"/>
              <w:left w:val="single" w:sz="4" w:space="0" w:color="auto"/>
              <w:bottom w:val="single" w:sz="4" w:space="0" w:color="auto"/>
              <w:right w:val="single" w:sz="4" w:space="0" w:color="auto"/>
            </w:tcBorders>
            <w:shd w:val="clear" w:color="auto" w:fill="auto"/>
            <w:vAlign w:val="center"/>
            <w:hideMark/>
          </w:tcPr>
          <w:p>
            <w:pPr>
              <w:rPr>
                <w:szCs w:val="21"/>
              </w:rPr>
            </w:pPr>
            <w:r>
              <w:rPr>
                <w:rFonts w:hint="eastAsia"/>
                <w:szCs w:val="21"/>
              </w:rPr>
              <w:t>60岁及以上</w:t>
            </w:r>
          </w:p>
        </w:tc>
        <w:tc>
          <w:tcPr>
            <w:tcW w:w="1826" w:type="pct"/>
            <w:tcBorders>
              <w:top w:val="nil"/>
              <w:left w:val="nil"/>
              <w:bottom w:val="single" w:sz="4" w:space="0" w:color="auto"/>
              <w:right w:val="single" w:sz="4" w:space="0" w:color="auto"/>
            </w:tcBorders>
            <w:shd w:val="clear" w:color="auto" w:fill="auto"/>
            <w:noWrap/>
            <w:vAlign w:val="center"/>
            <w:hideMark/>
          </w:tcPr>
          <w:p>
            <w:pPr>
              <w:jc w:val="right"/>
            </w:pPr>
            <w:r>
              <w:t>0</w:t>
            </w:r>
          </w:p>
        </w:tc>
      </w:tr>
    </w:tbl>
    <w:p>
      <w:pPr>
        <w:pStyle w:val="affffffd"/>
      </w:pPr>
    </w:p>
    <w:bookmarkEnd w:id="71"/>
    <w:p>
      <w:pPr>
        <w:pStyle w:val="afffffb"/>
        <w:numPr>
          <w:ilvl w:val="0"/>
          <w:numId w:val="22"/>
        </w:numPr>
        <w:spacing w:before="60" w:after="60"/>
        <w:ind w:firstLineChars="0"/>
        <w:rPr>
          <w:rStyle w:val="50"/>
          <w:szCs w:val="21"/>
        </w:rPr>
      </w:pPr>
      <w:r>
        <w:rPr>
          <w:rStyle w:val="50"/>
          <w:szCs w:val="21"/>
        </w:rPr>
        <w:t>情况说明</w:t>
      </w:r>
    </w:p>
    <w:sdt>
      <w:sdtPr>
        <w:rPr>
          <w:rStyle w:val="50"/>
          <w:b w:val="0"/>
          <w:szCs w:val="21"/>
        </w:rPr>
        <w:alias w:val="是否适用：研发投入情况说明[双击切换]"/>
        <w:tag w:val="_GBC_b983f5c63407411d82434ca6547deae8"/>
        <w:id w:val="673298761"/>
        <w:placeholder>
          <w:docPart w:val="GBC22222222222222222222222222222"/>
        </w:placeholder>
      </w:sdtPr>
      <w:sdtContent>
        <w:p>
          <w:pPr>
            <w:spacing w:before="60" w:after="60"/>
            <w:rPr>
              <w:rStyle w:val="50"/>
              <w:b w:val="0"/>
              <w:szCs w:val="21"/>
            </w:rPr>
          </w:pPr>
          <w:r>
            <w:rPr>
              <w:rStyle w:val="50"/>
              <w:b w:val="0"/>
              <w:szCs w:val="21"/>
            </w:rPr>
            <w:fldChar w:fldCharType="begin"/>
          </w:r>
          <w:r>
            <w:rPr>
              <w:rStyle w:val="50"/>
              <w:b w:val="0"/>
              <w:szCs w:val="21"/>
            </w:rPr>
            <w:instrText xml:space="preserve">MACROBUTTON  SnrToggleCheckbox √适用 </w:instrText>
          </w:r>
          <w:r>
            <w:rPr>
              <w:rStyle w:val="50"/>
              <w:b w:val="0"/>
              <w:szCs w:val="21"/>
            </w:rPr>
            <w:fldChar w:fldCharType="end"/>
          </w:r>
          <w:r>
            <w:rPr>
              <w:rStyle w:val="50"/>
              <w:b w:val="0"/>
              <w:szCs w:val="21"/>
            </w:rPr>
            <w:fldChar w:fldCharType="begin"/>
          </w:r>
          <w:r>
            <w:rPr>
              <w:rStyle w:val="50"/>
              <w:b w:val="0"/>
              <w:szCs w:val="21"/>
            </w:rPr>
            <w:instrText xml:space="preserve"> MACROBUTTON  SnrToggleCheckbox □不适用 </w:instrText>
          </w:r>
          <w:r>
            <w:rPr>
              <w:rStyle w:val="50"/>
              <w:b w:val="0"/>
              <w:szCs w:val="21"/>
            </w:rPr>
            <w:fldChar w:fldCharType="end"/>
          </w:r>
        </w:p>
      </w:sdtContent>
    </w:sdt>
    <w:sdt>
      <w:sdtPr>
        <w:rPr>
          <w:rStyle w:val="50"/>
          <w:rFonts w:hint="eastAsia"/>
          <w:b w:val="0"/>
          <w:szCs w:val="21"/>
        </w:rPr>
        <w:alias w:val="研发投入情况说明"/>
        <w:tag w:val="_GBC_29b7bc5a44244641bea57d5a14dde83b"/>
        <w:id w:val="2097747033"/>
        <w:placeholder>
          <w:docPart w:val="GBC22222222222222222222222222222"/>
        </w:placeholder>
      </w:sdtPr>
      <w:sdtEndPr>
        <w:rPr>
          <w:rStyle w:val="50"/>
          <w:b/>
        </w:rPr>
      </w:sdtEndPr>
      <w:sdtContent>
        <w:p>
          <w:pPr>
            <w:ind w:firstLineChars="200" w:firstLine="420"/>
            <w:jc w:val="both"/>
            <w:rPr>
              <w:rStyle w:val="50"/>
              <w:b w:val="0"/>
              <w:szCs w:val="21"/>
            </w:rPr>
          </w:pPr>
          <w:r>
            <w:rPr>
              <w:rStyle w:val="50"/>
              <w:rFonts w:hint="eastAsia"/>
              <w:b w:val="0"/>
              <w:szCs w:val="21"/>
            </w:rPr>
            <w:t>兖矿能源牢固树立“科技是第一生产力”理念，加快推动以“抢占战略先机、带动产业突破、解决生产难题”为中心的重大科技攻关，全面提升自主创新能力，掌握一批关键核心技术，不断增强产业竞争优势，为加快建设国际一流、可持续发展的清洁能源引领示范企业提供坚强支撑。</w:t>
          </w:r>
        </w:p>
        <w:p>
          <w:pPr>
            <w:ind w:firstLineChars="200" w:firstLine="420"/>
            <w:jc w:val="both"/>
            <w:rPr>
              <w:rStyle w:val="50"/>
              <w:b w:val="0"/>
              <w:szCs w:val="21"/>
            </w:rPr>
          </w:pPr>
          <w:r>
            <w:rPr>
              <w:rStyle w:val="50"/>
              <w:rFonts w:hint="eastAsia"/>
              <w:b w:val="0"/>
              <w:szCs w:val="21"/>
            </w:rPr>
            <w:t>兖矿能源建有国家企业技术中心、博士后科研工作站、煤矿智能开采研发中心等</w:t>
          </w:r>
          <w:r>
            <w:rPr>
              <w:rStyle w:val="50"/>
              <w:b w:val="0"/>
              <w:szCs w:val="21"/>
            </w:rPr>
            <w:t>3个国家级研发平台，</w:t>
          </w:r>
          <w:r>
            <w:rPr>
              <w:rStyle w:val="50"/>
              <w:rFonts w:hint="eastAsia"/>
              <w:b w:val="0"/>
              <w:szCs w:val="21"/>
            </w:rPr>
            <w:t>拥有</w:t>
          </w:r>
          <w:r>
            <w:rPr>
              <w:rStyle w:val="50"/>
              <w:b w:val="0"/>
              <w:szCs w:val="21"/>
            </w:rPr>
            <w:t>高新技术企业18家。2024年</w:t>
          </w:r>
          <w:r>
            <w:rPr>
              <w:rStyle w:val="50"/>
              <w:rFonts w:hint="eastAsia"/>
              <w:b w:val="0"/>
              <w:szCs w:val="21"/>
            </w:rPr>
            <w:t>本集团荣获国家科学技术进步奖二等奖，取得授权专利、软件著作权总</w:t>
          </w:r>
          <w:r>
            <w:rPr>
              <w:rStyle w:val="50"/>
              <w:b w:val="0"/>
              <w:szCs w:val="21"/>
            </w:rPr>
            <w:t>521件</w:t>
          </w:r>
          <w:r>
            <w:rPr>
              <w:rStyle w:val="50"/>
              <w:rFonts w:hint="eastAsia"/>
              <w:b w:val="0"/>
              <w:szCs w:val="21"/>
            </w:rPr>
            <w:t>，其中：</w:t>
          </w:r>
          <w:r>
            <w:rPr>
              <w:rStyle w:val="50"/>
              <w:b w:val="0"/>
              <w:szCs w:val="21"/>
            </w:rPr>
            <w:t>发明115件、实用新型381件、外观设计3件、</w:t>
          </w:r>
          <w:r>
            <w:rPr>
              <w:bCs/>
              <w:kern w:val="2"/>
              <w:szCs w:val="21"/>
            </w:rPr>
            <w:t>软件著作权</w:t>
          </w:r>
          <w:r>
            <w:rPr>
              <w:rStyle w:val="50"/>
              <w:b w:val="0"/>
              <w:szCs w:val="21"/>
            </w:rPr>
            <w:t>22件。</w:t>
          </w:r>
          <w:r>
            <w:rPr>
              <w:bCs/>
              <w:kern w:val="2"/>
              <w:szCs w:val="21"/>
            </w:rPr>
            <w:t>获得省部级以上科技奖励62项</w:t>
          </w:r>
          <w:r>
            <w:rPr>
              <w:rFonts w:hint="eastAsia"/>
              <w:bCs/>
              <w:kern w:val="2"/>
              <w:szCs w:val="21"/>
            </w:rPr>
            <w:t>。</w:t>
          </w:r>
        </w:p>
      </w:sdtContent>
    </w:sdt>
    <w:p>
      <w:pPr>
        <w:rPr>
          <w:rStyle w:val="50"/>
          <w:b w:val="0"/>
          <w:bCs w:val="0"/>
          <w:szCs w:val="21"/>
        </w:rPr>
      </w:pPr>
    </w:p>
    <w:p>
      <w:pPr>
        <w:pStyle w:val="afffffb"/>
        <w:numPr>
          <w:ilvl w:val="0"/>
          <w:numId w:val="22"/>
        </w:numPr>
        <w:spacing w:before="60" w:after="60"/>
        <w:ind w:firstLineChars="0"/>
        <w:rPr>
          <w:rStyle w:val="50"/>
          <w:szCs w:val="21"/>
        </w:rPr>
      </w:pPr>
      <w:bookmarkStart w:id="72" w:name="_Hlk89876701"/>
      <w:r>
        <w:rPr>
          <w:rStyle w:val="50"/>
          <w:szCs w:val="21"/>
        </w:rPr>
        <w:t>研发人员构成发生重大变化的原因及对公司未来发展的影响</w:t>
      </w:r>
    </w:p>
    <w:p>
      <w:pPr>
        <w:spacing w:before="60" w:after="60"/>
        <w:rPr>
          <w:szCs w:val="21"/>
        </w:rPr>
      </w:pPr>
      <w:sdt>
        <w:sdtPr>
          <w:rPr>
            <w:szCs w:val="21"/>
          </w:rPr>
          <w:alias w:val="是否适用：研发人员构成发生重大变化的原因及对公司未来发展的影响 [双击切换]"/>
          <w:tag w:val="_GBC_03b44883afff4742a08c198d082c26b3"/>
          <w:id w:val="-120381499"/>
          <w:placeholder>
            <w:docPart w:val="GBC22222222222222222222222222222"/>
          </w:placeholder>
        </w:sdt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p>
    <w:bookmarkEnd w:id="72"/>
    <w:p>
      <w:pPr>
        <w:pStyle w:val="4"/>
        <w:numPr>
          <w:ilvl w:val="0"/>
          <w:numId w:val="18"/>
        </w:numPr>
      </w:pPr>
      <w:r>
        <w:rPr>
          <w:rFonts w:hint="eastAsia"/>
        </w:rPr>
        <w:t>现金流</w:t>
      </w:r>
    </w:p>
    <w:sdt>
      <w:sdtPr>
        <w:alias w:val="是否适用：现金流[双击切换]"/>
        <w:tag w:val="_GBC_3340f2fc4f854cc1882e18412cf992f6"/>
        <w:id w:val="549731513"/>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715651597"/>
        <w:placeholder>
          <w:docPart w:val="GBC22222222222222222222222222222"/>
        </w:placeholder>
      </w:sdtPr>
      <w:sdtContent>
        <w:p>
          <w:pPr>
            <w:rPr>
              <w:szCs w:val="21"/>
            </w:rPr>
          </w:pPr>
        </w:p>
        <w:p>
          <w:pPr>
            <w:ind w:firstLineChars="200" w:firstLine="420"/>
            <w:jc w:val="both"/>
            <w:rPr>
              <w:szCs w:val="21"/>
            </w:rPr>
          </w:pPr>
          <w:r>
            <w:rPr>
              <w:rFonts w:hint="eastAsia"/>
              <w:szCs w:val="21"/>
            </w:rPr>
            <w:t>现金流变动分析详情请见本节“利润表及现金流量表相关科目变动分析表”相关内容。</w:t>
          </w:r>
        </w:p>
        <w:p>
          <w:pPr>
            <w:ind w:firstLineChars="200" w:firstLine="420"/>
            <w:jc w:val="both"/>
            <w:rPr>
              <w:szCs w:val="21"/>
            </w:rPr>
          </w:pPr>
        </w:p>
        <w:p>
          <w:pPr>
            <w:ind w:firstLineChars="200" w:firstLine="420"/>
            <w:jc w:val="both"/>
            <w:rPr>
              <w:szCs w:val="21"/>
            </w:rPr>
          </w:pPr>
          <w:r>
            <w:rPr>
              <w:rFonts w:hint="eastAsia"/>
              <w:szCs w:val="21"/>
            </w:rPr>
            <w:t>资金来源和运用</w:t>
          </w:r>
        </w:p>
        <w:p>
          <w:pPr>
            <w:ind w:firstLineChars="200" w:firstLine="420"/>
            <w:jc w:val="both"/>
            <w:rPr>
              <w:szCs w:val="21"/>
            </w:rPr>
          </w:pPr>
          <w:r>
            <w:rPr>
              <w:szCs w:val="21"/>
            </w:rPr>
            <w:lastRenderedPageBreak/>
            <w:t>2024年本集团的资金来源主要是营业现金收入、发行</w:t>
          </w:r>
          <w:r>
            <w:rPr>
              <w:rFonts w:hint="eastAsia"/>
              <w:szCs w:val="21"/>
            </w:rPr>
            <w:t>股份、</w:t>
          </w:r>
          <w:r>
            <w:rPr>
              <w:szCs w:val="21"/>
            </w:rPr>
            <w:t>债券及银行贷款。资金主要用于经营业务支出，购置固定资产、在建工程和工程物资，支付股东股息，偿还银行贷款，支付收购资产和股权价款等。</w:t>
          </w:r>
        </w:p>
        <w:p>
          <w:pPr>
            <w:ind w:firstLineChars="200" w:firstLine="420"/>
            <w:jc w:val="both"/>
            <w:rPr>
              <w:szCs w:val="21"/>
            </w:rPr>
          </w:pPr>
          <w:r>
            <w:rPr>
              <w:szCs w:val="21"/>
            </w:rPr>
            <w:t>2024年本集团用于固定资产、在建工程和工程物资的资本性支出为173.60亿元。</w:t>
          </w:r>
        </w:p>
      </w:sdtContent>
    </w:sdt>
    <w:p>
      <w:pPr>
        <w:rPr>
          <w:szCs w:val="21"/>
        </w:rPr>
      </w:pPr>
    </w:p>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非主营业务导致利润重大变化的说明</w:t>
      </w:r>
    </w:p>
    <w:sdt>
      <w:sdtPr>
        <w:rPr>
          <w:szCs w:val="21"/>
        </w:rPr>
        <w:alias w:val="是否适用：非主营业务来源分析[双击切换]"/>
        <w:tag w:val="_GBC_e76b46ce658b44e591e71db49febe73d"/>
        <w:id w:val="1990977940"/>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资产、负债情况分析</w:t>
      </w:r>
    </w:p>
    <w:p>
      <w:pPr>
        <w:pStyle w:val="affffffd"/>
      </w:pPr>
      <w:sdt>
        <w:sdtPr>
          <w:rPr>
            <w:rFonts w:hint="eastAsia"/>
          </w:rPr>
          <w:alias w:val="是否适用：资产、负债情况分析[双击切换]"/>
          <w:tag w:val="_GBC_73f72b786f764d01bef1bb70d2d6e5c6"/>
          <w:id w:val="1324858173"/>
          <w:lock w:val="contentLocked"/>
          <w:placeholder>
            <w:docPart w:val="GBC22222222222222222222222222222"/>
          </w:placeholder>
        </w:sdt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p>
      <w:pPr>
        <w:pStyle w:val="4"/>
        <w:numPr>
          <w:ilvl w:val="0"/>
          <w:numId w:val="21"/>
        </w:numPr>
      </w:pPr>
      <w:bookmarkStart w:id="73" w:name="_Hlk192239670"/>
      <w:r>
        <w:t>资产</w:t>
      </w:r>
      <w:r>
        <w:rPr>
          <w:rFonts w:hint="eastAsia"/>
        </w:rPr>
        <w:t>及</w:t>
      </w:r>
      <w:r>
        <w:t>负债</w:t>
      </w:r>
      <w:r>
        <w:rPr>
          <w:rFonts w:hint="eastAsia"/>
          <w:szCs w:val="21"/>
        </w:rPr>
        <w:t>状</w:t>
      </w:r>
      <w:r>
        <w:rPr>
          <w:szCs w:val="21"/>
        </w:rPr>
        <w:t>况</w:t>
      </w:r>
    </w:p>
    <w:p>
      <w:pPr>
        <w:jc w:val="right"/>
        <w:rPr>
          <w:szCs w:val="21"/>
        </w:rPr>
      </w:pPr>
      <w:r>
        <w:rPr>
          <w:rFonts w:hint="eastAsia"/>
          <w:szCs w:val="21"/>
        </w:rPr>
        <w:t>单位：</w:t>
      </w:r>
      <w:sdt>
        <w:sdtPr>
          <w:rPr>
            <w:rFonts w:hint="eastAsia"/>
            <w:szCs w:val="21"/>
          </w:rPr>
          <w:alias w:val="单位：资产负债状况分析"/>
          <w:tag w:val="_GBC_f016c1cffd884dd784e4fb134fd0d4df"/>
          <w:id w:val="18963914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百万元</w:t>
          </w:r>
        </w:sdtContent>
      </w:sdt>
    </w:p>
    <w:tbl>
      <w:tblPr>
        <w:tblStyle w:val="afffff7"/>
        <w:tblW w:w="5942" w:type="pct"/>
        <w:jc w:val="center"/>
        <w:tblLook w:val="04A0" w:firstRow="1" w:lastRow="0" w:firstColumn="1" w:lastColumn="0" w:noHBand="0" w:noVBand="1"/>
      </w:tblPr>
      <w:tblGrid>
        <w:gridCol w:w="1492"/>
        <w:gridCol w:w="1160"/>
        <w:gridCol w:w="1367"/>
        <w:gridCol w:w="1172"/>
        <w:gridCol w:w="1321"/>
        <w:gridCol w:w="1283"/>
        <w:gridCol w:w="2690"/>
      </w:tblGrid>
      <w:tr>
        <w:trPr>
          <w:trHeight w:val="180"/>
          <w:jc w:val="center"/>
        </w:trPr>
        <w:sdt>
          <w:sdtPr>
            <w:tag w:val="_PLD_8f1f37d9a09f4bf3a8f4c407297e58ed"/>
            <w:id w:val="-1356345998"/>
          </w:sdtPr>
          <w:sdtContent>
            <w:tc>
              <w:tcPr>
                <w:tcW w:w="711" w:type="pct"/>
                <w:vAlign w:val="center"/>
              </w:tcPr>
              <w:p>
                <w:pPr>
                  <w:jc w:val="center"/>
                  <w:rPr>
                    <w:rStyle w:val="50"/>
                    <w:szCs w:val="21"/>
                  </w:rPr>
                </w:pPr>
                <w:r>
                  <w:rPr>
                    <w:szCs w:val="21"/>
                  </w:rPr>
                  <w:t>项目名称</w:t>
                </w:r>
              </w:p>
            </w:tc>
          </w:sdtContent>
        </w:sdt>
        <w:sdt>
          <w:sdtPr>
            <w:tag w:val="_PLD_a4c00a3d0d0a42e28bc6a14dd6d26320"/>
            <w:id w:val="-362057597"/>
          </w:sdtPr>
          <w:sdtContent>
            <w:tc>
              <w:tcPr>
                <w:tcW w:w="553" w:type="pct"/>
                <w:vAlign w:val="center"/>
              </w:tcPr>
              <w:p>
                <w:pPr>
                  <w:jc w:val="center"/>
                  <w:rPr>
                    <w:rStyle w:val="50"/>
                    <w:szCs w:val="21"/>
                  </w:rPr>
                </w:pPr>
                <w:r>
                  <w:rPr>
                    <w:szCs w:val="21"/>
                  </w:rPr>
                  <w:t>本期期末数</w:t>
                </w:r>
              </w:p>
            </w:tc>
          </w:sdtContent>
        </w:sdt>
        <w:sdt>
          <w:sdtPr>
            <w:tag w:val="_PLD_17de20223ad64b528b824744807b0036"/>
            <w:id w:val="-1372143040"/>
          </w:sdtPr>
          <w:sdtContent>
            <w:tc>
              <w:tcPr>
                <w:tcW w:w="652" w:type="pct"/>
                <w:vAlign w:val="center"/>
              </w:tcPr>
              <w:p>
                <w:pPr>
                  <w:jc w:val="center"/>
                  <w:rPr>
                    <w:rStyle w:val="50"/>
                    <w:szCs w:val="21"/>
                  </w:rPr>
                </w:pPr>
                <w:r>
                  <w:rPr>
                    <w:szCs w:val="21"/>
                  </w:rPr>
                  <w:t>本期期末数占总资产的比例（%）</w:t>
                </w:r>
              </w:p>
            </w:tc>
          </w:sdtContent>
        </w:sdt>
        <w:sdt>
          <w:sdtPr>
            <w:tag w:val="_PLD_d1b9e9483c3a41358f877758b5adb0fb"/>
            <w:id w:val="1758630568"/>
          </w:sdtPr>
          <w:sdtContent>
            <w:tc>
              <w:tcPr>
                <w:tcW w:w="559" w:type="pct"/>
                <w:vAlign w:val="center"/>
              </w:tcPr>
              <w:p>
                <w:pPr>
                  <w:jc w:val="center"/>
                  <w:rPr>
                    <w:rStyle w:val="50"/>
                    <w:szCs w:val="21"/>
                  </w:rPr>
                </w:pPr>
                <w:r>
                  <w:rPr>
                    <w:szCs w:val="21"/>
                  </w:rPr>
                  <w:t>上期期末数</w:t>
                </w:r>
              </w:p>
            </w:tc>
          </w:sdtContent>
        </w:sdt>
        <w:sdt>
          <w:sdtPr>
            <w:tag w:val="_PLD_3a8a8577e1a84f26856a900f7202f9a8"/>
            <w:id w:val="-2061081898"/>
          </w:sdtPr>
          <w:sdtContent>
            <w:tc>
              <w:tcPr>
                <w:tcW w:w="630" w:type="pct"/>
                <w:vAlign w:val="center"/>
              </w:tcPr>
              <w:p>
                <w:pPr>
                  <w:jc w:val="center"/>
                  <w:rPr>
                    <w:rStyle w:val="50"/>
                    <w:szCs w:val="21"/>
                  </w:rPr>
                </w:pPr>
                <w:r>
                  <w:rPr>
                    <w:szCs w:val="21"/>
                  </w:rPr>
                  <w:t>上期期末数占总资产的比例（%）</w:t>
                </w:r>
              </w:p>
            </w:tc>
          </w:sdtContent>
        </w:sdt>
        <w:sdt>
          <w:sdtPr>
            <w:tag w:val="_PLD_8af1894621b84d44aec1deba51e3a7da"/>
            <w:id w:val="-235632102"/>
          </w:sdtPr>
          <w:sdtContent>
            <w:tc>
              <w:tcPr>
                <w:tcW w:w="612" w:type="pct"/>
                <w:vAlign w:val="center"/>
              </w:tcPr>
              <w:p>
                <w:pPr>
                  <w:jc w:val="center"/>
                  <w:rPr>
                    <w:rStyle w:val="50"/>
                    <w:szCs w:val="21"/>
                  </w:rPr>
                </w:pPr>
                <w:r>
                  <w:rPr>
                    <w:szCs w:val="21"/>
                  </w:rPr>
                  <w:t>本期期末金额较上期期末变动比例（%）</w:t>
                </w:r>
              </w:p>
            </w:tc>
          </w:sdtContent>
        </w:sdt>
        <w:sdt>
          <w:sdtPr>
            <w:tag w:val="_PLD_495436d1d45e4a9391194459a895631e"/>
            <w:id w:val="1531536177"/>
          </w:sdtPr>
          <w:sdtContent>
            <w:tc>
              <w:tcPr>
                <w:tcW w:w="1283" w:type="pct"/>
                <w:vAlign w:val="center"/>
              </w:tcPr>
              <w:p>
                <w:pPr>
                  <w:jc w:val="center"/>
                  <w:rPr>
                    <w:rStyle w:val="50"/>
                    <w:szCs w:val="21"/>
                  </w:rPr>
                </w:pPr>
                <w:r>
                  <w:rPr>
                    <w:szCs w:val="21"/>
                  </w:rPr>
                  <w:t>情况说明</w:t>
                </w:r>
              </w:p>
            </w:tc>
          </w:sdtContent>
        </w:sdt>
      </w:tr>
      <w:tr>
        <w:trPr>
          <w:trHeight w:val="135"/>
          <w:jc w:val="center"/>
        </w:trPr>
        <w:tc>
          <w:tcPr>
            <w:tcW w:w="711" w:type="pct"/>
            <w:vAlign w:val="center"/>
          </w:tcPr>
          <w:p>
            <w:pPr>
              <w:pStyle w:val="afffffffffffff8"/>
            </w:pPr>
            <w:r>
              <w:t>应收账款</w:t>
            </w:r>
          </w:p>
        </w:tc>
        <w:tc>
          <w:tcPr>
            <w:tcW w:w="553" w:type="pct"/>
            <w:vAlign w:val="center"/>
          </w:tcPr>
          <w:p>
            <w:pPr>
              <w:jc w:val="right"/>
            </w:pPr>
            <w:r>
              <w:t xml:space="preserve">9,261 </w:t>
            </w:r>
          </w:p>
        </w:tc>
        <w:tc>
          <w:tcPr>
            <w:tcW w:w="652" w:type="pct"/>
            <w:vAlign w:val="center"/>
          </w:tcPr>
          <w:p>
            <w:pPr>
              <w:jc w:val="right"/>
            </w:pPr>
            <w:r>
              <w:t xml:space="preserve">2.58 </w:t>
            </w:r>
          </w:p>
        </w:tc>
        <w:tc>
          <w:tcPr>
            <w:tcW w:w="559" w:type="pct"/>
            <w:vAlign w:val="center"/>
          </w:tcPr>
          <w:p>
            <w:pPr>
              <w:jc w:val="right"/>
            </w:pPr>
            <w:r>
              <w:t xml:space="preserve">6,973 </w:t>
            </w:r>
          </w:p>
        </w:tc>
        <w:tc>
          <w:tcPr>
            <w:tcW w:w="630" w:type="pct"/>
            <w:vAlign w:val="center"/>
          </w:tcPr>
          <w:p>
            <w:pPr>
              <w:jc w:val="right"/>
            </w:pPr>
            <w:r>
              <w:t xml:space="preserve">1.97 </w:t>
            </w:r>
          </w:p>
        </w:tc>
        <w:tc>
          <w:tcPr>
            <w:tcW w:w="612" w:type="pct"/>
            <w:vAlign w:val="center"/>
          </w:tcPr>
          <w:p>
            <w:pPr>
              <w:jc w:val="right"/>
            </w:pPr>
            <w:r>
              <w:t xml:space="preserve">32.81 </w:t>
            </w:r>
          </w:p>
        </w:tc>
        <w:tc>
          <w:tcPr>
            <w:tcW w:w="1283" w:type="pct"/>
            <w:vAlign w:val="center"/>
          </w:tcPr>
          <w:p>
            <w:pPr>
              <w:rPr>
                <w:rStyle w:val="50"/>
                <w:b w:val="0"/>
                <w:bCs w:val="0"/>
                <w:szCs w:val="21"/>
              </w:rPr>
            </w:pPr>
            <w:r>
              <w:rPr>
                <w:rStyle w:val="50"/>
                <w:rFonts w:hint="eastAsia"/>
                <w:b w:val="0"/>
                <w:bCs w:val="0"/>
                <w:szCs w:val="21"/>
              </w:rPr>
              <w:t>报告期内公司合并物泊科技财务报表，应收账款比年初增加。</w:t>
            </w:r>
          </w:p>
        </w:tc>
      </w:tr>
      <w:tr>
        <w:trPr>
          <w:trHeight w:val="135"/>
          <w:jc w:val="center"/>
        </w:trPr>
        <w:tc>
          <w:tcPr>
            <w:tcW w:w="711" w:type="pct"/>
            <w:vAlign w:val="center"/>
          </w:tcPr>
          <w:p>
            <w:pPr>
              <w:pStyle w:val="afffffffffffff8"/>
            </w:pPr>
            <w:r>
              <w:t>应收款项融资</w:t>
            </w:r>
          </w:p>
        </w:tc>
        <w:tc>
          <w:tcPr>
            <w:tcW w:w="553" w:type="pct"/>
            <w:vAlign w:val="center"/>
          </w:tcPr>
          <w:p>
            <w:pPr>
              <w:jc w:val="right"/>
            </w:pPr>
            <w:r>
              <w:t>2,980</w:t>
            </w:r>
          </w:p>
        </w:tc>
        <w:tc>
          <w:tcPr>
            <w:tcW w:w="652" w:type="pct"/>
            <w:vAlign w:val="center"/>
          </w:tcPr>
          <w:p>
            <w:pPr>
              <w:jc w:val="right"/>
            </w:pPr>
            <w:r>
              <w:t>0.83</w:t>
            </w:r>
          </w:p>
        </w:tc>
        <w:tc>
          <w:tcPr>
            <w:tcW w:w="559" w:type="pct"/>
            <w:vAlign w:val="center"/>
          </w:tcPr>
          <w:p>
            <w:pPr>
              <w:jc w:val="right"/>
            </w:pPr>
            <w:r>
              <w:t>4,671</w:t>
            </w:r>
          </w:p>
        </w:tc>
        <w:tc>
          <w:tcPr>
            <w:tcW w:w="630" w:type="pct"/>
            <w:vAlign w:val="center"/>
          </w:tcPr>
          <w:p>
            <w:pPr>
              <w:jc w:val="right"/>
            </w:pPr>
            <w:r>
              <w:t>1.32</w:t>
            </w:r>
          </w:p>
        </w:tc>
        <w:tc>
          <w:tcPr>
            <w:tcW w:w="612" w:type="pct"/>
            <w:vAlign w:val="center"/>
          </w:tcPr>
          <w:p>
            <w:pPr>
              <w:jc w:val="right"/>
            </w:pPr>
            <w:r>
              <w:t>-36.20</w:t>
            </w:r>
          </w:p>
        </w:tc>
        <w:tc>
          <w:tcPr>
            <w:tcW w:w="1283" w:type="pct"/>
            <w:vAlign w:val="center"/>
          </w:tcPr>
          <w:p>
            <w:pPr>
              <w:rPr>
                <w:rStyle w:val="50"/>
                <w:b w:val="0"/>
                <w:bCs w:val="0"/>
                <w:szCs w:val="21"/>
              </w:rPr>
            </w:pPr>
            <w:r>
              <w:rPr>
                <w:rStyle w:val="50"/>
                <w:rFonts w:hint="eastAsia"/>
                <w:b w:val="0"/>
                <w:bCs w:val="0"/>
                <w:szCs w:val="21"/>
              </w:rPr>
              <w:t>①公司银行承兑汇票比年初减少4</w:t>
            </w:r>
            <w:r>
              <w:rPr>
                <w:rStyle w:val="50"/>
                <w:b w:val="0"/>
                <w:bCs w:val="0"/>
                <w:szCs w:val="21"/>
              </w:rPr>
              <w:t>.68</w:t>
            </w:r>
            <w:r>
              <w:rPr>
                <w:rStyle w:val="50"/>
                <w:rFonts w:hint="eastAsia"/>
                <w:b w:val="0"/>
                <w:bCs w:val="0"/>
                <w:szCs w:val="21"/>
              </w:rPr>
              <w:t>亿元；②鲁南化工银行承兑汇票比年初减少1</w:t>
            </w:r>
            <w:r>
              <w:rPr>
                <w:rStyle w:val="50"/>
                <w:b w:val="0"/>
                <w:bCs w:val="0"/>
                <w:szCs w:val="21"/>
              </w:rPr>
              <w:t>0.40</w:t>
            </w:r>
            <w:r>
              <w:rPr>
                <w:rStyle w:val="50"/>
                <w:rFonts w:hint="eastAsia"/>
                <w:b w:val="0"/>
                <w:bCs w:val="0"/>
                <w:szCs w:val="21"/>
              </w:rPr>
              <w:t>亿元。</w:t>
            </w:r>
          </w:p>
        </w:tc>
      </w:tr>
      <w:tr>
        <w:trPr>
          <w:trHeight w:val="135"/>
          <w:jc w:val="center"/>
        </w:trPr>
        <w:tc>
          <w:tcPr>
            <w:tcW w:w="711" w:type="pct"/>
            <w:vAlign w:val="center"/>
          </w:tcPr>
          <w:p>
            <w:pPr>
              <w:pStyle w:val="afffffffffffff8"/>
            </w:pPr>
            <w:r>
              <w:t>一年内到期的非流动资产</w:t>
            </w:r>
          </w:p>
        </w:tc>
        <w:tc>
          <w:tcPr>
            <w:tcW w:w="553" w:type="pct"/>
            <w:vAlign w:val="center"/>
          </w:tcPr>
          <w:p>
            <w:pPr>
              <w:jc w:val="right"/>
            </w:pPr>
            <w:r>
              <w:t xml:space="preserve">4,619 </w:t>
            </w:r>
          </w:p>
        </w:tc>
        <w:tc>
          <w:tcPr>
            <w:tcW w:w="652" w:type="pct"/>
            <w:vAlign w:val="center"/>
          </w:tcPr>
          <w:p>
            <w:pPr>
              <w:jc w:val="right"/>
            </w:pPr>
            <w:r>
              <w:t xml:space="preserve">1.29 </w:t>
            </w:r>
          </w:p>
        </w:tc>
        <w:tc>
          <w:tcPr>
            <w:tcW w:w="559" w:type="pct"/>
            <w:vAlign w:val="center"/>
          </w:tcPr>
          <w:p>
            <w:pPr>
              <w:jc w:val="right"/>
            </w:pPr>
            <w:r>
              <w:t xml:space="preserve">2,186 </w:t>
            </w:r>
          </w:p>
        </w:tc>
        <w:tc>
          <w:tcPr>
            <w:tcW w:w="630" w:type="pct"/>
            <w:vAlign w:val="center"/>
          </w:tcPr>
          <w:p>
            <w:pPr>
              <w:jc w:val="right"/>
            </w:pPr>
            <w:r>
              <w:t xml:space="preserve">0.62 </w:t>
            </w:r>
          </w:p>
        </w:tc>
        <w:tc>
          <w:tcPr>
            <w:tcW w:w="612" w:type="pct"/>
            <w:vAlign w:val="center"/>
          </w:tcPr>
          <w:p>
            <w:pPr>
              <w:jc w:val="right"/>
            </w:pPr>
            <w:r>
              <w:t xml:space="preserve">111.31 </w:t>
            </w:r>
          </w:p>
        </w:tc>
        <w:tc>
          <w:tcPr>
            <w:tcW w:w="1283" w:type="pct"/>
            <w:vAlign w:val="center"/>
          </w:tcPr>
          <w:p>
            <w:pPr>
              <w:rPr>
                <w:rStyle w:val="50"/>
                <w:b w:val="0"/>
                <w:bCs w:val="0"/>
                <w:szCs w:val="21"/>
              </w:rPr>
            </w:pPr>
            <w:r>
              <w:rPr>
                <w:rStyle w:val="50"/>
                <w:rFonts w:hint="eastAsia"/>
                <w:b w:val="0"/>
                <w:bCs w:val="0"/>
                <w:szCs w:val="21"/>
              </w:rPr>
              <w:t>山能财司发放的贷款和垫款比年初增加。</w:t>
            </w:r>
          </w:p>
        </w:tc>
      </w:tr>
      <w:tr>
        <w:trPr>
          <w:trHeight w:val="135"/>
          <w:jc w:val="center"/>
        </w:trPr>
        <w:tc>
          <w:tcPr>
            <w:tcW w:w="711" w:type="pct"/>
            <w:vAlign w:val="center"/>
          </w:tcPr>
          <w:p>
            <w:pPr>
              <w:pStyle w:val="afffffffffffff8"/>
            </w:pPr>
            <w:r>
              <w:t>短期借款</w:t>
            </w:r>
          </w:p>
        </w:tc>
        <w:tc>
          <w:tcPr>
            <w:tcW w:w="553" w:type="pct"/>
            <w:vAlign w:val="center"/>
          </w:tcPr>
          <w:p>
            <w:pPr>
              <w:jc w:val="right"/>
            </w:pPr>
            <w:r>
              <w:t>7,693</w:t>
            </w:r>
          </w:p>
        </w:tc>
        <w:tc>
          <w:tcPr>
            <w:tcW w:w="652" w:type="pct"/>
            <w:vAlign w:val="center"/>
          </w:tcPr>
          <w:p>
            <w:pPr>
              <w:jc w:val="right"/>
            </w:pPr>
            <w:r>
              <w:t>2.15</w:t>
            </w:r>
          </w:p>
        </w:tc>
        <w:tc>
          <w:tcPr>
            <w:tcW w:w="559" w:type="pct"/>
            <w:vAlign w:val="center"/>
          </w:tcPr>
          <w:p>
            <w:pPr>
              <w:jc w:val="right"/>
            </w:pPr>
            <w:r>
              <w:t>4,084</w:t>
            </w:r>
          </w:p>
        </w:tc>
        <w:tc>
          <w:tcPr>
            <w:tcW w:w="630" w:type="pct"/>
            <w:vAlign w:val="center"/>
          </w:tcPr>
          <w:p>
            <w:pPr>
              <w:jc w:val="right"/>
            </w:pPr>
            <w:r>
              <w:t>1.15</w:t>
            </w:r>
          </w:p>
        </w:tc>
        <w:tc>
          <w:tcPr>
            <w:tcW w:w="612" w:type="pct"/>
            <w:vAlign w:val="center"/>
          </w:tcPr>
          <w:p>
            <w:pPr>
              <w:jc w:val="right"/>
            </w:pPr>
            <w:r>
              <w:t>88.36</w:t>
            </w:r>
          </w:p>
        </w:tc>
        <w:tc>
          <w:tcPr>
            <w:tcW w:w="1283" w:type="pct"/>
            <w:vAlign w:val="center"/>
          </w:tcPr>
          <w:p>
            <w:pPr>
              <w:rPr>
                <w:rStyle w:val="50"/>
                <w:b w:val="0"/>
                <w:bCs w:val="0"/>
                <w:szCs w:val="21"/>
              </w:rPr>
            </w:pPr>
            <w:r>
              <w:rPr>
                <w:rStyle w:val="50"/>
                <w:rFonts w:hint="eastAsia"/>
                <w:b w:val="0"/>
                <w:bCs w:val="0"/>
                <w:szCs w:val="21"/>
              </w:rPr>
              <w:t>报告期内本集团新增短期借款。</w:t>
            </w:r>
          </w:p>
        </w:tc>
      </w:tr>
      <w:tr>
        <w:trPr>
          <w:trHeight w:val="135"/>
          <w:jc w:val="center"/>
        </w:trPr>
        <w:tc>
          <w:tcPr>
            <w:tcW w:w="711" w:type="pct"/>
            <w:vAlign w:val="center"/>
          </w:tcPr>
          <w:p>
            <w:pPr>
              <w:pStyle w:val="afffffffffffff8"/>
            </w:pPr>
            <w:r>
              <w:t>应交税费</w:t>
            </w:r>
          </w:p>
        </w:tc>
        <w:tc>
          <w:tcPr>
            <w:tcW w:w="553" w:type="pct"/>
            <w:vAlign w:val="center"/>
          </w:tcPr>
          <w:p>
            <w:pPr>
              <w:jc w:val="right"/>
            </w:pPr>
            <w:r>
              <w:t xml:space="preserve">2,226 </w:t>
            </w:r>
          </w:p>
        </w:tc>
        <w:tc>
          <w:tcPr>
            <w:tcW w:w="652" w:type="pct"/>
            <w:vAlign w:val="center"/>
          </w:tcPr>
          <w:p>
            <w:pPr>
              <w:jc w:val="right"/>
            </w:pPr>
            <w:r>
              <w:t xml:space="preserve">0.62 </w:t>
            </w:r>
          </w:p>
        </w:tc>
        <w:tc>
          <w:tcPr>
            <w:tcW w:w="559" w:type="pct"/>
            <w:vAlign w:val="center"/>
          </w:tcPr>
          <w:p>
            <w:pPr>
              <w:jc w:val="right"/>
            </w:pPr>
            <w:r>
              <w:t xml:space="preserve">4,050 </w:t>
            </w:r>
          </w:p>
        </w:tc>
        <w:tc>
          <w:tcPr>
            <w:tcW w:w="630" w:type="pct"/>
            <w:vAlign w:val="center"/>
          </w:tcPr>
          <w:p>
            <w:pPr>
              <w:jc w:val="right"/>
            </w:pPr>
            <w:r>
              <w:t xml:space="preserve">1.14 </w:t>
            </w:r>
          </w:p>
        </w:tc>
        <w:tc>
          <w:tcPr>
            <w:tcW w:w="612" w:type="pct"/>
            <w:vAlign w:val="center"/>
          </w:tcPr>
          <w:p>
            <w:pPr>
              <w:jc w:val="right"/>
            </w:pPr>
            <w:r>
              <w:t xml:space="preserve">-45.05 </w:t>
            </w:r>
          </w:p>
        </w:tc>
        <w:tc>
          <w:tcPr>
            <w:tcW w:w="1283" w:type="pct"/>
            <w:vAlign w:val="center"/>
          </w:tcPr>
          <w:p>
            <w:pPr>
              <w:rPr>
                <w:rStyle w:val="50"/>
                <w:b w:val="0"/>
                <w:bCs w:val="0"/>
                <w:szCs w:val="21"/>
              </w:rPr>
            </w:pPr>
            <w:r>
              <w:rPr>
                <w:rStyle w:val="50"/>
                <w:rFonts w:hint="eastAsia"/>
                <w:b w:val="0"/>
                <w:bCs w:val="0"/>
                <w:szCs w:val="21"/>
              </w:rPr>
              <w:t>本集团应交所得税比年初减少</w:t>
            </w:r>
            <w:r>
              <w:rPr>
                <w:rStyle w:val="50"/>
                <w:b w:val="0"/>
                <w:bCs w:val="0"/>
                <w:szCs w:val="21"/>
              </w:rPr>
              <w:t>14.3</w:t>
            </w:r>
            <w:r>
              <w:rPr>
                <w:rStyle w:val="50"/>
                <w:b w:val="0"/>
                <w:bCs w:val="0"/>
              </w:rPr>
              <w:t>0</w:t>
            </w:r>
            <w:r>
              <w:rPr>
                <w:rStyle w:val="50"/>
                <w:b w:val="0"/>
                <w:bCs w:val="0"/>
                <w:szCs w:val="21"/>
              </w:rPr>
              <w:t>亿元。</w:t>
            </w:r>
          </w:p>
        </w:tc>
      </w:tr>
      <w:tr>
        <w:trPr>
          <w:trHeight w:val="135"/>
          <w:jc w:val="center"/>
        </w:trPr>
        <w:tc>
          <w:tcPr>
            <w:tcW w:w="711" w:type="pct"/>
            <w:vAlign w:val="center"/>
          </w:tcPr>
          <w:p>
            <w:pPr>
              <w:pStyle w:val="afffffffffffff8"/>
            </w:pPr>
            <w:r>
              <w:t>其他应付款</w:t>
            </w:r>
          </w:p>
        </w:tc>
        <w:tc>
          <w:tcPr>
            <w:tcW w:w="553" w:type="pct"/>
            <w:vAlign w:val="center"/>
          </w:tcPr>
          <w:p>
            <w:pPr>
              <w:jc w:val="right"/>
            </w:pPr>
            <w:r>
              <w:t xml:space="preserve">34,737 </w:t>
            </w:r>
          </w:p>
        </w:tc>
        <w:tc>
          <w:tcPr>
            <w:tcW w:w="652" w:type="pct"/>
            <w:vAlign w:val="center"/>
          </w:tcPr>
          <w:p>
            <w:pPr>
              <w:jc w:val="right"/>
            </w:pPr>
            <w:r>
              <w:t xml:space="preserve">9.69 </w:t>
            </w:r>
          </w:p>
        </w:tc>
        <w:tc>
          <w:tcPr>
            <w:tcW w:w="559" w:type="pct"/>
            <w:vAlign w:val="center"/>
          </w:tcPr>
          <w:p>
            <w:pPr>
              <w:jc w:val="right"/>
            </w:pPr>
            <w:r>
              <w:t xml:space="preserve">53,388 </w:t>
            </w:r>
          </w:p>
        </w:tc>
        <w:tc>
          <w:tcPr>
            <w:tcW w:w="630" w:type="pct"/>
            <w:vAlign w:val="center"/>
          </w:tcPr>
          <w:p>
            <w:pPr>
              <w:jc w:val="right"/>
            </w:pPr>
            <w:r>
              <w:t xml:space="preserve">15.06 </w:t>
            </w:r>
          </w:p>
        </w:tc>
        <w:tc>
          <w:tcPr>
            <w:tcW w:w="612" w:type="pct"/>
            <w:vAlign w:val="center"/>
          </w:tcPr>
          <w:p>
            <w:pPr>
              <w:jc w:val="right"/>
            </w:pPr>
            <w:r>
              <w:t xml:space="preserve">-34.93 </w:t>
            </w:r>
          </w:p>
        </w:tc>
        <w:tc>
          <w:tcPr>
            <w:tcW w:w="1283" w:type="pct"/>
            <w:vAlign w:val="center"/>
          </w:tcPr>
          <w:p>
            <w:pPr>
              <w:rPr>
                <w:rStyle w:val="50"/>
                <w:b w:val="0"/>
                <w:bCs w:val="0"/>
                <w:szCs w:val="21"/>
              </w:rPr>
            </w:pPr>
            <w:r>
              <w:rPr>
                <w:rStyle w:val="50"/>
                <w:rFonts w:hint="eastAsia"/>
                <w:b w:val="0"/>
                <w:bCs w:val="0"/>
                <w:szCs w:val="21"/>
              </w:rPr>
              <w:t>报告期内支付的对外收购资产价款减少1</w:t>
            </w:r>
            <w:r>
              <w:rPr>
                <w:rStyle w:val="50"/>
                <w:b w:val="0"/>
                <w:bCs w:val="0"/>
                <w:szCs w:val="21"/>
              </w:rPr>
              <w:t>43.81</w:t>
            </w:r>
            <w:r>
              <w:rPr>
                <w:rStyle w:val="50"/>
                <w:rFonts w:hint="eastAsia"/>
                <w:b w:val="0"/>
                <w:bCs w:val="0"/>
                <w:szCs w:val="21"/>
              </w:rPr>
              <w:t>亿元。</w:t>
            </w:r>
          </w:p>
        </w:tc>
      </w:tr>
      <w:tr>
        <w:trPr>
          <w:trHeight w:val="135"/>
          <w:jc w:val="center"/>
        </w:trPr>
        <w:tc>
          <w:tcPr>
            <w:tcW w:w="711" w:type="pct"/>
            <w:vAlign w:val="center"/>
          </w:tcPr>
          <w:p>
            <w:pPr>
              <w:pStyle w:val="afffffffffffff8"/>
            </w:pPr>
            <w:r>
              <w:t>一年内到期的非流动负债</w:t>
            </w:r>
          </w:p>
        </w:tc>
        <w:tc>
          <w:tcPr>
            <w:tcW w:w="553" w:type="pct"/>
            <w:vAlign w:val="center"/>
          </w:tcPr>
          <w:p>
            <w:pPr>
              <w:jc w:val="right"/>
            </w:pPr>
            <w:r>
              <w:t xml:space="preserve">31,838 </w:t>
            </w:r>
          </w:p>
        </w:tc>
        <w:tc>
          <w:tcPr>
            <w:tcW w:w="652" w:type="pct"/>
            <w:vAlign w:val="center"/>
          </w:tcPr>
          <w:p>
            <w:pPr>
              <w:jc w:val="right"/>
            </w:pPr>
            <w:r>
              <w:t xml:space="preserve">8.88 </w:t>
            </w:r>
          </w:p>
        </w:tc>
        <w:tc>
          <w:tcPr>
            <w:tcW w:w="559" w:type="pct"/>
            <w:vAlign w:val="center"/>
          </w:tcPr>
          <w:p>
            <w:pPr>
              <w:jc w:val="right"/>
            </w:pPr>
            <w:r>
              <w:t xml:space="preserve">20,806 </w:t>
            </w:r>
          </w:p>
        </w:tc>
        <w:tc>
          <w:tcPr>
            <w:tcW w:w="630" w:type="pct"/>
            <w:vAlign w:val="center"/>
          </w:tcPr>
          <w:p>
            <w:pPr>
              <w:jc w:val="right"/>
            </w:pPr>
            <w:r>
              <w:t xml:space="preserve">5.87 </w:t>
            </w:r>
          </w:p>
        </w:tc>
        <w:tc>
          <w:tcPr>
            <w:tcW w:w="612" w:type="pct"/>
            <w:vAlign w:val="center"/>
          </w:tcPr>
          <w:p>
            <w:pPr>
              <w:jc w:val="right"/>
            </w:pPr>
            <w:r>
              <w:t xml:space="preserve">53.02 </w:t>
            </w:r>
          </w:p>
        </w:tc>
        <w:tc>
          <w:tcPr>
            <w:tcW w:w="1283" w:type="pct"/>
            <w:vAlign w:val="center"/>
          </w:tcPr>
          <w:p>
            <w:pPr>
              <w:rPr>
                <w:rStyle w:val="50"/>
                <w:b w:val="0"/>
                <w:bCs w:val="0"/>
                <w:szCs w:val="21"/>
              </w:rPr>
            </w:pPr>
            <w:r>
              <w:rPr>
                <w:rStyle w:val="50"/>
                <w:rFonts w:hint="eastAsia"/>
                <w:b w:val="0"/>
                <w:bCs w:val="0"/>
                <w:szCs w:val="21"/>
              </w:rPr>
              <w:t>公司一年内到期的长期借款重分类至一年内到期的非流动负债。</w:t>
            </w:r>
          </w:p>
        </w:tc>
      </w:tr>
      <w:tr>
        <w:trPr>
          <w:trHeight w:val="135"/>
          <w:jc w:val="center"/>
        </w:trPr>
        <w:tc>
          <w:tcPr>
            <w:tcW w:w="711" w:type="pct"/>
            <w:vAlign w:val="center"/>
          </w:tcPr>
          <w:p>
            <w:pPr>
              <w:pStyle w:val="afffffffffffff8"/>
            </w:pPr>
            <w:r>
              <w:t>应付债券</w:t>
            </w:r>
          </w:p>
        </w:tc>
        <w:tc>
          <w:tcPr>
            <w:tcW w:w="553" w:type="pct"/>
            <w:vAlign w:val="center"/>
          </w:tcPr>
          <w:p>
            <w:pPr>
              <w:jc w:val="right"/>
            </w:pPr>
            <w:r>
              <w:t xml:space="preserve">15,974 </w:t>
            </w:r>
          </w:p>
        </w:tc>
        <w:tc>
          <w:tcPr>
            <w:tcW w:w="652" w:type="pct"/>
            <w:vAlign w:val="center"/>
          </w:tcPr>
          <w:p>
            <w:pPr>
              <w:jc w:val="right"/>
            </w:pPr>
            <w:r>
              <w:t xml:space="preserve">4.45 </w:t>
            </w:r>
          </w:p>
        </w:tc>
        <w:tc>
          <w:tcPr>
            <w:tcW w:w="559" w:type="pct"/>
            <w:vAlign w:val="center"/>
          </w:tcPr>
          <w:p>
            <w:pPr>
              <w:jc w:val="right"/>
            </w:pPr>
            <w:r>
              <w:t xml:space="preserve">12,173 </w:t>
            </w:r>
          </w:p>
        </w:tc>
        <w:tc>
          <w:tcPr>
            <w:tcW w:w="630" w:type="pct"/>
            <w:vAlign w:val="center"/>
          </w:tcPr>
          <w:p>
            <w:pPr>
              <w:jc w:val="right"/>
            </w:pPr>
            <w:r>
              <w:t xml:space="preserve">3.43 </w:t>
            </w:r>
          </w:p>
        </w:tc>
        <w:tc>
          <w:tcPr>
            <w:tcW w:w="612" w:type="pct"/>
            <w:vAlign w:val="center"/>
          </w:tcPr>
          <w:p>
            <w:pPr>
              <w:jc w:val="right"/>
            </w:pPr>
            <w:r>
              <w:t xml:space="preserve">31.22 </w:t>
            </w:r>
          </w:p>
        </w:tc>
        <w:tc>
          <w:tcPr>
            <w:tcW w:w="1283" w:type="pct"/>
            <w:vAlign w:val="center"/>
          </w:tcPr>
          <w:p>
            <w:pPr>
              <w:rPr>
                <w:rStyle w:val="50"/>
                <w:b w:val="0"/>
                <w:bCs w:val="0"/>
                <w:szCs w:val="21"/>
              </w:rPr>
            </w:pPr>
            <w:r>
              <w:rPr>
                <w:rStyle w:val="50"/>
                <w:rFonts w:hint="eastAsia"/>
                <w:b w:val="0"/>
                <w:bCs w:val="0"/>
                <w:szCs w:val="21"/>
              </w:rPr>
              <w:t>报告期内公司发行</w:t>
            </w:r>
            <w:r>
              <w:rPr>
                <w:rStyle w:val="50"/>
                <w:b w:val="0"/>
                <w:bCs w:val="0"/>
                <w:szCs w:val="21"/>
              </w:rPr>
              <w:t>公司债券。</w:t>
            </w:r>
          </w:p>
        </w:tc>
      </w:tr>
      <w:tr>
        <w:trPr>
          <w:trHeight w:val="135"/>
          <w:jc w:val="center"/>
        </w:trPr>
        <w:tc>
          <w:tcPr>
            <w:tcW w:w="711" w:type="pct"/>
            <w:vAlign w:val="center"/>
          </w:tcPr>
          <w:p>
            <w:pPr>
              <w:pStyle w:val="afffffffffffff8"/>
            </w:pPr>
            <w:r>
              <w:t>股本</w:t>
            </w:r>
          </w:p>
        </w:tc>
        <w:tc>
          <w:tcPr>
            <w:tcW w:w="553" w:type="pct"/>
            <w:vAlign w:val="center"/>
          </w:tcPr>
          <w:p>
            <w:pPr>
              <w:jc w:val="right"/>
            </w:pPr>
            <w:r>
              <w:t>10,040</w:t>
            </w:r>
          </w:p>
        </w:tc>
        <w:tc>
          <w:tcPr>
            <w:tcW w:w="652" w:type="pct"/>
            <w:vAlign w:val="center"/>
          </w:tcPr>
          <w:p>
            <w:pPr>
              <w:jc w:val="right"/>
            </w:pPr>
            <w:r>
              <w:t>2.80</w:t>
            </w:r>
          </w:p>
        </w:tc>
        <w:tc>
          <w:tcPr>
            <w:tcW w:w="559" w:type="pct"/>
            <w:vAlign w:val="center"/>
          </w:tcPr>
          <w:p>
            <w:pPr>
              <w:jc w:val="right"/>
            </w:pPr>
            <w:r>
              <w:t>7,439</w:t>
            </w:r>
          </w:p>
        </w:tc>
        <w:tc>
          <w:tcPr>
            <w:tcW w:w="630" w:type="pct"/>
            <w:vAlign w:val="center"/>
          </w:tcPr>
          <w:p>
            <w:pPr>
              <w:jc w:val="right"/>
            </w:pPr>
            <w:r>
              <w:t>2.10</w:t>
            </w:r>
          </w:p>
        </w:tc>
        <w:tc>
          <w:tcPr>
            <w:tcW w:w="612" w:type="pct"/>
            <w:vAlign w:val="center"/>
          </w:tcPr>
          <w:p>
            <w:pPr>
              <w:jc w:val="right"/>
            </w:pPr>
            <w:r>
              <w:t>34.96</w:t>
            </w:r>
          </w:p>
        </w:tc>
        <w:tc>
          <w:tcPr>
            <w:tcW w:w="1283" w:type="pct"/>
            <w:vAlign w:val="center"/>
          </w:tcPr>
          <w:p>
            <w:pPr>
              <w:rPr>
                <w:rStyle w:val="50"/>
                <w:b w:val="0"/>
                <w:bCs w:val="0"/>
                <w:szCs w:val="21"/>
              </w:rPr>
            </w:pPr>
            <w:r>
              <w:rPr>
                <w:rStyle w:val="50"/>
                <w:rFonts w:hint="eastAsia"/>
                <w:b w:val="0"/>
                <w:bCs w:val="0"/>
                <w:szCs w:val="21"/>
              </w:rPr>
              <w:t>报告期内公司根据一般性授权发行</w:t>
            </w:r>
            <w:r>
              <w:rPr>
                <w:rStyle w:val="50"/>
                <w:b w:val="0"/>
                <w:bCs w:val="0"/>
                <w:szCs w:val="21"/>
              </w:rPr>
              <w:t>H股以及完成了2023年度股票股利派发，股本相应增加。</w:t>
            </w:r>
          </w:p>
        </w:tc>
      </w:tr>
      <w:tr>
        <w:trPr>
          <w:trHeight w:val="135"/>
          <w:jc w:val="center"/>
        </w:trPr>
        <w:tc>
          <w:tcPr>
            <w:tcW w:w="711" w:type="pct"/>
            <w:vAlign w:val="center"/>
          </w:tcPr>
          <w:p>
            <w:pPr>
              <w:pStyle w:val="afffffffffffff8"/>
            </w:pPr>
            <w:r>
              <w:t>其他权益工具</w:t>
            </w:r>
          </w:p>
        </w:tc>
        <w:tc>
          <w:tcPr>
            <w:tcW w:w="553" w:type="pct"/>
            <w:vAlign w:val="center"/>
          </w:tcPr>
          <w:p>
            <w:pPr>
              <w:jc w:val="right"/>
            </w:pPr>
            <w:r>
              <w:t xml:space="preserve">23,267 </w:t>
            </w:r>
          </w:p>
        </w:tc>
        <w:tc>
          <w:tcPr>
            <w:tcW w:w="652" w:type="pct"/>
            <w:vAlign w:val="center"/>
          </w:tcPr>
          <w:p>
            <w:pPr>
              <w:jc w:val="right"/>
            </w:pPr>
            <w:r>
              <w:t xml:space="preserve">6.49 </w:t>
            </w:r>
          </w:p>
        </w:tc>
        <w:tc>
          <w:tcPr>
            <w:tcW w:w="559" w:type="pct"/>
            <w:vAlign w:val="center"/>
          </w:tcPr>
          <w:p>
            <w:pPr>
              <w:jc w:val="right"/>
            </w:pPr>
            <w:r>
              <w:t xml:space="preserve">16,542 </w:t>
            </w:r>
          </w:p>
        </w:tc>
        <w:tc>
          <w:tcPr>
            <w:tcW w:w="630" w:type="pct"/>
            <w:vAlign w:val="center"/>
          </w:tcPr>
          <w:p>
            <w:pPr>
              <w:jc w:val="right"/>
            </w:pPr>
            <w:r>
              <w:t xml:space="preserve">4.67 </w:t>
            </w:r>
          </w:p>
        </w:tc>
        <w:tc>
          <w:tcPr>
            <w:tcW w:w="612" w:type="pct"/>
            <w:vAlign w:val="center"/>
          </w:tcPr>
          <w:p>
            <w:pPr>
              <w:jc w:val="right"/>
            </w:pPr>
            <w:r>
              <w:t xml:space="preserve">40.66 </w:t>
            </w:r>
          </w:p>
        </w:tc>
        <w:tc>
          <w:tcPr>
            <w:tcW w:w="1283" w:type="pct"/>
            <w:vAlign w:val="center"/>
          </w:tcPr>
          <w:p>
            <w:pPr>
              <w:rPr>
                <w:rStyle w:val="50"/>
                <w:b w:val="0"/>
                <w:bCs w:val="0"/>
                <w:szCs w:val="21"/>
              </w:rPr>
            </w:pPr>
            <w:r>
              <w:rPr>
                <w:rFonts w:hint="eastAsia"/>
                <w:kern w:val="2"/>
                <w:szCs w:val="21"/>
              </w:rPr>
              <w:t>报告期内公司发行永续</w:t>
            </w:r>
            <w:r>
              <w:rPr>
                <w:kern w:val="2"/>
                <w:szCs w:val="21"/>
              </w:rPr>
              <w:t>债券。</w:t>
            </w:r>
          </w:p>
        </w:tc>
      </w:tr>
      <w:tr>
        <w:trPr>
          <w:trHeight w:val="135"/>
          <w:jc w:val="center"/>
        </w:trPr>
        <w:tc>
          <w:tcPr>
            <w:tcW w:w="711" w:type="pct"/>
            <w:vAlign w:val="center"/>
          </w:tcPr>
          <w:p>
            <w:pPr>
              <w:pStyle w:val="afffffffffffff8"/>
            </w:pPr>
            <w:r>
              <w:rPr>
                <w:rFonts w:hint="eastAsia"/>
              </w:rPr>
              <w:t>资本公积</w:t>
            </w:r>
          </w:p>
        </w:tc>
        <w:tc>
          <w:tcPr>
            <w:tcW w:w="553" w:type="pct"/>
            <w:vAlign w:val="center"/>
          </w:tcPr>
          <w:p>
            <w:pPr>
              <w:jc w:val="right"/>
            </w:pPr>
            <w:r>
              <w:t xml:space="preserve">4,131 </w:t>
            </w:r>
          </w:p>
        </w:tc>
        <w:tc>
          <w:tcPr>
            <w:tcW w:w="652" w:type="pct"/>
            <w:vAlign w:val="center"/>
          </w:tcPr>
          <w:p>
            <w:pPr>
              <w:jc w:val="right"/>
            </w:pPr>
            <w:r>
              <w:t xml:space="preserve">1.15 </w:t>
            </w:r>
          </w:p>
        </w:tc>
        <w:tc>
          <w:tcPr>
            <w:tcW w:w="559" w:type="pct"/>
            <w:vAlign w:val="center"/>
          </w:tcPr>
          <w:p>
            <w:pPr>
              <w:jc w:val="right"/>
            </w:pPr>
            <w:r>
              <w:t xml:space="preserve">-33 </w:t>
            </w:r>
          </w:p>
        </w:tc>
        <w:tc>
          <w:tcPr>
            <w:tcW w:w="630" w:type="pct"/>
            <w:vAlign w:val="center"/>
          </w:tcPr>
          <w:p>
            <w:pPr>
              <w:jc w:val="right"/>
            </w:pPr>
            <w:r>
              <w:t xml:space="preserve">-0.01 </w:t>
            </w:r>
          </w:p>
        </w:tc>
        <w:tc>
          <w:tcPr>
            <w:tcW w:w="612" w:type="pct"/>
            <w:vAlign w:val="center"/>
          </w:tcPr>
          <w:p>
            <w:pPr>
              <w:jc w:val="right"/>
            </w:pPr>
            <w:r>
              <w:t xml:space="preserve">- </w:t>
            </w:r>
          </w:p>
        </w:tc>
        <w:tc>
          <w:tcPr>
            <w:tcW w:w="1283" w:type="pct"/>
            <w:vAlign w:val="center"/>
          </w:tcPr>
          <w:p>
            <w:pPr>
              <w:rPr>
                <w:kern w:val="2"/>
                <w:szCs w:val="21"/>
              </w:rPr>
            </w:pPr>
            <w:r>
              <w:rPr>
                <w:rFonts w:hint="eastAsia"/>
                <w:kern w:val="2"/>
                <w:szCs w:val="21"/>
              </w:rPr>
              <w:t>报告期内公司发行</w:t>
            </w:r>
            <w:r>
              <w:rPr>
                <w:kern w:val="2"/>
                <w:szCs w:val="21"/>
              </w:rPr>
              <w:t>2.85</w:t>
            </w:r>
            <w:r>
              <w:rPr>
                <w:rFonts w:hint="eastAsia"/>
                <w:kern w:val="2"/>
                <w:szCs w:val="21"/>
              </w:rPr>
              <w:t>亿股</w:t>
            </w:r>
            <w:r>
              <w:rPr>
                <w:kern w:val="2"/>
                <w:szCs w:val="21"/>
              </w:rPr>
              <w:t>H股股票，发行溢</w:t>
            </w:r>
            <w:r>
              <w:rPr>
                <w:rFonts w:hint="eastAsia"/>
                <w:kern w:val="2"/>
                <w:szCs w:val="21"/>
              </w:rPr>
              <w:t>价计入资本公积。</w:t>
            </w:r>
          </w:p>
        </w:tc>
      </w:tr>
    </w:tbl>
    <w:bookmarkEnd w:id="73"/>
    <w:p>
      <w:pPr>
        <w:rPr>
          <w:szCs w:val="21"/>
        </w:rPr>
      </w:pPr>
      <w:r>
        <w:rPr>
          <w:rFonts w:hint="eastAsia"/>
          <w:szCs w:val="21"/>
        </w:rPr>
        <w:t>其他说明：</w:t>
      </w:r>
    </w:p>
    <w:sdt>
      <w:sdtPr>
        <w:rPr>
          <w:rFonts w:hint="eastAsia"/>
          <w:szCs w:val="21"/>
        </w:rPr>
        <w:alias w:val="资产及负债状况的其他说明"/>
        <w:tag w:val="_GBC_3aee54264edd4bb08807d2335eb33f43"/>
        <w:id w:val="20596705"/>
        <w:placeholder>
          <w:docPart w:val="GBC22222222222222222222222222222"/>
        </w:placeholder>
      </w:sdtPr>
      <w:sdtContent>
        <w:sdt>
          <w:sdtPr>
            <w:rPr>
              <w:rFonts w:cs="Times New Roman" w:hint="eastAsia"/>
              <w:kern w:val="2"/>
              <w:szCs w:val="21"/>
            </w:rPr>
            <w:alias w:val="资产及负债状况的其他说明"/>
            <w:tag w:val="_GBC_3aee54264edd4bb08807d2335eb33f43"/>
            <w:id w:val="-1310318431"/>
            <w:placeholder>
              <w:docPart w:val="8DF9EFA013024CA792185DB4AA0C875F"/>
            </w:placeholder>
          </w:sdtPr>
          <w:sdtContent>
            <w:p>
              <w:pPr>
                <w:ind w:firstLineChars="200" w:firstLine="420"/>
                <w:rPr>
                  <w:rFonts w:cs="Times New Roman"/>
                  <w:kern w:val="2"/>
                  <w:szCs w:val="21"/>
                </w:rPr>
              </w:pPr>
              <w:r>
                <w:rPr>
                  <w:rFonts w:cs="Times New Roman" w:hint="eastAsia"/>
                  <w:kern w:val="2"/>
                  <w:szCs w:val="21"/>
                </w:rPr>
                <w:t>（</w:t>
              </w:r>
              <w:r>
                <w:rPr>
                  <w:rFonts w:cs="Times New Roman"/>
                  <w:kern w:val="2"/>
                  <w:szCs w:val="21"/>
                </w:rPr>
                <w:t>1）资本负债比率</w:t>
              </w:r>
            </w:p>
            <w:p>
              <w:pPr>
                <w:widowControl w:val="0"/>
                <w:ind w:firstLineChars="200" w:firstLine="420"/>
                <w:jc w:val="both"/>
                <w:rPr>
                  <w:rFonts w:cs="Times New Roman"/>
                  <w:kern w:val="2"/>
                  <w:szCs w:val="21"/>
                </w:rPr>
              </w:pPr>
              <w:bookmarkStart w:id="74" w:name="_Hlk192239882"/>
            </w:p>
            <w:p>
              <w:pPr>
                <w:widowControl w:val="0"/>
                <w:ind w:firstLineChars="200" w:firstLine="420"/>
                <w:jc w:val="both"/>
                <w:rPr>
                  <w:rFonts w:cs="Times New Roman"/>
                  <w:kern w:val="2"/>
                  <w:szCs w:val="21"/>
                </w:rPr>
              </w:pPr>
              <w:r>
                <w:rPr>
                  <w:rFonts w:cs="Times New Roman" w:hint="eastAsia"/>
                  <w:kern w:val="2"/>
                  <w:szCs w:val="21"/>
                </w:rPr>
                <w:lastRenderedPageBreak/>
                <w:t>截至</w:t>
              </w:r>
              <w:r>
                <w:rPr>
                  <w:rFonts w:cs="Times New Roman"/>
                  <w:kern w:val="2"/>
                  <w:szCs w:val="21"/>
                </w:rPr>
                <w:t>2024年12月31日，归属于母公司股东权益为825.94亿元，有息负债为1,184.92亿元，</w:t>
              </w:r>
              <w:r>
                <w:rPr>
                  <w:rFonts w:cs="Times New Roman" w:hint="eastAsia"/>
                  <w:kern w:val="2"/>
                  <w:szCs w:val="21"/>
                </w:rPr>
                <w:t>资本负债比率（等于有息负债除以</w:t>
              </w:r>
              <w:r>
                <w:rPr>
                  <w:rFonts w:cs="Times New Roman"/>
                  <w:kern w:val="2"/>
                  <w:szCs w:val="21"/>
                </w:rPr>
                <w:t>归属于母公司股东权益</w:t>
              </w:r>
              <w:r>
                <w:rPr>
                  <w:rFonts w:cs="Times New Roman" w:hint="eastAsia"/>
                  <w:kern w:val="2"/>
                  <w:szCs w:val="21"/>
                </w:rPr>
                <w:t>）为</w:t>
              </w:r>
              <w:r>
                <w:rPr>
                  <w:rFonts w:cs="Times New Roman"/>
                  <w:kern w:val="2"/>
                  <w:szCs w:val="21"/>
                </w:rPr>
                <w:t>143.5%。</w:t>
              </w:r>
            </w:p>
            <w:bookmarkEnd w:id="74"/>
            <w:p>
              <w:pPr>
                <w:widowControl w:val="0"/>
                <w:ind w:firstLineChars="200" w:firstLine="420"/>
                <w:jc w:val="both"/>
                <w:rPr>
                  <w:rFonts w:cs="Times New Roman"/>
                  <w:kern w:val="2"/>
                  <w:szCs w:val="21"/>
                </w:rPr>
              </w:pPr>
              <w:r>
                <w:rPr>
                  <w:rFonts w:cs="Times New Roman" w:hint="eastAsia"/>
                  <w:kern w:val="2"/>
                  <w:szCs w:val="21"/>
                </w:rPr>
                <w:t>有关有息负债详情请见按中国会计准则编制的财务报告附注“与金融工具相关风险—各类风险管理目标和政策”。</w:t>
              </w:r>
            </w:p>
            <w:p>
              <w:pPr>
                <w:widowControl w:val="0"/>
                <w:ind w:firstLineChars="200" w:firstLine="420"/>
                <w:jc w:val="both"/>
                <w:rPr>
                  <w:rFonts w:cs="Times New Roman"/>
                  <w:kern w:val="2"/>
                  <w:szCs w:val="21"/>
                </w:rPr>
              </w:pPr>
              <w:r>
                <w:rPr>
                  <w:rFonts w:cs="Times New Roman" w:hint="eastAsia"/>
                  <w:kern w:val="2"/>
                  <w:szCs w:val="21"/>
                </w:rPr>
                <w:t>（</w:t>
              </w:r>
              <w:r>
                <w:rPr>
                  <w:rFonts w:cs="Times New Roman"/>
                  <w:kern w:val="2"/>
                  <w:szCs w:val="21"/>
                </w:rPr>
                <w:t>2）或有负债</w:t>
              </w:r>
            </w:p>
            <w:p>
              <w:pPr>
                <w:widowControl w:val="0"/>
                <w:ind w:firstLineChars="200" w:firstLine="420"/>
                <w:jc w:val="both"/>
                <w:rPr>
                  <w:rFonts w:cs="Times New Roman"/>
                  <w:kern w:val="2"/>
                  <w:szCs w:val="21"/>
                </w:rPr>
              </w:pPr>
              <w:r>
                <w:rPr>
                  <w:rFonts w:cs="Times New Roman" w:hint="eastAsia"/>
                  <w:kern w:val="2"/>
                  <w:szCs w:val="21"/>
                </w:rPr>
                <w:t>有关或有负债详情请见按国际财务报告准则编制的财务报表附注“或有负债”。</w:t>
              </w:r>
            </w:p>
            <w:p>
              <w:pPr>
                <w:widowControl w:val="0"/>
                <w:ind w:firstLineChars="200" w:firstLine="420"/>
                <w:jc w:val="both"/>
                <w:rPr>
                  <w:rFonts w:cs="Times New Roman"/>
                  <w:kern w:val="2"/>
                  <w:szCs w:val="21"/>
                </w:rPr>
              </w:pPr>
              <w:r>
                <w:rPr>
                  <w:rFonts w:cs="Times New Roman" w:hint="eastAsia"/>
                  <w:kern w:val="2"/>
                  <w:szCs w:val="21"/>
                </w:rPr>
                <w:t>（</w:t>
              </w:r>
              <w:r>
                <w:rPr>
                  <w:rFonts w:cs="Times New Roman"/>
                  <w:kern w:val="2"/>
                  <w:szCs w:val="21"/>
                </w:rPr>
                <w:t>3）资产抵押</w:t>
              </w:r>
            </w:p>
            <w:p>
              <w:pPr>
                <w:widowControl w:val="0"/>
                <w:ind w:firstLineChars="200" w:firstLine="420"/>
                <w:jc w:val="both"/>
                <w:rPr>
                  <w:rFonts w:cs="Times New Roman"/>
                  <w:kern w:val="2"/>
                  <w:szCs w:val="21"/>
                </w:rPr>
              </w:pPr>
              <w:r>
                <w:rPr>
                  <w:rFonts w:cs="Times New Roman" w:hint="eastAsia"/>
                  <w:kern w:val="2"/>
                  <w:szCs w:val="21"/>
                </w:rPr>
                <w:t>有关资产抵押详情请见按中国会计准则编制的财务报表附注“合并财务报表项目注释—所有权或使用权受到限制的资产”。</w:t>
              </w:r>
            </w:p>
            <w:p>
              <w:pPr>
                <w:widowControl w:val="0"/>
                <w:ind w:firstLineChars="200" w:firstLine="420"/>
                <w:jc w:val="both"/>
                <w:rPr>
                  <w:rFonts w:cs="Times New Roman"/>
                  <w:kern w:val="2"/>
                  <w:szCs w:val="21"/>
                </w:rPr>
              </w:pPr>
            </w:p>
          </w:sdtContent>
        </w:sdt>
      </w:sdtContent>
    </w:sdt>
    <w:p>
      <w:pPr>
        <w:pStyle w:val="4"/>
        <w:numPr>
          <w:ilvl w:val="0"/>
          <w:numId w:val="21"/>
        </w:numPr>
      </w:pPr>
      <w:bookmarkStart w:id="75" w:name="_Hlk89877438"/>
      <w:r>
        <w:rPr>
          <w:rFonts w:ascii="宋体" w:eastAsia="宋体" w:hAnsi="宋体" w:cs="宋体" w:hint="eastAsia"/>
          <w:kern w:val="0"/>
          <w:szCs w:val="21"/>
        </w:rPr>
        <w:t>境外资产情况</w:t>
      </w:r>
    </w:p>
    <w:sdt>
      <w:sdtPr>
        <w:rPr>
          <w:rFonts w:hint="eastAsia"/>
          <w:szCs w:val="21"/>
        </w:rPr>
        <w:alias w:val="是否适用：境外资产情况 [双击切换]"/>
        <w:tag w:val="_GBC_7c019689b55740839a263ecc68721e10"/>
        <w:id w:val="-438603402"/>
        <w:lock w:val="conten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5"/>
        <w:numPr>
          <w:ilvl w:val="0"/>
          <w:numId w:val="12"/>
        </w:numPr>
        <w:ind w:leftChars="0"/>
        <w:rPr>
          <w:rFonts w:ascii="宋体" w:hAnsi="宋体"/>
          <w:szCs w:val="21"/>
        </w:rPr>
      </w:pPr>
      <w:bookmarkStart w:id="76" w:name="_Hlk74646369"/>
      <w:bookmarkStart w:id="77" w:name="_Hlk89175643"/>
      <w:r>
        <w:rPr>
          <w:rFonts w:ascii="宋体" w:hAnsi="宋体" w:hint="eastAsia"/>
          <w:szCs w:val="21"/>
        </w:rPr>
        <w:t>资产规模</w:t>
      </w:r>
    </w:p>
    <w:p>
      <w:pPr>
        <w:ind w:firstLineChars="200" w:firstLine="420"/>
        <w:rPr>
          <w:szCs w:val="21"/>
        </w:rPr>
      </w:pPr>
      <w:r>
        <w:rPr>
          <w:rFonts w:hint="eastAsia"/>
          <w:szCs w:val="21"/>
        </w:rPr>
        <w:t>截至</w:t>
      </w:r>
      <w:r>
        <w:rPr>
          <w:szCs w:val="21"/>
        </w:rPr>
        <w:t>2024年12月31日，本集团</w:t>
      </w:r>
      <w:r>
        <w:rPr>
          <w:rFonts w:hint="eastAsia"/>
          <w:szCs w:val="21"/>
        </w:rPr>
        <w:t>境外资产</w:t>
      </w:r>
      <w:bookmarkStart w:id="78" w:name="_Hlk192528761"/>
      <w:sdt>
        <w:sdtPr>
          <w:rPr>
            <w:rFonts w:hint="eastAsia"/>
            <w:szCs w:val="21"/>
          </w:rPr>
          <w:alias w:val="报告期内公司境外资产变化"/>
          <w:tag w:val="_GBC_cbb65327857a4a80a4f343e0bf736822"/>
          <w:id w:val="337427034"/>
          <w:placeholder>
            <w:docPart w:val="GBC22222222222222222222222222222"/>
          </w:placeholder>
        </w:sdtPr>
        <w:sdtEndPr>
          <w:rPr>
            <w:szCs w:val="24"/>
          </w:rPr>
        </w:sdtEndPr>
        <w:sdtContent>
          <w:r>
            <w:rPr>
              <w:szCs w:val="21"/>
            </w:rPr>
            <w:t>751.21</w:t>
          </w:r>
        </w:sdtContent>
      </w:sdt>
      <w:bookmarkEnd w:id="78"/>
      <w:sdt>
        <w:sdtPr>
          <w:rPr>
            <w:rFonts w:hint="eastAsia"/>
            <w:szCs w:val="21"/>
          </w:rPr>
          <w:alias w:val="单位：报告期内公司境外资产变化"/>
          <w:tag w:val="_GBC_269723869c544fd5af5f26c6edeeb598"/>
          <w:id w:val="20508678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亿元</w:t>
          </w:r>
        </w:sdtContent>
      </w:sdt>
      <w:r>
        <w:rPr>
          <w:rFonts w:hint="eastAsia"/>
          <w:szCs w:val="21"/>
        </w:rPr>
        <w:t>，占总资产的比例为</w:t>
      </w:r>
      <w:bookmarkStart w:id="79" w:name="_Hlk192528767"/>
      <w:sdt>
        <w:sdtPr>
          <w:rPr>
            <w:rFonts w:hint="eastAsia"/>
            <w:szCs w:val="21"/>
          </w:rPr>
          <w:alias w:val="报告期内公司境外资产变化占总资产的比例"/>
          <w:tag w:val="_GBC_5480c4d77db342bdbf4d43b6611f0966"/>
          <w:id w:val="-2063776361"/>
          <w:placeholder>
            <w:docPart w:val="GBC22222222222222222222222222222"/>
          </w:placeholder>
        </w:sdtPr>
        <w:sdtEndPr>
          <w:rPr>
            <w:szCs w:val="24"/>
          </w:rPr>
        </w:sdtEndPr>
        <w:sdtContent>
          <w:r>
            <w:rPr>
              <w:szCs w:val="21"/>
            </w:rPr>
            <w:t>21.0</w:t>
          </w:r>
        </w:sdtContent>
      </w:sdt>
      <w:bookmarkEnd w:id="79"/>
      <w:r>
        <w:rPr>
          <w:szCs w:val="21"/>
        </w:rPr>
        <w:t>%</w:t>
      </w:r>
      <w:r>
        <w:rPr>
          <w:rFonts w:hint="eastAsia"/>
          <w:szCs w:val="21"/>
        </w:rPr>
        <w:t>。</w:t>
      </w:r>
    </w:p>
    <w:p>
      <w:pPr>
        <w:rPr>
          <w:szCs w:val="21"/>
        </w:rPr>
      </w:pPr>
    </w:p>
    <w:p>
      <w:pPr>
        <w:pStyle w:val="5"/>
        <w:numPr>
          <w:ilvl w:val="0"/>
          <w:numId w:val="12"/>
        </w:numPr>
        <w:ind w:leftChars="0"/>
        <w:rPr>
          <w:rFonts w:ascii="宋体" w:hAnsi="宋体"/>
          <w:szCs w:val="21"/>
        </w:rPr>
      </w:pPr>
      <w:bookmarkStart w:id="80" w:name="_Hlk89176028"/>
      <w:bookmarkEnd w:id="76"/>
      <w:bookmarkEnd w:id="77"/>
      <w:r>
        <w:rPr>
          <w:rFonts w:ascii="宋体" w:hAnsi="宋体" w:hint="eastAsia"/>
          <w:szCs w:val="21"/>
        </w:rPr>
        <w:t>境外资产占比较高的相关说明</w:t>
      </w:r>
    </w:p>
    <w:sdt>
      <w:sdtPr>
        <w:rPr>
          <w:rFonts w:hint="eastAsia"/>
          <w:szCs w:val="21"/>
        </w:rPr>
        <w:alias w:val="是否适用：境外资产占比较高的相关说明  [双击切换]"/>
        <w:tag w:val="_GBC_2dd8a14582494b7fb2da678323726771"/>
        <w:id w:val="40133792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r>
        <w:rPr>
          <w:szCs w:val="21"/>
        </w:rPr>
        <w:t>：</w:t>
      </w:r>
      <w:sdt>
        <w:sdtPr>
          <w:rPr>
            <w:szCs w:val="21"/>
          </w:rPr>
          <w:alias w:val="单位：境外资产占比较高的相关说明  "/>
          <w:tag w:val="_GBC_447d29dc63b64b7d96201657146f7d1e"/>
          <w:id w:val="21709828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百万元</w:t>
          </w:r>
        </w:sdtContent>
      </w:sdt>
      <w:r>
        <w:rPr>
          <w:rFonts w:hint="eastAsia"/>
          <w:szCs w:val="21"/>
        </w:rPr>
        <w:t xml:space="preserve">  币种</w:t>
      </w:r>
      <w:r>
        <w:rPr>
          <w:szCs w:val="21"/>
        </w:rPr>
        <w:t>：</w:t>
      </w:r>
      <w:sdt>
        <w:sdtPr>
          <w:rPr>
            <w:szCs w:val="21"/>
          </w:rPr>
          <w:alias w:val="币种：境外资产占比较高的相关说明  "/>
          <w:tag w:val="_GBC_9e5c0e50e96b4e36bea32b4b38ac56b1"/>
          <w:id w:val="19497387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ffffffffffff7"/>
        <w:tblW w:w="5000" w:type="pct"/>
        <w:tblLook w:val="04A0" w:firstRow="1" w:lastRow="0" w:firstColumn="1" w:lastColumn="0" w:noHBand="0" w:noVBand="1"/>
      </w:tblPr>
      <w:tblGrid>
        <w:gridCol w:w="1552"/>
        <w:gridCol w:w="1975"/>
        <w:gridCol w:w="2079"/>
        <w:gridCol w:w="1678"/>
        <w:gridCol w:w="1539"/>
      </w:tblGrid>
      <w:tr>
        <w:trPr>
          <w:trHeight w:val="303"/>
        </w:trPr>
        <w:sdt>
          <w:sdtPr>
            <w:tag w:val="_PLD_d6a563414a4f4480b44cc32922a7159b"/>
            <w:id w:val="393551373"/>
          </w:sdtPr>
          <w:sdtContent>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val="0"/>
                  <w:jc w:val="center"/>
                  <w:rPr>
                    <w:szCs w:val="21"/>
                  </w:rPr>
                </w:pPr>
                <w:r>
                  <w:rPr>
                    <w:rFonts w:hint="eastAsia"/>
                    <w:szCs w:val="21"/>
                  </w:rPr>
                  <w:t>境外资产名称</w:t>
                </w:r>
              </w:p>
            </w:tc>
          </w:sdtContent>
        </w:sdt>
        <w:sdt>
          <w:sdtPr>
            <w:tag w:val="_PLD_d4ef4f1b52e5497eb13a8073698b2c5a"/>
            <w:id w:val="509869879"/>
          </w:sdtPr>
          <w:sdtContent>
            <w:tc>
              <w:tcPr>
                <w:tcW w:w="1119" w:type="pct"/>
                <w:tcBorders>
                  <w:top w:val="single" w:sz="4" w:space="0" w:color="auto"/>
                  <w:left w:val="nil"/>
                  <w:bottom w:val="single" w:sz="4" w:space="0" w:color="auto"/>
                  <w:right w:val="single" w:sz="4" w:space="0" w:color="auto"/>
                </w:tcBorders>
                <w:shd w:val="clear" w:color="auto" w:fill="auto"/>
                <w:noWrap/>
                <w:vAlign w:val="center"/>
                <w:hideMark/>
              </w:tcPr>
              <w:p>
                <w:pPr>
                  <w:widowControl w:val="0"/>
                  <w:jc w:val="center"/>
                  <w:rPr>
                    <w:szCs w:val="21"/>
                  </w:rPr>
                </w:pPr>
                <w:r>
                  <w:rPr>
                    <w:rFonts w:hint="eastAsia"/>
                    <w:szCs w:val="21"/>
                  </w:rPr>
                  <w:t>形成原因</w:t>
                </w:r>
              </w:p>
            </w:tc>
          </w:sdtContent>
        </w:sdt>
        <w:sdt>
          <w:sdtPr>
            <w:tag w:val="_PLD_9ba1a7c57df94beba3126647d031eb9c"/>
            <w:id w:val="1364704312"/>
          </w:sdtPr>
          <w:sdtContent>
            <w:tc>
              <w:tcPr>
                <w:tcW w:w="1178" w:type="pct"/>
                <w:tcBorders>
                  <w:top w:val="single" w:sz="4" w:space="0" w:color="auto"/>
                  <w:left w:val="nil"/>
                  <w:bottom w:val="single" w:sz="4" w:space="0" w:color="auto"/>
                  <w:right w:val="single" w:sz="4" w:space="0" w:color="auto"/>
                </w:tcBorders>
                <w:shd w:val="clear" w:color="auto" w:fill="auto"/>
                <w:noWrap/>
                <w:vAlign w:val="center"/>
                <w:hideMark/>
              </w:tcPr>
              <w:p>
                <w:pPr>
                  <w:widowControl w:val="0"/>
                  <w:jc w:val="center"/>
                  <w:rPr>
                    <w:szCs w:val="21"/>
                  </w:rPr>
                </w:pPr>
                <w:r>
                  <w:rPr>
                    <w:rFonts w:hint="eastAsia"/>
                    <w:szCs w:val="21"/>
                  </w:rPr>
                  <w:t>运营模式</w:t>
                </w:r>
              </w:p>
            </w:tc>
          </w:sdtContent>
        </w:sdt>
        <w:sdt>
          <w:sdtPr>
            <w:tag w:val="_PLD_37fd5de7b50c491680082fc66ba171cc"/>
            <w:id w:val="75572032"/>
          </w:sdtPr>
          <w:sdtContent>
            <w:tc>
              <w:tcPr>
                <w:tcW w:w="951" w:type="pct"/>
                <w:tcBorders>
                  <w:top w:val="single" w:sz="4" w:space="0" w:color="auto"/>
                  <w:left w:val="nil"/>
                  <w:bottom w:val="single" w:sz="4" w:space="0" w:color="auto"/>
                  <w:right w:val="single" w:sz="4" w:space="0" w:color="auto"/>
                </w:tcBorders>
                <w:shd w:val="clear" w:color="auto" w:fill="auto"/>
                <w:noWrap/>
                <w:vAlign w:val="center"/>
                <w:hideMark/>
              </w:tcPr>
              <w:p>
                <w:pPr>
                  <w:widowControl w:val="0"/>
                  <w:jc w:val="center"/>
                  <w:rPr>
                    <w:szCs w:val="21"/>
                  </w:rPr>
                </w:pPr>
                <w:r>
                  <w:rPr>
                    <w:rFonts w:hint="eastAsia"/>
                    <w:szCs w:val="21"/>
                  </w:rPr>
                  <w:t>本报告期</w:t>
                </w:r>
              </w:p>
              <w:p>
                <w:pPr>
                  <w:widowControl w:val="0"/>
                  <w:jc w:val="center"/>
                  <w:rPr>
                    <w:szCs w:val="21"/>
                  </w:rPr>
                </w:pPr>
                <w:r>
                  <w:rPr>
                    <w:rFonts w:hint="eastAsia"/>
                    <w:szCs w:val="21"/>
                  </w:rPr>
                  <w:t>营业收入</w:t>
                </w:r>
              </w:p>
            </w:tc>
          </w:sdtContent>
        </w:sdt>
        <w:sdt>
          <w:sdtPr>
            <w:tag w:val="_PLD_1a3ec7da73fb408ba288b57da492e648"/>
            <w:id w:val="-1875454913"/>
          </w:sdtPr>
          <w:sdtContent>
            <w:tc>
              <w:tcPr>
                <w:tcW w:w="872" w:type="pct"/>
                <w:tcBorders>
                  <w:top w:val="single" w:sz="4" w:space="0" w:color="auto"/>
                  <w:left w:val="nil"/>
                  <w:bottom w:val="single" w:sz="4" w:space="0" w:color="auto"/>
                  <w:right w:val="single" w:sz="4" w:space="0" w:color="auto"/>
                </w:tcBorders>
                <w:shd w:val="clear" w:color="auto" w:fill="auto"/>
                <w:noWrap/>
                <w:vAlign w:val="center"/>
                <w:hideMark/>
              </w:tcPr>
              <w:p>
                <w:pPr>
                  <w:widowControl w:val="0"/>
                  <w:jc w:val="center"/>
                  <w:rPr>
                    <w:szCs w:val="21"/>
                  </w:rPr>
                </w:pPr>
                <w:r>
                  <w:rPr>
                    <w:rFonts w:hint="eastAsia"/>
                    <w:szCs w:val="21"/>
                  </w:rPr>
                  <w:t>本报告期</w:t>
                </w:r>
              </w:p>
              <w:p>
                <w:pPr>
                  <w:widowControl w:val="0"/>
                  <w:jc w:val="center"/>
                  <w:rPr>
                    <w:szCs w:val="21"/>
                  </w:rPr>
                </w:pPr>
                <w:r>
                  <w:rPr>
                    <w:rFonts w:hint="eastAsia"/>
                    <w:szCs w:val="21"/>
                  </w:rPr>
                  <w:t>净利润</w:t>
                </w:r>
              </w:p>
            </w:tc>
          </w:sdtContent>
        </w:sdt>
      </w:tr>
      <w:tr>
        <w:trPr>
          <w:trHeight w:val="285"/>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兖煤澳洲</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出资设立</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自营</w:t>
            </w:r>
          </w:p>
        </w:tc>
        <w:tc>
          <w:tcPr>
            <w:tcW w:w="951" w:type="pct"/>
            <w:tcBorders>
              <w:top w:val="single" w:sz="4" w:space="0" w:color="auto"/>
              <w:left w:val="nil"/>
              <w:bottom w:val="single" w:sz="4" w:space="0" w:color="auto"/>
              <w:right w:val="single" w:sz="4" w:space="0" w:color="auto"/>
            </w:tcBorders>
            <w:shd w:val="clear" w:color="auto" w:fill="auto"/>
            <w:noWrap/>
            <w:vAlign w:val="center"/>
            <w:hideMark/>
          </w:tcPr>
          <w:p>
            <w:pPr>
              <w:jc w:val="right"/>
              <w:rPr>
                <w:color w:val="000000"/>
              </w:rPr>
            </w:pPr>
            <w:r>
              <w:t xml:space="preserve">32,214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pPr>
              <w:jc w:val="right"/>
              <w:rPr>
                <w:color w:val="000000"/>
              </w:rPr>
            </w:pPr>
            <w:r>
              <w:t xml:space="preserve">5,690 </w:t>
            </w:r>
          </w:p>
        </w:tc>
      </w:tr>
      <w:tr>
        <w:trPr>
          <w:trHeight w:val="285"/>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兖煤国际</w:t>
            </w:r>
          </w:p>
        </w:tc>
        <w:tc>
          <w:tcPr>
            <w:tcW w:w="1119" w:type="pct"/>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出资设立</w:t>
            </w:r>
          </w:p>
        </w:tc>
        <w:tc>
          <w:tcPr>
            <w:tcW w:w="1178" w:type="pct"/>
            <w:tcBorders>
              <w:top w:val="single" w:sz="4" w:space="0" w:color="auto"/>
              <w:left w:val="nil"/>
              <w:bottom w:val="single" w:sz="4" w:space="0" w:color="auto"/>
              <w:right w:val="single" w:sz="4" w:space="0" w:color="auto"/>
            </w:tcBorders>
            <w:shd w:val="clear" w:color="auto" w:fill="auto"/>
            <w:noWrap/>
            <w:vAlign w:val="center"/>
            <w:hideMark/>
          </w:tcPr>
          <w:p>
            <w:pPr>
              <w:jc w:val="center"/>
              <w:rPr>
                <w:color w:val="000000"/>
              </w:rPr>
            </w:pPr>
            <w:r>
              <w:rPr>
                <w:rFonts w:hint="eastAsia"/>
                <w:color w:val="000000"/>
              </w:rPr>
              <w:t>自营</w:t>
            </w:r>
          </w:p>
        </w:tc>
        <w:tc>
          <w:tcPr>
            <w:tcW w:w="951" w:type="pct"/>
            <w:tcBorders>
              <w:top w:val="single" w:sz="4" w:space="0" w:color="auto"/>
              <w:left w:val="nil"/>
              <w:bottom w:val="single" w:sz="4" w:space="0" w:color="auto"/>
              <w:right w:val="single" w:sz="4" w:space="0" w:color="auto"/>
            </w:tcBorders>
            <w:shd w:val="clear" w:color="auto" w:fill="auto"/>
            <w:noWrap/>
            <w:vAlign w:val="center"/>
            <w:hideMark/>
          </w:tcPr>
          <w:p>
            <w:pPr>
              <w:jc w:val="right"/>
              <w:rPr>
                <w:color w:val="000000"/>
              </w:rPr>
            </w:pPr>
            <w:r>
              <w:t xml:space="preserve">3,944 </w:t>
            </w:r>
          </w:p>
        </w:tc>
        <w:tc>
          <w:tcPr>
            <w:tcW w:w="872" w:type="pct"/>
            <w:tcBorders>
              <w:top w:val="single" w:sz="4" w:space="0" w:color="auto"/>
              <w:left w:val="nil"/>
              <w:bottom w:val="single" w:sz="4" w:space="0" w:color="auto"/>
              <w:right w:val="single" w:sz="4" w:space="0" w:color="auto"/>
            </w:tcBorders>
            <w:shd w:val="clear" w:color="auto" w:fill="auto"/>
            <w:noWrap/>
            <w:vAlign w:val="center"/>
            <w:hideMark/>
          </w:tcPr>
          <w:p>
            <w:pPr>
              <w:jc w:val="right"/>
              <w:rPr>
                <w:color w:val="000000"/>
              </w:rPr>
            </w:pPr>
            <w:r>
              <w:t xml:space="preserve">884 </w:t>
            </w:r>
          </w:p>
        </w:tc>
      </w:tr>
      <w:tr>
        <w:trPr>
          <w:trHeight w:val="285"/>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rPr>
            </w:pPr>
            <w:r>
              <w:rPr>
                <w:rFonts w:hint="eastAsia"/>
                <w:color w:val="000000"/>
              </w:rPr>
              <w:t>沙尔夫公司</w:t>
            </w:r>
          </w:p>
        </w:tc>
        <w:tc>
          <w:tcPr>
            <w:tcW w:w="1119" w:type="pct"/>
            <w:tcBorders>
              <w:top w:val="single" w:sz="4" w:space="0" w:color="auto"/>
              <w:left w:val="nil"/>
              <w:bottom w:val="single" w:sz="4" w:space="0" w:color="auto"/>
              <w:right w:val="single" w:sz="4" w:space="0" w:color="auto"/>
            </w:tcBorders>
            <w:shd w:val="clear" w:color="auto" w:fill="auto"/>
            <w:noWrap/>
            <w:vAlign w:val="center"/>
          </w:tcPr>
          <w:p>
            <w:pPr>
              <w:jc w:val="center"/>
              <w:rPr>
                <w:color w:val="000000"/>
              </w:rPr>
            </w:pPr>
            <w:r>
              <w:rPr>
                <w:rFonts w:hint="eastAsia"/>
                <w:color w:val="000000"/>
              </w:rPr>
              <w:t>股权收购</w:t>
            </w:r>
          </w:p>
        </w:tc>
        <w:tc>
          <w:tcPr>
            <w:tcW w:w="1178" w:type="pct"/>
            <w:tcBorders>
              <w:top w:val="single" w:sz="4" w:space="0" w:color="auto"/>
              <w:left w:val="nil"/>
              <w:bottom w:val="single" w:sz="4" w:space="0" w:color="auto"/>
              <w:right w:val="single" w:sz="4" w:space="0" w:color="auto"/>
            </w:tcBorders>
            <w:shd w:val="clear" w:color="auto" w:fill="auto"/>
            <w:noWrap/>
            <w:vAlign w:val="center"/>
          </w:tcPr>
          <w:p>
            <w:pPr>
              <w:jc w:val="center"/>
              <w:rPr>
                <w:color w:val="000000"/>
              </w:rPr>
            </w:pPr>
            <w:r>
              <w:rPr>
                <w:rFonts w:hint="eastAsia"/>
                <w:color w:val="000000"/>
              </w:rPr>
              <w:t>自营</w:t>
            </w:r>
          </w:p>
        </w:tc>
        <w:tc>
          <w:tcPr>
            <w:tcW w:w="951" w:type="pct"/>
            <w:tcBorders>
              <w:top w:val="single" w:sz="4" w:space="0" w:color="auto"/>
              <w:left w:val="nil"/>
              <w:bottom w:val="single" w:sz="4" w:space="0" w:color="auto"/>
              <w:right w:val="single" w:sz="4" w:space="0" w:color="auto"/>
            </w:tcBorders>
            <w:shd w:val="clear" w:color="auto" w:fill="auto"/>
            <w:noWrap/>
            <w:vAlign w:val="center"/>
          </w:tcPr>
          <w:p>
            <w:pPr>
              <w:jc w:val="right"/>
              <w:rPr>
                <w:color w:val="000000"/>
              </w:rPr>
            </w:pPr>
            <w:r>
              <w:t xml:space="preserve">387 </w:t>
            </w:r>
          </w:p>
        </w:tc>
        <w:tc>
          <w:tcPr>
            <w:tcW w:w="872" w:type="pct"/>
            <w:tcBorders>
              <w:top w:val="single" w:sz="4" w:space="0" w:color="auto"/>
              <w:left w:val="nil"/>
              <w:bottom w:val="single" w:sz="4" w:space="0" w:color="auto"/>
              <w:right w:val="single" w:sz="4" w:space="0" w:color="auto"/>
            </w:tcBorders>
            <w:shd w:val="clear" w:color="auto" w:fill="auto"/>
            <w:noWrap/>
            <w:vAlign w:val="center"/>
          </w:tcPr>
          <w:p>
            <w:pPr>
              <w:jc w:val="right"/>
              <w:rPr>
                <w:color w:val="000000"/>
              </w:rPr>
            </w:pPr>
            <w:r>
              <w:t xml:space="preserve">51 </w:t>
            </w:r>
          </w:p>
        </w:tc>
      </w:tr>
    </w:tbl>
    <w:p>
      <w:pPr>
        <w:rPr>
          <w:szCs w:val="21"/>
        </w:rPr>
      </w:pPr>
    </w:p>
    <w:bookmarkEnd w:id="75"/>
    <w:bookmarkEnd w:id="80"/>
    <w:p>
      <w:pPr>
        <w:pStyle w:val="4"/>
        <w:numPr>
          <w:ilvl w:val="0"/>
          <w:numId w:val="21"/>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40923340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81" w:name="_Hlk192239912" w:displacedByCustomXml="next"/>
    <w:sdt>
      <w:sdtPr>
        <w:rPr>
          <w:szCs w:val="21"/>
        </w:rPr>
        <w:alias w:val="主要资产受限情况"/>
        <w:tag w:val="_GBC_cb7fe3db517742e2a0cff2593f270f8e"/>
        <w:id w:val="-514449824"/>
        <w:placeholder>
          <w:docPart w:val="GBC22222222222222222222222222222"/>
        </w:placeholder>
      </w:sdtPr>
      <w:sdtContent>
        <w:p>
          <w:pPr>
            <w:ind w:firstLineChars="200" w:firstLine="420"/>
            <w:jc w:val="both"/>
            <w:rPr>
              <w:szCs w:val="21"/>
            </w:rPr>
          </w:pPr>
          <w:r>
            <w:rPr>
              <w:rFonts w:hint="eastAsia"/>
              <w:szCs w:val="21"/>
            </w:rPr>
            <w:t>截至</w:t>
          </w:r>
          <w:r>
            <w:rPr>
              <w:szCs w:val="21"/>
            </w:rPr>
            <w:t>2024年末，本集团受限资产金额为810.60亿元，主要是</w:t>
          </w:r>
          <w:r>
            <w:rPr>
              <w:rFonts w:hint="eastAsia"/>
              <w:szCs w:val="21"/>
            </w:rPr>
            <w:t>货币资金、应收款项融资及取得借款而抵押的相关资产</w:t>
          </w:r>
          <w:r>
            <w:rPr>
              <w:szCs w:val="21"/>
            </w:rPr>
            <w:t>。详情请见按中国会计准则编制的财务报告附注“合并财务报表主要项目注释—所有权或使用权受限资产”</w:t>
          </w:r>
          <w:bookmarkEnd w:id="81"/>
          <w:r>
            <w:rPr>
              <w:szCs w:val="21"/>
            </w:rPr>
            <w:t>。</w:t>
          </w:r>
        </w:p>
      </w:sdtContent>
    </w:sdt>
    <w:p>
      <w:pPr>
        <w:rPr>
          <w:szCs w:val="21"/>
        </w:rPr>
      </w:pPr>
    </w:p>
    <w:p>
      <w:pPr>
        <w:pStyle w:val="4"/>
        <w:numPr>
          <w:ilvl w:val="0"/>
          <w:numId w:val="21"/>
        </w:numPr>
      </w:pPr>
      <w:r>
        <w:t>其他说明</w:t>
      </w:r>
    </w:p>
    <w:sdt>
      <w:sdtPr>
        <w:rPr>
          <w:rFonts w:hint="eastAsia"/>
          <w:szCs w:val="21"/>
        </w:rPr>
        <w:alias w:val="是否适用：资产及负债状况的其他说明[双击切换]"/>
        <w:tag w:val="_GBC_364e24c8cf1a4469ba88a4ae16e0417f"/>
        <w:id w:val="-208537112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行业经营性信息分析</w:t>
      </w:r>
    </w:p>
    <w:sdt>
      <w:sdtPr>
        <w:rPr>
          <w:rFonts w:hint="eastAsia"/>
          <w:szCs w:val="21"/>
        </w:rPr>
        <w:alias w:val="是否适用：行业经营性信息分析[双击切换]"/>
        <w:tag w:val="_GBC_8a02ac4934eb426ab273323b8694d88c"/>
        <w:id w:val="-177131138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经营性信息分析"/>
        <w:tag w:val="_GBC_e16bc1aa6d5e4cdd94278d9bb9b9d44b"/>
        <w:id w:val="748705470"/>
        <w:placeholder>
          <w:docPart w:val="GBC22222222222222222222222222222"/>
        </w:placeholder>
      </w:sdtPr>
      <w:sdtContent>
        <w:p>
          <w:pPr>
            <w:ind w:firstLineChars="200" w:firstLine="420"/>
            <w:rPr>
              <w:szCs w:val="21"/>
            </w:rPr>
          </w:pPr>
          <w:r>
            <w:rPr>
              <w:szCs w:val="21"/>
            </w:rPr>
            <w:t>2024年度，本集团煤炭业务主要经营情况详情请见本节之“各业务分部经营情况”的相关内容。</w:t>
          </w:r>
        </w:p>
      </w:sdtContent>
    </w:sdt>
    <w:p>
      <w:pPr>
        <w:rPr>
          <w:szCs w:val="21"/>
        </w:rPr>
        <w:sectPr>
          <w:pgSz w:w="11906" w:h="16838"/>
          <w:pgMar w:top="1440" w:right="1797" w:bottom="1525" w:left="1276" w:header="855" w:footer="992" w:gutter="0"/>
          <w:cols w:space="425"/>
          <w:docGrid w:linePitch="312"/>
        </w:sectPr>
      </w:pPr>
    </w:p>
    <w:p>
      <w:pPr>
        <w:pStyle w:val="4"/>
        <w:ind w:left="360" w:hanging="360"/>
        <w:rPr>
          <w:szCs w:val="21"/>
        </w:rPr>
      </w:pPr>
      <w:r>
        <w:rPr>
          <w:rFonts w:hint="eastAsia"/>
        </w:rPr>
        <w:lastRenderedPageBreak/>
        <w:t>行业经营性信息分析</w:t>
      </w:r>
    </w:p>
    <w:sdt>
      <w:sdtPr>
        <w:alias w:val="煤炭主要经营情况"/>
        <w:tag w:val="_SEC_3fe2ceb3f87f4c319dc247c4a8d6611b"/>
        <w:id w:val="69004764"/>
        <w:placeholder>
          <w:docPart w:val="486774EE9B3640778E71078DD74A3980"/>
        </w:placeholder>
        <w:showingPlcHdr/>
      </w:sdtPr>
      <w:sdtContent>
        <w:p>
          <w:pPr>
            <w:pStyle w:val="affffffd"/>
          </w:pPr>
        </w:p>
      </w:sdtContent>
    </w:sdt>
    <w:p>
      <w:pPr>
        <w:pStyle w:val="5"/>
        <w:numPr>
          <w:ilvl w:val="0"/>
          <w:numId w:val="19"/>
        </w:numPr>
        <w:ind w:leftChars="0"/>
      </w:pPr>
      <w:r>
        <w:rPr>
          <w:rFonts w:hint="eastAsia"/>
        </w:rPr>
        <w:t>主要矿区资源储量情况</w:t>
      </w:r>
    </w:p>
    <w:sdt>
      <w:sdtPr>
        <w:rPr>
          <w:rFonts w:hint="eastAsia"/>
          <w:szCs w:val="21"/>
        </w:rPr>
        <w:alias w:val="是否适用：煤炭储量情况[双击切换]"/>
        <w:tag w:val="_GBC_5deeb0e0f537429c850217d32425e9a4"/>
        <w:id w:val="-186265547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tbl>
      <w:tblPr>
        <w:tblStyle w:val="affffffffffff7"/>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36"/>
        <w:gridCol w:w="1275"/>
        <w:gridCol w:w="1408"/>
        <w:gridCol w:w="1974"/>
        <w:gridCol w:w="1747"/>
        <w:gridCol w:w="2103"/>
        <w:gridCol w:w="2100"/>
      </w:tblGrid>
      <w:tr>
        <w:trPr>
          <w:jc w:val="center"/>
        </w:trPr>
        <w:sdt>
          <w:sdtPr>
            <w:tag w:val="_PLD_f505285b8eb545959ad8958c8806175d"/>
            <w:id w:val="227197032"/>
          </w:sdtPr>
          <w:sdtContent>
            <w:tc>
              <w:tcPr>
                <w:tcW w:w="674" w:type="pct"/>
                <w:vMerge w:val="restart"/>
                <w:vAlign w:val="center"/>
              </w:tcPr>
              <w:p>
                <w:pPr>
                  <w:jc w:val="center"/>
                </w:pPr>
                <w:r>
                  <w:rPr>
                    <w:rFonts w:hint="eastAsia"/>
                    <w:szCs w:val="21"/>
                  </w:rPr>
                  <w:t>主要矿区</w:t>
                </w:r>
              </w:p>
            </w:tc>
          </w:sdtContent>
        </w:sdt>
        <w:tc>
          <w:tcPr>
            <w:tcW w:w="725" w:type="pct"/>
            <w:vMerge w:val="restart"/>
            <w:vAlign w:val="center"/>
          </w:tcPr>
          <w:p>
            <w:pPr>
              <w:jc w:val="center"/>
            </w:pPr>
            <w:r>
              <w:rPr>
                <w:rFonts w:hint="eastAsia"/>
              </w:rPr>
              <w:t>地理位置</w:t>
            </w:r>
          </w:p>
        </w:tc>
        <w:tc>
          <w:tcPr>
            <w:tcW w:w="433" w:type="pct"/>
            <w:vMerge w:val="restart"/>
            <w:vAlign w:val="center"/>
          </w:tcPr>
          <w:sdt>
            <w:sdtPr>
              <w:tag w:val="_PLD_125b05bcbc314927a6db53575841f60f"/>
              <w:id w:val="-1367215343"/>
            </w:sdtPr>
            <w:sdtContent>
              <w:p>
                <w:pPr>
                  <w:jc w:val="center"/>
                </w:pPr>
                <w:r>
                  <w:rPr>
                    <w:rFonts w:hint="eastAsia"/>
                  </w:rPr>
                  <w:t>主要资源</w:t>
                </w:r>
              </w:p>
            </w:sdtContent>
          </w:sdt>
        </w:tc>
        <w:tc>
          <w:tcPr>
            <w:tcW w:w="1741" w:type="pct"/>
            <w:gridSpan w:val="3"/>
            <w:vAlign w:val="center"/>
          </w:tcPr>
          <w:p>
            <w:pPr>
              <w:jc w:val="center"/>
            </w:pPr>
            <w:r>
              <w:rPr>
                <w:rFonts w:hint="eastAsia"/>
              </w:rPr>
              <w:t>中国国家标准</w:t>
            </w:r>
            <w:r>
              <w:rPr>
                <w:rFonts w:hint="eastAsia"/>
                <w:vertAlign w:val="superscript"/>
              </w:rPr>
              <w:t>①</w:t>
            </w:r>
          </w:p>
        </w:tc>
        <w:tc>
          <w:tcPr>
            <w:tcW w:w="1427" w:type="pct"/>
            <w:gridSpan w:val="2"/>
            <w:vAlign w:val="center"/>
          </w:tcPr>
          <w:p>
            <w:pPr>
              <w:jc w:val="center"/>
            </w:pPr>
            <w:r>
              <w:rPr>
                <w:rFonts w:hint="eastAsia"/>
              </w:rPr>
              <w:t>JORC规范</w:t>
            </w:r>
            <w:r>
              <w:rPr>
                <w:rFonts w:hint="eastAsia"/>
                <w:vertAlign w:val="superscript"/>
              </w:rPr>
              <w:t>②</w:t>
            </w:r>
          </w:p>
        </w:tc>
      </w:tr>
      <w:tr>
        <w:trPr>
          <w:jc w:val="center"/>
        </w:trPr>
        <w:tc>
          <w:tcPr>
            <w:tcW w:w="674" w:type="pct"/>
            <w:vMerge/>
            <w:vAlign w:val="center"/>
          </w:tcPr>
          <w:p>
            <w:pPr>
              <w:jc w:val="center"/>
              <w:rPr>
                <w:szCs w:val="21"/>
              </w:rPr>
            </w:pPr>
          </w:p>
        </w:tc>
        <w:tc>
          <w:tcPr>
            <w:tcW w:w="725" w:type="pct"/>
            <w:vMerge/>
            <w:vAlign w:val="center"/>
          </w:tcPr>
          <w:p>
            <w:pPr>
              <w:jc w:val="center"/>
            </w:pPr>
          </w:p>
        </w:tc>
        <w:tc>
          <w:tcPr>
            <w:tcW w:w="433" w:type="pct"/>
            <w:vMerge/>
            <w:vAlign w:val="center"/>
          </w:tcPr>
          <w:p>
            <w:pPr>
              <w:jc w:val="center"/>
            </w:pPr>
          </w:p>
        </w:tc>
        <w:sdt>
          <w:sdtPr>
            <w:tag w:val="_PLD_c8b41010051945d2a6dfbd330497901c"/>
            <w:id w:val="944109612"/>
          </w:sdtPr>
          <w:sdtContent>
            <w:tc>
              <w:tcPr>
                <w:tcW w:w="478" w:type="pct"/>
                <w:vAlign w:val="center"/>
              </w:tcPr>
              <w:p>
                <w:pPr>
                  <w:jc w:val="center"/>
                  <w:rPr>
                    <w:szCs w:val="21"/>
                  </w:rPr>
                </w:pPr>
                <w:r>
                  <w:rPr>
                    <w:rFonts w:hint="eastAsia"/>
                    <w:szCs w:val="21"/>
                  </w:rPr>
                  <w:t>资源量</w:t>
                </w:r>
              </w:p>
              <w:p>
                <w:pPr>
                  <w:jc w:val="center"/>
                  <w:rPr>
                    <w:szCs w:val="21"/>
                  </w:rPr>
                </w:pPr>
                <w:r>
                  <w:rPr>
                    <w:rFonts w:hint="eastAsia"/>
                    <w:szCs w:val="21"/>
                  </w:rPr>
                  <w:t>（百万吨）</w:t>
                </w:r>
              </w:p>
            </w:tc>
          </w:sdtContent>
        </w:sdt>
        <w:tc>
          <w:tcPr>
            <w:tcW w:w="670" w:type="pct"/>
            <w:vAlign w:val="center"/>
          </w:tcPr>
          <w:sdt>
            <w:sdtPr>
              <w:tag w:val="_PLD_63e247b1a8f847008fb9b1bd8617ceba"/>
              <w:id w:val="786785021"/>
            </w:sdtPr>
            <w:sdtContent>
              <w:p>
                <w:pPr>
                  <w:jc w:val="center"/>
                  <w:rPr>
                    <w:szCs w:val="21"/>
                  </w:rPr>
                </w:pPr>
                <w:r>
                  <w:rPr>
                    <w:rFonts w:hint="eastAsia"/>
                    <w:szCs w:val="21"/>
                  </w:rPr>
                  <w:t>证实储量</w:t>
                </w:r>
              </w:p>
              <w:p>
                <w:pPr>
                  <w:jc w:val="center"/>
                </w:pPr>
                <w:r>
                  <w:rPr>
                    <w:rFonts w:hint="eastAsia"/>
                    <w:szCs w:val="21"/>
                  </w:rPr>
                  <w:t>（百万吨）</w:t>
                </w:r>
              </w:p>
            </w:sdtContent>
          </w:sdt>
        </w:tc>
        <w:tc>
          <w:tcPr>
            <w:tcW w:w="593" w:type="pct"/>
            <w:vAlign w:val="center"/>
          </w:tcPr>
          <w:sdt>
            <w:sdtPr>
              <w:tag w:val="_PLD_c07a6549cecb44b9aacf2a10b223dbd7"/>
              <w:id w:val="-560169238"/>
            </w:sdtPr>
            <w:sdtContent>
              <w:p>
                <w:pPr>
                  <w:jc w:val="center"/>
                  <w:rPr>
                    <w:szCs w:val="21"/>
                  </w:rPr>
                </w:pPr>
                <w:r>
                  <w:rPr>
                    <w:rFonts w:hint="eastAsia"/>
                    <w:szCs w:val="21"/>
                  </w:rPr>
                  <w:t>可信储量</w:t>
                </w:r>
              </w:p>
              <w:p>
                <w:pPr>
                  <w:jc w:val="center"/>
                  <w:rPr>
                    <w:szCs w:val="21"/>
                  </w:rPr>
                </w:pPr>
                <w:r>
                  <w:rPr>
                    <w:rFonts w:hint="eastAsia"/>
                    <w:szCs w:val="21"/>
                  </w:rPr>
                  <w:t>（百万吨）</w:t>
                </w:r>
              </w:p>
            </w:sdtContent>
          </w:sdt>
        </w:tc>
        <w:tc>
          <w:tcPr>
            <w:tcW w:w="714" w:type="pct"/>
            <w:vAlign w:val="center"/>
          </w:tcPr>
          <w:p>
            <w:pPr>
              <w:jc w:val="center"/>
              <w:rPr>
                <w:rFonts w:cs="Times New Roman"/>
                <w:szCs w:val="21"/>
              </w:rPr>
            </w:pPr>
            <w:r>
              <w:rPr>
                <w:rFonts w:hint="eastAsia"/>
              </w:rPr>
              <w:t>原地资源量</w:t>
            </w:r>
          </w:p>
          <w:p>
            <w:pPr>
              <w:jc w:val="center"/>
            </w:pPr>
            <w:r>
              <w:rPr>
                <w:rFonts w:hint="eastAsia"/>
              </w:rPr>
              <w:t>（百万吨）</w:t>
            </w:r>
          </w:p>
        </w:tc>
        <w:tc>
          <w:tcPr>
            <w:tcW w:w="714" w:type="pct"/>
            <w:vAlign w:val="center"/>
          </w:tcPr>
          <w:p>
            <w:pPr>
              <w:jc w:val="center"/>
            </w:pPr>
            <w:r>
              <w:rPr>
                <w:rFonts w:hint="eastAsia"/>
              </w:rPr>
              <w:t>可采储量</w:t>
            </w:r>
          </w:p>
          <w:p>
            <w:pPr>
              <w:jc w:val="center"/>
            </w:pPr>
            <w:r>
              <w:rPr>
                <w:rFonts w:hint="eastAsia"/>
              </w:rPr>
              <w:t>（百万吨）</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公司所属煤矿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山东省济宁市、内蒙古通辽市</w:t>
            </w:r>
            <w:r>
              <w:rPr>
                <w:rFonts w:hint="eastAsia"/>
                <w:vertAlign w:val="superscript"/>
              </w:rPr>
              <w:t>③</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动力煤</w:t>
            </w:r>
          </w:p>
        </w:tc>
        <w:tc>
          <w:tcPr>
            <w:tcW w:w="478" w:type="pct"/>
            <w:vAlign w:val="center"/>
          </w:tcPr>
          <w:p>
            <w:pPr>
              <w:jc w:val="right"/>
            </w:pPr>
            <w:r>
              <w:t xml:space="preserve">4,042 </w:t>
            </w:r>
          </w:p>
        </w:tc>
        <w:tc>
          <w:tcPr>
            <w:tcW w:w="670" w:type="pct"/>
            <w:vAlign w:val="center"/>
          </w:tcPr>
          <w:p>
            <w:pPr>
              <w:jc w:val="right"/>
            </w:pPr>
            <w:r>
              <w:t xml:space="preserve">282 </w:t>
            </w:r>
          </w:p>
        </w:tc>
        <w:tc>
          <w:tcPr>
            <w:tcW w:w="593" w:type="pct"/>
            <w:vAlign w:val="center"/>
          </w:tcPr>
          <w:p>
            <w:pPr>
              <w:jc w:val="right"/>
            </w:pPr>
            <w:r>
              <w:t xml:space="preserve">142 </w:t>
            </w:r>
          </w:p>
        </w:tc>
        <w:tc>
          <w:tcPr>
            <w:tcW w:w="714" w:type="pct"/>
            <w:vAlign w:val="center"/>
          </w:tcPr>
          <w:p>
            <w:pPr>
              <w:jc w:val="right"/>
            </w:pPr>
            <w:r>
              <w:t xml:space="preserve">1,793 </w:t>
            </w:r>
          </w:p>
        </w:tc>
        <w:tc>
          <w:tcPr>
            <w:tcW w:w="714" w:type="pct"/>
            <w:vAlign w:val="center"/>
          </w:tcPr>
          <w:p>
            <w:pPr>
              <w:jc w:val="right"/>
            </w:pPr>
            <w:r>
              <w:t xml:space="preserve">263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菏泽能化所属煤矿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山东省菏泽市</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1/3焦煤</w:t>
            </w:r>
          </w:p>
        </w:tc>
        <w:tc>
          <w:tcPr>
            <w:tcW w:w="478" w:type="pct"/>
            <w:vAlign w:val="center"/>
          </w:tcPr>
          <w:p>
            <w:pPr>
              <w:jc w:val="right"/>
            </w:pPr>
            <w:r>
              <w:t xml:space="preserve">644 </w:t>
            </w:r>
          </w:p>
        </w:tc>
        <w:tc>
          <w:tcPr>
            <w:tcW w:w="670" w:type="pct"/>
            <w:vAlign w:val="center"/>
          </w:tcPr>
          <w:p>
            <w:pPr>
              <w:jc w:val="right"/>
            </w:pPr>
            <w:r>
              <w:t xml:space="preserve">163 </w:t>
            </w:r>
          </w:p>
        </w:tc>
        <w:tc>
          <w:tcPr>
            <w:tcW w:w="593" w:type="pct"/>
            <w:vAlign w:val="center"/>
          </w:tcPr>
          <w:p>
            <w:pPr>
              <w:jc w:val="right"/>
            </w:pPr>
            <w:r>
              <w:t xml:space="preserve">106 </w:t>
            </w:r>
          </w:p>
        </w:tc>
        <w:tc>
          <w:tcPr>
            <w:tcW w:w="714" w:type="pct"/>
            <w:vAlign w:val="center"/>
          </w:tcPr>
          <w:p>
            <w:pPr>
              <w:jc w:val="right"/>
            </w:pPr>
            <w:r>
              <w:t xml:space="preserve">327 </w:t>
            </w:r>
          </w:p>
        </w:tc>
        <w:tc>
          <w:tcPr>
            <w:tcW w:w="714" w:type="pct"/>
            <w:vAlign w:val="center"/>
          </w:tcPr>
          <w:p>
            <w:pPr>
              <w:jc w:val="right"/>
            </w:pPr>
            <w:r>
              <w:t xml:space="preserve">101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鲁西矿业所属煤矿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山东省菏泽市</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1/3焦煤、动力煤</w:t>
            </w:r>
          </w:p>
        </w:tc>
        <w:tc>
          <w:tcPr>
            <w:tcW w:w="478" w:type="pct"/>
            <w:vAlign w:val="center"/>
          </w:tcPr>
          <w:p>
            <w:pPr>
              <w:jc w:val="right"/>
            </w:pPr>
            <w:r>
              <w:t xml:space="preserve">3,773 </w:t>
            </w:r>
          </w:p>
        </w:tc>
        <w:tc>
          <w:tcPr>
            <w:tcW w:w="670" w:type="pct"/>
            <w:vAlign w:val="center"/>
          </w:tcPr>
          <w:p>
            <w:pPr>
              <w:jc w:val="right"/>
            </w:pPr>
            <w:r>
              <w:t xml:space="preserve">468 </w:t>
            </w:r>
          </w:p>
        </w:tc>
        <w:tc>
          <w:tcPr>
            <w:tcW w:w="593" w:type="pct"/>
            <w:vAlign w:val="center"/>
          </w:tcPr>
          <w:p>
            <w:pPr>
              <w:jc w:val="right"/>
            </w:pPr>
            <w:r>
              <w:t xml:space="preserve">384 </w:t>
            </w:r>
          </w:p>
        </w:tc>
        <w:tc>
          <w:tcPr>
            <w:tcW w:w="714" w:type="pct"/>
            <w:vAlign w:val="center"/>
          </w:tcPr>
          <w:p>
            <w:pPr>
              <w:jc w:val="right"/>
            </w:pPr>
            <w:r>
              <w:t xml:space="preserve">1,803 </w:t>
            </w:r>
          </w:p>
        </w:tc>
        <w:tc>
          <w:tcPr>
            <w:tcW w:w="714" w:type="pct"/>
            <w:vAlign w:val="center"/>
          </w:tcPr>
          <w:p>
            <w:pPr>
              <w:jc w:val="right"/>
            </w:pPr>
            <w:r>
              <w:t xml:space="preserve">199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天池能源所属煤矿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山西省和顺县</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动力煤</w:t>
            </w:r>
          </w:p>
        </w:tc>
        <w:tc>
          <w:tcPr>
            <w:tcW w:w="478" w:type="pct"/>
            <w:vAlign w:val="center"/>
          </w:tcPr>
          <w:p>
            <w:pPr>
              <w:jc w:val="right"/>
            </w:pPr>
            <w:r>
              <w:t xml:space="preserve">102 </w:t>
            </w:r>
          </w:p>
        </w:tc>
        <w:tc>
          <w:tcPr>
            <w:tcW w:w="670" w:type="pct"/>
            <w:vAlign w:val="center"/>
          </w:tcPr>
          <w:p>
            <w:pPr>
              <w:jc w:val="right"/>
            </w:pPr>
            <w:r>
              <w:t xml:space="preserve">32 </w:t>
            </w:r>
          </w:p>
        </w:tc>
        <w:tc>
          <w:tcPr>
            <w:tcW w:w="593" w:type="pct"/>
            <w:vAlign w:val="center"/>
          </w:tcPr>
          <w:p>
            <w:pPr>
              <w:jc w:val="right"/>
            </w:pPr>
            <w:r>
              <w:t xml:space="preserve">15 </w:t>
            </w:r>
          </w:p>
        </w:tc>
        <w:tc>
          <w:tcPr>
            <w:tcW w:w="714" w:type="pct"/>
            <w:vAlign w:val="center"/>
          </w:tcPr>
          <w:p>
            <w:pPr>
              <w:jc w:val="right"/>
            </w:pPr>
            <w:r>
              <w:t xml:space="preserve">44 </w:t>
            </w:r>
          </w:p>
        </w:tc>
        <w:tc>
          <w:tcPr>
            <w:tcW w:w="714" w:type="pct"/>
            <w:vAlign w:val="center"/>
          </w:tcPr>
          <w:p>
            <w:pPr>
              <w:jc w:val="right"/>
            </w:pPr>
            <w:r>
              <w:t xml:space="preserve">19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未来能源所属煤矿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陕西省榆林市</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动力煤</w:t>
            </w:r>
          </w:p>
        </w:tc>
        <w:tc>
          <w:tcPr>
            <w:tcW w:w="478" w:type="pct"/>
            <w:vAlign w:val="center"/>
          </w:tcPr>
          <w:p>
            <w:pPr>
              <w:jc w:val="right"/>
            </w:pPr>
            <w:r>
              <w:t xml:space="preserve">1,590 </w:t>
            </w:r>
          </w:p>
        </w:tc>
        <w:tc>
          <w:tcPr>
            <w:tcW w:w="670" w:type="pct"/>
            <w:vAlign w:val="center"/>
          </w:tcPr>
          <w:p>
            <w:pPr>
              <w:jc w:val="right"/>
            </w:pPr>
            <w:r>
              <w:t xml:space="preserve">615 </w:t>
            </w:r>
          </w:p>
        </w:tc>
        <w:tc>
          <w:tcPr>
            <w:tcW w:w="593" w:type="pct"/>
            <w:vAlign w:val="center"/>
          </w:tcPr>
          <w:p>
            <w:pPr>
              <w:jc w:val="right"/>
            </w:pPr>
            <w:r>
              <w:t xml:space="preserve">226 </w:t>
            </w:r>
          </w:p>
        </w:tc>
        <w:tc>
          <w:tcPr>
            <w:tcW w:w="714" w:type="pct"/>
            <w:vAlign w:val="center"/>
          </w:tcPr>
          <w:p>
            <w:pPr>
              <w:jc w:val="right"/>
            </w:pPr>
            <w:r>
              <w:t xml:space="preserve">924 </w:t>
            </w:r>
          </w:p>
        </w:tc>
        <w:tc>
          <w:tcPr>
            <w:tcW w:w="714" w:type="pct"/>
            <w:vAlign w:val="center"/>
          </w:tcPr>
          <w:p>
            <w:pPr>
              <w:jc w:val="right"/>
            </w:pPr>
            <w:r>
              <w:t xml:space="preserve">460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鄂尔多斯公司所属煤矿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内蒙古鄂尔多斯市</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动力煤</w:t>
            </w:r>
          </w:p>
        </w:tc>
        <w:tc>
          <w:tcPr>
            <w:tcW w:w="478" w:type="pct"/>
            <w:vAlign w:val="center"/>
          </w:tcPr>
          <w:p>
            <w:pPr>
              <w:jc w:val="right"/>
            </w:pPr>
            <w:r>
              <w:t xml:space="preserve">536 </w:t>
            </w:r>
          </w:p>
        </w:tc>
        <w:tc>
          <w:tcPr>
            <w:tcW w:w="670" w:type="pct"/>
            <w:vAlign w:val="center"/>
          </w:tcPr>
          <w:p>
            <w:pPr>
              <w:jc w:val="right"/>
            </w:pPr>
            <w:r>
              <w:t xml:space="preserve">214 </w:t>
            </w:r>
          </w:p>
        </w:tc>
        <w:tc>
          <w:tcPr>
            <w:tcW w:w="593" w:type="pct"/>
            <w:vAlign w:val="center"/>
          </w:tcPr>
          <w:p>
            <w:pPr>
              <w:jc w:val="right"/>
            </w:pPr>
            <w:r>
              <w:t xml:space="preserve">44 </w:t>
            </w:r>
          </w:p>
        </w:tc>
        <w:tc>
          <w:tcPr>
            <w:tcW w:w="714" w:type="pct"/>
            <w:vAlign w:val="center"/>
          </w:tcPr>
          <w:p>
            <w:pPr>
              <w:jc w:val="right"/>
            </w:pPr>
            <w:r>
              <w:t xml:space="preserve">296 </w:t>
            </w:r>
          </w:p>
        </w:tc>
        <w:tc>
          <w:tcPr>
            <w:tcW w:w="714" w:type="pct"/>
            <w:vAlign w:val="center"/>
          </w:tcPr>
          <w:p>
            <w:pPr>
              <w:jc w:val="right"/>
            </w:pPr>
            <w:r>
              <w:t xml:space="preserve">195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昊盛煤业所属煤矿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内蒙古鄂尔多斯市</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动力煤</w:t>
            </w:r>
          </w:p>
        </w:tc>
        <w:tc>
          <w:tcPr>
            <w:tcW w:w="478" w:type="pct"/>
            <w:vAlign w:val="center"/>
          </w:tcPr>
          <w:p>
            <w:pPr>
              <w:jc w:val="right"/>
            </w:pPr>
            <w:r>
              <w:t xml:space="preserve">2,303 </w:t>
            </w:r>
          </w:p>
        </w:tc>
        <w:tc>
          <w:tcPr>
            <w:tcW w:w="670" w:type="pct"/>
            <w:vAlign w:val="center"/>
          </w:tcPr>
          <w:p>
            <w:pPr>
              <w:jc w:val="right"/>
            </w:pPr>
            <w:r>
              <w:t xml:space="preserve">673 </w:t>
            </w:r>
          </w:p>
        </w:tc>
        <w:tc>
          <w:tcPr>
            <w:tcW w:w="593" w:type="pct"/>
            <w:vAlign w:val="center"/>
          </w:tcPr>
          <w:p>
            <w:pPr>
              <w:jc w:val="right"/>
            </w:pPr>
            <w:r>
              <w:t xml:space="preserve">386 </w:t>
            </w:r>
          </w:p>
        </w:tc>
        <w:tc>
          <w:tcPr>
            <w:tcW w:w="714" w:type="pct"/>
            <w:vAlign w:val="center"/>
          </w:tcPr>
          <w:p>
            <w:pPr>
              <w:jc w:val="right"/>
            </w:pPr>
            <w:r>
              <w:t xml:space="preserve">728 </w:t>
            </w:r>
          </w:p>
        </w:tc>
        <w:tc>
          <w:tcPr>
            <w:tcW w:w="714" w:type="pct"/>
            <w:vAlign w:val="center"/>
          </w:tcPr>
          <w:p>
            <w:pPr>
              <w:jc w:val="right"/>
            </w:pPr>
            <w:r>
              <w:t xml:space="preserve">565 </w:t>
            </w:r>
          </w:p>
        </w:tc>
      </w:tr>
      <w:tr>
        <w:trPr>
          <w:jc w:val="center"/>
        </w:trPr>
        <w:tc>
          <w:tcPr>
            <w:tcW w:w="674" w:type="pct"/>
            <w:vAlign w:val="center"/>
          </w:tcPr>
          <w:p>
            <w:pPr>
              <w:jc w:val="both"/>
            </w:pPr>
            <w:r>
              <w:rPr>
                <w:rFonts w:hint="eastAsia"/>
              </w:rPr>
              <w:t>内蒙古矿业所属矿区</w:t>
            </w:r>
          </w:p>
        </w:tc>
        <w:tc>
          <w:tcPr>
            <w:tcW w:w="725" w:type="pct"/>
            <w:vAlign w:val="center"/>
          </w:tcPr>
          <w:p>
            <w:pPr>
              <w:jc w:val="both"/>
            </w:pPr>
            <w:r>
              <w:rPr>
                <w:rFonts w:hint="eastAsia"/>
              </w:rPr>
              <w:t>内蒙古鄂尔多斯市</w:t>
            </w:r>
          </w:p>
        </w:tc>
        <w:tc>
          <w:tcPr>
            <w:tcW w:w="433" w:type="pct"/>
            <w:vAlign w:val="center"/>
          </w:tcPr>
          <w:p>
            <w:pPr>
              <w:jc w:val="both"/>
            </w:pPr>
            <w:r>
              <w:rPr>
                <w:rFonts w:hint="eastAsia"/>
              </w:rPr>
              <w:t>动力煤</w:t>
            </w:r>
          </w:p>
        </w:tc>
        <w:tc>
          <w:tcPr>
            <w:tcW w:w="478" w:type="pct"/>
            <w:vAlign w:val="center"/>
          </w:tcPr>
          <w:p>
            <w:pPr>
              <w:jc w:val="right"/>
            </w:pPr>
            <w:r>
              <w:t xml:space="preserve">6,401 </w:t>
            </w:r>
          </w:p>
        </w:tc>
        <w:tc>
          <w:tcPr>
            <w:tcW w:w="670" w:type="pct"/>
            <w:vAlign w:val="center"/>
          </w:tcPr>
          <w:p>
            <w:pPr>
              <w:jc w:val="right"/>
            </w:pPr>
            <w:r>
              <w:t xml:space="preserve">971 </w:t>
            </w:r>
          </w:p>
        </w:tc>
        <w:tc>
          <w:tcPr>
            <w:tcW w:w="593" w:type="pct"/>
            <w:vAlign w:val="center"/>
          </w:tcPr>
          <w:p>
            <w:pPr>
              <w:jc w:val="right"/>
            </w:pPr>
            <w:r>
              <w:t xml:space="preserve">167 </w:t>
            </w:r>
          </w:p>
        </w:tc>
        <w:tc>
          <w:tcPr>
            <w:tcW w:w="714" w:type="pct"/>
            <w:vAlign w:val="center"/>
          </w:tcPr>
          <w:p>
            <w:pPr>
              <w:jc w:val="right"/>
            </w:pPr>
            <w:r>
              <w:t xml:space="preserve">6,104 </w:t>
            </w:r>
          </w:p>
        </w:tc>
        <w:tc>
          <w:tcPr>
            <w:tcW w:w="714" w:type="pct"/>
            <w:vAlign w:val="center"/>
          </w:tcPr>
          <w:p>
            <w:pPr>
              <w:jc w:val="right"/>
            </w:pPr>
            <w:r>
              <w:t xml:space="preserve">1,408 </w:t>
            </w:r>
          </w:p>
        </w:tc>
      </w:tr>
      <w:tr>
        <w:trPr>
          <w:jc w:val="center"/>
        </w:trPr>
        <w:tc>
          <w:tcPr>
            <w:tcW w:w="674" w:type="pct"/>
            <w:vAlign w:val="center"/>
          </w:tcPr>
          <w:p>
            <w:pPr>
              <w:jc w:val="both"/>
            </w:pPr>
            <w:r>
              <w:rPr>
                <w:rFonts w:hint="eastAsia"/>
              </w:rPr>
              <w:t>新疆能化所属矿区</w:t>
            </w:r>
          </w:p>
        </w:tc>
        <w:tc>
          <w:tcPr>
            <w:tcW w:w="725" w:type="pct"/>
            <w:vAlign w:val="center"/>
          </w:tcPr>
          <w:p>
            <w:pPr>
              <w:jc w:val="both"/>
            </w:pPr>
            <w:r>
              <w:rPr>
                <w:rFonts w:hint="eastAsia"/>
              </w:rPr>
              <w:t>新疆伊犁州、昌吉州</w:t>
            </w:r>
          </w:p>
        </w:tc>
        <w:tc>
          <w:tcPr>
            <w:tcW w:w="433" w:type="pct"/>
            <w:vAlign w:val="center"/>
          </w:tcPr>
          <w:p>
            <w:pPr>
              <w:jc w:val="both"/>
            </w:pPr>
            <w:r>
              <w:rPr>
                <w:rFonts w:hint="eastAsia"/>
              </w:rPr>
              <w:t>动力煤</w:t>
            </w:r>
          </w:p>
        </w:tc>
        <w:tc>
          <w:tcPr>
            <w:tcW w:w="478" w:type="pct"/>
            <w:vAlign w:val="center"/>
          </w:tcPr>
          <w:p>
            <w:pPr>
              <w:jc w:val="right"/>
            </w:pPr>
            <w:r>
              <w:t xml:space="preserve">27,222 </w:t>
            </w:r>
          </w:p>
        </w:tc>
        <w:tc>
          <w:tcPr>
            <w:tcW w:w="670" w:type="pct"/>
            <w:vAlign w:val="center"/>
          </w:tcPr>
          <w:p>
            <w:pPr>
              <w:jc w:val="right"/>
            </w:pPr>
            <w:r>
              <w:t xml:space="preserve">1,345 </w:t>
            </w:r>
          </w:p>
        </w:tc>
        <w:tc>
          <w:tcPr>
            <w:tcW w:w="593" w:type="pct"/>
            <w:vAlign w:val="center"/>
          </w:tcPr>
          <w:p>
            <w:pPr>
              <w:jc w:val="right"/>
            </w:pPr>
            <w:r>
              <w:t xml:space="preserve">987 </w:t>
            </w:r>
          </w:p>
        </w:tc>
        <w:tc>
          <w:tcPr>
            <w:tcW w:w="714" w:type="pct"/>
            <w:vAlign w:val="center"/>
          </w:tcPr>
          <w:p>
            <w:pPr>
              <w:jc w:val="right"/>
            </w:pPr>
            <w:r>
              <w:t xml:space="preserve">26,305 </w:t>
            </w:r>
          </w:p>
        </w:tc>
        <w:tc>
          <w:tcPr>
            <w:tcW w:w="714" w:type="pct"/>
            <w:vAlign w:val="center"/>
          </w:tcPr>
          <w:p>
            <w:pPr>
              <w:jc w:val="right"/>
            </w:pPr>
            <w:r>
              <w:t xml:space="preserve">1,310 </w:t>
            </w:r>
          </w:p>
        </w:tc>
      </w:tr>
      <w:tr>
        <w:trPr>
          <w:jc w:val="center"/>
        </w:trPr>
        <w:tc>
          <w:tcPr>
            <w:tcW w:w="674" w:type="pct"/>
            <w:vAlign w:val="center"/>
          </w:tcPr>
          <w:p>
            <w:pPr>
              <w:jc w:val="center"/>
              <w:rPr>
                <w:b/>
                <w:bCs/>
              </w:rPr>
            </w:pPr>
            <w:r>
              <w:rPr>
                <w:rFonts w:hint="eastAsia"/>
                <w:b/>
                <w:bCs/>
              </w:rPr>
              <w:t>境内矿井煤炭储量小计</w:t>
            </w:r>
          </w:p>
        </w:tc>
        <w:tc>
          <w:tcPr>
            <w:tcW w:w="725" w:type="pct"/>
            <w:vAlign w:val="center"/>
          </w:tcPr>
          <w:p>
            <w:pPr>
              <w:pStyle w:val="affffffd"/>
            </w:pPr>
            <w:r>
              <w:rPr>
                <w:rFonts w:hint="eastAsia"/>
              </w:rPr>
              <w:t>-</w:t>
            </w:r>
          </w:p>
        </w:tc>
        <w:tc>
          <w:tcPr>
            <w:tcW w:w="433" w:type="pct"/>
            <w:vAlign w:val="center"/>
          </w:tcPr>
          <w:p>
            <w:pPr>
              <w:jc w:val="both"/>
            </w:pPr>
            <w:r>
              <w:rPr>
                <w:rFonts w:hint="eastAsia"/>
              </w:rPr>
              <w:t>-</w:t>
            </w:r>
          </w:p>
        </w:tc>
        <w:tc>
          <w:tcPr>
            <w:tcW w:w="478" w:type="pct"/>
            <w:vAlign w:val="center"/>
          </w:tcPr>
          <w:p>
            <w:pPr>
              <w:jc w:val="right"/>
            </w:pPr>
            <w:r>
              <w:t xml:space="preserve">46,614 </w:t>
            </w:r>
          </w:p>
        </w:tc>
        <w:tc>
          <w:tcPr>
            <w:tcW w:w="670" w:type="pct"/>
            <w:vAlign w:val="center"/>
          </w:tcPr>
          <w:p>
            <w:pPr>
              <w:jc w:val="right"/>
            </w:pPr>
            <w:r>
              <w:t xml:space="preserve">4,763 </w:t>
            </w:r>
          </w:p>
        </w:tc>
        <w:tc>
          <w:tcPr>
            <w:tcW w:w="593" w:type="pct"/>
            <w:vAlign w:val="center"/>
          </w:tcPr>
          <w:p>
            <w:pPr>
              <w:jc w:val="right"/>
            </w:pPr>
            <w:r>
              <w:t xml:space="preserve">2,456 </w:t>
            </w:r>
          </w:p>
        </w:tc>
        <w:tc>
          <w:tcPr>
            <w:tcW w:w="714" w:type="pct"/>
            <w:vAlign w:val="center"/>
          </w:tcPr>
          <w:p>
            <w:pPr>
              <w:jc w:val="right"/>
            </w:pPr>
            <w:r>
              <w:t xml:space="preserve">38,325 </w:t>
            </w:r>
          </w:p>
        </w:tc>
        <w:tc>
          <w:tcPr>
            <w:tcW w:w="714" w:type="pct"/>
            <w:vAlign w:val="center"/>
          </w:tcPr>
          <w:p>
            <w:pPr>
              <w:jc w:val="right"/>
            </w:pPr>
            <w:r>
              <w:t xml:space="preserve">4,520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兖煤澳洲所属煤矿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昆士兰州及新南威尔士州</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喷吹煤、</w:t>
            </w:r>
          </w:p>
          <w:p>
            <w:pPr>
              <w:jc w:val="both"/>
            </w:pPr>
            <w:r>
              <w:rPr>
                <w:rFonts w:hint="eastAsia"/>
              </w:rPr>
              <w:t>动力煤、</w:t>
            </w:r>
          </w:p>
          <w:p>
            <w:pPr>
              <w:jc w:val="both"/>
            </w:pPr>
            <w:r>
              <w:rPr>
                <w:rFonts w:hint="eastAsia"/>
              </w:rPr>
              <w:t>半软焦煤、</w:t>
            </w:r>
          </w:p>
          <w:p>
            <w:pPr>
              <w:jc w:val="both"/>
            </w:pPr>
            <w:r>
              <w:rPr>
                <w:rFonts w:hint="eastAsia"/>
              </w:rPr>
              <w:t>半硬焦煤</w:t>
            </w:r>
          </w:p>
        </w:tc>
        <w:tc>
          <w:tcPr>
            <w:tcW w:w="478" w:type="pct"/>
            <w:vAlign w:val="center"/>
          </w:tcPr>
          <w:p>
            <w:pPr>
              <w:jc w:val="right"/>
              <w:rPr>
                <w:szCs w:val="21"/>
              </w:rPr>
            </w:pPr>
            <w:r>
              <w:rPr>
                <w:rFonts w:hint="eastAsia"/>
                <w:szCs w:val="21"/>
              </w:rPr>
              <w:t>-</w:t>
            </w:r>
          </w:p>
        </w:tc>
        <w:tc>
          <w:tcPr>
            <w:tcW w:w="670" w:type="pct"/>
            <w:vAlign w:val="center"/>
          </w:tcPr>
          <w:p>
            <w:pPr>
              <w:jc w:val="right"/>
            </w:pPr>
            <w:r>
              <w:rPr>
                <w:rFonts w:hint="eastAsia"/>
                <w:szCs w:val="21"/>
              </w:rPr>
              <w:t>-</w:t>
            </w:r>
          </w:p>
        </w:tc>
        <w:tc>
          <w:tcPr>
            <w:tcW w:w="593" w:type="pct"/>
            <w:vAlign w:val="center"/>
          </w:tcPr>
          <w:p>
            <w:pPr>
              <w:jc w:val="right"/>
            </w:pPr>
            <w:r>
              <w:rPr>
                <w:rFonts w:hint="eastAsia"/>
                <w:szCs w:val="21"/>
              </w:rPr>
              <w:t>-</w:t>
            </w:r>
          </w:p>
        </w:tc>
        <w:tc>
          <w:tcPr>
            <w:tcW w:w="714" w:type="pct"/>
            <w:vAlign w:val="center"/>
          </w:tcPr>
          <w:p>
            <w:pPr>
              <w:jc w:val="right"/>
            </w:pPr>
            <w:r>
              <w:t xml:space="preserve">6,570 </w:t>
            </w:r>
          </w:p>
        </w:tc>
        <w:tc>
          <w:tcPr>
            <w:tcW w:w="714" w:type="pct"/>
            <w:vAlign w:val="center"/>
          </w:tcPr>
          <w:p>
            <w:pPr>
              <w:jc w:val="right"/>
            </w:pPr>
            <w:r>
              <w:t xml:space="preserve">1,390 </w:t>
            </w:r>
          </w:p>
        </w:tc>
      </w:tr>
      <w:tr>
        <w:trPr>
          <w:jc w:val="center"/>
        </w:trPr>
        <w:tc>
          <w:tcPr>
            <w:tcW w:w="674"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兖煤国际所属煤矿</w:t>
            </w:r>
          </w:p>
        </w:tc>
        <w:tc>
          <w:tcPr>
            <w:tcW w:w="725"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昆士兰州及西澳大利亚州</w:t>
            </w:r>
          </w:p>
        </w:tc>
        <w:tc>
          <w:tcPr>
            <w:tcW w:w="433"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喷吹煤、</w:t>
            </w:r>
          </w:p>
          <w:p>
            <w:pPr>
              <w:jc w:val="both"/>
            </w:pPr>
            <w:r>
              <w:rPr>
                <w:rFonts w:hint="eastAsia"/>
              </w:rPr>
              <w:t>动力煤</w:t>
            </w:r>
          </w:p>
        </w:tc>
        <w:tc>
          <w:tcPr>
            <w:tcW w:w="478" w:type="pct"/>
            <w:vAlign w:val="center"/>
          </w:tcPr>
          <w:p>
            <w:pPr>
              <w:jc w:val="right"/>
            </w:pPr>
            <w:r>
              <w:rPr>
                <w:rFonts w:hint="eastAsia"/>
                <w:szCs w:val="21"/>
              </w:rPr>
              <w:t>-</w:t>
            </w:r>
          </w:p>
        </w:tc>
        <w:tc>
          <w:tcPr>
            <w:tcW w:w="670" w:type="pct"/>
            <w:vAlign w:val="center"/>
          </w:tcPr>
          <w:p>
            <w:pPr>
              <w:jc w:val="right"/>
            </w:pPr>
            <w:r>
              <w:rPr>
                <w:rFonts w:hint="eastAsia"/>
                <w:szCs w:val="21"/>
              </w:rPr>
              <w:t>-</w:t>
            </w:r>
          </w:p>
        </w:tc>
        <w:tc>
          <w:tcPr>
            <w:tcW w:w="593" w:type="pct"/>
            <w:vAlign w:val="center"/>
          </w:tcPr>
          <w:p>
            <w:pPr>
              <w:jc w:val="right"/>
            </w:pPr>
            <w:r>
              <w:rPr>
                <w:rFonts w:hint="eastAsia"/>
                <w:szCs w:val="21"/>
              </w:rPr>
              <w:t>-</w:t>
            </w:r>
          </w:p>
        </w:tc>
        <w:tc>
          <w:tcPr>
            <w:tcW w:w="714" w:type="pct"/>
            <w:vAlign w:val="center"/>
          </w:tcPr>
          <w:p>
            <w:pPr>
              <w:jc w:val="right"/>
            </w:pPr>
            <w:r>
              <w:t xml:space="preserve">1,535 </w:t>
            </w:r>
          </w:p>
        </w:tc>
        <w:tc>
          <w:tcPr>
            <w:tcW w:w="714" w:type="pct"/>
            <w:vAlign w:val="center"/>
          </w:tcPr>
          <w:p>
            <w:pPr>
              <w:jc w:val="right"/>
            </w:pPr>
            <w:r>
              <w:t xml:space="preserve">95 </w:t>
            </w:r>
          </w:p>
        </w:tc>
      </w:tr>
      <w:tr>
        <w:trPr>
          <w:jc w:val="center"/>
        </w:trPr>
        <w:tc>
          <w:tcPr>
            <w:tcW w:w="674" w:type="pct"/>
          </w:tcPr>
          <w:p>
            <w:pPr>
              <w:jc w:val="center"/>
            </w:pPr>
            <w:r>
              <w:rPr>
                <w:rFonts w:hint="eastAsia"/>
                <w:b/>
                <w:bCs/>
              </w:rPr>
              <w:lastRenderedPageBreak/>
              <w:t>境外矿井煤炭储量小计</w:t>
            </w:r>
          </w:p>
        </w:tc>
        <w:tc>
          <w:tcPr>
            <w:tcW w:w="725" w:type="pct"/>
            <w:vAlign w:val="center"/>
          </w:tcPr>
          <w:p>
            <w:pPr>
              <w:pStyle w:val="affffffd"/>
            </w:pPr>
            <w:r>
              <w:rPr>
                <w:rFonts w:hint="eastAsia"/>
              </w:rPr>
              <w:t>-</w:t>
            </w:r>
          </w:p>
        </w:tc>
        <w:tc>
          <w:tcPr>
            <w:tcW w:w="433" w:type="pct"/>
            <w:vAlign w:val="center"/>
          </w:tcPr>
          <w:p>
            <w:pPr>
              <w:jc w:val="both"/>
            </w:pPr>
            <w:r>
              <w:rPr>
                <w:rFonts w:hint="eastAsia"/>
              </w:rPr>
              <w:t>-</w:t>
            </w:r>
          </w:p>
        </w:tc>
        <w:tc>
          <w:tcPr>
            <w:tcW w:w="478" w:type="pct"/>
            <w:vAlign w:val="center"/>
          </w:tcPr>
          <w:p>
            <w:pPr>
              <w:jc w:val="right"/>
            </w:pPr>
            <w:r>
              <w:rPr>
                <w:rFonts w:hint="eastAsia"/>
                <w:szCs w:val="21"/>
              </w:rPr>
              <w:t>-</w:t>
            </w:r>
          </w:p>
        </w:tc>
        <w:tc>
          <w:tcPr>
            <w:tcW w:w="670" w:type="pct"/>
            <w:vAlign w:val="center"/>
          </w:tcPr>
          <w:p>
            <w:pPr>
              <w:jc w:val="right"/>
            </w:pPr>
            <w:r>
              <w:rPr>
                <w:rFonts w:hint="eastAsia"/>
                <w:szCs w:val="21"/>
              </w:rPr>
              <w:t>-</w:t>
            </w:r>
          </w:p>
        </w:tc>
        <w:tc>
          <w:tcPr>
            <w:tcW w:w="593" w:type="pct"/>
            <w:vAlign w:val="center"/>
          </w:tcPr>
          <w:p>
            <w:pPr>
              <w:jc w:val="right"/>
            </w:pPr>
            <w:r>
              <w:rPr>
                <w:rFonts w:hint="eastAsia"/>
                <w:szCs w:val="21"/>
              </w:rPr>
              <w:t>-</w:t>
            </w:r>
          </w:p>
        </w:tc>
        <w:tc>
          <w:tcPr>
            <w:tcW w:w="714" w:type="pct"/>
            <w:vAlign w:val="center"/>
          </w:tcPr>
          <w:p>
            <w:pPr>
              <w:jc w:val="right"/>
            </w:pPr>
            <w:r>
              <w:t xml:space="preserve">8,105 </w:t>
            </w:r>
          </w:p>
        </w:tc>
        <w:tc>
          <w:tcPr>
            <w:tcW w:w="714" w:type="pct"/>
            <w:vAlign w:val="center"/>
          </w:tcPr>
          <w:p>
            <w:pPr>
              <w:jc w:val="right"/>
            </w:pPr>
            <w:r>
              <w:t xml:space="preserve">1,485 </w:t>
            </w:r>
          </w:p>
        </w:tc>
      </w:tr>
      <w:tr>
        <w:trPr>
          <w:jc w:val="center"/>
        </w:trPr>
        <w:tc>
          <w:tcPr>
            <w:tcW w:w="674" w:type="pct"/>
          </w:tcPr>
          <w:p>
            <w:pPr>
              <w:jc w:val="center"/>
              <w:rPr>
                <w:szCs w:val="21"/>
              </w:rPr>
            </w:pPr>
            <w:r>
              <w:rPr>
                <w:rFonts w:hint="eastAsia"/>
                <w:szCs w:val="21"/>
              </w:rPr>
              <w:t>合计</w:t>
            </w:r>
          </w:p>
        </w:tc>
        <w:tc>
          <w:tcPr>
            <w:tcW w:w="725" w:type="pct"/>
            <w:vAlign w:val="center"/>
          </w:tcPr>
          <w:p>
            <w:pPr>
              <w:jc w:val="both"/>
              <w:rPr>
                <w:szCs w:val="21"/>
              </w:rPr>
            </w:pPr>
            <w:r>
              <w:rPr>
                <w:rFonts w:hint="eastAsia"/>
                <w:szCs w:val="21"/>
              </w:rPr>
              <w:t>-</w:t>
            </w:r>
          </w:p>
        </w:tc>
        <w:tc>
          <w:tcPr>
            <w:tcW w:w="433" w:type="pct"/>
            <w:vAlign w:val="center"/>
          </w:tcPr>
          <w:p>
            <w:pPr>
              <w:jc w:val="both"/>
              <w:rPr>
                <w:szCs w:val="21"/>
              </w:rPr>
            </w:pPr>
            <w:r>
              <w:rPr>
                <w:rFonts w:hint="eastAsia"/>
                <w:szCs w:val="21"/>
              </w:rPr>
              <w:t>-</w:t>
            </w:r>
          </w:p>
        </w:tc>
        <w:tc>
          <w:tcPr>
            <w:tcW w:w="478" w:type="pct"/>
            <w:vAlign w:val="center"/>
          </w:tcPr>
          <w:p>
            <w:pPr>
              <w:jc w:val="right"/>
            </w:pPr>
            <w:r>
              <w:t xml:space="preserve">46,614 </w:t>
            </w:r>
          </w:p>
        </w:tc>
        <w:tc>
          <w:tcPr>
            <w:tcW w:w="670" w:type="pct"/>
            <w:vAlign w:val="center"/>
          </w:tcPr>
          <w:p>
            <w:pPr>
              <w:jc w:val="right"/>
            </w:pPr>
            <w:r>
              <w:t xml:space="preserve">4,763 </w:t>
            </w:r>
          </w:p>
        </w:tc>
        <w:tc>
          <w:tcPr>
            <w:tcW w:w="593" w:type="pct"/>
            <w:vAlign w:val="center"/>
          </w:tcPr>
          <w:p>
            <w:pPr>
              <w:jc w:val="right"/>
            </w:pPr>
            <w:r>
              <w:t xml:space="preserve">2,456 </w:t>
            </w:r>
          </w:p>
        </w:tc>
        <w:tc>
          <w:tcPr>
            <w:tcW w:w="714" w:type="pct"/>
            <w:vAlign w:val="center"/>
          </w:tcPr>
          <w:p>
            <w:pPr>
              <w:jc w:val="right"/>
            </w:pPr>
            <w:r>
              <w:t xml:space="preserve">46,430 </w:t>
            </w:r>
          </w:p>
        </w:tc>
        <w:tc>
          <w:tcPr>
            <w:tcW w:w="714" w:type="pct"/>
            <w:vAlign w:val="center"/>
          </w:tcPr>
          <w:p>
            <w:pPr>
              <w:jc w:val="right"/>
            </w:pPr>
            <w:r>
              <w:t xml:space="preserve">6,005 </w:t>
            </w:r>
          </w:p>
        </w:tc>
      </w:tr>
    </w:tbl>
    <w:p>
      <w:pPr>
        <w:ind w:firstLineChars="200" w:firstLine="420"/>
        <w:jc w:val="both"/>
      </w:pPr>
      <w:r>
        <w:rPr>
          <w:rFonts w:hint="eastAsia"/>
        </w:rPr>
        <w:t>注：</w:t>
      </w:r>
    </w:p>
    <w:p>
      <w:pPr>
        <w:ind w:firstLineChars="200" w:firstLine="420"/>
        <w:jc w:val="both"/>
      </w:pPr>
      <w:r>
        <w:rPr>
          <w:rFonts w:hint="eastAsia"/>
        </w:rPr>
        <w:t>①按照《固体矿产资源储量分类》（中华人民共和国国家标准</w:t>
      </w:r>
      <w:r>
        <w:t>GB/T17766-2020），资源量：经矿产资源勘查查明并经概略研究，预期可经济开采的固体矿产资源，其数量、品位或质量是依据地质信息、地质认识及相关技术要求而估算的。证实储量：经过预可行性研究、可行性研究或与之相当的技术经济评价，基于探明资源量而估算的储量。可信储量：经过预可行性研究、可行性研究或与之相当的技术经济评价，基于控制的资源量而估算的储量；或某些转换因素尚存在不确定性时，基于探明资源量而估算的储量。</w:t>
      </w:r>
    </w:p>
    <w:p>
      <w:pPr>
        <w:ind w:firstLineChars="200" w:firstLine="420"/>
        <w:jc w:val="both"/>
      </w:pPr>
      <w:r>
        <w:rPr>
          <w:rFonts w:hint="eastAsia"/>
        </w:rPr>
        <w:t>②按照香港联交所要求，本集团统一对中国境内所属煤矿依据</w:t>
      </w:r>
      <w:r>
        <w:t>JORC规范进行了资源储量评估。</w:t>
      </w:r>
    </w:p>
    <w:p>
      <w:pPr>
        <w:ind w:firstLineChars="200" w:firstLine="420"/>
        <w:jc w:val="both"/>
        <w:rPr>
          <w:u w:val="single"/>
        </w:rPr>
      </w:pPr>
      <w:r>
        <w:rPr>
          <w:rFonts w:hint="eastAsia"/>
        </w:rPr>
        <w:t>原地资源量、可采储量均为截至</w:t>
      </w:r>
      <w:r>
        <w:t>2024年12月31日各煤矿按100%权益和JORC规范估算。其中：中国境内煤矿原地资源量、可采储量引用自约翰T·博德公司于2025年3月出具的合资格人士报告；境外煤矿原地资源量、可采储量引用自境外附属公司委任的合资格人士出具的报告。</w:t>
      </w:r>
    </w:p>
    <w:p>
      <w:pPr>
        <w:ind w:firstLineChars="200" w:firstLine="420"/>
        <w:jc w:val="both"/>
      </w:pPr>
      <w:r>
        <w:rPr>
          <w:rFonts w:hint="eastAsia"/>
        </w:rPr>
        <w:t>③</w:t>
      </w:r>
      <w:r>
        <w:t>公司</w:t>
      </w:r>
      <w:r>
        <w:rPr>
          <w:rFonts w:hint="eastAsia"/>
        </w:rPr>
        <w:t>持有</w:t>
      </w:r>
      <w:r>
        <w:t>霍林河一号井田探矿权</w:t>
      </w:r>
      <w:r>
        <w:rPr>
          <w:rFonts w:hint="eastAsia"/>
        </w:rPr>
        <w:t>，该</w:t>
      </w:r>
      <w:r>
        <w:t>探矿权</w:t>
      </w:r>
      <w:r>
        <w:rPr>
          <w:rFonts w:hint="eastAsia"/>
        </w:rPr>
        <w:t>地理位置属内蒙古通辽市。</w:t>
      </w:r>
    </w:p>
    <w:p>
      <w:pPr>
        <w:ind w:firstLineChars="200" w:firstLine="420"/>
        <w:jc w:val="both"/>
      </w:pPr>
      <w:r>
        <w:rPr>
          <w:rFonts w:hint="eastAsia"/>
        </w:rPr>
        <w:t>④兖煤澳洲及兖煤国际所属煤矿未进行中国国家标准资源储量评估。</w:t>
      </w:r>
    </w:p>
    <w:p>
      <w:pPr>
        <w:pStyle w:val="affffffd"/>
      </w:pPr>
    </w:p>
    <w:p>
      <w:pPr>
        <w:pStyle w:val="5"/>
        <w:numPr>
          <w:ilvl w:val="0"/>
          <w:numId w:val="19"/>
        </w:numPr>
        <w:ind w:leftChars="0"/>
      </w:pPr>
      <w:r>
        <w:rPr>
          <w:rFonts w:hint="eastAsia"/>
        </w:rPr>
        <w:t>其他说明</w:t>
      </w:r>
    </w:p>
    <w:sdt>
      <w:sdtPr>
        <w:rPr>
          <w:rFonts w:hint="eastAsia"/>
          <w:szCs w:val="21"/>
        </w:rPr>
        <w:alias w:val="是否适用：煤炭行业经营性信息分析其他情况说明[双击切换]"/>
        <w:tag w:val="_GBC_2ce1067042c14ad384774217c1531dc0"/>
        <w:id w:val="63815826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煤炭行业经营性信息分析其他情况说明"/>
        <w:tag w:val="_GBC_22477097e055473db880c840f62a0a9d"/>
        <w:id w:val="-1714023638"/>
        <w:placeholder>
          <w:docPart w:val="GBC22222222222222222222222222222"/>
        </w:placeholder>
      </w:sdtPr>
      <w:sdtContent>
        <w:p>
          <w:pPr>
            <w:rPr>
              <w:szCs w:val="21"/>
            </w:rPr>
          </w:pPr>
        </w:p>
        <w:p>
          <w:pPr>
            <w:ind w:firstLineChars="200" w:firstLine="420"/>
            <w:rPr>
              <w:szCs w:val="21"/>
            </w:rPr>
          </w:pPr>
          <w:r>
            <w:rPr>
              <w:rFonts w:hint="eastAsia"/>
              <w:szCs w:val="21"/>
            </w:rPr>
            <w:t>（</w:t>
          </w:r>
          <w:r>
            <w:rPr>
              <w:szCs w:val="21"/>
            </w:rPr>
            <w:t>1）报告期内煤炭勘探、开发及开采情况</w:t>
          </w:r>
        </w:p>
        <w:p>
          <w:pPr>
            <w:ind w:firstLineChars="200" w:firstLine="420"/>
            <w:rPr>
              <w:szCs w:val="21"/>
            </w:rPr>
          </w:pPr>
          <w:r>
            <w:rPr>
              <w:szCs w:val="21"/>
            </w:rPr>
            <w:t>2024年，本集团煤炭勘探支出309.70</w:t>
          </w:r>
          <w:r>
            <w:rPr>
              <w:rFonts w:hint="eastAsia"/>
              <w:szCs w:val="21"/>
            </w:rPr>
            <w:t>万</w:t>
          </w:r>
          <w:r>
            <w:rPr>
              <w:szCs w:val="21"/>
            </w:rPr>
            <w:t>元，主要是：</w:t>
          </w:r>
          <w:r>
            <w:rPr>
              <w:rFonts w:hint="eastAsia"/>
              <w:szCs w:val="21"/>
            </w:rPr>
            <w:t>兖煤澳洲莫拉本煤矿矿建项目钻探，普瑞马矿开采优化及兖煤国际勘探项目支出</w:t>
          </w:r>
          <w:r>
            <w:rPr>
              <w:szCs w:val="21"/>
            </w:rPr>
            <w:t>；煤炭开发及开采相关的资本性支出约134.60亿元，主要是</w:t>
          </w:r>
          <w:r>
            <w:rPr>
              <w:rFonts w:hint="eastAsia"/>
              <w:szCs w:val="21"/>
            </w:rPr>
            <w:t>现有矿井的固定资产开支投入及万福煤矿、五彩湾四号露天矿、兖煤澳洲和兖煤国际所属煤矿的开发及开采费用</w:t>
          </w:r>
          <w:r>
            <w:rPr>
              <w:szCs w:val="21"/>
            </w:rPr>
            <w:t>。</w:t>
          </w:r>
        </w:p>
        <w:p>
          <w:pPr>
            <w:ind w:firstLineChars="200" w:firstLine="420"/>
            <w:rPr>
              <w:szCs w:val="21"/>
            </w:rPr>
          </w:pPr>
          <w:r>
            <w:rPr>
              <w:rFonts w:hint="eastAsia"/>
              <w:szCs w:val="21"/>
            </w:rPr>
            <w:t>（</w:t>
          </w:r>
          <w:r>
            <w:rPr>
              <w:szCs w:val="21"/>
            </w:rPr>
            <w:t>2）重大煤矿建设项目</w:t>
          </w:r>
        </w:p>
        <w:p>
          <w:pPr>
            <w:ind w:firstLineChars="200" w:firstLine="420"/>
            <w:rPr>
              <w:szCs w:val="21"/>
            </w:rPr>
          </w:pPr>
          <w:r>
            <w:rPr>
              <w:rFonts w:hint="eastAsia"/>
              <w:szCs w:val="21"/>
            </w:rPr>
            <w:t>截至本报告期末，本集团重大煤矿建设项目的进展情况如下：</w:t>
          </w:r>
        </w:p>
        <w:tbl>
          <w:tblPr>
            <w:tblStyle w:val="g11"/>
            <w:tblW w:w="9777" w:type="dxa"/>
            <w:jc w:val="center"/>
            <w:tblInd w:w="0" w:type="dxa"/>
            <w:tblLayout w:type="fixed"/>
            <w:tblCellMar>
              <w:left w:w="0" w:type="dxa"/>
              <w:right w:w="0" w:type="dxa"/>
            </w:tblCellMar>
            <w:tblLook w:val="04A0" w:firstRow="1" w:lastRow="0" w:firstColumn="1" w:lastColumn="0" w:noHBand="0" w:noVBand="1"/>
          </w:tblPr>
          <w:tblGrid>
            <w:gridCol w:w="882"/>
            <w:gridCol w:w="1985"/>
            <w:gridCol w:w="1523"/>
            <w:gridCol w:w="2552"/>
            <w:gridCol w:w="2835"/>
          </w:tblGrid>
          <w:tr>
            <w:trPr>
              <w:trHeight w:hRule="exact" w:val="554"/>
              <w:jc w:val="center"/>
            </w:trPr>
            <w:tc>
              <w:tcPr>
                <w:tcW w:w="88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2"/>
                  <w:ind w:left="136" w:right="30"/>
                  <w:jc w:val="center"/>
                  <w:rPr>
                    <w:rFonts w:cs="Arial"/>
                    <w:sz w:val="24"/>
                    <w:szCs w:val="28"/>
                  </w:rPr>
                </w:pPr>
                <w:bookmarkStart w:id="82" w:name="_Hlk92976269"/>
                <w:bookmarkStart w:id="83" w:name="_Hlk192528801"/>
                <w:r>
                  <w:rPr>
                    <w:rFonts w:cs="Calibri" w:hint="eastAsia"/>
                    <w:b/>
                    <w:bCs/>
                    <w:szCs w:val="21"/>
                  </w:rPr>
                  <w:t>序号</w:t>
                </w:r>
              </w:p>
            </w:tc>
            <w:tc>
              <w:tcPr>
                <w:tcW w:w="1985"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2"/>
                  <w:ind w:left="135" w:right="32"/>
                  <w:jc w:val="center"/>
                  <w:rPr>
                    <w:rFonts w:cs="Arial"/>
                    <w:sz w:val="24"/>
                    <w:szCs w:val="28"/>
                  </w:rPr>
                </w:pPr>
                <w:r>
                  <w:rPr>
                    <w:rFonts w:cs="Calibri" w:hint="eastAsia"/>
                    <w:b/>
                    <w:bCs/>
                    <w:szCs w:val="21"/>
                  </w:rPr>
                  <w:t>项目名称</w:t>
                </w:r>
              </w:p>
            </w:tc>
            <w:tc>
              <w:tcPr>
                <w:tcW w:w="1523"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line="240" w:lineRule="exact"/>
                  <w:ind w:left="132" w:right="32"/>
                  <w:jc w:val="center"/>
                  <w:rPr>
                    <w:rFonts w:cs="Times New Roman"/>
                    <w:b/>
                    <w:bCs/>
                    <w:w w:val="99"/>
                    <w:szCs w:val="21"/>
                  </w:rPr>
                </w:pPr>
                <w:r>
                  <w:rPr>
                    <w:rFonts w:cs="Calibri" w:hint="eastAsia"/>
                    <w:b/>
                    <w:bCs/>
                    <w:szCs w:val="21"/>
                  </w:rPr>
                  <w:t>设计产能</w:t>
                </w:r>
              </w:p>
              <w:p>
                <w:pPr>
                  <w:widowControl w:val="0"/>
                  <w:kinsoku w:val="0"/>
                  <w:overflowPunct w:val="0"/>
                  <w:autoSpaceDE w:val="0"/>
                  <w:autoSpaceDN w:val="0"/>
                  <w:adjustRightInd w:val="0"/>
                  <w:spacing w:line="274" w:lineRule="exact"/>
                  <w:ind w:left="133" w:right="32"/>
                  <w:jc w:val="center"/>
                  <w:rPr>
                    <w:rFonts w:cs="Arial"/>
                    <w:sz w:val="24"/>
                    <w:szCs w:val="28"/>
                  </w:rPr>
                </w:pPr>
                <w:r>
                  <w:rPr>
                    <w:rFonts w:cs="Calibri" w:hint="eastAsia"/>
                    <w:b/>
                    <w:bCs/>
                    <w:szCs w:val="21"/>
                  </w:rPr>
                  <w:t>（万吨/年）</w:t>
                </w:r>
              </w:p>
            </w:tc>
            <w:tc>
              <w:tcPr>
                <w:tcW w:w="255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line="240" w:lineRule="exact"/>
                  <w:ind w:left="231" w:right="126"/>
                  <w:jc w:val="center"/>
                  <w:rPr>
                    <w:rFonts w:cs="Times New Roman"/>
                    <w:b/>
                    <w:bCs/>
                    <w:szCs w:val="21"/>
                  </w:rPr>
                </w:pPr>
                <w:r>
                  <w:rPr>
                    <w:rFonts w:cs="Calibri" w:hint="eastAsia"/>
                    <w:b/>
                    <w:bCs/>
                    <w:szCs w:val="21"/>
                  </w:rPr>
                  <w:t>截至报告期末</w:t>
                </w:r>
              </w:p>
              <w:p>
                <w:pPr>
                  <w:widowControl w:val="0"/>
                  <w:kinsoku w:val="0"/>
                  <w:overflowPunct w:val="0"/>
                  <w:autoSpaceDE w:val="0"/>
                  <w:autoSpaceDN w:val="0"/>
                  <w:adjustRightInd w:val="0"/>
                  <w:spacing w:line="240" w:lineRule="exact"/>
                  <w:ind w:left="231" w:right="126"/>
                  <w:jc w:val="center"/>
                  <w:rPr>
                    <w:rFonts w:cs="Arial"/>
                    <w:sz w:val="24"/>
                    <w:szCs w:val="28"/>
                  </w:rPr>
                </w:pPr>
                <w:r>
                  <w:rPr>
                    <w:rFonts w:cs="Calibri" w:hint="eastAsia"/>
                    <w:b/>
                    <w:bCs/>
                    <w:szCs w:val="21"/>
                  </w:rPr>
                  <w:t>投资额（亿元）</w:t>
                </w:r>
              </w:p>
            </w:tc>
            <w:tc>
              <w:tcPr>
                <w:tcW w:w="2835" w:type="dxa"/>
                <w:tcBorders>
                  <w:top w:val="single" w:sz="4" w:space="0" w:color="000000"/>
                  <w:left w:val="single" w:sz="4" w:space="0" w:color="000000"/>
                  <w:bottom w:val="single" w:sz="4" w:space="0" w:color="000000"/>
                  <w:right w:val="single" w:sz="2" w:space="0" w:color="000000"/>
                </w:tcBorders>
                <w:vAlign w:val="center"/>
                <w:hideMark/>
              </w:tcPr>
              <w:p>
                <w:pPr>
                  <w:widowControl w:val="0"/>
                  <w:kinsoku w:val="0"/>
                  <w:overflowPunct w:val="0"/>
                  <w:autoSpaceDE w:val="0"/>
                  <w:autoSpaceDN w:val="0"/>
                  <w:adjustRightInd w:val="0"/>
                  <w:spacing w:before="102"/>
                  <w:jc w:val="center"/>
                  <w:rPr>
                    <w:rFonts w:cs="Arial"/>
                    <w:sz w:val="24"/>
                    <w:szCs w:val="28"/>
                  </w:rPr>
                </w:pPr>
                <w:r>
                  <w:rPr>
                    <w:rFonts w:cs="Calibri" w:hint="eastAsia"/>
                    <w:b/>
                    <w:bCs/>
                    <w:szCs w:val="21"/>
                  </w:rPr>
                  <w:t>建设进度</w:t>
                </w:r>
              </w:p>
            </w:tc>
          </w:tr>
          <w:tr>
            <w:trPr>
              <w:trHeight w:hRule="exact" w:val="550"/>
              <w:jc w:val="center"/>
            </w:trPr>
            <w:tc>
              <w:tcPr>
                <w:tcW w:w="88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35" w:right="30"/>
                  <w:jc w:val="center"/>
                  <w:rPr>
                    <w:rFonts w:cs="Arial"/>
                    <w:sz w:val="24"/>
                    <w:szCs w:val="28"/>
                  </w:rPr>
                </w:pPr>
                <w:r>
                  <w:rPr>
                    <w:rFonts w:cs="Calibri" w:hint="eastAsia"/>
                    <w:szCs w:val="21"/>
                  </w:rPr>
                  <w:t>1</w:t>
                </w:r>
              </w:p>
            </w:tc>
            <w:tc>
              <w:tcPr>
                <w:tcW w:w="1985"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08" w:right="56"/>
                  <w:jc w:val="center"/>
                  <w:rPr>
                    <w:rFonts w:cs="Arial"/>
                    <w:sz w:val="24"/>
                    <w:szCs w:val="28"/>
                  </w:rPr>
                </w:pPr>
                <w:r>
                  <w:rPr>
                    <w:rFonts w:cs="Calibri" w:hint="eastAsia"/>
                    <w:szCs w:val="21"/>
                  </w:rPr>
                  <w:t>万福煤矿</w:t>
                </w:r>
              </w:p>
            </w:tc>
            <w:tc>
              <w:tcPr>
                <w:tcW w:w="1523"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08" w:right="56"/>
                  <w:jc w:val="center"/>
                  <w:rPr>
                    <w:rFonts w:cs="Times New Roman"/>
                    <w:szCs w:val="21"/>
                  </w:rPr>
                </w:pPr>
                <w:r>
                  <w:rPr>
                    <w:rFonts w:cs="Calibri" w:hint="eastAsia"/>
                    <w:szCs w:val="21"/>
                  </w:rPr>
                  <w:t>180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67.60</w:t>
                </w:r>
              </w:p>
            </w:tc>
            <w:tc>
              <w:tcPr>
                <w:tcW w:w="2835" w:type="dxa"/>
                <w:tcBorders>
                  <w:top w:val="single" w:sz="4" w:space="0" w:color="000000"/>
                  <w:left w:val="single" w:sz="4" w:space="0" w:color="000000"/>
                  <w:bottom w:val="single" w:sz="4" w:space="0" w:color="000000"/>
                  <w:right w:val="single" w:sz="2" w:space="0" w:color="000000"/>
                </w:tcBorders>
                <w:vAlign w:val="center"/>
                <w:hideMark/>
              </w:tcPr>
              <w:p>
                <w:pPr>
                  <w:widowControl w:val="0"/>
                  <w:kinsoku w:val="0"/>
                  <w:overflowPunct w:val="0"/>
                  <w:autoSpaceDE w:val="0"/>
                  <w:autoSpaceDN w:val="0"/>
                  <w:adjustRightInd w:val="0"/>
                  <w:spacing w:before="100"/>
                  <w:ind w:left="108" w:right="56"/>
                  <w:jc w:val="center"/>
                  <w:rPr>
                    <w:rFonts w:cs="Calibri"/>
                    <w:szCs w:val="21"/>
                  </w:rPr>
                </w:pPr>
                <w:r>
                  <w:rPr>
                    <w:rFonts w:cs="Calibri"/>
                    <w:szCs w:val="21"/>
                  </w:rPr>
                  <w:t>2024</w:t>
                </w:r>
                <w:r>
                  <w:rPr>
                    <w:rFonts w:cs="Calibri" w:hint="eastAsia"/>
                    <w:szCs w:val="21"/>
                  </w:rPr>
                  <w:t>年1</w:t>
                </w:r>
                <w:r>
                  <w:rPr>
                    <w:rFonts w:cs="Calibri"/>
                    <w:szCs w:val="21"/>
                  </w:rPr>
                  <w:t>2</w:t>
                </w:r>
                <w:r>
                  <w:rPr>
                    <w:rFonts w:cs="Calibri" w:hint="eastAsia"/>
                    <w:szCs w:val="21"/>
                  </w:rPr>
                  <w:t>月联合试运转</w:t>
                </w:r>
              </w:p>
            </w:tc>
          </w:tr>
          <w:tr>
            <w:trPr>
              <w:trHeight w:hRule="exact" w:val="550"/>
              <w:jc w:val="center"/>
            </w:trPr>
            <w:tc>
              <w:tcPr>
                <w:tcW w:w="882"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35" w:right="30"/>
                  <w:jc w:val="center"/>
                  <w:rPr>
                    <w:rFonts w:cs="Calibri"/>
                    <w:szCs w:val="21"/>
                  </w:rPr>
                </w:pPr>
                <w:r>
                  <w:rPr>
                    <w:rFonts w:cs="Calibri" w:hint="eastAsia"/>
                    <w:szCs w:val="21"/>
                  </w:rPr>
                  <w:t>2</w:t>
                </w:r>
              </w:p>
            </w:tc>
            <w:tc>
              <w:tcPr>
                <w:tcW w:w="1985"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五彩湾四号煤矿</w:t>
                </w:r>
              </w:p>
            </w:tc>
            <w:tc>
              <w:tcPr>
                <w:tcW w:w="1523"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1,000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10.94</w:t>
                </w:r>
              </w:p>
            </w:tc>
            <w:tc>
              <w:tcPr>
                <w:tcW w:w="2835" w:type="dxa"/>
                <w:tcBorders>
                  <w:top w:val="single" w:sz="4" w:space="0" w:color="000000"/>
                  <w:left w:val="single" w:sz="4" w:space="0" w:color="000000"/>
                  <w:bottom w:val="single" w:sz="4" w:space="0" w:color="000000"/>
                  <w:right w:val="single" w:sz="2" w:space="0" w:color="000000"/>
                </w:tcBorders>
                <w:vAlign w:val="center"/>
                <w:hideMark/>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计划2025年投产</w:t>
                </w:r>
              </w:p>
            </w:tc>
          </w:tr>
          <w:bookmarkEnd w:id="82"/>
          <w:tr>
            <w:trPr>
              <w:trHeight w:hRule="exact" w:val="550"/>
              <w:jc w:val="center"/>
            </w:trPr>
            <w:tc>
              <w:tcPr>
                <w:tcW w:w="88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35" w:right="30"/>
                  <w:jc w:val="center"/>
                  <w:rPr>
                    <w:rFonts w:cs="Calibri"/>
                    <w:szCs w:val="21"/>
                  </w:rPr>
                </w:pPr>
                <w:r>
                  <w:rPr>
                    <w:rFonts w:cs="Calibri" w:hint="eastAsia"/>
                    <w:szCs w:val="21"/>
                  </w:rPr>
                  <w:lastRenderedPageBreak/>
                  <w:t>3</w:t>
                </w:r>
              </w:p>
            </w:tc>
            <w:tc>
              <w:tcPr>
                <w:tcW w:w="1985"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刘三圪旦煤矿</w:t>
                </w:r>
              </w:p>
            </w:tc>
            <w:tc>
              <w:tcPr>
                <w:tcW w:w="1523"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szCs w:val="21"/>
                  </w:rPr>
                  <w:t>1,000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23.14</w:t>
                </w:r>
              </w:p>
            </w:tc>
            <w:tc>
              <w:tcPr>
                <w:tcW w:w="2835" w:type="dxa"/>
                <w:tcBorders>
                  <w:top w:val="single" w:sz="4" w:space="0" w:color="000000"/>
                  <w:left w:val="single" w:sz="4" w:space="0" w:color="000000"/>
                  <w:bottom w:val="single" w:sz="4" w:space="0" w:color="000000"/>
                  <w:right w:val="single" w:sz="2"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已获取地质报告批复</w:t>
                </w:r>
              </w:p>
            </w:tc>
          </w:tr>
          <w:tr>
            <w:trPr>
              <w:trHeight w:hRule="exact" w:val="550"/>
              <w:jc w:val="center"/>
            </w:trPr>
            <w:tc>
              <w:tcPr>
                <w:tcW w:w="88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35" w:right="30"/>
                  <w:jc w:val="center"/>
                  <w:rPr>
                    <w:rFonts w:cs="Calibri"/>
                    <w:szCs w:val="21"/>
                  </w:rPr>
                </w:pPr>
                <w:r>
                  <w:rPr>
                    <w:rFonts w:cs="Calibri" w:hint="eastAsia"/>
                    <w:szCs w:val="21"/>
                  </w:rPr>
                  <w:t>4</w:t>
                </w:r>
              </w:p>
            </w:tc>
            <w:tc>
              <w:tcPr>
                <w:tcW w:w="1985"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嘎鲁图煤矿</w:t>
                </w:r>
              </w:p>
            </w:tc>
            <w:tc>
              <w:tcPr>
                <w:tcW w:w="1523"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szCs w:val="21"/>
                  </w:rPr>
                  <w:t>800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9.84</w:t>
                </w:r>
              </w:p>
            </w:tc>
            <w:tc>
              <w:tcPr>
                <w:tcW w:w="2835" w:type="dxa"/>
                <w:tcBorders>
                  <w:top w:val="single" w:sz="4" w:space="0" w:color="000000"/>
                  <w:left w:val="single" w:sz="4" w:space="0" w:color="000000"/>
                  <w:bottom w:val="single" w:sz="4" w:space="0" w:color="000000"/>
                  <w:right w:val="single" w:sz="2"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已获取地质报告批复</w:t>
                </w:r>
              </w:p>
            </w:tc>
          </w:tr>
          <w:tr>
            <w:trPr>
              <w:trHeight w:hRule="exact" w:val="550"/>
              <w:jc w:val="center"/>
            </w:trPr>
            <w:tc>
              <w:tcPr>
                <w:tcW w:w="88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35" w:right="30"/>
                  <w:jc w:val="center"/>
                  <w:rPr>
                    <w:rFonts w:cs="Calibri"/>
                    <w:szCs w:val="21"/>
                  </w:rPr>
                </w:pPr>
                <w:r>
                  <w:rPr>
                    <w:rFonts w:cs="Calibri" w:hint="eastAsia"/>
                    <w:szCs w:val="21"/>
                  </w:rPr>
                  <w:t>5</w:t>
                </w:r>
              </w:p>
            </w:tc>
            <w:tc>
              <w:tcPr>
                <w:tcW w:w="1985"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霍林河一号煤矿</w:t>
                </w:r>
              </w:p>
            </w:tc>
            <w:tc>
              <w:tcPr>
                <w:tcW w:w="1523"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7</w:t>
                </w:r>
                <w:r>
                  <w:rPr>
                    <w:rFonts w:cs="Calibri"/>
                    <w:szCs w:val="21"/>
                  </w:rPr>
                  <w:t>00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37.17</w:t>
                </w:r>
              </w:p>
            </w:tc>
            <w:tc>
              <w:tcPr>
                <w:tcW w:w="2835" w:type="dxa"/>
                <w:tcBorders>
                  <w:top w:val="single" w:sz="4" w:space="0" w:color="000000"/>
                  <w:left w:val="single" w:sz="4" w:space="0" w:color="000000"/>
                  <w:bottom w:val="single" w:sz="4" w:space="0" w:color="000000"/>
                  <w:right w:val="single" w:sz="2" w:space="0" w:color="000000"/>
                </w:tcBorders>
                <w:vAlign w:val="center"/>
              </w:tcPr>
              <w:p>
                <w:pPr>
                  <w:widowControl w:val="0"/>
                  <w:kinsoku w:val="0"/>
                  <w:overflowPunct w:val="0"/>
                  <w:autoSpaceDE w:val="0"/>
                  <w:autoSpaceDN w:val="0"/>
                  <w:adjustRightInd w:val="0"/>
                  <w:spacing w:before="100"/>
                  <w:ind w:left="108" w:right="56"/>
                  <w:jc w:val="center"/>
                  <w:rPr>
                    <w:rFonts w:cs="Calibri"/>
                    <w:szCs w:val="21"/>
                  </w:rPr>
                </w:pPr>
                <w:r>
                  <w:rPr>
                    <w:rFonts w:cs="Calibri" w:hint="eastAsia"/>
                    <w:szCs w:val="21"/>
                  </w:rPr>
                  <w:t>已完成初步设计</w:t>
                </w:r>
              </w:p>
            </w:tc>
          </w:tr>
          <w:tr>
            <w:trPr>
              <w:trHeight w:hRule="exact" w:val="552"/>
              <w:jc w:val="center"/>
            </w:trPr>
            <w:tc>
              <w:tcPr>
                <w:tcW w:w="2867" w:type="dxa"/>
                <w:gridSpan w:val="2"/>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jc w:val="center"/>
                  <w:rPr>
                    <w:rFonts w:cs="Arial"/>
                    <w:sz w:val="24"/>
                    <w:szCs w:val="28"/>
                  </w:rPr>
                </w:pPr>
                <w:r>
                  <w:rPr>
                    <w:rFonts w:cs="Calibri" w:hint="eastAsia"/>
                    <w:szCs w:val="21"/>
                  </w:rPr>
                  <w:t>合计</w:t>
                </w:r>
              </w:p>
            </w:tc>
            <w:tc>
              <w:tcPr>
                <w:tcW w:w="1523" w:type="dxa"/>
                <w:tcBorders>
                  <w:top w:val="single" w:sz="4" w:space="0" w:color="000000"/>
                  <w:left w:val="single" w:sz="4" w:space="0" w:color="000000"/>
                  <w:bottom w:val="single" w:sz="4" w:space="0" w:color="000000"/>
                  <w:right w:val="single" w:sz="4" w:space="0" w:color="000000"/>
                </w:tcBorders>
                <w:vAlign w:val="center"/>
                <w:hideMark/>
              </w:tcPr>
              <w:p>
                <w:pPr>
                  <w:widowControl w:val="0"/>
                  <w:kinsoku w:val="0"/>
                  <w:overflowPunct w:val="0"/>
                  <w:autoSpaceDE w:val="0"/>
                  <w:autoSpaceDN w:val="0"/>
                  <w:adjustRightInd w:val="0"/>
                  <w:spacing w:before="100"/>
                  <w:ind w:left="108" w:right="56"/>
                  <w:jc w:val="center"/>
                  <w:rPr>
                    <w:rFonts w:cs="Times New Roman"/>
                    <w:szCs w:val="21"/>
                  </w:rPr>
                </w:pPr>
                <w:r>
                  <w:rPr>
                    <w:rFonts w:cs="Times New Roman"/>
                    <w:szCs w:val="21"/>
                  </w:rPr>
                  <w:t>3,680</w:t>
                </w:r>
              </w:p>
            </w:tc>
            <w:tc>
              <w:tcPr>
                <w:tcW w:w="2552" w:type="dxa"/>
                <w:tcBorders>
                  <w:top w:val="single" w:sz="4" w:space="0" w:color="000000"/>
                  <w:left w:val="single" w:sz="4" w:space="0" w:color="000000"/>
                  <w:bottom w:val="single" w:sz="4" w:space="0" w:color="000000"/>
                  <w:right w:val="single" w:sz="4" w:space="0" w:color="000000"/>
                </w:tcBorders>
                <w:vAlign w:val="center"/>
              </w:tcPr>
              <w:p>
                <w:pPr>
                  <w:widowControl w:val="0"/>
                  <w:autoSpaceDE w:val="0"/>
                  <w:autoSpaceDN w:val="0"/>
                  <w:adjustRightInd w:val="0"/>
                  <w:ind w:left="108" w:right="56"/>
                  <w:jc w:val="center"/>
                  <w:rPr>
                    <w:rFonts w:cs="Calibri"/>
                    <w:szCs w:val="21"/>
                  </w:rPr>
                </w:pPr>
                <w:r>
                  <w:rPr>
                    <w:rFonts w:cs="Calibri"/>
                    <w:szCs w:val="21"/>
                  </w:rPr>
                  <w:t>148.69</w:t>
                </w:r>
              </w:p>
            </w:tc>
            <w:tc>
              <w:tcPr>
                <w:tcW w:w="2835" w:type="dxa"/>
                <w:tcBorders>
                  <w:top w:val="single" w:sz="4" w:space="0" w:color="000000"/>
                  <w:left w:val="single" w:sz="4" w:space="0" w:color="000000"/>
                  <w:bottom w:val="single" w:sz="4" w:space="0" w:color="000000"/>
                  <w:right w:val="single" w:sz="2" w:space="0" w:color="000000"/>
                </w:tcBorders>
                <w:vAlign w:val="center"/>
                <w:hideMark/>
              </w:tcPr>
              <w:p>
                <w:pPr>
                  <w:widowControl w:val="0"/>
                  <w:autoSpaceDE w:val="0"/>
                  <w:autoSpaceDN w:val="0"/>
                  <w:adjustRightInd w:val="0"/>
                  <w:ind w:left="108" w:right="56"/>
                  <w:jc w:val="center"/>
                  <w:rPr>
                    <w:rFonts w:cs="Calibri"/>
                    <w:szCs w:val="21"/>
                  </w:rPr>
                </w:pPr>
                <w:r>
                  <w:rPr>
                    <w:rFonts w:cs="Calibri"/>
                    <w:szCs w:val="21"/>
                  </w:rPr>
                  <w:t>-</w:t>
                </w:r>
              </w:p>
            </w:tc>
          </w:tr>
        </w:tbl>
        <w:p>
          <w:pPr>
            <w:ind w:firstLineChars="200" w:firstLine="420"/>
            <w:rPr>
              <w:szCs w:val="21"/>
              <w:u w:val="single"/>
            </w:rPr>
          </w:pPr>
        </w:p>
        <w:p>
          <w:pPr>
            <w:rPr>
              <w:szCs w:val="21"/>
            </w:rPr>
            <w:sectPr>
              <w:pgSz w:w="16838" w:h="11906" w:orient="landscape"/>
              <w:pgMar w:top="1797" w:right="1525" w:bottom="1276" w:left="1440" w:header="855" w:footer="992" w:gutter="0"/>
              <w:cols w:space="425"/>
              <w:docGrid w:linePitch="312"/>
            </w:sectPr>
          </w:pPr>
        </w:p>
        <w:bookmarkEnd w:id="83" w:displacedByCustomXml="next"/>
      </w:sdtContent>
    </w:sdt>
    <w:p>
      <w:pPr>
        <w:keepNext/>
        <w:keepLines/>
        <w:widowControl w:val="0"/>
        <w:numPr>
          <w:ilvl w:val="0"/>
          <w:numId w:val="7"/>
        </w:numPr>
        <w:spacing w:before="60" w:after="60"/>
        <w:ind w:left="369" w:hangingChars="175" w:hanging="369"/>
        <w:jc w:val="both"/>
        <w:outlineLvl w:val="2"/>
        <w:rPr>
          <w:rFonts w:cs="Times New Roman"/>
          <w:b/>
          <w:bCs/>
          <w:kern w:val="2"/>
          <w:szCs w:val="21"/>
        </w:rPr>
      </w:pPr>
      <w:bookmarkStart w:id="84" w:name="_Hlk41835841"/>
      <w:bookmarkStart w:id="85" w:name="_Hlk41835872"/>
      <w:bookmarkStart w:id="86" w:name="_Hlk41836274"/>
      <w:bookmarkStart w:id="87" w:name="_Hlk533433706"/>
      <w:bookmarkStart w:id="88" w:name="_Hlk533436182"/>
      <w:bookmarkStart w:id="89" w:name="_Hlk533434947"/>
      <w:bookmarkStart w:id="90" w:name="_Hlk533435027"/>
      <w:bookmarkStart w:id="91" w:name="_Hlk533435074"/>
      <w:bookmarkStart w:id="92" w:name="_Hlk533666837"/>
      <w:bookmarkStart w:id="93" w:name="_Hlk533435130"/>
      <w:bookmarkStart w:id="94" w:name="_Hlk533435176"/>
      <w:bookmarkStart w:id="95" w:name="_Hlk533435360"/>
      <w:bookmarkStart w:id="96" w:name="_Hlk533666971"/>
      <w:bookmarkStart w:id="97" w:name="_Hlk533435467"/>
      <w:bookmarkStart w:id="98" w:name="_Hlk53366703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Pr>
          <w:rFonts w:cs="Times New Roman" w:hint="eastAsia"/>
          <w:b/>
          <w:bCs/>
          <w:kern w:val="2"/>
          <w:szCs w:val="21"/>
        </w:rPr>
        <w:lastRenderedPageBreak/>
        <w:t>投资状况分析</w:t>
      </w:r>
    </w:p>
    <w:p>
      <w:pPr>
        <w:rPr>
          <w:b/>
          <w:bCs/>
        </w:rPr>
      </w:pPr>
      <w:r>
        <w:rPr>
          <w:b/>
          <w:bCs/>
        </w:rPr>
        <w:t>对外股权投资总体分析</w:t>
      </w:r>
    </w:p>
    <w:sdt>
      <w:sdtPr>
        <w:rPr>
          <w:szCs w:val="21"/>
        </w:rPr>
        <w:alias w:val="是否适用：对外股权投资总体分析[双击切换]"/>
        <w:tag w:val="_GBC_cfb706fadf2c47bbbaf1bf90c054ccaf"/>
        <w:id w:val="-2096707142"/>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EastAsia" w:eastAsiaTheme="minorEastAsia" w:hAnsiTheme="minorEastAsia"/>
          <w:szCs w:val="21"/>
        </w:rPr>
      </w:pPr>
    </w:p>
    <w:p>
      <w:pPr>
        <w:pStyle w:val="4"/>
        <w:numPr>
          <w:ilvl w:val="0"/>
          <w:numId w:val="25"/>
        </w:numPr>
      </w:pPr>
      <w:r>
        <w:rPr>
          <w:rFonts w:hint="eastAsia"/>
        </w:rPr>
        <w:t>重大的股权投资</w:t>
      </w:r>
    </w:p>
    <w:sdt>
      <w:sdtPr>
        <w:rPr>
          <w:rFonts w:hint="eastAsia"/>
        </w:rPr>
        <w:alias w:val="是否适用：重大的股权投资[双击切换]"/>
        <w:tag w:val="_GBC_b20506918d854c13b13a3b89dd84c7d3"/>
        <w:id w:val="1137295739"/>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4"/>
        <w:numPr>
          <w:ilvl w:val="0"/>
          <w:numId w:val="25"/>
        </w:numPr>
      </w:pPr>
      <w:r>
        <w:rPr>
          <w:rFonts w:hint="eastAsia"/>
        </w:rPr>
        <w:t>重大的非股权投资</w:t>
      </w:r>
    </w:p>
    <w:sdt>
      <w:sdtPr>
        <w:rPr>
          <w:rFonts w:hint="eastAsia"/>
        </w:rPr>
        <w:alias w:val="是否适用：重大的非股权投资[双击切换]"/>
        <w:tag w:val="_GBC_fbd46075a5b9414d9e28cd2404e5d47c"/>
        <w:id w:val="-294753737"/>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4"/>
        <w:numPr>
          <w:ilvl w:val="0"/>
          <w:numId w:val="25"/>
        </w:numPr>
      </w:pPr>
      <w:bookmarkStart w:id="99" w:name="_Hlk40532846"/>
      <w:bookmarkStart w:id="100" w:name="_Hlk192239936"/>
      <w:r>
        <w:rPr>
          <w:rFonts w:hint="eastAsia"/>
        </w:rPr>
        <w:t>以公允价值计量的金融资产</w:t>
      </w:r>
    </w:p>
    <w:sdt>
      <w:sdtPr>
        <w:rPr>
          <w:rFonts w:hint="eastAsia"/>
          <w:szCs w:val="21"/>
        </w:rPr>
        <w:alias w:val="是否适用：以公允价值计量的金融资产[双击切换]"/>
        <w:tag w:val="_GBC_27fa42d1c8fd489d9e8648bed00ddd53"/>
        <w:id w:val="70175051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1"/>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1492167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91184483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ff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9"/>
        <w:gridCol w:w="1540"/>
        <w:gridCol w:w="1540"/>
        <w:gridCol w:w="1541"/>
        <w:gridCol w:w="1540"/>
        <w:gridCol w:w="1541"/>
        <w:gridCol w:w="1540"/>
        <w:gridCol w:w="1541"/>
        <w:gridCol w:w="1541"/>
      </w:tblGrid>
      <w:tr>
        <w:sdt>
          <w:sdtPr>
            <w:tag w:val="_PLD_0c54b9fd583d4e649fc12d33a6f94086"/>
            <w:id w:val="-474914087"/>
          </w:sdtPr>
          <w:sdtContent>
            <w:tc>
              <w:tcPr>
                <w:tcW w:w="1539" w:type="dxa"/>
                <w:shd w:val="clear" w:color="auto" w:fill="auto"/>
                <w:vAlign w:val="center"/>
              </w:tcPr>
              <w:p>
                <w:pPr>
                  <w:widowControl w:val="0"/>
                  <w:jc w:val="center"/>
                </w:pPr>
                <w:r>
                  <w:rPr>
                    <w:rFonts w:cs="Times New Roman" w:hint="eastAsia"/>
                    <w:kern w:val="2"/>
                    <w:szCs w:val="22"/>
                  </w:rPr>
                  <w:t>资产类别</w:t>
                </w:r>
              </w:p>
            </w:tc>
          </w:sdtContent>
        </w:sdt>
        <w:sdt>
          <w:sdtPr>
            <w:tag w:val="_PLD_4b84ad0ddc154021b1b8d9a6bffa6c39"/>
            <w:id w:val="1807655359"/>
          </w:sdtPr>
          <w:sdtContent>
            <w:tc>
              <w:tcPr>
                <w:tcW w:w="1540" w:type="dxa"/>
                <w:shd w:val="clear" w:color="auto" w:fill="auto"/>
                <w:vAlign w:val="center"/>
              </w:tcPr>
              <w:p>
                <w:pPr>
                  <w:widowControl w:val="0"/>
                  <w:jc w:val="center"/>
                </w:pPr>
                <w:r>
                  <w:rPr>
                    <w:rFonts w:hint="eastAsia"/>
                  </w:rPr>
                  <w:t>期初数</w:t>
                </w:r>
              </w:p>
            </w:tc>
          </w:sdtContent>
        </w:sdt>
        <w:sdt>
          <w:sdtPr>
            <w:tag w:val="_PLD_fa8919b699f843d2b03f2004a27810b6"/>
            <w:id w:val="-2102561475"/>
          </w:sdtPr>
          <w:sdtContent>
            <w:tc>
              <w:tcPr>
                <w:tcW w:w="1540" w:type="dxa"/>
                <w:shd w:val="clear" w:color="auto" w:fill="auto"/>
                <w:vAlign w:val="center"/>
              </w:tcPr>
              <w:p>
                <w:pPr>
                  <w:widowControl w:val="0"/>
                  <w:jc w:val="center"/>
                  <w:rPr>
                    <w:b/>
                  </w:rPr>
                </w:pPr>
                <w:r>
                  <w:rPr>
                    <w:rFonts w:hint="eastAsia"/>
                  </w:rPr>
                  <w:t>本期公允价值变动损益</w:t>
                </w:r>
              </w:p>
            </w:tc>
          </w:sdtContent>
        </w:sdt>
        <w:sdt>
          <w:sdtPr>
            <w:tag w:val="_PLD_81fc9fd2b35c49e2bfd3b55b8724ae1d"/>
            <w:id w:val="-130714015"/>
          </w:sdtPr>
          <w:sdtContent>
            <w:tc>
              <w:tcPr>
                <w:tcW w:w="1541" w:type="dxa"/>
                <w:shd w:val="clear" w:color="auto" w:fill="auto"/>
                <w:vAlign w:val="center"/>
              </w:tcPr>
              <w:p>
                <w:pPr>
                  <w:widowControl w:val="0"/>
                  <w:jc w:val="center"/>
                </w:pPr>
                <w:r>
                  <w:rPr>
                    <w:rFonts w:hint="eastAsia"/>
                  </w:rPr>
                  <w:t>计入权益的累计公允价值变动</w:t>
                </w:r>
              </w:p>
            </w:tc>
          </w:sdtContent>
        </w:sdt>
        <w:sdt>
          <w:sdtPr>
            <w:tag w:val="_PLD_d6f12030ef654b5cad4265cc31977836"/>
            <w:id w:val="-1141342148"/>
          </w:sdtPr>
          <w:sdtContent>
            <w:tc>
              <w:tcPr>
                <w:tcW w:w="1540" w:type="dxa"/>
                <w:shd w:val="clear" w:color="auto" w:fill="auto"/>
                <w:vAlign w:val="center"/>
              </w:tcPr>
              <w:p>
                <w:pPr>
                  <w:widowControl w:val="0"/>
                  <w:jc w:val="center"/>
                </w:pPr>
                <w:r>
                  <w:rPr>
                    <w:rFonts w:hint="eastAsia"/>
                  </w:rPr>
                  <w:t>本期计提的减值</w:t>
                </w:r>
              </w:p>
            </w:tc>
          </w:sdtContent>
        </w:sdt>
        <w:sdt>
          <w:sdtPr>
            <w:tag w:val="_PLD_8693ec76f7f14d898c4b16665659ded9"/>
            <w:id w:val="-682585908"/>
          </w:sdtPr>
          <w:sdtContent>
            <w:tc>
              <w:tcPr>
                <w:tcW w:w="1541" w:type="dxa"/>
                <w:shd w:val="clear" w:color="auto" w:fill="auto"/>
                <w:vAlign w:val="center"/>
              </w:tcPr>
              <w:p>
                <w:pPr>
                  <w:widowControl w:val="0"/>
                  <w:jc w:val="center"/>
                </w:pPr>
                <w:r>
                  <w:rPr>
                    <w:rFonts w:hint="eastAsia"/>
                  </w:rPr>
                  <w:t>本期购买金额</w:t>
                </w:r>
              </w:p>
            </w:tc>
          </w:sdtContent>
        </w:sdt>
        <w:sdt>
          <w:sdtPr>
            <w:tag w:val="_PLD_ba0671fda1cb4d8c8d3c1e5b16cc6e5a"/>
            <w:id w:val="955989360"/>
          </w:sdtPr>
          <w:sdtContent>
            <w:tc>
              <w:tcPr>
                <w:tcW w:w="1540" w:type="dxa"/>
                <w:shd w:val="clear" w:color="auto" w:fill="auto"/>
                <w:vAlign w:val="center"/>
              </w:tcPr>
              <w:p>
                <w:pPr>
                  <w:widowControl w:val="0"/>
                  <w:jc w:val="center"/>
                </w:pPr>
                <w:r>
                  <w:rPr>
                    <w:rFonts w:hint="eastAsia"/>
                  </w:rPr>
                  <w:t>本期出售/赎回金额</w:t>
                </w:r>
              </w:p>
            </w:tc>
          </w:sdtContent>
        </w:sdt>
        <w:sdt>
          <w:sdtPr>
            <w:tag w:val="_PLD_50b7e7d4561f48f190f80d486d12a170"/>
            <w:id w:val="1333181943"/>
          </w:sdtPr>
          <w:sdtContent>
            <w:tc>
              <w:tcPr>
                <w:tcW w:w="1541" w:type="dxa"/>
                <w:shd w:val="clear" w:color="auto" w:fill="auto"/>
                <w:vAlign w:val="center"/>
              </w:tcPr>
              <w:p>
                <w:pPr>
                  <w:widowControl w:val="0"/>
                  <w:jc w:val="center"/>
                </w:pPr>
                <w:r>
                  <w:rPr>
                    <w:rFonts w:hint="eastAsia"/>
                  </w:rPr>
                  <w:t>其他变动</w:t>
                </w:r>
              </w:p>
            </w:tc>
          </w:sdtContent>
        </w:sdt>
        <w:sdt>
          <w:sdtPr>
            <w:tag w:val="_PLD_816d427a273240d9af67db4a5feee586"/>
            <w:id w:val="30475439"/>
          </w:sdtPr>
          <w:sdtContent>
            <w:tc>
              <w:tcPr>
                <w:tcW w:w="1541" w:type="dxa"/>
                <w:shd w:val="clear" w:color="auto" w:fill="auto"/>
                <w:vAlign w:val="center"/>
              </w:tcPr>
              <w:p>
                <w:pPr>
                  <w:widowControl w:val="0"/>
                  <w:jc w:val="center"/>
                </w:pPr>
                <w:r>
                  <w:rPr>
                    <w:rFonts w:hint="eastAsia"/>
                  </w:rPr>
                  <w:t>期末数</w:t>
                </w:r>
              </w:p>
            </w:tc>
          </w:sdtContent>
        </w:sdt>
      </w:tr>
      <w:tr>
        <w:sdt>
          <w:sdtPr>
            <w:alias w:val="以公允价值计量的金融资产情况明细_资产类别"/>
            <w:tag w:val="_GBC_cc72d7a8c8f74a64a251dbd2114ca4fe"/>
            <w:id w:val="-342244840"/>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39" w:type="dxa"/>
                <w:shd w:val="clear" w:color="auto" w:fill="auto"/>
              </w:tcPr>
              <w:p>
                <w:pPr>
                  <w:widowControl w:val="0"/>
                  <w:jc w:val="both"/>
                </w:pPr>
                <w:r>
                  <w:t>股票</w:t>
                </w:r>
              </w:p>
            </w:tc>
          </w:sdtContent>
        </w:sdt>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59</w:t>
            </w:r>
            <w:r>
              <w:t>2</w:t>
            </w:r>
          </w:p>
        </w:tc>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235</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826</w:t>
            </w:r>
          </w:p>
        </w:tc>
      </w:tr>
      <w:tr>
        <w:sdt>
          <w:sdtPr>
            <w:alias w:val="以公允价值计量的金融资产情况明细_资产类别"/>
            <w:tag w:val="_GBC_cc72d7a8c8f74a64a251dbd2114ca4fe"/>
            <w:id w:val="-2015209257"/>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39" w:type="dxa"/>
                <w:shd w:val="clear" w:color="auto" w:fill="auto"/>
              </w:tcPr>
              <w:p>
                <w:pPr>
                  <w:widowControl w:val="0"/>
                  <w:jc w:val="both"/>
                </w:pPr>
                <w:r>
                  <w:t>信托产品</w:t>
                </w:r>
              </w:p>
            </w:tc>
          </w:sdtContent>
        </w:sdt>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70,520</w:t>
            </w:r>
          </w:p>
        </w:tc>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1</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70,52</w:t>
            </w:r>
            <w:r>
              <w:t>1</w:t>
            </w:r>
          </w:p>
        </w:tc>
      </w:tr>
      <w:tr>
        <w:sdt>
          <w:sdtPr>
            <w:alias w:val="以公允价值计量的金融资产情况明细_资产类别"/>
            <w:tag w:val="_GBC_cc72d7a8c8f74a64a251dbd2114ca4fe"/>
            <w:id w:val="2142220328"/>
            <w:comboBox>
              <w:listItem w:displayText="股票" w:value="股票"/>
              <w:listItem w:displayText="债券" w:value="债券"/>
              <w:listItem w:displayText="信托产品" w:value="信托产品"/>
              <w:listItem w:displayText="私募基金" w:value="私募基金"/>
              <w:listItem w:displayText="期货" w:value="期货"/>
              <w:listItem w:displayText="衍生工具" w:value="衍生工具"/>
              <w:listItem w:displayText="其他" w:value="其他"/>
            </w:comboBox>
          </w:sdtPr>
          <w:sdtContent>
            <w:tc>
              <w:tcPr>
                <w:tcW w:w="1539" w:type="dxa"/>
                <w:shd w:val="clear" w:color="auto" w:fill="auto"/>
              </w:tcPr>
              <w:p>
                <w:pPr>
                  <w:widowControl w:val="0"/>
                  <w:jc w:val="both"/>
                </w:pPr>
                <w:r>
                  <w:t>其他</w:t>
                </w:r>
              </w:p>
            </w:tc>
          </w:sdtContent>
        </w:sdt>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1,656,478</w:t>
            </w:r>
          </w:p>
        </w:tc>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345,560</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0"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271,498</w:t>
            </w:r>
          </w:p>
        </w:tc>
        <w:tc>
          <w:tcPr>
            <w:tcW w:w="1541" w:type="dxa"/>
            <w:tcBorders>
              <w:top w:val="single" w:sz="4" w:space="0" w:color="auto"/>
              <w:left w:val="single" w:sz="4" w:space="0" w:color="auto"/>
              <w:bottom w:val="single" w:sz="4" w:space="0" w:color="auto"/>
              <w:right w:val="single" w:sz="4" w:space="0" w:color="auto"/>
            </w:tcBorders>
          </w:tcPr>
          <w:p>
            <w:pPr>
              <w:widowControl w:val="0"/>
              <w:jc w:val="right"/>
            </w:pPr>
            <w:r>
              <w:rPr>
                <w:rFonts w:hint="eastAsia"/>
              </w:rPr>
              <w:t>-</w:t>
            </w:r>
          </w:p>
        </w:tc>
        <w:tc>
          <w:tcPr>
            <w:tcW w:w="1541" w:type="dxa"/>
            <w:tcBorders>
              <w:top w:val="single" w:sz="4" w:space="0" w:color="auto"/>
              <w:left w:val="single" w:sz="4" w:space="0" w:color="auto"/>
              <w:bottom w:val="single" w:sz="4" w:space="0" w:color="auto"/>
              <w:right w:val="single" w:sz="4" w:space="0" w:color="auto"/>
            </w:tcBorders>
            <w:vAlign w:val="center"/>
          </w:tcPr>
          <w:p>
            <w:pPr>
              <w:widowControl w:val="0"/>
              <w:jc w:val="right"/>
            </w:pPr>
            <w:r>
              <w:rPr>
                <w:rFonts w:hint="eastAsia"/>
              </w:rPr>
              <w:t>1,730,540</w:t>
            </w:r>
          </w:p>
        </w:tc>
      </w:tr>
      <w:tr>
        <w:tc>
          <w:tcPr>
            <w:tcW w:w="1539" w:type="dxa"/>
            <w:shd w:val="clear" w:color="auto" w:fill="auto"/>
          </w:tcPr>
          <w:p>
            <w:pPr>
              <w:widowControl w:val="0"/>
              <w:jc w:val="center"/>
            </w:pPr>
            <w:r>
              <w:t>合计</w:t>
            </w:r>
          </w:p>
        </w:tc>
        <w:tc>
          <w:tcPr>
            <w:tcW w:w="1540" w:type="dxa"/>
            <w:shd w:val="clear" w:color="auto" w:fill="auto"/>
            <w:vAlign w:val="center"/>
          </w:tcPr>
          <w:p>
            <w:pPr>
              <w:widowControl w:val="0"/>
              <w:jc w:val="right"/>
            </w:pPr>
            <w:r>
              <w:t>1,727,590</w:t>
            </w:r>
          </w:p>
        </w:tc>
        <w:tc>
          <w:tcPr>
            <w:tcW w:w="1540" w:type="dxa"/>
            <w:shd w:val="clear" w:color="auto" w:fill="auto"/>
            <w:vAlign w:val="center"/>
          </w:tcPr>
          <w:p>
            <w:pPr>
              <w:widowControl w:val="0"/>
              <w:jc w:val="right"/>
            </w:pPr>
            <w:r>
              <w:t>345,796</w:t>
            </w:r>
          </w:p>
        </w:tc>
        <w:tc>
          <w:tcPr>
            <w:tcW w:w="1541" w:type="dxa"/>
            <w:shd w:val="clear" w:color="auto" w:fill="auto"/>
          </w:tcPr>
          <w:p>
            <w:pPr>
              <w:widowControl w:val="0"/>
              <w:jc w:val="right"/>
            </w:pPr>
            <w:r>
              <w:rPr>
                <w:rFonts w:hint="eastAsia"/>
              </w:rPr>
              <w:t>-</w:t>
            </w:r>
          </w:p>
        </w:tc>
        <w:tc>
          <w:tcPr>
            <w:tcW w:w="1540" w:type="dxa"/>
            <w:shd w:val="clear" w:color="auto" w:fill="auto"/>
          </w:tcPr>
          <w:p>
            <w:pPr>
              <w:widowControl w:val="0"/>
              <w:jc w:val="right"/>
            </w:pPr>
            <w:r>
              <w:rPr>
                <w:rFonts w:hint="eastAsia"/>
              </w:rPr>
              <w:t>-</w:t>
            </w:r>
          </w:p>
        </w:tc>
        <w:tc>
          <w:tcPr>
            <w:tcW w:w="1541" w:type="dxa"/>
            <w:shd w:val="clear" w:color="auto" w:fill="auto"/>
          </w:tcPr>
          <w:p>
            <w:pPr>
              <w:widowControl w:val="0"/>
              <w:jc w:val="right"/>
            </w:pPr>
            <w:r>
              <w:rPr>
                <w:rFonts w:hint="eastAsia"/>
              </w:rPr>
              <w:t>-</w:t>
            </w:r>
          </w:p>
        </w:tc>
        <w:tc>
          <w:tcPr>
            <w:tcW w:w="1540" w:type="dxa"/>
            <w:shd w:val="clear" w:color="auto" w:fill="auto"/>
            <w:vAlign w:val="center"/>
          </w:tcPr>
          <w:p>
            <w:pPr>
              <w:widowControl w:val="0"/>
              <w:jc w:val="right"/>
            </w:pPr>
            <w:r>
              <w:t>271,498</w:t>
            </w:r>
          </w:p>
        </w:tc>
        <w:tc>
          <w:tcPr>
            <w:tcW w:w="1541" w:type="dxa"/>
            <w:shd w:val="clear" w:color="auto" w:fill="auto"/>
          </w:tcPr>
          <w:p>
            <w:pPr>
              <w:widowControl w:val="0"/>
              <w:jc w:val="right"/>
            </w:pPr>
            <w:r>
              <w:rPr>
                <w:rFonts w:hint="eastAsia"/>
              </w:rPr>
              <w:t>-</w:t>
            </w:r>
          </w:p>
        </w:tc>
        <w:tc>
          <w:tcPr>
            <w:tcW w:w="1541" w:type="dxa"/>
            <w:shd w:val="clear" w:color="auto" w:fill="auto"/>
            <w:vAlign w:val="center"/>
          </w:tcPr>
          <w:p>
            <w:pPr>
              <w:widowControl w:val="0"/>
              <w:jc w:val="right"/>
            </w:pPr>
            <w:r>
              <w:t>1,801,887</w:t>
            </w:r>
          </w:p>
        </w:tc>
      </w:tr>
    </w:tbl>
    <w:p>
      <w:pPr>
        <w:rPr>
          <w:szCs w:val="21"/>
        </w:rPr>
      </w:pPr>
    </w:p>
    <w:p>
      <w:pPr>
        <w:rPr>
          <w:szCs w:val="21"/>
        </w:rPr>
      </w:pPr>
      <w:r>
        <w:rPr>
          <w:szCs w:val="21"/>
        </w:rPr>
        <w:br w:type="page"/>
      </w:r>
    </w:p>
    <w:p>
      <w:pPr>
        <w:rPr>
          <w:szCs w:val="21"/>
        </w:rPr>
      </w:pPr>
    </w:p>
    <w:bookmarkEnd w:id="99"/>
    <w:p>
      <w:pPr>
        <w:rPr>
          <w:szCs w:val="21"/>
        </w:rPr>
      </w:pPr>
      <w:r>
        <w:rPr>
          <w:rFonts w:hint="eastAsia"/>
          <w:szCs w:val="21"/>
        </w:rPr>
        <w:t>证券投资情况</w:t>
      </w:r>
    </w:p>
    <w:sdt>
      <w:sdtPr>
        <w:rPr>
          <w:szCs w:val="21"/>
        </w:rPr>
        <w:alias w:val="是否适用：证券投资情况[双击切换]"/>
        <w:tag w:val="_GBC_7d04680e71454924aa49897089c6ec88"/>
        <w:id w:val="123104312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11"/>
        <w:wordWrap w:val="0"/>
        <w:ind w:left="360" w:firstLineChars="0" w:firstLine="0"/>
        <w:jc w:val="right"/>
      </w:pPr>
      <w:r>
        <w:rPr>
          <w:rFonts w:hint="eastAsia"/>
        </w:rPr>
        <w:t>单位：</w:t>
      </w:r>
      <w:sdt>
        <w:sdtPr>
          <w:rPr>
            <w:rFonts w:hint="eastAsia"/>
          </w:rPr>
          <w:alias w:val="单位：证券投资情况"/>
          <w:tag w:val="_GBC_9030571ec97a42438b5264832c2a5326"/>
          <w:id w:val="144087098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w:t>
      </w:r>
      <w:r>
        <w:rPr>
          <w:rFonts w:hint="eastAsia"/>
        </w:rPr>
        <w:t>币种：</w:t>
      </w:r>
      <w:sdt>
        <w:sdtPr>
          <w:rPr>
            <w:rFonts w:hint="eastAsia"/>
          </w:rPr>
          <w:alias w:val="币种：证券投资情况"/>
          <w:tag w:val="_GBC_21a6e145782e410295a95d0cfa95a807"/>
          <w:id w:val="1831858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1068"/>
        <w:gridCol w:w="1068"/>
        <w:gridCol w:w="1068"/>
        <w:gridCol w:w="1067"/>
        <w:gridCol w:w="1067"/>
        <w:gridCol w:w="1065"/>
        <w:gridCol w:w="1067"/>
        <w:gridCol w:w="1067"/>
        <w:gridCol w:w="1067"/>
        <w:gridCol w:w="1067"/>
        <w:gridCol w:w="1067"/>
        <w:gridCol w:w="1059"/>
      </w:tblGrid>
      <w:tr>
        <w:bookmarkStart w:id="101" w:name="_Hlk40533881" w:displacedByCustomXml="next"/>
        <w:sdt>
          <w:sdtPr>
            <w:tag w:val="_PLD_a2aca594a908499a93ab70468f6a23b7"/>
            <w:id w:val="-295068307"/>
          </w:sdtPr>
          <w:sdtContent>
            <w:tc>
              <w:tcPr>
                <w:tcW w:w="384" w:type="pct"/>
                <w:shd w:val="clear" w:color="auto" w:fill="auto"/>
                <w:vAlign w:val="center"/>
              </w:tcPr>
              <w:p>
                <w:pPr>
                  <w:widowControl w:val="0"/>
                  <w:jc w:val="center"/>
                  <w:rPr>
                    <w:szCs w:val="21"/>
                  </w:rPr>
                </w:pPr>
                <w:r>
                  <w:rPr>
                    <w:rFonts w:hint="eastAsia"/>
                    <w:szCs w:val="21"/>
                  </w:rPr>
                  <w:t>证券品种</w:t>
                </w:r>
              </w:p>
            </w:tc>
          </w:sdtContent>
        </w:sdt>
        <w:sdt>
          <w:sdtPr>
            <w:tag w:val="_PLD_2a8a447db28f48a89b3e24843ac8c0b0"/>
            <w:id w:val="-1033113262"/>
          </w:sdtPr>
          <w:sdtContent>
            <w:tc>
              <w:tcPr>
                <w:tcW w:w="385" w:type="pct"/>
                <w:shd w:val="clear" w:color="auto" w:fill="auto"/>
                <w:vAlign w:val="center"/>
              </w:tcPr>
              <w:p>
                <w:pPr>
                  <w:widowControl w:val="0"/>
                  <w:jc w:val="center"/>
                  <w:rPr>
                    <w:szCs w:val="21"/>
                  </w:rPr>
                </w:pPr>
                <w:r>
                  <w:rPr>
                    <w:rFonts w:hint="eastAsia"/>
                    <w:szCs w:val="21"/>
                  </w:rPr>
                  <w:t>证券代码</w:t>
                </w:r>
              </w:p>
            </w:tc>
          </w:sdtContent>
        </w:sdt>
        <w:sdt>
          <w:sdtPr>
            <w:tag w:val="_PLD_b4b2dd48041247c08674576b86c9470b"/>
            <w:id w:val="1272522357"/>
          </w:sdtPr>
          <w:sdtContent>
            <w:tc>
              <w:tcPr>
                <w:tcW w:w="385" w:type="pct"/>
                <w:shd w:val="clear" w:color="auto" w:fill="auto"/>
                <w:vAlign w:val="center"/>
              </w:tcPr>
              <w:p>
                <w:pPr>
                  <w:widowControl w:val="0"/>
                  <w:tabs>
                    <w:tab w:val="left" w:pos="60"/>
                  </w:tabs>
                  <w:jc w:val="center"/>
                  <w:rPr>
                    <w:szCs w:val="21"/>
                  </w:rPr>
                </w:pPr>
                <w:r>
                  <w:rPr>
                    <w:rFonts w:hint="eastAsia"/>
                    <w:szCs w:val="21"/>
                  </w:rPr>
                  <w:t>证券简称</w:t>
                </w:r>
              </w:p>
            </w:tc>
          </w:sdtContent>
        </w:sdt>
        <w:sdt>
          <w:sdtPr>
            <w:tag w:val="_PLD_3c80e02ab5694d799cfd3d5d2ac9c797"/>
            <w:id w:val="-1384713764"/>
          </w:sdtPr>
          <w:sdtContent>
            <w:tc>
              <w:tcPr>
                <w:tcW w:w="385" w:type="pct"/>
                <w:shd w:val="clear" w:color="auto" w:fill="auto"/>
                <w:vAlign w:val="center"/>
              </w:tcPr>
              <w:p>
                <w:pPr>
                  <w:widowControl w:val="0"/>
                  <w:jc w:val="center"/>
                  <w:rPr>
                    <w:szCs w:val="21"/>
                  </w:rPr>
                </w:pPr>
                <w:r>
                  <w:rPr>
                    <w:rFonts w:hint="eastAsia"/>
                    <w:szCs w:val="21"/>
                  </w:rPr>
                  <w:t>最初投资成本</w:t>
                </w:r>
              </w:p>
            </w:tc>
          </w:sdtContent>
        </w:sdt>
        <w:sdt>
          <w:sdtPr>
            <w:tag w:val="_PLD_873ecdbb8a3343d6b6fcaa48e4cf64dc"/>
            <w:id w:val="-324272046"/>
          </w:sdtPr>
          <w:sdtContent>
            <w:tc>
              <w:tcPr>
                <w:tcW w:w="385" w:type="pct"/>
                <w:shd w:val="clear" w:color="auto" w:fill="auto"/>
                <w:vAlign w:val="center"/>
              </w:tcPr>
              <w:p>
                <w:pPr>
                  <w:widowControl w:val="0"/>
                  <w:jc w:val="center"/>
                  <w:rPr>
                    <w:szCs w:val="21"/>
                  </w:rPr>
                </w:pPr>
                <w:r>
                  <w:rPr>
                    <w:rFonts w:hint="eastAsia"/>
                    <w:szCs w:val="21"/>
                  </w:rPr>
                  <w:t>资金来源</w:t>
                </w:r>
              </w:p>
            </w:tc>
          </w:sdtContent>
        </w:sdt>
        <w:sdt>
          <w:sdtPr>
            <w:tag w:val="_PLD_b0de4dcfc59f4ead974d9d61a70ccc80"/>
            <w:id w:val="-1602947848"/>
          </w:sdtPr>
          <w:sdtContent>
            <w:tc>
              <w:tcPr>
                <w:tcW w:w="385" w:type="pct"/>
                <w:shd w:val="clear" w:color="auto" w:fill="auto"/>
                <w:vAlign w:val="center"/>
              </w:tcPr>
              <w:p>
                <w:pPr>
                  <w:widowControl w:val="0"/>
                  <w:jc w:val="center"/>
                  <w:rPr>
                    <w:szCs w:val="21"/>
                  </w:rPr>
                </w:pPr>
                <w:r>
                  <w:rPr>
                    <w:rFonts w:hint="eastAsia"/>
                    <w:szCs w:val="21"/>
                  </w:rPr>
                  <w:t>期初账面价值</w:t>
                </w:r>
              </w:p>
            </w:tc>
          </w:sdtContent>
        </w:sdt>
        <w:sdt>
          <w:sdtPr>
            <w:tag w:val="_PLD_ca5b1b460dec4af98a137b84d77794ce"/>
            <w:id w:val="1097903958"/>
          </w:sdtPr>
          <w:sdtContent>
            <w:tc>
              <w:tcPr>
                <w:tcW w:w="384" w:type="pct"/>
                <w:shd w:val="clear" w:color="auto" w:fill="auto"/>
                <w:vAlign w:val="center"/>
              </w:tcPr>
              <w:p>
                <w:pPr>
                  <w:widowControl w:val="0"/>
                  <w:jc w:val="center"/>
                  <w:rPr>
                    <w:szCs w:val="21"/>
                  </w:rPr>
                </w:pPr>
                <w:r>
                  <w:rPr>
                    <w:rFonts w:hint="eastAsia"/>
                    <w:szCs w:val="21"/>
                  </w:rPr>
                  <w:t>本期公允价值变动损益</w:t>
                </w:r>
              </w:p>
            </w:tc>
          </w:sdtContent>
        </w:sdt>
        <w:sdt>
          <w:sdtPr>
            <w:tag w:val="_PLD_cf51b58b5b4641d797351424d3c1ceeb"/>
            <w:id w:val="-958024550"/>
          </w:sdtPr>
          <w:sdtContent>
            <w:tc>
              <w:tcPr>
                <w:tcW w:w="385" w:type="pct"/>
                <w:shd w:val="clear" w:color="auto" w:fill="auto"/>
                <w:vAlign w:val="center"/>
              </w:tcPr>
              <w:p>
                <w:pPr>
                  <w:widowControl w:val="0"/>
                  <w:jc w:val="center"/>
                  <w:rPr>
                    <w:szCs w:val="21"/>
                  </w:rPr>
                </w:pPr>
                <w:r>
                  <w:rPr>
                    <w:rFonts w:hint="eastAsia"/>
                    <w:szCs w:val="21"/>
                  </w:rPr>
                  <w:t>计入权益的累计公允价值变动</w:t>
                </w:r>
              </w:p>
            </w:tc>
          </w:sdtContent>
        </w:sdt>
        <w:sdt>
          <w:sdtPr>
            <w:tag w:val="_PLD_fa8acb6152da45658a6e5987a179057d"/>
            <w:id w:val="-385721278"/>
          </w:sdtPr>
          <w:sdtContent>
            <w:tc>
              <w:tcPr>
                <w:tcW w:w="385" w:type="pct"/>
                <w:shd w:val="clear" w:color="auto" w:fill="auto"/>
                <w:vAlign w:val="center"/>
              </w:tcPr>
              <w:p>
                <w:pPr>
                  <w:widowControl w:val="0"/>
                  <w:jc w:val="center"/>
                  <w:rPr>
                    <w:szCs w:val="21"/>
                  </w:rPr>
                </w:pPr>
                <w:r>
                  <w:rPr>
                    <w:rFonts w:hint="eastAsia"/>
                    <w:szCs w:val="21"/>
                  </w:rPr>
                  <w:t>本期购买金额</w:t>
                </w:r>
              </w:p>
            </w:tc>
          </w:sdtContent>
        </w:sdt>
        <w:sdt>
          <w:sdtPr>
            <w:tag w:val="_PLD_6e2790d24c5846da999681b434e6731d"/>
            <w:id w:val="-1438290579"/>
          </w:sdtPr>
          <w:sdtContent>
            <w:tc>
              <w:tcPr>
                <w:tcW w:w="385" w:type="pct"/>
                <w:shd w:val="clear" w:color="auto" w:fill="auto"/>
                <w:vAlign w:val="center"/>
              </w:tcPr>
              <w:p>
                <w:pPr>
                  <w:widowControl w:val="0"/>
                  <w:jc w:val="center"/>
                  <w:rPr>
                    <w:szCs w:val="21"/>
                  </w:rPr>
                </w:pPr>
                <w:r>
                  <w:rPr>
                    <w:rFonts w:hint="eastAsia"/>
                    <w:szCs w:val="21"/>
                  </w:rPr>
                  <w:t>本期出售金额</w:t>
                </w:r>
              </w:p>
            </w:tc>
          </w:sdtContent>
        </w:sdt>
        <w:sdt>
          <w:sdtPr>
            <w:tag w:val="_PLD_b053cb2d8ab44a05be4e28df1b11bd04"/>
            <w:id w:val="1270735119"/>
          </w:sdtPr>
          <w:sdtContent>
            <w:tc>
              <w:tcPr>
                <w:tcW w:w="385" w:type="pct"/>
                <w:shd w:val="clear" w:color="auto" w:fill="auto"/>
                <w:vAlign w:val="center"/>
              </w:tcPr>
              <w:p>
                <w:pPr>
                  <w:widowControl w:val="0"/>
                  <w:jc w:val="center"/>
                  <w:rPr>
                    <w:szCs w:val="21"/>
                  </w:rPr>
                </w:pPr>
                <w:r>
                  <w:rPr>
                    <w:rFonts w:hint="eastAsia"/>
                    <w:szCs w:val="21"/>
                  </w:rPr>
                  <w:t>本期投资损益</w:t>
                </w:r>
              </w:p>
            </w:tc>
          </w:sdtContent>
        </w:sdt>
        <w:sdt>
          <w:sdtPr>
            <w:tag w:val="_PLD_dc3183c5ec5e48d491b77e65bd093780"/>
            <w:id w:val="1807201709"/>
          </w:sdtPr>
          <w:sdtContent>
            <w:tc>
              <w:tcPr>
                <w:tcW w:w="385" w:type="pct"/>
                <w:shd w:val="clear" w:color="auto" w:fill="auto"/>
                <w:vAlign w:val="center"/>
              </w:tcPr>
              <w:p>
                <w:pPr>
                  <w:widowControl w:val="0"/>
                  <w:jc w:val="center"/>
                  <w:rPr>
                    <w:szCs w:val="21"/>
                  </w:rPr>
                </w:pPr>
                <w:r>
                  <w:rPr>
                    <w:rFonts w:hint="eastAsia"/>
                    <w:szCs w:val="21"/>
                  </w:rPr>
                  <w:t>期末账面价值</w:t>
                </w:r>
              </w:p>
            </w:tc>
          </w:sdtContent>
        </w:sdt>
        <w:sdt>
          <w:sdtPr>
            <w:tag w:val="_PLD_953da3c8a977443ba41ba5b33c46abac"/>
            <w:id w:val="280466107"/>
          </w:sdtPr>
          <w:sdtContent>
            <w:tc>
              <w:tcPr>
                <w:tcW w:w="382" w:type="pct"/>
                <w:shd w:val="clear" w:color="auto" w:fill="auto"/>
                <w:vAlign w:val="center"/>
              </w:tcPr>
              <w:p>
                <w:pPr>
                  <w:widowControl w:val="0"/>
                  <w:jc w:val="center"/>
                  <w:rPr>
                    <w:szCs w:val="21"/>
                  </w:rPr>
                </w:pPr>
                <w:r>
                  <w:rPr>
                    <w:rFonts w:hint="eastAsia"/>
                    <w:szCs w:val="21"/>
                  </w:rPr>
                  <w:t>会计核算科目</w:t>
                </w:r>
              </w:p>
            </w:tc>
          </w:sdtContent>
        </w:sdt>
      </w:tr>
      <w:tr>
        <w:sdt>
          <w:sdtPr>
            <w:rPr>
              <w:szCs w:val="21"/>
            </w:rPr>
            <w:alias w:val="上市公司证券投资情况明细－证券品种"/>
            <w:tag w:val="_GBC_5869f90e2f4241cba6edaadfa74944d0"/>
            <w:id w:val="157593393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384" w:type="pct"/>
                <w:shd w:val="clear" w:color="auto" w:fill="auto"/>
                <w:vAlign w:val="center"/>
              </w:tcPr>
              <w:p>
                <w:pPr>
                  <w:widowControl w:val="0"/>
                  <w:jc w:val="both"/>
                  <w:rPr>
                    <w:szCs w:val="21"/>
                  </w:rPr>
                </w:pPr>
                <w:r>
                  <w:rPr>
                    <w:szCs w:val="21"/>
                  </w:rPr>
                  <w:t>股票</w:t>
                </w:r>
              </w:p>
            </w:tc>
          </w:sdtContent>
        </w:sdt>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601777</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力帆科技</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债务重组</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225</w:t>
            </w:r>
          </w:p>
        </w:tc>
        <w:tc>
          <w:tcPr>
            <w:tcW w:w="384"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255</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480</w:t>
            </w:r>
          </w:p>
        </w:tc>
        <w:sdt>
          <w:sdtPr>
            <w:rPr>
              <w:szCs w:val="21"/>
            </w:rPr>
            <w:alias w:val="上市公司证券投资情况明细－会计核算科目"/>
            <w:tag w:val="_GBC_76b2a58bd6904ac98cdb4e48af86b25a"/>
            <w:id w:val="-1488857646"/>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382" w:type="pct"/>
                <w:shd w:val="clear" w:color="auto" w:fill="auto"/>
                <w:vAlign w:val="center"/>
              </w:tcPr>
              <w:p>
                <w:pPr>
                  <w:widowControl w:val="0"/>
                  <w:jc w:val="both"/>
                  <w:rPr>
                    <w:szCs w:val="21"/>
                  </w:rPr>
                </w:pPr>
                <w:r>
                  <w:rPr>
                    <w:szCs w:val="21"/>
                  </w:rPr>
                  <w:t>交易性金融资产</w:t>
                </w:r>
              </w:p>
            </w:tc>
          </w:sdtContent>
        </w:sdt>
      </w:tr>
      <w:tr>
        <w:sdt>
          <w:sdtPr>
            <w:rPr>
              <w:szCs w:val="21"/>
            </w:rPr>
            <w:alias w:val="上市公司证券投资情况明细－证券品种"/>
            <w:tag w:val="_GBC_5869f90e2f4241cba6edaadfa74944d0"/>
            <w:id w:val="1432239859"/>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384" w:type="pct"/>
                <w:shd w:val="clear" w:color="auto" w:fill="auto"/>
                <w:vAlign w:val="center"/>
              </w:tcPr>
              <w:p>
                <w:pPr>
                  <w:widowControl w:val="0"/>
                  <w:jc w:val="both"/>
                  <w:rPr>
                    <w:szCs w:val="21"/>
                  </w:rPr>
                </w:pPr>
                <w:r>
                  <w:rPr>
                    <w:szCs w:val="21"/>
                  </w:rPr>
                  <w:t>股票</w:t>
                </w:r>
              </w:p>
            </w:tc>
          </w:sdtContent>
        </w:sdt>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601008</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连云港</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89</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货币资金</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366</w:t>
            </w:r>
          </w:p>
        </w:tc>
        <w:tc>
          <w:tcPr>
            <w:tcW w:w="384"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-20</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346</w:t>
            </w:r>
          </w:p>
        </w:tc>
        <w:sdt>
          <w:sdtPr>
            <w:rPr>
              <w:szCs w:val="21"/>
            </w:rPr>
            <w:alias w:val="上市公司证券投资情况明细－会计核算科目"/>
            <w:tag w:val="_GBC_76b2a58bd6904ac98cdb4e48af86b25a"/>
            <w:id w:val="1416440159"/>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382" w:type="pct"/>
                <w:shd w:val="clear" w:color="auto" w:fill="auto"/>
                <w:vAlign w:val="center"/>
              </w:tcPr>
              <w:p>
                <w:pPr>
                  <w:widowControl w:val="0"/>
                  <w:jc w:val="both"/>
                  <w:rPr>
                    <w:szCs w:val="21"/>
                  </w:rPr>
                </w:pPr>
                <w:r>
                  <w:rPr>
                    <w:szCs w:val="21"/>
                  </w:rPr>
                  <w:t>其他权益工具投资</w:t>
                </w:r>
              </w:p>
            </w:tc>
          </w:sdtContent>
        </w:sdt>
      </w:tr>
      <w:tr>
        <w:sdt>
          <w:sdtPr>
            <w:rPr>
              <w:szCs w:val="21"/>
            </w:rPr>
            <w:alias w:val="上市公司证券投资情况明细－证券品种"/>
            <w:tag w:val="_GBC_5869f90e2f4241cba6edaadfa74944d0"/>
            <w:id w:val="1655186180"/>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384" w:type="pct"/>
                <w:shd w:val="clear" w:color="auto" w:fill="auto"/>
                <w:vAlign w:val="center"/>
              </w:tcPr>
              <w:p>
                <w:pPr>
                  <w:widowControl w:val="0"/>
                  <w:jc w:val="both"/>
                  <w:rPr>
                    <w:szCs w:val="21"/>
                  </w:rPr>
                </w:pPr>
                <w:r>
                  <w:rPr>
                    <w:szCs w:val="21"/>
                  </w:rPr>
                  <w:t>信托产品</w:t>
                </w:r>
              </w:p>
            </w:tc>
          </w:sdtContent>
        </w:sdt>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建信信托</w:t>
            </w:r>
          </w:p>
          <w:p>
            <w:pPr>
              <w:rPr>
                <w:szCs w:val="21"/>
              </w:rPr>
            </w:pPr>
            <w:r>
              <w:rPr>
                <w:rFonts w:hint="eastAsia"/>
                <w:szCs w:val="21"/>
              </w:rPr>
              <w:t>-彩蝶6</w:t>
            </w:r>
          </w:p>
          <w:p>
            <w:pPr>
              <w:rPr>
                <w:szCs w:val="21"/>
              </w:rPr>
            </w:pPr>
            <w:r>
              <w:rPr>
                <w:rFonts w:hint="eastAsia"/>
                <w:szCs w:val="21"/>
              </w:rPr>
              <w:t>号财产权</w:t>
            </w:r>
          </w:p>
          <w:p>
            <w:pPr>
              <w:widowControl w:val="0"/>
              <w:rPr>
                <w:szCs w:val="21"/>
              </w:rPr>
            </w:pPr>
            <w:r>
              <w:rPr>
                <w:rFonts w:hint="eastAsia"/>
                <w:szCs w:val="21"/>
              </w:rPr>
              <w:t>信托计划</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43,731</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rPr>
                <w:szCs w:val="21"/>
              </w:rPr>
            </w:pPr>
            <w:r>
              <w:rPr>
                <w:rFonts w:hint="eastAsia"/>
                <w:szCs w:val="21"/>
              </w:rPr>
              <w:t>债务重组</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70,520</w:t>
            </w:r>
          </w:p>
        </w:tc>
        <w:tc>
          <w:tcPr>
            <w:tcW w:w="384"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1</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w:t>
            </w:r>
          </w:p>
        </w:tc>
        <w:tc>
          <w:tcPr>
            <w:tcW w:w="385" w:type="pct"/>
            <w:tcBorders>
              <w:top w:val="single" w:sz="4" w:space="0" w:color="auto"/>
              <w:left w:val="single" w:sz="4" w:space="0" w:color="auto"/>
              <w:bottom w:val="single" w:sz="4" w:space="0" w:color="auto"/>
              <w:right w:val="single" w:sz="4" w:space="0" w:color="auto"/>
            </w:tcBorders>
            <w:vAlign w:val="center"/>
          </w:tcPr>
          <w:p>
            <w:pPr>
              <w:widowControl w:val="0"/>
              <w:jc w:val="right"/>
              <w:rPr>
                <w:szCs w:val="21"/>
              </w:rPr>
            </w:pPr>
            <w:r>
              <w:rPr>
                <w:rFonts w:hint="eastAsia"/>
                <w:szCs w:val="21"/>
              </w:rPr>
              <w:t>70,521</w:t>
            </w:r>
          </w:p>
        </w:tc>
        <w:sdt>
          <w:sdtPr>
            <w:rPr>
              <w:szCs w:val="21"/>
            </w:rPr>
            <w:alias w:val="上市公司证券投资情况明细－会计核算科目"/>
            <w:tag w:val="_GBC_76b2a58bd6904ac98cdb4e48af86b25a"/>
            <w:id w:val="-1469515202"/>
            <w:comboBox>
              <w:listItem w:displayText="债权投资" w:value="债权投资"/>
              <w:listItem w:displayText="交易性金融资产" w:value="交易性金融资产"/>
              <w:listItem w:displayText="其他债权投资" w:value="其他债权投资"/>
              <w:listItem w:displayText="其他权益工具投资" w:value="其他权益工具投资"/>
              <w:listItem w:displayText="其他非流动金融资产" w:value="其他非流动金融资产"/>
              <w:listItem w:displayText="其他" w:value="其他"/>
            </w:comboBox>
          </w:sdtPr>
          <w:sdtContent>
            <w:tc>
              <w:tcPr>
                <w:tcW w:w="382" w:type="pct"/>
                <w:shd w:val="clear" w:color="auto" w:fill="auto"/>
                <w:vAlign w:val="center"/>
              </w:tcPr>
              <w:p>
                <w:pPr>
                  <w:widowControl w:val="0"/>
                  <w:jc w:val="both"/>
                  <w:rPr>
                    <w:szCs w:val="21"/>
                  </w:rPr>
                </w:pPr>
                <w:r>
                  <w:rPr>
                    <w:szCs w:val="21"/>
                  </w:rPr>
                  <w:t>其他权益工具投资</w:t>
                </w:r>
              </w:p>
            </w:tc>
          </w:sdtContent>
        </w:sdt>
      </w:tr>
      <w:tr>
        <w:tc>
          <w:tcPr>
            <w:tcW w:w="384" w:type="pct"/>
            <w:shd w:val="clear" w:color="auto" w:fill="auto"/>
          </w:tcPr>
          <w:p>
            <w:pPr>
              <w:widowControl w:val="0"/>
              <w:jc w:val="both"/>
              <w:rPr>
                <w:szCs w:val="21"/>
              </w:rPr>
            </w:pPr>
            <w:r>
              <w:rPr>
                <w:szCs w:val="21"/>
              </w:rPr>
              <w:t>合计</w:t>
            </w:r>
          </w:p>
        </w:tc>
        <w:tc>
          <w:tcPr>
            <w:tcW w:w="385" w:type="pct"/>
            <w:shd w:val="clear" w:color="auto" w:fill="auto"/>
          </w:tcPr>
          <w:p>
            <w:pPr>
              <w:widowControl w:val="0"/>
              <w:jc w:val="center"/>
              <w:rPr>
                <w:szCs w:val="21"/>
              </w:rPr>
            </w:pPr>
            <w:r>
              <w:rPr>
                <w:rFonts w:hint="eastAsia"/>
                <w:szCs w:val="21"/>
              </w:rPr>
              <w:t>/</w:t>
            </w:r>
          </w:p>
        </w:tc>
        <w:tc>
          <w:tcPr>
            <w:tcW w:w="385" w:type="pct"/>
            <w:shd w:val="clear" w:color="auto" w:fill="auto"/>
          </w:tcPr>
          <w:p>
            <w:pPr>
              <w:widowControl w:val="0"/>
              <w:jc w:val="center"/>
              <w:rPr>
                <w:szCs w:val="21"/>
              </w:rPr>
            </w:pPr>
            <w:r>
              <w:rPr>
                <w:rFonts w:hint="eastAsia"/>
                <w:szCs w:val="21"/>
              </w:rPr>
              <w:t>/</w:t>
            </w:r>
          </w:p>
        </w:tc>
        <w:tc>
          <w:tcPr>
            <w:tcW w:w="385" w:type="pct"/>
            <w:shd w:val="clear" w:color="auto" w:fill="auto"/>
          </w:tcPr>
          <w:p>
            <w:pPr>
              <w:widowControl w:val="0"/>
              <w:jc w:val="right"/>
              <w:rPr>
                <w:szCs w:val="21"/>
              </w:rPr>
            </w:pPr>
            <w:r>
              <w:rPr>
                <w:szCs w:val="21"/>
              </w:rPr>
              <w:t xml:space="preserve">43,820 </w:t>
            </w:r>
          </w:p>
        </w:tc>
        <w:tc>
          <w:tcPr>
            <w:tcW w:w="385" w:type="pct"/>
            <w:shd w:val="clear" w:color="auto" w:fill="auto"/>
          </w:tcPr>
          <w:p>
            <w:pPr>
              <w:widowControl w:val="0"/>
              <w:jc w:val="center"/>
              <w:rPr>
                <w:szCs w:val="21"/>
              </w:rPr>
            </w:pPr>
            <w:r>
              <w:rPr>
                <w:rFonts w:hint="eastAsia"/>
                <w:szCs w:val="21"/>
              </w:rPr>
              <w:t>/</w:t>
            </w:r>
          </w:p>
        </w:tc>
        <w:tc>
          <w:tcPr>
            <w:tcW w:w="385" w:type="pct"/>
            <w:shd w:val="clear" w:color="auto" w:fill="auto"/>
          </w:tcPr>
          <w:p>
            <w:pPr>
              <w:widowControl w:val="0"/>
              <w:jc w:val="right"/>
              <w:rPr>
                <w:szCs w:val="21"/>
              </w:rPr>
            </w:pPr>
            <w:r>
              <w:rPr>
                <w:szCs w:val="21"/>
              </w:rPr>
              <w:t xml:space="preserve">71,110 </w:t>
            </w:r>
          </w:p>
        </w:tc>
        <w:tc>
          <w:tcPr>
            <w:tcW w:w="384" w:type="pct"/>
            <w:shd w:val="clear" w:color="auto" w:fill="auto"/>
          </w:tcPr>
          <w:p>
            <w:pPr>
              <w:widowControl w:val="0"/>
              <w:jc w:val="right"/>
              <w:rPr>
                <w:szCs w:val="21"/>
              </w:rPr>
            </w:pPr>
            <w:r>
              <w:rPr>
                <w:szCs w:val="21"/>
              </w:rPr>
              <w:t xml:space="preserve">236 </w:t>
            </w:r>
          </w:p>
        </w:tc>
        <w:tc>
          <w:tcPr>
            <w:tcW w:w="385" w:type="pct"/>
            <w:shd w:val="clear" w:color="auto" w:fill="auto"/>
            <w:vAlign w:val="center"/>
          </w:tcPr>
          <w:p>
            <w:pPr>
              <w:widowControl w:val="0"/>
              <w:jc w:val="right"/>
              <w:rPr>
                <w:szCs w:val="21"/>
              </w:rPr>
            </w:pPr>
            <w:r>
              <w:rPr>
                <w:rFonts w:hint="eastAsia"/>
                <w:szCs w:val="21"/>
              </w:rPr>
              <w:t>-</w:t>
            </w:r>
          </w:p>
        </w:tc>
        <w:tc>
          <w:tcPr>
            <w:tcW w:w="385" w:type="pct"/>
            <w:shd w:val="clear" w:color="auto" w:fill="auto"/>
            <w:vAlign w:val="center"/>
          </w:tcPr>
          <w:p>
            <w:pPr>
              <w:widowControl w:val="0"/>
              <w:jc w:val="right"/>
              <w:rPr>
                <w:szCs w:val="21"/>
              </w:rPr>
            </w:pPr>
            <w:r>
              <w:rPr>
                <w:rFonts w:hint="eastAsia"/>
                <w:szCs w:val="21"/>
              </w:rPr>
              <w:t>-</w:t>
            </w:r>
          </w:p>
        </w:tc>
        <w:tc>
          <w:tcPr>
            <w:tcW w:w="385" w:type="pct"/>
            <w:shd w:val="clear" w:color="auto" w:fill="auto"/>
            <w:vAlign w:val="center"/>
          </w:tcPr>
          <w:p>
            <w:pPr>
              <w:widowControl w:val="0"/>
              <w:jc w:val="right"/>
              <w:rPr>
                <w:szCs w:val="21"/>
              </w:rPr>
            </w:pPr>
            <w:r>
              <w:rPr>
                <w:rFonts w:hint="eastAsia"/>
                <w:szCs w:val="21"/>
              </w:rPr>
              <w:t>-</w:t>
            </w:r>
          </w:p>
        </w:tc>
        <w:tc>
          <w:tcPr>
            <w:tcW w:w="385" w:type="pct"/>
            <w:shd w:val="clear" w:color="auto" w:fill="auto"/>
            <w:vAlign w:val="center"/>
          </w:tcPr>
          <w:p>
            <w:pPr>
              <w:widowControl w:val="0"/>
              <w:jc w:val="right"/>
              <w:rPr>
                <w:szCs w:val="21"/>
              </w:rPr>
            </w:pPr>
            <w:r>
              <w:rPr>
                <w:rFonts w:hint="eastAsia"/>
                <w:szCs w:val="21"/>
              </w:rPr>
              <w:t>-</w:t>
            </w:r>
          </w:p>
        </w:tc>
        <w:tc>
          <w:tcPr>
            <w:tcW w:w="385" w:type="pct"/>
            <w:shd w:val="clear" w:color="auto" w:fill="auto"/>
            <w:vAlign w:val="center"/>
          </w:tcPr>
          <w:p>
            <w:pPr>
              <w:widowControl w:val="0"/>
              <w:jc w:val="right"/>
              <w:rPr>
                <w:szCs w:val="21"/>
              </w:rPr>
            </w:pPr>
            <w:r>
              <w:rPr>
                <w:szCs w:val="21"/>
              </w:rPr>
              <w:t xml:space="preserve">71,347 </w:t>
            </w:r>
          </w:p>
        </w:tc>
        <w:tc>
          <w:tcPr>
            <w:tcW w:w="382" w:type="pct"/>
            <w:shd w:val="clear" w:color="auto" w:fill="auto"/>
          </w:tcPr>
          <w:p>
            <w:pPr>
              <w:widowControl w:val="0"/>
              <w:jc w:val="center"/>
              <w:rPr>
                <w:szCs w:val="21"/>
              </w:rPr>
            </w:pPr>
            <w:r>
              <w:rPr>
                <w:rFonts w:hint="eastAsia"/>
                <w:szCs w:val="21"/>
              </w:rPr>
              <w:t>/</w:t>
            </w:r>
          </w:p>
        </w:tc>
      </w:tr>
    </w:tbl>
    <w:p>
      <w:pPr>
        <w:rPr>
          <w:szCs w:val="21"/>
        </w:rPr>
      </w:pPr>
    </w:p>
    <w:p>
      <w:pPr>
        <w:pStyle w:val="affffffd"/>
      </w:pPr>
      <w:bookmarkStart w:id="102" w:name="_Hlk151135120"/>
      <w:bookmarkEnd w:id="101"/>
      <w:r>
        <w:rPr>
          <w:rFonts w:hint="eastAsia"/>
        </w:rPr>
        <w:t>证券投资情况的说明</w:t>
      </w:r>
    </w:p>
    <w:sdt>
      <w:sdtPr>
        <w:alias w:val="是否适用：证券投资情况的说明[双击切换]"/>
        <w:tag w:val="_GBC_846a2917c37545bbb004e11b14dfefbc"/>
        <w:id w:val="-2088601506"/>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rPr>
          <w:szCs w:val="21"/>
        </w:rPr>
      </w:pPr>
      <w:bookmarkStart w:id="103" w:name="_Hlk40534809"/>
      <w:bookmarkEnd w:id="102"/>
      <w:r>
        <w:rPr>
          <w:rFonts w:hint="eastAsia"/>
          <w:szCs w:val="21"/>
        </w:rPr>
        <w:t>私募基金投资情况</w:t>
      </w:r>
    </w:p>
    <w:sdt>
      <w:sdtPr>
        <w:rPr>
          <w:szCs w:val="21"/>
        </w:rPr>
        <w:alias w:val="是否适用：私募基金投资情况[双击切换]"/>
        <w:tag w:val="_GBC_6e916a873a4e4af3a90d6fc81d187ac8"/>
        <w:id w:val="-936913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103"/>
    <w:p>
      <w:pPr>
        <w:rPr>
          <w:szCs w:val="21"/>
        </w:rPr>
      </w:pPr>
      <w:r>
        <w:rPr>
          <w:rFonts w:hint="eastAsia"/>
          <w:szCs w:val="21"/>
        </w:rPr>
        <w:t>衍生品投资情况</w:t>
      </w:r>
    </w:p>
    <w:sdt>
      <w:sdtPr>
        <w:rPr>
          <w:rFonts w:hint="eastAsia"/>
          <w:szCs w:val="21"/>
        </w:rPr>
        <w:alias w:val="是否适用：衍生品投资情况  [双击切换]"/>
        <w:tag w:val="_GBC_0155f13d04cb48bc8f6a2a16edfe26b3"/>
        <w:id w:val="-29660627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04" w:name="_Hlk155617745" w:displacedByCustomXml="prev"/>
    <w:bookmarkStart w:id="105" w:name="_Hlk94111679" w:displacedByCustomXml="prev"/>
    <w:p>
      <w:pPr>
        <w:rPr>
          <w:szCs w:val="21"/>
        </w:rPr>
      </w:pPr>
    </w:p>
    <w:bookmarkEnd w:id="100"/>
    <w:bookmarkEnd w:id="104"/>
    <w:p>
      <w:pPr>
        <w:rPr>
          <w:szCs w:val="21"/>
        </w:rPr>
        <w:sectPr>
          <w:pgSz w:w="16838" w:h="11906" w:orient="landscape"/>
          <w:pgMar w:top="1797" w:right="1525" w:bottom="1276" w:left="1440" w:header="855" w:footer="992" w:gutter="0"/>
          <w:cols w:space="425"/>
          <w:docGrid w:linePitch="312"/>
        </w:sectPr>
      </w:pPr>
    </w:p>
    <w:p>
      <w:pPr>
        <w:pStyle w:val="4"/>
        <w:numPr>
          <w:ilvl w:val="0"/>
          <w:numId w:val="25"/>
        </w:numPr>
      </w:pPr>
      <w:r>
        <w:rPr>
          <w:rFonts w:hint="eastAsia"/>
        </w:rPr>
        <w:lastRenderedPageBreak/>
        <w:t>报告期内重大资产重组整合的具体进展情况</w:t>
      </w:r>
    </w:p>
    <w:sdt>
      <w:sdtPr>
        <w:alias w:val="是否适用：报告期内重大资产重组整合的具体进展情况[双击切换]"/>
        <w:tag w:val="_GBC_c52695d1957b4fa89b0b7326da1f5a10"/>
        <w:id w:val="-1446388992"/>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affffffd"/>
      </w:pPr>
    </w:p>
    <w:bookmarkEnd w:id="105"/>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重大资产和股权出售</w:t>
      </w:r>
    </w:p>
    <w:sdt>
      <w:sdtPr>
        <w:rPr>
          <w:rFonts w:hint="eastAsia"/>
          <w:szCs w:val="21"/>
        </w:rPr>
        <w:alias w:val="是否适用：重大资产和股权出售[双击切换]"/>
        <w:tag w:val="_GBC_949dc5a581604be69ba935fceadc4b1d"/>
        <w:id w:val="15381503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主要控股参股公司分析</w:t>
      </w:r>
    </w:p>
    <w:sdt>
      <w:sdtPr>
        <w:rPr>
          <w:rFonts w:hint="eastAsia"/>
          <w:szCs w:val="21"/>
        </w:rPr>
        <w:alias w:val="是否适用：主要控股参股公司分析[双击切换]"/>
        <w:tag w:val="_GBC_aec86f2481734c53a2a2b022c83d4449"/>
        <w:id w:val="-140575889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834962747"/>
        <w:placeholder>
          <w:docPart w:val="GBC22222222222222222222222222222"/>
        </w:placeholder>
      </w:sdtPr>
      <w:sdtContent>
        <w:p>
          <w:pPr>
            <w:ind w:firstLineChars="200" w:firstLine="420"/>
            <w:jc w:val="both"/>
            <w:rPr>
              <w:b/>
              <w:bCs/>
              <w:szCs w:val="21"/>
            </w:rPr>
          </w:pPr>
          <w:r>
            <w:rPr>
              <w:b/>
              <w:bCs/>
              <w:szCs w:val="21"/>
            </w:rPr>
            <w:t>1.主要控股公司</w:t>
          </w:r>
        </w:p>
        <w:p>
          <w:pPr>
            <w:ind w:firstLineChars="200" w:firstLine="420"/>
            <w:jc w:val="both"/>
            <w:rPr>
              <w:szCs w:val="21"/>
            </w:rPr>
          </w:pPr>
          <w:r>
            <w:rPr>
              <w:rFonts w:hint="eastAsia"/>
              <w:szCs w:val="21"/>
            </w:rPr>
            <w:t>（</w:t>
          </w:r>
          <w:r>
            <w:rPr>
              <w:szCs w:val="21"/>
            </w:rPr>
            <w:t>1）对本集团归属于上市公司净利润影响较大的控股公司请见下表：</w:t>
          </w:r>
        </w:p>
        <w:p>
          <w:pPr>
            <w:jc w:val="right"/>
            <w:rPr>
              <w:szCs w:val="21"/>
            </w:rPr>
          </w:pPr>
          <w:r>
            <w:rPr>
              <w:rFonts w:hint="eastAsia"/>
              <w:szCs w:val="21"/>
            </w:rPr>
            <w:t>单位：百万元</w:t>
          </w:r>
        </w:p>
        <w:tbl>
          <w:tblPr>
            <w:tblStyle w:val="g1011"/>
            <w:tblW w:w="8630" w:type="dxa"/>
            <w:jc w:val="center"/>
            <w:tblInd w:w="0" w:type="dxa"/>
            <w:tblLook w:val="04A0" w:firstRow="1" w:lastRow="0" w:firstColumn="1" w:lastColumn="0" w:noHBand="0" w:noVBand="1"/>
          </w:tblPr>
          <w:tblGrid>
            <w:gridCol w:w="1884"/>
            <w:gridCol w:w="1770"/>
            <w:gridCol w:w="1581"/>
            <w:gridCol w:w="1581"/>
            <w:gridCol w:w="1814"/>
          </w:tblGrid>
          <w:tr>
            <w:trPr>
              <w:trHeight w:val="289"/>
              <w:jc w:val="center"/>
            </w:trPr>
            <w:tc>
              <w:tcPr>
                <w:tcW w:w="1884" w:type="dxa"/>
                <w:vMerge w:val="restart"/>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公司名称</w:t>
                </w:r>
              </w:p>
            </w:tc>
            <w:tc>
              <w:tcPr>
                <w:tcW w:w="1770" w:type="dxa"/>
                <w:vMerge w:val="restart"/>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注册资本</w:t>
                </w:r>
              </w:p>
            </w:tc>
            <w:tc>
              <w:tcPr>
                <w:tcW w:w="3162" w:type="dxa"/>
                <w:gridSpan w:val="2"/>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202</w:t>
                </w:r>
                <w:r>
                  <w:rPr>
                    <w:rFonts w:cs="Times New Roman"/>
                    <w:szCs w:val="28"/>
                  </w:rPr>
                  <w:t>4</w:t>
                </w:r>
                <w:r>
                  <w:rPr>
                    <w:rFonts w:cs="Times New Roman" w:hint="eastAsia"/>
                    <w:szCs w:val="28"/>
                  </w:rPr>
                  <w:t>年12月31日</w:t>
                </w:r>
              </w:p>
            </w:tc>
            <w:tc>
              <w:tcPr>
                <w:tcW w:w="1814" w:type="dxa"/>
                <w:vMerge w:val="restart"/>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202</w:t>
                </w:r>
                <w:r>
                  <w:rPr>
                    <w:rFonts w:cs="Times New Roman"/>
                    <w:szCs w:val="28"/>
                  </w:rPr>
                  <w:t>4</w:t>
                </w:r>
                <w:r>
                  <w:rPr>
                    <w:rFonts w:cs="Times New Roman" w:hint="eastAsia"/>
                    <w:szCs w:val="28"/>
                  </w:rPr>
                  <w:t>年净利润</w:t>
                </w:r>
              </w:p>
            </w:tc>
          </w:tr>
          <w:tr>
            <w:trPr>
              <w:trHeight w:val="28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cs="Times New Roman"/>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cs="Times New Roman"/>
                    <w:szCs w:val="28"/>
                  </w:rPr>
                </w:pPr>
              </w:p>
            </w:tc>
            <w:tc>
              <w:tcPr>
                <w:tcW w:w="1581"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总资产</w:t>
                </w:r>
              </w:p>
            </w:tc>
            <w:tc>
              <w:tcPr>
                <w:tcW w:w="1581" w:type="dxa"/>
                <w:tcBorders>
                  <w:top w:val="single" w:sz="4" w:space="0" w:color="auto"/>
                  <w:left w:val="single" w:sz="4" w:space="0" w:color="auto"/>
                  <w:bottom w:val="single" w:sz="4" w:space="0" w:color="auto"/>
                  <w:right w:val="single" w:sz="4" w:space="0" w:color="auto"/>
                </w:tcBorders>
                <w:vAlign w:val="center"/>
                <w:hideMark/>
              </w:tcPr>
              <w:p>
                <w:pPr>
                  <w:autoSpaceDE w:val="0"/>
                  <w:autoSpaceDN w:val="0"/>
                  <w:adjustRightInd w:val="0"/>
                  <w:jc w:val="center"/>
                  <w:rPr>
                    <w:rFonts w:cs="Times New Roman"/>
                    <w:szCs w:val="28"/>
                  </w:rPr>
                </w:pPr>
                <w:r>
                  <w:rPr>
                    <w:rFonts w:cs="Times New Roman" w:hint="eastAsia"/>
                    <w:szCs w:val="28"/>
                  </w:rPr>
                  <w:t>净资产</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rFonts w:cs="Times New Roman"/>
                    <w:szCs w:val="28"/>
                  </w:rPr>
                </w:pPr>
              </w:p>
            </w:tc>
          </w:tr>
          <w:tr>
            <w:trPr>
              <w:trHeight w:val="289"/>
              <w:jc w:val="center"/>
            </w:trPr>
            <w:tc>
              <w:tcPr>
                <w:tcW w:w="18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cs="Times New Roman"/>
                    <w:szCs w:val="21"/>
                  </w:rPr>
                </w:pPr>
                <w:r>
                  <w:rPr>
                    <w:rFonts w:cs="Times New Roman" w:hint="eastAsia"/>
                    <w:szCs w:val="21"/>
                  </w:rPr>
                  <w:t>鲁西矿业</w:t>
                </w:r>
              </w:p>
            </w:tc>
            <w:tc>
              <w:tcPr>
                <w:tcW w:w="177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1"/>
                  </w:rPr>
                </w:pPr>
                <w:r>
                  <w:rPr>
                    <w:rFonts w:cs="Times New Roman"/>
                    <w:szCs w:val="21"/>
                  </w:rPr>
                  <w:t>5,000</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44,440 </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9,937 </w:t>
                </w:r>
              </w:p>
            </w:tc>
            <w:tc>
              <w:tcPr>
                <w:tcW w:w="181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2,993  </w:t>
                </w:r>
              </w:p>
            </w:tc>
          </w:tr>
          <w:tr>
            <w:trPr>
              <w:trHeight w:val="289"/>
              <w:jc w:val="center"/>
            </w:trPr>
            <w:tc>
              <w:tcPr>
                <w:tcW w:w="18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cs="Times New Roman"/>
                    <w:szCs w:val="21"/>
                  </w:rPr>
                </w:pPr>
                <w:r>
                  <w:rPr>
                    <w:rFonts w:cs="Times New Roman" w:hint="eastAsia"/>
                    <w:szCs w:val="21"/>
                  </w:rPr>
                  <w:t>未来能源</w:t>
                </w:r>
              </w:p>
            </w:tc>
            <w:tc>
              <w:tcPr>
                <w:tcW w:w="177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1"/>
                  </w:rPr>
                </w:pPr>
                <w:r>
                  <w:rPr>
                    <w:rFonts w:cs="Times New Roman"/>
                    <w:szCs w:val="21"/>
                  </w:rPr>
                  <w:t>5,400</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32,464 </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27,299 </w:t>
                </w:r>
              </w:p>
            </w:tc>
            <w:tc>
              <w:tcPr>
                <w:tcW w:w="181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5,179 </w:t>
                </w:r>
              </w:p>
            </w:tc>
          </w:tr>
          <w:tr>
            <w:trPr>
              <w:trHeight w:val="289"/>
              <w:jc w:val="center"/>
            </w:trPr>
            <w:tc>
              <w:tcPr>
                <w:tcW w:w="18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imes New Roman" w:hAnsi="Times New Roman" w:cs="Times New Roman"/>
                    <w:szCs w:val="28"/>
                  </w:rPr>
                </w:pPr>
                <w:r>
                  <w:rPr>
                    <w:rFonts w:ascii="Times New Roman" w:hAnsi="Times New Roman" w:cs="Times New Roman" w:hint="eastAsia"/>
                    <w:szCs w:val="28"/>
                  </w:rPr>
                  <w:t>鄂尔多斯公司</w:t>
                </w:r>
              </w:p>
            </w:tc>
            <w:tc>
              <w:tcPr>
                <w:tcW w:w="177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10,800</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24,235 </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12,245 </w:t>
                </w:r>
              </w:p>
            </w:tc>
            <w:tc>
              <w:tcPr>
                <w:tcW w:w="181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2,287 </w:t>
                </w:r>
              </w:p>
            </w:tc>
          </w:tr>
          <w:tr>
            <w:trPr>
              <w:trHeight w:val="289"/>
              <w:jc w:val="center"/>
            </w:trPr>
            <w:tc>
              <w:tcPr>
                <w:tcW w:w="188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rFonts w:ascii="Times New Roman" w:hAnsi="Times New Roman" w:cs="Times New Roman"/>
                    <w:szCs w:val="28"/>
                  </w:rPr>
                </w:pPr>
                <w:r>
                  <w:rPr>
                    <w:rFonts w:ascii="Times New Roman" w:hAnsi="Times New Roman" w:cs="Times New Roman" w:hint="eastAsia"/>
                    <w:szCs w:val="28"/>
                  </w:rPr>
                  <w:t>兖煤澳洲</w:t>
                </w:r>
              </w:p>
            </w:tc>
            <w:tc>
              <w:tcPr>
                <w:tcW w:w="1770"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6,027百万澳元</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55,495 </w:t>
                </w:r>
              </w:p>
            </w:tc>
            <w:tc>
              <w:tcPr>
                <w:tcW w:w="1581"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41,988 </w:t>
                </w:r>
              </w:p>
            </w:tc>
            <w:tc>
              <w:tcPr>
                <w:tcW w:w="1814" w:type="dxa"/>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rFonts w:cs="Times New Roman"/>
                    <w:szCs w:val="28"/>
                  </w:rPr>
                </w:pPr>
                <w:r>
                  <w:rPr>
                    <w:rFonts w:cs="Times New Roman"/>
                    <w:szCs w:val="28"/>
                  </w:rPr>
                  <w:t xml:space="preserve">5,690 </w:t>
                </w:r>
              </w:p>
            </w:tc>
          </w:tr>
        </w:tbl>
        <w:p>
          <w:pPr>
            <w:ind w:firstLineChars="200" w:firstLine="420"/>
            <w:jc w:val="both"/>
            <w:rPr>
              <w:szCs w:val="21"/>
            </w:rPr>
          </w:pPr>
          <w:r>
            <w:rPr>
              <w:rFonts w:hint="eastAsia"/>
              <w:szCs w:val="21"/>
            </w:rPr>
            <w:t>注：本集团主要控股子公司的主要业务、主要财务指标等相关资料请见按中国会计准则编制的财务报表附注“在其他主体中的权益—在子公司中的权益”。</w:t>
          </w:r>
        </w:p>
        <w:p>
          <w:pPr>
            <w:ind w:firstLineChars="200" w:firstLine="420"/>
            <w:jc w:val="both"/>
            <w:rPr>
              <w:szCs w:val="21"/>
            </w:rPr>
          </w:pPr>
        </w:p>
        <w:p>
          <w:pPr>
            <w:ind w:firstLineChars="200" w:firstLine="420"/>
            <w:jc w:val="both"/>
            <w:rPr>
              <w:szCs w:val="21"/>
            </w:rPr>
          </w:pPr>
          <w:r>
            <w:rPr>
              <w:rFonts w:hint="eastAsia"/>
              <w:szCs w:val="21"/>
            </w:rPr>
            <w:t>（</w:t>
          </w:r>
          <w:r>
            <w:rPr>
              <w:szCs w:val="21"/>
            </w:rPr>
            <w:t>2）本年度经营业绩同比出现大幅波动的主要控股公司如下：</w:t>
          </w:r>
        </w:p>
        <w:p>
          <w:pPr>
            <w:ind w:firstLineChars="200" w:firstLine="422"/>
            <w:jc w:val="both"/>
            <w:rPr>
              <w:b/>
              <w:bCs/>
              <w:szCs w:val="21"/>
            </w:rPr>
          </w:pPr>
        </w:p>
        <w:p>
          <w:pPr>
            <w:ind w:firstLineChars="200" w:firstLine="422"/>
            <w:jc w:val="both"/>
            <w:rPr>
              <w:b/>
              <w:bCs/>
              <w:szCs w:val="21"/>
            </w:rPr>
          </w:pPr>
          <w:r>
            <w:rPr>
              <w:rFonts w:hint="eastAsia"/>
              <w:b/>
              <w:bCs/>
              <w:szCs w:val="21"/>
            </w:rPr>
            <w:t xml:space="preserve">菏泽能化 </w:t>
          </w:r>
        </w:p>
        <w:p>
          <w:pPr>
            <w:ind w:firstLineChars="200" w:firstLine="420"/>
            <w:jc w:val="both"/>
            <w:rPr>
              <w:szCs w:val="21"/>
            </w:rPr>
          </w:pPr>
          <w:r>
            <w:rPr>
              <w:szCs w:val="21"/>
            </w:rPr>
            <w:t>2024年</w:t>
          </w:r>
          <w:r>
            <w:rPr>
              <w:rFonts w:hint="eastAsia"/>
              <w:szCs w:val="21"/>
            </w:rPr>
            <w:t>菏泽能化</w:t>
          </w:r>
          <w:r>
            <w:rPr>
              <w:szCs w:val="21"/>
            </w:rPr>
            <w:t>实现净</w:t>
          </w:r>
          <w:r>
            <w:rPr>
              <w:rFonts w:hint="eastAsia"/>
              <w:szCs w:val="21"/>
            </w:rPr>
            <w:t>亏损</w:t>
          </w:r>
          <w:r>
            <w:rPr>
              <w:szCs w:val="21"/>
            </w:rPr>
            <w:t>0.41亿元,同比</w:t>
          </w:r>
          <w:r>
            <w:rPr>
              <w:rFonts w:hint="eastAsia"/>
              <w:szCs w:val="21"/>
            </w:rPr>
            <w:t>减少</w:t>
          </w:r>
          <w:r>
            <w:rPr>
              <w:szCs w:val="21"/>
            </w:rPr>
            <w:t>12.14亿元</w:t>
          </w:r>
          <w:r>
            <w:rPr>
              <w:rFonts w:hint="eastAsia"/>
              <w:szCs w:val="21"/>
            </w:rPr>
            <w:t>或1</w:t>
          </w:r>
          <w:r>
            <w:rPr>
              <w:szCs w:val="21"/>
            </w:rPr>
            <w:t>03.5%，主要是由于：</w:t>
          </w:r>
          <w:r>
            <w:rPr>
              <w:rFonts w:hint="eastAsia"/>
              <w:szCs w:val="21"/>
            </w:rPr>
            <w:t>商品煤销量同比减少以及</w:t>
          </w:r>
          <w:r>
            <w:rPr>
              <w:szCs w:val="21"/>
            </w:rPr>
            <w:t>煤炭</w:t>
          </w:r>
          <w:r>
            <w:rPr>
              <w:rFonts w:hint="eastAsia"/>
              <w:szCs w:val="21"/>
            </w:rPr>
            <w:t>产品销售价格同比下降。</w:t>
          </w:r>
        </w:p>
        <w:p>
          <w:pPr>
            <w:ind w:firstLineChars="200" w:firstLine="420"/>
            <w:jc w:val="both"/>
            <w:rPr>
              <w:szCs w:val="21"/>
            </w:rPr>
          </w:pPr>
        </w:p>
        <w:p>
          <w:pPr>
            <w:ind w:firstLineChars="200" w:firstLine="422"/>
            <w:jc w:val="both"/>
            <w:rPr>
              <w:b/>
              <w:bCs/>
              <w:szCs w:val="21"/>
            </w:rPr>
          </w:pPr>
          <w:r>
            <w:rPr>
              <w:rFonts w:hint="eastAsia"/>
              <w:b/>
              <w:bCs/>
              <w:szCs w:val="21"/>
            </w:rPr>
            <w:t xml:space="preserve">鄂尔多斯公司 </w:t>
          </w:r>
        </w:p>
        <w:p>
          <w:pPr>
            <w:ind w:firstLineChars="200" w:firstLine="420"/>
            <w:jc w:val="both"/>
            <w:rPr>
              <w:szCs w:val="21"/>
            </w:rPr>
          </w:pPr>
          <w:r>
            <w:rPr>
              <w:szCs w:val="21"/>
            </w:rPr>
            <w:t>2024年</w:t>
          </w:r>
          <w:r>
            <w:rPr>
              <w:rFonts w:hint="eastAsia"/>
              <w:szCs w:val="21"/>
            </w:rPr>
            <w:t>鄂尔多斯公司</w:t>
          </w:r>
          <w:r>
            <w:rPr>
              <w:szCs w:val="21"/>
            </w:rPr>
            <w:t>实现净</w:t>
          </w:r>
          <w:r>
            <w:rPr>
              <w:rFonts w:hint="eastAsia"/>
              <w:szCs w:val="21"/>
            </w:rPr>
            <w:t>利润</w:t>
          </w:r>
          <w:r>
            <w:rPr>
              <w:szCs w:val="21"/>
            </w:rPr>
            <w:t>22.87亿元,</w:t>
          </w:r>
          <w:r>
            <w:rPr>
              <w:rFonts w:hint="eastAsia"/>
              <w:szCs w:val="21"/>
            </w:rPr>
            <w:t>同比增加1</w:t>
          </w:r>
          <w:r>
            <w:rPr>
              <w:szCs w:val="21"/>
            </w:rPr>
            <w:t>1.49</w:t>
          </w:r>
          <w:r>
            <w:rPr>
              <w:rFonts w:hint="eastAsia"/>
              <w:szCs w:val="21"/>
            </w:rPr>
            <w:t>亿元</w:t>
          </w:r>
          <w:r>
            <w:rPr>
              <w:szCs w:val="21"/>
            </w:rPr>
            <w:t>或100.9%，主要是由于：</w:t>
          </w:r>
          <w:r>
            <w:rPr>
              <w:rFonts w:hint="eastAsia"/>
              <w:szCs w:val="21"/>
            </w:rPr>
            <w:t>商品煤销量同比增加。</w:t>
          </w:r>
        </w:p>
        <w:p>
          <w:pPr>
            <w:ind w:firstLineChars="200" w:firstLine="420"/>
            <w:jc w:val="both"/>
            <w:rPr>
              <w:szCs w:val="21"/>
            </w:rPr>
          </w:pPr>
        </w:p>
        <w:p>
          <w:pPr>
            <w:ind w:firstLineChars="200" w:firstLine="422"/>
            <w:jc w:val="both"/>
            <w:rPr>
              <w:b/>
              <w:bCs/>
              <w:szCs w:val="21"/>
            </w:rPr>
          </w:pPr>
          <w:r>
            <w:rPr>
              <w:rFonts w:hint="eastAsia"/>
              <w:b/>
              <w:bCs/>
              <w:szCs w:val="21"/>
            </w:rPr>
            <w:t xml:space="preserve">内蒙古矿业 </w:t>
          </w:r>
        </w:p>
        <w:p>
          <w:pPr>
            <w:ind w:firstLineChars="200" w:firstLine="420"/>
            <w:jc w:val="both"/>
            <w:rPr>
              <w:szCs w:val="21"/>
            </w:rPr>
          </w:pPr>
          <w:r>
            <w:rPr>
              <w:szCs w:val="21"/>
            </w:rPr>
            <w:t>2024年</w:t>
          </w:r>
          <w:r>
            <w:rPr>
              <w:rFonts w:hint="eastAsia"/>
              <w:szCs w:val="21"/>
            </w:rPr>
            <w:t>内蒙古矿业</w:t>
          </w:r>
          <w:r>
            <w:rPr>
              <w:szCs w:val="21"/>
            </w:rPr>
            <w:t>实现净利润2.09亿元,</w:t>
          </w:r>
          <w:r>
            <w:rPr>
              <w:rFonts w:hint="eastAsia"/>
              <w:szCs w:val="21"/>
            </w:rPr>
            <w:t>上年同期净亏损</w:t>
          </w:r>
          <w:r>
            <w:rPr>
              <w:szCs w:val="21"/>
            </w:rPr>
            <w:t>5.85亿元，主要是由于：</w:t>
          </w:r>
          <w:r>
            <w:rPr>
              <w:rFonts w:hint="eastAsia"/>
              <w:szCs w:val="21"/>
            </w:rPr>
            <w:t>商品煤销量同比增加。</w:t>
          </w:r>
        </w:p>
        <w:p>
          <w:pPr>
            <w:ind w:firstLineChars="200" w:firstLine="420"/>
            <w:jc w:val="both"/>
            <w:rPr>
              <w:szCs w:val="21"/>
            </w:rPr>
          </w:pPr>
        </w:p>
        <w:p>
          <w:pPr>
            <w:ind w:firstLineChars="200" w:firstLine="422"/>
            <w:jc w:val="both"/>
            <w:rPr>
              <w:b/>
              <w:bCs/>
              <w:szCs w:val="21"/>
            </w:rPr>
          </w:pPr>
          <w:r>
            <w:rPr>
              <w:rFonts w:hint="eastAsia"/>
              <w:b/>
              <w:bCs/>
              <w:szCs w:val="21"/>
            </w:rPr>
            <w:t>兖煤澳洲</w:t>
          </w:r>
        </w:p>
        <w:p>
          <w:pPr>
            <w:ind w:firstLineChars="200" w:firstLine="420"/>
            <w:jc w:val="both"/>
            <w:rPr>
              <w:szCs w:val="21"/>
            </w:rPr>
          </w:pPr>
          <w:r>
            <w:rPr>
              <w:szCs w:val="21"/>
            </w:rPr>
            <w:t>2024年</w:t>
          </w:r>
          <w:r>
            <w:rPr>
              <w:rFonts w:hint="eastAsia"/>
              <w:szCs w:val="21"/>
            </w:rPr>
            <w:t>兖煤澳洲</w:t>
          </w:r>
          <w:r>
            <w:rPr>
              <w:szCs w:val="21"/>
            </w:rPr>
            <w:t>实现净利润56.90亿元,同比</w:t>
          </w:r>
          <w:r>
            <w:rPr>
              <w:rFonts w:hint="eastAsia"/>
              <w:szCs w:val="21"/>
            </w:rPr>
            <w:t>减少</w:t>
          </w:r>
          <w:r>
            <w:rPr>
              <w:szCs w:val="21"/>
            </w:rPr>
            <w:t>30.07亿或34.6%，主要是由于：煤炭产品</w:t>
          </w:r>
          <w:r>
            <w:rPr>
              <w:rFonts w:hint="eastAsia"/>
              <w:szCs w:val="21"/>
            </w:rPr>
            <w:t>销售价格同比下降。</w:t>
          </w:r>
        </w:p>
        <w:p>
          <w:pPr>
            <w:ind w:firstLineChars="200" w:firstLine="420"/>
            <w:jc w:val="both"/>
            <w:rPr>
              <w:szCs w:val="21"/>
            </w:rPr>
          </w:pPr>
        </w:p>
        <w:p>
          <w:pPr>
            <w:ind w:firstLineChars="200" w:firstLine="422"/>
            <w:jc w:val="both"/>
            <w:rPr>
              <w:b/>
              <w:bCs/>
              <w:szCs w:val="21"/>
            </w:rPr>
          </w:pPr>
          <w:r>
            <w:rPr>
              <w:b/>
              <w:bCs/>
              <w:szCs w:val="21"/>
            </w:rPr>
            <w:t>2.主要参股公司</w:t>
          </w:r>
        </w:p>
        <w:p>
          <w:pPr>
            <w:ind w:firstLineChars="200" w:firstLine="420"/>
            <w:jc w:val="both"/>
            <w:rPr>
              <w:szCs w:val="21"/>
            </w:rPr>
          </w:pPr>
          <w:r>
            <w:rPr>
              <w:rFonts w:hint="eastAsia"/>
              <w:szCs w:val="21"/>
            </w:rPr>
            <w:t>本集团主要参股公司的主要业务、主要财务指标等相关资料请见按中国会计准则编制的财务报表附注“在其他主体中的权益—在合营企业或联营企业中的权益”。</w:t>
          </w:r>
        </w:p>
        <w:p>
          <w:pPr>
            <w:rPr>
              <w:szCs w:val="21"/>
            </w:rPr>
          </w:pPr>
        </w:p>
      </w:sdtContent>
    </w:sdt>
    <w:p>
      <w:pPr>
        <w:rPr>
          <w:szCs w:val="21"/>
        </w:rPr>
      </w:pPr>
    </w:p>
    <w:p>
      <w:pPr>
        <w:keepNext/>
        <w:keepLines/>
        <w:widowControl w:val="0"/>
        <w:numPr>
          <w:ilvl w:val="0"/>
          <w:numId w:val="7"/>
        </w:numPr>
        <w:spacing w:before="60" w:after="60"/>
        <w:ind w:left="369" w:hangingChars="175" w:hanging="369"/>
        <w:jc w:val="both"/>
        <w:outlineLvl w:val="2"/>
        <w:rPr>
          <w:rFonts w:cs="Times New Roman"/>
          <w:b/>
          <w:bCs/>
          <w:kern w:val="2"/>
          <w:szCs w:val="21"/>
        </w:rPr>
      </w:pPr>
      <w:r>
        <w:rPr>
          <w:rFonts w:cs="Times New Roman" w:hint="eastAsia"/>
          <w:b/>
          <w:bCs/>
          <w:kern w:val="2"/>
          <w:szCs w:val="21"/>
        </w:rPr>
        <w:t>公司控制的结构化主体情况</w:t>
      </w:r>
    </w:p>
    <w:sdt>
      <w:sdtPr>
        <w:rPr>
          <w:rFonts w:hint="eastAsia"/>
          <w:szCs w:val="21"/>
        </w:rPr>
        <w:alias w:val="是否适用：公司控制的结构化主体情况[双击切换]"/>
        <w:tag w:val="_GBC_844e5a5ece8c488e933f7fbfd0650339"/>
        <w:id w:val="-191298810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2"/>
        <w:numPr>
          <w:ilvl w:val="0"/>
          <w:numId w:val="11"/>
        </w:numPr>
        <w:ind w:left="369" w:hangingChars="175" w:hanging="369"/>
      </w:pPr>
      <w:r>
        <w:rPr>
          <w:rFonts w:hint="eastAsia"/>
        </w:rPr>
        <w:lastRenderedPageBreak/>
        <w:t>公司关于公司未来发展的讨论与分析</w:t>
      </w:r>
    </w:p>
    <w:p>
      <w:pPr>
        <w:pStyle w:val="3"/>
        <w:numPr>
          <w:ilvl w:val="3"/>
          <w:numId w:val="13"/>
        </w:numPr>
        <w:rPr>
          <w:szCs w:val="21"/>
        </w:rPr>
      </w:pPr>
      <w:r>
        <w:rPr>
          <w:szCs w:val="21"/>
        </w:rPr>
        <w:t>行业格局和趋势</w:t>
      </w:r>
    </w:p>
    <w:sdt>
      <w:sdtPr>
        <w:rPr>
          <w:rFonts w:hint="eastAsia"/>
          <w:szCs w:val="21"/>
        </w:rPr>
        <w:alias w:val="是否适用：行业格局和趋势[双击切换]"/>
        <w:tag w:val="_GBC_da53e2a4423f4116b5d03ba76b630af9"/>
        <w:id w:val="-91477932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48199170"/>
        <w:placeholder>
          <w:docPart w:val="GBC22222222222222222222222222222"/>
        </w:placeholder>
      </w:sdtPr>
      <w:sdtContent>
        <w:p>
          <w:pPr>
            <w:ind w:firstLineChars="200" w:firstLine="420"/>
            <w:rPr>
              <w:szCs w:val="21"/>
            </w:rPr>
          </w:pPr>
          <w:r>
            <w:rPr>
              <w:rFonts w:hint="eastAsia"/>
              <w:szCs w:val="21"/>
            </w:rPr>
            <w:t>有关行业竞争格局和趋势详情请见本年报“第三节</w:t>
          </w:r>
          <w:r>
            <w:rPr>
              <w:szCs w:val="21"/>
            </w:rPr>
            <w:t xml:space="preserve"> 董事长报告书”的相关内容</w:t>
          </w:r>
          <w:r>
            <w:rPr>
              <w:rFonts w:hint="eastAsia"/>
              <w:szCs w:val="21"/>
            </w:rPr>
            <w:t>。</w:t>
          </w:r>
        </w:p>
      </w:sdtContent>
    </w:sdt>
    <w:p>
      <w:pPr>
        <w:rPr>
          <w:szCs w:val="21"/>
        </w:rPr>
      </w:pPr>
    </w:p>
    <w:p>
      <w:pPr>
        <w:pStyle w:val="3"/>
        <w:numPr>
          <w:ilvl w:val="3"/>
          <w:numId w:val="13"/>
        </w:numPr>
        <w:rPr>
          <w:szCs w:val="21"/>
        </w:rPr>
      </w:pPr>
      <w:r>
        <w:rPr>
          <w:szCs w:val="21"/>
        </w:rPr>
        <w:t>公司发展战略</w:t>
      </w:r>
    </w:p>
    <w:sdt>
      <w:sdtPr>
        <w:rPr>
          <w:rFonts w:hint="eastAsia"/>
          <w:szCs w:val="21"/>
        </w:rPr>
        <w:alias w:val="是否适用：公司发展战略[双击切换]"/>
        <w:tag w:val="_GBC_5cdf4718a6044c1fbf76e22df729f9b7"/>
        <w:id w:val="-195015135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06" w:name="_Hlk192772892" w:displacedByCustomXml="next"/>
    <w:sdt>
      <w:sdtPr>
        <w:rPr>
          <w:rFonts w:hint="eastAsia"/>
          <w:szCs w:val="21"/>
        </w:rPr>
        <w:alias w:val="公司发展战略"/>
        <w:tag w:val="_GBC_afe9ed534944441fae5223f90c2521f1"/>
        <w:id w:val="-919858917"/>
        <w:placeholder>
          <w:docPart w:val="GBC22222222222222222222222222222"/>
        </w:placeholder>
      </w:sdtPr>
      <w:sdtContent>
        <w:p>
          <w:pPr>
            <w:ind w:firstLineChars="200" w:firstLine="420"/>
            <w:jc w:val="both"/>
            <w:rPr>
              <w:szCs w:val="21"/>
            </w:rPr>
          </w:pPr>
          <w:r>
            <w:rPr>
              <w:rFonts w:hint="eastAsia"/>
              <w:szCs w:val="21"/>
            </w:rPr>
            <w:t>全球能源格局发生深刻变化，公司顺应能源发展趋势，全面审视未来发展，于</w:t>
          </w:r>
          <w:r>
            <w:rPr>
              <w:szCs w:val="21"/>
            </w:rPr>
            <w:t>2021年12月1日第八届董事会第十八次会议审议通过《发展战略纲要》，对“双碳”目标下的低碳转型路径，</w:t>
          </w:r>
          <w:r>
            <w:rPr>
              <w:rFonts w:hint="eastAsia"/>
              <w:szCs w:val="21"/>
            </w:rPr>
            <w:t>以及未来</w:t>
          </w:r>
          <w:r>
            <w:rPr>
              <w:szCs w:val="21"/>
            </w:rPr>
            <w:t>5-10年产业布局做出纲领性规划，明确建设国际一流、可持续发展的清洁能源引领示范</w:t>
          </w:r>
          <w:r>
            <w:rPr>
              <w:rFonts w:hint="eastAsia"/>
              <w:szCs w:val="21"/>
            </w:rPr>
            <w:t>企业的企业愿景，规划发展矿业、高端化工新材料、新能源、高端装备制造、智慧物流“五大主导产业”，全力打造新技术、新产业、新业态、新模式，加快向高质高效、绿色低碳的新型能源集团转变。公司主要产业发展定位及目标为：</w:t>
          </w:r>
        </w:p>
        <w:p>
          <w:pPr>
            <w:ind w:firstLineChars="200" w:firstLine="420"/>
            <w:jc w:val="both"/>
            <w:rPr>
              <w:szCs w:val="21"/>
            </w:rPr>
          </w:pPr>
          <w:r>
            <w:rPr>
              <w:szCs w:val="21"/>
            </w:rPr>
            <w:t>1.矿业：智能高效，做优做强。煤炭产量规模达到3亿吨/年，建成8座以上千万吨级绿色智</w:t>
          </w:r>
          <w:r>
            <w:rPr>
              <w:rFonts w:hint="eastAsia"/>
              <w:szCs w:val="21"/>
            </w:rPr>
            <w:t>能矿山。在现有多种非煤矿产资产的基础上，拓展钼、金、铜、铁、钾等矿产领域，实现由单一煤炭开采向多矿种开发转型。</w:t>
          </w:r>
        </w:p>
        <w:p>
          <w:pPr>
            <w:ind w:firstLineChars="200" w:firstLine="420"/>
            <w:jc w:val="both"/>
            <w:rPr>
              <w:szCs w:val="21"/>
            </w:rPr>
          </w:pPr>
          <w:r>
            <w:rPr>
              <w:szCs w:val="21"/>
            </w:rPr>
            <w:t>2.高端化工新材料产业：延链强链，价值提升。按照高端绿色低碳发展方向，延伸现有化工</w:t>
          </w:r>
          <w:r>
            <w:rPr>
              <w:rFonts w:hint="eastAsia"/>
              <w:szCs w:val="21"/>
            </w:rPr>
            <w:t>产业链，建设化工新材料研发生产基地。化工品年产能</w:t>
          </w:r>
          <w:r>
            <w:rPr>
              <w:szCs w:val="21"/>
            </w:rPr>
            <w:t>2,000万吨以上，其中化工新材料和高端</w:t>
          </w:r>
          <w:r>
            <w:rPr>
              <w:rFonts w:hint="eastAsia"/>
              <w:szCs w:val="21"/>
            </w:rPr>
            <w:t>化工品占比超过</w:t>
          </w:r>
          <w:r>
            <w:rPr>
              <w:szCs w:val="21"/>
            </w:rPr>
            <w:t>70%。</w:t>
          </w:r>
        </w:p>
        <w:p>
          <w:pPr>
            <w:ind w:firstLineChars="200" w:firstLine="420"/>
            <w:jc w:val="both"/>
            <w:rPr>
              <w:szCs w:val="21"/>
            </w:rPr>
          </w:pPr>
          <w:r>
            <w:rPr>
              <w:szCs w:val="21"/>
            </w:rPr>
            <w:t>3.新能源产业：战略优先，加快发展。推进风电、光伏及配套储能等新能源产业项目开发建</w:t>
          </w:r>
          <w:r>
            <w:rPr>
              <w:rFonts w:hint="eastAsia"/>
              <w:szCs w:val="21"/>
            </w:rPr>
            <w:t>设，新能源发电装机规模达到</w:t>
          </w:r>
          <w:r>
            <w:rPr>
              <w:szCs w:val="21"/>
            </w:rPr>
            <w:t>1,000万千瓦以上。</w:t>
          </w:r>
        </w:p>
        <w:p>
          <w:pPr>
            <w:ind w:firstLineChars="200" w:firstLine="420"/>
            <w:jc w:val="both"/>
            <w:rPr>
              <w:szCs w:val="21"/>
            </w:rPr>
          </w:pPr>
          <w:r>
            <w:rPr>
              <w:szCs w:val="21"/>
            </w:rPr>
            <w:t>4.高端装备制造产业：重点突破，专精特新。在现有装备制造产业基础上，专注发展高端煤</w:t>
          </w:r>
          <w:r>
            <w:rPr>
              <w:rFonts w:hint="eastAsia"/>
              <w:szCs w:val="21"/>
            </w:rPr>
            <w:t>机制造等传统优势产品，拓展风机等新能源装备制造，培育中高端系列产品。</w:t>
          </w:r>
        </w:p>
        <w:p>
          <w:pPr>
            <w:ind w:firstLineChars="200" w:firstLine="420"/>
            <w:jc w:val="both"/>
            <w:rPr>
              <w:szCs w:val="21"/>
            </w:rPr>
          </w:pPr>
          <w:r>
            <w:rPr>
              <w:szCs w:val="21"/>
            </w:rPr>
            <w:t>5.智慧物流产业：数字驱动，协同增效。统筹产品、用户、第三方服务商，构建智慧化物流</w:t>
          </w:r>
          <w:r>
            <w:rPr>
              <w:rFonts w:hint="eastAsia"/>
              <w:szCs w:val="21"/>
            </w:rPr>
            <w:t>体系。</w:t>
          </w:r>
        </w:p>
        <w:p>
          <w:pPr>
            <w:ind w:firstLineChars="200" w:firstLine="420"/>
            <w:jc w:val="both"/>
            <w:rPr>
              <w:szCs w:val="21"/>
            </w:rPr>
          </w:pPr>
          <w:r>
            <w:rPr>
              <w:rFonts w:hint="eastAsia"/>
              <w:szCs w:val="21"/>
            </w:rPr>
            <w:t>有关本集团发展战略详情请见日期为</w:t>
          </w:r>
          <w:r>
            <w:rPr>
              <w:szCs w:val="21"/>
            </w:rPr>
            <w:t>2021年12月15日的公司董事会决议公告，该等资料</w:t>
          </w:r>
          <w:r>
            <w:rPr>
              <w:rFonts w:hint="eastAsia"/>
              <w:szCs w:val="21"/>
            </w:rPr>
            <w:t>载于上交所网站、香港联交所网站、公司网站及</w:t>
          </w:r>
          <w:r>
            <w:rPr>
              <w:szCs w:val="21"/>
            </w:rPr>
            <w:t>/或《中国证券报》《上海证券报》《证</w:t>
          </w:r>
          <w:r>
            <w:rPr>
              <w:rFonts w:hint="eastAsia"/>
              <w:szCs w:val="21"/>
            </w:rPr>
            <w:t>券时报》《证券日报》。</w:t>
          </w:r>
          <w:r>
            <w:rPr>
              <w:szCs w:val="21"/>
            </w:rPr>
            <w:t>2024年发展战略规划进展情况详情请见本年报“第三节 董事长报告书”</w:t>
          </w:r>
          <w:r>
            <w:rPr>
              <w:rFonts w:hint="eastAsia"/>
              <w:szCs w:val="21"/>
            </w:rPr>
            <w:t>相关内容。</w:t>
          </w:r>
          <w:r>
            <w:rPr>
              <w:szCs w:val="21"/>
            </w:rPr>
            <w:cr/>
          </w:r>
        </w:p>
      </w:sdtContent>
    </w:sdt>
    <w:bookmarkEnd w:id="106" w:displacedByCustomXml="prev"/>
    <w:p>
      <w:pPr>
        <w:rPr>
          <w:szCs w:val="21"/>
        </w:rPr>
      </w:pPr>
    </w:p>
    <w:p>
      <w:pPr>
        <w:pStyle w:val="3"/>
        <w:numPr>
          <w:ilvl w:val="3"/>
          <w:numId w:val="13"/>
        </w:numPr>
        <w:rPr>
          <w:szCs w:val="21"/>
        </w:rPr>
      </w:pPr>
      <w:r>
        <w:rPr>
          <w:szCs w:val="21"/>
        </w:rPr>
        <w:t>经营计划</w:t>
      </w:r>
    </w:p>
    <w:sdt>
      <w:sdtPr>
        <w:rPr>
          <w:rFonts w:hint="eastAsia"/>
          <w:szCs w:val="21"/>
        </w:rPr>
        <w:alias w:val="是否适用：经营计划[双击切换]"/>
        <w:tag w:val="_GBC_871dbf3fc5a0422cadcc3452003278de"/>
        <w:id w:val="-175241465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964569389"/>
        <w:placeholder>
          <w:docPart w:val="GBC22222222222222222222222222222"/>
        </w:placeholder>
      </w:sdtPr>
      <w:sdtContent>
        <w:p>
          <w:pPr>
            <w:ind w:firstLineChars="200" w:firstLine="420"/>
            <w:rPr>
              <w:szCs w:val="21"/>
            </w:rPr>
          </w:pPr>
          <w:r>
            <w:rPr>
              <w:rFonts w:hint="eastAsia"/>
              <w:szCs w:val="21"/>
            </w:rPr>
            <w:t>有关本集团经营计划详情请见本年报“第三节</w:t>
          </w:r>
          <w:r>
            <w:rPr>
              <w:szCs w:val="21"/>
            </w:rPr>
            <w:t xml:space="preserve"> 董事长报告书”相关内容。</w:t>
          </w:r>
        </w:p>
        <w:p>
          <w:pPr>
            <w:ind w:firstLineChars="200" w:firstLine="420"/>
            <w:rPr>
              <w:szCs w:val="21"/>
            </w:rPr>
          </w:pPr>
          <w:r>
            <w:rPr>
              <w:rFonts w:hint="eastAsia"/>
              <w:szCs w:val="21"/>
            </w:rPr>
            <w:t>相关经营计划不构成公司对投资者的业绩承诺，请投资者保持足够的风险意识，并且理解经营计划和业绩承诺之间的差异。</w:t>
          </w:r>
        </w:p>
      </w:sdtContent>
    </w:sdt>
    <w:p>
      <w:pPr>
        <w:rPr>
          <w:szCs w:val="21"/>
        </w:rPr>
      </w:pPr>
      <w:r>
        <w:rPr>
          <w:szCs w:val="21"/>
        </w:rPr>
        <w:br w:type="page"/>
      </w:r>
    </w:p>
    <w:p>
      <w:pPr>
        <w:rPr>
          <w:szCs w:val="21"/>
        </w:rPr>
      </w:pPr>
    </w:p>
    <w:p>
      <w:pPr>
        <w:pStyle w:val="3"/>
        <w:numPr>
          <w:ilvl w:val="3"/>
          <w:numId w:val="13"/>
        </w:numPr>
        <w:rPr>
          <w:szCs w:val="21"/>
        </w:rPr>
      </w:pPr>
      <w:r>
        <w:rPr>
          <w:szCs w:val="21"/>
        </w:rPr>
        <w:t>资本开支计划</w:t>
      </w:r>
    </w:p>
    <w:p>
      <w:pPr>
        <w:widowControl w:val="0"/>
        <w:autoSpaceDE w:val="0"/>
        <w:autoSpaceDN w:val="0"/>
        <w:adjustRightInd w:val="0"/>
        <w:ind w:firstLineChars="200" w:firstLine="420"/>
        <w:jc w:val="both"/>
        <w:rPr>
          <w:rFonts w:cs="Times New Roman"/>
          <w:kern w:val="2"/>
          <w:szCs w:val="28"/>
          <w:u w:val="single"/>
        </w:rPr>
      </w:pPr>
      <w:r>
        <w:rPr>
          <w:rFonts w:cs="Times New Roman" w:hint="eastAsia"/>
          <w:kern w:val="2"/>
          <w:szCs w:val="28"/>
        </w:rPr>
        <w:t>预计202</w:t>
      </w:r>
      <w:r>
        <w:rPr>
          <w:rFonts w:cs="Times New Roman"/>
          <w:kern w:val="2"/>
          <w:szCs w:val="28"/>
        </w:rPr>
        <w:t>5</w:t>
      </w:r>
      <w:r>
        <w:rPr>
          <w:rFonts w:cs="Times New Roman" w:hint="eastAsia"/>
          <w:kern w:val="2"/>
          <w:szCs w:val="28"/>
        </w:rPr>
        <w:t>年本集团资本性支出为</w:t>
      </w:r>
      <w:r>
        <w:rPr>
          <w:rFonts w:cs="Times New Roman"/>
          <w:kern w:val="2"/>
          <w:szCs w:val="28"/>
        </w:rPr>
        <w:t>195.45</w:t>
      </w:r>
      <w:r>
        <w:rPr>
          <w:rFonts w:cs="Times New Roman" w:hint="eastAsia"/>
          <w:kern w:val="2"/>
          <w:szCs w:val="28"/>
        </w:rPr>
        <w:t>亿元，资金来源主要是本集团自有资金、银行贷款和发行债券等。</w:t>
      </w:r>
    </w:p>
    <w:p>
      <w:pPr>
        <w:widowControl w:val="0"/>
        <w:autoSpaceDE w:val="0"/>
        <w:autoSpaceDN w:val="0"/>
        <w:adjustRightInd w:val="0"/>
        <w:ind w:firstLineChars="200" w:firstLine="420"/>
        <w:jc w:val="both"/>
        <w:rPr>
          <w:rFonts w:cs="Times New Roman"/>
          <w:kern w:val="2"/>
          <w:szCs w:val="28"/>
        </w:rPr>
      </w:pPr>
      <w:r>
        <w:rPr>
          <w:rFonts w:cs="Times New Roman" w:hint="eastAsia"/>
          <w:kern w:val="2"/>
          <w:szCs w:val="28"/>
        </w:rPr>
        <w:t>本集团202</w:t>
      </w:r>
      <w:r>
        <w:rPr>
          <w:rFonts w:cs="Times New Roman"/>
          <w:kern w:val="2"/>
          <w:szCs w:val="28"/>
        </w:rPr>
        <w:t>4</w:t>
      </w:r>
      <w:r>
        <w:rPr>
          <w:rFonts w:cs="Times New Roman" w:hint="eastAsia"/>
          <w:kern w:val="2"/>
          <w:szCs w:val="28"/>
        </w:rPr>
        <w:t>年及预计202</w:t>
      </w:r>
      <w:r>
        <w:rPr>
          <w:rFonts w:cs="Times New Roman"/>
          <w:kern w:val="2"/>
          <w:szCs w:val="28"/>
        </w:rPr>
        <w:t>5</w:t>
      </w:r>
      <w:r>
        <w:rPr>
          <w:rFonts w:cs="Times New Roman" w:hint="eastAsia"/>
          <w:kern w:val="2"/>
          <w:szCs w:val="28"/>
        </w:rPr>
        <w:t>年资本性支出情况(依照经营主体划分)如下表：</w:t>
      </w:r>
    </w:p>
    <w:p>
      <w:pPr>
        <w:widowControl w:val="0"/>
        <w:autoSpaceDE w:val="0"/>
        <w:autoSpaceDN w:val="0"/>
        <w:adjustRightInd w:val="0"/>
        <w:ind w:rightChars="300" w:right="630"/>
        <w:jc w:val="right"/>
        <w:rPr>
          <w:rFonts w:cs="Times New Roman"/>
          <w:kern w:val="2"/>
          <w:szCs w:val="28"/>
        </w:rPr>
      </w:pPr>
      <w:r>
        <w:rPr>
          <w:rFonts w:cs="Times New Roman" w:hint="eastAsia"/>
          <w:kern w:val="2"/>
          <w:szCs w:val="28"/>
        </w:rPr>
        <w:t>单位：亿元</w:t>
      </w:r>
    </w:p>
    <w:tbl>
      <w:tblPr>
        <w:tblStyle w:val="g102"/>
        <w:tblW w:w="906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9"/>
        <w:gridCol w:w="1470"/>
        <w:gridCol w:w="1556"/>
        <w:gridCol w:w="4152"/>
      </w:tblGrid>
      <w:tr>
        <w:trPr>
          <w:trHeight w:val="260"/>
          <w:jc w:val="center"/>
        </w:trPr>
        <w:tc>
          <w:tcPr>
            <w:tcW w:w="1889"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8"/>
              </w:rPr>
            </w:pPr>
            <w:bookmarkStart w:id="107" w:name="_Hlk157065060"/>
          </w:p>
        </w:tc>
        <w:tc>
          <w:tcPr>
            <w:tcW w:w="1470"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ind w:firstLine="124"/>
              <w:jc w:val="both"/>
              <w:rPr>
                <w:rFonts w:cs="Calibri"/>
                <w:b/>
                <w:bCs/>
                <w:szCs w:val="28"/>
              </w:rPr>
            </w:pPr>
            <w:r>
              <w:rPr>
                <w:rFonts w:cs="Calibri" w:hint="eastAsia"/>
                <w:b/>
                <w:bCs/>
                <w:szCs w:val="28"/>
              </w:rPr>
              <w:t>202</w:t>
            </w:r>
            <w:r>
              <w:rPr>
                <w:rFonts w:cs="Calibri"/>
                <w:b/>
                <w:bCs/>
                <w:szCs w:val="28"/>
              </w:rPr>
              <w:t>5</w:t>
            </w:r>
            <w:r>
              <w:rPr>
                <w:rFonts w:cs="Calibri" w:hint="eastAsia"/>
                <w:b/>
                <w:bCs/>
                <w:szCs w:val="28"/>
              </w:rPr>
              <w:t>年计划</w:t>
            </w:r>
          </w:p>
        </w:tc>
        <w:tc>
          <w:tcPr>
            <w:tcW w:w="1556"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center"/>
              <w:rPr>
                <w:rFonts w:cs="Calibri"/>
                <w:b/>
                <w:bCs/>
                <w:szCs w:val="28"/>
              </w:rPr>
            </w:pPr>
            <w:r>
              <w:rPr>
                <w:rFonts w:cs="Calibri" w:hint="eastAsia"/>
                <w:b/>
                <w:bCs/>
                <w:szCs w:val="28"/>
              </w:rPr>
              <w:t>202</w:t>
            </w:r>
            <w:r>
              <w:rPr>
                <w:rFonts w:cs="Calibri"/>
                <w:b/>
                <w:bCs/>
                <w:szCs w:val="28"/>
              </w:rPr>
              <w:t>4</w:t>
            </w:r>
            <w:r>
              <w:rPr>
                <w:rFonts w:cs="Calibri" w:hint="eastAsia"/>
                <w:b/>
                <w:bCs/>
                <w:szCs w:val="28"/>
              </w:rPr>
              <w:t>年</w:t>
            </w:r>
          </w:p>
        </w:tc>
        <w:tc>
          <w:tcPr>
            <w:tcW w:w="4152"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center"/>
              <w:rPr>
                <w:rFonts w:cs="Calibri"/>
                <w:b/>
                <w:bCs/>
                <w:szCs w:val="28"/>
              </w:rPr>
            </w:pPr>
            <w:r>
              <w:rPr>
                <w:rFonts w:cs="Calibri" w:hint="eastAsia"/>
                <w:b/>
                <w:bCs/>
                <w:szCs w:val="28"/>
              </w:rPr>
              <w:t>主要项目</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8"/>
              </w:rPr>
            </w:pPr>
            <w:r>
              <w:rPr>
                <w:rFonts w:cs="Calibri" w:hint="eastAsia"/>
                <w:szCs w:val="28"/>
              </w:rPr>
              <w:t>公司</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8"/>
                <w:u w:val="single"/>
              </w:rPr>
            </w:pPr>
            <w:r>
              <w:rPr>
                <w:rFonts w:hint="eastAsia"/>
              </w:rPr>
              <w:t xml:space="preserve">36.62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60.55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8"/>
              </w:rPr>
            </w:pPr>
            <w:r>
              <w:rPr>
                <w:rFonts w:cs="Calibri" w:hint="eastAsia"/>
                <w:szCs w:val="28"/>
              </w:rPr>
              <w:t>矿井装备升级、数据中心建设、以及维简、安全等投入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东华重工</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1.31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0.65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机械制造业务投入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8"/>
              </w:rPr>
            </w:pPr>
            <w:r>
              <w:rPr>
                <w:rFonts w:cs="Calibri" w:hint="eastAsia"/>
                <w:szCs w:val="28"/>
              </w:rPr>
              <w:t>兖矿物流科技有限公司</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8"/>
                <w:u w:val="single"/>
              </w:rPr>
            </w:pPr>
            <w:r>
              <w:rPr>
                <w:rFonts w:hint="eastAsia"/>
              </w:rPr>
              <w:t xml:space="preserve">5.35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2.90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8"/>
              </w:rPr>
            </w:pPr>
            <w:r>
              <w:rPr>
                <w:rFonts w:cs="Calibri" w:hint="eastAsia"/>
                <w:szCs w:val="28"/>
              </w:rPr>
              <w:t>铁路线项目等投入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菏泽能化</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11.66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8.29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万福煤矿建设项目等投入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鲁西矿业</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11.74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21.52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矿井装备升级、配套设施建设、维简、安全等投入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8"/>
              </w:rPr>
            </w:pPr>
            <w:r>
              <w:rPr>
                <w:rFonts w:cs="Calibri" w:hint="eastAsia"/>
                <w:szCs w:val="28"/>
              </w:rPr>
              <w:t>鲁南化工</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11.18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3.61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己内酰胺及配套项目、聚甲醛项目等投入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未来能源</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8.36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4.30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煤矿配套设施以及高温费托制化学品相关项目等投入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鄂尔多斯公司</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20.05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10.61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甲醇制烯烃项目、矿井改造升级等投入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昊盛煤业</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0.91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1.17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矿井煤层开采等投入</w:t>
            </w:r>
          </w:p>
        </w:tc>
      </w:tr>
      <w:tr>
        <w:trPr>
          <w:trHeight w:val="2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1"/>
              </w:rPr>
              <w:t>内蒙古矿业</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9.54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2.55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8"/>
              </w:rPr>
            </w:pPr>
            <w:r>
              <w:rPr>
                <w:rFonts w:cs="Calibri" w:hint="eastAsia"/>
                <w:szCs w:val="28"/>
              </w:rPr>
              <w:t>矿权前期工作等投入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8"/>
              </w:rPr>
            </w:pPr>
            <w:r>
              <w:rPr>
                <w:rFonts w:cs="Calibri" w:hint="eastAsia"/>
                <w:szCs w:val="28"/>
              </w:rPr>
              <w:t>新疆能化</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8"/>
                <w:u w:val="single"/>
              </w:rPr>
            </w:pPr>
            <w:r>
              <w:rPr>
                <w:rFonts w:hint="eastAsia"/>
              </w:rPr>
              <w:t xml:space="preserve">31.37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19.23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8"/>
              </w:rPr>
            </w:pPr>
            <w:r>
              <w:rPr>
                <w:rFonts w:cs="Calibri" w:hint="eastAsia"/>
                <w:szCs w:val="28"/>
              </w:rPr>
              <w:t>五彩湾露天矿及配套设施建设、烯烃及三聚氰胺等化工项目建设等投入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8"/>
              </w:rPr>
            </w:pPr>
            <w:r>
              <w:rPr>
                <w:rFonts w:cs="Calibri" w:hint="eastAsia"/>
                <w:szCs w:val="28"/>
              </w:rPr>
              <w:t>兖煤澳洲</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35.54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26.44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维简、安全环保、勘探等投入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8"/>
              </w:rPr>
              <w:t>兖煤国际</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5.06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4.60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泰安港公铁水联运物流园项目及维简、安全环保等投入</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both"/>
              <w:rPr>
                <w:rFonts w:cs="Calibri"/>
                <w:szCs w:val="21"/>
              </w:rPr>
            </w:pPr>
            <w:r>
              <w:rPr>
                <w:rFonts w:cs="Calibri" w:hint="eastAsia"/>
                <w:szCs w:val="21"/>
              </w:rPr>
              <w:t>其他子公司</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r>
              <w:rPr>
                <w:rFonts w:hint="eastAsia"/>
              </w:rPr>
              <w:t xml:space="preserve">6.76 </w:t>
            </w:r>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7.18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w:t>
            </w:r>
          </w:p>
        </w:tc>
      </w:tr>
      <w:tr>
        <w:trPr>
          <w:trHeight w:val="290"/>
          <w:jc w:val="center"/>
        </w:trPr>
        <w:tc>
          <w:tcPr>
            <w:tcW w:w="1889" w:type="dxa"/>
            <w:tcBorders>
              <w:top w:val="single" w:sz="4" w:space="0" w:color="auto"/>
              <w:left w:val="single" w:sz="4" w:space="0" w:color="auto"/>
              <w:bottom w:val="single" w:sz="4" w:space="0" w:color="auto"/>
              <w:right w:val="single" w:sz="4" w:space="0" w:color="auto"/>
            </w:tcBorders>
            <w:vAlign w:val="center"/>
            <w:hideMark/>
          </w:tcPr>
          <w:p>
            <w:pPr>
              <w:widowControl w:val="0"/>
              <w:autoSpaceDE w:val="0"/>
              <w:autoSpaceDN w:val="0"/>
              <w:adjustRightInd w:val="0"/>
              <w:jc w:val="center"/>
              <w:rPr>
                <w:rFonts w:cs="Calibri"/>
                <w:szCs w:val="21"/>
                <w:u w:val="single"/>
              </w:rPr>
            </w:pPr>
            <w:r>
              <w:rPr>
                <w:rFonts w:cs="Calibri" w:hint="eastAsia"/>
                <w:szCs w:val="21"/>
              </w:rPr>
              <w:t>合计</w:t>
            </w:r>
          </w:p>
        </w:tc>
        <w:tc>
          <w:tcPr>
            <w:tcW w:w="1470"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right"/>
              <w:rPr>
                <w:rFonts w:cs="Calibri"/>
                <w:szCs w:val="21"/>
                <w:u w:val="single"/>
              </w:rPr>
            </w:pPr>
            <w:bookmarkStart w:id="108" w:name="_Hlk193626436"/>
            <w:r>
              <w:rPr>
                <w:rFonts w:hint="eastAsia"/>
              </w:rPr>
              <w:t xml:space="preserve">195.45 </w:t>
            </w:r>
            <w:bookmarkEnd w:id="108"/>
          </w:p>
        </w:tc>
        <w:tc>
          <w:tcPr>
            <w:tcW w:w="1556" w:type="dxa"/>
            <w:tcBorders>
              <w:top w:val="single" w:sz="4" w:space="0" w:color="auto"/>
              <w:left w:val="single" w:sz="4" w:space="0" w:color="auto"/>
              <w:bottom w:val="single" w:sz="4" w:space="0" w:color="auto"/>
              <w:right w:val="single" w:sz="4" w:space="0" w:color="auto"/>
            </w:tcBorders>
            <w:vAlign w:val="center"/>
          </w:tcPr>
          <w:p>
            <w:pPr>
              <w:jc w:val="right"/>
            </w:pPr>
            <w:r>
              <w:t xml:space="preserve">173.60 </w:t>
            </w:r>
          </w:p>
        </w:tc>
        <w:tc>
          <w:tcPr>
            <w:tcW w:w="4152" w:type="dxa"/>
            <w:tcBorders>
              <w:top w:val="single" w:sz="4" w:space="0" w:color="auto"/>
              <w:left w:val="single" w:sz="4" w:space="0" w:color="auto"/>
              <w:bottom w:val="single" w:sz="4" w:space="0" w:color="auto"/>
              <w:right w:val="single" w:sz="4" w:space="0" w:color="auto"/>
            </w:tcBorders>
            <w:vAlign w:val="center"/>
          </w:tcPr>
          <w:p>
            <w:pPr>
              <w:widowControl w:val="0"/>
              <w:autoSpaceDE w:val="0"/>
              <w:autoSpaceDN w:val="0"/>
              <w:adjustRightInd w:val="0"/>
              <w:jc w:val="both"/>
              <w:rPr>
                <w:rFonts w:cs="Calibri"/>
                <w:szCs w:val="21"/>
              </w:rPr>
            </w:pPr>
            <w:r>
              <w:rPr>
                <w:rFonts w:cs="Calibri" w:hint="eastAsia"/>
                <w:szCs w:val="21"/>
              </w:rPr>
              <w:t>-</w:t>
            </w:r>
          </w:p>
        </w:tc>
      </w:tr>
      <w:bookmarkEnd w:id="107"/>
    </w:tbl>
    <w:p>
      <w:pPr>
        <w:widowControl w:val="0"/>
        <w:autoSpaceDE w:val="0"/>
        <w:autoSpaceDN w:val="0"/>
        <w:adjustRightInd w:val="0"/>
        <w:jc w:val="both"/>
        <w:rPr>
          <w:rFonts w:cs="Times New Roman"/>
          <w:kern w:val="2"/>
          <w:szCs w:val="21"/>
        </w:rPr>
      </w:pPr>
    </w:p>
    <w:p>
      <w:pPr>
        <w:widowControl w:val="0"/>
        <w:autoSpaceDE w:val="0"/>
        <w:autoSpaceDN w:val="0"/>
        <w:adjustRightInd w:val="0"/>
        <w:ind w:firstLineChars="200" w:firstLine="420"/>
        <w:jc w:val="both"/>
        <w:rPr>
          <w:rFonts w:cs="Times New Roman"/>
          <w:kern w:val="2"/>
          <w:szCs w:val="28"/>
        </w:rPr>
      </w:pPr>
      <w:r>
        <w:rPr>
          <w:rFonts w:cs="Times New Roman" w:hint="eastAsia"/>
          <w:kern w:val="2"/>
          <w:szCs w:val="28"/>
        </w:rPr>
        <w:t>本集团202</w:t>
      </w:r>
      <w:r>
        <w:rPr>
          <w:rFonts w:cs="Times New Roman"/>
          <w:kern w:val="2"/>
          <w:szCs w:val="28"/>
        </w:rPr>
        <w:t>4</w:t>
      </w:r>
      <w:r>
        <w:rPr>
          <w:rFonts w:cs="Times New Roman" w:hint="eastAsia"/>
          <w:kern w:val="2"/>
          <w:szCs w:val="28"/>
        </w:rPr>
        <w:t>年及预计202</w:t>
      </w:r>
      <w:r>
        <w:rPr>
          <w:rFonts w:cs="Times New Roman"/>
          <w:kern w:val="2"/>
          <w:szCs w:val="28"/>
        </w:rPr>
        <w:t>5</w:t>
      </w:r>
      <w:r>
        <w:rPr>
          <w:rFonts w:cs="Times New Roman" w:hint="eastAsia"/>
          <w:kern w:val="2"/>
          <w:szCs w:val="28"/>
        </w:rPr>
        <w:t>年资本性支出情况(依照资金用途划分)如下表：</w:t>
      </w:r>
    </w:p>
    <w:p>
      <w:pPr>
        <w:widowControl w:val="0"/>
        <w:ind w:left="1260" w:rightChars="358" w:right="752"/>
        <w:jc w:val="right"/>
        <w:rPr>
          <w:rFonts w:cs="Times New Roman"/>
          <w:kern w:val="2"/>
          <w:szCs w:val="22"/>
        </w:rPr>
      </w:pPr>
      <w:r>
        <w:rPr>
          <w:rFonts w:cs="Times New Roman" w:hint="eastAsia"/>
          <w:kern w:val="2"/>
          <w:szCs w:val="22"/>
        </w:rPr>
        <w:t>单位：亿元</w:t>
      </w:r>
    </w:p>
    <w:tbl>
      <w:tblPr>
        <w:tblStyle w:val="21"/>
        <w:tblW w:w="0" w:type="auto"/>
        <w:jc w:val="center"/>
        <w:tblInd w:w="0" w:type="dxa"/>
        <w:tblLook w:val="04A0" w:firstRow="1" w:lastRow="0" w:firstColumn="1" w:lastColumn="0" w:noHBand="0" w:noVBand="1"/>
      </w:tblPr>
      <w:tblGrid>
        <w:gridCol w:w="3016"/>
        <w:gridCol w:w="2261"/>
        <w:gridCol w:w="2353"/>
      </w:tblGrid>
      <w:tr>
        <w:trPr>
          <w:jc w:val="center"/>
        </w:trPr>
        <w:tc>
          <w:tcPr>
            <w:tcW w:w="3016" w:type="dxa"/>
            <w:tcBorders>
              <w:top w:val="single" w:sz="4" w:space="0" w:color="auto"/>
              <w:left w:val="single" w:sz="4" w:space="0" w:color="auto"/>
              <w:bottom w:val="single" w:sz="4" w:space="0" w:color="auto"/>
              <w:right w:val="single" w:sz="4" w:space="0" w:color="auto"/>
            </w:tcBorders>
          </w:tcPr>
          <w:p>
            <w:pPr>
              <w:autoSpaceDE w:val="0"/>
              <w:autoSpaceDN w:val="0"/>
              <w:adjustRightInd w:val="0"/>
              <w:rPr>
                <w:rFonts w:cs="Times New Roman"/>
                <w:szCs w:val="28"/>
              </w:rPr>
            </w:pPr>
          </w:p>
        </w:tc>
        <w:tc>
          <w:tcPr>
            <w:tcW w:w="2261"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center"/>
              <w:rPr>
                <w:rFonts w:cs="Times New Roman"/>
                <w:b/>
                <w:bCs/>
                <w:szCs w:val="28"/>
              </w:rPr>
            </w:pPr>
            <w:r>
              <w:rPr>
                <w:rFonts w:cs="Times New Roman" w:hint="eastAsia"/>
                <w:b/>
                <w:bCs/>
                <w:szCs w:val="28"/>
              </w:rPr>
              <w:t>202</w:t>
            </w:r>
            <w:r>
              <w:rPr>
                <w:rFonts w:cs="Times New Roman"/>
                <w:b/>
                <w:bCs/>
                <w:szCs w:val="28"/>
              </w:rPr>
              <w:t>5</w:t>
            </w:r>
            <w:r>
              <w:rPr>
                <w:rFonts w:cs="Times New Roman" w:hint="eastAsia"/>
                <w:b/>
                <w:bCs/>
                <w:szCs w:val="28"/>
              </w:rPr>
              <w:t>年计划</w:t>
            </w:r>
          </w:p>
        </w:tc>
        <w:tc>
          <w:tcPr>
            <w:tcW w:w="2353"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center"/>
              <w:rPr>
                <w:rFonts w:cs="Times New Roman"/>
                <w:b/>
                <w:bCs/>
                <w:szCs w:val="28"/>
              </w:rPr>
            </w:pPr>
            <w:r>
              <w:rPr>
                <w:rFonts w:cs="Times New Roman" w:hint="eastAsia"/>
                <w:b/>
                <w:bCs/>
                <w:szCs w:val="28"/>
              </w:rPr>
              <w:t>202</w:t>
            </w:r>
            <w:r>
              <w:rPr>
                <w:rFonts w:cs="Times New Roman"/>
                <w:b/>
                <w:bCs/>
                <w:szCs w:val="28"/>
              </w:rPr>
              <w:t>4</w:t>
            </w:r>
            <w:r>
              <w:rPr>
                <w:rFonts w:cs="Times New Roman" w:hint="eastAsia"/>
                <w:b/>
                <w:bCs/>
                <w:szCs w:val="28"/>
              </w:rPr>
              <w:t>年</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rPr>
                <w:rFonts w:cs="Times New Roman"/>
                <w:szCs w:val="28"/>
              </w:rPr>
            </w:pPr>
            <w:r>
              <w:rPr>
                <w:rFonts w:cs="Times New Roman" w:hint="eastAsia"/>
                <w:szCs w:val="28"/>
              </w:rPr>
              <w:t>基建项目</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79.57</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51.52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ind w:firstLineChars="150" w:firstLine="315"/>
              <w:rPr>
                <w:rFonts w:cs="Times New Roman"/>
                <w:szCs w:val="28"/>
              </w:rPr>
            </w:pPr>
            <w:r>
              <w:rPr>
                <w:rFonts w:cs="Times New Roman" w:hint="eastAsia"/>
                <w:szCs w:val="28"/>
              </w:rPr>
              <w:t>煤炭矿井基建</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33.17</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pPr>
            <w:r>
              <w:t xml:space="preserve">23.08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ind w:firstLineChars="150" w:firstLine="315"/>
              <w:rPr>
                <w:rFonts w:cs="Times New Roman"/>
                <w:szCs w:val="28"/>
              </w:rPr>
            </w:pPr>
            <w:r>
              <w:rPr>
                <w:rFonts w:cs="Times New Roman" w:hint="eastAsia"/>
                <w:szCs w:val="28"/>
              </w:rPr>
              <w:t>化工项目基建</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31.86</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pPr>
            <w:r>
              <w:t xml:space="preserve">15.92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ind w:firstLineChars="150" w:firstLine="315"/>
              <w:rPr>
                <w:rFonts w:cs="Times New Roman"/>
                <w:szCs w:val="28"/>
              </w:rPr>
            </w:pPr>
            <w:r>
              <w:rPr>
                <w:rFonts w:cs="Times New Roman" w:hint="eastAsia"/>
                <w:szCs w:val="28"/>
              </w:rPr>
              <w:t>物流和储配项目基建</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7.62</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pPr>
            <w:r>
              <w:t xml:space="preserve">8.26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ind w:firstLineChars="150" w:firstLine="315"/>
              <w:rPr>
                <w:rFonts w:cs="Times New Roman"/>
                <w:szCs w:val="28"/>
              </w:rPr>
            </w:pPr>
            <w:r>
              <w:rPr>
                <w:rFonts w:cs="Times New Roman" w:hint="eastAsia"/>
                <w:szCs w:val="28"/>
              </w:rPr>
              <w:t>其他基建</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6.93</w:t>
            </w:r>
          </w:p>
        </w:tc>
        <w:tc>
          <w:tcPr>
            <w:tcW w:w="2353" w:type="dxa"/>
            <w:tcBorders>
              <w:top w:val="single" w:sz="4" w:space="0" w:color="auto"/>
              <w:left w:val="single" w:sz="4" w:space="0" w:color="auto"/>
              <w:bottom w:val="single" w:sz="4" w:space="0" w:color="auto"/>
              <w:right w:val="single" w:sz="4" w:space="0" w:color="auto"/>
            </w:tcBorders>
            <w:vAlign w:val="center"/>
          </w:tcPr>
          <w:p>
            <w:pPr>
              <w:jc w:val="right"/>
            </w:pPr>
            <w:r>
              <w:t xml:space="preserve">4.26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rPr>
                <w:rFonts w:cs="Times New Roman"/>
                <w:szCs w:val="28"/>
              </w:rPr>
            </w:pPr>
            <w:r>
              <w:rPr>
                <w:rFonts w:cs="Times New Roman" w:hint="eastAsia"/>
                <w:szCs w:val="28"/>
              </w:rPr>
              <w:t>维持简单再生产</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97.35</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110.31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rPr>
                <w:rFonts w:cs="Times New Roman"/>
                <w:szCs w:val="28"/>
              </w:rPr>
            </w:pPr>
            <w:r>
              <w:rPr>
                <w:rFonts w:cs="Times New Roman" w:hint="eastAsia"/>
                <w:szCs w:val="28"/>
              </w:rPr>
              <w:t>安全生产计划支出</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17.28</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9.05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rPr>
                <w:rFonts w:cs="Times New Roman"/>
                <w:szCs w:val="28"/>
              </w:rPr>
            </w:pPr>
            <w:r>
              <w:rPr>
                <w:rFonts w:cs="Times New Roman" w:hint="eastAsia"/>
                <w:szCs w:val="28"/>
              </w:rPr>
              <w:t>科技开发计划</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0.66</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rPr>
                <w:rFonts w:cs="Times New Roman"/>
                <w:szCs w:val="28"/>
              </w:rPr>
            </w:pPr>
            <w:r>
              <w:rPr>
                <w:rFonts w:cs="Times New Roman" w:hint="eastAsia"/>
                <w:szCs w:val="28"/>
              </w:rPr>
              <w:t>技改计划</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0.59</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2.72 </w:t>
            </w:r>
          </w:p>
        </w:tc>
      </w:tr>
      <w:tr>
        <w:trPr>
          <w:jc w:val="center"/>
        </w:trPr>
        <w:tc>
          <w:tcPr>
            <w:tcW w:w="3016" w:type="dxa"/>
            <w:tcBorders>
              <w:top w:val="single" w:sz="4" w:space="0" w:color="auto"/>
              <w:left w:val="single" w:sz="4" w:space="0" w:color="auto"/>
              <w:bottom w:val="single" w:sz="4" w:space="0" w:color="auto"/>
              <w:right w:val="single" w:sz="4" w:space="0" w:color="auto"/>
            </w:tcBorders>
            <w:hideMark/>
          </w:tcPr>
          <w:p>
            <w:pPr>
              <w:autoSpaceDE w:val="0"/>
              <w:autoSpaceDN w:val="0"/>
              <w:adjustRightInd w:val="0"/>
              <w:jc w:val="center"/>
              <w:rPr>
                <w:rFonts w:cs="Times New Roman"/>
                <w:szCs w:val="28"/>
              </w:rPr>
            </w:pPr>
            <w:r>
              <w:rPr>
                <w:rFonts w:cs="Times New Roman" w:hint="eastAsia"/>
                <w:szCs w:val="28"/>
              </w:rPr>
              <w:t>合计</w:t>
            </w:r>
          </w:p>
        </w:tc>
        <w:tc>
          <w:tcPr>
            <w:tcW w:w="2261" w:type="dxa"/>
            <w:tcBorders>
              <w:top w:val="single" w:sz="4" w:space="0" w:color="auto"/>
              <w:left w:val="single" w:sz="4" w:space="0" w:color="auto"/>
              <w:bottom w:val="single" w:sz="4" w:space="0" w:color="auto"/>
              <w:right w:val="single" w:sz="4" w:space="0" w:color="auto"/>
            </w:tcBorders>
            <w:vAlign w:val="center"/>
          </w:tcPr>
          <w:p>
            <w:pPr>
              <w:jc w:val="right"/>
            </w:pPr>
            <w:r>
              <w:t xml:space="preserve">195.45 </w:t>
            </w:r>
          </w:p>
        </w:tc>
        <w:tc>
          <w:tcPr>
            <w:tcW w:w="2353" w:type="dxa"/>
            <w:tcBorders>
              <w:top w:val="single" w:sz="4" w:space="0" w:color="auto"/>
              <w:left w:val="single" w:sz="4" w:space="0" w:color="auto"/>
              <w:bottom w:val="single" w:sz="4" w:space="0" w:color="auto"/>
              <w:right w:val="single" w:sz="4" w:space="0" w:color="auto"/>
            </w:tcBorders>
          </w:tcPr>
          <w:p>
            <w:pPr>
              <w:autoSpaceDE w:val="0"/>
              <w:autoSpaceDN w:val="0"/>
              <w:adjustRightInd w:val="0"/>
              <w:ind w:firstLineChars="200" w:firstLine="420"/>
              <w:jc w:val="right"/>
              <w:rPr>
                <w:rFonts w:cs="Times New Roman"/>
                <w:szCs w:val="28"/>
              </w:rPr>
            </w:pPr>
            <w:r>
              <w:t xml:space="preserve">173.60 </w:t>
            </w:r>
          </w:p>
        </w:tc>
      </w:tr>
    </w:tbl>
    <w:p>
      <w:pPr>
        <w:ind w:firstLineChars="200" w:firstLine="420"/>
        <w:jc w:val="both"/>
        <w:rPr>
          <w:szCs w:val="21"/>
        </w:rPr>
      </w:pPr>
      <w:r>
        <w:rPr>
          <w:rFonts w:cs="Times New Roman" w:hint="eastAsia"/>
          <w:kern w:val="2"/>
          <w:szCs w:val="28"/>
        </w:rPr>
        <w:t>本集团目前拥有较充裕的现金和畅通融资渠道，预计能够满足营运和发展的需要。</w:t>
      </w:r>
    </w:p>
    <w:p>
      <w:pPr>
        <w:rPr>
          <w:szCs w:val="21"/>
        </w:rPr>
      </w:pPr>
      <w:r>
        <w:rPr>
          <w:szCs w:val="21"/>
        </w:rPr>
        <w:br w:type="page"/>
      </w:r>
    </w:p>
    <w:p>
      <w:pPr>
        <w:rPr>
          <w:szCs w:val="21"/>
        </w:rPr>
      </w:pPr>
    </w:p>
    <w:p>
      <w:pPr>
        <w:pStyle w:val="3"/>
        <w:numPr>
          <w:ilvl w:val="3"/>
          <w:numId w:val="13"/>
        </w:numPr>
        <w:rPr>
          <w:szCs w:val="21"/>
        </w:rPr>
      </w:pPr>
      <w:r>
        <w:rPr>
          <w:szCs w:val="21"/>
        </w:rPr>
        <w:t>可能面对的风险</w:t>
      </w:r>
    </w:p>
    <w:sdt>
      <w:sdtPr>
        <w:rPr>
          <w:rFonts w:hint="eastAsia"/>
          <w:szCs w:val="21"/>
        </w:rPr>
        <w:alias w:val="是否适用：可能面对的风险[双击切换]"/>
        <w:tag w:val="_GBC_1b74f2e1039c4fe9acc819e860071020"/>
        <w:id w:val="133604120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09" w:name="_Hlk192528889" w:displacedByCustomXml="next"/>
    <w:sdt>
      <w:sdtPr>
        <w:rPr>
          <w:rFonts w:hint="eastAsia"/>
          <w:szCs w:val="21"/>
        </w:rPr>
        <w:alias w:val="公司可能面对的风险"/>
        <w:tag w:val="_GBC_c62723d12603412ba692148cd4961de5"/>
        <w:id w:val="-1324428164"/>
        <w:placeholder>
          <w:docPart w:val="GBC22222222222222222222222222222"/>
        </w:placeholder>
      </w:sdtPr>
      <w:sdtContent>
        <w:p>
          <w:pPr>
            <w:ind w:firstLineChars="200" w:firstLine="420"/>
          </w:pPr>
          <w:r>
            <w:t>安全管理风险</w:t>
          </w:r>
        </w:p>
        <w:p>
          <w:pPr>
            <w:ind w:firstLineChars="200" w:firstLine="420"/>
          </w:pPr>
          <w:r>
            <w:t>本集团业务板块中“煤炭开采、煤化工”均属于高危行业，安全生产的不确定性因素比较复杂，易产生安全管理风险。</w:t>
          </w:r>
        </w:p>
        <w:p>
          <w:pPr>
            <w:ind w:firstLineChars="200" w:firstLine="420"/>
            <w:jc w:val="both"/>
          </w:pPr>
          <w:r>
            <w:t>应对措施：常态化、制度化开展矿山隐蔽致灾因素普查治理，做到灾害威胁分析、治理方案措施、关键节点专盯、灾害信息共享、后评估管理五到位。重点提升风险隐患排查的全面性、危险源辨识的精准性、治理措施的有效性、方案落实的及时性，实现风险闭环管理。</w:t>
          </w:r>
        </w:p>
        <w:p>
          <w:pPr>
            <w:ind w:firstLineChars="200" w:firstLine="420"/>
            <w:jc w:val="both"/>
          </w:pPr>
        </w:p>
        <w:p>
          <w:pPr>
            <w:ind w:firstLineChars="200" w:firstLine="420"/>
            <w:jc w:val="both"/>
          </w:pPr>
          <w:r>
            <w:t>环境保护风险</w:t>
          </w:r>
        </w:p>
        <w:p>
          <w:pPr>
            <w:ind w:firstLineChars="200" w:firstLine="420"/>
            <w:jc w:val="both"/>
          </w:pPr>
          <w:r>
            <w:t>国家环保政策趋严，全社会对环保重视程度不断提高，使本集团面临更为严格的环保约束。我国向世界作出实现“碳达峰、碳中和”的庄严承诺，对公司煤炭业务的经营发展带来重大影响。</w:t>
          </w:r>
        </w:p>
        <w:p>
          <w:pPr>
            <w:ind w:firstLineChars="200" w:firstLine="420"/>
            <w:jc w:val="both"/>
          </w:pPr>
          <w:r>
            <w:t>应对措施：本集团将严格落实环保法规要求，积极推进设施升级改造，提升设施运行管理水平，确保污染物达标排放。实施战略转型，积极推动传统产业转型和新兴产业崛起，走绿色低碳发展的道路。推动煤炭高效清洁利用，继续发挥煤炭在能源结构中的压舱石作用。</w:t>
          </w:r>
        </w:p>
        <w:p>
          <w:pPr>
            <w:ind w:firstLineChars="200" w:firstLine="420"/>
            <w:jc w:val="both"/>
          </w:pPr>
        </w:p>
        <w:p>
          <w:pPr>
            <w:ind w:firstLineChars="200" w:firstLine="420"/>
            <w:jc w:val="both"/>
          </w:pPr>
          <w:r>
            <w:t>汇率风险</w:t>
          </w:r>
        </w:p>
        <w:p>
          <w:pPr>
            <w:ind w:firstLineChars="200" w:firstLine="420"/>
            <w:jc w:val="both"/>
          </w:pPr>
          <w:r>
            <w:t>作为国际化跨国公司，本集团的境外投资、境外融资、国际贸易等业务均受汇率波动影响，对本集团的经营业绩和发展战略带来诸多不确定性。</w:t>
          </w:r>
        </w:p>
        <w:p>
          <w:pPr>
            <w:ind w:firstLineChars="200" w:firstLine="420"/>
            <w:jc w:val="both"/>
          </w:pPr>
          <w:r>
            <w:t>应对措施：加强汇率走势研判，综合运用多种金融工具降低汇率波动风险。根据交易货币汇率变动趋势，在交易合同中订立适当的保值条款。灵活运用外汇衍生产品工具，签订远期外汇交易合同，锁定汇率波动。</w:t>
          </w:r>
        </w:p>
        <w:p>
          <w:pPr>
            <w:ind w:firstLineChars="200" w:firstLine="420"/>
            <w:jc w:val="both"/>
          </w:pPr>
        </w:p>
        <w:p>
          <w:pPr>
            <w:ind w:firstLineChars="200" w:firstLine="420"/>
            <w:jc w:val="both"/>
          </w:pPr>
          <w:r>
            <w:t>地缘政治风险</w:t>
          </w:r>
        </w:p>
        <w:p>
          <w:pPr>
            <w:ind w:firstLineChars="200" w:firstLine="420"/>
            <w:jc w:val="both"/>
          </w:pPr>
          <w:r>
            <w:t>本集团业务跨越不同地域与国家，境外业务会受当地政府政策、经济及国际关系变化等因素影响。若这些因素出现任何重大不利变化，则本集团业务、财务状况及经营业绩将可能会受到不利影响。</w:t>
          </w:r>
        </w:p>
        <w:p>
          <w:pPr>
            <w:ind w:firstLineChars="200" w:firstLine="420"/>
            <w:jc w:val="both"/>
            <w:rPr>
              <w:szCs w:val="21"/>
            </w:rPr>
          </w:pPr>
          <w:r>
            <w:t>应对措施：一是密切关注国际动态，加强对业务所在地政治、经济等发展形势的分析，及时识别和预判境外业务可能面临的地缘政治风险，并制定应对策略。二是继续坚持属地化策略，遵守所在地法律法规，积极融入所在地经济社会发展。</w:t>
          </w:r>
          <w:bookmarkEnd w:id="109"/>
        </w:p>
        <w:p>
          <w:pPr>
            <w:rPr>
              <w:szCs w:val="21"/>
            </w:rPr>
          </w:pPr>
        </w:p>
      </w:sdtContent>
    </w:sdt>
    <w:p>
      <w:pPr>
        <w:pStyle w:val="3"/>
        <w:numPr>
          <w:ilvl w:val="3"/>
          <w:numId w:val="13"/>
        </w:numPr>
        <w:rPr>
          <w:szCs w:val="21"/>
        </w:rPr>
      </w:pPr>
      <w:r>
        <w:rPr>
          <w:szCs w:val="21"/>
        </w:rPr>
        <w:t>其他</w:t>
      </w:r>
    </w:p>
    <w:sdt>
      <w:sdtPr>
        <w:rPr>
          <w:rFonts w:hint="eastAsia"/>
          <w:szCs w:val="21"/>
        </w:rPr>
        <w:alias w:val="是否适用：公司其他未来发展的讨论和分析[双击切换]"/>
        <w:tag w:val="_GBC_aad5c59ba9344d37bc5cc7a8eba5f048"/>
        <w:id w:val="19226776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其他未来发展的讨论与分析"/>
        <w:tag w:val="_GBC_672314335c7e49968b7ec5fbd4778256"/>
        <w:id w:val="-758212615"/>
        <w:placeholder>
          <w:docPart w:val="GBC22222222222222222222222222222"/>
        </w:placeholder>
      </w:sdtPr>
      <w:sdtContent>
        <w:p>
          <w:pPr>
            <w:ind w:firstLineChars="200" w:firstLine="420"/>
            <w:rPr>
              <w:rFonts w:cs="Times New Roman"/>
              <w:b/>
              <w:kern w:val="2"/>
              <w:szCs w:val="21"/>
            </w:rPr>
          </w:pPr>
          <w:r>
            <w:rPr>
              <w:rFonts w:cs="Times New Roman" w:hint="eastAsia"/>
              <w:b/>
              <w:kern w:val="2"/>
              <w:szCs w:val="21"/>
            </w:rPr>
            <w:t>1.汇率变动影响</w:t>
          </w:r>
        </w:p>
        <w:p>
          <w:pPr>
            <w:widowControl w:val="0"/>
            <w:autoSpaceDE w:val="0"/>
            <w:autoSpaceDN w:val="0"/>
            <w:adjustRightInd w:val="0"/>
            <w:ind w:firstLineChars="200" w:firstLine="420"/>
            <w:jc w:val="both"/>
            <w:rPr>
              <w:rFonts w:cs="Times New Roman"/>
              <w:kern w:val="2"/>
              <w:szCs w:val="21"/>
            </w:rPr>
          </w:pPr>
          <w:bookmarkStart w:id="110" w:name="_Hlk96009698"/>
          <w:r>
            <w:rPr>
              <w:rFonts w:cs="Times New Roman" w:hint="eastAsia"/>
              <w:kern w:val="2"/>
              <w:szCs w:val="21"/>
            </w:rPr>
            <w:t>汇率变动对本集团的影响主要体现在：</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(1)本集团煤炭境外销售分别以美元、澳元计价，对境外煤炭销售收入产生影响；</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(2)对外币存、贷款的汇兑损益产生影响；</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(3)对本集团进口设备和配件的成本产生影响。</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受汇率变动影响，报告期内本集团产生账面汇兑收益</w:t>
          </w:r>
          <w:r>
            <w:rPr>
              <w:rFonts w:cs="Times New Roman"/>
              <w:kern w:val="2"/>
              <w:szCs w:val="21"/>
            </w:rPr>
            <w:t>7.37</w:t>
          </w:r>
          <w:r>
            <w:rPr>
              <w:rFonts w:cs="Times New Roman" w:hint="eastAsia"/>
              <w:kern w:val="2"/>
              <w:szCs w:val="21"/>
            </w:rPr>
            <w:t>亿元。</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为管理预期销售收入和港元股息派发带来的外币风险，兖煤澳洲与银行签订了外汇套期保值合约。</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为对冲汇率波动造成的美元债务汇兑损益，兖煤澳洲、兖煤国际对美元债务采用会计方法进行了套期保值，有效规避了汇率波动对当期损益的影响。报告期末，兖煤澳洲美元贷款已全额结清，但根据会计自然套保规则，提前偿贷带来的汇兑损益将在合同约定的贷款到期日进行确认，并对相应会计年度产生非现金影响。</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除上述披露外，本集团在本报告期内并未对其他外汇采取套期保值措施，并未就人民币与外币之间的汇率加以对冲。</w:t>
          </w:r>
        </w:p>
        <w:bookmarkEnd w:id="110"/>
        <w:p>
          <w:pPr>
            <w:widowControl w:val="0"/>
            <w:autoSpaceDE w:val="0"/>
            <w:autoSpaceDN w:val="0"/>
            <w:adjustRightInd w:val="0"/>
            <w:jc w:val="both"/>
            <w:rPr>
              <w:rFonts w:cs="Times New Roman"/>
              <w:kern w:val="2"/>
              <w:szCs w:val="21"/>
            </w:rPr>
          </w:pPr>
        </w:p>
        <w:p>
          <w:pPr>
            <w:widowControl w:val="0"/>
            <w:autoSpaceDE w:val="0"/>
            <w:autoSpaceDN w:val="0"/>
            <w:adjustRightInd w:val="0"/>
            <w:ind w:firstLineChars="200" w:firstLine="422"/>
            <w:jc w:val="both"/>
            <w:rPr>
              <w:rFonts w:cs="Times New Roman"/>
              <w:b/>
              <w:kern w:val="2"/>
              <w:szCs w:val="21"/>
            </w:rPr>
          </w:pPr>
          <w:r>
            <w:rPr>
              <w:rFonts w:cs="Times New Roman"/>
              <w:b/>
              <w:kern w:val="2"/>
              <w:szCs w:val="21"/>
            </w:rPr>
            <w:lastRenderedPageBreak/>
            <w:t>2</w:t>
          </w:r>
          <w:r>
            <w:rPr>
              <w:rFonts w:cs="Times New Roman" w:hint="eastAsia"/>
              <w:b/>
              <w:kern w:val="2"/>
              <w:szCs w:val="21"/>
            </w:rPr>
            <w:t>.职工退休金计划</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有关职工退休金计划的详情请见按国际财务报告准则编制的财务报表附注“退休福利”。</w:t>
          </w:r>
        </w:p>
        <w:p>
          <w:pPr>
            <w:widowControl w:val="0"/>
            <w:autoSpaceDE w:val="0"/>
            <w:autoSpaceDN w:val="0"/>
            <w:adjustRightInd w:val="0"/>
            <w:ind w:firstLineChars="200" w:firstLine="420"/>
            <w:jc w:val="both"/>
            <w:rPr>
              <w:rFonts w:cs="Times New Roman"/>
              <w:kern w:val="2"/>
              <w:szCs w:val="21"/>
              <w:u w:val="single"/>
            </w:rPr>
          </w:pPr>
        </w:p>
        <w:p>
          <w:pPr>
            <w:widowControl w:val="0"/>
            <w:autoSpaceDE w:val="0"/>
            <w:autoSpaceDN w:val="0"/>
            <w:adjustRightInd w:val="0"/>
            <w:ind w:firstLineChars="200" w:firstLine="422"/>
            <w:jc w:val="both"/>
            <w:rPr>
              <w:rFonts w:cs="Times New Roman"/>
              <w:b/>
              <w:kern w:val="2"/>
              <w:szCs w:val="21"/>
            </w:rPr>
          </w:pPr>
          <w:r>
            <w:rPr>
              <w:rFonts w:cs="Times New Roman"/>
              <w:b/>
              <w:kern w:val="2"/>
              <w:szCs w:val="21"/>
            </w:rPr>
            <w:t>3</w:t>
          </w:r>
          <w:r>
            <w:rPr>
              <w:rFonts w:cs="Times New Roman" w:hint="eastAsia"/>
              <w:b/>
              <w:kern w:val="2"/>
              <w:szCs w:val="21"/>
            </w:rPr>
            <w:t>.储备</w:t>
          </w:r>
        </w:p>
        <w:p>
          <w:pPr>
            <w:widowControl w:val="0"/>
            <w:autoSpaceDE w:val="0"/>
            <w:autoSpaceDN w:val="0"/>
            <w:adjustRightInd w:val="0"/>
            <w:ind w:firstLineChars="200" w:firstLine="420"/>
            <w:jc w:val="both"/>
            <w:rPr>
              <w:rFonts w:cs="Times New Roman"/>
              <w:kern w:val="2"/>
              <w:szCs w:val="28"/>
            </w:rPr>
          </w:pPr>
          <w:r>
            <w:rPr>
              <w:rFonts w:cs="Times New Roman" w:hint="eastAsia"/>
              <w:kern w:val="2"/>
              <w:szCs w:val="28"/>
            </w:rPr>
            <w:t>有关本年度的储备变动情况及于202</w:t>
          </w:r>
          <w:r>
            <w:rPr>
              <w:rFonts w:cs="Times New Roman"/>
              <w:kern w:val="2"/>
              <w:szCs w:val="28"/>
            </w:rPr>
            <w:t>4</w:t>
          </w:r>
          <w:r>
            <w:rPr>
              <w:rFonts w:cs="Times New Roman" w:hint="eastAsia"/>
              <w:kern w:val="2"/>
              <w:szCs w:val="28"/>
            </w:rPr>
            <w:t>年12月31日之可分配储备情况请见按国际财务报告准则编制的财务报表附注“股东权益”。</w:t>
          </w:r>
        </w:p>
        <w:p>
          <w:pPr>
            <w:widowControl w:val="0"/>
            <w:autoSpaceDE w:val="0"/>
            <w:autoSpaceDN w:val="0"/>
            <w:adjustRightInd w:val="0"/>
            <w:ind w:firstLineChars="200" w:firstLine="420"/>
            <w:jc w:val="both"/>
            <w:rPr>
              <w:rFonts w:cs="Times New Roman"/>
              <w:kern w:val="2"/>
              <w:szCs w:val="28"/>
            </w:rPr>
          </w:pPr>
        </w:p>
        <w:p>
          <w:pPr>
            <w:widowControl w:val="0"/>
            <w:autoSpaceDE w:val="0"/>
            <w:autoSpaceDN w:val="0"/>
            <w:adjustRightInd w:val="0"/>
            <w:ind w:firstLineChars="200" w:firstLine="422"/>
            <w:jc w:val="both"/>
            <w:rPr>
              <w:rFonts w:cs="Times New Roman"/>
              <w:b/>
              <w:kern w:val="2"/>
              <w:szCs w:val="28"/>
            </w:rPr>
          </w:pPr>
          <w:bookmarkStart w:id="111" w:name="_Hlk193385689"/>
          <w:r>
            <w:rPr>
              <w:rFonts w:cs="Times New Roman"/>
              <w:b/>
              <w:kern w:val="2"/>
              <w:szCs w:val="28"/>
            </w:rPr>
            <w:t>4</w:t>
          </w:r>
          <w:r>
            <w:rPr>
              <w:rFonts w:cs="Times New Roman" w:hint="eastAsia"/>
              <w:b/>
              <w:kern w:val="2"/>
              <w:szCs w:val="28"/>
            </w:rPr>
            <w:t>.捐款</w:t>
          </w:r>
        </w:p>
        <w:p>
          <w:pPr>
            <w:widowControl w:val="0"/>
            <w:autoSpaceDE w:val="0"/>
            <w:autoSpaceDN w:val="0"/>
            <w:adjustRightInd w:val="0"/>
            <w:ind w:firstLineChars="200" w:firstLine="420"/>
            <w:jc w:val="both"/>
            <w:rPr>
              <w:rFonts w:cs="Times New Roman"/>
              <w:b/>
              <w:kern w:val="2"/>
              <w:szCs w:val="28"/>
            </w:rPr>
          </w:pPr>
          <w:r>
            <w:rPr>
              <w:rFonts w:cs="Times New Roman" w:hint="eastAsia"/>
              <w:kern w:val="2"/>
              <w:szCs w:val="28"/>
            </w:rPr>
            <w:t>本集团于</w:t>
          </w:r>
          <w:r>
            <w:rPr>
              <w:rFonts w:cs="Times New Roman"/>
              <w:kern w:val="2"/>
              <w:szCs w:val="28"/>
            </w:rPr>
            <w:t>2024</w:t>
          </w:r>
          <w:r>
            <w:rPr>
              <w:rFonts w:cs="Times New Roman" w:hint="eastAsia"/>
              <w:kern w:val="2"/>
              <w:szCs w:val="28"/>
            </w:rPr>
            <w:t>年度作为慈善或其他用途的捐款支出为人民币</w:t>
          </w:r>
          <w:r>
            <w:rPr>
              <w:rFonts w:cs="Times New Roman"/>
              <w:kern w:val="2"/>
              <w:szCs w:val="28"/>
            </w:rPr>
            <w:t>58,002</w:t>
          </w:r>
          <w:r>
            <w:rPr>
              <w:rFonts w:cs="Times New Roman" w:hint="eastAsia"/>
              <w:kern w:val="2"/>
              <w:szCs w:val="28"/>
            </w:rPr>
            <w:t>千元。</w:t>
          </w:r>
        </w:p>
        <w:bookmarkEnd w:id="111"/>
        <w:p>
          <w:pPr>
            <w:widowControl w:val="0"/>
            <w:autoSpaceDE w:val="0"/>
            <w:autoSpaceDN w:val="0"/>
            <w:adjustRightInd w:val="0"/>
            <w:jc w:val="both"/>
            <w:rPr>
              <w:rFonts w:cs="Times New Roman"/>
              <w:kern w:val="2"/>
              <w:szCs w:val="21"/>
            </w:rPr>
          </w:pPr>
        </w:p>
        <w:p>
          <w:pPr>
            <w:widowControl w:val="0"/>
            <w:autoSpaceDE w:val="0"/>
            <w:autoSpaceDN w:val="0"/>
            <w:adjustRightInd w:val="0"/>
            <w:ind w:firstLineChars="200" w:firstLine="422"/>
            <w:jc w:val="both"/>
            <w:rPr>
              <w:rFonts w:cs="Times New Roman"/>
              <w:b/>
              <w:kern w:val="2"/>
              <w:szCs w:val="21"/>
            </w:rPr>
          </w:pPr>
          <w:r>
            <w:rPr>
              <w:rFonts w:cs="Times New Roman"/>
              <w:b/>
              <w:kern w:val="2"/>
              <w:szCs w:val="21"/>
            </w:rPr>
            <w:t>5</w:t>
          </w:r>
          <w:r>
            <w:rPr>
              <w:rFonts w:cs="Times New Roman" w:hint="eastAsia"/>
              <w:b/>
              <w:kern w:val="2"/>
              <w:szCs w:val="21"/>
            </w:rPr>
            <w:t>.遵守法律法规情况</w:t>
          </w:r>
        </w:p>
        <w:p>
          <w:pPr>
            <w:widowControl w:val="0"/>
            <w:autoSpaceDE w:val="0"/>
            <w:autoSpaceDN w:val="0"/>
            <w:adjustRightInd w:val="0"/>
            <w:ind w:firstLineChars="200" w:firstLine="420"/>
            <w:jc w:val="both"/>
            <w:rPr>
              <w:rFonts w:cs="Times New Roman"/>
              <w:kern w:val="2"/>
              <w:szCs w:val="21"/>
            </w:rPr>
          </w:pPr>
          <w:r>
            <w:rPr>
              <w:rFonts w:cs="Times New Roman" w:hint="eastAsia"/>
              <w:kern w:val="2"/>
              <w:szCs w:val="21"/>
            </w:rPr>
            <w:t>公司深悉遵守法律、法规及规则要求的重要性，且已建立较为成熟的制度以确保持续遵守适用的法律、法规及规则。于报告期内，尽公司所知，公司所有重大事项均遵守了适用的法律、法规及规则，包括但不限于《中华人民共和国安全生产法》《中华人民共和国职业病防治法》等在公司主营业务中对公司营运有重大意义或影响的法律及法规。公司作为于上交所及香港联交所上市的公司，于报告期内，亦遵守了上市地上市规则。</w:t>
          </w:r>
        </w:p>
        <w:p>
          <w:pPr>
            <w:widowControl w:val="0"/>
            <w:autoSpaceDE w:val="0"/>
            <w:autoSpaceDN w:val="0"/>
            <w:adjustRightInd w:val="0"/>
            <w:ind w:firstLineChars="200" w:firstLine="420"/>
            <w:jc w:val="both"/>
            <w:rPr>
              <w:rFonts w:cs="Times New Roman"/>
              <w:kern w:val="2"/>
              <w:szCs w:val="21"/>
            </w:rPr>
          </w:pPr>
        </w:p>
        <w:p>
          <w:pPr>
            <w:widowControl w:val="0"/>
            <w:autoSpaceDE w:val="0"/>
            <w:autoSpaceDN w:val="0"/>
            <w:adjustRightInd w:val="0"/>
            <w:ind w:firstLineChars="200" w:firstLine="422"/>
            <w:jc w:val="both"/>
            <w:rPr>
              <w:rFonts w:cs="Times New Roman"/>
              <w:b/>
              <w:kern w:val="2"/>
              <w:szCs w:val="21"/>
            </w:rPr>
          </w:pPr>
          <w:r>
            <w:rPr>
              <w:rFonts w:cs="Times New Roman"/>
              <w:b/>
              <w:kern w:val="2"/>
              <w:szCs w:val="21"/>
            </w:rPr>
            <w:t>6</w:t>
          </w:r>
          <w:r>
            <w:rPr>
              <w:rFonts w:cs="Times New Roman" w:hint="eastAsia"/>
              <w:b/>
              <w:kern w:val="2"/>
              <w:szCs w:val="21"/>
            </w:rPr>
            <w:t>.报告期后的重大事项</w:t>
          </w:r>
        </w:p>
        <w:p>
          <w:pPr>
            <w:ind w:firstLineChars="200" w:firstLine="420"/>
            <w:rPr>
              <w:szCs w:val="21"/>
            </w:rPr>
          </w:pPr>
          <w:r>
            <w:rPr>
              <w:rFonts w:cs="Times New Roman" w:hint="eastAsia"/>
              <w:kern w:val="2"/>
              <w:szCs w:val="21"/>
            </w:rPr>
            <w:t>请见本年报“第七节 重要事项”之“</w:t>
          </w:r>
          <w:r>
            <w:rPr>
              <w:rFonts w:ascii="Calibri" w:hAnsi="Calibri" w:cs="Times New Roman" w:hint="eastAsia"/>
              <w:kern w:val="2"/>
              <w:szCs w:val="21"/>
            </w:rPr>
            <w:t>其他对投资者作出价值判断和投资决策有重大影响的重大事项的说明”有关内容。</w:t>
          </w:r>
        </w:p>
      </w:sdtContent>
    </w:sdt>
    <w:p>
      <w:pPr>
        <w:rPr>
          <w:szCs w:val="21"/>
        </w:rPr>
      </w:pPr>
    </w:p>
    <w:p>
      <w:pPr>
        <w:pStyle w:val="2"/>
        <w:numPr>
          <w:ilvl w:val="0"/>
          <w:numId w:val="11"/>
        </w:numPr>
        <w:ind w:left="369" w:hangingChars="175" w:hanging="369"/>
      </w:pPr>
      <w:r>
        <w:rPr>
          <w:rFonts w:hint="eastAs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755198445"/>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r>
        <w:rPr>
          <w:szCs w:val="21"/>
        </w:rPr>
        <w:br w:type="page"/>
      </w:r>
    </w:p>
    <w:p>
      <w:pPr>
        <w:pStyle w:val="1"/>
        <w:numPr>
          <w:ilvl w:val="0"/>
          <w:numId w:val="3"/>
        </w:numPr>
        <w:rPr>
          <w:u w:val="single"/>
        </w:rPr>
      </w:pPr>
      <w:bookmarkStart w:id="112" w:name="_Toc193794892"/>
      <w:bookmarkStart w:id="113" w:name="_Toc437440716"/>
      <w:bookmarkStart w:id="114" w:name="_Toc409437610"/>
      <w:bookmarkStart w:id="115" w:name="_Toc184741577"/>
      <w:r>
        <w:rPr>
          <w:rFonts w:hint="eastAsia"/>
        </w:rPr>
        <w:lastRenderedPageBreak/>
        <w:t>公司治理</w:t>
      </w:r>
      <w:bookmarkEnd w:id="112"/>
    </w:p>
    <w:bookmarkEnd w:id="113"/>
    <w:bookmarkEnd w:id="114"/>
    <w:bookmarkEnd w:id="115"/>
    <w:p>
      <w:pPr>
        <w:pStyle w:val="afffffff"/>
        <w:numPr>
          <w:ilvl w:val="0"/>
          <w:numId w:val="34"/>
        </w:numPr>
      </w:pPr>
      <w:r>
        <w:t>公司治理相关情况说明</w:t>
      </w:r>
    </w:p>
    <w:sdt>
      <w:sdtPr>
        <w:rPr>
          <w:rFonts w:hint="eastAsia"/>
          <w:szCs w:val="21"/>
        </w:rPr>
        <w:alias w:val="是否适用：公司治理相关情况说明[双击切换]"/>
        <w:tag w:val="_GBC_fcded3e74c5842408b5da723b3a757fa"/>
        <w:id w:val="1509566437"/>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1671174330"/>
        <w:placeholder>
          <w:docPart w:val="GBC22222222222222222222222222222"/>
        </w:placeholder>
      </w:sdtPr>
      <w:sdtContent>
        <w:sdt>
          <w:sdtPr>
            <w:alias w:val="公司治理相关情况说明"/>
            <w:tag w:val="_GBC_b4d29a30dc2b4ea6b942196a3b52c2d0"/>
            <w:id w:val="-709341289"/>
          </w:sdtPr>
          <w:sdtEndPr>
            <w:rPr>
              <w:rFonts w:asciiTheme="minorEastAsia" w:eastAsiaTheme="minorEastAsia" w:hAnsiTheme="minorEastAsia"/>
            </w:rPr>
          </w:sdtEndPr>
          <w:sdtContent>
            <w:p>
              <w:pPr>
                <w:ind w:firstLineChars="200" w:firstLine="420"/>
                <w:rPr>
                  <w:rFonts w:asciiTheme="minorEastAsia" w:eastAsiaTheme="minorEastAsia" w:hAnsiTheme="minorEastAsia"/>
                </w:rPr>
              </w:pPr>
              <w:r>
                <w:rPr>
                  <w:rFonts w:asciiTheme="minorEastAsia" w:eastAsiaTheme="minorEastAsia" w:hAnsiTheme="minorEastAsia" w:hint="eastAsia"/>
                </w:rPr>
                <w:t>公司密切关注证券市场规范化、法治化进程，根据自身情况主动完善法人治理结构。报告期内，公司进一步强化公司治理，根据最新修订的《公司法》、中国证监会《上市公司独立董事管理办法》、上交所《股票上市规则》等法律法规和监管规则，制定了《独立董事专门会议工作细则》《董事会授权管理制度》；修订完善了《公司章程》《董事会议事规则》《股东、董事、监事、高管及相关内幕信息知情人所持本公司股份及变动管理制度》等基本治理制度，</w:t>
              </w:r>
              <w:r>
                <w:rPr>
                  <w:rFonts w:asciiTheme="minorEastAsia" w:eastAsiaTheme="minorEastAsia" w:hAnsiTheme="minorEastAsia" w:hint="eastAsia"/>
                  <w:bCs/>
                </w:rPr>
                <w:t>健全以《公司章程》为核心的公司治理体系，确保</w:t>
              </w:r>
              <w:r>
                <w:rPr>
                  <w:rFonts w:asciiTheme="minorEastAsia" w:eastAsiaTheme="minorEastAsia" w:hAnsiTheme="minorEastAsia" w:hint="eastAsia"/>
                </w:rPr>
                <w:t>公司规范高效运行。</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经2024年6月21日召开的2023年度股东周年大会审议批准，公司根据最新修订的法律法规及监管要求，结合运营实际修订了《公司章程》及相关议事规则。详情请见本公司日期为2024年4月26日的公告、日期为2024年5月22日的通函、日期为2024年6月13日的股东周年大会会议材料以及2024年6月21日的股东周年大会决议公告。</w:t>
              </w:r>
            </w:p>
            <w:p>
              <w:pPr>
                <w:ind w:firstLineChars="200" w:firstLine="420"/>
                <w:rPr>
                  <w:rFonts w:asciiTheme="minorEastAsia" w:eastAsiaTheme="minorEastAsia" w:hAnsiTheme="minorEastAsia"/>
                </w:rPr>
              </w:pPr>
              <w:r>
                <w:rPr>
                  <w:rFonts w:asciiTheme="minorEastAsia" w:eastAsiaTheme="minorEastAsia" w:hAnsiTheme="minorEastAsia" w:hint="eastAsia"/>
                </w:rPr>
                <w:t>经2024年10月25日召开的2024年度第一次临时股东大会审议批准，公司为优化中期分红程序，提高决策效率，修订了《公司章程》。详情请见本公司日期为2024年8月30日的公告、日期为2024年9月30日的通函、日期为2024年10月17日的股东大会会议材料以及2024年10月25日的股东大会决议公告。</w:t>
              </w:r>
            </w:p>
            <w:p>
              <w:pPr>
                <w:pStyle w:val="affffffd"/>
              </w:pPr>
            </w:p>
          </w:sdtContent>
        </w:sdt>
      </w:sdtContent>
    </w:sdt>
    <w:p>
      <w:pPr>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440987210"/>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sdt>
      <w:sdtPr>
        <w:rPr>
          <w:rFonts w:asciiTheme="minorEastAsia" w:eastAsiaTheme="minorEastAsia" w:hAnsiTheme="minorEastAsia"/>
        </w:rPr>
        <w:alias w:val="公司治理与相关规定存在差异的说明"/>
        <w:tag w:val="_GBC_7b14321ef36b48d3ab2ed46ae95a6865"/>
        <w:id w:val="-1379770965"/>
      </w:sdtPr>
      <w:sdtContent>
        <w:p>
          <w:pPr>
            <w:rPr>
              <w:rFonts w:asciiTheme="minorEastAsia" w:eastAsiaTheme="minorEastAsia" w:hAnsiTheme="minorEastAsia"/>
            </w:rPr>
          </w:pPr>
        </w:p>
        <w:p>
          <w:pPr>
            <w:ind w:firstLineChars="200" w:firstLine="420"/>
            <w:rPr>
              <w:rFonts w:asciiTheme="minorEastAsia" w:eastAsiaTheme="minorEastAsia" w:hAnsiTheme="minorEastAsia"/>
            </w:rPr>
          </w:pPr>
          <w:r>
            <w:rPr>
              <w:rFonts w:asciiTheme="minorEastAsia" w:eastAsiaTheme="minorEastAsia" w:hAnsiTheme="minorEastAsia" w:hint="eastAsia"/>
            </w:rPr>
            <w:t>公司自上市以来，按照《公司法》《证券法》及上市地有关监管规定，遵循透明、问责、维护全体股东权益的原则，建立了规范、稳健的企业法人治理结构，与中国证监会有关文件的要求不存在重大差异。</w:t>
          </w:r>
        </w:p>
      </w:sdtContent>
    </w:sdt>
    <w:p>
      <w:pPr>
        <w:rPr>
          <w:rFonts w:asciiTheme="minorEastAsia" w:eastAsiaTheme="minorEastAsia" w:hAnsiTheme="minorEastAsia"/>
        </w:rPr>
      </w:pPr>
    </w:p>
    <w:p>
      <w:pPr>
        <w:pStyle w:val="afffffff"/>
        <w:numPr>
          <w:ilvl w:val="0"/>
          <w:numId w:val="34"/>
        </w:numPr>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1356184277"/>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就其与控股股东在业务、人员、资产、机构、财务等方面存在的不能保证独立性、不能保持自主经营能力的情况说明"/>
        <w:tag w:val="_GBC_70c36110d2e1487fb53e14e63f815473"/>
        <w:id w:val="-395982875"/>
        <w:placeholder>
          <w:docPart w:val="GBC22222222222222222222222222222"/>
        </w:placeholder>
      </w:sdtPr>
      <w:sdtContent>
        <w:p>
          <w:pPr>
            <w:ind w:firstLineChars="200" w:firstLine="420"/>
            <w:rPr>
              <w:szCs w:val="21"/>
            </w:rPr>
          </w:pPr>
        </w:p>
        <w:p>
          <w:pPr>
            <w:ind w:firstLineChars="200" w:firstLine="420"/>
            <w:rPr>
              <w:rFonts w:asciiTheme="minorEastAsia" w:eastAsiaTheme="minorEastAsia" w:hAnsiTheme="minorEastAsia"/>
            </w:rPr>
          </w:pPr>
          <w:r>
            <w:rPr>
              <w:rFonts w:asciiTheme="minorEastAsia" w:eastAsiaTheme="minorEastAsia" w:hAnsiTheme="minorEastAsia" w:hint="eastAsia"/>
            </w:rPr>
            <w:t>山东能源作出承诺：确保兖矿能源的独立性并充分尊重兖矿能源的经营自主权。</w:t>
          </w:r>
        </w:p>
        <w:p>
          <w:pPr>
            <w:rPr>
              <w:szCs w:val="21"/>
            </w:rPr>
          </w:pPr>
        </w:p>
      </w:sdtContent>
    </w:sdt>
    <w:p>
      <w:pPr>
        <w:rPr>
          <w:szCs w:val="21"/>
        </w:rPr>
      </w:pPr>
    </w:p>
    <w:p>
      <w:pPr>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175038753"/>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因部分改制、行业特性、国家政策或收购兼并等原因导致的同业竞争和关联交易情况"/>
        <w:tag w:val="_GBC_fef9712559874aababcda00a55efbb32"/>
        <w:id w:val="-1732613083"/>
        <w:placeholder>
          <w:docPart w:val="GBC22222222222222222222222222222"/>
        </w:placeholder>
      </w:sdtPr>
      <w:sdtContent>
        <w:p>
          <w:pPr>
            <w:ind w:firstLineChars="200" w:firstLine="420"/>
            <w:rPr>
              <w:szCs w:val="21"/>
            </w:rPr>
          </w:pPr>
        </w:p>
        <w:p>
          <w:pPr>
            <w:ind w:firstLineChars="200" w:firstLine="420"/>
          </w:pPr>
          <w:r>
            <w:rPr>
              <w:rFonts w:asciiTheme="minorEastAsia" w:eastAsiaTheme="minorEastAsia" w:hAnsiTheme="minorEastAsia" w:hint="eastAsia"/>
            </w:rPr>
            <w:t>山东能源将继续履行解决同业竞争的承诺，采取各种有效措施避免与本集团产生同业竞争。</w:t>
          </w:r>
        </w:p>
        <w:p>
          <w:pPr>
            <w:pStyle w:val="affffffff"/>
          </w:pPr>
        </w:p>
      </w:sdtContent>
    </w:sdt>
    <w:p>
      <w:pPr>
        <w:rPr>
          <w:szCs w:val="21"/>
        </w:rPr>
      </w:pPr>
    </w:p>
    <w:p>
      <w:pPr>
        <w:pStyle w:val="afffffff"/>
        <w:numPr>
          <w:ilvl w:val="0"/>
          <w:numId w:val="34"/>
        </w:numPr>
      </w:pPr>
      <w:r>
        <w:t>股东大会情况简介</w:t>
      </w:r>
    </w:p>
    <w:tbl>
      <w:tblPr>
        <w:tblStyle w:val="g12"/>
        <w:tblW w:w="5000" w:type="pct"/>
        <w:tblInd w:w="0" w:type="dxa"/>
        <w:tblCellMar>
          <w:left w:w="108" w:type="dxa"/>
          <w:right w:w="108" w:type="dxa"/>
        </w:tblCellMar>
        <w:tblLook w:val="04A0" w:firstRow="1" w:lastRow="0" w:firstColumn="1" w:lastColumn="0" w:noHBand="0" w:noVBand="1"/>
      </w:tblPr>
      <w:tblGrid>
        <w:gridCol w:w="1423"/>
        <w:gridCol w:w="1309"/>
        <w:gridCol w:w="3473"/>
        <w:gridCol w:w="1309"/>
        <w:gridCol w:w="1309"/>
      </w:tblGrid>
      <w:tr>
        <w:trPr>
          <w:trHeight w:val="165"/>
        </w:trPr>
        <w:sdt>
          <w:sdtPr>
            <w:tag w:val="_PLD_ca305564151a412a8452996542c336c8"/>
            <w:id w:val="822317034"/>
          </w:sdtPr>
          <w:sdtContent>
            <w:tc>
              <w:tcPr>
                <w:tcW w:w="806" w:type="pct"/>
                <w:vAlign w:val="center"/>
              </w:tcPr>
              <w:p>
                <w:pPr>
                  <w:jc w:val="center"/>
                  <w:rPr>
                    <w:szCs w:val="21"/>
                  </w:rPr>
                </w:pPr>
                <w:r>
                  <w:rPr>
                    <w:szCs w:val="21"/>
                  </w:rPr>
                  <w:t>会议届次</w:t>
                </w:r>
              </w:p>
            </w:tc>
          </w:sdtContent>
        </w:sdt>
        <w:sdt>
          <w:sdtPr>
            <w:tag w:val="_PLD_339c8451b8064684a85c81b08813156b"/>
            <w:id w:val="1524593322"/>
          </w:sdtPr>
          <w:sdtContent>
            <w:tc>
              <w:tcPr>
                <w:tcW w:w="742" w:type="pct"/>
                <w:vAlign w:val="center"/>
              </w:tcPr>
              <w:p>
                <w:pPr>
                  <w:jc w:val="center"/>
                  <w:rPr>
                    <w:szCs w:val="21"/>
                  </w:rPr>
                </w:pPr>
                <w:r>
                  <w:rPr>
                    <w:szCs w:val="21"/>
                  </w:rPr>
                  <w:t>召开日期</w:t>
                </w:r>
              </w:p>
            </w:tc>
          </w:sdtContent>
        </w:sdt>
        <w:sdt>
          <w:sdtPr>
            <w:tag w:val="_PLD_7b97e84dc8f648a0b4bd3bbd757797d1"/>
            <w:id w:val="1002401326"/>
          </w:sdtPr>
          <w:sdtContent>
            <w:tc>
              <w:tcPr>
                <w:tcW w:w="1968" w:type="pct"/>
                <w:vAlign w:val="center"/>
              </w:tcPr>
              <w:p>
                <w:pPr>
                  <w:jc w:val="center"/>
                  <w:rPr>
                    <w:szCs w:val="21"/>
                  </w:rPr>
                </w:pPr>
                <w:r>
                  <w:rPr>
                    <w:szCs w:val="21"/>
                  </w:rPr>
                  <w:t>决议刊登的指定网站的查询索引</w:t>
                </w:r>
              </w:p>
            </w:tc>
          </w:sdtContent>
        </w:sdt>
        <w:sdt>
          <w:sdtPr>
            <w:tag w:val="_PLD_e175ad3c6edc4dc8a87f046a04fe2d07"/>
            <w:id w:val="823017898"/>
          </w:sdtPr>
          <w:sdtContent>
            <w:tc>
              <w:tcPr>
                <w:tcW w:w="742" w:type="pct"/>
                <w:vAlign w:val="center"/>
              </w:tcPr>
              <w:p>
                <w:pPr>
                  <w:jc w:val="center"/>
                  <w:rPr>
                    <w:szCs w:val="21"/>
                  </w:rPr>
                </w:pPr>
                <w:r>
                  <w:rPr>
                    <w:szCs w:val="21"/>
                  </w:rPr>
                  <w:t>决议刊登的披露日期</w:t>
                </w:r>
              </w:p>
            </w:tc>
          </w:sdtContent>
        </w:sdt>
        <w:sdt>
          <w:sdtPr>
            <w:tag w:val="_PLD_23fd9aa41f9444b4a6b91c96589bb344"/>
            <w:id w:val="2045170333"/>
          </w:sdtPr>
          <w:sdtContent>
            <w:tc>
              <w:tcPr>
                <w:tcW w:w="742" w:type="pct"/>
                <w:vAlign w:val="center"/>
              </w:tcPr>
              <w:p>
                <w:pPr>
                  <w:jc w:val="center"/>
                </w:pPr>
                <w:r>
                  <w:rPr>
                    <w:rFonts w:hint="eastAsia"/>
                  </w:rPr>
                  <w:t>会议决议</w:t>
                </w:r>
              </w:p>
            </w:tc>
          </w:sdtContent>
        </w:sdt>
      </w:tr>
      <w:tr>
        <w:trPr>
          <w:trHeight w:val="868"/>
        </w:trPr>
        <w:tc>
          <w:tcPr>
            <w:tcW w:w="806" w:type="pct"/>
          </w:tcPr>
          <w:p>
            <w:pPr>
              <w:rPr>
                <w:szCs w:val="21"/>
              </w:rPr>
            </w:pPr>
            <w:r>
              <w:rPr>
                <w:rFonts w:hint="eastAsia"/>
              </w:rPr>
              <w:t>2023年度股东周年大会</w:t>
            </w:r>
          </w:p>
        </w:tc>
        <w:tc>
          <w:tcPr>
            <w:tcW w:w="742" w:type="pct"/>
          </w:tcPr>
          <w:p>
            <w:pPr>
              <w:rPr>
                <w:szCs w:val="21"/>
              </w:rPr>
            </w:pPr>
            <w:r>
              <w:rPr>
                <w:rFonts w:hint="eastAsia"/>
              </w:rPr>
              <w:t>2024年6月21日</w:t>
            </w:r>
          </w:p>
        </w:tc>
        <w:tc>
          <w:tcPr>
            <w:tcW w:w="1968" w:type="pct"/>
            <w:vMerge w:val="restart"/>
          </w:tcPr>
          <w:p>
            <w:pPr>
              <w:rPr>
                <w:szCs w:val="21"/>
              </w:rPr>
            </w:pPr>
            <w:r>
              <w:rPr>
                <w:rFonts w:hint="eastAsia"/>
                <w:szCs w:val="21"/>
              </w:rPr>
              <w:t>上交所网站</w:t>
            </w:r>
          </w:p>
          <w:p>
            <w:pPr>
              <w:rPr>
                <w:szCs w:val="21"/>
              </w:rPr>
            </w:pPr>
            <w:r>
              <w:rPr>
                <w:rFonts w:hint="eastAsia"/>
                <w:szCs w:val="21"/>
              </w:rPr>
              <w:t>（http://www.sse.com.cn）</w:t>
            </w:r>
          </w:p>
          <w:p>
            <w:pPr>
              <w:rPr>
                <w:szCs w:val="21"/>
              </w:rPr>
            </w:pPr>
            <w:r>
              <w:rPr>
                <w:rFonts w:hint="eastAsia"/>
                <w:szCs w:val="21"/>
              </w:rPr>
              <w:t>香港联交所网站</w:t>
            </w:r>
          </w:p>
          <w:p>
            <w:pPr>
              <w:rPr>
                <w:szCs w:val="21"/>
              </w:rPr>
            </w:pPr>
            <w:r>
              <w:rPr>
                <w:rFonts w:hint="eastAsia"/>
                <w:szCs w:val="21"/>
              </w:rPr>
              <w:lastRenderedPageBreak/>
              <w:t>（http://www.hkexnews.hk）</w:t>
            </w:r>
          </w:p>
          <w:p>
            <w:pPr>
              <w:rPr>
                <w:szCs w:val="21"/>
              </w:rPr>
            </w:pPr>
            <w:r>
              <w:rPr>
                <w:rFonts w:hint="eastAsia"/>
                <w:szCs w:val="21"/>
              </w:rPr>
              <w:t>公司网站</w:t>
            </w:r>
          </w:p>
          <w:p>
            <w:pPr>
              <w:rPr>
                <w:szCs w:val="21"/>
              </w:rPr>
            </w:pPr>
            <w:r>
              <w:rPr>
                <w:rFonts w:hint="eastAsia"/>
                <w:szCs w:val="21"/>
              </w:rPr>
              <w:t>（http://www.ykenergy.com</w:t>
            </w:r>
          </w:p>
          <w:p>
            <w:pPr>
              <w:rPr>
                <w:szCs w:val="21"/>
              </w:rPr>
            </w:pPr>
            <w:r>
              <w:rPr>
                <w:rFonts w:hint="eastAsia"/>
                <w:szCs w:val="21"/>
              </w:rPr>
              <w:t>http://www.yanzhoucoal.com.cn）</w:t>
            </w:r>
          </w:p>
        </w:tc>
        <w:tc>
          <w:tcPr>
            <w:tcW w:w="742" w:type="pct"/>
          </w:tcPr>
          <w:p>
            <w:pPr>
              <w:rPr>
                <w:szCs w:val="21"/>
              </w:rPr>
            </w:pPr>
            <w:r>
              <w:rPr>
                <w:rFonts w:hint="eastAsia"/>
                <w:szCs w:val="21"/>
              </w:rPr>
              <w:lastRenderedPageBreak/>
              <w:t>2024年6月21日</w:t>
            </w:r>
          </w:p>
        </w:tc>
        <w:tc>
          <w:tcPr>
            <w:tcW w:w="742" w:type="pct"/>
          </w:tcPr>
          <w:p>
            <w:pPr>
              <w:rPr>
                <w:szCs w:val="21"/>
              </w:rPr>
            </w:pPr>
            <w:r>
              <w:rPr>
                <w:rFonts w:hint="eastAsia"/>
                <w:szCs w:val="21"/>
              </w:rPr>
              <w:t>通过所有议案</w:t>
            </w:r>
          </w:p>
        </w:tc>
      </w:tr>
      <w:tr>
        <w:trPr>
          <w:trHeight w:val="875"/>
        </w:trPr>
        <w:tc>
          <w:tcPr>
            <w:tcW w:w="806" w:type="pct"/>
          </w:tcPr>
          <w:p>
            <w:pPr>
              <w:rPr>
                <w:szCs w:val="21"/>
              </w:rPr>
            </w:pPr>
            <w:r>
              <w:rPr>
                <w:rFonts w:hint="eastAsia"/>
                <w:szCs w:val="21"/>
              </w:rPr>
              <w:lastRenderedPageBreak/>
              <w:t>2024年度第一次临时股东大会</w:t>
            </w:r>
          </w:p>
        </w:tc>
        <w:tc>
          <w:tcPr>
            <w:tcW w:w="742" w:type="pct"/>
          </w:tcPr>
          <w:p>
            <w:pPr>
              <w:rPr>
                <w:szCs w:val="21"/>
              </w:rPr>
            </w:pPr>
            <w:r>
              <w:rPr>
                <w:rFonts w:hint="eastAsia"/>
                <w:szCs w:val="21"/>
              </w:rPr>
              <w:t>2024年10月25日</w:t>
            </w:r>
          </w:p>
        </w:tc>
        <w:tc>
          <w:tcPr>
            <w:tcW w:w="1968" w:type="pct"/>
            <w:vMerge/>
          </w:tcPr>
          <w:p>
            <w:pPr>
              <w:rPr>
                <w:szCs w:val="21"/>
              </w:rPr>
            </w:pPr>
          </w:p>
        </w:tc>
        <w:tc>
          <w:tcPr>
            <w:tcW w:w="742" w:type="pct"/>
          </w:tcPr>
          <w:p>
            <w:pPr>
              <w:rPr>
                <w:szCs w:val="21"/>
              </w:rPr>
            </w:pPr>
            <w:r>
              <w:rPr>
                <w:rFonts w:hint="eastAsia"/>
                <w:szCs w:val="21"/>
              </w:rPr>
              <w:t>2024年10月25日</w:t>
            </w:r>
          </w:p>
        </w:tc>
        <w:tc>
          <w:tcPr>
            <w:tcW w:w="742" w:type="pct"/>
          </w:tcPr>
          <w:p>
            <w:pPr>
              <w:rPr>
                <w:szCs w:val="21"/>
              </w:rPr>
            </w:pPr>
            <w:r>
              <w:rPr>
                <w:rFonts w:hint="eastAsia"/>
                <w:szCs w:val="21"/>
              </w:rPr>
              <w:t>通过所有议案</w:t>
            </w:r>
          </w:p>
        </w:tc>
      </w:tr>
    </w:tbl>
    <w:p>
      <w:pPr>
        <w:pStyle w:val="affffffff"/>
      </w:pPr>
    </w:p>
    <w:p>
      <w:pPr>
        <w:pStyle w:val="affffffff"/>
      </w:pPr>
      <w:r>
        <w:rPr>
          <w:rFonts w:hint="eastAsia"/>
        </w:rPr>
        <w:t>注：上表中“决议刊登的披露日期”为决议公告所载日期。</w:t>
      </w:r>
    </w:p>
    <w:p>
      <w:pPr>
        <w:pStyle w:val="affffffff"/>
      </w:pPr>
    </w:p>
    <w:p>
      <w:pPr>
        <w:rPr>
          <w:bCs/>
        </w:rPr>
      </w:pPr>
      <w:bookmarkStart w:id="116" w:name="_Hlk41294309"/>
      <w:bookmarkStart w:id="117" w:name="_Hlk89178901"/>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661666847"/>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bookmarkEnd w:id="116"/>
    <w:bookmarkEnd w:id="117"/>
    <w:p>
      <w:pPr>
        <w:rPr>
          <w:szCs w:val="21"/>
        </w:rPr>
      </w:pPr>
    </w:p>
    <w:p>
      <w:pPr>
        <w:rPr>
          <w:szCs w:val="21"/>
        </w:rPr>
      </w:pPr>
      <w:r>
        <w:rPr>
          <w:szCs w:val="21"/>
        </w:rPr>
        <w:t>股东大会情况说明</w:t>
      </w:r>
    </w:p>
    <w:sdt>
      <w:sdtPr>
        <w:rPr>
          <w:szCs w:val="21"/>
        </w:rPr>
        <w:alias w:val="是否适用：股东大会情况说明[双击切换]"/>
        <w:tag w:val="_GBC_417d33555ab14709b5640c8830ff5a67"/>
        <w:id w:val="-749812931"/>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rPr>
          <w:szCs w:val="21"/>
        </w:rPr>
        <w:sectPr>
          <w:pgSz w:w="11906" w:h="16838"/>
          <w:pgMar w:top="1525" w:right="1276" w:bottom="1440" w:left="1797" w:header="855" w:footer="992" w:gutter="0"/>
          <w:cols w:space="425"/>
          <w:docGrid w:linePitch="312"/>
        </w:sectPr>
      </w:pPr>
    </w:p>
    <w:p>
      <w:pPr>
        <w:pStyle w:val="afffffff"/>
        <w:numPr>
          <w:ilvl w:val="0"/>
          <w:numId w:val="34"/>
        </w:numPr>
      </w:pPr>
      <w:r>
        <w:lastRenderedPageBreak/>
        <w:t>董事、监事和高级管理人员的情况</w:t>
      </w:r>
    </w:p>
    <w:p>
      <w:pPr>
        <w:pStyle w:val="afffffff1"/>
        <w:numPr>
          <w:ilvl w:val="0"/>
          <w:numId w:val="35"/>
        </w:numPr>
        <w:ind w:left="0" w:firstLine="0"/>
      </w:pPr>
      <w:r>
        <w:rPr>
          <w:rFonts w:hint="eastAsia"/>
        </w:rPr>
        <w:t xml:space="preserve"> </w:t>
      </w:r>
      <w:r>
        <w:t>现任及报告期内离任董事</w:t>
      </w:r>
      <w:r>
        <w:rPr>
          <w:rFonts w:hint="eastAsia"/>
        </w:rPr>
        <w:t>、监事和</w:t>
      </w:r>
      <w:r>
        <w:t>高级管理人员持股变动及报酬情况</w:t>
      </w:r>
    </w:p>
    <w:p>
      <w:pPr>
        <w:ind w:firstLineChars="200" w:firstLine="420"/>
      </w:pPr>
      <w:r>
        <w:rPr>
          <w:rFonts w:asciiTheme="minorEastAsia" w:eastAsiaTheme="minorEastAsia" w:hAnsiTheme="minorEastAsia" w:hint="eastAsia"/>
        </w:rPr>
        <w:t>截至本报告期末，除下述披露外，本公司董事、监事及最高行政人员概无在本公司或其任何相联法团（定义见香港《证券及期货条例》第</w:t>
      </w:r>
      <w:r>
        <w:rPr>
          <w:rFonts w:asciiTheme="minorEastAsia" w:eastAsiaTheme="minorEastAsia" w:hAnsiTheme="minorEastAsia"/>
        </w:rPr>
        <w:t>XV</w:t>
      </w:r>
      <w:r>
        <w:rPr>
          <w:rFonts w:asciiTheme="minorEastAsia" w:eastAsiaTheme="minorEastAsia" w:hAnsiTheme="minorEastAsia" w:hint="eastAsia"/>
        </w:rPr>
        <w:t>部所指的相联法团）的股份、相关股份及债券中拥有权益及淡仓，而该等权益及淡仓（</w:t>
      </w:r>
      <w:r>
        <w:rPr>
          <w:rFonts w:asciiTheme="minorEastAsia" w:eastAsiaTheme="minorEastAsia" w:hAnsiTheme="minorEastAsia"/>
        </w:rPr>
        <w:t>i</w:t>
      </w:r>
      <w:r>
        <w:rPr>
          <w:rFonts w:asciiTheme="minorEastAsia" w:eastAsiaTheme="minorEastAsia" w:hAnsiTheme="minorEastAsia" w:hint="eastAsia"/>
        </w:rPr>
        <w:t>）根据香港《证券及期货条例》第</w:t>
      </w:r>
      <w:r>
        <w:rPr>
          <w:rFonts w:asciiTheme="minorEastAsia" w:eastAsiaTheme="minorEastAsia" w:hAnsiTheme="minorEastAsia"/>
        </w:rPr>
        <w:t>352</w:t>
      </w:r>
      <w:r>
        <w:rPr>
          <w:rFonts w:asciiTheme="minorEastAsia" w:eastAsiaTheme="minorEastAsia" w:hAnsiTheme="minorEastAsia" w:hint="eastAsia"/>
        </w:rPr>
        <w:t>条规定，应记录在须予备存的登记册中；或（</w:t>
      </w:r>
      <w:r>
        <w:rPr>
          <w:rFonts w:asciiTheme="minorEastAsia" w:eastAsiaTheme="minorEastAsia" w:hAnsiTheme="minorEastAsia"/>
        </w:rPr>
        <w:t>ii</w:t>
      </w:r>
      <w:r>
        <w:rPr>
          <w:rFonts w:asciiTheme="minorEastAsia" w:eastAsiaTheme="minorEastAsia" w:hAnsiTheme="minorEastAsia" w:hint="eastAsia"/>
        </w:rPr>
        <w:t>）根据《上市发行人董事进行证券交易的标准守则》（“《标准守则》”）规定，需通知本公司及香港联交所。</w:t>
      </w:r>
    </w:p>
    <w:p>
      <w:pPr>
        <w:pStyle w:val="affffffd"/>
      </w:pPr>
    </w:p>
    <w:bookmarkStart w:id="118" w:name="_Hlk89179934" w:displacedByCustomXml="next"/>
    <w:sdt>
      <w:sdtPr>
        <w:alias w:val="是否适用：董事、监事和高级管理人员持股变动[双击切换]"/>
        <w:tag w:val="_GBC_336639f5f1254c87a3d81a366e432afd"/>
        <w:id w:val="1845742010"/>
        <w:lock w:val="contentLocked"/>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1498236607"/>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g12"/>
        <w:tblW w:w="5000" w:type="pct"/>
        <w:jc w:val="center"/>
        <w:tblInd w:w="0" w:type="dxa"/>
        <w:tblCellMar>
          <w:left w:w="108" w:type="dxa"/>
          <w:right w:w="108" w:type="dxa"/>
        </w:tblCellMar>
        <w:tblLook w:val="04A0" w:firstRow="1" w:lastRow="0" w:firstColumn="1" w:lastColumn="0" w:noHBand="0" w:noVBand="1"/>
      </w:tblPr>
      <w:tblGrid>
        <w:gridCol w:w="985"/>
        <w:gridCol w:w="1562"/>
        <w:gridCol w:w="569"/>
        <w:gridCol w:w="707"/>
        <w:gridCol w:w="1273"/>
        <w:gridCol w:w="1506"/>
        <w:gridCol w:w="1173"/>
        <w:gridCol w:w="1162"/>
        <w:gridCol w:w="1342"/>
        <w:gridCol w:w="1483"/>
        <w:gridCol w:w="1131"/>
        <w:gridCol w:w="970"/>
      </w:tblGrid>
      <w:tr>
        <w:trPr>
          <w:trHeight w:val="968"/>
          <w:jc w:val="center"/>
        </w:trPr>
        <w:sdt>
          <w:sdtPr>
            <w:rPr>
              <w:rFonts w:asciiTheme="minorEastAsia" w:eastAsiaTheme="minorEastAsia" w:hAnsiTheme="minorEastAsia"/>
            </w:rPr>
            <w:tag w:val="_PLD_3e935958e5b542f38f53ca8a2618690d"/>
            <w:id w:val="1523522094"/>
          </w:sdtPr>
          <w:sdtContent>
            <w:tc>
              <w:tcPr>
                <w:tcW w:w="355" w:type="pct"/>
                <w:vAlign w:val="center"/>
              </w:tcPr>
              <w:p>
                <w:pPr>
                  <w:jc w:val="center"/>
                  <w:rPr>
                    <w:rFonts w:asciiTheme="minorEastAsia" w:eastAsiaTheme="minorEastAsia" w:hAnsiTheme="minorEastAsia"/>
                  </w:rPr>
                </w:pPr>
                <w:r>
                  <w:rPr>
                    <w:rFonts w:asciiTheme="minorEastAsia" w:eastAsiaTheme="minorEastAsia" w:hAnsiTheme="minorEastAsia"/>
                  </w:rPr>
                  <w:t>姓名</w:t>
                </w:r>
              </w:p>
            </w:tc>
          </w:sdtContent>
        </w:sdt>
        <w:sdt>
          <w:sdtPr>
            <w:rPr>
              <w:rFonts w:asciiTheme="minorEastAsia" w:eastAsiaTheme="minorEastAsia" w:hAnsiTheme="minorEastAsia"/>
            </w:rPr>
            <w:tag w:val="_PLD_5ecaa59058dd4312acb6ebb4d88eb6c8"/>
            <w:id w:val="-1279641087"/>
          </w:sdtPr>
          <w:sdtContent>
            <w:tc>
              <w:tcPr>
                <w:tcW w:w="563" w:type="pct"/>
                <w:vAlign w:val="center"/>
              </w:tcPr>
              <w:p>
                <w:pPr>
                  <w:jc w:val="center"/>
                  <w:rPr>
                    <w:rFonts w:asciiTheme="minorEastAsia" w:eastAsiaTheme="minorEastAsia" w:hAnsiTheme="minorEastAsia"/>
                  </w:rPr>
                </w:pPr>
                <w:r>
                  <w:rPr>
                    <w:rFonts w:asciiTheme="minorEastAsia" w:eastAsiaTheme="minorEastAsia" w:hAnsiTheme="minorEastAsia"/>
                  </w:rPr>
                  <w:t>职务</w:t>
                </w:r>
              </w:p>
            </w:tc>
          </w:sdtContent>
        </w:sdt>
        <w:sdt>
          <w:sdtPr>
            <w:rPr>
              <w:rFonts w:asciiTheme="minorEastAsia" w:eastAsiaTheme="minorEastAsia" w:hAnsiTheme="minorEastAsia"/>
            </w:rPr>
            <w:tag w:val="_PLD_f907f9c5cdf94b2ba9e217c0aaaf2c60"/>
            <w:id w:val="-1771930158"/>
          </w:sdtPr>
          <w:sdtContent>
            <w:tc>
              <w:tcPr>
                <w:tcW w:w="205" w:type="pct"/>
                <w:vAlign w:val="center"/>
              </w:tcPr>
              <w:p>
                <w:pPr>
                  <w:jc w:val="center"/>
                  <w:rPr>
                    <w:rFonts w:asciiTheme="minorEastAsia" w:eastAsiaTheme="minorEastAsia" w:hAnsiTheme="minorEastAsia"/>
                  </w:rPr>
                </w:pPr>
                <w:r>
                  <w:rPr>
                    <w:rFonts w:asciiTheme="minorEastAsia" w:eastAsiaTheme="minorEastAsia" w:hAnsiTheme="minorEastAsia"/>
                  </w:rPr>
                  <w:t>性别</w:t>
                </w:r>
              </w:p>
            </w:tc>
          </w:sdtContent>
        </w:sdt>
        <w:sdt>
          <w:sdtPr>
            <w:rPr>
              <w:rFonts w:asciiTheme="minorEastAsia" w:eastAsiaTheme="minorEastAsia" w:hAnsiTheme="minorEastAsia"/>
            </w:rPr>
            <w:tag w:val="_PLD_9b2689bca35f4a3ebc7adf135b295bd6"/>
            <w:id w:val="1103297342"/>
          </w:sdtPr>
          <w:sdtContent>
            <w:tc>
              <w:tcPr>
                <w:tcW w:w="255" w:type="pct"/>
                <w:vAlign w:val="center"/>
              </w:tcPr>
              <w:p>
                <w:pPr>
                  <w:jc w:val="center"/>
                  <w:rPr>
                    <w:rFonts w:asciiTheme="minorEastAsia" w:eastAsiaTheme="minorEastAsia" w:hAnsiTheme="minorEastAsia"/>
                  </w:rPr>
                </w:pPr>
                <w:r>
                  <w:rPr>
                    <w:rFonts w:asciiTheme="minorEastAsia" w:eastAsiaTheme="minorEastAsia" w:hAnsiTheme="minorEastAsia"/>
                  </w:rPr>
                  <w:t>年龄</w:t>
                </w:r>
              </w:p>
            </w:tc>
          </w:sdtContent>
        </w:sdt>
        <w:sdt>
          <w:sdtPr>
            <w:rPr>
              <w:rFonts w:asciiTheme="minorEastAsia" w:eastAsiaTheme="minorEastAsia" w:hAnsiTheme="minorEastAsia"/>
            </w:rPr>
            <w:tag w:val="_PLD_3844eb481c79444fba199a9d3c3b8bf7"/>
            <w:id w:val="-315108492"/>
          </w:sdtPr>
          <w:sdtContent>
            <w:tc>
              <w:tcPr>
                <w:tcW w:w="459" w:type="pct"/>
                <w:vAlign w:val="center"/>
              </w:tcPr>
              <w:p>
                <w:pPr>
                  <w:jc w:val="center"/>
                  <w:rPr>
                    <w:rFonts w:asciiTheme="minorEastAsia" w:eastAsiaTheme="minorEastAsia" w:hAnsiTheme="minorEastAsia"/>
                  </w:rPr>
                </w:pPr>
                <w:r>
                  <w:rPr>
                    <w:rFonts w:asciiTheme="minorEastAsia" w:eastAsiaTheme="minorEastAsia" w:hAnsiTheme="minorEastAsia"/>
                  </w:rPr>
                  <w:t>任期起始日期</w:t>
                </w:r>
              </w:p>
            </w:tc>
          </w:sdtContent>
        </w:sdt>
        <w:sdt>
          <w:sdtPr>
            <w:rPr>
              <w:rFonts w:asciiTheme="minorEastAsia" w:eastAsiaTheme="minorEastAsia" w:hAnsiTheme="minorEastAsia"/>
            </w:rPr>
            <w:tag w:val="_PLD_94806df607544b4b97b389da94daaf66"/>
            <w:id w:val="1892535361"/>
          </w:sdtPr>
          <w:sdtContent>
            <w:tc>
              <w:tcPr>
                <w:tcW w:w="543" w:type="pct"/>
                <w:vAlign w:val="center"/>
              </w:tcPr>
              <w:p>
                <w:pPr>
                  <w:jc w:val="center"/>
                  <w:rPr>
                    <w:rFonts w:asciiTheme="minorEastAsia" w:eastAsiaTheme="minorEastAsia" w:hAnsiTheme="minorEastAsia"/>
                  </w:rPr>
                </w:pPr>
                <w:r>
                  <w:rPr>
                    <w:rFonts w:asciiTheme="minorEastAsia" w:eastAsiaTheme="minorEastAsia" w:hAnsiTheme="minorEastAsia"/>
                  </w:rPr>
                  <w:t>任期终止日期</w:t>
                </w:r>
              </w:p>
            </w:tc>
          </w:sdtContent>
        </w:sdt>
        <w:sdt>
          <w:sdtPr>
            <w:rPr>
              <w:rFonts w:asciiTheme="minorEastAsia" w:eastAsiaTheme="minorEastAsia" w:hAnsiTheme="minorEastAsia"/>
            </w:rPr>
            <w:tag w:val="_PLD_5e35d588fd7f4cb3af49fcbd9e313ac2"/>
            <w:id w:val="1208306215"/>
          </w:sdtPr>
          <w:sdtContent>
            <w:tc>
              <w:tcPr>
                <w:tcW w:w="423" w:type="pct"/>
                <w:vAlign w:val="center"/>
              </w:tcPr>
              <w:p>
                <w:pPr>
                  <w:jc w:val="center"/>
                  <w:rPr>
                    <w:rFonts w:asciiTheme="minorEastAsia" w:eastAsiaTheme="minorEastAsia" w:hAnsiTheme="minorEastAsia"/>
                  </w:rPr>
                </w:pPr>
                <w:r>
                  <w:rPr>
                    <w:rFonts w:asciiTheme="minorEastAsia" w:eastAsiaTheme="minorEastAsia" w:hAnsiTheme="minorEastAsia"/>
                  </w:rPr>
                  <w:t>年初持股数</w:t>
                </w:r>
              </w:p>
            </w:tc>
          </w:sdtContent>
        </w:sdt>
        <w:sdt>
          <w:sdtPr>
            <w:rPr>
              <w:rFonts w:asciiTheme="minorEastAsia" w:eastAsiaTheme="minorEastAsia" w:hAnsiTheme="minorEastAsia"/>
            </w:rPr>
            <w:tag w:val="_PLD_af0cabd7e3f44b95b26464bc652333c2"/>
            <w:id w:val="533472454"/>
          </w:sdtPr>
          <w:sdtContent>
            <w:tc>
              <w:tcPr>
                <w:tcW w:w="419" w:type="pct"/>
                <w:vAlign w:val="center"/>
              </w:tcPr>
              <w:p>
                <w:pPr>
                  <w:jc w:val="center"/>
                  <w:rPr>
                    <w:rFonts w:asciiTheme="minorEastAsia" w:eastAsiaTheme="minorEastAsia" w:hAnsiTheme="minorEastAsia"/>
                  </w:rPr>
                </w:pPr>
                <w:r>
                  <w:rPr>
                    <w:rFonts w:asciiTheme="minorEastAsia" w:eastAsiaTheme="minorEastAsia" w:hAnsiTheme="minorEastAsia"/>
                  </w:rPr>
                  <w:t>年末持股数</w:t>
                </w:r>
              </w:p>
            </w:tc>
          </w:sdtContent>
        </w:sdt>
        <w:sdt>
          <w:sdtPr>
            <w:rPr>
              <w:rFonts w:asciiTheme="minorEastAsia" w:eastAsiaTheme="minorEastAsia" w:hAnsiTheme="minorEastAsia"/>
            </w:rPr>
            <w:tag w:val="_PLD_0b9453da77b34ba68718efe69463399a"/>
            <w:id w:val="405892412"/>
          </w:sdtPr>
          <w:sdtContent>
            <w:tc>
              <w:tcPr>
                <w:tcW w:w="484" w:type="pct"/>
                <w:vAlign w:val="center"/>
              </w:tcPr>
              <w:p>
                <w:pPr>
                  <w:jc w:val="center"/>
                  <w:rPr>
                    <w:rFonts w:asciiTheme="minorEastAsia" w:eastAsiaTheme="minorEastAsia" w:hAnsiTheme="minorEastAsia"/>
                  </w:rPr>
                </w:pPr>
                <w:r>
                  <w:rPr>
                    <w:rFonts w:asciiTheme="minorEastAsia" w:eastAsiaTheme="minorEastAsia" w:hAnsiTheme="minorEastAsia"/>
                  </w:rPr>
                  <w:t>年度内股份增减变动量</w:t>
                </w:r>
              </w:p>
            </w:tc>
          </w:sdtContent>
        </w:sdt>
        <w:sdt>
          <w:sdtPr>
            <w:rPr>
              <w:rFonts w:asciiTheme="minorEastAsia" w:eastAsiaTheme="minorEastAsia" w:hAnsiTheme="minorEastAsia"/>
            </w:rPr>
            <w:tag w:val="_PLD_32c045d1529e42b7999b1f0c6b6e43a6"/>
            <w:id w:val="-132028972"/>
          </w:sdtPr>
          <w:sdtContent>
            <w:tc>
              <w:tcPr>
                <w:tcW w:w="535" w:type="pct"/>
                <w:vAlign w:val="center"/>
              </w:tcPr>
              <w:p>
                <w:pPr>
                  <w:jc w:val="center"/>
                  <w:rPr>
                    <w:rFonts w:asciiTheme="minorEastAsia" w:eastAsiaTheme="minorEastAsia" w:hAnsiTheme="minorEastAsia"/>
                  </w:rPr>
                </w:pPr>
                <w:r>
                  <w:rPr>
                    <w:rFonts w:asciiTheme="minorEastAsia" w:eastAsiaTheme="minorEastAsia" w:hAnsiTheme="minorEastAsia"/>
                  </w:rPr>
                  <w:t>增减变动原因</w:t>
                </w:r>
              </w:p>
            </w:tc>
          </w:sdtContent>
        </w:sdt>
        <w:sdt>
          <w:sdtPr>
            <w:rPr>
              <w:rFonts w:asciiTheme="minorEastAsia" w:eastAsiaTheme="minorEastAsia" w:hAnsiTheme="minorEastAsia" w:hint="eastAsia"/>
            </w:rPr>
            <w:tag w:val="_PLD_47ee572944fa4c8098ef9eeca67d2eb2"/>
            <w:id w:val="-1047294844"/>
          </w:sdtPr>
          <w:sdtContent>
            <w:tc>
              <w:tcPr>
                <w:tcW w:w="408" w:type="pct"/>
                <w:vAlign w:val="center"/>
              </w:tcPr>
              <w:p>
                <w:pPr>
                  <w:jc w:val="center"/>
                  <w:rPr>
                    <w:rFonts w:asciiTheme="minorEastAsia" w:eastAsiaTheme="minorEastAsia" w:hAnsiTheme="minorEastAsia"/>
                  </w:rPr>
                </w:pPr>
                <w:r>
                  <w:rPr>
                    <w:rFonts w:asciiTheme="minorEastAsia" w:eastAsiaTheme="minorEastAsia" w:hAnsiTheme="minorEastAsia" w:hint="eastAsia"/>
                  </w:rPr>
                  <w:t>报告期内从公司获得的税前报酬总额（</w:t>
                </w:r>
                <w:sdt>
                  <w:sdtPr>
                    <w:rPr>
                      <w:rFonts w:asciiTheme="minorEastAsia" w:eastAsiaTheme="minorEastAsia" w:hAnsiTheme="minorEastAsia" w:hint="eastAsia"/>
                    </w:rPr>
                    <w:alias w:val="单位：报告期内从公司获得的税前报酬总额"/>
                    <w:tag w:val="_GBC_84bf98b6209e4e62813239bd0860e78d"/>
                    <w:id w:val="-803925304"/>
                    <w:comboBox>
                      <w:listItem w:displayText="元" w:value="元"/>
                      <w:listItem w:displayText="千元" w:value="千元"/>
                      <w:listItem w:displayText="万元" w:value="万元"/>
                      <w:listItem w:displayText="百万元" w:value="百万元"/>
                      <w:listItem w:displayText="亿元" w:value="亿元"/>
                    </w:comboBox>
                  </w:sdtPr>
                  <w:sdtContent>
                    <w:r>
                      <w:rPr>
                        <w:rFonts w:asciiTheme="minorEastAsia" w:eastAsiaTheme="minorEastAsia" w:hAnsiTheme="minorEastAsia" w:hint="eastAsia"/>
                      </w:rPr>
                      <w:t>万元</w:t>
                    </w:r>
                  </w:sdtContent>
                </w:sdt>
                <w:r>
                  <w:rPr>
                    <w:rFonts w:asciiTheme="minorEastAsia" w:eastAsiaTheme="minorEastAsia" w:hAnsiTheme="minorEastAsia" w:hint="eastAsia"/>
                  </w:rPr>
                  <w:t>）</w:t>
                </w:r>
              </w:p>
            </w:tc>
          </w:sdtContent>
        </w:sdt>
        <w:sdt>
          <w:sdtPr>
            <w:rPr>
              <w:rFonts w:asciiTheme="minorEastAsia" w:eastAsiaTheme="minorEastAsia" w:hAnsiTheme="minorEastAsia" w:hint="eastAsia"/>
            </w:rPr>
            <w:tag w:val="_PLD_efdfb631398b46bfa3656e39fd8c5fca"/>
            <w:id w:val="-54777898"/>
          </w:sdtPr>
          <w:sdtContent>
            <w:tc>
              <w:tcPr>
                <w:tcW w:w="350" w:type="pct"/>
                <w:vAlign w:val="center"/>
              </w:tcPr>
              <w:p>
                <w:pPr>
                  <w:jc w:val="center"/>
                  <w:rPr>
                    <w:rFonts w:asciiTheme="minorEastAsia" w:eastAsiaTheme="minorEastAsia" w:hAnsiTheme="minorEastAsia"/>
                  </w:rPr>
                </w:pPr>
                <w:r>
                  <w:rPr>
                    <w:rFonts w:asciiTheme="minorEastAsia" w:eastAsiaTheme="minorEastAsia" w:hAnsiTheme="minorEastAsia" w:hint="eastAsia"/>
                  </w:rPr>
                  <w:t>是否在公司关联方获取报酬</w:t>
                </w:r>
              </w:p>
            </w:tc>
          </w:sdtContent>
        </w:sdt>
      </w:tr>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127273089"/>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李  伟</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董事、董事长</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58</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rPr>
                  <w:t>2021-08-20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15,000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19,500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rPr>
                  <w:t>4</w:t>
                </w:r>
                <w:r>
                  <w:rPr>
                    <w:rFonts w:asciiTheme="minorEastAsia" w:eastAsiaTheme="minorEastAsia" w:hAnsiTheme="minorEastAsia" w:hint="eastAsia"/>
                  </w:rPr>
                  <w:t>,</w:t>
                </w:r>
                <w:r>
                  <w:rPr>
                    <w:rFonts w:asciiTheme="minorEastAsia" w:eastAsiaTheme="minorEastAsia" w:hAnsiTheme="minorEastAsia"/>
                  </w:rPr>
                  <w:t>5</w:t>
                </w:r>
                <w:r>
                  <w:rPr>
                    <w:rFonts w:asciiTheme="minorEastAsia" w:eastAsiaTheme="minorEastAsia" w:hAnsiTheme="minorEastAsia" w:hint="eastAsia"/>
                  </w:rPr>
                  <w:t>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tc>
            <w:tc>
              <w:tcPr>
                <w:tcW w:w="408" w:type="pct"/>
                <w:vAlign w:val="center"/>
              </w:tcPr>
              <w:p>
                <w:pPr>
                  <w:jc w:val="center"/>
                  <w:rPr>
                    <w:rFonts w:asciiTheme="minorEastAsia" w:eastAsiaTheme="minorEastAsia" w:hAnsiTheme="minorEastAsia"/>
                  </w:rPr>
                </w:pPr>
                <w:r>
                  <w:rPr>
                    <w:rFonts w:hint="eastAsia"/>
                  </w:rPr>
                  <w:t>-</w:t>
                </w:r>
              </w:p>
            </w:tc>
            <w:sdt>
              <w:sdtPr>
                <w:rPr>
                  <w:rFonts w:asciiTheme="minorEastAsia" w:eastAsiaTheme="minorEastAsia" w:hAnsiTheme="minorEastAsia"/>
                </w:rPr>
                <w:alias w:val="董事、监事、高级管理人员是否在公司关联方获取报酬"/>
                <w:tag w:val="_GBC_ca79c4e139754ecd84ca3e60eb23b31d"/>
                <w:id w:val="2090961153"/>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tc>
              </w:sdtContent>
            </w:sdt>
          </w:tr>
        </w:sdtContent>
      </w:sdt>
      <w:sdt>
        <w:sdtPr>
          <w:alias w:val="董事、监事、高级管理人员基本情况"/>
          <w:tag w:val="_TUP_7890760e7fef44f4bcc994fe788f22ef"/>
          <w:id w:val="121036438"/>
        </w:sdtPr>
        <w:sdtContent>
          <w:tr>
            <w:trPr>
              <w:trHeight w:val="132"/>
              <w:jc w:val="center"/>
            </w:trPr>
            <w:tc>
              <w:tcPr>
                <w:tcW w:w="355" w:type="pct"/>
                <w:vMerge w:val="restart"/>
                <w:vAlign w:val="center"/>
              </w:tcPr>
              <w:p>
                <w:pPr>
                  <w:jc w:val="center"/>
                  <w:rPr>
                    <w:rFonts w:asciiTheme="minorEastAsia" w:eastAsiaTheme="minorEastAsia" w:hAnsiTheme="minorEastAsia"/>
                  </w:rPr>
                </w:pPr>
                <w:r>
                  <w:rPr>
                    <w:rFonts w:hint="eastAsia"/>
                  </w:rPr>
                  <w:t>王九红</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总经理</w:t>
                </w:r>
              </w:p>
            </w:tc>
            <w:tc>
              <w:tcPr>
                <w:tcW w:w="20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48</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2024-11-13</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6</w:t>
                </w:r>
                <w:r>
                  <w:rPr>
                    <w:rFonts w:asciiTheme="minorEastAsia" w:eastAsiaTheme="minorEastAsia" w:hAnsiTheme="minorEastAsia"/>
                  </w:rPr>
                  <w:t>-0</w:t>
                </w:r>
                <w:r>
                  <w:rPr>
                    <w:rFonts w:asciiTheme="minorEastAsia" w:eastAsiaTheme="minorEastAsia" w:hAnsiTheme="minorEastAsia" w:hint="eastAsia"/>
                  </w:rPr>
                  <w:t>6</w:t>
                </w:r>
                <w:r>
                  <w:rPr>
                    <w:rFonts w:asciiTheme="minorEastAsia" w:eastAsiaTheme="minorEastAsia" w:hAnsiTheme="minorEastAsia"/>
                  </w:rPr>
                  <w:t>-</w:t>
                </w:r>
                <w:r>
                  <w:rPr>
                    <w:rFonts w:asciiTheme="minorEastAsia" w:eastAsiaTheme="minorEastAsia" w:hAnsiTheme="minorEastAsia" w:hint="eastAsia"/>
                  </w:rPr>
                  <w:t>30</w:t>
                </w:r>
              </w:p>
            </w:tc>
            <w:tc>
              <w:tcPr>
                <w:tcW w:w="423"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181,200</w:t>
                </w:r>
              </w:p>
            </w:tc>
            <w:tc>
              <w:tcPr>
                <w:tcW w:w="419"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235,560</w:t>
                </w:r>
              </w:p>
            </w:tc>
            <w:tc>
              <w:tcPr>
                <w:tcW w:w="484"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54,360</w:t>
                </w:r>
              </w:p>
            </w:tc>
            <w:tc>
              <w:tcPr>
                <w:tcW w:w="53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tc>
            <w:tc>
              <w:tcPr>
                <w:tcW w:w="408" w:type="pct"/>
                <w:vMerge w:val="restart"/>
                <w:vAlign w:val="center"/>
              </w:tcPr>
              <w:p>
                <w:pPr>
                  <w:jc w:val="center"/>
                  <w:rPr>
                    <w:rFonts w:asciiTheme="minorEastAsia" w:eastAsiaTheme="minorEastAsia" w:hAnsiTheme="minorEastAsia"/>
                  </w:rPr>
                </w:pPr>
                <w:r>
                  <w:rPr>
                    <w:rFonts w:hint="eastAsia"/>
                  </w:rPr>
                  <w:t>107.83</w:t>
                </w:r>
              </w:p>
            </w:tc>
            <w:tc>
              <w:tcPr>
                <w:tcW w:w="350" w:type="pct"/>
                <w:vMerge w:val="restart"/>
                <w:vAlign w:val="center"/>
              </w:tcPr>
              <w:p>
                <w:pPr>
                  <w:jc w:val="center"/>
                  <w:rPr>
                    <w:rFonts w:asciiTheme="minorEastAsia" w:eastAsiaTheme="minorEastAsia" w:hAnsiTheme="minorEastAsia" w:cstheme="minorBidi"/>
                    <w14:ligatures w14:val="standardContextual"/>
                  </w:rPr>
                </w:pPr>
                <w:r>
                  <w:rPr>
                    <w:rFonts w:hint="eastAsia"/>
                  </w:rPr>
                  <w:t>否</w:t>
                </w:r>
              </w:p>
            </w:tc>
          </w:tr>
        </w:sdtContent>
      </w:sdt>
      <w:tr>
        <w:trPr>
          <w:trHeight w:val="132"/>
          <w:jc w:val="center"/>
        </w:trPr>
        <w:tc>
          <w:tcPr>
            <w:tcW w:w="355" w:type="pct"/>
            <w:vMerge/>
            <w:vAlign w:val="center"/>
          </w:tcPr>
          <w:p>
            <w:pPr>
              <w:jc w:val="center"/>
            </w:pP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副总经理</w:t>
            </w:r>
          </w:p>
        </w:tc>
        <w:tc>
          <w:tcPr>
            <w:tcW w:w="205" w:type="pct"/>
            <w:vMerge/>
            <w:vAlign w:val="center"/>
          </w:tcPr>
          <w:p>
            <w:pPr>
              <w:jc w:val="center"/>
              <w:rPr>
                <w:rFonts w:asciiTheme="minorEastAsia" w:eastAsiaTheme="minorEastAsia" w:hAnsiTheme="minorEastAsia"/>
              </w:rPr>
            </w:pPr>
          </w:p>
        </w:tc>
        <w:tc>
          <w:tcPr>
            <w:tcW w:w="255" w:type="pct"/>
            <w:vMerge/>
            <w:vAlign w:val="center"/>
          </w:tcPr>
          <w:p>
            <w:pPr>
              <w:jc w:val="center"/>
              <w:rPr>
                <w:rFonts w:asciiTheme="minorEastAsia" w:eastAsiaTheme="minorEastAsia" w:hAnsiTheme="minorEastAsia"/>
              </w:rPr>
            </w:pP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2022-10-28</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2024-11-13</w:t>
            </w:r>
          </w:p>
        </w:tc>
        <w:tc>
          <w:tcPr>
            <w:tcW w:w="423" w:type="pct"/>
            <w:vMerge/>
            <w:vAlign w:val="center"/>
          </w:tcPr>
          <w:p>
            <w:pPr>
              <w:jc w:val="center"/>
              <w:rPr>
                <w:rFonts w:asciiTheme="minorEastAsia" w:eastAsiaTheme="minorEastAsia" w:hAnsiTheme="minorEastAsia"/>
              </w:rPr>
            </w:pPr>
          </w:p>
        </w:tc>
        <w:tc>
          <w:tcPr>
            <w:tcW w:w="419" w:type="pct"/>
            <w:vMerge/>
            <w:vAlign w:val="center"/>
          </w:tcPr>
          <w:p>
            <w:pPr>
              <w:jc w:val="center"/>
              <w:rPr>
                <w:rFonts w:asciiTheme="minorEastAsia" w:eastAsiaTheme="minorEastAsia" w:hAnsiTheme="minorEastAsia"/>
              </w:rPr>
            </w:pPr>
          </w:p>
        </w:tc>
        <w:tc>
          <w:tcPr>
            <w:tcW w:w="484" w:type="pct"/>
            <w:vMerge/>
            <w:vAlign w:val="center"/>
          </w:tcPr>
          <w:p>
            <w:pPr>
              <w:jc w:val="center"/>
              <w:rPr>
                <w:rFonts w:asciiTheme="minorEastAsia" w:eastAsiaTheme="minorEastAsia" w:hAnsiTheme="minorEastAsia"/>
              </w:rPr>
            </w:pPr>
          </w:p>
        </w:tc>
        <w:tc>
          <w:tcPr>
            <w:tcW w:w="535" w:type="pct"/>
            <w:vMerge/>
            <w:vAlign w:val="center"/>
          </w:tcPr>
          <w:p>
            <w:pPr>
              <w:jc w:val="center"/>
              <w:rPr>
                <w:rFonts w:asciiTheme="minorEastAsia" w:eastAsiaTheme="minorEastAsia" w:hAnsiTheme="minorEastAsia"/>
              </w:rPr>
            </w:pPr>
          </w:p>
        </w:tc>
        <w:tc>
          <w:tcPr>
            <w:tcW w:w="408" w:type="pct"/>
            <w:vMerge/>
            <w:vAlign w:val="center"/>
          </w:tcPr>
          <w:p>
            <w:pPr>
              <w:jc w:val="center"/>
              <w:rPr>
                <w:rFonts w:asciiTheme="minorEastAsia" w:eastAsiaTheme="minorEastAsia" w:hAnsiTheme="minorEastAsia"/>
              </w:rPr>
            </w:pPr>
          </w:p>
        </w:tc>
        <w:tc>
          <w:tcPr>
            <w:tcW w:w="350" w:type="pct"/>
            <w:vMerge/>
            <w:vAlign w:val="center"/>
          </w:tcPr>
          <w:p>
            <w:pPr>
              <w:jc w:val="center"/>
            </w:pPr>
          </w:p>
        </w:tc>
      </w:tr>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095744574"/>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刘  健</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56</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2019-05-24</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rPr>
                  <w:t>128</w:t>
                </w:r>
                <w:r>
                  <w:rPr>
                    <w:rFonts w:asciiTheme="minorEastAsia" w:eastAsiaTheme="minorEastAsia" w:hAnsiTheme="minorEastAsia" w:hint="eastAsia"/>
                  </w:rPr>
                  <w:t>,</w:t>
                </w:r>
                <w:r>
                  <w:rPr>
                    <w:rFonts w:asciiTheme="minorEastAsia" w:eastAsiaTheme="minorEastAsia" w:hAnsiTheme="minorEastAsia"/>
                  </w:rPr>
                  <w:t>700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67,310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38,610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tc>
            <w:tc>
              <w:tcPr>
                <w:tcW w:w="408" w:type="pct"/>
                <w:vAlign w:val="center"/>
              </w:tcPr>
              <w:p>
                <w:pPr>
                  <w:jc w:val="center"/>
                  <w:rPr>
                    <w:rFonts w:asciiTheme="minorEastAsia" w:eastAsiaTheme="minorEastAsia" w:hAnsiTheme="minorEastAsia"/>
                  </w:rPr>
                </w:pPr>
                <w:r>
                  <w:rPr>
                    <w:rFonts w:hint="eastAsia"/>
                  </w:rPr>
                  <w:t>-</w:t>
                </w:r>
              </w:p>
            </w:tc>
            <w:sdt>
              <w:sdtPr>
                <w:rPr>
                  <w:rFonts w:asciiTheme="minorEastAsia" w:eastAsiaTheme="minorEastAsia" w:hAnsiTheme="minorEastAsia"/>
                </w:rPr>
                <w:alias w:val="董事、监事、高级管理人员是否在公司关联方获取报酬"/>
                <w:tag w:val="_GBC_ca79c4e139754ecd84ca3e60eb23b31d"/>
                <w:id w:val="-1887239405"/>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494575273"/>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强</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52</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023-06-30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w:t>
                </w:r>
              </w:p>
            </w:tc>
            <w:sdt>
              <w:sdtPr>
                <w:rPr>
                  <w:rFonts w:asciiTheme="minorEastAsia" w:eastAsiaTheme="minorEastAsia" w:hAnsiTheme="minorEastAsia"/>
                </w:rPr>
                <w:alias w:val="董事、监事、高级管理人员是否在公司关联方获取报酬"/>
                <w:tag w:val="_GBC_ca79c4e139754ecd84ca3e60eb23b31d"/>
                <w:id w:val="63998040"/>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473337714"/>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张海军</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51</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023-06-30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w:t>
                </w:r>
              </w:p>
            </w:tc>
            <w:sdt>
              <w:sdtPr>
                <w:rPr>
                  <w:rFonts w:asciiTheme="minorEastAsia" w:eastAsiaTheme="minorEastAsia" w:hAnsiTheme="minorEastAsia"/>
                </w:rPr>
                <w:alias w:val="董事、监事、高级管理人员是否在公司关联方获取报酬"/>
                <w:tag w:val="_GBC_ca79c4e139754ecd84ca3e60eb23b31d"/>
                <w:id w:val="-1399121559"/>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533722489"/>
        </w:sdtPr>
        <w:sdtContent>
          <w:tr>
            <w:trPr>
              <w:trHeight w:val="132"/>
              <w:jc w:val="center"/>
            </w:trPr>
            <w:tc>
              <w:tcPr>
                <w:tcW w:w="355" w:type="pct"/>
                <w:vAlign w:val="center"/>
              </w:tcPr>
              <w:p>
                <w:pPr>
                  <w:jc w:val="center"/>
                  <w:rPr>
                    <w:rFonts w:asciiTheme="minorEastAsia" w:eastAsiaTheme="minorEastAsia" w:hAnsiTheme="minorEastAsia"/>
                  </w:rPr>
                </w:pPr>
                <w:r>
                  <w:rPr>
                    <w:rFonts w:asciiTheme="minorEastAsia" w:eastAsiaTheme="minorEastAsia" w:hAnsiTheme="minorEastAsia" w:hint="eastAsia"/>
                  </w:rPr>
                  <w:t>苏</w:t>
                </w:r>
                <w:r>
                  <w:rPr>
                    <w:rFonts w:asciiTheme="minorEastAsia" w:eastAsiaTheme="minorEastAsia" w:hAnsiTheme="minorEastAsia"/>
                  </w:rPr>
                  <w:t xml:space="preserve">  </w:t>
                </w:r>
                <w:r>
                  <w:rPr>
                    <w:rFonts w:asciiTheme="minorEastAsia" w:eastAsiaTheme="minorEastAsia" w:hAnsiTheme="minorEastAsia" w:hint="eastAsia"/>
                  </w:rPr>
                  <w:t>力</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职工董事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52</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023-04-19</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113.70</w:t>
                </w:r>
              </w:p>
            </w:tc>
            <w:tc>
              <w:tcPr>
                <w:tcW w:w="350" w:type="pct"/>
                <w:vAlign w:val="bottom"/>
              </w:tcPr>
              <w:sdt>
                <w:sdtPr>
                  <w:rPr>
                    <w:rFonts w:asciiTheme="minorEastAsia" w:eastAsiaTheme="minorEastAsia" w:hAnsiTheme="minorEastAsia"/>
                  </w:rPr>
                  <w:alias w:val="董事、监事、高级管理人员是否在公司关联方获取报酬"/>
                  <w:tag w:val="_GBC_ca79c4e139754ecd84ca3e60eb23b31d"/>
                  <w:id w:val="1583870973"/>
                  <w:comboBox>
                    <w:listItem w:displayText="是" w:value="是"/>
                    <w:listItem w:displayText="否" w:value="否"/>
                  </w:comboBox>
                </w:sdtPr>
                <w:sdtContent>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sdtContent>
              </w:sdt>
            </w:tc>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2023346893"/>
        </w:sdtPr>
        <w:sdtContent>
          <w:tr>
            <w:trPr>
              <w:trHeight w:val="132"/>
              <w:jc w:val="center"/>
            </w:trPr>
            <w:tc>
              <w:tcPr>
                <w:tcW w:w="3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黄霄龙</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20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47</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2021-08-20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240,000</w:t>
                </w:r>
              </w:p>
            </w:tc>
            <w:tc>
              <w:tcPr>
                <w:tcW w:w="419"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412,000</w:t>
                </w:r>
              </w:p>
            </w:tc>
            <w:tc>
              <w:tcPr>
                <w:tcW w:w="484"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172,000</w:t>
                </w:r>
              </w:p>
            </w:tc>
            <w:tc>
              <w:tcPr>
                <w:tcW w:w="53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Merge w:val="restart"/>
                <w:vAlign w:val="center"/>
              </w:tcPr>
              <w:p>
                <w:pPr>
                  <w:jc w:val="center"/>
                  <w:rPr>
                    <w:rFonts w:asciiTheme="minorEastAsia" w:eastAsiaTheme="minorEastAsia" w:hAnsiTheme="minorEastAsia"/>
                  </w:rPr>
                </w:pPr>
                <w:r>
                  <w:rPr>
                    <w:rFonts w:hint="eastAsia"/>
                  </w:rPr>
                  <w:t>113.02</w:t>
                </w:r>
              </w:p>
            </w:tc>
            <w:tc>
              <w:tcPr>
                <w:tcW w:w="350" w:type="pct"/>
                <w:vMerge w:val="restart"/>
                <w:vAlign w:val="center"/>
              </w:tcPr>
              <w:sdt>
                <w:sdtPr>
                  <w:rPr>
                    <w:rFonts w:asciiTheme="minorEastAsia" w:eastAsiaTheme="minorEastAsia" w:hAnsiTheme="minorEastAsia"/>
                  </w:rPr>
                  <w:alias w:val="董事、监事、高级管理人员是否在公司关联方获取报酬"/>
                  <w:tag w:val="_GBC_ca79c4e139754ecd84ca3e60eb23b31d"/>
                  <w:id w:val="-972210444"/>
                  <w:comboBox>
                    <w:listItem w:displayText="是" w:value="是"/>
                    <w:listItem w:displayText="否" w:value="否"/>
                  </w:comboBox>
                </w:sdtPr>
                <w:sdtContent>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sdtContent>
              </w:sdt>
            </w:tc>
          </w:tr>
        </w:sdtContent>
      </w:sdt>
      <w:sdt>
        <w:sdtPr>
          <w:rPr>
            <w:rFonts w:asciiTheme="minorEastAsia" w:eastAsiaTheme="minorEastAsia" w:hAnsiTheme="minorEastAsia"/>
          </w:rPr>
          <w:alias w:val="董事、监事、高级管理人员基本情况"/>
          <w:tag w:val="_TUP_7890760e7fef44f4bcc994fe788f22ef"/>
          <w:id w:val="1712535891"/>
        </w:sdtPr>
        <w:sdtEndPr/>
        <w:sdtContent>
          <w:tr>
            <w:trPr>
              <w:trHeight w:val="132"/>
              <w:jc w:val="center"/>
            </w:trPr>
            <w:tc>
              <w:tcPr>
                <w:tcW w:w="355" w:type="pct"/>
                <w:vMerge/>
                <w:vAlign w:val="center"/>
              </w:tcPr>
              <w:p>
                <w:pPr>
                  <w:jc w:val="center"/>
                  <w:rPr>
                    <w:rFonts w:asciiTheme="minorEastAsia" w:eastAsiaTheme="minorEastAsia" w:hAnsiTheme="minorEastAsia"/>
                  </w:rPr>
                </w:pP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董事会秘书</w:t>
                </w:r>
              </w:p>
            </w:tc>
            <w:tc>
              <w:tcPr>
                <w:tcW w:w="205" w:type="pct"/>
                <w:vMerge/>
                <w:vAlign w:val="center"/>
              </w:tcPr>
              <w:p>
                <w:pPr>
                  <w:jc w:val="center"/>
                  <w:rPr>
                    <w:rFonts w:asciiTheme="minorEastAsia" w:eastAsiaTheme="minorEastAsia" w:hAnsiTheme="minorEastAsia"/>
                  </w:rPr>
                </w:pPr>
              </w:p>
            </w:tc>
            <w:tc>
              <w:tcPr>
                <w:tcW w:w="255" w:type="pct"/>
                <w:vMerge/>
                <w:vAlign w:val="center"/>
              </w:tcPr>
              <w:p>
                <w:pPr>
                  <w:jc w:val="center"/>
                  <w:rPr>
                    <w:rFonts w:asciiTheme="minorEastAsia" w:eastAsiaTheme="minorEastAsia" w:hAnsiTheme="minorEastAsia"/>
                  </w:rPr>
                </w:pP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2021-07-30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Merge/>
                <w:vAlign w:val="center"/>
              </w:tcPr>
              <w:p>
                <w:pPr>
                  <w:jc w:val="center"/>
                  <w:rPr>
                    <w:rFonts w:asciiTheme="minorEastAsia" w:eastAsiaTheme="minorEastAsia" w:hAnsiTheme="minorEastAsia"/>
                  </w:rPr>
                </w:pPr>
              </w:p>
            </w:tc>
            <w:tc>
              <w:tcPr>
                <w:tcW w:w="419" w:type="pct"/>
                <w:vMerge/>
                <w:vAlign w:val="center"/>
              </w:tcPr>
              <w:p>
                <w:pPr>
                  <w:jc w:val="center"/>
                  <w:rPr>
                    <w:rFonts w:asciiTheme="minorEastAsia" w:eastAsiaTheme="minorEastAsia" w:hAnsiTheme="minorEastAsia"/>
                  </w:rPr>
                </w:pPr>
              </w:p>
            </w:tc>
            <w:tc>
              <w:tcPr>
                <w:tcW w:w="484" w:type="pct"/>
                <w:vMerge/>
                <w:vAlign w:val="center"/>
              </w:tcPr>
              <w:p>
                <w:pPr>
                  <w:jc w:val="center"/>
                  <w:rPr>
                    <w:rFonts w:asciiTheme="minorEastAsia" w:eastAsiaTheme="minorEastAsia" w:hAnsiTheme="minorEastAsia"/>
                  </w:rPr>
                </w:pPr>
              </w:p>
            </w:tc>
            <w:tc>
              <w:tcPr>
                <w:tcW w:w="535" w:type="pct"/>
                <w:vMerge/>
                <w:vAlign w:val="center"/>
              </w:tcPr>
              <w:p>
                <w:pPr>
                  <w:jc w:val="center"/>
                  <w:rPr>
                    <w:rFonts w:asciiTheme="minorEastAsia" w:eastAsiaTheme="minorEastAsia" w:hAnsiTheme="minorEastAsia"/>
                  </w:rPr>
                </w:pPr>
              </w:p>
            </w:tc>
            <w:tc>
              <w:tcPr>
                <w:tcW w:w="408" w:type="pct"/>
                <w:vMerge/>
                <w:vAlign w:val="center"/>
              </w:tcPr>
              <w:p>
                <w:pPr>
                  <w:jc w:val="center"/>
                  <w:rPr>
                    <w:rFonts w:asciiTheme="minorEastAsia" w:eastAsiaTheme="minorEastAsia" w:hAnsiTheme="minorEastAsia"/>
                  </w:rPr>
                </w:pPr>
              </w:p>
            </w:tc>
            <w:tc>
              <w:tcPr>
                <w:tcW w:w="350" w:type="pct"/>
                <w:vMerge/>
                <w:vAlign w:val="center"/>
              </w:tcPr>
              <w:p>
                <w:pPr>
                  <w:jc w:val="center"/>
                  <w:rPr>
                    <w:rFonts w:asciiTheme="minorEastAsia" w:eastAsiaTheme="minorEastAsia" w:hAnsiTheme="minorEastAsia" w:cstheme="minorBidi"/>
                    <w14:ligatures w14:val="standardContextual"/>
                  </w:rPr>
                </w:pPr>
              </w:p>
            </w:tc>
          </w:tr>
        </w:sdtContent>
      </w:sdt>
      <w:tr>
        <w:trPr>
          <w:trHeight w:val="132"/>
          <w:jc w:val="center"/>
        </w:trPr>
        <w:tc>
          <w:tcPr>
            <w:tcW w:w="355" w:type="pct"/>
            <w:vAlign w:val="center"/>
          </w:tcPr>
          <w:p>
            <w:pPr>
              <w:jc w:val="center"/>
              <w:rPr>
                <w:rFonts w:asciiTheme="minorEastAsia" w:eastAsiaTheme="minorEastAsia" w:hAnsiTheme="minorEastAsia"/>
              </w:rPr>
            </w:pPr>
            <w:r>
              <w:t>彭苏萍</w:t>
            </w:r>
          </w:p>
        </w:tc>
        <w:tc>
          <w:tcPr>
            <w:tcW w:w="563" w:type="pct"/>
            <w:vAlign w:val="center"/>
          </w:tcPr>
          <w:p>
            <w:pPr>
              <w:jc w:val="center"/>
              <w:rPr>
                <w:rFonts w:asciiTheme="minorEastAsia" w:eastAsiaTheme="minorEastAsia" w:hAnsiTheme="minorEastAsia"/>
              </w:rPr>
            </w:pPr>
            <w:r>
              <w:t>独立董事</w:t>
            </w:r>
          </w:p>
        </w:tc>
        <w:tc>
          <w:tcPr>
            <w:tcW w:w="205" w:type="pct"/>
            <w:vAlign w:val="center"/>
          </w:tcPr>
          <w:p>
            <w:pPr>
              <w:jc w:val="center"/>
              <w:rPr>
                <w:rFonts w:asciiTheme="minorEastAsia" w:eastAsiaTheme="minorEastAsia" w:hAnsiTheme="minorEastAsia"/>
              </w:rPr>
            </w:pPr>
            <w:r>
              <w:t>男</w:t>
            </w:r>
          </w:p>
        </w:tc>
        <w:tc>
          <w:tcPr>
            <w:tcW w:w="255" w:type="pct"/>
            <w:vAlign w:val="center"/>
          </w:tcPr>
          <w:p>
            <w:pPr>
              <w:jc w:val="center"/>
              <w:rPr>
                <w:rFonts w:asciiTheme="minorEastAsia" w:eastAsiaTheme="minorEastAsia" w:hAnsiTheme="minorEastAsia"/>
              </w:rPr>
            </w:pPr>
            <w:r>
              <w:t>65</w:t>
            </w:r>
          </w:p>
        </w:tc>
        <w:tc>
          <w:tcPr>
            <w:tcW w:w="459" w:type="pct"/>
            <w:vAlign w:val="center"/>
          </w:tcPr>
          <w:p>
            <w:pPr>
              <w:jc w:val="center"/>
              <w:rPr>
                <w:rFonts w:asciiTheme="minorEastAsia" w:eastAsiaTheme="minorEastAsia" w:hAnsiTheme="minorEastAsia"/>
              </w:rPr>
            </w:pPr>
            <w:r>
              <w:t>2023-06-30</w:t>
            </w:r>
          </w:p>
        </w:tc>
        <w:tc>
          <w:tcPr>
            <w:tcW w:w="543" w:type="pct"/>
            <w:vAlign w:val="center"/>
          </w:tcPr>
          <w:p>
            <w:pPr>
              <w:jc w:val="center"/>
              <w:rPr>
                <w:rFonts w:asciiTheme="minorEastAsia" w:eastAsiaTheme="minorEastAsia" w:hAnsiTheme="minorEastAsia"/>
              </w:rPr>
            </w:pPr>
            <w:r>
              <w:t>2026-06-30</w:t>
            </w:r>
          </w:p>
        </w:tc>
        <w:tc>
          <w:tcPr>
            <w:tcW w:w="423" w:type="pct"/>
            <w:vAlign w:val="center"/>
          </w:tcPr>
          <w:p>
            <w:pPr>
              <w:jc w:val="center"/>
              <w:rPr>
                <w:rFonts w:asciiTheme="minorEastAsia" w:eastAsiaTheme="minorEastAsia" w:hAnsiTheme="minorEastAsia"/>
              </w:rPr>
            </w:pPr>
            <w:r>
              <w:t>0</w:t>
            </w:r>
          </w:p>
        </w:tc>
        <w:tc>
          <w:tcPr>
            <w:tcW w:w="419" w:type="pct"/>
            <w:vAlign w:val="center"/>
          </w:tcPr>
          <w:p>
            <w:pPr>
              <w:jc w:val="center"/>
              <w:rPr>
                <w:rFonts w:asciiTheme="minorEastAsia" w:eastAsiaTheme="minorEastAsia" w:hAnsiTheme="minorEastAsia"/>
              </w:rPr>
            </w:pPr>
            <w:r>
              <w:t>0</w:t>
            </w:r>
          </w:p>
        </w:tc>
        <w:tc>
          <w:tcPr>
            <w:tcW w:w="484" w:type="pct"/>
            <w:vAlign w:val="center"/>
          </w:tcPr>
          <w:p>
            <w:pPr>
              <w:jc w:val="center"/>
              <w:rPr>
                <w:rFonts w:asciiTheme="minorEastAsia" w:eastAsiaTheme="minorEastAsia" w:hAnsiTheme="minorEastAsia"/>
              </w:rPr>
            </w:pPr>
            <w:r>
              <w:t>0</w:t>
            </w:r>
          </w:p>
        </w:tc>
        <w:tc>
          <w:tcPr>
            <w:tcW w:w="535" w:type="pct"/>
            <w:vAlign w:val="center"/>
          </w:tcPr>
          <w:p>
            <w:pPr>
              <w:jc w:val="center"/>
              <w:rPr>
                <w:rFonts w:asciiTheme="minorEastAsia" w:eastAsiaTheme="minorEastAsia" w:hAnsiTheme="minorEastAsia"/>
              </w:rPr>
            </w:pPr>
            <w:r>
              <w:t>-</w:t>
            </w:r>
          </w:p>
        </w:tc>
        <w:tc>
          <w:tcPr>
            <w:tcW w:w="408" w:type="pct"/>
            <w:vAlign w:val="center"/>
          </w:tcPr>
          <w:p>
            <w:pPr>
              <w:jc w:val="center"/>
              <w:rPr>
                <w:rFonts w:asciiTheme="minorEastAsia" w:hAnsiTheme="minorEastAsia"/>
              </w:rPr>
            </w:pPr>
            <w:r>
              <w:rPr>
                <w:rFonts w:hint="eastAsia"/>
              </w:rPr>
              <w:t>20</w:t>
            </w:r>
          </w:p>
        </w:tc>
        <w:tc>
          <w:tcPr>
            <w:tcW w:w="350" w:type="pct"/>
            <w:vAlign w:val="center"/>
          </w:tcPr>
          <w:p>
            <w:pPr>
              <w:jc w:val="center"/>
              <w:rPr>
                <w:rFonts w:asciiTheme="minorEastAsia" w:eastAsiaTheme="minorEastAsia" w:hAnsiTheme="minorEastAsia" w:cstheme="minorBidi"/>
                <w14:ligatures w14:val="standardContextual"/>
              </w:rPr>
            </w:pPr>
            <w:r>
              <w:t>否</w:t>
            </w:r>
          </w:p>
        </w:tc>
      </w:tr>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421153347"/>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朱利民</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独立董事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73</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2020-06-19</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20</w:t>
                </w:r>
              </w:p>
            </w:tc>
            <w:sdt>
              <w:sdtPr>
                <w:rPr>
                  <w:rFonts w:asciiTheme="minorEastAsia" w:eastAsiaTheme="minorEastAsia" w:hAnsiTheme="minorEastAsia"/>
                </w:rPr>
                <w:alias w:val="董事、监事、高级管理人员是否在公司关联方获取报酬"/>
                <w:tag w:val="_GBC_ca79c4e139754ecd84ca3e60eb23b31d"/>
                <w:id w:val="2051031177"/>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799118139"/>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胡家栋</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独立董事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55</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023-06-30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20</w:t>
                </w:r>
              </w:p>
            </w:tc>
            <w:sdt>
              <w:sdtPr>
                <w:rPr>
                  <w:rFonts w:asciiTheme="minorEastAsia" w:eastAsiaTheme="minorEastAsia" w:hAnsiTheme="minorEastAsia"/>
                </w:rPr>
                <w:alias w:val="董事、监事、高级管理人员是否在公司关联方获取报酬"/>
                <w:tag w:val="_GBC_ca79c4e139754ecd84ca3e60eb23b31d"/>
                <w:id w:val="838742533"/>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568811014"/>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朱</w:t>
                </w:r>
                <w:r>
                  <w:rPr>
                    <w:rFonts w:asciiTheme="minorEastAsia" w:eastAsiaTheme="minorEastAsia" w:hAnsiTheme="minorEastAsia"/>
                  </w:rPr>
                  <w:t xml:space="preserve">  </w:t>
                </w:r>
                <w:r>
                  <w:rPr>
                    <w:rFonts w:asciiTheme="minorEastAsia" w:eastAsiaTheme="minorEastAsia" w:hAnsiTheme="minorEastAsia" w:hint="eastAsia"/>
                  </w:rPr>
                  <w:t>睿</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独立董事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女</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50</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023-06-30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20</w:t>
                </w:r>
              </w:p>
            </w:tc>
            <w:sdt>
              <w:sdtPr>
                <w:rPr>
                  <w:rFonts w:asciiTheme="minorEastAsia" w:eastAsiaTheme="minorEastAsia" w:hAnsiTheme="minorEastAsia"/>
                </w:rPr>
                <w:alias w:val="董事、监事、高级管理人员是否在公司关联方获取报酬"/>
                <w:tag w:val="_GBC_ca79c4e139754ecd84ca3e60eb23b31d"/>
                <w:id w:val="-1922161554"/>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51744909"/>
        </w:sdtPr>
        <w:sdtContent>
          <w:tr>
            <w:trPr>
              <w:trHeight w:val="132"/>
              <w:jc w:val="center"/>
            </w:trPr>
            <w:tc>
              <w:tcPr>
                <w:tcW w:w="3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李士鹏</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监事</w:t>
                </w:r>
              </w:p>
            </w:tc>
            <w:tc>
              <w:tcPr>
                <w:tcW w:w="20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47</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2020-06-19</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Merge w:val="restart"/>
                <w:vAlign w:val="center"/>
              </w:tcPr>
              <w:p>
                <w:pPr>
                  <w:jc w:val="center"/>
                  <w:rPr>
                    <w:rFonts w:asciiTheme="minorEastAsia" w:eastAsiaTheme="minorEastAsia" w:hAnsiTheme="minorEastAsia"/>
                  </w:rPr>
                </w:pPr>
                <w:r>
                  <w:rPr>
                    <w:rFonts w:hint="eastAsia"/>
                  </w:rPr>
                  <w:t>-</w:t>
                </w:r>
              </w:p>
            </w:tc>
            <w:tc>
              <w:tcPr>
                <w:tcW w:w="350" w:type="pct"/>
                <w:vMerge w:val="restart"/>
                <w:vAlign w:val="center"/>
              </w:tcPr>
              <w:sdt>
                <w:sdtPr>
                  <w:rPr>
                    <w:rFonts w:asciiTheme="minorEastAsia" w:eastAsiaTheme="minorEastAsia" w:hAnsiTheme="minorEastAsia"/>
                  </w:rPr>
                  <w:alias w:val="董事、监事、高级管理人员是否在公司关联方获取报酬"/>
                  <w:tag w:val="_GBC_ca79c4e139754ecd84ca3e60eb23b31d"/>
                  <w:id w:val="-1709555936"/>
                  <w:comboBox>
                    <w:listItem w:displayText="是" w:value="是"/>
                    <w:listItem w:displayText="否" w:value="否"/>
                  </w:comboBox>
                </w:sdtPr>
                <w:sdtContent>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sdtContent>
              </w:sdt>
            </w:tc>
          </w:tr>
        </w:sdtContent>
      </w:sdt>
      <w:sdt>
        <w:sdtPr>
          <w:rPr>
            <w:rFonts w:asciiTheme="minorEastAsia" w:eastAsiaTheme="minorEastAsia" w:hAnsiTheme="minorEastAsia" w:cstheme="minorBidi"/>
            <w14:ligatures w14:val="standardContextual"/>
          </w:rPr>
          <w:alias w:val="董事、监事、高级管理人员基本情况"/>
          <w:tag w:val="_TUP_7890760e7fef44f4bcc994fe788f22ef"/>
          <w:id w:val="-1053694239"/>
        </w:sdtPr>
        <w:sdtEndPr>
          <w:rPr>
            <w:rFonts w:ascii="Times New Roman" w:hAnsi="Times New Roman" w:cs="Times New Roman"/>
            <w14:ligatures w14:val="none"/>
          </w:rPr>
        </w:sdtEndPr>
        <w:sdtContent>
          <w:tr>
            <w:trPr>
              <w:trHeight w:val="132"/>
              <w:jc w:val="center"/>
            </w:trPr>
            <w:tc>
              <w:tcPr>
                <w:tcW w:w="355" w:type="pct"/>
                <w:vMerge/>
                <w:vAlign w:val="center"/>
              </w:tcPr>
              <w:p>
                <w:pPr>
                  <w:jc w:val="center"/>
                  <w:rPr>
                    <w:rFonts w:asciiTheme="minorEastAsia" w:eastAsiaTheme="minorEastAsia" w:hAnsiTheme="minorEastAsia" w:cstheme="minorBidi"/>
                    <w14:ligatures w14:val="standardContextual"/>
                  </w:rPr>
                </w:pP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监事会主席</w:t>
                </w:r>
              </w:p>
            </w:tc>
            <w:tc>
              <w:tcPr>
                <w:tcW w:w="205" w:type="pct"/>
                <w:vMerge/>
                <w:vAlign w:val="center"/>
              </w:tcPr>
              <w:p>
                <w:pPr>
                  <w:jc w:val="center"/>
                  <w:rPr>
                    <w:rFonts w:asciiTheme="minorEastAsia" w:eastAsiaTheme="minorEastAsia" w:hAnsiTheme="minorEastAsia"/>
                  </w:rPr>
                </w:pPr>
              </w:p>
            </w:tc>
            <w:tc>
              <w:tcPr>
                <w:tcW w:w="255" w:type="pct"/>
                <w:vMerge/>
                <w:vAlign w:val="center"/>
              </w:tcPr>
              <w:p>
                <w:pPr>
                  <w:jc w:val="center"/>
                  <w:rPr>
                    <w:rFonts w:asciiTheme="minorEastAsia" w:eastAsiaTheme="minorEastAsia" w:hAnsiTheme="minorEastAsia"/>
                  </w:rPr>
                </w:pP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023-06-30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Merge/>
                <w:vAlign w:val="center"/>
              </w:tcPr>
              <w:p>
                <w:pPr>
                  <w:jc w:val="center"/>
                  <w:rPr>
                    <w:rFonts w:asciiTheme="minorEastAsia" w:eastAsiaTheme="minorEastAsia" w:hAnsiTheme="minorEastAsia"/>
                  </w:rPr>
                </w:pPr>
              </w:p>
            </w:tc>
            <w:tc>
              <w:tcPr>
                <w:tcW w:w="419" w:type="pct"/>
                <w:vMerge/>
                <w:vAlign w:val="center"/>
              </w:tcPr>
              <w:p>
                <w:pPr>
                  <w:jc w:val="center"/>
                  <w:rPr>
                    <w:rFonts w:asciiTheme="minorEastAsia" w:eastAsiaTheme="minorEastAsia" w:hAnsiTheme="minorEastAsia"/>
                  </w:rPr>
                </w:pPr>
              </w:p>
            </w:tc>
            <w:tc>
              <w:tcPr>
                <w:tcW w:w="484" w:type="pct"/>
                <w:vMerge/>
                <w:vAlign w:val="center"/>
              </w:tcPr>
              <w:p>
                <w:pPr>
                  <w:jc w:val="center"/>
                  <w:rPr>
                    <w:rFonts w:asciiTheme="minorEastAsia" w:eastAsiaTheme="minorEastAsia" w:hAnsiTheme="minorEastAsia"/>
                  </w:rPr>
                </w:pPr>
              </w:p>
            </w:tc>
            <w:tc>
              <w:tcPr>
                <w:tcW w:w="535" w:type="pct"/>
                <w:vMerge/>
                <w:vAlign w:val="center"/>
              </w:tcPr>
              <w:p>
                <w:pPr>
                  <w:jc w:val="center"/>
                  <w:rPr>
                    <w:rFonts w:asciiTheme="minorEastAsia" w:eastAsiaTheme="minorEastAsia" w:hAnsiTheme="minorEastAsia"/>
                  </w:rPr>
                </w:pPr>
              </w:p>
            </w:tc>
            <w:tc>
              <w:tcPr>
                <w:tcW w:w="408" w:type="pct"/>
                <w:vMerge/>
                <w:vAlign w:val="center"/>
              </w:tcPr>
              <w:p>
                <w:pPr>
                  <w:jc w:val="center"/>
                  <w:rPr>
                    <w:rFonts w:asciiTheme="minorEastAsia" w:eastAsiaTheme="minorEastAsia" w:hAnsiTheme="minorEastAsia"/>
                  </w:rPr>
                </w:pPr>
              </w:p>
            </w:tc>
            <w:tc>
              <w:tcPr>
                <w:tcW w:w="350" w:type="pct"/>
                <w:vMerge/>
                <w:vAlign w:val="center"/>
              </w:tcPr>
              <w:p>
                <w:pPr>
                  <w:jc w:val="center"/>
                  <w:rPr>
                    <w:rFonts w:asciiTheme="minorEastAsia" w:eastAsiaTheme="minorEastAsia" w:hAnsiTheme="minorEastAsia" w:cstheme="minorBidi"/>
                    <w14:ligatures w14:val="standardContextual"/>
                  </w:rPr>
                </w:pPr>
              </w:p>
            </w:tc>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22611024"/>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 xml:space="preserve">朱 </w:t>
                </w:r>
                <w:r>
                  <w:rPr>
                    <w:rFonts w:asciiTheme="minorEastAsia" w:eastAsiaTheme="minorEastAsia" w:hAnsiTheme="minorEastAsia"/>
                  </w:rPr>
                  <w:t xml:space="preserve"> </w:t>
                </w:r>
                <w:r>
                  <w:rPr>
                    <w:rFonts w:asciiTheme="minorEastAsia" w:eastAsiaTheme="minorEastAsia" w:hAnsiTheme="minorEastAsia" w:hint="eastAsia"/>
                  </w:rPr>
                  <w:t>昊</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监事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53</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2021-08-20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w:t>
                </w:r>
              </w:p>
            </w:tc>
            <w:sdt>
              <w:sdtPr>
                <w:rPr>
                  <w:rFonts w:asciiTheme="minorEastAsia" w:eastAsiaTheme="minorEastAsia" w:hAnsiTheme="minorEastAsia"/>
                </w:rPr>
                <w:alias w:val="董事、监事、高级管理人员是否在公司关联方获取报酬"/>
                <w:tag w:val="_GBC_ca79c4e139754ecd84ca3e60eb23b31d"/>
                <w:id w:val="-1524930040"/>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是</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2008171731"/>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靳家皓</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职工监事</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53</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023-04-19</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535" w:type="pct"/>
              </w:tcPr>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113.96</w:t>
                </w:r>
              </w:p>
            </w:tc>
            <w:sdt>
              <w:sdtPr>
                <w:rPr>
                  <w:rFonts w:asciiTheme="minorEastAsia" w:eastAsiaTheme="minorEastAsia" w:hAnsiTheme="minorEastAsia"/>
                </w:rPr>
                <w:alias w:val="董事、监事、高级管理人员是否在公司关联方获取报酬"/>
                <w:tag w:val="_GBC_ca79c4e139754ecd84ca3e60eb23b31d"/>
                <w:id w:val="-1297904625"/>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652794541"/>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康</w:t>
                </w:r>
                <w:r>
                  <w:rPr>
                    <w:rFonts w:asciiTheme="minorEastAsia" w:eastAsiaTheme="minorEastAsia" w:hAnsiTheme="minorEastAsia"/>
                  </w:rPr>
                  <w:t xml:space="preserve">  </w:t>
                </w:r>
                <w:r>
                  <w:rPr>
                    <w:rFonts w:asciiTheme="minorEastAsia" w:eastAsiaTheme="minorEastAsia" w:hAnsiTheme="minorEastAsia" w:hint="eastAsia"/>
                  </w:rPr>
                  <w:t>丹</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安全总监</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45</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2022-04-29</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181,200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cs="Times New Roman" w:hint="eastAsia"/>
                    <w:color w:val="000000"/>
                    <w:szCs w:val="21"/>
                  </w:rPr>
                  <w:t>335,560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154,360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113.60</w:t>
                </w:r>
              </w:p>
            </w:tc>
            <w:sdt>
              <w:sdtPr>
                <w:rPr>
                  <w:rFonts w:asciiTheme="minorEastAsia" w:eastAsiaTheme="minorEastAsia" w:hAnsiTheme="minorEastAsia"/>
                </w:rPr>
                <w:alias w:val="董事、监事、高级管理人员是否在公司关联方获取报酬"/>
                <w:tag w:val="_GBC_ca79c4e139754ecd84ca3e60eb23b31d"/>
                <w:id w:val="-1277175217"/>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344084372"/>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 xml:space="preserve">岳 </w:t>
                </w:r>
                <w:r>
                  <w:rPr>
                    <w:rFonts w:asciiTheme="minorEastAsia" w:eastAsiaTheme="minorEastAsia" w:hAnsiTheme="minorEastAsia"/>
                  </w:rPr>
                  <w:t xml:space="preserve"> </w:t>
                </w:r>
                <w:r>
                  <w:rPr>
                    <w:rFonts w:asciiTheme="minorEastAsia" w:eastAsiaTheme="minorEastAsia" w:hAnsiTheme="minorEastAsia" w:hint="eastAsia"/>
                  </w:rPr>
                  <w:t>宁</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副总经理</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46</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023-10-27</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rPr>
                  <w:t>120,000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-120,000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回购注销</w:t>
                </w:r>
              </w:p>
            </w:tc>
            <w:tc>
              <w:tcPr>
                <w:tcW w:w="408" w:type="pct"/>
                <w:vAlign w:val="center"/>
              </w:tcPr>
              <w:p>
                <w:pPr>
                  <w:jc w:val="center"/>
                  <w:rPr>
                    <w:rFonts w:asciiTheme="minorEastAsia" w:eastAsiaTheme="minorEastAsia" w:hAnsiTheme="minorEastAsia"/>
                  </w:rPr>
                </w:pPr>
                <w:r>
                  <w:rPr>
                    <w:rFonts w:hint="eastAsia"/>
                  </w:rPr>
                  <w:t>576.27</w:t>
                </w:r>
              </w:p>
            </w:tc>
            <w:sdt>
              <w:sdtPr>
                <w:rPr>
                  <w:rFonts w:asciiTheme="minorEastAsia" w:eastAsiaTheme="minorEastAsia" w:hAnsiTheme="minorEastAsia"/>
                </w:rPr>
                <w:alias w:val="董事、监事、高级管理人员是否在公司关联方获取报酬"/>
                <w:tag w:val="_GBC_ca79c4e139754ecd84ca3e60eb23b31d"/>
                <w:id w:val="-657155615"/>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963876102"/>
        </w:sdtPr>
        <w:sdtContent>
          <w:tr>
            <w:trPr>
              <w:trHeight w:val="90"/>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赵治国</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财务总监</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46</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023-10-27</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100,000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70.95</w:t>
                </w:r>
              </w:p>
            </w:tc>
            <w:sdt>
              <w:sdtPr>
                <w:rPr>
                  <w:rFonts w:asciiTheme="minorEastAsia" w:eastAsiaTheme="minorEastAsia" w:hAnsiTheme="minorEastAsia"/>
                </w:rPr>
                <w:alias w:val="董事、监事、高级管理人员是否在公司关联方获取报酬"/>
                <w:tag w:val="_GBC_ca79c4e139754ecd84ca3e60eb23b31d"/>
                <w:id w:val="707455422"/>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927381407"/>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高春雷</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总工程师</w:t>
                </w:r>
              </w:p>
              <w:p>
                <w:pPr>
                  <w:jc w:val="center"/>
                  <w:rPr>
                    <w:rFonts w:asciiTheme="minorEastAsia" w:eastAsiaTheme="minorEastAsia" w:hAnsiTheme="minorEastAsia"/>
                  </w:rPr>
                </w:pPr>
                <w:r>
                  <w:rPr>
                    <w:rFonts w:asciiTheme="minorEastAsia" w:eastAsiaTheme="minorEastAsia" w:hAnsiTheme="minorEastAsia" w:hint="eastAsia"/>
                  </w:rPr>
                  <w:t>（化工）</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43</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024-03-28</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120,000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256,0</w:t>
                </w:r>
                <w:r>
                  <w:rPr>
                    <w:rFonts w:asciiTheme="minorEastAsia" w:eastAsiaTheme="minorEastAsia" w:hAnsiTheme="minorEastAsia"/>
                  </w:rPr>
                  <w:t>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136,000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101.54</w:t>
                </w:r>
              </w:p>
            </w:tc>
            <w:sdt>
              <w:sdtPr>
                <w:rPr>
                  <w:rFonts w:asciiTheme="minorEastAsia" w:eastAsiaTheme="minorEastAsia" w:hAnsiTheme="minorEastAsia"/>
                </w:rPr>
                <w:alias w:val="董事、监事、高级管理人员是否在公司关联方获取报酬"/>
                <w:tag w:val="_GBC_ca79c4e139754ecd84ca3e60eb23b31d"/>
                <w:id w:val="-448016609"/>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tr>
        <w:trPr>
          <w:trHeight w:val="132"/>
          <w:jc w:val="center"/>
        </w:trPr>
        <w:tc>
          <w:tcPr>
            <w:tcW w:w="355" w:type="pct"/>
            <w:vAlign w:val="center"/>
          </w:tcPr>
          <w:p>
            <w:pPr>
              <w:jc w:val="center"/>
              <w:rPr>
                <w:rFonts w:asciiTheme="minorEastAsia" w:eastAsiaTheme="minorEastAsia" w:hAnsiTheme="minorEastAsia" w:cstheme="minorBidi"/>
                <w:sz w:val="22"/>
                <w14:ligatures w14:val="standardContextual"/>
              </w:rPr>
            </w:pPr>
            <w:r>
              <w:rPr>
                <w:rFonts w:asciiTheme="minorEastAsia" w:eastAsiaTheme="minorEastAsia" w:hAnsiTheme="minorEastAsia" w:cstheme="minorBidi" w:hint="eastAsia"/>
                <w:sz w:val="22"/>
                <w14:ligatures w14:val="standardContextual"/>
              </w:rPr>
              <w:t>张照允</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总工程师</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44</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2024-06-21</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151,200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cs="Times New Roman" w:hint="eastAsia"/>
                <w:color w:val="000000"/>
                <w:szCs w:val="21"/>
              </w:rPr>
              <w:t>296,560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145,360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127.65</w:t>
            </w:r>
          </w:p>
        </w:tc>
        <w:tc>
          <w:tcPr>
            <w:tcW w:w="350"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r>
      <w:sdt>
        <w:sdtPr>
          <w:rPr>
            <w:rFonts w:asciiTheme="minorEastAsia" w:eastAsiaTheme="minorEastAsia" w:hAnsiTheme="minorEastAsia" w:cstheme="minorBidi"/>
            <w:sz w:val="22"/>
            <w14:ligatures w14:val="standardContextual"/>
          </w:rPr>
          <w:alias w:val="董事、监事、高级管理人员基本情况"/>
          <w:tag w:val="_TUP_7890760e7fef44f4bcc994fe788f22ef"/>
          <w:id w:val="107243061"/>
        </w:sdtPr>
        <w:sdtContent>
          <w:tr>
            <w:trPr>
              <w:trHeight w:val="132"/>
              <w:jc w:val="center"/>
            </w:trPr>
            <w:tc>
              <w:tcPr>
                <w:tcW w:w="355"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hint="eastAsia"/>
                  </w:rPr>
                  <w:t>张</w:t>
                </w:r>
                <w:r>
                  <w:rPr>
                    <w:rFonts w:asciiTheme="minorEastAsia" w:eastAsiaTheme="minorEastAsia" w:hAnsiTheme="minorEastAsia"/>
                  </w:rPr>
                  <w:t xml:space="preserve">  </w:t>
                </w:r>
                <w:r>
                  <w:rPr>
                    <w:rFonts w:asciiTheme="minorEastAsia" w:eastAsiaTheme="minorEastAsia" w:hAnsiTheme="minorEastAsia" w:hint="eastAsia"/>
                  </w:rPr>
                  <w:t>磊</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投资总监</w:t>
                </w:r>
              </w:p>
            </w:tc>
            <w:tc>
              <w:tcPr>
                <w:tcW w:w="205" w:type="pc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Align w:val="center"/>
              </w:tcPr>
              <w:p>
                <w:pPr>
                  <w:jc w:val="center"/>
                  <w:rPr>
                    <w:rFonts w:asciiTheme="minorEastAsia" w:eastAsiaTheme="minorEastAsia" w:hAnsiTheme="minorEastAsia"/>
                  </w:rPr>
                </w:pPr>
                <w:r>
                  <w:rPr>
                    <w:rFonts w:asciiTheme="minorEastAsia" w:eastAsiaTheme="minorEastAsia" w:hAnsiTheme="minorEastAsia" w:hint="eastAsia"/>
                  </w:rPr>
                  <w:t>52</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020-03-27</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026-06-30</w:t>
                </w:r>
              </w:p>
            </w:tc>
            <w:tc>
              <w:tcPr>
                <w:tcW w:w="423"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vAlign w:val="center"/>
              </w:tcPr>
              <w:p>
                <w:pPr>
                  <w:jc w:val="center"/>
                  <w:rPr>
                    <w:rFonts w:asciiTheme="minorEastAsia" w:eastAsiaTheme="minorEastAsia" w:hAnsiTheme="minorEastAsia"/>
                  </w:rPr>
                </w:pPr>
                <w:r>
                  <w:rPr>
                    <w:rFonts w:hint="eastAsia"/>
                  </w:rPr>
                  <w:t>430.64</w:t>
                </w:r>
              </w:p>
            </w:tc>
            <w:sdt>
              <w:sdtPr>
                <w:rPr>
                  <w:rFonts w:asciiTheme="minorEastAsia" w:eastAsiaTheme="minorEastAsia" w:hAnsiTheme="minorEastAsia"/>
                </w:rPr>
                <w:alias w:val="董事、监事、高级管理人员是否在公司关联方获取报酬"/>
                <w:tag w:val="_GBC_ca79c4e139754ecd84ca3e60eb23b31d"/>
                <w:id w:val="-1443069510"/>
                <w:comboBox>
                  <w:listItem w:displayText="是" w:value="是"/>
                  <w:listItem w:displayText="否" w:value="否"/>
                </w:comboBox>
              </w:sdtPr>
              <w:sdtContent>
                <w:tc>
                  <w:tcPr>
                    <w:tcW w:w="350" w:type="pct"/>
                    <w:vAlign w:val="center"/>
                  </w:tcPr>
                  <w:p>
                    <w:pPr>
                      <w:jc w:val="center"/>
                      <w:rPr>
                        <w:rFonts w:asciiTheme="minorEastAsia" w:eastAsiaTheme="minorEastAsia" w:hAnsiTheme="minorEastAsia" w:cstheme="minorBidi"/>
                        <w14:ligatures w14:val="standardContextual"/>
                      </w:rPr>
                    </w:pPr>
                    <w:r>
                      <w:rPr>
                        <w:rFonts w:asciiTheme="minorEastAsia" w:eastAsiaTheme="minorEastAsia" w:hAnsiTheme="minorEastAsia"/>
                      </w:rPr>
                      <w:t>否</w:t>
                    </w:r>
                  </w:p>
                </w:tc>
              </w:sdtContent>
            </w:sdt>
          </w:tr>
        </w:sdtContent>
      </w:sdt>
      <w:tr>
        <w:trPr>
          <w:trHeight w:val="461"/>
          <w:jc w:val="center"/>
        </w:trPr>
        <w:tc>
          <w:tcPr>
            <w:tcW w:w="355" w:type="pct"/>
            <w:vMerge w:val="restart"/>
            <w:vAlign w:val="center"/>
          </w:tcPr>
          <w:p>
            <w:pPr>
              <w:jc w:val="center"/>
              <w:rPr>
                <w:rFonts w:asciiTheme="minorEastAsia" w:eastAsiaTheme="minorEastAsia" w:hAnsiTheme="minorEastAsia" w:cstheme="minorBidi"/>
                <w:sz w:val="22"/>
                <w14:ligatures w14:val="standardContextual"/>
              </w:rPr>
            </w:pPr>
            <w:r>
              <w:rPr>
                <w:rFonts w:asciiTheme="minorEastAsia" w:eastAsiaTheme="minorEastAsia" w:hAnsiTheme="minorEastAsia" w:hint="eastAsia"/>
              </w:rPr>
              <w:t>肖耀猛</w:t>
            </w: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董事（离任）</w:t>
            </w:r>
          </w:p>
        </w:tc>
        <w:tc>
          <w:tcPr>
            <w:tcW w:w="20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男</w:t>
            </w:r>
          </w:p>
        </w:tc>
        <w:tc>
          <w:tcPr>
            <w:tcW w:w="25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52</w:t>
            </w: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2021-08-20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w:t>
            </w:r>
            <w:r>
              <w:rPr>
                <w:rFonts w:asciiTheme="minorEastAsia" w:eastAsiaTheme="minorEastAsia" w:hAnsiTheme="minorEastAsia" w:hint="eastAsia"/>
              </w:rPr>
              <w:t>24</w:t>
            </w:r>
            <w:r>
              <w:rPr>
                <w:rFonts w:asciiTheme="minorEastAsia" w:eastAsiaTheme="minorEastAsia" w:hAnsiTheme="minorEastAsia"/>
              </w:rPr>
              <w:t>-0</w:t>
            </w:r>
            <w:r>
              <w:rPr>
                <w:rFonts w:asciiTheme="minorEastAsia" w:eastAsiaTheme="minorEastAsia" w:hAnsiTheme="minorEastAsia" w:hint="eastAsia"/>
              </w:rPr>
              <w:t>9</w:t>
            </w:r>
            <w:r>
              <w:rPr>
                <w:rFonts w:asciiTheme="minorEastAsia" w:eastAsiaTheme="minorEastAsia" w:hAnsiTheme="minorEastAsia"/>
              </w:rPr>
              <w:t>-</w:t>
            </w:r>
            <w:r>
              <w:rPr>
                <w:rFonts w:asciiTheme="minorEastAsia" w:eastAsiaTheme="minorEastAsia" w:hAnsiTheme="minorEastAsia" w:hint="eastAsia"/>
              </w:rPr>
              <w:t>18</w:t>
            </w:r>
          </w:p>
        </w:tc>
        <w:tc>
          <w:tcPr>
            <w:tcW w:w="423"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525,000</w:t>
            </w:r>
          </w:p>
        </w:tc>
        <w:tc>
          <w:tcPr>
            <w:tcW w:w="419"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782,500</w:t>
            </w:r>
          </w:p>
        </w:tc>
        <w:tc>
          <w:tcPr>
            <w:tcW w:w="484"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257,500</w:t>
            </w:r>
          </w:p>
        </w:tc>
        <w:tc>
          <w:tcPr>
            <w:tcW w:w="535"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送红股、</w:t>
            </w:r>
          </w:p>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Merge w:val="restart"/>
            <w:vAlign w:val="center"/>
          </w:tcPr>
          <w:p>
            <w:pPr>
              <w:jc w:val="center"/>
              <w:rPr>
                <w:rFonts w:asciiTheme="minorEastAsia" w:eastAsiaTheme="minorEastAsia" w:hAnsiTheme="minorEastAsia"/>
              </w:rPr>
            </w:pPr>
            <w:r>
              <w:rPr>
                <w:rFonts w:hint="eastAsia"/>
              </w:rPr>
              <w:t>131.27</w:t>
            </w:r>
          </w:p>
        </w:tc>
        <w:tc>
          <w:tcPr>
            <w:tcW w:w="350"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r>
      <w:tr>
        <w:trPr>
          <w:trHeight w:val="132"/>
          <w:jc w:val="center"/>
        </w:trPr>
        <w:tc>
          <w:tcPr>
            <w:tcW w:w="355" w:type="pct"/>
            <w:vMerge/>
            <w:vAlign w:val="center"/>
          </w:tcPr>
          <w:p>
            <w:pPr>
              <w:jc w:val="center"/>
              <w:rPr>
                <w:rFonts w:asciiTheme="minorEastAsia" w:eastAsiaTheme="minorEastAsia" w:hAnsiTheme="minorEastAsia" w:cstheme="minorBidi"/>
                <w:sz w:val="22"/>
                <w14:ligatures w14:val="standardContextual"/>
              </w:rPr>
            </w:pPr>
          </w:p>
        </w:tc>
        <w:tc>
          <w:tcPr>
            <w:tcW w:w="563" w:type="pct"/>
            <w:vAlign w:val="center"/>
          </w:tcPr>
          <w:p>
            <w:pPr>
              <w:jc w:val="center"/>
              <w:rPr>
                <w:rFonts w:asciiTheme="minorEastAsia" w:eastAsiaTheme="minorEastAsia" w:hAnsiTheme="minorEastAsia"/>
              </w:rPr>
            </w:pPr>
            <w:r>
              <w:rPr>
                <w:rFonts w:asciiTheme="minorEastAsia" w:eastAsiaTheme="minorEastAsia" w:hAnsiTheme="minorEastAsia" w:hint="eastAsia"/>
              </w:rPr>
              <w:t>总经理（离任）</w:t>
            </w:r>
          </w:p>
        </w:tc>
        <w:tc>
          <w:tcPr>
            <w:tcW w:w="205" w:type="pct"/>
            <w:vMerge/>
            <w:vAlign w:val="center"/>
          </w:tcPr>
          <w:p>
            <w:pPr>
              <w:jc w:val="center"/>
              <w:rPr>
                <w:rFonts w:asciiTheme="minorEastAsia" w:eastAsiaTheme="minorEastAsia" w:hAnsiTheme="minorEastAsia"/>
              </w:rPr>
            </w:pPr>
          </w:p>
        </w:tc>
        <w:tc>
          <w:tcPr>
            <w:tcW w:w="255" w:type="pct"/>
            <w:vMerge/>
            <w:vAlign w:val="center"/>
          </w:tcPr>
          <w:p>
            <w:pPr>
              <w:jc w:val="center"/>
              <w:rPr>
                <w:rFonts w:asciiTheme="minorEastAsia" w:eastAsiaTheme="minorEastAsia" w:hAnsiTheme="minorEastAsia"/>
              </w:rPr>
            </w:pPr>
          </w:p>
        </w:tc>
        <w:tc>
          <w:tcPr>
            <w:tcW w:w="459" w:type="pct"/>
            <w:vAlign w:val="center"/>
          </w:tcPr>
          <w:p>
            <w:pPr>
              <w:jc w:val="center"/>
              <w:rPr>
                <w:rFonts w:asciiTheme="minorEastAsia" w:eastAsiaTheme="minorEastAsia" w:hAnsiTheme="minorEastAsia"/>
              </w:rPr>
            </w:pPr>
            <w:r>
              <w:rPr>
                <w:rFonts w:asciiTheme="minorEastAsia" w:eastAsiaTheme="minorEastAsia" w:hAnsiTheme="minorEastAsia" w:hint="eastAsia"/>
              </w:rPr>
              <w:t>2021-07-30</w:t>
            </w:r>
          </w:p>
        </w:tc>
        <w:tc>
          <w:tcPr>
            <w:tcW w:w="543"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-0</w:t>
            </w:r>
            <w:r>
              <w:rPr>
                <w:rFonts w:asciiTheme="minorEastAsia" w:eastAsiaTheme="minorEastAsia" w:hAnsiTheme="minorEastAsia" w:hint="eastAsia"/>
              </w:rPr>
              <w:t>9</w:t>
            </w:r>
            <w:r>
              <w:rPr>
                <w:rFonts w:asciiTheme="minorEastAsia" w:eastAsiaTheme="minorEastAsia" w:hAnsiTheme="minorEastAsia"/>
              </w:rPr>
              <w:t>-</w:t>
            </w:r>
            <w:r>
              <w:rPr>
                <w:rFonts w:asciiTheme="minorEastAsia" w:eastAsiaTheme="minorEastAsia" w:hAnsiTheme="minorEastAsia" w:hint="eastAsia"/>
              </w:rPr>
              <w:t>18</w:t>
            </w:r>
          </w:p>
        </w:tc>
        <w:tc>
          <w:tcPr>
            <w:tcW w:w="423" w:type="pct"/>
            <w:vMerge/>
            <w:vAlign w:val="center"/>
          </w:tcPr>
          <w:p>
            <w:pPr>
              <w:jc w:val="center"/>
              <w:rPr>
                <w:rFonts w:asciiTheme="minorEastAsia" w:eastAsiaTheme="minorEastAsia" w:hAnsiTheme="minorEastAsia"/>
              </w:rPr>
            </w:pPr>
          </w:p>
        </w:tc>
        <w:tc>
          <w:tcPr>
            <w:tcW w:w="419" w:type="pct"/>
            <w:vMerge/>
            <w:vAlign w:val="center"/>
          </w:tcPr>
          <w:p>
            <w:pPr>
              <w:jc w:val="center"/>
              <w:rPr>
                <w:rFonts w:asciiTheme="minorEastAsia" w:eastAsiaTheme="minorEastAsia" w:hAnsiTheme="minorEastAsia"/>
              </w:rPr>
            </w:pPr>
          </w:p>
        </w:tc>
        <w:tc>
          <w:tcPr>
            <w:tcW w:w="484" w:type="pct"/>
            <w:vMerge/>
            <w:vAlign w:val="center"/>
          </w:tcPr>
          <w:p>
            <w:pPr>
              <w:jc w:val="center"/>
              <w:rPr>
                <w:rFonts w:asciiTheme="minorEastAsia" w:eastAsiaTheme="minorEastAsia" w:hAnsiTheme="minorEastAsia"/>
              </w:rPr>
            </w:pPr>
          </w:p>
        </w:tc>
        <w:tc>
          <w:tcPr>
            <w:tcW w:w="535" w:type="pct"/>
            <w:vMerge/>
            <w:vAlign w:val="center"/>
          </w:tcPr>
          <w:p>
            <w:pPr>
              <w:jc w:val="center"/>
              <w:rPr>
                <w:rFonts w:asciiTheme="minorEastAsia" w:eastAsiaTheme="minorEastAsia" w:hAnsiTheme="minorEastAsia"/>
              </w:rPr>
            </w:pPr>
          </w:p>
        </w:tc>
        <w:tc>
          <w:tcPr>
            <w:tcW w:w="408" w:type="pct"/>
            <w:vMerge/>
            <w:vAlign w:val="center"/>
          </w:tcPr>
          <w:p>
            <w:pPr>
              <w:jc w:val="center"/>
              <w:rPr>
                <w:rFonts w:asciiTheme="minorEastAsia" w:eastAsiaTheme="minorEastAsia" w:hAnsiTheme="minorEastAsia"/>
              </w:rPr>
            </w:pPr>
          </w:p>
        </w:tc>
        <w:tc>
          <w:tcPr>
            <w:tcW w:w="350" w:type="pct"/>
            <w:vMerge/>
            <w:vAlign w:val="center"/>
          </w:tcPr>
          <w:p>
            <w:pPr>
              <w:jc w:val="center"/>
              <w:rPr>
                <w:rFonts w:asciiTheme="minorEastAsia" w:eastAsiaTheme="minorEastAsia" w:hAnsiTheme="minorEastAsia"/>
              </w:rPr>
            </w:pPr>
          </w:p>
        </w:tc>
      </w:tr>
      <w:tr>
        <w:trPr>
          <w:trHeight w:val="132"/>
          <w:jc w:val="center"/>
        </w:trPr>
        <w:tc>
          <w:tcPr>
            <w:tcW w:w="355" w:type="pct"/>
            <w:vAlign w:val="center"/>
          </w:tcPr>
          <w:p>
            <w:pPr>
              <w:jc w:val="center"/>
              <w:rPr>
                <w:rFonts w:asciiTheme="minorEastAsia" w:eastAsiaTheme="minorEastAsia" w:hAnsiTheme="minorEastAsia" w:cstheme="minorBidi"/>
                <w:sz w:val="22"/>
                <w14:ligatures w14:val="standardContextual"/>
              </w:rPr>
            </w:pPr>
            <w:r>
              <w:t>李洪国</w:t>
            </w:r>
          </w:p>
        </w:tc>
        <w:tc>
          <w:tcPr>
            <w:tcW w:w="563" w:type="pct"/>
            <w:vAlign w:val="center"/>
          </w:tcPr>
          <w:p>
            <w:pPr>
              <w:jc w:val="center"/>
            </w:pPr>
            <w:r>
              <w:t>副总经理</w:t>
            </w:r>
          </w:p>
          <w:p>
            <w:pPr>
              <w:jc w:val="center"/>
              <w:rPr>
                <w:rFonts w:asciiTheme="minorEastAsia" w:hAnsiTheme="minorEastAsia"/>
              </w:rPr>
            </w:pPr>
            <w:r>
              <w:rPr>
                <w:rFonts w:hint="eastAsia"/>
              </w:rPr>
              <w:t>（离任）</w:t>
            </w:r>
          </w:p>
        </w:tc>
        <w:tc>
          <w:tcPr>
            <w:tcW w:w="205" w:type="pct"/>
            <w:vAlign w:val="center"/>
          </w:tcPr>
          <w:p>
            <w:pPr>
              <w:jc w:val="center"/>
              <w:rPr>
                <w:rFonts w:asciiTheme="minorEastAsia" w:eastAsiaTheme="minorEastAsia" w:hAnsiTheme="minorEastAsia"/>
              </w:rPr>
            </w:pPr>
            <w:r>
              <w:t>男</w:t>
            </w:r>
          </w:p>
        </w:tc>
        <w:tc>
          <w:tcPr>
            <w:tcW w:w="255" w:type="pct"/>
            <w:vAlign w:val="center"/>
          </w:tcPr>
          <w:p>
            <w:pPr>
              <w:jc w:val="center"/>
              <w:rPr>
                <w:rFonts w:asciiTheme="minorEastAsia" w:hAnsiTheme="minorEastAsia"/>
              </w:rPr>
            </w:pPr>
            <w:r>
              <w:t>5</w:t>
            </w:r>
            <w:r>
              <w:rPr>
                <w:rFonts w:hint="eastAsia"/>
              </w:rPr>
              <w:t>5</w:t>
            </w:r>
          </w:p>
        </w:tc>
        <w:tc>
          <w:tcPr>
            <w:tcW w:w="459" w:type="pct"/>
            <w:vAlign w:val="center"/>
          </w:tcPr>
          <w:p>
            <w:pPr>
              <w:jc w:val="center"/>
              <w:rPr>
                <w:rFonts w:asciiTheme="minorEastAsia" w:eastAsiaTheme="minorEastAsia" w:hAnsiTheme="minorEastAsia"/>
              </w:rPr>
            </w:pPr>
            <w:r>
              <w:t>2023-03-24</w:t>
            </w:r>
          </w:p>
        </w:tc>
        <w:tc>
          <w:tcPr>
            <w:tcW w:w="543" w:type="pct"/>
            <w:vAlign w:val="center"/>
          </w:tcPr>
          <w:p>
            <w:pPr>
              <w:jc w:val="center"/>
              <w:rPr>
                <w:rFonts w:asciiTheme="minorEastAsia" w:eastAsiaTheme="minorEastAsia" w:hAnsiTheme="minorEastAsia"/>
              </w:rPr>
            </w:pPr>
            <w:r>
              <w:t>2024-10-14</w:t>
            </w:r>
          </w:p>
        </w:tc>
        <w:tc>
          <w:tcPr>
            <w:tcW w:w="423" w:type="pct"/>
            <w:vAlign w:val="center"/>
          </w:tcPr>
          <w:p>
            <w:pPr>
              <w:jc w:val="center"/>
              <w:rPr>
                <w:rFonts w:asciiTheme="minorEastAsia" w:eastAsiaTheme="minorEastAsia" w:hAnsiTheme="minorEastAsia"/>
              </w:rPr>
            </w:pPr>
            <w:r>
              <w:t>0</w:t>
            </w:r>
          </w:p>
        </w:tc>
        <w:tc>
          <w:tcPr>
            <w:tcW w:w="419" w:type="pct"/>
            <w:vAlign w:val="center"/>
          </w:tcPr>
          <w:p>
            <w:pPr>
              <w:jc w:val="center"/>
              <w:rPr>
                <w:rFonts w:asciiTheme="minorEastAsia" w:eastAsiaTheme="minorEastAsia" w:hAnsiTheme="minorEastAsia"/>
              </w:rPr>
            </w:pPr>
            <w:r>
              <w:rPr>
                <w:rFonts w:asciiTheme="minorEastAsia" w:eastAsiaTheme="minorEastAsia" w:hAnsiTheme="minorEastAsia" w:hint="eastAsia"/>
              </w:rPr>
              <w:t>150,000</w:t>
            </w:r>
          </w:p>
        </w:tc>
        <w:tc>
          <w:tcPr>
            <w:tcW w:w="484" w:type="pct"/>
            <w:vAlign w:val="center"/>
          </w:tcPr>
          <w:p>
            <w:pPr>
              <w:jc w:val="center"/>
              <w:rPr>
                <w:rFonts w:asciiTheme="minorEastAsia" w:eastAsiaTheme="minorEastAsia" w:hAnsiTheme="minorEastAsia"/>
              </w:rPr>
            </w:pPr>
            <w:r>
              <w:rPr>
                <w:rFonts w:asciiTheme="minorEastAsia" w:eastAsiaTheme="minorEastAsia" w:hAnsiTheme="minorEastAsia" w:hint="eastAsia"/>
              </w:rPr>
              <w:t>150,000</w:t>
            </w:r>
          </w:p>
        </w:tc>
        <w:tc>
          <w:tcPr>
            <w:tcW w:w="535" w:type="pct"/>
            <w:vAlign w:val="center"/>
          </w:tcPr>
          <w:p>
            <w:pPr>
              <w:jc w:val="center"/>
              <w:rPr>
                <w:rFonts w:asciiTheme="minorEastAsia" w:eastAsiaTheme="minorEastAsia" w:hAnsiTheme="minorEastAsia"/>
              </w:rPr>
            </w:pPr>
            <w:r>
              <w:rPr>
                <w:rFonts w:asciiTheme="minorEastAsia" w:eastAsiaTheme="minorEastAsia" w:hAnsiTheme="minorEastAsia" w:hint="eastAsia"/>
              </w:rPr>
              <w:t>增持</w:t>
            </w:r>
          </w:p>
        </w:tc>
        <w:tc>
          <w:tcPr>
            <w:tcW w:w="408" w:type="pct"/>
            <w:vAlign w:val="center"/>
          </w:tcPr>
          <w:p>
            <w:pPr>
              <w:jc w:val="center"/>
              <w:rPr>
                <w:rFonts w:asciiTheme="minorEastAsia" w:eastAsiaTheme="minorEastAsia" w:hAnsiTheme="minorEastAsia"/>
              </w:rPr>
            </w:pPr>
            <w:r>
              <w:rPr>
                <w:rFonts w:hint="eastAsia"/>
              </w:rPr>
              <w:t>106.82</w:t>
            </w:r>
          </w:p>
        </w:tc>
        <w:tc>
          <w:tcPr>
            <w:tcW w:w="350" w:type="pct"/>
            <w:vAlign w:val="center"/>
          </w:tcPr>
          <w:p>
            <w:pPr>
              <w:jc w:val="center"/>
              <w:rPr>
                <w:rFonts w:asciiTheme="minorEastAsia" w:eastAsiaTheme="minorEastAsia" w:hAnsiTheme="minorEastAsia"/>
              </w:rPr>
            </w:pPr>
            <w:r>
              <w:t>否</w:t>
            </w:r>
          </w:p>
        </w:tc>
      </w:tr>
      <w:tr>
        <w:trPr>
          <w:trHeight w:val="132"/>
          <w:jc w:val="center"/>
        </w:trPr>
        <w:tc>
          <w:tcPr>
            <w:tcW w:w="355" w:type="pct"/>
            <w:vAlign w:val="center"/>
          </w:tcPr>
          <w:p>
            <w:pPr>
              <w:jc w:val="center"/>
            </w:pPr>
            <w:r>
              <w:t>张传昌</w:t>
            </w:r>
          </w:p>
        </w:tc>
        <w:tc>
          <w:tcPr>
            <w:tcW w:w="563" w:type="pct"/>
            <w:vAlign w:val="center"/>
          </w:tcPr>
          <w:p>
            <w:pPr>
              <w:jc w:val="center"/>
            </w:pPr>
            <w:r>
              <w:t>副总经理</w:t>
            </w:r>
          </w:p>
          <w:p>
            <w:pPr>
              <w:jc w:val="center"/>
            </w:pPr>
            <w:r>
              <w:rPr>
                <w:rFonts w:hint="eastAsia"/>
              </w:rPr>
              <w:t>（离任）</w:t>
            </w:r>
          </w:p>
        </w:tc>
        <w:tc>
          <w:tcPr>
            <w:tcW w:w="205" w:type="pct"/>
            <w:vAlign w:val="center"/>
          </w:tcPr>
          <w:p>
            <w:pPr>
              <w:jc w:val="center"/>
            </w:pPr>
            <w:r>
              <w:t>男</w:t>
            </w:r>
          </w:p>
        </w:tc>
        <w:tc>
          <w:tcPr>
            <w:tcW w:w="255" w:type="pct"/>
            <w:vAlign w:val="center"/>
          </w:tcPr>
          <w:p>
            <w:pPr>
              <w:jc w:val="center"/>
            </w:pPr>
            <w:r>
              <w:t>56</w:t>
            </w:r>
          </w:p>
        </w:tc>
        <w:tc>
          <w:tcPr>
            <w:tcW w:w="459" w:type="pct"/>
            <w:vAlign w:val="center"/>
          </w:tcPr>
          <w:p>
            <w:pPr>
              <w:jc w:val="center"/>
            </w:pPr>
            <w:r>
              <w:t>2020-04-22</w:t>
            </w:r>
          </w:p>
        </w:tc>
        <w:tc>
          <w:tcPr>
            <w:tcW w:w="543" w:type="pct"/>
            <w:vAlign w:val="center"/>
          </w:tcPr>
          <w:p>
            <w:pPr>
              <w:jc w:val="center"/>
            </w:pPr>
            <w:r>
              <w:t>202</w:t>
            </w:r>
            <w:r>
              <w:rPr>
                <w:rFonts w:hint="eastAsia"/>
              </w:rPr>
              <w:t>4</w:t>
            </w:r>
            <w:r>
              <w:t>-</w:t>
            </w:r>
            <w:r>
              <w:rPr>
                <w:rFonts w:hint="eastAsia"/>
              </w:rPr>
              <w:t>12</w:t>
            </w:r>
            <w:r>
              <w:t>-3</w:t>
            </w:r>
            <w:r>
              <w:rPr>
                <w:rFonts w:hint="eastAsia"/>
              </w:rPr>
              <w:t>1</w:t>
            </w:r>
          </w:p>
        </w:tc>
        <w:tc>
          <w:tcPr>
            <w:tcW w:w="423" w:type="pct"/>
            <w:vAlign w:val="center"/>
          </w:tcPr>
          <w:p>
            <w:pPr>
              <w:jc w:val="center"/>
            </w:pPr>
            <w:r>
              <w:t>240,000</w:t>
            </w:r>
          </w:p>
        </w:tc>
        <w:tc>
          <w:tcPr>
            <w:tcW w:w="419" w:type="pct"/>
            <w:vAlign w:val="center"/>
          </w:tcPr>
          <w:p>
            <w:pPr>
              <w:jc w:val="center"/>
              <w:rPr>
                <w:rFonts w:asciiTheme="minorEastAsia" w:eastAsiaTheme="minorEastAsia" w:hAnsiTheme="minorEastAsia"/>
              </w:rPr>
            </w:pPr>
            <w:r>
              <w:t>412,000</w:t>
            </w:r>
          </w:p>
        </w:tc>
        <w:tc>
          <w:tcPr>
            <w:tcW w:w="484" w:type="pct"/>
            <w:vAlign w:val="center"/>
          </w:tcPr>
          <w:p>
            <w:pPr>
              <w:jc w:val="center"/>
              <w:rPr>
                <w:rFonts w:asciiTheme="minorEastAsia" w:eastAsiaTheme="minorEastAsia" w:hAnsiTheme="minorEastAsia"/>
              </w:rPr>
            </w:pPr>
            <w:r>
              <w:t>172,000</w:t>
            </w:r>
          </w:p>
        </w:tc>
        <w:tc>
          <w:tcPr>
            <w:tcW w:w="535" w:type="pct"/>
            <w:vAlign w:val="center"/>
          </w:tcPr>
          <w:p>
            <w:pPr>
              <w:jc w:val="center"/>
            </w:pPr>
            <w:r>
              <w:t>送红股</w:t>
            </w:r>
            <w:r>
              <w:rPr>
                <w:rFonts w:hint="eastAsia"/>
              </w:rPr>
              <w:t>、</w:t>
            </w:r>
          </w:p>
          <w:p>
            <w:pPr>
              <w:jc w:val="center"/>
              <w:rPr>
                <w:rFonts w:asciiTheme="minorEastAsia" w:eastAsiaTheme="minorEastAsia" w:hAnsiTheme="minorEastAsia"/>
              </w:rPr>
            </w:pPr>
            <w:r>
              <w:t>增持</w:t>
            </w:r>
          </w:p>
        </w:tc>
        <w:tc>
          <w:tcPr>
            <w:tcW w:w="408" w:type="pct"/>
            <w:vAlign w:val="center"/>
          </w:tcPr>
          <w:p>
            <w:pPr>
              <w:jc w:val="center"/>
              <w:rPr>
                <w:rFonts w:eastAsiaTheme="minorEastAsia"/>
              </w:rPr>
            </w:pPr>
            <w:r>
              <w:rPr>
                <w:rFonts w:hint="eastAsia"/>
              </w:rPr>
              <w:t>117.40</w:t>
            </w:r>
          </w:p>
        </w:tc>
        <w:tc>
          <w:tcPr>
            <w:tcW w:w="350" w:type="pct"/>
            <w:vAlign w:val="center"/>
          </w:tcPr>
          <w:p>
            <w:pPr>
              <w:jc w:val="center"/>
            </w:pPr>
            <w:r>
              <w:t>否</w:t>
            </w:r>
          </w:p>
        </w:tc>
      </w:tr>
      <w:tr>
        <w:trPr>
          <w:trHeight w:val="132"/>
          <w:jc w:val="center"/>
        </w:trPr>
        <w:tc>
          <w:tcPr>
            <w:tcW w:w="355" w:type="pct"/>
            <w:vAlign w:val="center"/>
          </w:tcPr>
          <w:p>
            <w:pPr>
              <w:jc w:val="center"/>
            </w:pPr>
            <w:r>
              <w:t>马俊鹏</w:t>
            </w:r>
          </w:p>
        </w:tc>
        <w:tc>
          <w:tcPr>
            <w:tcW w:w="563" w:type="pct"/>
            <w:vAlign w:val="center"/>
          </w:tcPr>
          <w:p>
            <w:pPr>
              <w:jc w:val="center"/>
            </w:pPr>
            <w:r>
              <w:t>总工程师</w:t>
            </w:r>
          </w:p>
          <w:p>
            <w:pPr>
              <w:jc w:val="center"/>
            </w:pPr>
            <w:r>
              <w:t>（离任）</w:t>
            </w:r>
          </w:p>
        </w:tc>
        <w:tc>
          <w:tcPr>
            <w:tcW w:w="205" w:type="pct"/>
            <w:vAlign w:val="center"/>
          </w:tcPr>
          <w:p>
            <w:pPr>
              <w:jc w:val="center"/>
            </w:pPr>
            <w:r>
              <w:t>男</w:t>
            </w:r>
          </w:p>
        </w:tc>
        <w:tc>
          <w:tcPr>
            <w:tcW w:w="255" w:type="pct"/>
            <w:vAlign w:val="center"/>
          </w:tcPr>
          <w:p>
            <w:pPr>
              <w:jc w:val="center"/>
            </w:pPr>
            <w:r>
              <w:t>51</w:t>
            </w:r>
          </w:p>
        </w:tc>
        <w:tc>
          <w:tcPr>
            <w:tcW w:w="459" w:type="pct"/>
            <w:vAlign w:val="center"/>
          </w:tcPr>
          <w:p>
            <w:pPr>
              <w:jc w:val="center"/>
            </w:pPr>
            <w:r>
              <w:t>2022-03-30</w:t>
            </w:r>
          </w:p>
        </w:tc>
        <w:tc>
          <w:tcPr>
            <w:tcW w:w="543" w:type="pct"/>
            <w:vAlign w:val="center"/>
          </w:tcPr>
          <w:p>
            <w:pPr>
              <w:jc w:val="center"/>
            </w:pPr>
            <w:r>
              <w:t>2024-06-21</w:t>
            </w:r>
          </w:p>
        </w:tc>
        <w:tc>
          <w:tcPr>
            <w:tcW w:w="423" w:type="pct"/>
            <w:vAlign w:val="center"/>
          </w:tcPr>
          <w:p>
            <w:pPr>
              <w:jc w:val="center"/>
            </w:pPr>
            <w:r>
              <w:t>273,900</w:t>
            </w:r>
          </w:p>
        </w:tc>
        <w:tc>
          <w:tcPr>
            <w:tcW w:w="419" w:type="pct"/>
            <w:vAlign w:val="center"/>
          </w:tcPr>
          <w:p>
            <w:pPr>
              <w:jc w:val="center"/>
            </w:pPr>
            <w:r>
              <w:t>356,070</w:t>
            </w:r>
          </w:p>
        </w:tc>
        <w:tc>
          <w:tcPr>
            <w:tcW w:w="484" w:type="pct"/>
            <w:vAlign w:val="center"/>
          </w:tcPr>
          <w:p>
            <w:pPr>
              <w:jc w:val="center"/>
            </w:pPr>
            <w:r>
              <w:t>82,170</w:t>
            </w:r>
          </w:p>
        </w:tc>
        <w:tc>
          <w:tcPr>
            <w:tcW w:w="535" w:type="pct"/>
            <w:vAlign w:val="center"/>
          </w:tcPr>
          <w:p>
            <w:pPr>
              <w:jc w:val="center"/>
            </w:pPr>
            <w:r>
              <w:t>送红股</w:t>
            </w:r>
          </w:p>
        </w:tc>
        <w:tc>
          <w:tcPr>
            <w:tcW w:w="408" w:type="pct"/>
            <w:vAlign w:val="center"/>
          </w:tcPr>
          <w:p>
            <w:pPr>
              <w:jc w:val="center"/>
              <w:rPr>
                <w:rFonts w:eastAsiaTheme="minorEastAsia"/>
              </w:rPr>
            </w:pPr>
            <w:r>
              <w:rPr>
                <w:rFonts w:hint="eastAsia"/>
              </w:rPr>
              <w:t>90.23</w:t>
            </w:r>
          </w:p>
        </w:tc>
        <w:tc>
          <w:tcPr>
            <w:tcW w:w="350" w:type="pct"/>
            <w:vAlign w:val="center"/>
          </w:tcPr>
          <w:p>
            <w:pPr>
              <w:jc w:val="center"/>
            </w:pPr>
            <w:r>
              <w:t>否</w:t>
            </w:r>
          </w:p>
        </w:tc>
      </w:tr>
      <w:sdt>
        <w:sdtPr>
          <w:alias w:val="董事、监事、高级管理人员基本情况"/>
          <w:tag w:val="_TUP_7890760e7fef44f4bcc994fe788f22ef"/>
          <w:id w:val="1307906339"/>
        </w:sdtPr>
        <w:sdtContent>
          <w:tr>
            <w:trPr>
              <w:trHeight w:val="165"/>
              <w:jc w:val="center"/>
            </w:trPr>
            <w:tc>
              <w:tcPr>
                <w:tcW w:w="355" w:type="pct"/>
                <w:tcBorders>
                  <w:bottom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hint="eastAsia"/>
                  </w:rPr>
                  <w:t>合计</w:t>
                </w:r>
              </w:p>
            </w:tc>
            <w:tc>
              <w:tcPr>
                <w:tcW w:w="563"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205"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255"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459"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543"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423" w:type="pct"/>
                <w:tcBorders>
                  <w:bottom w:val="single" w:sz="4" w:space="0" w:color="auto"/>
                </w:tcBorders>
                <w:vAlign w:val="center"/>
              </w:tcPr>
              <w:p>
                <w:pPr>
                  <w:jc w:val="right"/>
                  <w:rPr>
                    <w:rFonts w:asciiTheme="minorEastAsia" w:eastAsiaTheme="minorEastAsia" w:hAnsiTheme="minorEastAsia"/>
                  </w:rPr>
                </w:pPr>
                <w:r>
                  <w:rPr>
                    <w:rFonts w:asciiTheme="minorEastAsia" w:eastAsiaTheme="minorEastAsia" w:hAnsiTheme="minorEastAsia" w:hint="eastAsia"/>
                  </w:rPr>
                  <w:t>2,176,200</w:t>
                </w:r>
              </w:p>
            </w:tc>
            <w:tc>
              <w:tcPr>
                <w:tcW w:w="419" w:type="pct"/>
                <w:tcBorders>
                  <w:bottom w:val="single" w:sz="4" w:space="0" w:color="auto"/>
                </w:tcBorders>
                <w:vAlign w:val="center"/>
              </w:tcPr>
              <w:p>
                <w:pPr>
                  <w:jc w:val="right"/>
                  <w:rPr>
                    <w:rFonts w:asciiTheme="minorEastAsia" w:eastAsiaTheme="minorEastAsia" w:hAnsiTheme="minorEastAsia"/>
                  </w:rPr>
                </w:pPr>
                <w:bookmarkStart w:id="119" w:name="OLE_LINK12"/>
                <w:r>
                  <w:rPr>
                    <w:rFonts w:asciiTheme="minorEastAsia" w:eastAsiaTheme="minorEastAsia" w:hAnsiTheme="minorEastAsia" w:hint="eastAsia"/>
                  </w:rPr>
                  <w:t>3,723,060</w:t>
                </w:r>
                <w:bookmarkEnd w:id="119"/>
              </w:p>
            </w:tc>
            <w:tc>
              <w:tcPr>
                <w:tcW w:w="484" w:type="pct"/>
                <w:tcBorders>
                  <w:bottom w:val="single" w:sz="4" w:space="0" w:color="auto"/>
                </w:tcBorders>
                <w:vAlign w:val="center"/>
              </w:tcPr>
              <w:p>
                <w:pPr>
                  <w:jc w:val="center"/>
                  <w:rPr>
                    <w:rFonts w:asciiTheme="minorEastAsia" w:eastAsiaTheme="minorEastAsia" w:hAnsiTheme="minorEastAsia"/>
                  </w:rPr>
                </w:pPr>
                <w:r>
                  <w:rPr>
                    <w:rFonts w:asciiTheme="minorEastAsia" w:eastAsiaTheme="minorEastAsia" w:hAnsiTheme="minorEastAsia" w:hint="eastAsia"/>
                  </w:rPr>
                  <w:t>1,54</w:t>
                </w:r>
                <w:r>
                  <w:rPr>
                    <w:rFonts w:asciiTheme="minorEastAsia" w:eastAsiaTheme="minorEastAsia" w:hAnsiTheme="minorEastAsia"/>
                  </w:rPr>
                  <w:t>6</w:t>
                </w:r>
                <w:r>
                  <w:rPr>
                    <w:rFonts w:asciiTheme="minorEastAsia" w:eastAsiaTheme="minorEastAsia" w:hAnsiTheme="minorEastAsia" w:hint="eastAsia"/>
                  </w:rPr>
                  <w:t>,</w:t>
                </w:r>
                <w:r>
                  <w:rPr>
                    <w:rFonts w:asciiTheme="minorEastAsia" w:eastAsiaTheme="minorEastAsia" w:hAnsiTheme="minorEastAsia"/>
                  </w:rPr>
                  <w:t>8</w:t>
                </w:r>
                <w:r>
                  <w:rPr>
                    <w:rFonts w:asciiTheme="minorEastAsia" w:eastAsiaTheme="minorEastAsia" w:hAnsiTheme="minorEastAsia" w:hint="eastAsia"/>
                  </w:rPr>
                  <w:t>60</w:t>
                </w:r>
              </w:p>
            </w:tc>
            <w:tc>
              <w:tcPr>
                <w:tcW w:w="535"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hint="eastAsia"/>
                  </w:rPr>
                  <w:t>/</w:t>
                </w:r>
              </w:p>
            </w:tc>
            <w:tc>
              <w:tcPr>
                <w:tcW w:w="408" w:type="pct"/>
                <w:tcBorders>
                  <w:bottom w:val="single" w:sz="4" w:space="0" w:color="auto"/>
                </w:tcBorders>
                <w:vAlign w:val="center"/>
              </w:tcPr>
              <w:p>
                <w:pPr>
                  <w:jc w:val="center"/>
                  <w:rPr>
                    <w:rFonts w:asciiTheme="minorEastAsia" w:eastAsiaTheme="minorEastAsia" w:hAnsiTheme="minorEastAsia"/>
                  </w:rPr>
                </w:pPr>
                <w:r>
                  <w:rPr>
                    <w:rFonts w:hint="eastAsia"/>
                  </w:rPr>
                  <w:t>2,394.88</w:t>
                </w:r>
              </w:p>
            </w:tc>
            <w:tc>
              <w:tcPr>
                <w:tcW w:w="350" w:type="pct"/>
                <w:tcBorders>
                  <w:bottom w:val="single" w:sz="4" w:space="0" w:color="auto"/>
                </w:tcBorders>
              </w:tcPr>
              <w:p>
                <w:pPr>
                  <w:jc w:val="center"/>
                  <w:rPr>
                    <w:rFonts w:asciiTheme="minorEastAsia" w:eastAsiaTheme="minorEastAsia" w:hAnsiTheme="minorEastAsia"/>
                  </w:rPr>
                </w:pPr>
                <w:r>
                  <w:rPr>
                    <w:rFonts w:asciiTheme="minorEastAsia" w:eastAsiaTheme="minorEastAsia" w:hAnsiTheme="minorEastAsia"/>
                  </w:rPr>
                  <w:t>/</w:t>
                </w:r>
              </w:p>
            </w:tc>
          </w:tr>
        </w:sdtContent>
      </w:sdt>
    </w:tbl>
    <w:p>
      <w:pPr>
        <w:pStyle w:val="affffffd"/>
      </w:pPr>
    </w:p>
    <w:p>
      <w:pPr>
        <w:ind w:firstLineChars="200" w:firstLine="420"/>
        <w:rPr>
          <w:rFonts w:asciiTheme="minorEastAsia" w:eastAsiaTheme="minorEastAsia" w:hAnsiTheme="minorEastAsia"/>
        </w:rPr>
      </w:pPr>
      <w:r>
        <w:rPr>
          <w:rFonts w:asciiTheme="minorEastAsia" w:eastAsiaTheme="minorEastAsia" w:hAnsiTheme="minorEastAsia" w:hint="eastAsia"/>
        </w:rPr>
        <w:t>注：</w:t>
      </w:r>
    </w:p>
    <w:p>
      <w:pPr>
        <w:ind w:firstLineChars="200" w:firstLine="420"/>
        <w:jc w:val="both"/>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 1 \* GB3</w:instrText>
      </w:r>
      <w:r>
        <w:rPr>
          <w:rFonts w:asciiTheme="minorEastAsia" w:eastAsiaTheme="minorEastAsia" w:hAnsiTheme="minorEastAsia"/>
        </w:rPr>
        <w:instrText xml:space="preserve"> </w:instrText>
      </w:r>
      <w:r>
        <w:rPr>
          <w:rFonts w:asciiTheme="minorEastAsia" w:eastAsiaTheme="minorEastAsia" w:hAnsiTheme="minorEastAsia"/>
        </w:rPr>
        <w:fldChar w:fldCharType="separate"/>
      </w:r>
      <w:r>
        <w:rPr>
          <w:rFonts w:asciiTheme="minorEastAsia" w:eastAsiaTheme="minorEastAsia" w:hAnsiTheme="minorEastAsia" w:hint="eastAsia"/>
        </w:rPr>
        <w:t>①</w:t>
      </w:r>
      <w:r>
        <w:rPr>
          <w:rFonts w:asciiTheme="minorEastAsia" w:eastAsiaTheme="minorEastAsia" w:hAnsiTheme="minorEastAsia"/>
        </w:rPr>
        <w:fldChar w:fldCharType="end"/>
      </w:r>
      <w:r>
        <w:rPr>
          <w:rFonts w:asciiTheme="minorEastAsia" w:eastAsiaTheme="minorEastAsia" w:hAnsiTheme="minorEastAsia" w:hint="eastAsia"/>
        </w:rPr>
        <w:t>肖耀猛先生、岳宁先生、马俊鹏先生因工作调整，不符合激励条件，因此回购注销其三位已获授但尚未解除限售的限制性股票，其中岳宁先生已获授但尚未解除限售的120,000股限制性股票已回购注销完毕。董事、高级管理人员持股情况请见本节</w:t>
      </w:r>
      <w:r>
        <w:rPr>
          <w:rFonts w:hint="eastAsia"/>
        </w:rPr>
        <w:t>之“</w:t>
      </w:r>
      <w:r>
        <w:rPr>
          <w:rFonts w:asciiTheme="minorEastAsia" w:eastAsiaTheme="minorEastAsia" w:hAnsiTheme="minorEastAsia" w:hint="eastAsia"/>
        </w:rPr>
        <w:t>公司股权激励计划、员工持股计划或其他员工激励措施的情况及其影响</w:t>
      </w:r>
      <w:r>
        <w:rPr>
          <w:rFonts w:hint="eastAsia"/>
        </w:rPr>
        <w:t>”相关内容。</w:t>
      </w:r>
    </w:p>
    <w:p>
      <w:pPr>
        <w:ind w:firstLineChars="200" w:firstLine="420"/>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w:instrText>
      </w:r>
      <w:r>
        <w:rPr>
          <w:rFonts w:asciiTheme="minorEastAsia" w:eastAsiaTheme="minorEastAsia" w:hAnsiTheme="minorEastAsia" w:hint="eastAsia"/>
        </w:rPr>
        <w:instrText>= 2 \* GB3</w:instrText>
      </w:r>
      <w:r>
        <w:rPr>
          <w:rFonts w:asciiTheme="minorEastAsia" w:eastAsiaTheme="minorEastAsia" w:hAnsiTheme="minorEastAsia"/>
        </w:rPr>
        <w:instrText xml:space="preserve"> </w:instrText>
      </w:r>
      <w:r>
        <w:rPr>
          <w:rFonts w:asciiTheme="minorEastAsia" w:eastAsiaTheme="minorEastAsia" w:hAnsiTheme="minorEastAsia"/>
        </w:rPr>
        <w:fldChar w:fldCharType="separate"/>
      </w:r>
      <w:r>
        <w:rPr>
          <w:rFonts w:asciiTheme="minorEastAsia" w:eastAsiaTheme="minorEastAsia" w:hAnsiTheme="minorEastAsia" w:hint="eastAsia"/>
        </w:rPr>
        <w:t>②</w:t>
      </w:r>
      <w:r>
        <w:rPr>
          <w:rFonts w:asciiTheme="minorEastAsia" w:eastAsiaTheme="minorEastAsia" w:hAnsiTheme="minorEastAsia"/>
        </w:rPr>
        <w:fldChar w:fldCharType="end"/>
      </w:r>
      <w:r>
        <w:rPr>
          <w:rFonts w:asciiTheme="minorEastAsia" w:eastAsiaTheme="minorEastAsia" w:hAnsiTheme="minorEastAsia" w:hint="eastAsia"/>
        </w:rPr>
        <w:t>于本报告期末，公司现任及报告期内离任董事、监事和高级管理人员共持有3,723,060股股票（其中A股股票2,673,060股，H股股票1,050,000股），约占公司总股本的0</w:t>
      </w:r>
      <w:r>
        <w:rPr>
          <w:rFonts w:asciiTheme="minorEastAsia" w:eastAsiaTheme="minorEastAsia" w:hAnsiTheme="minorEastAsia"/>
        </w:rPr>
        <w:t>.0</w:t>
      </w:r>
      <w:r>
        <w:rPr>
          <w:rFonts w:asciiTheme="minorEastAsia" w:eastAsiaTheme="minorEastAsia" w:hAnsiTheme="minorEastAsia" w:hint="eastAsia"/>
        </w:rPr>
        <w:t>37%。所有上述披露之权益皆代表以实益拥有人身份持有的公司好仓股份。</w:t>
      </w:r>
    </w:p>
    <w:p>
      <w:pPr>
        <w:ind w:firstLineChars="200" w:firstLine="420"/>
        <w:rPr>
          <w:rFonts w:asciiTheme="minorEastAsia" w:eastAsiaTheme="minorEastAsia" w:hAnsiTheme="minorEastAsia"/>
        </w:rPr>
      </w:pPr>
      <w:r>
        <w:rPr>
          <w:rFonts w:asciiTheme="minorEastAsia" w:eastAsiaTheme="minorEastAsia" w:hAnsiTheme="minorEastAsia" w:hint="eastAsia"/>
        </w:rPr>
        <w:t>③基于对公司未来发展的信心以及对公司长期投资价值的认可，公司10名董事、监事及高级管理人员于2024年7月29日至2024年7月30日，使用自有资金通过香港联交所交易系统（含港股通），以集中竞价交易方式合计增持公司H股股份1,050,000股。</w:t>
      </w:r>
    </w:p>
    <w:p>
      <w:pPr>
        <w:ind w:firstLineChars="200" w:firstLine="420"/>
        <w:rPr>
          <w:rFonts w:asciiTheme="minorEastAsia" w:eastAsiaTheme="minorEastAsia" w:hAnsiTheme="minorEastAsia"/>
        </w:rPr>
      </w:pPr>
      <w:r>
        <w:rPr>
          <w:rFonts w:asciiTheme="minorEastAsia" w:eastAsiaTheme="minorEastAsia" w:hAnsiTheme="minorEastAsia" w:hint="eastAsia"/>
        </w:rPr>
        <w:lastRenderedPageBreak/>
        <w:t>有关详情请见日期为2024年7月30日的关于董事、监事及高级管理人员增持股份结果的公告,该等资料刊载于上交所网站、香港联交所网站、公司网站及/或《中国证券报》《上海证券报》《证券时报》《证券日报》。</w:t>
      </w:r>
    </w:p>
    <w:p>
      <w:pPr>
        <w:rPr>
          <w:szCs w:val="21"/>
        </w:rPr>
      </w:pPr>
    </w:p>
    <w:p>
      <w:pPr>
        <w:rPr>
          <w:szCs w:val="21"/>
        </w:rPr>
      </w:pPr>
      <w:bookmarkStart w:id="120" w:name="_Hlk155082088"/>
    </w:p>
    <w:tbl>
      <w:tblPr>
        <w:tblStyle w:val="g19"/>
        <w:tblW w:w="0" w:type="auto"/>
        <w:tblInd w:w="0" w:type="dxa"/>
        <w:tblCellMar>
          <w:left w:w="108" w:type="dxa"/>
          <w:right w:w="108" w:type="dxa"/>
        </w:tblCellMar>
        <w:tblLook w:val="04A0" w:firstRow="1" w:lastRow="0" w:firstColumn="1" w:lastColumn="0" w:noHBand="0" w:noVBand="1"/>
      </w:tblPr>
      <w:tblGrid>
        <w:gridCol w:w="1368"/>
        <w:gridCol w:w="12495"/>
      </w:tblGrid>
      <w:tr>
        <w:bookmarkEnd w:id="120" w:displacedByCustomXml="next"/>
        <w:sdt>
          <w:sdtPr>
            <w:rPr>
              <w:rFonts w:asciiTheme="minorEastAsia" w:eastAsiaTheme="minorEastAsia" w:hAnsiTheme="minorEastAsia"/>
            </w:rPr>
            <w:tag w:val="_PLD_1525b90cb0c248978acb54a7f361f6a2"/>
            <w:id w:val="-1482998281"/>
          </w:sdtPr>
          <w:sdtContent>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姓名</w:t>
                </w:r>
              </w:p>
            </w:tc>
          </w:sdtContent>
        </w:sdt>
        <w:sdt>
          <w:sdtPr>
            <w:rPr>
              <w:rFonts w:asciiTheme="minorEastAsia" w:eastAsiaTheme="minorEastAsia" w:hAnsiTheme="minorEastAsia"/>
            </w:rPr>
            <w:tag w:val="_PLD_61b466aae87d4dac813a38c2c8e6a492"/>
            <w:id w:val="1977333574"/>
          </w:sdtPr>
          <w:sdtContent>
            <w:tc>
              <w:tcPr>
                <w:tcW w:w="12495" w:type="dxa"/>
                <w:vAlign w:val="center"/>
              </w:tcPr>
              <w:p>
                <w:pPr>
                  <w:jc w:val="center"/>
                  <w:rPr>
                    <w:rFonts w:asciiTheme="minorEastAsia" w:eastAsiaTheme="minorEastAsia" w:hAnsiTheme="minorEastAsia"/>
                  </w:rPr>
                </w:pPr>
                <w:r>
                  <w:rPr>
                    <w:rFonts w:asciiTheme="minorEastAsia" w:eastAsiaTheme="minorEastAsia" w:hAnsiTheme="minorEastAsia"/>
                  </w:rPr>
                  <w:t>主要工作经历</w:t>
                </w:r>
              </w:p>
            </w:tc>
          </w:sdtContent>
        </w:sdt>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李  伟</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1966年9月，工程技术应用研究员，工学博士，本公司董事长，山东能源党委书记、董事长。李先生1988年加入前身公司，1996年12月任兖矿集团有限公司鲍店煤矿副矿长，2002年5月任兖矿集团有限公司战略资源开发部重组处处长，2002年9月任兖矿锡林能化有限公司党委书记、董事长、总经理，2004年3月主持本公司鲍店煤矿党政全面工作，2004年9月任本公司鲍店煤矿党委副书记、矿长，2007年8月任本公司南屯煤矿党委副书记、矿长，2009年8月任兖矿集团有限公司副总工程师兼安全监察局副局长，2010年4月</w:t>
            </w:r>
            <w:r>
              <w:rPr>
                <w:rFonts w:asciiTheme="minorEastAsia" w:eastAsiaTheme="minorEastAsia" w:hAnsiTheme="minorEastAsia" w:hint="eastAsia"/>
              </w:rPr>
              <w:t>任兖矿集团有限公司副总经理、安全监察局局长，</w:t>
            </w:r>
            <w:r>
              <w:rPr>
                <w:rFonts w:asciiTheme="minorEastAsia" w:eastAsiaTheme="minorEastAsia" w:hAnsiTheme="minorEastAsia"/>
              </w:rPr>
              <w:t>2015年5月任兖矿集团有限公司党委副书记、董事、总经理，2016年6月任本公司副董事长，2020年8月任华鲁控股集团有限公司党委副书记、董事、总经理，2021年6月任山东能源党委书记、董事长，2021年8月任本公司董事长。李先生毕业于北京科技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王九红</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1976年6月，正高级工程师，大学学历，工学学士，本公司党委书记、总经理。王先生2014年9月任本公司南屯煤矿总工程师，2016年12月任兖州煤业鄂尔多斯能化有限公司安源煤矿党总支书记、矿长，2017年10月任本公司生产技术部副部长、通防部副部长，2018年9月任鄂尔多斯市转龙湾煤炭有限公司党总支书记、执行董事、总经理，2020年12月任兖州煤业鄂尔多斯能化有限公司副总经理、内蒙古昊盛煤业有限公司党总支书记、董事、总经理，2021年11月任兖州煤业鄂尔多斯能化有限公司党委书记、总经理，内蒙古昊盛煤业有限公司董事长，2022年6月任内蒙古昊盛煤业有限公司董事，2022年10月任本公司副总经理，兖矿能源（鄂尔多斯）有限公司党委书记、董事长、总经理，内蒙古矿业（集团）有限责任公司党委书记、董事长，2022年12月任本公司党委委员，2023年5月任兖矿能源（鄂尔多斯）有限公司党委书记、董事长，2024年11月任本公司党委书记、总经理。王先生毕业于河北建筑科技学院。</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刘  健</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1969年2月，工程技术应用研究员，工程硕士，本公司董事，山东能源党委常委、副总经理。刘先生1992年加入前身公司，2009年任本公司东滩煤矿副矿长，2014年3月任本公司济宁三号煤矿党委副书记、矿长，2016年1月任本公司东滩煤矿党委副书记、矿长，2016年12月任本公司副总经理，2020年4月任本公司党委书记、总经理，2021年2月任山东能源党委常委、副总经理，2019年5月任本公司董事。刘先生毕业于山东科技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强</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1972年10月，</w:t>
            </w:r>
            <w:r>
              <w:rPr>
                <w:rFonts w:asciiTheme="minorEastAsia" w:eastAsiaTheme="minorEastAsia" w:hAnsiTheme="minorEastAsia" w:hint="eastAsia"/>
              </w:rPr>
              <w:t>工程技术应用研究员</w:t>
            </w:r>
            <w:r>
              <w:rPr>
                <w:rFonts w:asciiTheme="minorEastAsia" w:eastAsiaTheme="minorEastAsia" w:hAnsiTheme="minorEastAsia"/>
              </w:rPr>
              <w:t>，工程硕士，本公司董事，山东能源党委常委、副总经理。刘先生2008年10月任兖矿国泰化工有限公司副总经理，2012年5月任鲁南化工副总经理，2014年3月任兖矿煤化工程有限公司</w:t>
            </w:r>
            <w:r>
              <w:rPr>
                <w:rFonts w:asciiTheme="minorEastAsia" w:eastAsiaTheme="minorEastAsia" w:hAnsiTheme="minorEastAsia" w:hint="eastAsia"/>
              </w:rPr>
              <w:t>党委书记、</w:t>
            </w:r>
            <w:r>
              <w:rPr>
                <w:rFonts w:asciiTheme="minorEastAsia" w:eastAsiaTheme="minorEastAsia" w:hAnsiTheme="minorEastAsia"/>
              </w:rPr>
              <w:t>执行董事、总经理，2016年4月任鲁南化工党委副书记、总经理，2017年5月任鲁南化工</w:t>
            </w:r>
            <w:r>
              <w:rPr>
                <w:rFonts w:asciiTheme="minorEastAsia" w:eastAsiaTheme="minorEastAsia" w:hAnsiTheme="minorEastAsia" w:hint="eastAsia"/>
              </w:rPr>
              <w:t>党委书记、</w:t>
            </w:r>
            <w:r>
              <w:rPr>
                <w:rFonts w:asciiTheme="minorEastAsia" w:eastAsiaTheme="minorEastAsia" w:hAnsiTheme="minorEastAsia"/>
              </w:rPr>
              <w:t>董事长、总经理，2019年9月任兖矿化工有限公司副总经理，鲁南化工党委书记、董事长，2021年9月任本公司副总经理，2022年3月任山</w:t>
            </w:r>
            <w:r>
              <w:rPr>
                <w:rFonts w:asciiTheme="minorEastAsia" w:eastAsiaTheme="minorEastAsia" w:hAnsiTheme="minorEastAsia" w:hint="eastAsia"/>
              </w:rPr>
              <w:t>东能源党委常委、副总经理，</w:t>
            </w:r>
            <w:r>
              <w:rPr>
                <w:rFonts w:asciiTheme="minorEastAsia" w:eastAsiaTheme="minorEastAsia" w:hAnsiTheme="minorEastAsia"/>
              </w:rPr>
              <w:t>2023年6月任本公司董事。刘先生毕业于华东理工大学、浙江大学。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张海军</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1973年12月，高级会计师，本公司董事，山东能源</w:t>
            </w:r>
            <w:r>
              <w:rPr>
                <w:rFonts w:asciiTheme="minorEastAsia" w:eastAsiaTheme="minorEastAsia" w:hAnsiTheme="minorEastAsia" w:hint="eastAsia"/>
              </w:rPr>
              <w:t>副总经济师兼战略规划部</w:t>
            </w:r>
            <w:r>
              <w:rPr>
                <w:rFonts w:asciiTheme="minorEastAsia" w:eastAsiaTheme="minorEastAsia" w:hAnsiTheme="minorEastAsia"/>
              </w:rPr>
              <w:t>部长。张先生1996年加入前身公司，2013年12月任兖矿集团有限公司电铝分公司财务处副处长（主持工作），2014年11月任兖矿集团有限公司电铝分公司财务处处长，2015年11</w:t>
            </w:r>
            <w:r>
              <w:rPr>
                <w:rFonts w:asciiTheme="minorEastAsia" w:eastAsiaTheme="minorEastAsia" w:hAnsiTheme="minorEastAsia"/>
              </w:rPr>
              <w:lastRenderedPageBreak/>
              <w:t>月任兖矿集团有限公司电铝分公司财务总监、总法律顾问，2018年5月任兖矿集团有限公司投资发展部部长、决策咨询中心主任，2020年8月任山东能源投资发展部部长，2022年5月任山东能源规划发展部部长</w:t>
            </w:r>
            <w:r>
              <w:rPr>
                <w:rFonts w:asciiTheme="minorEastAsia" w:eastAsiaTheme="minorEastAsia" w:hAnsiTheme="minorEastAsia" w:hint="eastAsia"/>
              </w:rPr>
              <w:t>，2024年8月任山东能源战略规划部部长，2025年1月任山东能源副总经济师，</w:t>
            </w:r>
            <w:r>
              <w:rPr>
                <w:rFonts w:asciiTheme="minorEastAsia" w:eastAsiaTheme="minorEastAsia" w:hAnsiTheme="minorEastAsia"/>
              </w:rPr>
              <w:t>2023年6月任本公司董事。张先生毕业于中共山东省委党校。</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lastRenderedPageBreak/>
              <w:t>苏</w:t>
            </w:r>
            <w:r>
              <w:rPr>
                <w:rFonts w:asciiTheme="minorEastAsia" w:eastAsiaTheme="minorEastAsia" w:hAnsiTheme="minorEastAsia"/>
              </w:rPr>
              <w:t xml:space="preserve">  </w:t>
            </w:r>
            <w:r>
              <w:rPr>
                <w:rFonts w:asciiTheme="minorEastAsia" w:eastAsiaTheme="minorEastAsia" w:hAnsiTheme="minorEastAsia" w:hint="eastAsia"/>
              </w:rPr>
              <w:t>力</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1972年7月，教授级高级政工师、高级经济师，硕士研究生，本公司党委副书记、职工董事、工会主席。苏先生1996年加入前身公司，2008年10月任兖矿集团有限公司总经理办公室副主任，2012年6月任兖矿东华集团有限公司人力资源处处长，2014年3月任本公司人力资源部部长，2016年1月任本公司总经理助理、人力资源部部长，2016年6月任本公司总经理助理、党委组织部（人力资源部）部长，2020年3月任本公司纪委书记，2020年6月任本公司职工监事，2022年9月任本公司党委副书记、工会负责人，2023年</w:t>
            </w:r>
            <w:r>
              <w:rPr>
                <w:rFonts w:asciiTheme="minorEastAsia" w:eastAsiaTheme="minorEastAsia" w:hAnsiTheme="minorEastAsia" w:hint="eastAsia"/>
              </w:rPr>
              <w:t>4月任本公司职工董事，2</w:t>
            </w:r>
            <w:r>
              <w:rPr>
                <w:rFonts w:asciiTheme="minorEastAsia" w:eastAsiaTheme="minorEastAsia" w:hAnsiTheme="minorEastAsia"/>
              </w:rPr>
              <w:t>023年</w:t>
            </w:r>
            <w:r>
              <w:rPr>
                <w:rFonts w:asciiTheme="minorEastAsia" w:eastAsiaTheme="minorEastAsia" w:hAnsiTheme="minorEastAsia" w:hint="eastAsia"/>
              </w:rPr>
              <w:t>5月任本公司工会主席。苏先生毕业于中国矿业大学。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黄霄龙</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1977年11月，</w:t>
            </w:r>
            <w:r>
              <w:rPr>
                <w:rFonts w:asciiTheme="minorEastAsia" w:eastAsiaTheme="minorEastAsia" w:hAnsiTheme="minorEastAsia" w:hint="eastAsia"/>
              </w:rPr>
              <w:t>正</w:t>
            </w:r>
            <w:r>
              <w:rPr>
                <w:rFonts w:asciiTheme="minorEastAsia" w:eastAsiaTheme="minorEastAsia" w:hAnsiTheme="minorEastAsia"/>
              </w:rPr>
              <w:t>高级经济师，法律硕士，本公司董事、董事会秘书。黄先生</w:t>
            </w:r>
            <w:r>
              <w:rPr>
                <w:rFonts w:asciiTheme="minorEastAsia" w:eastAsiaTheme="minorEastAsia" w:hAnsiTheme="minorEastAsia" w:hint="eastAsia"/>
              </w:rPr>
              <w:t>1999年加入前身公司，</w:t>
            </w:r>
            <w:r>
              <w:rPr>
                <w:rFonts w:asciiTheme="minorEastAsia" w:eastAsiaTheme="minorEastAsia" w:hAnsiTheme="minorEastAsia"/>
              </w:rPr>
              <w:t>2006年任本公司证券事务代表，2008年任本公司董事会秘书处副处级秘书，2012年任本公司董事会秘书处副处长，2013年任原山东能源集团有限公司股权改革改制办公室处长，2020年8月任山东能源董事会秘书处部务委员，2021年7月任本公司董事会秘书，2021年8月任本公司董事。黄先生毕业于对外经济贸易大学。</w:t>
            </w:r>
          </w:p>
        </w:tc>
      </w:tr>
      <w:tr>
        <w:tc>
          <w:tcPr>
            <w:tcW w:w="1368" w:type="dxa"/>
            <w:vAlign w:val="center"/>
          </w:tcPr>
          <w:p>
            <w:pPr>
              <w:jc w:val="center"/>
              <w:rPr>
                <w:rFonts w:asciiTheme="minorEastAsia" w:eastAsiaTheme="minorEastAsia" w:hAnsiTheme="minorEastAsia"/>
              </w:rPr>
            </w:pPr>
            <w:r>
              <w:t>彭苏萍</w:t>
            </w:r>
          </w:p>
        </w:tc>
        <w:tc>
          <w:tcPr>
            <w:tcW w:w="12495" w:type="dxa"/>
          </w:tcPr>
          <w:p>
            <w:pPr>
              <w:rPr>
                <w:rFonts w:asciiTheme="minorEastAsia" w:eastAsiaTheme="minorEastAsia" w:hAnsiTheme="minorEastAsia"/>
              </w:rPr>
            </w:pPr>
            <w:r>
              <w:t>出生于1959年6月，地质专业博士，中国工程院院士，本公司独立董事。彭先生曾任中国工程院能源学部副主任、主任,中国神华股份有限公司、天地科技股份有限公司、西藏华钰矿业股份有限公司、北京龙软科技股份有限公司和北京昊华能源股份有限公司独立董事。彭先生目前担任中国矿业大学（北京）教授、中国工程院院士、中国矿业大学(北京)煤炭资源与安全开采国家重点实验室主任、</w:t>
            </w:r>
            <w:r>
              <w:rPr>
                <w:rFonts w:hint="eastAsia"/>
              </w:rPr>
              <w:t>煤炭精细勘探与智能开发全国重点实验室主任、</w:t>
            </w:r>
            <w:r>
              <w:t>国家电投集团氢能科技发展有限公司独立董事，2023年6月任本公司独立董事。彭先生毕业于淮南矿业学院、中国矿业大学北京研究生部。</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朱利民</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1951年10月，经济学硕士，本公司独立董事。朱先生曾任原国家体改委试点司副处长，原国家体改委综合规划试点司处长，原国家体改委下属中华企业股份制咨询公司副总经理，中国证监会稽查部副主任，中国证监会稽查局副局长，中国证监会派出机构工作协调部主任兼投资者教育办公室主任，中信建投证券有限责任公司合规总监、中信建投证券股份有限公司监事会主席。朱先生目前担任焦点科技股份有限公司董事、华润化学材料科技股份有限公司以及</w:t>
            </w:r>
            <w:r>
              <w:rPr>
                <w:rFonts w:asciiTheme="minorEastAsia" w:eastAsiaTheme="minorEastAsia" w:hAnsiTheme="minorEastAsia" w:hint="eastAsia"/>
              </w:rPr>
              <w:t>南通</w:t>
            </w:r>
            <w:r>
              <w:rPr>
                <w:rFonts w:asciiTheme="minorEastAsia" w:eastAsiaTheme="minorEastAsia" w:hAnsiTheme="minorEastAsia"/>
              </w:rPr>
              <w:t>国盛智科股份有限公司独立董事，2020年6月任本公司独立董事。</w:t>
            </w:r>
            <w:r>
              <w:rPr>
                <w:rFonts w:asciiTheme="minorEastAsia" w:eastAsiaTheme="minorEastAsia" w:hAnsiTheme="minorEastAsia" w:hint="eastAsia"/>
              </w:rPr>
              <w:t>朱先生毕业于南开大学、中国人民大学。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胡家栋</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1969年6月，商业学士学位，香港会计师公会资深会员，澳洲会计师公会会员，本公司独立董事。胡先生曾在香港安达信会计师事务所任职执业会计师，及后在荷兰商业银行(ING)、中信证券及瑞士信贷的投资银行部任职，并曾任华能新能源股份有限公司、铁江现货有限公司以及远大中国控股有限公司独立董事。胡先生目前担任国微技术控股有限公司独立董事，2023年6月任本公司独立董事。胡先生毕业于澳洲新南威尔士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朱</w:t>
            </w:r>
            <w:r>
              <w:rPr>
                <w:rFonts w:asciiTheme="minorEastAsia" w:eastAsiaTheme="minorEastAsia" w:hAnsiTheme="minorEastAsia"/>
              </w:rPr>
              <w:t xml:space="preserve">  </w:t>
            </w:r>
            <w:r>
              <w:rPr>
                <w:rFonts w:asciiTheme="minorEastAsia" w:eastAsiaTheme="minorEastAsia" w:hAnsiTheme="minorEastAsia" w:hint="eastAsia"/>
              </w:rPr>
              <w:t>睿</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1975年2月，工商管理博士学位，本公司独立董事。朱女士曾任加拿大英属哥伦比亚大学副教授，美国莱斯大学助理教授。朱女士目前担任长江商学院市场营销学教授、ESG与社会创新研究中心主任，并担任九毛九国际控股有限公司、万物新生公司（纽约证券交易所上市公司ATRenew Inc）独立董事，2023年6月任本公司独立董事。朱女士毕业于对外经济贸易大学、美国明尼苏达大学。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李士鹏</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1978年2月，高级会计师，工程硕士，本公司监事会主席，山东能源财务管理部部长。李先生</w:t>
            </w:r>
            <w:r>
              <w:rPr>
                <w:rFonts w:asciiTheme="minorEastAsia" w:eastAsiaTheme="minorEastAsia" w:hAnsiTheme="minorEastAsia" w:hint="eastAsia"/>
              </w:rPr>
              <w:t>2000年加入本公司，</w:t>
            </w:r>
            <w:r>
              <w:rPr>
                <w:rFonts w:asciiTheme="minorEastAsia" w:eastAsiaTheme="minorEastAsia" w:hAnsiTheme="minorEastAsia"/>
              </w:rPr>
              <w:t>2017年11月任兖矿集团有限公司财务管理部主任会计师，2020年1月任兖矿集团有限公司财务管理部副部长（主持工作），2020年</w:t>
            </w:r>
            <w:r>
              <w:rPr>
                <w:rFonts w:asciiTheme="minorEastAsia" w:eastAsiaTheme="minorEastAsia" w:hAnsiTheme="minorEastAsia" w:hint="eastAsia"/>
              </w:rPr>
              <w:t>8</w:t>
            </w:r>
            <w:r>
              <w:rPr>
                <w:rFonts w:asciiTheme="minorEastAsia" w:eastAsiaTheme="minorEastAsia" w:hAnsiTheme="minorEastAsia"/>
              </w:rPr>
              <w:t>月任山东</w:t>
            </w:r>
            <w:r>
              <w:rPr>
                <w:rFonts w:asciiTheme="minorEastAsia" w:eastAsiaTheme="minorEastAsia" w:hAnsiTheme="minorEastAsia"/>
              </w:rPr>
              <w:lastRenderedPageBreak/>
              <w:t>能源财务管理部部长，2020年6月任本公司监事，2021年8月任本公司监事会副主席，</w:t>
            </w:r>
            <w:r>
              <w:rPr>
                <w:rFonts w:asciiTheme="minorEastAsia" w:eastAsiaTheme="minorEastAsia" w:hAnsiTheme="minorEastAsia" w:hint="eastAsia"/>
              </w:rPr>
              <w:t>2</w:t>
            </w:r>
            <w:r>
              <w:rPr>
                <w:rFonts w:asciiTheme="minorEastAsia" w:eastAsiaTheme="minorEastAsia" w:hAnsiTheme="minorEastAsia"/>
              </w:rPr>
              <w:t>023年</w:t>
            </w:r>
            <w:r>
              <w:rPr>
                <w:rFonts w:asciiTheme="minorEastAsia" w:eastAsiaTheme="minorEastAsia" w:hAnsiTheme="minorEastAsia" w:hint="eastAsia"/>
              </w:rPr>
              <w:t>6</w:t>
            </w:r>
            <w:r>
              <w:rPr>
                <w:rFonts w:asciiTheme="minorEastAsia" w:eastAsiaTheme="minorEastAsia" w:hAnsiTheme="minorEastAsia"/>
              </w:rPr>
              <w:t>月任本公司监事会主席。李先生毕业于中国石油大学。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lastRenderedPageBreak/>
              <w:t xml:space="preserve">朱 </w:t>
            </w:r>
            <w:r>
              <w:rPr>
                <w:rFonts w:asciiTheme="minorEastAsia" w:eastAsiaTheme="minorEastAsia" w:hAnsiTheme="minorEastAsia"/>
              </w:rPr>
              <w:t xml:space="preserve"> </w:t>
            </w:r>
            <w:r>
              <w:rPr>
                <w:rFonts w:asciiTheme="minorEastAsia" w:eastAsiaTheme="minorEastAsia" w:hAnsiTheme="minorEastAsia" w:hint="eastAsia"/>
              </w:rPr>
              <w:t>昊</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1971年10月，高级经济师，</w:t>
            </w:r>
            <w:r>
              <w:rPr>
                <w:rFonts w:asciiTheme="minorEastAsia" w:eastAsiaTheme="minorEastAsia" w:hAnsiTheme="minorEastAsia" w:hint="eastAsia"/>
              </w:rPr>
              <w:t>大学学历，</w:t>
            </w:r>
            <w:r>
              <w:rPr>
                <w:rFonts w:asciiTheme="minorEastAsia" w:eastAsiaTheme="minorEastAsia" w:hAnsiTheme="minorEastAsia"/>
              </w:rPr>
              <w:t>本公司监事，山东能源</w:t>
            </w:r>
            <w:r>
              <w:rPr>
                <w:rFonts w:asciiTheme="minorEastAsia" w:eastAsiaTheme="minorEastAsia" w:hAnsiTheme="minorEastAsia" w:hint="eastAsia"/>
              </w:rPr>
              <w:t>副总经济师兼</w:t>
            </w:r>
            <w:r>
              <w:rPr>
                <w:rFonts w:asciiTheme="minorEastAsia" w:eastAsiaTheme="minorEastAsia" w:hAnsiTheme="minorEastAsia"/>
              </w:rPr>
              <w:t>运营管理部</w:t>
            </w:r>
            <w:r>
              <w:rPr>
                <w:rFonts w:asciiTheme="minorEastAsia" w:eastAsiaTheme="minorEastAsia" w:hAnsiTheme="minorEastAsia" w:hint="eastAsia"/>
              </w:rPr>
              <w:t>（督察办公室）</w:t>
            </w:r>
            <w:r>
              <w:rPr>
                <w:rFonts w:asciiTheme="minorEastAsia" w:eastAsiaTheme="minorEastAsia" w:hAnsiTheme="minorEastAsia"/>
              </w:rPr>
              <w:t>部长</w:t>
            </w:r>
            <w:r>
              <w:rPr>
                <w:rFonts w:asciiTheme="minorEastAsia" w:eastAsiaTheme="minorEastAsia" w:hAnsiTheme="minorEastAsia" w:hint="eastAsia"/>
              </w:rPr>
              <w:t>、主任</w:t>
            </w:r>
            <w:r>
              <w:rPr>
                <w:rFonts w:asciiTheme="minorEastAsia" w:eastAsiaTheme="minorEastAsia" w:hAnsiTheme="minorEastAsia"/>
              </w:rPr>
              <w:t>。朱先生2001年任新汶矿业集团有限公司（“新矿集团”） 孙村煤矿总经济师，2007年任新矿集团孙村煤矿党委委员、总经济师，2010年任新矿集团经营管理部副主任，2012年任新矿集团经营管理部部长兼督查办公室主任，2014年任原山东能源集团有限公司绩效运营部副总经理，2017年任原山东能源集团有限公司经济运行部部长，2020年8月任山东能源运营管理部部长，</w:t>
            </w:r>
            <w:r>
              <w:rPr>
                <w:rFonts w:asciiTheme="minorEastAsia" w:eastAsiaTheme="minorEastAsia" w:hAnsiTheme="minorEastAsia" w:hint="eastAsia"/>
              </w:rPr>
              <w:t>2024年8月任山东能源运营管理部（督察办公室）部长、主任，2025年1月任山东能源副总经济师，</w:t>
            </w:r>
            <w:r>
              <w:rPr>
                <w:rFonts w:asciiTheme="minorEastAsia" w:eastAsiaTheme="minorEastAsia" w:hAnsiTheme="minorEastAsia"/>
              </w:rPr>
              <w:t>2021年8月任本公司监事。朱先生毕业于山</w:t>
            </w:r>
            <w:r>
              <w:rPr>
                <w:rFonts w:asciiTheme="minorEastAsia" w:eastAsiaTheme="minorEastAsia" w:hAnsiTheme="minorEastAsia" w:hint="eastAsia"/>
              </w:rPr>
              <w:t>东大学。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靳家皓</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1971年8月，高级经济师，大学学历，本公司党委委员、职工监事、纪委书记。靳先生</w:t>
            </w:r>
            <w:r>
              <w:rPr>
                <w:rFonts w:asciiTheme="minorEastAsia" w:eastAsiaTheme="minorEastAsia" w:hAnsiTheme="minorEastAsia" w:hint="eastAsia"/>
              </w:rPr>
              <w:t>2022年10月加入本公司，</w:t>
            </w:r>
            <w:r>
              <w:rPr>
                <w:rFonts w:asciiTheme="minorEastAsia" w:eastAsiaTheme="minorEastAsia" w:hAnsiTheme="minorEastAsia"/>
              </w:rPr>
              <w:t>2004年10月任</w:t>
            </w:r>
            <w:r>
              <w:rPr>
                <w:rFonts w:asciiTheme="minorEastAsia" w:eastAsiaTheme="minorEastAsia" w:hAnsiTheme="minorEastAsia" w:hint="eastAsia"/>
              </w:rPr>
              <w:t>枣庄矿业（集团）有限责任公司（“枣矿集团”）</w:t>
            </w:r>
            <w:r>
              <w:rPr>
                <w:rFonts w:asciiTheme="minorEastAsia" w:eastAsiaTheme="minorEastAsia" w:hAnsiTheme="minorEastAsia"/>
              </w:rPr>
              <w:t>董事会秘书处副处长、党委办公室副主任，2012年10月任枣矿集团铁路运输处党委副书记、工会主席，2013年8月任枣矿集团铁路运输处党委书记、工会主席，2015年9月任枣矿集团新安煤业公司党委书记，2017年4月任枣矿集团办公室主任，2017年8月任枣矿集团董事会秘书、办公室主任，2019年11月任枣矿集团董事会秘书、办公室主任、政策研究室主任，2020年5月任</w:t>
            </w:r>
            <w:r>
              <w:rPr>
                <w:rFonts w:asciiTheme="minorEastAsia" w:eastAsiaTheme="minorEastAsia" w:hAnsiTheme="minorEastAsia" w:hint="eastAsia"/>
              </w:rPr>
              <w:t>临沂矿业集团有限责任公司（“</w:t>
            </w:r>
            <w:r>
              <w:rPr>
                <w:rFonts w:asciiTheme="minorEastAsia" w:eastAsiaTheme="minorEastAsia" w:hAnsiTheme="minorEastAsia"/>
              </w:rPr>
              <w:t>临矿</w:t>
            </w:r>
            <w:r>
              <w:rPr>
                <w:rFonts w:asciiTheme="minorEastAsia" w:eastAsiaTheme="minorEastAsia" w:hAnsiTheme="minorEastAsia" w:hint="eastAsia"/>
              </w:rPr>
              <w:t>集团”）党委常委、纪委书记，</w:t>
            </w:r>
            <w:r>
              <w:rPr>
                <w:rFonts w:asciiTheme="minorEastAsia" w:eastAsiaTheme="minorEastAsia" w:hAnsiTheme="minorEastAsia"/>
              </w:rPr>
              <w:t>2021年11月任鲁西矿业党委委员、纪委书记，2022年10月任本公司党委委员、纪委书记，2023年4月任本公司职工监事。靳先生毕业于山东科技大学。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康</w:t>
            </w:r>
            <w:r>
              <w:rPr>
                <w:rFonts w:asciiTheme="minorEastAsia" w:eastAsiaTheme="minorEastAsia" w:hAnsiTheme="minorEastAsia"/>
              </w:rPr>
              <w:t xml:space="preserve">  </w:t>
            </w:r>
            <w:r>
              <w:rPr>
                <w:rFonts w:asciiTheme="minorEastAsia" w:eastAsiaTheme="minorEastAsia" w:hAnsiTheme="minorEastAsia" w:hint="eastAsia"/>
              </w:rPr>
              <w:t>丹</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1980年3月，高级工程师，大学学历，工程硕士，本公司安全总监。康先生2016年3月任本公司南屯煤矿副矿长，2020年4月任本公司南屯煤矿党委副书记、矿长，2021年5月任本公司兴隆庄煤矿党委副书记、矿长，2022年4月任本公司安全总监。康先生毕业于中国矿业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 xml:space="preserve">岳 </w:t>
            </w:r>
            <w:r>
              <w:rPr>
                <w:rFonts w:asciiTheme="minorEastAsia" w:eastAsiaTheme="minorEastAsia" w:hAnsiTheme="minorEastAsia"/>
              </w:rPr>
              <w:t xml:space="preserve"> </w:t>
            </w:r>
            <w:r>
              <w:rPr>
                <w:rFonts w:asciiTheme="minorEastAsia" w:eastAsiaTheme="minorEastAsia" w:hAnsiTheme="minorEastAsia" w:hint="eastAsia"/>
              </w:rPr>
              <w:t>宁</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1978年8月，工程技术应用研究员，大学学历，本公司副总经理。岳先生2015年6月任陕西未来能源化工有限公司金鸡滩煤矿总工程师，2018年12月任金鸡滩煤矿副矿长，2020年4月任金鸡滩煤矿矿长，2023年9月任兖煤澳大利亚有限公司执行董事、联席副董事长、执行委员会主席</w:t>
            </w:r>
            <w:r>
              <w:rPr>
                <w:rFonts w:asciiTheme="minorEastAsia" w:eastAsiaTheme="minorEastAsia" w:hAnsiTheme="minorEastAsia" w:hint="eastAsia"/>
              </w:rPr>
              <w:t>，</w:t>
            </w:r>
            <w:r>
              <w:rPr>
                <w:rFonts w:asciiTheme="minorEastAsia" w:eastAsiaTheme="minorEastAsia" w:hAnsiTheme="minorEastAsia"/>
              </w:rPr>
              <w:t>2023年10月任本公司副总经理。岳先生毕业于中国矿业大学。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赵治国</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1978年4月，高级会计师，大学学历，本公司财务总监。赵先生2016年8月任临沂矿业集团菏泽煤电有限公司党委委员、总会计师，2017年9月任临矿集团财务部副部长（主持工作）、资本证券化领导小组办公室副主任，2018年8月任</w:t>
            </w:r>
            <w:r>
              <w:rPr>
                <w:rFonts w:asciiTheme="minorEastAsia" w:eastAsiaTheme="minorEastAsia" w:hAnsiTheme="minorEastAsia" w:hint="eastAsia"/>
              </w:rPr>
              <w:t>临矿</w:t>
            </w:r>
            <w:r>
              <w:rPr>
                <w:rFonts w:asciiTheme="minorEastAsia" w:eastAsiaTheme="minorEastAsia" w:hAnsiTheme="minorEastAsia"/>
              </w:rPr>
              <w:t>集团财务部部长、大数据分析室主任、资本证券化领导小组办公室副主任。2021年10月任山东能源财务管理部部务委员，2022年2月任本公司财务管理部部长，2023年10月任本公司财务总监。赵先生毕业于陕西科技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高春雷</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1981年5月，正高级工程师，工程硕士，本公司总工程师（化工）。高先生2011年11月任兖州煤业榆林能化有限公司甲醇厂党委委员、副厂长，2018年11月任兖州煤业榆林能化有限公司党委副书记、厂长，2021年10月任兖州煤业榆林能化有限公司党委书记、董事长、总经理，2022年6月任兖矿能源集团股份有限公司山东能源化工分公司党委委员、副总经理，2022年10月任兖矿能源集团股份有限公司山东能源化工分公司党委委员、副总经理、安全总监，2023年10月任兖矿能源现代煤化工事业部总经理，2024年3月任本公司总工程师（化工）。高先生毕业于黑龙江科技学院。</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t>张照允</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1980年10月，正高级工程师，工程硕士。张先生2017年8月任本公司兴隆庄煤矿总工程师，2022年1月任本公司鲍店煤矿总工程师，2022年4月任本公司兴隆庄煤矿党委副书记、矿长，2023年5月任本公司东滩煤矿党委副书记、矿长。2024年6月任本公司总工程师。张先生毕业于山东科技大学。</w:t>
            </w:r>
          </w:p>
        </w:tc>
      </w:tr>
      <w:tr>
        <w:tc>
          <w:tcPr>
            <w:tcW w:w="1368" w:type="dxa"/>
            <w:vAlign w:val="center"/>
          </w:tcPr>
          <w:p>
            <w:pPr>
              <w:jc w:val="center"/>
              <w:rPr>
                <w:rFonts w:asciiTheme="minorEastAsia" w:eastAsiaTheme="minorEastAsia" w:hAnsiTheme="minorEastAsia"/>
              </w:rPr>
            </w:pPr>
            <w:r>
              <w:rPr>
                <w:rFonts w:asciiTheme="minorEastAsia" w:eastAsiaTheme="minorEastAsia" w:hAnsiTheme="minorEastAsia" w:hint="eastAsia"/>
              </w:rPr>
              <w:lastRenderedPageBreak/>
              <w:t>张</w:t>
            </w:r>
            <w:r>
              <w:rPr>
                <w:rFonts w:asciiTheme="minorEastAsia" w:eastAsiaTheme="minorEastAsia" w:hAnsiTheme="minorEastAsia"/>
              </w:rPr>
              <w:t xml:space="preserve">  </w:t>
            </w:r>
            <w:r>
              <w:rPr>
                <w:rFonts w:asciiTheme="minorEastAsia" w:eastAsiaTheme="minorEastAsia" w:hAnsiTheme="minorEastAsia" w:hint="eastAsia"/>
              </w:rPr>
              <w:t>磊</w:t>
            </w:r>
          </w:p>
        </w:tc>
        <w:tc>
          <w:tcPr>
            <w:tcW w:w="12495" w:type="dxa"/>
          </w:tcPr>
          <w:p>
            <w:pPr>
              <w:rPr>
                <w:rFonts w:asciiTheme="minorEastAsia" w:eastAsiaTheme="minorEastAsia" w:hAnsiTheme="minorEastAsia"/>
              </w:rPr>
            </w:pPr>
            <w:r>
              <w:rPr>
                <w:rFonts w:asciiTheme="minorEastAsia" w:eastAsiaTheme="minorEastAsia" w:hAnsiTheme="minorEastAsia" w:hint="eastAsia"/>
              </w:rPr>
              <w:t>出生于</w:t>
            </w:r>
            <w:r>
              <w:rPr>
                <w:rFonts w:asciiTheme="minorEastAsia" w:eastAsiaTheme="minorEastAsia" w:hAnsiTheme="minorEastAsia"/>
              </w:rPr>
              <w:t>1972年5月，国际注册高级会计师、澳洲注册会计师，工商管理硕士、经济学博士，本公司投资总监。张先生2008年9月至2010年9月担任西门子（中国）有限公司副总裁兼西门子东北亚房地产集团首席财务官；2010年9月至 2012年6月担任中铝矿业国际执行董事兼首席财务官，中铝海外控股有限公司副总裁兼首席财务官；2012年7月至2013年3月担任壳牌远东区商务财务并购总经理；2013年3月至2014年3月担任韩国SK大中华区高级副总裁兼董事总经理。张先生于2014年加入本公司，历任兖煤澳洲首席财务官、</w:t>
            </w:r>
            <w:r>
              <w:rPr>
                <w:rFonts w:asciiTheme="minorEastAsia" w:eastAsiaTheme="minorEastAsia" w:hAnsiTheme="minorEastAsia" w:hint="eastAsia"/>
              </w:rPr>
              <w:t>澳斯达首席执行官、兖煤国际总经理，</w:t>
            </w:r>
            <w:r>
              <w:rPr>
                <w:rFonts w:asciiTheme="minorEastAsia" w:eastAsiaTheme="minorEastAsia" w:hAnsiTheme="minorEastAsia"/>
              </w:rPr>
              <w:t>2020年3月任本公司投资总监。张先生毕业于北京大学光华管理学院、中国社会科学院研究生院。</w:t>
            </w:r>
          </w:p>
        </w:tc>
      </w:tr>
    </w:tbl>
    <w:p>
      <w:pPr>
        <w:pStyle w:val="affffffd"/>
      </w:pPr>
    </w:p>
    <w:p>
      <w:pPr>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1283467737"/>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bookmarkEnd w:id="118"/>
    <w:p>
      <w:pPr>
        <w:rPr>
          <w:szCs w:val="21"/>
        </w:rPr>
      </w:pPr>
    </w:p>
    <w:p>
      <w:pPr>
        <w:rPr>
          <w:szCs w:val="21"/>
        </w:rPr>
        <w:sectPr>
          <w:pgSz w:w="16838" w:h="11906" w:orient="landscape"/>
          <w:pgMar w:top="1797" w:right="1525" w:bottom="1276" w:left="1440" w:header="855" w:footer="992" w:gutter="0"/>
          <w:cols w:space="425"/>
          <w:docGrid w:linePitch="312"/>
        </w:sectPr>
      </w:pPr>
    </w:p>
    <w:p>
      <w:pPr>
        <w:pStyle w:val="afffffff1"/>
        <w:numPr>
          <w:ilvl w:val="0"/>
          <w:numId w:val="35"/>
        </w:numPr>
        <w:ind w:left="0" w:firstLine="0"/>
      </w:pPr>
      <w:r>
        <w:rPr>
          <w:rFonts w:hint="eastAsia"/>
        </w:rPr>
        <w:lastRenderedPageBreak/>
        <w:t>现任及报告期内离任董事、监事和高级管理人员的任职情况</w:t>
      </w:r>
    </w:p>
    <w:p>
      <w:pPr>
        <w:pStyle w:val="afffffffffffff8"/>
        <w:numPr>
          <w:ilvl w:val="0"/>
          <w:numId w:val="36"/>
        </w:numPr>
      </w:pPr>
      <w:r>
        <w:t>在股东单位任职情况</w:t>
      </w:r>
    </w:p>
    <w:sdt>
      <w:sdtPr>
        <w:rPr>
          <w:szCs w:val="21"/>
        </w:rPr>
        <w:alias w:val="是否适用：在股东单位任职情况[双击切换]"/>
        <w:tag w:val="_GBC_c450b54d9ea443cf85cc614c8528526b"/>
        <w:id w:val="-1428964547"/>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9"/>
        <w:tblW w:w="9049" w:type="dxa"/>
        <w:tblInd w:w="0" w:type="dxa"/>
        <w:tblCellMar>
          <w:left w:w="108" w:type="dxa"/>
          <w:right w:w="108" w:type="dxa"/>
        </w:tblCellMar>
        <w:tblLook w:val="04A0" w:firstRow="1" w:lastRow="0" w:firstColumn="1" w:lastColumn="0" w:noHBand="0" w:noVBand="1"/>
      </w:tblPr>
      <w:tblGrid>
        <w:gridCol w:w="1719"/>
        <w:gridCol w:w="1581"/>
        <w:gridCol w:w="4311"/>
        <w:gridCol w:w="1438"/>
      </w:tblGrid>
      <w:tr>
        <w:trPr>
          <w:trHeight w:val="105"/>
        </w:trPr>
        <w:tc>
          <w:tcPr>
            <w:tcW w:w="1719" w:type="dxa"/>
            <w:vAlign w:val="center"/>
          </w:tcPr>
          <w:p>
            <w:pPr>
              <w:jc w:val="center"/>
              <w:rPr>
                <w:rFonts w:asciiTheme="minorEastAsia" w:eastAsiaTheme="minorEastAsia" w:hAnsiTheme="minorEastAsia"/>
              </w:rPr>
            </w:pPr>
            <w:r>
              <w:rPr>
                <w:rFonts w:asciiTheme="minorEastAsia" w:eastAsiaTheme="minorEastAsia" w:hAnsiTheme="minorEastAsia"/>
              </w:rPr>
              <w:t>任职人员姓名</w:t>
            </w:r>
          </w:p>
        </w:tc>
        <w:tc>
          <w:tcPr>
            <w:tcW w:w="1581" w:type="dxa"/>
            <w:vAlign w:val="center"/>
          </w:tcPr>
          <w:p>
            <w:pPr>
              <w:jc w:val="center"/>
              <w:rPr>
                <w:rFonts w:asciiTheme="minorEastAsia" w:eastAsiaTheme="minorEastAsia" w:hAnsiTheme="minorEastAsia"/>
              </w:rPr>
            </w:pPr>
            <w:r>
              <w:rPr>
                <w:rFonts w:asciiTheme="minorEastAsia" w:eastAsiaTheme="minorEastAsia" w:hAnsiTheme="minorEastAsia"/>
              </w:rPr>
              <w:t>股东单位名称</w:t>
            </w:r>
          </w:p>
        </w:tc>
        <w:tc>
          <w:tcPr>
            <w:tcW w:w="4311" w:type="dxa"/>
            <w:vAlign w:val="center"/>
          </w:tcPr>
          <w:p>
            <w:pPr>
              <w:jc w:val="center"/>
              <w:rPr>
                <w:rFonts w:asciiTheme="minorEastAsia" w:eastAsiaTheme="minorEastAsia" w:hAnsiTheme="minorEastAsia"/>
              </w:rPr>
            </w:pPr>
            <w:r>
              <w:rPr>
                <w:rFonts w:asciiTheme="minorEastAsia" w:eastAsiaTheme="minorEastAsia" w:hAnsiTheme="minorEastAsia"/>
              </w:rPr>
              <w:t>在股东单位担任的职务</w:t>
            </w:r>
          </w:p>
        </w:tc>
        <w:tc>
          <w:tcPr>
            <w:tcW w:w="1438" w:type="dxa"/>
            <w:vAlign w:val="center"/>
          </w:tcPr>
          <w:p>
            <w:pPr>
              <w:jc w:val="center"/>
              <w:rPr>
                <w:rFonts w:asciiTheme="minorEastAsia" w:eastAsiaTheme="minorEastAsia" w:hAnsiTheme="minorEastAsia"/>
              </w:rPr>
            </w:pPr>
            <w:r>
              <w:rPr>
                <w:rFonts w:asciiTheme="minorEastAsia" w:eastAsiaTheme="minorEastAsia" w:hAnsiTheme="minorEastAsia"/>
              </w:rPr>
              <w:t>任期起始日期</w:t>
            </w:r>
          </w:p>
        </w:tc>
      </w:tr>
      <w:tr>
        <w:trPr>
          <w:trHeight w:val="147"/>
        </w:trPr>
        <w:tc>
          <w:tcPr>
            <w:tcW w:w="1719" w:type="dxa"/>
          </w:tcPr>
          <w:p>
            <w:pPr>
              <w:jc w:val="center"/>
              <w:rPr>
                <w:rFonts w:asciiTheme="minorEastAsia" w:eastAsiaTheme="minorEastAsia" w:hAnsiTheme="minorEastAsia"/>
              </w:rPr>
            </w:pPr>
            <w:r>
              <w:rPr>
                <w:rFonts w:asciiTheme="minorEastAsia" w:eastAsiaTheme="minorEastAsia" w:hAnsiTheme="minorEastAsia" w:hint="eastAsia"/>
              </w:rPr>
              <w:t xml:space="preserve">李 </w:t>
            </w:r>
            <w:r>
              <w:rPr>
                <w:rFonts w:asciiTheme="minorEastAsia" w:eastAsiaTheme="minorEastAsia" w:hAnsiTheme="minorEastAsia"/>
              </w:rPr>
              <w:t xml:space="preserve"> </w:t>
            </w:r>
            <w:r>
              <w:rPr>
                <w:rFonts w:asciiTheme="minorEastAsia" w:eastAsiaTheme="minorEastAsia" w:hAnsiTheme="minorEastAsia" w:hint="eastAsia"/>
              </w:rPr>
              <w:t>伟</w:t>
            </w:r>
          </w:p>
        </w:tc>
        <w:tc>
          <w:tcPr>
            <w:tcW w:w="1581" w:type="dxa"/>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党委书记、董事长</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021-06-29</w:t>
            </w:r>
          </w:p>
        </w:tc>
      </w:tr>
      <w:tr>
        <w:trPr>
          <w:trHeight w:val="147"/>
        </w:trPr>
        <w:tc>
          <w:tcPr>
            <w:tcW w:w="1719" w:type="dxa"/>
          </w:tcPr>
          <w:p>
            <w:pPr>
              <w:jc w:val="cente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健</w:t>
            </w:r>
          </w:p>
        </w:tc>
        <w:tc>
          <w:tcPr>
            <w:tcW w:w="1581" w:type="dxa"/>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党委常委、副总经理</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021-02-02</w:t>
            </w:r>
          </w:p>
        </w:tc>
      </w:tr>
      <w:tr>
        <w:trPr>
          <w:trHeight w:val="147"/>
        </w:trPr>
        <w:tc>
          <w:tcPr>
            <w:tcW w:w="1719" w:type="dxa"/>
          </w:tcPr>
          <w:p>
            <w:pPr>
              <w:jc w:val="cente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强</w:t>
            </w:r>
          </w:p>
        </w:tc>
        <w:tc>
          <w:tcPr>
            <w:tcW w:w="1581" w:type="dxa"/>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党委常委、副总经理</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022-03-14</w:t>
            </w:r>
          </w:p>
        </w:tc>
      </w:tr>
      <w:tr>
        <w:trPr>
          <w:trHeight w:val="147"/>
        </w:trPr>
        <w:tc>
          <w:tcPr>
            <w:tcW w:w="1719"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张海军</w:t>
            </w:r>
          </w:p>
        </w:tc>
        <w:tc>
          <w:tcPr>
            <w:tcW w:w="1581"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战略规划部部长</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-0</w:t>
            </w:r>
            <w:r>
              <w:rPr>
                <w:rFonts w:asciiTheme="minorEastAsia" w:eastAsiaTheme="minorEastAsia" w:hAnsiTheme="minorEastAsia" w:hint="eastAsia"/>
              </w:rPr>
              <w:t>8</w:t>
            </w:r>
            <w:r>
              <w:rPr>
                <w:rFonts w:asciiTheme="minorEastAsia" w:eastAsiaTheme="minorEastAsia" w:hAnsiTheme="minorEastAsia"/>
              </w:rPr>
              <w:t>-</w:t>
            </w:r>
            <w:r>
              <w:rPr>
                <w:rFonts w:asciiTheme="minorEastAsia" w:eastAsiaTheme="minorEastAsia" w:hAnsiTheme="minorEastAsia" w:hint="eastAsia"/>
              </w:rPr>
              <w:t>05</w:t>
            </w:r>
          </w:p>
        </w:tc>
      </w:tr>
      <w:tr>
        <w:trPr>
          <w:trHeight w:val="147"/>
        </w:trPr>
        <w:tc>
          <w:tcPr>
            <w:tcW w:w="1719" w:type="dxa"/>
            <w:vMerge/>
          </w:tcPr>
          <w:p>
            <w:pPr>
              <w:jc w:val="center"/>
              <w:rPr>
                <w:rFonts w:asciiTheme="minorEastAsia" w:eastAsiaTheme="minorEastAsia" w:hAnsiTheme="minorEastAsia"/>
              </w:rPr>
            </w:pPr>
          </w:p>
        </w:tc>
        <w:tc>
          <w:tcPr>
            <w:tcW w:w="1581" w:type="dxa"/>
            <w:vMerge/>
          </w:tcPr>
          <w:p>
            <w:pPr>
              <w:jc w:val="center"/>
              <w:rPr>
                <w:rFonts w:asciiTheme="minorEastAsia" w:eastAsiaTheme="minorEastAsia" w:hAnsiTheme="minorEastAsia"/>
              </w:rPr>
            </w:pPr>
          </w:p>
        </w:tc>
        <w:tc>
          <w:tcPr>
            <w:tcW w:w="4311" w:type="dxa"/>
          </w:tcPr>
          <w:p>
            <w:pPr>
              <w:rPr>
                <w:rFonts w:asciiTheme="minorEastAsia" w:eastAsiaTheme="minorEastAsia" w:hAnsiTheme="minorEastAsia"/>
              </w:rPr>
            </w:pPr>
            <w:r>
              <w:rPr>
                <w:rFonts w:asciiTheme="minorEastAsia" w:eastAsiaTheme="minorEastAsia" w:hAnsiTheme="minorEastAsia" w:hint="eastAsia"/>
              </w:rPr>
              <w:t>副总经济师</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2025-01-13</w:t>
            </w:r>
          </w:p>
        </w:tc>
      </w:tr>
      <w:tr>
        <w:trPr>
          <w:trHeight w:val="147"/>
        </w:trPr>
        <w:tc>
          <w:tcPr>
            <w:tcW w:w="1719" w:type="dxa"/>
          </w:tcPr>
          <w:p>
            <w:pPr>
              <w:jc w:val="center"/>
              <w:rPr>
                <w:rFonts w:asciiTheme="minorEastAsia" w:eastAsiaTheme="minorEastAsia" w:hAnsiTheme="minorEastAsia"/>
              </w:rPr>
            </w:pPr>
            <w:r>
              <w:rPr>
                <w:rFonts w:asciiTheme="minorEastAsia" w:eastAsiaTheme="minorEastAsia" w:hAnsiTheme="minorEastAsia" w:hint="eastAsia"/>
              </w:rPr>
              <w:t>李士鹏</w:t>
            </w:r>
          </w:p>
        </w:tc>
        <w:tc>
          <w:tcPr>
            <w:tcW w:w="1581" w:type="dxa"/>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财务管理部部长</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020-08-</w:t>
            </w:r>
            <w:r>
              <w:rPr>
                <w:rFonts w:asciiTheme="minorEastAsia" w:eastAsiaTheme="minorEastAsia" w:hAnsiTheme="minorEastAsia" w:hint="eastAsia"/>
              </w:rPr>
              <w:t>26</w:t>
            </w:r>
          </w:p>
        </w:tc>
      </w:tr>
      <w:tr>
        <w:trPr>
          <w:trHeight w:val="147"/>
        </w:trPr>
        <w:tc>
          <w:tcPr>
            <w:tcW w:w="1719"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 xml:space="preserve">朱 </w:t>
            </w:r>
            <w:r>
              <w:rPr>
                <w:rFonts w:asciiTheme="minorEastAsia" w:eastAsiaTheme="minorEastAsia" w:hAnsiTheme="minorEastAsia"/>
              </w:rPr>
              <w:t xml:space="preserve"> </w:t>
            </w:r>
            <w:r>
              <w:rPr>
                <w:rFonts w:asciiTheme="minorEastAsia" w:eastAsiaTheme="minorEastAsia" w:hAnsiTheme="minorEastAsia" w:hint="eastAsia"/>
              </w:rPr>
              <w:t>昊</w:t>
            </w:r>
          </w:p>
        </w:tc>
        <w:tc>
          <w:tcPr>
            <w:tcW w:w="1581"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tcPr>
          <w:p>
            <w:pPr>
              <w:rPr>
                <w:rFonts w:asciiTheme="minorEastAsia" w:eastAsiaTheme="minorEastAsia" w:hAnsiTheme="minorEastAsia"/>
              </w:rPr>
            </w:pPr>
            <w:r>
              <w:rPr>
                <w:rFonts w:asciiTheme="minorEastAsia" w:eastAsiaTheme="minorEastAsia" w:hAnsiTheme="minorEastAsia" w:hint="eastAsia"/>
              </w:rPr>
              <w:t>运营管理部（督察办公室）部长、主任</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-0</w:t>
            </w:r>
            <w:r>
              <w:rPr>
                <w:rFonts w:asciiTheme="minorEastAsia" w:eastAsiaTheme="minorEastAsia" w:hAnsiTheme="minorEastAsia" w:hint="eastAsia"/>
              </w:rPr>
              <w:t>8</w:t>
            </w:r>
            <w:r>
              <w:rPr>
                <w:rFonts w:asciiTheme="minorEastAsia" w:eastAsiaTheme="minorEastAsia" w:hAnsiTheme="minorEastAsia"/>
              </w:rPr>
              <w:t>-</w:t>
            </w:r>
            <w:r>
              <w:rPr>
                <w:rFonts w:asciiTheme="minorEastAsia" w:eastAsiaTheme="minorEastAsia" w:hAnsiTheme="minorEastAsia" w:hint="eastAsia"/>
              </w:rPr>
              <w:t>05</w:t>
            </w:r>
          </w:p>
        </w:tc>
      </w:tr>
      <w:tr>
        <w:trPr>
          <w:trHeight w:val="147"/>
        </w:trPr>
        <w:tc>
          <w:tcPr>
            <w:tcW w:w="1719" w:type="dxa"/>
            <w:vMerge/>
          </w:tcPr>
          <w:p>
            <w:pPr>
              <w:jc w:val="center"/>
              <w:rPr>
                <w:rFonts w:asciiTheme="minorEastAsia" w:eastAsiaTheme="minorEastAsia" w:hAnsiTheme="minorEastAsia"/>
              </w:rPr>
            </w:pPr>
          </w:p>
        </w:tc>
        <w:tc>
          <w:tcPr>
            <w:tcW w:w="1581" w:type="dxa"/>
            <w:vMerge/>
          </w:tcPr>
          <w:p>
            <w:pPr>
              <w:jc w:val="center"/>
              <w:rPr>
                <w:rFonts w:asciiTheme="minorEastAsia" w:eastAsiaTheme="minorEastAsia" w:hAnsiTheme="minorEastAsia"/>
              </w:rPr>
            </w:pPr>
          </w:p>
        </w:tc>
        <w:tc>
          <w:tcPr>
            <w:tcW w:w="4311" w:type="dxa"/>
          </w:tcPr>
          <w:p>
            <w:pPr>
              <w:rPr>
                <w:rFonts w:asciiTheme="minorEastAsia" w:eastAsiaTheme="minorEastAsia" w:hAnsiTheme="minorEastAsia"/>
              </w:rPr>
            </w:pPr>
            <w:r>
              <w:rPr>
                <w:rFonts w:asciiTheme="minorEastAsia" w:eastAsiaTheme="minorEastAsia" w:hAnsiTheme="minorEastAsia" w:hint="eastAsia"/>
              </w:rPr>
              <w:t>副总经济师</w:t>
            </w:r>
          </w:p>
        </w:tc>
        <w:tc>
          <w:tcPr>
            <w:tcW w:w="1438" w:type="dxa"/>
          </w:tcPr>
          <w:p>
            <w:pPr>
              <w:jc w:val="center"/>
              <w:rPr>
                <w:rFonts w:asciiTheme="minorEastAsia" w:eastAsiaTheme="minorEastAsia" w:hAnsiTheme="minorEastAsia"/>
              </w:rPr>
            </w:pPr>
            <w:r>
              <w:rPr>
                <w:rFonts w:asciiTheme="minorEastAsia" w:eastAsiaTheme="minorEastAsia" w:hAnsiTheme="minorEastAsia" w:hint="eastAsia"/>
              </w:rPr>
              <w:t>2025-01-13</w:t>
            </w:r>
          </w:p>
        </w:tc>
      </w:tr>
      <w:tr>
        <w:trPr>
          <w:trHeight w:val="147"/>
        </w:trPr>
        <w:tc>
          <w:tcPr>
            <w:tcW w:w="1719" w:type="dxa"/>
            <w:vAlign w:val="center"/>
          </w:tcPr>
          <w:p>
            <w:pPr>
              <w:jc w:val="center"/>
              <w:rPr>
                <w:rFonts w:asciiTheme="minorEastAsia" w:eastAsiaTheme="minorEastAsia" w:hAnsiTheme="minorEastAsia"/>
              </w:rPr>
            </w:pPr>
            <w:r>
              <w:rPr>
                <w:rFonts w:asciiTheme="minorEastAsia" w:eastAsiaTheme="minorEastAsia" w:hAnsiTheme="minorEastAsia" w:hint="eastAsia"/>
              </w:rPr>
              <w:t>马俊鹏</w:t>
            </w:r>
          </w:p>
          <w:p>
            <w:pPr>
              <w:jc w:val="center"/>
              <w:rPr>
                <w:rFonts w:asciiTheme="minorEastAsia" w:eastAsiaTheme="minorEastAsia" w:hAnsiTheme="minorEastAsia"/>
              </w:rPr>
            </w:pPr>
            <w:r>
              <w:rPr>
                <w:rFonts w:asciiTheme="minorEastAsia" w:eastAsiaTheme="minorEastAsia" w:hAnsiTheme="minorEastAsia" w:hint="eastAsia"/>
              </w:rPr>
              <w:t>（离任）</w:t>
            </w:r>
          </w:p>
        </w:tc>
        <w:tc>
          <w:tcPr>
            <w:tcW w:w="1581" w:type="dxa"/>
            <w:vAlign w:val="center"/>
          </w:tcPr>
          <w:p>
            <w:pPr>
              <w:jc w:val="center"/>
              <w:rPr>
                <w:rFonts w:asciiTheme="minorEastAsia" w:eastAsiaTheme="minorEastAsia" w:hAnsiTheme="minorEastAsia"/>
              </w:rPr>
            </w:pPr>
            <w:r>
              <w:rPr>
                <w:rFonts w:asciiTheme="minorEastAsia" w:eastAsiaTheme="minorEastAsia" w:hAnsiTheme="minorEastAsia" w:hint="eastAsia"/>
              </w:rPr>
              <w:t>山东能源</w:t>
            </w:r>
          </w:p>
        </w:tc>
        <w:tc>
          <w:tcPr>
            <w:tcW w:w="4311" w:type="dxa"/>
            <w:vAlign w:val="center"/>
          </w:tcPr>
          <w:p>
            <w:pPr>
              <w:rPr>
                <w:rFonts w:asciiTheme="minorEastAsia" w:eastAsiaTheme="minorEastAsia" w:hAnsiTheme="minorEastAsia"/>
              </w:rPr>
            </w:pPr>
            <w:r>
              <w:rPr>
                <w:rFonts w:asciiTheme="minorEastAsia" w:eastAsiaTheme="minorEastAsia" w:hAnsiTheme="minorEastAsia" w:hint="eastAsia"/>
              </w:rPr>
              <w:t>高级技术专家</w:t>
            </w:r>
          </w:p>
        </w:tc>
        <w:tc>
          <w:tcPr>
            <w:tcW w:w="1438" w:type="dxa"/>
            <w:vAlign w:val="center"/>
          </w:tcPr>
          <w:p>
            <w:pPr>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-0</w:t>
            </w:r>
            <w:r>
              <w:rPr>
                <w:rFonts w:asciiTheme="minorEastAsia" w:eastAsiaTheme="minorEastAsia" w:hAnsiTheme="minorEastAsia" w:hint="eastAsia"/>
              </w:rPr>
              <w:t>6</w:t>
            </w:r>
            <w:r>
              <w:rPr>
                <w:rFonts w:asciiTheme="minorEastAsia" w:eastAsiaTheme="minorEastAsia" w:hAnsiTheme="minorEastAsia"/>
              </w:rPr>
              <w:t>-</w:t>
            </w:r>
            <w:r>
              <w:rPr>
                <w:rFonts w:asciiTheme="minorEastAsia" w:eastAsiaTheme="minorEastAsia" w:hAnsiTheme="minorEastAsia" w:hint="eastAsia"/>
              </w:rPr>
              <w:t>21</w:t>
            </w:r>
          </w:p>
        </w:tc>
      </w:tr>
      <w:tr>
        <w:trPr>
          <w:trHeight w:val="150"/>
        </w:trPr>
        <w:tc>
          <w:tcPr>
            <w:tcW w:w="1719" w:type="dxa"/>
          </w:tcPr>
          <w:p>
            <w:pPr>
              <w:rPr>
                <w:rFonts w:asciiTheme="minorEastAsia" w:eastAsiaTheme="minorEastAsia" w:hAnsiTheme="minorEastAsia"/>
              </w:rPr>
            </w:pPr>
            <w:r>
              <w:rPr>
                <w:rFonts w:asciiTheme="minorEastAsia" w:eastAsiaTheme="minorEastAsia" w:hAnsiTheme="minorEastAsia"/>
              </w:rPr>
              <w:t>在股东单位任职情况的说明</w:t>
            </w:r>
          </w:p>
        </w:tc>
        <w:tc>
          <w:tcPr>
            <w:tcW w:w="7330" w:type="dxa"/>
            <w:gridSpan w:val="3"/>
            <w:vAlign w:val="center"/>
          </w:tcPr>
          <w:p>
            <w:pPr>
              <w:jc w:val="left"/>
              <w:rPr>
                <w:rFonts w:asciiTheme="minorEastAsia" w:eastAsiaTheme="minorEastAsia" w:hAnsiTheme="minorEastAsia"/>
              </w:rPr>
            </w:pPr>
            <w:r>
              <w:rPr>
                <w:rFonts w:asciiTheme="minorEastAsia" w:eastAsiaTheme="minorEastAsia" w:hAnsiTheme="minorEastAsia" w:hint="eastAsia"/>
              </w:rPr>
              <w:t>无</w:t>
            </w:r>
          </w:p>
        </w:tc>
      </w:tr>
    </w:tbl>
    <w:p>
      <w:pPr>
        <w:rPr>
          <w:szCs w:val="21"/>
        </w:rPr>
      </w:pPr>
    </w:p>
    <w:p>
      <w:pPr>
        <w:pStyle w:val="afffffffffffff8"/>
        <w:numPr>
          <w:ilvl w:val="0"/>
          <w:numId w:val="36"/>
        </w:numPr>
      </w:pPr>
      <w:r>
        <w:t>在其他单位任职情况</w:t>
      </w:r>
    </w:p>
    <w:sdt>
      <w:sdtPr>
        <w:rPr>
          <w:szCs w:val="21"/>
        </w:rPr>
        <w:alias w:val="是否适用：在其他单位任职情况[双击切换]"/>
        <w:tag w:val="_GBC_31c17de709bb42fdb7ba137e843fe054"/>
        <w:id w:val="1717776848"/>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g19"/>
        <w:tblW w:w="0" w:type="auto"/>
        <w:jc w:val="center"/>
        <w:tblInd w:w="0" w:type="dxa"/>
        <w:tblCellMar>
          <w:left w:w="108" w:type="dxa"/>
          <w:right w:w="108" w:type="dxa"/>
        </w:tblCellMar>
        <w:tblLook w:val="04A0" w:firstRow="1" w:lastRow="0" w:firstColumn="1" w:lastColumn="0" w:noHBand="0" w:noVBand="1"/>
      </w:tblPr>
      <w:tblGrid>
        <w:gridCol w:w="2145"/>
        <w:gridCol w:w="2812"/>
        <w:gridCol w:w="1966"/>
        <w:gridCol w:w="1898"/>
      </w:tblGrid>
      <w:tr>
        <w:trPr>
          <w:trHeight w:val="120"/>
          <w:jc w:val="center"/>
        </w:trPr>
        <w:sdt>
          <w:sdtPr>
            <w:rPr>
              <w:rFonts w:asciiTheme="minorEastAsia" w:eastAsiaTheme="minorEastAsia" w:hAnsiTheme="minorEastAsia"/>
            </w:rPr>
            <w:tag w:val="_PLD_84cb4ce7fc4643b1be607267619a4b88"/>
            <w:id w:val="1353295798"/>
          </w:sdtPr>
          <w:sdtContent>
            <w:tc>
              <w:tcPr>
                <w:tcW w:w="2145" w:type="dxa"/>
                <w:vAlign w:val="center"/>
              </w:tcPr>
              <w:p>
                <w:pPr>
                  <w:jc w:val="center"/>
                  <w:rPr>
                    <w:rFonts w:asciiTheme="minorEastAsia" w:eastAsiaTheme="minorEastAsia" w:hAnsiTheme="minorEastAsia"/>
                  </w:rPr>
                </w:pPr>
                <w:r>
                  <w:rPr>
                    <w:rFonts w:asciiTheme="minorEastAsia" w:eastAsiaTheme="minorEastAsia" w:hAnsiTheme="minorEastAsia"/>
                  </w:rPr>
                  <w:t>任职人员姓名</w:t>
                </w:r>
              </w:p>
            </w:tc>
          </w:sdtContent>
        </w:sdt>
        <w:sdt>
          <w:sdtPr>
            <w:rPr>
              <w:rFonts w:asciiTheme="minorEastAsia" w:eastAsiaTheme="minorEastAsia" w:hAnsiTheme="minorEastAsia"/>
            </w:rPr>
            <w:tag w:val="_PLD_9c5aac001d5a4c2eb3cc0bf1e1f66afe"/>
            <w:id w:val="1622576093"/>
          </w:sdtPr>
          <w:sdtContent>
            <w:tc>
              <w:tcPr>
                <w:tcW w:w="2812" w:type="dxa"/>
                <w:vAlign w:val="center"/>
              </w:tcPr>
              <w:p>
                <w:pPr>
                  <w:jc w:val="center"/>
                  <w:rPr>
                    <w:rFonts w:asciiTheme="minorEastAsia" w:eastAsiaTheme="minorEastAsia" w:hAnsiTheme="minorEastAsia"/>
                  </w:rPr>
                </w:pPr>
                <w:r>
                  <w:rPr>
                    <w:rFonts w:asciiTheme="minorEastAsia" w:eastAsiaTheme="minorEastAsia" w:hAnsiTheme="minorEastAsia"/>
                  </w:rPr>
                  <w:t>其他单位名称</w:t>
                </w:r>
              </w:p>
            </w:tc>
          </w:sdtContent>
        </w:sdt>
        <w:sdt>
          <w:sdtPr>
            <w:rPr>
              <w:rFonts w:asciiTheme="minorEastAsia" w:eastAsiaTheme="minorEastAsia" w:hAnsiTheme="minorEastAsia"/>
            </w:rPr>
            <w:tag w:val="_PLD_a3a2822cc76542afbd1a58b94268af1d"/>
            <w:id w:val="-341089782"/>
          </w:sdtPr>
          <w:sdtContent>
            <w:tc>
              <w:tcPr>
                <w:tcW w:w="1966" w:type="dxa"/>
                <w:vAlign w:val="center"/>
              </w:tcPr>
              <w:p>
                <w:pPr>
                  <w:jc w:val="center"/>
                  <w:rPr>
                    <w:rFonts w:asciiTheme="minorEastAsia" w:eastAsiaTheme="minorEastAsia" w:hAnsiTheme="minorEastAsia"/>
                  </w:rPr>
                </w:pPr>
                <w:r>
                  <w:rPr>
                    <w:rFonts w:asciiTheme="minorEastAsia" w:eastAsiaTheme="minorEastAsia" w:hAnsiTheme="minorEastAsia"/>
                  </w:rPr>
                  <w:t>在其他单位担任的职务</w:t>
                </w:r>
              </w:p>
            </w:tc>
          </w:sdtContent>
        </w:sdt>
        <w:sdt>
          <w:sdtPr>
            <w:rPr>
              <w:rFonts w:asciiTheme="minorEastAsia" w:eastAsiaTheme="minorEastAsia" w:hAnsiTheme="minorEastAsia"/>
            </w:rPr>
            <w:tag w:val="_PLD_1afbd86b2e47420ca2c5a75f01567f2a"/>
            <w:id w:val="1770505472"/>
          </w:sdtPr>
          <w:sdtContent>
            <w:tc>
              <w:tcPr>
                <w:tcW w:w="1898" w:type="dxa"/>
                <w:vAlign w:val="center"/>
              </w:tcPr>
              <w:p>
                <w:pPr>
                  <w:jc w:val="center"/>
                  <w:rPr>
                    <w:rFonts w:asciiTheme="minorEastAsia" w:eastAsiaTheme="minorEastAsia" w:hAnsiTheme="minorEastAsia"/>
                  </w:rPr>
                </w:pPr>
                <w:r>
                  <w:rPr>
                    <w:rFonts w:asciiTheme="minorEastAsia" w:eastAsiaTheme="minorEastAsia" w:hAnsiTheme="minorEastAsia"/>
                  </w:rPr>
                  <w:t>任期起始日期</w:t>
                </w:r>
              </w:p>
            </w:tc>
          </w:sdtContent>
        </w:sdt>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rPr>
              <w:t>王九红</w:t>
            </w:r>
          </w:p>
        </w:tc>
        <w:tc>
          <w:tcPr>
            <w:tcW w:w="2812" w:type="dxa"/>
            <w:vAlign w:val="center"/>
          </w:tcPr>
          <w:p>
            <w:pPr>
              <w:rPr>
                <w:rFonts w:asciiTheme="minorEastAsia" w:eastAsiaTheme="minorEastAsia" w:hAnsiTheme="minorEastAsia"/>
              </w:rPr>
            </w:pPr>
            <w:r>
              <w:rPr>
                <w:rFonts w:ascii="Times New Roman" w:hAnsi="Times New Roman"/>
              </w:rPr>
              <w:t>内蒙古昊盛煤业有限公司</w:t>
            </w:r>
          </w:p>
        </w:tc>
        <w:tc>
          <w:tcPr>
            <w:tcW w:w="1966" w:type="dxa"/>
            <w:vAlign w:val="center"/>
          </w:tcPr>
          <w:p>
            <w:pPr>
              <w:jc w:val="center"/>
              <w:rPr>
                <w:rFonts w:asciiTheme="minorEastAsia" w:eastAsiaTheme="minorEastAsia" w:hAnsiTheme="minorEastAsia"/>
              </w:rPr>
            </w:pPr>
            <w:r>
              <w:rPr>
                <w:rFonts w:ascii="Times New Roman" w:hAnsi="Times New Roman"/>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rPr>
              <w:t>202</w:t>
            </w:r>
            <w:r>
              <w:rPr>
                <w:rFonts w:asciiTheme="minorEastAsia" w:eastAsiaTheme="minorEastAsia" w:hAnsiTheme="minorEastAsia" w:hint="eastAsia"/>
              </w:rPr>
              <w:t>0</w:t>
            </w:r>
            <w:r>
              <w:rPr>
                <w:rFonts w:asciiTheme="minorEastAsia" w:eastAsiaTheme="minorEastAsia" w:hAnsiTheme="minorEastAsia"/>
              </w:rPr>
              <w:t>-</w:t>
            </w:r>
            <w:r>
              <w:rPr>
                <w:rFonts w:asciiTheme="minorEastAsia" w:eastAsiaTheme="minorEastAsia" w:hAnsiTheme="minorEastAsia" w:hint="eastAsia"/>
              </w:rPr>
              <w:t>12</w:t>
            </w:r>
            <w:r>
              <w:rPr>
                <w:rFonts w:asciiTheme="minorEastAsia" w:eastAsiaTheme="minorEastAsia" w:hAnsiTheme="minorEastAsia"/>
              </w:rPr>
              <w:t>-2</w:t>
            </w:r>
            <w:r>
              <w:rPr>
                <w:rFonts w:asciiTheme="minorEastAsia" w:eastAsiaTheme="minorEastAsia" w:hAnsiTheme="minorEastAsia" w:hint="eastAsia"/>
              </w:rPr>
              <w:t>8</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兖矿能源（鄂尔多斯）有限公司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党委书记、董事长</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2022-10-27</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内蒙古矿业（集团）有限责任公司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党委书记、董事长</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2022-10-27</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兖煤澳大利亚有限公司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2025-02-20</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rPr>
              <w:t>黄霄龙</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山东华聚能源股份有限公司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监事会主席</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兖煤国际（控股）有限公司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兖煤澳大利亚有限公司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w:t>
            </w: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05</w:t>
            </w:r>
            <w:r>
              <w:rPr>
                <w:rFonts w:asciiTheme="minorEastAsia" w:eastAsiaTheme="minorEastAsia" w:hAnsiTheme="minorEastAsia" w:hint="eastAsia"/>
              </w:rPr>
              <w:t>-</w:t>
            </w:r>
            <w:r>
              <w:rPr>
                <w:rFonts w:asciiTheme="minorEastAsia" w:eastAsiaTheme="minorEastAsia" w:hAnsiTheme="minorEastAsia"/>
              </w:rPr>
              <w:t>31</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兖矿新疆能化有限公司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w:t>
            </w:r>
            <w:r>
              <w:rPr>
                <w:rFonts w:asciiTheme="minorEastAsia" w:eastAsiaTheme="minorEastAsia" w:hAnsiTheme="minorEastAsia"/>
              </w:rPr>
              <w:t>3</w:t>
            </w:r>
            <w:r>
              <w:rPr>
                <w:rFonts w:asciiTheme="minorEastAsia" w:eastAsiaTheme="minorEastAsia" w:hAnsiTheme="minorEastAsia" w:hint="eastAsia"/>
              </w:rPr>
              <w:t>-10-13</w:t>
            </w:r>
          </w:p>
        </w:tc>
      </w:tr>
      <w:tr>
        <w:trPr>
          <w:trHeight w:val="147"/>
          <w:jc w:val="center"/>
        </w:trPr>
        <w:tc>
          <w:tcPr>
            <w:tcW w:w="2145" w:type="dxa"/>
            <w:vAlign w:val="center"/>
          </w:tcPr>
          <w:p>
            <w:pPr>
              <w:jc w:val="center"/>
              <w:rPr>
                <w:rFonts w:asciiTheme="minorEastAsia" w:eastAsiaTheme="minorEastAsia" w:hAnsiTheme="minorEastAsia"/>
              </w:rPr>
            </w:pPr>
            <w:r>
              <w:t>彭苏萍</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国家电投集团氢能科技发展有限公司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独立董事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2020-07-08</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朱利民</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焦点科技股份有限公司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2020-03-02</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华润化学材料科技股份有限公司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独立董事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2020-04-07</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南通国盛智能科技集团股份有限公司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独立董事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2022-07-01</w:t>
            </w:r>
          </w:p>
        </w:tc>
      </w:tr>
      <w:tr>
        <w:trPr>
          <w:trHeight w:val="555"/>
          <w:jc w:val="center"/>
        </w:trPr>
        <w:tc>
          <w:tcPr>
            <w:tcW w:w="2145" w:type="dxa"/>
            <w:vAlign w:val="center"/>
          </w:tcPr>
          <w:p>
            <w:pPr>
              <w:jc w:val="center"/>
              <w:rPr>
                <w:rFonts w:asciiTheme="minorEastAsia" w:eastAsiaTheme="minorEastAsia" w:hAnsiTheme="minorEastAsia"/>
              </w:rPr>
            </w:pPr>
            <w:r>
              <w:rPr>
                <w:rFonts w:asciiTheme="minorEastAsia" w:eastAsiaTheme="minorEastAsia" w:hAnsiTheme="minorEastAsia"/>
              </w:rPr>
              <w:t>胡家栋</w:t>
            </w: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国微技术控股有限公司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独立董事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2016-03-06</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rPr>
              <w:t>朱</w:t>
            </w:r>
            <w:r>
              <w:rPr>
                <w:rFonts w:asciiTheme="minorEastAsia" w:eastAsiaTheme="minorEastAsia" w:hAnsiTheme="minorEastAsia" w:hint="eastAsia"/>
              </w:rPr>
              <w:t xml:space="preserve"> </w:t>
            </w:r>
            <w:r>
              <w:rPr>
                <w:rFonts w:asciiTheme="minorEastAsia" w:eastAsiaTheme="minorEastAsia" w:hAnsiTheme="minorEastAsia"/>
              </w:rPr>
              <w:t xml:space="preserve"> 睿</w:t>
            </w: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九毛九国际控股有限公司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独立董事</w:t>
            </w:r>
          </w:p>
        </w:tc>
        <w:tc>
          <w:tcPr>
            <w:tcW w:w="1898" w:type="dxa"/>
          </w:tcPr>
          <w:p>
            <w:pPr>
              <w:jc w:val="center"/>
              <w:rPr>
                <w:rFonts w:asciiTheme="minorEastAsia" w:eastAsiaTheme="minorEastAsia" w:hAnsiTheme="minorEastAsia"/>
              </w:rPr>
            </w:pPr>
            <w:r>
              <w:rPr>
                <w:rFonts w:asciiTheme="minorEastAsia" w:eastAsiaTheme="minorEastAsia" w:hAnsiTheme="minorEastAsia" w:hint="eastAsia"/>
              </w:rPr>
              <w:t>2021-04-16</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万物新生公司</w:t>
            </w:r>
          </w:p>
        </w:tc>
        <w:tc>
          <w:tcPr>
            <w:tcW w:w="1966"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独立董事</w:t>
            </w:r>
          </w:p>
        </w:tc>
        <w:tc>
          <w:tcPr>
            <w:tcW w:w="1898" w:type="dxa"/>
          </w:tcPr>
          <w:p>
            <w:pPr>
              <w:jc w:val="center"/>
              <w:rPr>
                <w:rFonts w:asciiTheme="minorEastAsia" w:eastAsiaTheme="minorEastAsia" w:hAnsiTheme="minorEastAsia"/>
              </w:rPr>
            </w:pPr>
            <w:r>
              <w:rPr>
                <w:rFonts w:asciiTheme="minorEastAsia" w:eastAsiaTheme="minorEastAsia" w:hAnsiTheme="minorEastAsia" w:hint="eastAsia"/>
              </w:rPr>
              <w:t>2022-01-01</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rPr>
              <w:t>李士鹏</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山东能源集团财务有限公司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w:t>
            </w:r>
            <w:r>
              <w:rPr>
                <w:rFonts w:asciiTheme="minorEastAsia" w:eastAsiaTheme="minorEastAsia" w:hAnsiTheme="minorEastAsia"/>
              </w:rPr>
              <w:t>1</w:t>
            </w:r>
            <w:r>
              <w:rPr>
                <w:rFonts w:asciiTheme="minorEastAsia" w:eastAsiaTheme="minorEastAsia" w:hAnsiTheme="minorEastAsia" w:hint="eastAsia"/>
              </w:rPr>
              <w:t>-</w:t>
            </w:r>
            <w:r>
              <w:rPr>
                <w:rFonts w:asciiTheme="minorEastAsia" w:eastAsiaTheme="minorEastAsia" w:hAnsiTheme="minorEastAsia"/>
              </w:rPr>
              <w:t>11</w:t>
            </w:r>
            <w:r>
              <w:rPr>
                <w:rFonts w:asciiTheme="minorEastAsia" w:eastAsiaTheme="minorEastAsia" w:hAnsiTheme="minorEastAsia" w:hint="eastAsia"/>
              </w:rPr>
              <w:t>-0</w:t>
            </w:r>
            <w:r>
              <w:rPr>
                <w:rFonts w:asciiTheme="minorEastAsia" w:eastAsiaTheme="minorEastAsia" w:hAnsiTheme="minorEastAsia"/>
              </w:rPr>
              <w:t>9</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tcPr>
          <w:p>
            <w:pPr>
              <w:rPr>
                <w:rFonts w:asciiTheme="minorEastAsia" w:eastAsiaTheme="minorEastAsia" w:hAnsiTheme="minorEastAsia"/>
              </w:rPr>
            </w:pPr>
            <w:r>
              <w:rPr>
                <w:rFonts w:asciiTheme="minorEastAsia" w:eastAsiaTheme="minorEastAsia" w:hAnsiTheme="minorEastAsia" w:hint="eastAsia"/>
              </w:rPr>
              <w:t>山东能源（海南）智慧国际科技有限公司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2022-10-24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兖矿融资租赁有限公司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w:t>
            </w: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10</w:t>
            </w:r>
            <w:r>
              <w:rPr>
                <w:rFonts w:asciiTheme="minorEastAsia" w:eastAsiaTheme="minorEastAsia" w:hAnsiTheme="minorEastAsia" w:hint="eastAsia"/>
              </w:rPr>
              <w:t>-0</w:t>
            </w:r>
            <w:r>
              <w:rPr>
                <w:rFonts w:asciiTheme="minorEastAsia" w:eastAsiaTheme="minorEastAsia" w:hAnsiTheme="minorEastAsia"/>
              </w:rPr>
              <w:t>5</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rPr>
              <w:t>岳  宁</w:t>
            </w:r>
          </w:p>
        </w:tc>
        <w:tc>
          <w:tcPr>
            <w:tcW w:w="2812" w:type="dxa"/>
            <w:vAlign w:val="center"/>
          </w:tcPr>
          <w:p>
            <w:pPr>
              <w:rPr>
                <w:rFonts w:asciiTheme="minorEastAsia" w:eastAsiaTheme="minorEastAsia" w:hAnsiTheme="minorEastAsia"/>
              </w:rPr>
            </w:pPr>
            <w:r>
              <w:rPr>
                <w:rFonts w:ascii="Times New Roman" w:hAnsi="Times New Roman"/>
              </w:rPr>
              <w:t>陕西未来能源化工有限公司</w:t>
            </w:r>
          </w:p>
        </w:tc>
        <w:tc>
          <w:tcPr>
            <w:tcW w:w="1966" w:type="dxa"/>
            <w:vAlign w:val="center"/>
          </w:tcPr>
          <w:p>
            <w:pPr>
              <w:jc w:val="center"/>
              <w:rPr>
                <w:rFonts w:asciiTheme="minorEastAsia" w:eastAsiaTheme="minorEastAsia" w:hAnsiTheme="minorEastAsia"/>
              </w:rPr>
            </w:pPr>
            <w:r>
              <w:rPr>
                <w:rFonts w:ascii="Times New Roman" w:hAnsi="Times New Roman"/>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rPr>
              <w:t>2021-12-27</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Merge w:val="restart"/>
            <w:vAlign w:val="center"/>
          </w:tcPr>
          <w:p>
            <w:pPr>
              <w:rPr>
                <w:rFonts w:asciiTheme="minorEastAsia" w:eastAsiaTheme="minorEastAsia" w:hAnsiTheme="minorEastAsia"/>
              </w:rPr>
            </w:pPr>
            <w:bookmarkStart w:id="121" w:name="OLE_LINK14"/>
            <w:r>
              <w:rPr>
                <w:rFonts w:asciiTheme="minorEastAsia" w:eastAsiaTheme="minorEastAsia" w:hAnsiTheme="minorEastAsia"/>
              </w:rPr>
              <w:t>兖煤澳大利亚有限公司</w:t>
            </w:r>
            <w:bookmarkEnd w:id="121"/>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执行</w:t>
            </w:r>
            <w:r>
              <w:rPr>
                <w:rFonts w:asciiTheme="minorEastAsia" w:eastAsiaTheme="minorEastAsia" w:hAnsiTheme="minorEastAsia"/>
              </w:rPr>
              <w:t>董事、</w:t>
            </w:r>
            <w:r>
              <w:rPr>
                <w:rFonts w:asciiTheme="minorEastAsia" w:eastAsiaTheme="minorEastAsia" w:hAnsiTheme="minorEastAsia" w:hint="eastAsia"/>
              </w:rPr>
              <w:t>联席</w:t>
            </w:r>
            <w:r>
              <w:rPr>
                <w:rFonts w:asciiTheme="minorEastAsia" w:eastAsiaTheme="minorEastAsia" w:hAnsiTheme="minorEastAsia"/>
              </w:rPr>
              <w:t>副董事长、执行委员会主席</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rPr>
              <w:t>2023-</w:t>
            </w:r>
            <w:r>
              <w:rPr>
                <w:rFonts w:asciiTheme="minorEastAsia" w:eastAsiaTheme="minorEastAsia" w:hAnsiTheme="minorEastAsia" w:hint="eastAsia"/>
              </w:rPr>
              <w:t>09</w:t>
            </w:r>
            <w:r>
              <w:rPr>
                <w:rFonts w:asciiTheme="minorEastAsia" w:eastAsiaTheme="minorEastAsia" w:hAnsiTheme="minorEastAsia"/>
              </w:rPr>
              <w:t>-</w:t>
            </w:r>
            <w:r>
              <w:rPr>
                <w:rFonts w:asciiTheme="minorEastAsia" w:eastAsiaTheme="minorEastAsia" w:hAnsiTheme="minorEastAsia" w:hint="eastAsia"/>
              </w:rPr>
              <w:t>27</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Merge/>
            <w:vAlign w:val="center"/>
          </w:tcPr>
          <w:p>
            <w:pPr>
              <w:rPr>
                <w:rFonts w:asciiTheme="minorEastAsia" w:eastAsiaTheme="minorEastAsia" w:hAnsiTheme="minorEastAsia"/>
              </w:rPr>
            </w:pP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代理首席执行官</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2025-01-14</w:t>
            </w:r>
          </w:p>
        </w:tc>
      </w:tr>
      <w:tr>
        <w:trPr>
          <w:trHeight w:val="147"/>
          <w:jc w:val="center"/>
        </w:trPr>
        <w:tc>
          <w:tcPr>
            <w:tcW w:w="2145" w:type="dxa"/>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赵治国</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内蒙古矿业（集团）有限责任公司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2021-12-15</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端信投资控股（北京）有限公司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2022-02-15</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highlight w:val="yellow"/>
              </w:rPr>
            </w:pPr>
            <w:r>
              <w:rPr>
                <w:rFonts w:asciiTheme="minorEastAsia" w:eastAsiaTheme="minorEastAsia" w:hAnsiTheme="minorEastAsia" w:hint="eastAsia"/>
              </w:rPr>
              <w:t>兖矿中科清洁能源科技有限公司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监事长</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2022-04-26</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山东东岳泰恒发展有限公司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青岛端信资产管理有限公司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执行董事</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兖矿能源（无锡）有限公司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端信投资控股（深圳）有限公司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上海巨匠资产管理有限公司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兖矿东华重工有限公司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2022-11-04</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兖矿瑞丰国际贸易有限公司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董事长</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2023-01-05</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山能融资租赁（深圳）有限公司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2023-03-20</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内蒙古昊盛煤业有限公司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2023-04-10</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陕西未来能源化工有限公司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2023-04-20</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齐鲁银行股份有限公司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2023-09-11</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山东能源集团鲁西矿业有限公司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highlight w:val="yellow"/>
              </w:rPr>
            </w:pPr>
            <w:r>
              <w:rPr>
                <w:rFonts w:asciiTheme="minorEastAsia" w:eastAsiaTheme="minorEastAsia" w:hAnsiTheme="minorEastAsia" w:hint="eastAsia"/>
              </w:rPr>
              <w:t>2023-11-08</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山东能源集团财务有限公司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color w:val="000000"/>
              </w:rPr>
            </w:pPr>
            <w:r>
              <w:rPr>
                <w:rFonts w:asciiTheme="minorEastAsia" w:eastAsiaTheme="minorEastAsia" w:hAnsiTheme="minorEastAsia" w:hint="eastAsia"/>
              </w:rPr>
              <w:t>2023-12-21</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兖煤国际（控股）有限公司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2024-07-29</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上海中期期货股份有限公司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2024-12-31</w:t>
            </w:r>
          </w:p>
        </w:tc>
      </w:tr>
      <w:tr>
        <w:trPr>
          <w:trHeight w:val="147"/>
          <w:jc w:val="center"/>
        </w:trPr>
        <w:tc>
          <w:tcPr>
            <w:tcW w:w="2145" w:type="dxa"/>
            <w:vMerge/>
            <w:vAlign w:val="center"/>
          </w:tcPr>
          <w:p>
            <w:pPr>
              <w:jc w:val="center"/>
              <w:rPr>
                <w:rFonts w:asciiTheme="minorEastAsia" w:eastAsiaTheme="minorEastAsia" w:hAnsiTheme="minorEastAsia"/>
              </w:rPr>
            </w:pP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兖煤澳大利亚有限公司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2025-02-20</w:t>
            </w:r>
          </w:p>
        </w:tc>
      </w:tr>
      <w:tr>
        <w:trPr>
          <w:trHeight w:val="147"/>
          <w:jc w:val="center"/>
        </w:trPr>
        <w:tc>
          <w:tcPr>
            <w:tcW w:w="2145" w:type="dxa"/>
            <w:vAlign w:val="center"/>
          </w:tcPr>
          <w:p>
            <w:pPr>
              <w:jc w:val="center"/>
              <w:rPr>
                <w:rFonts w:asciiTheme="minorEastAsia" w:eastAsiaTheme="minorEastAsia" w:hAnsiTheme="minorEastAsia"/>
              </w:rPr>
            </w:pPr>
            <w:r>
              <w:rPr>
                <w:rFonts w:asciiTheme="minorEastAsia" w:eastAsiaTheme="minorEastAsia" w:hAnsiTheme="minorEastAsia"/>
              </w:rPr>
              <w:t>张</w:t>
            </w:r>
            <w:r>
              <w:rPr>
                <w:rFonts w:asciiTheme="minorEastAsia" w:eastAsiaTheme="minorEastAsia" w:hAnsiTheme="minorEastAsia" w:hint="eastAsia"/>
              </w:rPr>
              <w:t xml:space="preserve"> </w:t>
            </w:r>
            <w:r>
              <w:rPr>
                <w:rFonts w:asciiTheme="minorEastAsia" w:eastAsiaTheme="minorEastAsia" w:hAnsiTheme="minorEastAsia"/>
              </w:rPr>
              <w:t xml:space="preserve"> 磊</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兖煤国际（控股）有限公司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总经理</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2020-03-27</w:t>
            </w:r>
          </w:p>
        </w:tc>
      </w:tr>
      <w:tr>
        <w:trPr>
          <w:trHeight w:val="147"/>
          <w:jc w:val="center"/>
        </w:trPr>
        <w:tc>
          <w:tcPr>
            <w:tcW w:w="2145" w:type="dxa"/>
            <w:vAlign w:val="center"/>
          </w:tcPr>
          <w:p>
            <w:pPr>
              <w:jc w:val="center"/>
              <w:rPr>
                <w:rFonts w:eastAsiaTheme="minorEastAsia"/>
              </w:rPr>
            </w:pPr>
            <w:r>
              <w:rPr>
                <w:rFonts w:asciiTheme="minorEastAsia" w:eastAsiaTheme="minorEastAsia" w:hAnsiTheme="minorEastAsia" w:hint="eastAsia"/>
              </w:rPr>
              <w:t>李洪国（离任）</w:t>
            </w:r>
          </w:p>
        </w:tc>
        <w:tc>
          <w:tcPr>
            <w:tcW w:w="2812" w:type="dxa"/>
            <w:vAlign w:val="center"/>
          </w:tcPr>
          <w:p>
            <w:pPr>
              <w:rPr>
                <w:rFonts w:asciiTheme="minorEastAsia" w:eastAsiaTheme="minorEastAsia" w:hAnsiTheme="minorEastAsia"/>
              </w:rPr>
            </w:pPr>
            <w:r>
              <w:rPr>
                <w:rFonts w:asciiTheme="minorEastAsia" w:eastAsiaTheme="minorEastAsia" w:hAnsiTheme="minorEastAsia" w:hint="eastAsia"/>
              </w:rPr>
              <w:t>山东能源集团鲁西矿业有限公司</w:t>
            </w:r>
          </w:p>
        </w:tc>
        <w:tc>
          <w:tcPr>
            <w:tcW w:w="1966" w:type="dxa"/>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tc>
        <w:tc>
          <w:tcPr>
            <w:tcW w:w="1898" w:type="dxa"/>
            <w:vAlign w:val="center"/>
          </w:tcPr>
          <w:p>
            <w:pPr>
              <w:jc w:val="center"/>
              <w:rPr>
                <w:rFonts w:asciiTheme="minorEastAsia" w:eastAsiaTheme="minorEastAsia" w:hAnsiTheme="minorEastAsia"/>
              </w:rPr>
            </w:pPr>
            <w:r>
              <w:rPr>
                <w:rFonts w:asciiTheme="minorEastAsia" w:eastAsiaTheme="minorEastAsia" w:hAnsiTheme="minorEastAsia" w:hint="eastAsia"/>
              </w:rPr>
              <w:t>202</w:t>
            </w:r>
            <w:r>
              <w:rPr>
                <w:rFonts w:asciiTheme="minorEastAsia" w:eastAsiaTheme="minorEastAsia" w:hAnsiTheme="minorEastAsia"/>
              </w:rPr>
              <w:t>3</w:t>
            </w:r>
            <w:r>
              <w:rPr>
                <w:rFonts w:asciiTheme="minorEastAsia" w:eastAsiaTheme="minorEastAsia" w:hAnsiTheme="minorEastAsia" w:hint="eastAsia"/>
              </w:rPr>
              <w:t>-</w:t>
            </w:r>
            <w:r>
              <w:rPr>
                <w:rFonts w:asciiTheme="minorEastAsia" w:eastAsiaTheme="minorEastAsia" w:hAnsiTheme="minorEastAsia"/>
              </w:rPr>
              <w:t>11</w:t>
            </w:r>
            <w:r>
              <w:rPr>
                <w:rFonts w:asciiTheme="minorEastAsia" w:eastAsiaTheme="minorEastAsia" w:hAnsiTheme="minorEastAsia" w:hint="eastAsia"/>
              </w:rPr>
              <w:t>-08</w:t>
            </w:r>
          </w:p>
        </w:tc>
      </w:tr>
      <w:tr>
        <w:trPr>
          <w:trHeight w:val="147"/>
          <w:jc w:val="center"/>
        </w:trPr>
        <w:tc>
          <w:tcPr>
            <w:tcW w:w="2145" w:type="dxa"/>
            <w:vAlign w:val="center"/>
          </w:tcPr>
          <w:p>
            <w:pPr>
              <w:widowControl/>
              <w:jc w:val="left"/>
              <w:rPr>
                <w:szCs w:val="21"/>
              </w:rPr>
            </w:pPr>
            <w:r>
              <w:rPr>
                <w:szCs w:val="21"/>
                <w:lang w:bidi="ar"/>
              </w:rPr>
              <w:t>在其他单位任职情况的说明</w:t>
            </w:r>
          </w:p>
        </w:tc>
        <w:tc>
          <w:tcPr>
            <w:tcW w:w="6676" w:type="dxa"/>
            <w:gridSpan w:val="3"/>
            <w:vAlign w:val="center"/>
          </w:tcPr>
          <w:p>
            <w:pPr>
              <w:widowControl/>
              <w:jc w:val="left"/>
              <w:rPr>
                <w:rFonts w:asciiTheme="minorEastAsia" w:eastAsiaTheme="minorEastAsia" w:hAnsiTheme="minorEastAsia"/>
                <w:szCs w:val="21"/>
              </w:rPr>
            </w:pPr>
            <w:r>
              <w:rPr>
                <w:rFonts w:hint="eastAsia"/>
                <w:szCs w:val="21"/>
                <w:lang w:bidi="ar"/>
              </w:rPr>
              <w:t>无</w:t>
            </w:r>
          </w:p>
        </w:tc>
      </w:tr>
    </w:tbl>
    <w:p>
      <w:pPr>
        <w:rPr>
          <w:szCs w:val="21"/>
        </w:rPr>
      </w:pPr>
    </w:p>
    <w:p>
      <w:pPr>
        <w:pStyle w:val="afffffff1"/>
        <w:numPr>
          <w:ilvl w:val="0"/>
          <w:numId w:val="35"/>
        </w:numPr>
        <w:ind w:left="0" w:firstLine="0"/>
      </w:pPr>
      <w:r>
        <w:rPr>
          <w:rFonts w:hint="eastAsia"/>
        </w:rPr>
        <w:t>董事、监事、高级管理人员报酬情况</w:t>
      </w:r>
    </w:p>
    <w:sdt>
      <w:sdtPr>
        <w:alias w:val="是否适用：董事、监事、高级管理人员报酬情况[双击切换]"/>
        <w:tag w:val="_GBC_670a12b9c1e34498888f2aafd9509848"/>
        <w:id w:val="-394359718"/>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2"/>
        <w:tblW w:w="0" w:type="auto"/>
        <w:tblInd w:w="0" w:type="dxa"/>
        <w:tblCellMar>
          <w:left w:w="108" w:type="dxa"/>
          <w:right w:w="108" w:type="dxa"/>
        </w:tblCellMar>
        <w:tblLook w:val="04A0" w:firstRow="1" w:lastRow="0" w:firstColumn="1" w:lastColumn="0" w:noHBand="0" w:noVBand="1"/>
      </w:tblPr>
      <w:tblGrid>
        <w:gridCol w:w="2818"/>
        <w:gridCol w:w="6005"/>
      </w:tblGrid>
      <w:tr>
        <w:trPr>
          <w:trHeight w:val="120"/>
        </w:trPr>
        <w:sdt>
          <w:sdtPr>
            <w:rPr>
              <w:rFonts w:ascii="Times New Roman" w:hAnsi="Times New Roman"/>
            </w:rPr>
            <w:tag w:val="_PLD_9e63d19b4bb64b9f8ebbe91d33a629c4"/>
            <w:id w:val="-987552154"/>
          </w:sdtPr>
          <w:sdtContent>
            <w:tc>
              <w:tcPr>
                <w:tcW w:w="4361" w:type="dxa"/>
                <w:vAlign w:val="center"/>
              </w:tcPr>
              <w:p>
                <w:pPr>
                  <w:rPr>
                    <w:szCs w:val="21"/>
                  </w:rPr>
                </w:pPr>
                <w:r>
                  <w:rPr>
                    <w:szCs w:val="21"/>
                  </w:rPr>
                  <w:t>决策程序</w:t>
                </w:r>
              </w:p>
            </w:tc>
          </w:sdtContent>
        </w:sdt>
        <w:tc>
          <w:tcPr>
            <w:tcW w:w="9728" w:type="dxa"/>
            <w:vAlign w:val="center"/>
          </w:tcPr>
          <w:sdt>
            <w:sdtPr>
              <w:rPr>
                <w:rFonts w:asciiTheme="minorEastAsia" w:eastAsiaTheme="minorEastAsia" w:hAnsiTheme="minorEastAsia" w:hint="eastAsia"/>
              </w:rPr>
              <w:alias w:val="董事、监事、高级管理人员报酬的决策程序"/>
              <w:tag w:val="_GBC_bf64cad6b5d7435388a8e69e2c05dea2"/>
              <w:id w:val="1576942866"/>
            </w:sdtPr>
            <w:sdtContent>
              <w:p>
                <w:pPr>
                  <w:rPr>
                    <w:rFonts w:asciiTheme="minorEastAsia" w:eastAsiaTheme="minorEastAsia" w:hAnsiTheme="minorEastAsia"/>
                  </w:rPr>
                </w:pPr>
                <w:r>
                  <w:rPr>
                    <w:rFonts w:asciiTheme="minorEastAsia" w:eastAsiaTheme="minorEastAsia" w:hAnsiTheme="minorEastAsia" w:hint="eastAsia"/>
                  </w:rPr>
                  <w:t>公司董事、监事和高级管理人员的薪酬，由董事会薪酬委员会向董事会提出建议，董事和监事薪酬经董事会审议通过后提交股东大会批准，高级管理人员薪酬由董事会审议批准。</w:t>
                </w:r>
              </w:p>
            </w:sdtContent>
          </w:sdt>
        </w:tc>
      </w:tr>
      <w:tr>
        <w:trPr>
          <w:trHeight w:val="120"/>
        </w:trPr>
        <w:tc>
          <w:tcPr>
            <w:tcW w:w="4361" w:type="dxa"/>
            <w:vAlign w:val="center"/>
          </w:tcPr>
          <w:p>
            <w:pPr>
              <w:pStyle w:val="affffffff"/>
            </w:pPr>
            <w:r>
              <w:rPr>
                <w:rFonts w:hint="eastAsia"/>
              </w:rPr>
              <w:t>董事在董事会讨论本人薪酬事项时是否回避</w:t>
            </w:r>
          </w:p>
        </w:tc>
        <w:tc>
          <w:tcPr>
            <w:tcW w:w="9728" w:type="dxa"/>
            <w:vAlign w:val="center"/>
          </w:tcPr>
          <w:sdt>
            <w:sdtPr>
              <w:rPr>
                <w:rFonts w:asciiTheme="minorEastAsia" w:eastAsiaTheme="minorEastAsia" w:hAnsiTheme="minorEastAsia"/>
              </w:rPr>
              <w:alias w:val="董事在董事会讨论本人薪酬事项时是否回避"/>
              <w:tag w:val="_GBC_5e64defbd18444939e9dface4daa0619"/>
              <w:id w:val="701441994"/>
              <w:comboBox>
                <w:listItem w:displayText="是" w:value="是"/>
                <w:listItem w:displayText="否" w:value="否"/>
              </w:comboBox>
            </w:sdtPr>
            <w:sdtContent>
              <w:p>
                <w:pPr>
                  <w:rPr>
                    <w:rFonts w:asciiTheme="minorEastAsia" w:eastAsiaTheme="minorEastAsia" w:hAnsiTheme="minorEastAsia"/>
                  </w:rPr>
                </w:pPr>
                <w:r>
                  <w:rPr>
                    <w:rFonts w:asciiTheme="minorEastAsia" w:eastAsiaTheme="minorEastAsia" w:hAnsiTheme="minorEastAsia"/>
                  </w:rPr>
                  <w:t>是</w:t>
                </w:r>
              </w:p>
            </w:sdtContent>
          </w:sdt>
        </w:tc>
      </w:tr>
      <w:tr>
        <w:trPr>
          <w:trHeight w:val="120"/>
        </w:trPr>
        <w:tc>
          <w:tcPr>
            <w:tcW w:w="4361" w:type="dxa"/>
            <w:vAlign w:val="center"/>
          </w:tcPr>
          <w:p>
            <w:pPr>
              <w:pStyle w:val="affffffff"/>
            </w:pPr>
            <w:r>
              <w:rPr>
                <w:rFonts w:hint="eastAsia"/>
                <w:szCs w:val="21"/>
              </w:rPr>
              <w:t>薪酬委员会关于董事、监事、高级管理人员报酬事项发表建议的具体情况</w:t>
            </w:r>
          </w:p>
        </w:tc>
        <w:tc>
          <w:tcPr>
            <w:tcW w:w="9728" w:type="dxa"/>
          </w:tcPr>
          <w:p>
            <w:pPr>
              <w:rPr>
                <w:rFonts w:asciiTheme="minorEastAsia" w:eastAsiaTheme="minorEastAsia" w:hAnsiTheme="minorEastAsia"/>
              </w:rPr>
            </w:pPr>
            <w:r>
              <w:rPr>
                <w:rFonts w:asciiTheme="minorEastAsia" w:eastAsiaTheme="minorEastAsia" w:hAnsiTheme="minorEastAsia" w:hint="eastAsia"/>
              </w:rPr>
              <w:t>1</w:t>
            </w:r>
            <w:r>
              <w:rPr>
                <w:rFonts w:asciiTheme="minorEastAsia" w:eastAsiaTheme="minorEastAsia" w:hAnsiTheme="minorEastAsia"/>
              </w:rPr>
              <w:t>.</w:t>
            </w:r>
            <w:r>
              <w:rPr>
                <w:rFonts w:asciiTheme="minorEastAsia" w:eastAsiaTheme="minorEastAsia" w:hAnsiTheme="minorEastAsia" w:hint="eastAsia"/>
              </w:rPr>
              <w:t>建议公司</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年度完成经营目标后，按照公司薪酬考核政策，确定从公司领取薪酬的非独立董事、监事薪酬水平。</w:t>
            </w:r>
          </w:p>
          <w:p>
            <w:pP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w:t>
            </w:r>
            <w:r>
              <w:rPr>
                <w:rFonts w:asciiTheme="minorEastAsia" w:eastAsiaTheme="minorEastAsia" w:hAnsiTheme="minorEastAsia" w:hint="eastAsia"/>
              </w:rPr>
              <w:t>建议公司独立董事</w:t>
            </w:r>
            <w:r>
              <w:rPr>
                <w:rFonts w:asciiTheme="minorEastAsia" w:eastAsiaTheme="minorEastAsia" w:hAnsiTheme="minorEastAsia"/>
              </w:rPr>
              <w:t>202</w:t>
            </w:r>
            <w:r>
              <w:rPr>
                <w:rFonts w:asciiTheme="minorEastAsia" w:eastAsiaTheme="minorEastAsia" w:hAnsiTheme="minorEastAsia" w:hint="eastAsia"/>
              </w:rPr>
              <w:t>4完整</w:t>
            </w:r>
            <w:r>
              <w:rPr>
                <w:rFonts w:asciiTheme="minorEastAsia" w:eastAsiaTheme="minorEastAsia" w:hAnsiTheme="minorEastAsia"/>
              </w:rPr>
              <w:t>年度人均酬金为人民币</w:t>
            </w:r>
            <w:r>
              <w:rPr>
                <w:rFonts w:asciiTheme="minorEastAsia" w:eastAsiaTheme="minorEastAsia" w:hAnsiTheme="minorEastAsia" w:hint="eastAsia"/>
              </w:rPr>
              <w:t>2</w:t>
            </w:r>
            <w:r>
              <w:rPr>
                <w:rFonts w:asciiTheme="minorEastAsia" w:eastAsiaTheme="minorEastAsia" w:hAnsiTheme="minorEastAsia"/>
              </w:rPr>
              <w:t>5万元(含税)。</w:t>
            </w:r>
          </w:p>
          <w:p>
            <w:pPr>
              <w:rPr>
                <w:szCs w:val="21"/>
              </w:rPr>
            </w:pPr>
            <w:r>
              <w:rPr>
                <w:rFonts w:asciiTheme="minorEastAsia" w:eastAsiaTheme="minorEastAsia" w:hAnsiTheme="minorEastAsia" w:hint="eastAsia"/>
              </w:rPr>
              <w:t>3</w:t>
            </w:r>
            <w:r>
              <w:rPr>
                <w:rFonts w:asciiTheme="minorEastAsia" w:eastAsiaTheme="minorEastAsia" w:hAnsiTheme="minorEastAsia"/>
              </w:rPr>
              <w:t>.</w:t>
            </w:r>
            <w:r>
              <w:rPr>
                <w:rFonts w:asciiTheme="minorEastAsia" w:eastAsiaTheme="minorEastAsia" w:hAnsiTheme="minorEastAsia" w:hint="eastAsia"/>
              </w:rPr>
              <w:t>建议公司</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年度完成经营目标后，按照公司薪酬考核政策，确定非董事高级管理人员薪酬水平。</w:t>
            </w:r>
          </w:p>
        </w:tc>
      </w:tr>
      <w:tr>
        <w:trPr>
          <w:trHeight w:val="165"/>
        </w:trPr>
        <w:tc>
          <w:tcPr>
            <w:tcW w:w="4361" w:type="dxa"/>
            <w:vAlign w:val="center"/>
          </w:tcPr>
          <w:p>
            <w:pPr>
              <w:rPr>
                <w:szCs w:val="21"/>
              </w:rPr>
            </w:pPr>
            <w:r>
              <w:rPr>
                <w:szCs w:val="21"/>
              </w:rPr>
              <w:t>确定依据</w:t>
            </w:r>
          </w:p>
        </w:tc>
        <w:tc>
          <w:tcPr>
            <w:tcW w:w="9728" w:type="dxa"/>
          </w:tcPr>
          <w:p>
            <w:pPr>
              <w:rPr>
                <w:szCs w:val="21"/>
              </w:rPr>
            </w:pPr>
            <w:r>
              <w:rPr>
                <w:rFonts w:asciiTheme="minorEastAsia" w:eastAsiaTheme="minorEastAsia" w:hAnsiTheme="minorEastAsia" w:hint="eastAsia"/>
              </w:rPr>
              <w:t>公司对董事及高级管理人员推行年度薪酬考评及激励机制。年薪</w:t>
            </w:r>
            <w:r>
              <w:rPr>
                <w:rFonts w:asciiTheme="minorEastAsia" w:eastAsiaTheme="minorEastAsia" w:hAnsiTheme="minorEastAsia" w:hint="eastAsia"/>
              </w:rPr>
              <w:lastRenderedPageBreak/>
              <w:t>包含基本年薪和绩效年薪：基本年薪根据公司生产经营规模、盈利能力、经营管理难度、职工工资水平等因素综合确定；绩效年薪根据实际经营成果确定。董事和高级管理人员的基本年薪按月度标准预付，绩效年薪于次年审计考核后兑现。</w:t>
            </w:r>
          </w:p>
        </w:tc>
      </w:tr>
      <w:tr>
        <w:trPr>
          <w:trHeight w:val="165"/>
        </w:trPr>
        <w:tc>
          <w:tcPr>
            <w:tcW w:w="4361" w:type="dxa"/>
            <w:vAlign w:val="center"/>
          </w:tcPr>
          <w:p>
            <w:pPr>
              <w:rPr>
                <w:szCs w:val="21"/>
              </w:rPr>
            </w:pPr>
            <w:r>
              <w:rPr>
                <w:rFonts w:hint="eastAsia"/>
                <w:szCs w:val="21"/>
              </w:rPr>
              <w:lastRenderedPageBreak/>
              <w:t>实际支付</w:t>
            </w:r>
            <w:r>
              <w:rPr>
                <w:szCs w:val="21"/>
              </w:rPr>
              <w:t>情况</w:t>
            </w:r>
          </w:p>
        </w:tc>
        <w:tc>
          <w:tcPr>
            <w:tcW w:w="9728" w:type="dxa"/>
          </w:tcPr>
          <w:p>
            <w:pPr>
              <w:rPr>
                <w:szCs w:val="21"/>
              </w:rPr>
            </w:pPr>
            <w:r>
              <w:rPr>
                <w:rFonts w:asciiTheme="minorEastAsia" w:eastAsiaTheme="minorEastAsia" w:hAnsiTheme="minorEastAsia" w:hint="eastAsia"/>
              </w:rPr>
              <w:t>详情请见本节“现任及报告期内离任董事、监事和高级管理人员持股变动及报酬情况”</w:t>
            </w:r>
          </w:p>
        </w:tc>
      </w:tr>
      <w:tr>
        <w:trPr>
          <w:trHeight w:val="135"/>
        </w:trPr>
        <w:tc>
          <w:tcPr>
            <w:tcW w:w="4361" w:type="dxa"/>
            <w:vAlign w:val="center"/>
          </w:tcPr>
          <w:p>
            <w:pPr>
              <w:rPr>
                <w:szCs w:val="21"/>
              </w:rPr>
            </w:pPr>
            <w:r>
              <w:rPr>
                <w:szCs w:val="21"/>
              </w:rPr>
              <w:t>实际获得的报酬合计</w:t>
            </w:r>
          </w:p>
        </w:tc>
        <w:tc>
          <w:tcPr>
            <w:tcW w:w="9728" w:type="dxa"/>
          </w:tcPr>
          <w:p>
            <w:pPr>
              <w:rPr>
                <w:szCs w:val="21"/>
              </w:rPr>
            </w:pPr>
            <w:r>
              <w:rPr>
                <w:rFonts w:asciiTheme="minorEastAsia" w:eastAsiaTheme="minorEastAsia" w:hAnsiTheme="minorEastAsia" w:hint="eastAsia"/>
              </w:rPr>
              <w:t>详情请见本节“现任及报告期内离任董事、监事和高级管理人员持股变动及报酬情况”</w:t>
            </w:r>
          </w:p>
        </w:tc>
      </w:tr>
    </w:tbl>
    <w:p>
      <w:pPr>
        <w:pStyle w:val="affffffff"/>
      </w:pPr>
    </w:p>
    <w:p>
      <w:pPr>
        <w:pStyle w:val="afffffff1"/>
        <w:numPr>
          <w:ilvl w:val="0"/>
          <w:numId w:val="35"/>
        </w:numPr>
        <w:ind w:left="0" w:firstLine="0"/>
      </w:pPr>
      <w:bookmarkStart w:id="122" w:name="OLE_LINK15"/>
      <w:r>
        <w:rPr>
          <w:rFonts w:hint="eastAsia"/>
        </w:rPr>
        <w:t>公司董事、监事、高级管理人员变动情况</w:t>
      </w:r>
    </w:p>
    <w:sdt>
      <w:sdtPr>
        <w:alias w:val="是否适用：公司董事、监事、高级管理人员变动情况[双击切换]"/>
        <w:tag w:val="_GBC_a00df019796e4666a1adff20d55baa46"/>
        <w:id w:val="-1401588956"/>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9"/>
        <w:tblW w:w="0" w:type="auto"/>
        <w:tblInd w:w="0" w:type="dxa"/>
        <w:tblCellMar>
          <w:left w:w="108" w:type="dxa"/>
          <w:right w:w="108" w:type="dxa"/>
        </w:tblCellMar>
        <w:tblLook w:val="04A0" w:firstRow="1" w:lastRow="0" w:firstColumn="1" w:lastColumn="0" w:noHBand="0" w:noVBand="1"/>
      </w:tblPr>
      <w:tblGrid>
        <w:gridCol w:w="2205"/>
        <w:gridCol w:w="2206"/>
        <w:gridCol w:w="2206"/>
        <w:gridCol w:w="2206"/>
      </w:tblGrid>
      <w:tr>
        <w:trPr>
          <w:trHeight w:val="210"/>
        </w:trPr>
        <w:sdt>
          <w:sdtPr>
            <w:rPr>
              <w:rFonts w:asciiTheme="minorEastAsia" w:eastAsiaTheme="minorEastAsia" w:hAnsiTheme="minorEastAsia"/>
            </w:rPr>
            <w:tag w:val="_PLD_10c0965136c84bf6abfceaef8557ae99"/>
            <w:id w:val="-1917163265"/>
          </w:sdtPr>
          <w:sdtContent>
            <w:tc>
              <w:tcPr>
                <w:tcW w:w="2205" w:type="dxa"/>
                <w:vAlign w:val="center"/>
              </w:tcPr>
              <w:p>
                <w:pPr>
                  <w:jc w:val="center"/>
                  <w:rPr>
                    <w:rFonts w:asciiTheme="minorEastAsia" w:eastAsiaTheme="minorEastAsia" w:hAnsiTheme="minorEastAsia"/>
                  </w:rPr>
                </w:pPr>
                <w:r>
                  <w:rPr>
                    <w:rFonts w:asciiTheme="minorEastAsia" w:eastAsiaTheme="minorEastAsia" w:hAnsiTheme="minorEastAsia"/>
                  </w:rPr>
                  <w:t>姓名</w:t>
                </w:r>
              </w:p>
            </w:tc>
          </w:sdtContent>
        </w:sdt>
        <w:sdt>
          <w:sdtPr>
            <w:rPr>
              <w:rFonts w:asciiTheme="minorEastAsia" w:eastAsiaTheme="minorEastAsia" w:hAnsiTheme="minorEastAsia"/>
            </w:rPr>
            <w:tag w:val="_PLD_b53cc0c0661e4cffa4f7fa4f6423187d"/>
            <w:id w:val="1300266835"/>
          </w:sdtPr>
          <w:sdtContent>
            <w:tc>
              <w:tcPr>
                <w:tcW w:w="2206" w:type="dxa"/>
                <w:vAlign w:val="center"/>
              </w:tcPr>
              <w:p>
                <w:pPr>
                  <w:jc w:val="center"/>
                  <w:rPr>
                    <w:rFonts w:asciiTheme="minorEastAsia" w:eastAsiaTheme="minorEastAsia" w:hAnsiTheme="minorEastAsia"/>
                  </w:rPr>
                </w:pPr>
                <w:r>
                  <w:rPr>
                    <w:rFonts w:asciiTheme="minorEastAsia" w:eastAsiaTheme="minorEastAsia" w:hAnsiTheme="minorEastAsia"/>
                  </w:rPr>
                  <w:t>担任的职务</w:t>
                </w:r>
              </w:p>
            </w:tc>
          </w:sdtContent>
        </w:sdt>
        <w:sdt>
          <w:sdtPr>
            <w:rPr>
              <w:rFonts w:asciiTheme="minorEastAsia" w:eastAsiaTheme="minorEastAsia" w:hAnsiTheme="minorEastAsia"/>
            </w:rPr>
            <w:tag w:val="_PLD_012859f523ec430da1dfc6a86c6dde35"/>
            <w:id w:val="-195079975"/>
          </w:sdtPr>
          <w:sdtContent>
            <w:tc>
              <w:tcPr>
                <w:tcW w:w="2206" w:type="dxa"/>
                <w:vAlign w:val="center"/>
              </w:tcPr>
              <w:p>
                <w:pPr>
                  <w:jc w:val="center"/>
                  <w:rPr>
                    <w:rFonts w:asciiTheme="minorEastAsia" w:eastAsiaTheme="minorEastAsia" w:hAnsiTheme="minorEastAsia"/>
                  </w:rPr>
                </w:pPr>
                <w:r>
                  <w:rPr>
                    <w:rFonts w:asciiTheme="minorEastAsia" w:eastAsiaTheme="minorEastAsia" w:hAnsiTheme="minorEastAsia"/>
                  </w:rPr>
                  <w:t>变动情形</w:t>
                </w:r>
              </w:p>
            </w:tc>
          </w:sdtContent>
        </w:sdt>
        <w:sdt>
          <w:sdtPr>
            <w:rPr>
              <w:rFonts w:asciiTheme="minorEastAsia" w:eastAsiaTheme="minorEastAsia" w:hAnsiTheme="minorEastAsia"/>
            </w:rPr>
            <w:tag w:val="_PLD_bf76757c55de435a9638407bd56b5199"/>
            <w:id w:val="-202170199"/>
          </w:sdtPr>
          <w:sdtContent>
            <w:tc>
              <w:tcPr>
                <w:tcW w:w="2206" w:type="dxa"/>
                <w:vAlign w:val="center"/>
              </w:tcPr>
              <w:p>
                <w:pPr>
                  <w:jc w:val="center"/>
                  <w:rPr>
                    <w:rFonts w:asciiTheme="minorEastAsia" w:eastAsiaTheme="minorEastAsia" w:hAnsiTheme="minorEastAsia"/>
                  </w:rPr>
                </w:pPr>
                <w:r>
                  <w:rPr>
                    <w:rFonts w:asciiTheme="minorEastAsia" w:eastAsiaTheme="minorEastAsia" w:hAnsiTheme="minorEastAsia"/>
                  </w:rPr>
                  <w:t>变动原因</w:t>
                </w:r>
              </w:p>
            </w:tc>
          </w:sdtContent>
        </w:sdt>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王九红</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总经理</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聘任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高春雷</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总工程师（化工）</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聘任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张照允</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总工程师</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聘任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肖耀猛</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董事、总经理</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离任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李洪国</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副总经理</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离任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张传昌</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副总经理</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离任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r>
        <w:trPr>
          <w:trHeight w:val="105"/>
        </w:trPr>
        <w:tc>
          <w:tcPr>
            <w:tcW w:w="2205" w:type="dxa"/>
          </w:tcPr>
          <w:p>
            <w:pPr>
              <w:jc w:val="center"/>
              <w:rPr>
                <w:rFonts w:asciiTheme="minorEastAsia" w:eastAsiaTheme="minorEastAsia" w:hAnsiTheme="minorEastAsia"/>
              </w:rPr>
            </w:pPr>
            <w:r>
              <w:rPr>
                <w:rFonts w:asciiTheme="minorEastAsia" w:eastAsiaTheme="minorEastAsia" w:hAnsiTheme="minorEastAsia" w:hint="eastAsia"/>
              </w:rPr>
              <w:t>马俊鹏</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总工程师</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离任</w:t>
            </w:r>
          </w:p>
        </w:tc>
        <w:tc>
          <w:tcPr>
            <w:tcW w:w="2206" w:type="dxa"/>
          </w:tcPr>
          <w:p>
            <w:pPr>
              <w:jc w:val="center"/>
              <w:rPr>
                <w:rFonts w:asciiTheme="minorEastAsia" w:eastAsiaTheme="minorEastAsia" w:hAnsiTheme="minorEastAsia"/>
              </w:rPr>
            </w:pPr>
            <w:r>
              <w:rPr>
                <w:rFonts w:asciiTheme="minorEastAsia" w:eastAsiaTheme="minorEastAsia" w:hAnsiTheme="minorEastAsia" w:hint="eastAsia"/>
              </w:rPr>
              <w:t>工作调整</w:t>
            </w:r>
          </w:p>
        </w:tc>
      </w:tr>
    </w:tbl>
    <w:p>
      <w:pPr>
        <w:pStyle w:val="affffffff"/>
      </w:pPr>
    </w:p>
    <w:p>
      <w:pPr>
        <w:ind w:firstLineChars="200" w:firstLine="422"/>
        <w:rPr>
          <w:rFonts w:asciiTheme="minorEastAsia" w:eastAsiaTheme="minorEastAsia" w:hAnsiTheme="minorEastAsia"/>
          <w:b/>
          <w:bCs/>
        </w:rPr>
      </w:pPr>
      <w:r>
        <w:rPr>
          <w:rFonts w:asciiTheme="minorEastAsia" w:eastAsiaTheme="minorEastAsia" w:hAnsiTheme="minorEastAsia" w:hint="eastAsia"/>
          <w:b/>
          <w:bCs/>
        </w:rPr>
        <w:t>1.董事及高级管理人员变动情况</w:t>
      </w:r>
    </w:p>
    <w:p>
      <w:pPr>
        <w:ind w:firstLineChars="200" w:firstLine="420"/>
        <w:rPr>
          <w:rFonts w:asciiTheme="minorEastAsia" w:eastAsiaTheme="minorEastAsia" w:hAnsiTheme="minorEastAsia"/>
        </w:rPr>
      </w:pPr>
      <w:r>
        <w:rPr>
          <w:rFonts w:asciiTheme="minorEastAsia" w:eastAsiaTheme="minorEastAsia" w:hAnsiTheme="minorEastAsia" w:hint="eastAsia"/>
        </w:rPr>
        <w:t>经2024年11月13日召开的公司第九届董事会第十二次会议审议批准，聘任王九红先生为公司总经理，任期与公司第九届董事会聘任的其他高级管理人员一致。</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有关详情请见日期为2024年11月14日的关于聘任公司总经理的公告。该等资料刊载于上交所网站、香港联交所网站、公司网站及/或《中国证券报》《上海证券报》《证券时报》《证券日报》。</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经2025年2月24日召开的公司第九届董事会第十三次会议审议批准，提名王九红先生为公司第九届董事会非职工代表董事，并提交股东大会履行选举程序。</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2025年2月24日的第九届董事会第十三次会议决议公告以及关于提名非职工代表董事的公告。该等资料刊载于上交所网站、香港联交所网站、公司网站及/或《中国证券报》《上海证券报》《证券时报》《证券日报》。</w:t>
      </w:r>
    </w:p>
    <w:p>
      <w:pPr>
        <w:ind w:firstLineChars="200" w:firstLine="420"/>
        <w:rPr>
          <w:rFonts w:asciiTheme="minorEastAsia" w:eastAsiaTheme="minorEastAsia" w:hAnsiTheme="minorEastAsia"/>
          <w:szCs w:val="21"/>
        </w:rPr>
      </w:pPr>
    </w:p>
    <w:p>
      <w:pPr>
        <w:ind w:firstLineChars="200" w:firstLine="420"/>
        <w:rPr>
          <w:rFonts w:asciiTheme="minorEastAsia" w:eastAsiaTheme="minorEastAsia" w:hAnsiTheme="minorEastAsia"/>
        </w:rPr>
      </w:pPr>
      <w:r>
        <w:rPr>
          <w:rFonts w:asciiTheme="minorEastAsia" w:eastAsiaTheme="minorEastAsia" w:hAnsiTheme="minorEastAsia" w:hint="eastAsia"/>
        </w:rPr>
        <w:t>经2024年3月28日召开的公司第九届董事会第六次会议审议批准，聘任高春雷先生为公司总工程师（化工），任期与公司第九届董事会聘任的其他高级管理人员一致。</w:t>
      </w:r>
    </w:p>
    <w:p>
      <w:pPr>
        <w:ind w:firstLineChars="200" w:firstLine="420"/>
        <w:rPr>
          <w:rFonts w:asciiTheme="minorEastAsia" w:eastAsiaTheme="minorEastAsia" w:hAnsiTheme="minorEastAsia"/>
        </w:rPr>
      </w:pPr>
      <w:r>
        <w:rPr>
          <w:rFonts w:asciiTheme="minorEastAsia" w:eastAsiaTheme="minorEastAsia" w:hAnsiTheme="minorEastAsia" w:hint="eastAsia"/>
        </w:rPr>
        <w:t>经2024年6月21日召开的公司第九届董事会第九次会议审议批准，聘任张照允先生为公司总工程师，任期与公司第九届董事会聘任的其他高级管理人员一致。</w:t>
      </w:r>
    </w:p>
    <w:p>
      <w:pPr>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2024年9月18日，董事会收到公司董事、总经理肖耀猛先生的辞职报告，肖先生因工作调整辞去公司董事、总经理以及董事会战略与发展委员会委员、董事会可持续发展委员会委员等职务。</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有关详情请见日期为2024年9月18日的关于董事及总经理变更的公告。该等资料刊载于上交所网站、香港联交所网站、公司网站及/或《中国证券报》《上海证券报》《证券时报》《证券日报》。</w:t>
      </w:r>
    </w:p>
    <w:p>
      <w:pPr>
        <w:ind w:firstLineChars="200" w:firstLine="420"/>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2024年6月21日，董事会收到公司总工程师马俊鹏先生的辞职报告，马俊鹏先生因工作调整辞去公司总工程师的职务。</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2024年10月14日和2024年12月31日，董事会分别收到公司副总经理李洪国先生和副总经理张传昌先生的辞职报告，李洪国先生和张传昌先生因工作调整辞去公司副总经理职务。</w:t>
      </w:r>
    </w:p>
    <w:p>
      <w:pPr>
        <w:rPr>
          <w:b/>
        </w:rPr>
      </w:pPr>
    </w:p>
    <w:p>
      <w:pPr>
        <w:ind w:firstLineChars="196" w:firstLine="413"/>
        <w:rPr>
          <w:b/>
        </w:rPr>
      </w:pPr>
      <w:r>
        <w:rPr>
          <w:rFonts w:asciiTheme="minorEastAsia" w:eastAsiaTheme="minorEastAsia" w:hAnsiTheme="minorEastAsia" w:hint="eastAsia"/>
          <w:b/>
        </w:rPr>
        <w:t>2.在本</w:t>
      </w:r>
      <w:r>
        <w:rPr>
          <w:rFonts w:hint="eastAsia"/>
          <w:b/>
        </w:rPr>
        <w:t>公司附属公司任职变动情况（按香港上市监管规定编制）</w:t>
      </w:r>
    </w:p>
    <w:p>
      <w:pPr>
        <w:ind w:firstLineChars="200" w:firstLine="420"/>
      </w:pPr>
      <w:r>
        <w:rPr>
          <w:rFonts w:hint="eastAsia"/>
        </w:rPr>
        <w:lastRenderedPageBreak/>
        <w:t xml:space="preserve"> </w:t>
      </w:r>
    </w:p>
    <w:tbl>
      <w:tblPr>
        <w:tblStyle w:val="g18"/>
        <w:tblW w:w="904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851"/>
        <w:gridCol w:w="2296"/>
        <w:gridCol w:w="1956"/>
        <w:gridCol w:w="1995"/>
      </w:tblGrid>
      <w:tr>
        <w:trPr>
          <w:jc w:val="center"/>
        </w:trPr>
        <w:tc>
          <w:tcPr>
            <w:tcW w:w="1951" w:type="dxa"/>
            <w:tcBorders>
              <w:top w:val="single" w:sz="4" w:space="0" w:color="auto"/>
              <w:left w:val="single" w:sz="4" w:space="0" w:color="auto"/>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本公司任职</w:t>
            </w:r>
          </w:p>
        </w:tc>
        <w:tc>
          <w:tcPr>
            <w:tcW w:w="851"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姓名</w:t>
            </w:r>
          </w:p>
        </w:tc>
        <w:tc>
          <w:tcPr>
            <w:tcW w:w="2296"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变动前</w:t>
            </w:r>
          </w:p>
        </w:tc>
        <w:tc>
          <w:tcPr>
            <w:tcW w:w="1956"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变动后</w:t>
            </w:r>
          </w:p>
        </w:tc>
        <w:tc>
          <w:tcPr>
            <w:tcW w:w="1995"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rPr>
              <w:t>变动时间</w:t>
            </w:r>
          </w:p>
        </w:tc>
      </w:tr>
      <w:tr>
        <w:trPr>
          <w:jc w:val="center"/>
        </w:trPr>
        <w:tc>
          <w:tcPr>
            <w:tcW w:w="1951" w:type="dxa"/>
            <w:tcBorders>
              <w:top w:val="single" w:sz="4" w:space="0" w:color="auto"/>
              <w:left w:val="single" w:sz="4" w:space="0" w:color="auto"/>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党委书记、总经理</w:t>
            </w:r>
          </w:p>
        </w:tc>
        <w:tc>
          <w:tcPr>
            <w:tcW w:w="851"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王九红</w:t>
            </w:r>
          </w:p>
        </w:tc>
        <w:tc>
          <w:tcPr>
            <w:tcW w:w="2296"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56"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兖煤澳洲董事</w:t>
            </w:r>
          </w:p>
        </w:tc>
        <w:tc>
          <w:tcPr>
            <w:tcW w:w="1995"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2025年2月20日</w:t>
            </w:r>
          </w:p>
        </w:tc>
      </w:tr>
      <w:tr>
        <w:trPr>
          <w:jc w:val="center"/>
        </w:trPr>
        <w:tc>
          <w:tcPr>
            <w:tcW w:w="1951" w:type="dxa"/>
            <w:tcBorders>
              <w:top w:val="single" w:sz="4" w:space="0" w:color="auto"/>
              <w:left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副总经理</w:t>
            </w:r>
          </w:p>
        </w:tc>
        <w:tc>
          <w:tcPr>
            <w:tcW w:w="851" w:type="dxa"/>
            <w:tcBorders>
              <w:top w:val="single" w:sz="4" w:space="0" w:color="auto"/>
              <w:left w:val="nil"/>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岳宁</w:t>
            </w: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5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兖煤澳洲代理首席执行官</w:t>
            </w:r>
          </w:p>
        </w:tc>
        <w:tc>
          <w:tcPr>
            <w:tcW w:w="1995"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2025年1月14日</w:t>
            </w:r>
          </w:p>
        </w:tc>
      </w:tr>
      <w:tr>
        <w:trPr>
          <w:jc w:val="center"/>
        </w:trPr>
        <w:tc>
          <w:tcPr>
            <w:tcW w:w="1951" w:type="dxa"/>
            <w:vMerge w:val="restart"/>
            <w:tcBorders>
              <w:top w:val="single" w:sz="4" w:space="0" w:color="auto"/>
              <w:left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财务总监</w:t>
            </w:r>
          </w:p>
        </w:tc>
        <w:tc>
          <w:tcPr>
            <w:tcW w:w="851" w:type="dxa"/>
            <w:vMerge w:val="restart"/>
            <w:tcBorders>
              <w:top w:val="single" w:sz="4" w:space="0" w:color="auto"/>
              <w:left w:val="nil"/>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赵治国</w:t>
            </w: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5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兖煤国际董事</w:t>
            </w:r>
          </w:p>
        </w:tc>
        <w:tc>
          <w:tcPr>
            <w:tcW w:w="1995"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2024年2月21日</w:t>
            </w:r>
          </w:p>
        </w:tc>
      </w:tr>
      <w:tr>
        <w:trPr>
          <w:jc w:val="center"/>
        </w:trPr>
        <w:tc>
          <w:tcPr>
            <w:tcW w:w="1951" w:type="dxa"/>
            <w:vMerge/>
            <w:tcBorders>
              <w:left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p>
        </w:tc>
        <w:tc>
          <w:tcPr>
            <w:tcW w:w="851" w:type="dxa"/>
            <w:vMerge/>
            <w:tcBorders>
              <w:left w:val="nil"/>
              <w:right w:val="single" w:sz="4" w:space="0" w:color="auto"/>
            </w:tcBorders>
            <w:vAlign w:val="center"/>
          </w:tcPr>
          <w:p>
            <w:pPr>
              <w:spacing w:line="360" w:lineRule="exact"/>
              <w:ind w:right="5"/>
              <w:jc w:val="center"/>
              <w:rPr>
                <w:rFonts w:asciiTheme="minorEastAsia" w:eastAsiaTheme="minorEastAsia" w:hAnsiTheme="minorEastAsia"/>
              </w:rPr>
            </w:pP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56"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兖煤澳大利亚董事</w:t>
            </w:r>
          </w:p>
        </w:tc>
        <w:tc>
          <w:tcPr>
            <w:tcW w:w="1995" w:type="dxa"/>
            <w:tcBorders>
              <w:top w:val="single" w:sz="4" w:space="0" w:color="auto"/>
              <w:left w:val="nil"/>
              <w:bottom w:val="single" w:sz="4" w:space="0" w:color="auto"/>
              <w:right w:val="single" w:sz="4" w:space="0" w:color="auto"/>
            </w:tcBorders>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2025年2月20日</w:t>
            </w:r>
          </w:p>
        </w:tc>
      </w:tr>
      <w:tr>
        <w:trPr>
          <w:jc w:val="center"/>
        </w:trPr>
        <w:tc>
          <w:tcPr>
            <w:tcW w:w="1951" w:type="dxa"/>
            <w:vMerge w:val="restart"/>
            <w:tcBorders>
              <w:top w:val="single" w:sz="4" w:space="0" w:color="auto"/>
              <w:left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董事、</w:t>
            </w:r>
          </w:p>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总经理（离任）</w:t>
            </w:r>
          </w:p>
        </w:tc>
        <w:tc>
          <w:tcPr>
            <w:tcW w:w="851" w:type="dxa"/>
            <w:vMerge w:val="restart"/>
            <w:tcBorders>
              <w:top w:val="single" w:sz="4" w:space="0" w:color="auto"/>
              <w:left w:val="nil"/>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肖耀猛</w:t>
            </w: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兖煤国际董事</w:t>
            </w:r>
          </w:p>
        </w:tc>
        <w:tc>
          <w:tcPr>
            <w:tcW w:w="195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95"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2024年9月18日</w:t>
            </w:r>
          </w:p>
        </w:tc>
      </w:tr>
      <w:tr>
        <w:trPr>
          <w:jc w:val="center"/>
        </w:trPr>
        <w:tc>
          <w:tcPr>
            <w:tcW w:w="1951" w:type="dxa"/>
            <w:vMerge/>
            <w:tcBorders>
              <w:left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p>
        </w:tc>
        <w:tc>
          <w:tcPr>
            <w:tcW w:w="851" w:type="dxa"/>
            <w:vMerge/>
            <w:tcBorders>
              <w:left w:val="nil"/>
              <w:right w:val="single" w:sz="4" w:space="0" w:color="auto"/>
            </w:tcBorders>
            <w:vAlign w:val="center"/>
          </w:tcPr>
          <w:p>
            <w:pPr>
              <w:spacing w:line="360" w:lineRule="exact"/>
              <w:ind w:right="5"/>
              <w:jc w:val="center"/>
              <w:rPr>
                <w:rFonts w:asciiTheme="minorEastAsia" w:eastAsiaTheme="minorEastAsia" w:hAnsiTheme="minorEastAsia"/>
              </w:rPr>
            </w:pP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东华重工董事、董事长</w:t>
            </w:r>
          </w:p>
        </w:tc>
        <w:tc>
          <w:tcPr>
            <w:tcW w:w="195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95"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2024年9月18日</w:t>
            </w:r>
          </w:p>
        </w:tc>
      </w:tr>
      <w:tr>
        <w:trPr>
          <w:jc w:val="center"/>
        </w:trPr>
        <w:tc>
          <w:tcPr>
            <w:tcW w:w="1951" w:type="dxa"/>
            <w:vMerge/>
            <w:tcBorders>
              <w:left w:val="single" w:sz="4" w:space="0" w:color="auto"/>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p>
        </w:tc>
        <w:tc>
          <w:tcPr>
            <w:tcW w:w="851" w:type="dxa"/>
            <w:vMerge/>
            <w:tcBorders>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p>
        </w:tc>
        <w:tc>
          <w:tcPr>
            <w:tcW w:w="229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兖煤澳大利亚董事</w:t>
            </w:r>
          </w:p>
        </w:tc>
        <w:tc>
          <w:tcPr>
            <w:tcW w:w="1956"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w:t>
            </w:r>
          </w:p>
        </w:tc>
        <w:tc>
          <w:tcPr>
            <w:tcW w:w="1995" w:type="dxa"/>
            <w:tcBorders>
              <w:top w:val="single" w:sz="4" w:space="0" w:color="auto"/>
              <w:left w:val="nil"/>
              <w:bottom w:val="single" w:sz="4" w:space="0" w:color="auto"/>
              <w:right w:val="single" w:sz="4" w:space="0" w:color="auto"/>
            </w:tcBorders>
            <w:vAlign w:val="center"/>
          </w:tcPr>
          <w:p>
            <w:pPr>
              <w:spacing w:line="360" w:lineRule="exact"/>
              <w:ind w:right="5"/>
              <w:jc w:val="center"/>
              <w:rPr>
                <w:rFonts w:asciiTheme="minorEastAsia" w:eastAsiaTheme="minorEastAsia" w:hAnsiTheme="minorEastAsia"/>
              </w:rPr>
            </w:pPr>
            <w:r>
              <w:rPr>
                <w:rFonts w:asciiTheme="minorEastAsia" w:eastAsiaTheme="minorEastAsia" w:hAnsiTheme="minorEastAsia" w:hint="eastAsia"/>
              </w:rPr>
              <w:t>2024年9月18日</w:t>
            </w:r>
          </w:p>
        </w:tc>
      </w:tr>
      <w:bookmarkEnd w:id="122"/>
    </w:tbl>
    <w:p>
      <w:pPr>
        <w:pStyle w:val="affffffff"/>
      </w:pPr>
    </w:p>
    <w:p>
      <w:pPr>
        <w:pStyle w:val="affffffff"/>
      </w:pPr>
    </w:p>
    <w:p>
      <w:pPr>
        <w:pStyle w:val="afffffff1"/>
        <w:numPr>
          <w:ilvl w:val="0"/>
          <w:numId w:val="35"/>
        </w:numPr>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145306900"/>
        <w:placeholder>
          <w:docPart w:val="GBC22222222222222222222222222222"/>
        </w:placeholder>
      </w:sdtPr>
      <w:sdtContent>
        <w:p>
          <w:pPr>
            <w:pStyle w:val="affffffff"/>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1"/>
        <w:numPr>
          <w:ilvl w:val="0"/>
          <w:numId w:val="35"/>
        </w:numPr>
        <w:ind w:left="0" w:firstLine="0"/>
      </w:pPr>
      <w:r>
        <w:rPr>
          <w:rFonts w:hint="eastAsia"/>
        </w:rPr>
        <w:t>其他</w:t>
      </w:r>
    </w:p>
    <w:sdt>
      <w:sdtPr>
        <w:rPr>
          <w:rFonts w:hint="eastAsia"/>
          <w:bCs/>
          <w:szCs w:val="21"/>
        </w:rPr>
        <w:alias w:val="是否适用：其他董事、监事、高级管理人员情况说明[双击切换]"/>
        <w:tag w:val="_GBC_6698e1cba7354d29b0fcdbb38e7287d6"/>
        <w:id w:val="124895815"/>
        <w:placeholder>
          <w:docPart w:val="GBC22222222222222222222222222222"/>
        </w:placeholder>
      </w:sdtPr>
      <w:sdtContent>
        <w:p>
          <w:pPr>
            <w:rPr>
              <w:bCs/>
              <w:szCs w:val="21"/>
            </w:rPr>
          </w:pPr>
          <w:r>
            <w:rPr>
              <w:bCs/>
              <w:szCs w:val="21"/>
            </w:rPr>
            <w:fldChar w:fldCharType="begin"/>
          </w:r>
          <w:r>
            <w:rPr>
              <w:rFonts w:hint="eastAsia"/>
              <w:bCs/>
              <w:szCs w:val="21"/>
            </w:rPr>
            <w:instrText xml:space="preserve"> MACROBUTTON  SnrToggleCheckbox √适用  </w:instrText>
          </w:r>
          <w:r>
            <w:rPr>
              <w:bCs/>
              <w:szCs w:val="21"/>
            </w:rPr>
            <w:fldChar w:fldCharType="end"/>
          </w:r>
          <w:r>
            <w:rPr>
              <w:bCs/>
              <w:szCs w:val="21"/>
            </w:rPr>
            <w:fldChar w:fldCharType="begin"/>
          </w:r>
          <w:r>
            <w:rPr>
              <w:rFonts w:hint="eastAsia"/>
              <w:bCs/>
              <w:szCs w:val="21"/>
            </w:rPr>
            <w:instrText xml:space="preserve"> MACROBUTTON  SnrToggleCheckbox □不适用 </w:instrText>
          </w:r>
          <w:r>
            <w:rPr>
              <w:bCs/>
              <w:szCs w:val="21"/>
            </w:rPr>
            <w:fldChar w:fldCharType="end"/>
          </w:r>
        </w:p>
      </w:sdtContent>
    </w:sdt>
    <w:sdt>
      <w:sdtPr>
        <w:rPr>
          <w:bCs/>
          <w:szCs w:val="21"/>
        </w:rPr>
        <w:alias w:val="其他董事、监事、高级管理人员和员工情况 "/>
        <w:tag w:val="_GBC_b0be50694429422c9e18f05901db890f"/>
        <w:id w:val="2013323424"/>
      </w:sdtPr>
      <w:sdtContent>
        <w:p>
          <w:pPr>
            <w:ind w:firstLineChars="200" w:firstLine="420"/>
            <w:rPr>
              <w:bCs/>
              <w:szCs w:val="21"/>
            </w:rPr>
          </w:pPr>
          <w:r>
            <w:rPr>
              <w:rFonts w:hint="eastAsia"/>
              <w:bCs/>
              <w:szCs w:val="21"/>
            </w:rPr>
            <w:t xml:space="preserve">1.董事、监事之服务合同 </w:t>
          </w:r>
        </w:p>
        <w:p>
          <w:pPr>
            <w:ind w:firstLineChars="200" w:firstLine="420"/>
            <w:rPr>
              <w:bCs/>
              <w:szCs w:val="21"/>
            </w:rPr>
          </w:pPr>
          <w:r>
            <w:rPr>
              <w:rFonts w:hint="eastAsia"/>
              <w:bCs/>
              <w:szCs w:val="21"/>
            </w:rPr>
            <w:t>没有任何董事或监事与公司订立任何公司不能在一年内无赔偿终止的服务合约（除了法定赔偿以外）。</w:t>
          </w:r>
        </w:p>
        <w:p>
          <w:pPr>
            <w:ind w:firstLineChars="200" w:firstLine="420"/>
            <w:rPr>
              <w:bCs/>
              <w:szCs w:val="21"/>
            </w:rPr>
          </w:pPr>
          <w:r>
            <w:rPr>
              <w:bCs/>
              <w:szCs w:val="21"/>
            </w:rPr>
            <w:t>2.</w:t>
          </w:r>
          <w:r>
            <w:rPr>
              <w:rFonts w:hint="eastAsia"/>
              <w:bCs/>
              <w:szCs w:val="21"/>
            </w:rPr>
            <w:t xml:space="preserve">董事、监事及高级管理人员之合约权益 </w:t>
          </w:r>
        </w:p>
        <w:p>
          <w:pPr>
            <w:ind w:firstLineChars="200" w:firstLine="420"/>
            <w:rPr>
              <w:bCs/>
              <w:szCs w:val="21"/>
            </w:rPr>
          </w:pPr>
          <w:r>
            <w:rPr>
              <w:rFonts w:hint="eastAsia"/>
              <w:bCs/>
              <w:szCs w:val="21"/>
            </w:rPr>
            <w:t>各董事、监事及高级管理人员或与其有关联/关连的实体在本公司、其任何子公司、其控股公司或控股股东子公司截至2024年12月31日年度内订立或履行的重要交易、安排或合约中，概无直接或间接拥有任何重大权益。</w:t>
          </w:r>
        </w:p>
        <w:p>
          <w:pPr>
            <w:ind w:leftChars="200" w:left="420"/>
            <w:rPr>
              <w:bCs/>
              <w:szCs w:val="21"/>
            </w:rPr>
          </w:pPr>
          <w:r>
            <w:rPr>
              <w:bCs/>
              <w:szCs w:val="21"/>
            </w:rPr>
            <w:t>3.</w:t>
          </w:r>
          <w:r>
            <w:rPr>
              <w:rFonts w:hint="eastAsia"/>
              <w:bCs/>
              <w:szCs w:val="21"/>
            </w:rPr>
            <w:t xml:space="preserve">董事、监事及高级管理人员在与本公司构成竞争的业务所占的权益 </w:t>
          </w:r>
        </w:p>
        <w:p>
          <w:pPr>
            <w:ind w:firstLineChars="200" w:firstLine="420"/>
          </w:pPr>
          <w:r>
            <w:rPr>
              <w:rFonts w:hint="eastAsia"/>
              <w:bCs/>
              <w:szCs w:val="21"/>
            </w:rPr>
            <w:t>截至2024年12月31日，各董事、监事及高级管理人员没有在与公司直接或者间接构成或可能构成竞争的业务中持有任何权益。本公司董事、监事、高级管理人员之间，除工作关系之外，不存在任何财务、业务、家属方面或其他方面的实质关系。</w:t>
          </w:r>
        </w:p>
      </w:sdtContent>
    </w:sdt>
    <w:p>
      <w:pPr>
        <w:rPr>
          <w:bCs/>
          <w:szCs w:val="21"/>
        </w:rPr>
      </w:pPr>
    </w:p>
    <w:p>
      <w:pPr>
        <w:pStyle w:val="afffffff"/>
        <w:numPr>
          <w:ilvl w:val="0"/>
          <w:numId w:val="34"/>
        </w:numPr>
      </w:pPr>
      <w:r>
        <w:t>报告期内召开的董事会有关情况</w:t>
      </w:r>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410"/>
        <w:gridCol w:w="2732"/>
      </w:tblGrid>
      <w:tr>
        <w:trPr>
          <w:trHeight w:val="165"/>
        </w:trPr>
        <w:sdt>
          <w:sdtPr>
            <w:tag w:val="_PLD_419815d8d7794e1c9b7ce587c2f61ac6"/>
            <w:id w:val="-737781239"/>
          </w:sdtPr>
          <w:sdtContent>
            <w:tc>
              <w:tcPr>
                <w:tcW w:w="2086" w:type="pct"/>
                <w:vAlign w:val="center"/>
              </w:tcPr>
              <w:p>
                <w:pPr>
                  <w:widowControl w:val="0"/>
                  <w:jc w:val="center"/>
                  <w:rPr>
                    <w:szCs w:val="21"/>
                  </w:rPr>
                </w:pPr>
                <w:r>
                  <w:rPr>
                    <w:szCs w:val="21"/>
                  </w:rPr>
                  <w:t>会议届次</w:t>
                </w:r>
              </w:p>
            </w:tc>
          </w:sdtContent>
        </w:sdt>
        <w:sdt>
          <w:sdtPr>
            <w:tag w:val="_PLD_ab185594a631433a8b0a8263eb8e554f"/>
            <w:id w:val="1420982922"/>
          </w:sdtPr>
          <w:sdtContent>
            <w:tc>
              <w:tcPr>
                <w:tcW w:w="1366" w:type="pct"/>
                <w:vAlign w:val="center"/>
              </w:tcPr>
              <w:p>
                <w:pPr>
                  <w:widowControl w:val="0"/>
                  <w:jc w:val="center"/>
                  <w:rPr>
                    <w:szCs w:val="21"/>
                  </w:rPr>
                </w:pPr>
                <w:r>
                  <w:rPr>
                    <w:szCs w:val="21"/>
                  </w:rPr>
                  <w:t>召开日期</w:t>
                </w:r>
              </w:p>
            </w:tc>
          </w:sdtContent>
        </w:sdt>
        <w:sdt>
          <w:sdtPr>
            <w:tag w:val="_PLD_12539db1b22e4f4592d7456feb9f22a6"/>
            <w:id w:val="1609617745"/>
          </w:sdtPr>
          <w:sdtContent>
            <w:tc>
              <w:tcPr>
                <w:tcW w:w="1548" w:type="pct"/>
                <w:vAlign w:val="center"/>
              </w:tcPr>
              <w:p>
                <w:pPr>
                  <w:widowControl w:val="0"/>
                  <w:jc w:val="center"/>
                  <w:rPr>
                    <w:szCs w:val="21"/>
                  </w:rPr>
                </w:pPr>
                <w:r>
                  <w:rPr>
                    <w:rFonts w:hint="eastAsia"/>
                    <w:szCs w:val="21"/>
                  </w:rPr>
                  <w:t>会议决议</w:t>
                </w:r>
              </w:p>
            </w:tc>
          </w:sdtContent>
        </w:sdt>
      </w:tr>
      <w:tr>
        <w:trPr>
          <w:trHeight w:val="195"/>
        </w:trPr>
        <w:tc>
          <w:tcPr>
            <w:tcW w:w="2086" w:type="pct"/>
            <w:vAlign w:val="center"/>
          </w:tcPr>
          <w:p>
            <w:pPr>
              <w:widowControl w:val="0"/>
              <w:jc w:val="center"/>
              <w:rPr>
                <w:szCs w:val="21"/>
              </w:rPr>
            </w:pPr>
            <w:r>
              <w:rPr>
                <w:rFonts w:hint="eastAsia"/>
                <w:szCs w:val="21"/>
              </w:rPr>
              <w:t>第九届董事会第四次会议</w:t>
            </w:r>
          </w:p>
        </w:tc>
        <w:tc>
          <w:tcPr>
            <w:tcW w:w="1366" w:type="pct"/>
            <w:vAlign w:val="center"/>
          </w:tcPr>
          <w:p>
            <w:pPr>
              <w:widowControl w:val="0"/>
              <w:jc w:val="center"/>
              <w:rPr>
                <w:szCs w:val="21"/>
              </w:rPr>
            </w:pPr>
            <w:r>
              <w:rPr>
                <w:rFonts w:hint="eastAsia"/>
                <w:szCs w:val="21"/>
              </w:rPr>
              <w:t>2024年1月15日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第九届董事会第五次会议</w:t>
            </w:r>
          </w:p>
        </w:tc>
        <w:tc>
          <w:tcPr>
            <w:tcW w:w="1366" w:type="pct"/>
            <w:vAlign w:val="center"/>
          </w:tcPr>
          <w:p>
            <w:pPr>
              <w:widowControl w:val="0"/>
              <w:jc w:val="center"/>
              <w:rPr>
                <w:szCs w:val="21"/>
              </w:rPr>
            </w:pPr>
            <w:r>
              <w:rPr>
                <w:rFonts w:hint="eastAsia"/>
                <w:szCs w:val="21"/>
              </w:rPr>
              <w:t>2024年2月23日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第九届董事会第六次会议</w:t>
            </w:r>
          </w:p>
        </w:tc>
        <w:tc>
          <w:tcPr>
            <w:tcW w:w="1366" w:type="pct"/>
            <w:vAlign w:val="center"/>
          </w:tcPr>
          <w:p>
            <w:pPr>
              <w:widowControl w:val="0"/>
              <w:jc w:val="center"/>
              <w:rPr>
                <w:szCs w:val="21"/>
              </w:rPr>
            </w:pPr>
            <w:r>
              <w:rPr>
                <w:rFonts w:hint="eastAsia"/>
                <w:szCs w:val="21"/>
              </w:rPr>
              <w:t>2024年3月28日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第九届董事会第七次会议</w:t>
            </w:r>
          </w:p>
        </w:tc>
        <w:tc>
          <w:tcPr>
            <w:tcW w:w="1366" w:type="pct"/>
            <w:vAlign w:val="center"/>
          </w:tcPr>
          <w:p>
            <w:pPr>
              <w:widowControl w:val="0"/>
              <w:jc w:val="center"/>
              <w:rPr>
                <w:szCs w:val="21"/>
              </w:rPr>
            </w:pPr>
            <w:r>
              <w:rPr>
                <w:rFonts w:hint="eastAsia"/>
                <w:szCs w:val="21"/>
              </w:rPr>
              <w:t>2024年4月26日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第九届董事会第八次会议</w:t>
            </w:r>
          </w:p>
        </w:tc>
        <w:tc>
          <w:tcPr>
            <w:tcW w:w="1366" w:type="pct"/>
            <w:vAlign w:val="center"/>
          </w:tcPr>
          <w:p>
            <w:pPr>
              <w:widowControl w:val="0"/>
              <w:jc w:val="center"/>
              <w:rPr>
                <w:szCs w:val="21"/>
              </w:rPr>
            </w:pPr>
            <w:r>
              <w:rPr>
                <w:rFonts w:hint="eastAsia"/>
                <w:szCs w:val="21"/>
              </w:rPr>
              <w:t>2024年5月31日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第九届董事会第九次会议</w:t>
            </w:r>
          </w:p>
        </w:tc>
        <w:tc>
          <w:tcPr>
            <w:tcW w:w="1366" w:type="pct"/>
            <w:vAlign w:val="center"/>
          </w:tcPr>
          <w:p>
            <w:pPr>
              <w:widowControl w:val="0"/>
              <w:jc w:val="center"/>
              <w:rPr>
                <w:szCs w:val="21"/>
              </w:rPr>
            </w:pPr>
            <w:r>
              <w:rPr>
                <w:rFonts w:hint="eastAsia"/>
                <w:szCs w:val="21"/>
              </w:rPr>
              <w:t>2024年6月21日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第九届董事会第十次会议</w:t>
            </w:r>
          </w:p>
        </w:tc>
        <w:tc>
          <w:tcPr>
            <w:tcW w:w="1366" w:type="pct"/>
            <w:vAlign w:val="center"/>
          </w:tcPr>
          <w:p>
            <w:pPr>
              <w:widowControl w:val="0"/>
              <w:jc w:val="center"/>
              <w:rPr>
                <w:szCs w:val="21"/>
              </w:rPr>
            </w:pPr>
            <w:r>
              <w:rPr>
                <w:rFonts w:hint="eastAsia"/>
                <w:szCs w:val="21"/>
              </w:rPr>
              <w:t>2024年8月30日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第九届董事会第十一次会议</w:t>
            </w:r>
          </w:p>
        </w:tc>
        <w:tc>
          <w:tcPr>
            <w:tcW w:w="1366" w:type="pct"/>
            <w:vAlign w:val="center"/>
          </w:tcPr>
          <w:p>
            <w:pPr>
              <w:widowControl w:val="0"/>
              <w:jc w:val="center"/>
              <w:rPr>
                <w:szCs w:val="21"/>
              </w:rPr>
            </w:pPr>
            <w:r>
              <w:rPr>
                <w:rFonts w:hint="eastAsia"/>
                <w:szCs w:val="21"/>
              </w:rPr>
              <w:t>2024年10月25日</w:t>
            </w:r>
          </w:p>
        </w:tc>
        <w:tc>
          <w:tcPr>
            <w:tcW w:w="1548" w:type="pct"/>
            <w:vAlign w:val="center"/>
          </w:tcPr>
          <w:p>
            <w:pPr>
              <w:widowControl w:val="0"/>
              <w:jc w:val="center"/>
              <w:rPr>
                <w:szCs w:val="21"/>
              </w:rPr>
            </w:pPr>
            <w:r>
              <w:rPr>
                <w:rFonts w:hint="eastAsia"/>
                <w:szCs w:val="21"/>
              </w:rPr>
              <w:t>通过所有议案</w:t>
            </w:r>
          </w:p>
        </w:tc>
      </w:tr>
      <w:tr>
        <w:trPr>
          <w:trHeight w:val="195"/>
        </w:trPr>
        <w:tc>
          <w:tcPr>
            <w:tcW w:w="2086" w:type="pct"/>
            <w:vAlign w:val="center"/>
          </w:tcPr>
          <w:p>
            <w:pPr>
              <w:widowControl w:val="0"/>
              <w:jc w:val="center"/>
              <w:rPr>
                <w:szCs w:val="21"/>
              </w:rPr>
            </w:pPr>
            <w:r>
              <w:rPr>
                <w:rFonts w:hint="eastAsia"/>
                <w:szCs w:val="21"/>
              </w:rPr>
              <w:t>第九届董事会第十二次会议</w:t>
            </w:r>
          </w:p>
        </w:tc>
        <w:tc>
          <w:tcPr>
            <w:tcW w:w="1366" w:type="pct"/>
            <w:vAlign w:val="center"/>
          </w:tcPr>
          <w:p>
            <w:pPr>
              <w:widowControl w:val="0"/>
              <w:jc w:val="center"/>
              <w:rPr>
                <w:szCs w:val="21"/>
              </w:rPr>
            </w:pPr>
            <w:r>
              <w:rPr>
                <w:rFonts w:hint="eastAsia"/>
                <w:szCs w:val="21"/>
              </w:rPr>
              <w:t>2024年11月13日</w:t>
            </w:r>
          </w:p>
        </w:tc>
        <w:tc>
          <w:tcPr>
            <w:tcW w:w="1548" w:type="pct"/>
            <w:vAlign w:val="center"/>
          </w:tcPr>
          <w:p>
            <w:pPr>
              <w:widowControl w:val="0"/>
              <w:jc w:val="center"/>
              <w:rPr>
                <w:szCs w:val="21"/>
              </w:rPr>
            </w:pPr>
            <w:r>
              <w:rPr>
                <w:rFonts w:hint="eastAsia"/>
                <w:szCs w:val="21"/>
              </w:rPr>
              <w:t>通过所有议案</w:t>
            </w:r>
          </w:p>
        </w:tc>
      </w:tr>
    </w:tbl>
    <w:p>
      <w:pPr>
        <w:rPr>
          <w:szCs w:val="21"/>
        </w:rPr>
      </w:pPr>
    </w:p>
    <w:p>
      <w:pPr>
        <w:pStyle w:val="afffffff"/>
        <w:numPr>
          <w:ilvl w:val="0"/>
          <w:numId w:val="34"/>
        </w:numPr>
      </w:pPr>
      <w:r>
        <w:lastRenderedPageBreak/>
        <w:t>董事履行职责情况</w:t>
      </w:r>
    </w:p>
    <w:p>
      <w:pPr>
        <w:pStyle w:val="afffffff1"/>
        <w:numPr>
          <w:ilvl w:val="0"/>
          <w:numId w:val="37"/>
        </w:numPr>
      </w:pPr>
      <w:r>
        <w:t>董事参加董事会和股东大会的情况</w:t>
      </w:r>
    </w:p>
    <w:tbl>
      <w:tblPr>
        <w:tblStyle w:val="g19"/>
        <w:tblW w:w="5000" w:type="pct"/>
        <w:tblInd w:w="0" w:type="dxa"/>
        <w:tblCellMar>
          <w:left w:w="108" w:type="dxa"/>
          <w:right w:w="108" w:type="dxa"/>
        </w:tblCellMar>
        <w:tblLook w:val="04A0" w:firstRow="1" w:lastRow="0" w:firstColumn="1" w:lastColumn="0" w:noHBand="0" w:noVBand="1"/>
      </w:tblPr>
      <w:tblGrid>
        <w:gridCol w:w="949"/>
        <w:gridCol w:w="825"/>
        <w:gridCol w:w="1072"/>
        <w:gridCol w:w="829"/>
        <w:gridCol w:w="942"/>
        <w:gridCol w:w="882"/>
        <w:gridCol w:w="822"/>
        <w:gridCol w:w="1274"/>
        <w:gridCol w:w="1228"/>
      </w:tblGrid>
      <w:tr>
        <w:trPr>
          <w:trHeight w:val="561"/>
        </w:trPr>
        <w:sdt>
          <w:sdtPr>
            <w:rPr>
              <w:rFonts w:asciiTheme="minorEastAsia" w:eastAsiaTheme="minorEastAsia" w:hAnsiTheme="minorEastAsia"/>
            </w:rPr>
            <w:tag w:val="_PLD_fdf987702b2e46a4aaa1e3f20787a76c"/>
            <w:id w:val="-1976672509"/>
          </w:sdtPr>
          <w:sdtContent>
            <w:tc>
              <w:tcPr>
                <w:tcW w:w="537" w:type="pct"/>
                <w:vMerge w:val="restart"/>
                <w:vAlign w:val="center"/>
              </w:tcPr>
              <w:p>
                <w:pPr>
                  <w:jc w:val="center"/>
                  <w:rPr>
                    <w:rFonts w:asciiTheme="minorEastAsia" w:eastAsiaTheme="minorEastAsia" w:hAnsiTheme="minorEastAsia"/>
                  </w:rPr>
                </w:pPr>
                <w:r>
                  <w:rPr>
                    <w:rFonts w:asciiTheme="minorEastAsia" w:eastAsiaTheme="minorEastAsia" w:hAnsiTheme="minorEastAsia" w:hint="eastAsia"/>
                  </w:rPr>
                  <w:t>董事</w:t>
                </w:r>
              </w:p>
              <w:p>
                <w:pPr>
                  <w:jc w:val="center"/>
                  <w:rPr>
                    <w:rFonts w:asciiTheme="minorEastAsia" w:eastAsiaTheme="minorEastAsia" w:hAnsiTheme="minorEastAsia"/>
                  </w:rPr>
                </w:pPr>
                <w:r>
                  <w:rPr>
                    <w:rFonts w:asciiTheme="minorEastAsia" w:eastAsiaTheme="minorEastAsia" w:hAnsiTheme="minorEastAsia" w:hint="eastAsia"/>
                  </w:rPr>
                  <w:t>姓名</w:t>
                </w:r>
              </w:p>
            </w:tc>
          </w:sdtContent>
        </w:sdt>
        <w:sdt>
          <w:sdtPr>
            <w:rPr>
              <w:rFonts w:asciiTheme="minorEastAsia" w:eastAsiaTheme="minorEastAsia" w:hAnsiTheme="minorEastAsia"/>
            </w:rPr>
            <w:tag w:val="_PLD_8c944f740a3a4784938038ab19e3a6ed"/>
            <w:id w:val="1014420395"/>
          </w:sdtPr>
          <w:sdtContent>
            <w:tc>
              <w:tcPr>
                <w:tcW w:w="467" w:type="pct"/>
                <w:vMerge w:val="restart"/>
                <w:vAlign w:val="center"/>
              </w:tcPr>
              <w:p>
                <w:pPr>
                  <w:jc w:val="center"/>
                  <w:rPr>
                    <w:rFonts w:asciiTheme="minorEastAsia" w:eastAsiaTheme="minorEastAsia" w:hAnsiTheme="minorEastAsia"/>
                  </w:rPr>
                </w:pPr>
                <w:r>
                  <w:rPr>
                    <w:rFonts w:asciiTheme="minorEastAsia" w:eastAsiaTheme="minorEastAsia" w:hAnsiTheme="minorEastAsia"/>
                  </w:rPr>
                  <w:t>是否独立董事</w:t>
                </w:r>
              </w:p>
            </w:tc>
          </w:sdtContent>
        </w:sdt>
        <w:sdt>
          <w:sdtPr>
            <w:rPr>
              <w:rFonts w:asciiTheme="minorEastAsia" w:eastAsiaTheme="minorEastAsia" w:hAnsiTheme="minorEastAsia"/>
            </w:rPr>
            <w:tag w:val="_PLD_41002b55426142459adadb76d790d586"/>
            <w:id w:val="-1136099100"/>
          </w:sdtPr>
          <w:sdtContent>
            <w:tc>
              <w:tcPr>
                <w:tcW w:w="3299" w:type="pct"/>
                <w:gridSpan w:val="6"/>
                <w:vAlign w:val="center"/>
              </w:tcPr>
              <w:p>
                <w:pPr>
                  <w:jc w:val="center"/>
                  <w:rPr>
                    <w:rFonts w:asciiTheme="minorEastAsia" w:eastAsiaTheme="minorEastAsia" w:hAnsiTheme="minorEastAsia"/>
                  </w:rPr>
                </w:pPr>
                <w:r>
                  <w:rPr>
                    <w:rFonts w:asciiTheme="minorEastAsia" w:eastAsiaTheme="minorEastAsia" w:hAnsiTheme="minorEastAsia"/>
                  </w:rPr>
                  <w:t>参加董事会情况</w:t>
                </w:r>
              </w:p>
            </w:tc>
          </w:sdtContent>
        </w:sdt>
        <w:sdt>
          <w:sdtPr>
            <w:rPr>
              <w:rFonts w:asciiTheme="minorEastAsia" w:eastAsiaTheme="minorEastAsia" w:hAnsiTheme="minorEastAsia"/>
            </w:rPr>
            <w:tag w:val="_PLD_a86ab0ba65874193bf46821cd6a13f4f"/>
            <w:id w:val="357395689"/>
          </w:sdtPr>
          <w:sdtContent>
            <w:tc>
              <w:tcPr>
                <w:tcW w:w="696" w:type="pct"/>
                <w:vAlign w:val="center"/>
              </w:tcPr>
              <w:p>
                <w:pPr>
                  <w:jc w:val="center"/>
                  <w:rPr>
                    <w:rFonts w:asciiTheme="minorEastAsia" w:eastAsiaTheme="minorEastAsia" w:hAnsiTheme="minorEastAsia"/>
                  </w:rPr>
                </w:pPr>
                <w:r>
                  <w:rPr>
                    <w:rFonts w:asciiTheme="minorEastAsia" w:eastAsiaTheme="minorEastAsia" w:hAnsiTheme="minorEastAsia"/>
                  </w:rPr>
                  <w:t>参加股东大会情况</w:t>
                </w:r>
              </w:p>
            </w:tc>
          </w:sdtContent>
        </w:sdt>
      </w:tr>
      <w:tr>
        <w:trPr>
          <w:trHeight w:val="120"/>
        </w:trPr>
        <w:tc>
          <w:tcPr>
            <w:tcW w:w="537" w:type="pct"/>
            <w:vMerge/>
          </w:tcPr>
          <w:p>
            <w:pPr>
              <w:jc w:val="center"/>
              <w:rPr>
                <w:rFonts w:asciiTheme="minorEastAsia" w:eastAsiaTheme="minorEastAsia" w:hAnsiTheme="minorEastAsia"/>
              </w:rPr>
            </w:pPr>
          </w:p>
        </w:tc>
        <w:tc>
          <w:tcPr>
            <w:tcW w:w="467" w:type="pct"/>
            <w:vMerge/>
          </w:tcPr>
          <w:p>
            <w:pPr>
              <w:jc w:val="center"/>
              <w:rPr>
                <w:rFonts w:asciiTheme="minorEastAsia" w:eastAsiaTheme="minorEastAsia" w:hAnsiTheme="minorEastAsia"/>
              </w:rPr>
            </w:pPr>
          </w:p>
        </w:tc>
        <w:sdt>
          <w:sdtPr>
            <w:rPr>
              <w:rFonts w:asciiTheme="minorEastAsia" w:eastAsiaTheme="minorEastAsia" w:hAnsiTheme="minorEastAsia"/>
            </w:rPr>
            <w:tag w:val="_PLD_1be3bc3a3d894e22b017b70a7c691233"/>
            <w:id w:val="-2079970597"/>
          </w:sdtPr>
          <w:sdtContent>
            <w:tc>
              <w:tcPr>
                <w:tcW w:w="607" w:type="pct"/>
                <w:vAlign w:val="center"/>
              </w:tcPr>
              <w:p>
                <w:pPr>
                  <w:jc w:val="center"/>
                  <w:rPr>
                    <w:rFonts w:asciiTheme="minorEastAsia" w:eastAsiaTheme="minorEastAsia" w:hAnsiTheme="minorEastAsia"/>
                  </w:rPr>
                </w:pPr>
                <w:r>
                  <w:rPr>
                    <w:rFonts w:asciiTheme="minorEastAsia" w:eastAsiaTheme="minorEastAsia" w:hAnsiTheme="minorEastAsia"/>
                  </w:rPr>
                  <w:t>本年应参加董事会次数</w:t>
                </w:r>
              </w:p>
            </w:tc>
          </w:sdtContent>
        </w:sdt>
        <w:sdt>
          <w:sdtPr>
            <w:rPr>
              <w:rFonts w:asciiTheme="minorEastAsia" w:eastAsiaTheme="minorEastAsia" w:hAnsiTheme="minorEastAsia"/>
            </w:rPr>
            <w:tag w:val="_PLD_3e45fc9802f241cb8e17735983417e9b"/>
            <w:id w:val="1491446083"/>
          </w:sdtPr>
          <w:sdtContent>
            <w:tc>
              <w:tcPr>
                <w:tcW w:w="470" w:type="pct"/>
                <w:vAlign w:val="center"/>
              </w:tcPr>
              <w:p>
                <w:pPr>
                  <w:jc w:val="center"/>
                  <w:rPr>
                    <w:rFonts w:asciiTheme="minorEastAsia" w:eastAsiaTheme="minorEastAsia" w:hAnsiTheme="minorEastAsia"/>
                  </w:rPr>
                </w:pPr>
                <w:r>
                  <w:rPr>
                    <w:rFonts w:asciiTheme="minorEastAsia" w:eastAsiaTheme="minorEastAsia" w:hAnsiTheme="minorEastAsia"/>
                  </w:rPr>
                  <w:t>亲自出席次数</w:t>
                </w:r>
              </w:p>
            </w:tc>
          </w:sdtContent>
        </w:sdt>
        <w:sdt>
          <w:sdtPr>
            <w:rPr>
              <w:rFonts w:asciiTheme="minorEastAsia" w:eastAsiaTheme="minorEastAsia" w:hAnsiTheme="minorEastAsia"/>
            </w:rPr>
            <w:tag w:val="_PLD_5b2f1e699fe34def868fe8b765d768ba"/>
            <w:id w:val="-1065108799"/>
          </w:sdtPr>
          <w:sdtContent>
            <w:tc>
              <w:tcPr>
                <w:tcW w:w="534" w:type="pct"/>
                <w:vAlign w:val="center"/>
              </w:tcPr>
              <w:p>
                <w:pPr>
                  <w:jc w:val="center"/>
                  <w:rPr>
                    <w:rFonts w:asciiTheme="minorEastAsia" w:eastAsiaTheme="minorEastAsia" w:hAnsiTheme="minorEastAsia"/>
                  </w:rPr>
                </w:pPr>
                <w:r>
                  <w:rPr>
                    <w:rFonts w:asciiTheme="minorEastAsia" w:eastAsiaTheme="minorEastAsia" w:hAnsiTheme="minorEastAsia"/>
                  </w:rPr>
                  <w:t>以通讯方式参加次数</w:t>
                </w:r>
              </w:p>
            </w:tc>
          </w:sdtContent>
        </w:sdt>
        <w:sdt>
          <w:sdtPr>
            <w:rPr>
              <w:rFonts w:asciiTheme="minorEastAsia" w:eastAsiaTheme="minorEastAsia" w:hAnsiTheme="minorEastAsia"/>
            </w:rPr>
            <w:tag w:val="_PLD_981a0cb863d94703a5482c1ca67d4cb5"/>
            <w:id w:val="-788360651"/>
          </w:sdtPr>
          <w:sdtContent>
            <w:tc>
              <w:tcPr>
                <w:tcW w:w="500" w:type="pct"/>
                <w:vAlign w:val="center"/>
              </w:tcPr>
              <w:p>
                <w:pPr>
                  <w:jc w:val="center"/>
                  <w:rPr>
                    <w:rFonts w:asciiTheme="minorEastAsia" w:eastAsiaTheme="minorEastAsia" w:hAnsiTheme="minorEastAsia"/>
                  </w:rPr>
                </w:pPr>
                <w:r>
                  <w:rPr>
                    <w:rFonts w:asciiTheme="minorEastAsia" w:eastAsiaTheme="minorEastAsia" w:hAnsiTheme="minorEastAsia"/>
                  </w:rPr>
                  <w:t>委托出席次数</w:t>
                </w:r>
              </w:p>
            </w:tc>
          </w:sdtContent>
        </w:sdt>
        <w:sdt>
          <w:sdtPr>
            <w:rPr>
              <w:rFonts w:asciiTheme="minorEastAsia" w:eastAsiaTheme="minorEastAsia" w:hAnsiTheme="minorEastAsia"/>
            </w:rPr>
            <w:tag w:val="_PLD_e955143b8973461bb11aa6e64e6bb542"/>
            <w:id w:val="1547183516"/>
          </w:sdtPr>
          <w:sdtContent>
            <w:tc>
              <w:tcPr>
                <w:tcW w:w="466" w:type="pct"/>
                <w:vAlign w:val="center"/>
              </w:tcPr>
              <w:p>
                <w:pPr>
                  <w:jc w:val="center"/>
                  <w:rPr>
                    <w:rFonts w:asciiTheme="minorEastAsia" w:eastAsiaTheme="minorEastAsia" w:hAnsiTheme="minorEastAsia"/>
                  </w:rPr>
                </w:pPr>
                <w:r>
                  <w:rPr>
                    <w:rFonts w:asciiTheme="minorEastAsia" w:eastAsiaTheme="minorEastAsia" w:hAnsiTheme="minorEastAsia"/>
                  </w:rPr>
                  <w:t>缺席</w:t>
                </w:r>
              </w:p>
              <w:p>
                <w:pPr>
                  <w:jc w:val="center"/>
                  <w:rPr>
                    <w:rFonts w:asciiTheme="minorEastAsia" w:eastAsiaTheme="minorEastAsia" w:hAnsiTheme="minorEastAsia"/>
                  </w:rPr>
                </w:pPr>
                <w:r>
                  <w:rPr>
                    <w:rFonts w:asciiTheme="minorEastAsia" w:eastAsiaTheme="minorEastAsia" w:hAnsiTheme="minorEastAsia"/>
                  </w:rPr>
                  <w:t>次数</w:t>
                </w:r>
              </w:p>
            </w:tc>
          </w:sdtContent>
        </w:sdt>
        <w:sdt>
          <w:sdtPr>
            <w:rPr>
              <w:rFonts w:asciiTheme="minorEastAsia" w:eastAsiaTheme="minorEastAsia" w:hAnsiTheme="minorEastAsia"/>
            </w:rPr>
            <w:tag w:val="_PLD_c94de7a455d94af5b8ffe4cc736c4b46"/>
            <w:id w:val="598299372"/>
          </w:sdtPr>
          <w:sdtContent>
            <w:tc>
              <w:tcPr>
                <w:tcW w:w="721" w:type="pct"/>
                <w:vAlign w:val="center"/>
              </w:tcPr>
              <w:p>
                <w:pPr>
                  <w:jc w:val="center"/>
                  <w:rPr>
                    <w:rFonts w:asciiTheme="minorEastAsia" w:eastAsiaTheme="minorEastAsia" w:hAnsiTheme="minorEastAsia"/>
                  </w:rPr>
                </w:pPr>
                <w:r>
                  <w:rPr>
                    <w:rFonts w:asciiTheme="minorEastAsia" w:eastAsiaTheme="minorEastAsia" w:hAnsiTheme="minorEastAsia"/>
                  </w:rPr>
                  <w:t>是否连续两次未亲自参加会议</w:t>
                </w:r>
              </w:p>
            </w:tc>
          </w:sdtContent>
        </w:sdt>
        <w:sdt>
          <w:sdtPr>
            <w:rPr>
              <w:rFonts w:asciiTheme="minorEastAsia" w:eastAsiaTheme="minorEastAsia" w:hAnsiTheme="minorEastAsia"/>
            </w:rPr>
            <w:tag w:val="_PLD_7f17c2a5ff9540709fafff9460b0756d"/>
            <w:id w:val="-1905897602"/>
          </w:sdtPr>
          <w:sdtContent>
            <w:tc>
              <w:tcPr>
                <w:tcW w:w="696" w:type="pct"/>
                <w:vAlign w:val="center"/>
              </w:tcPr>
              <w:p>
                <w:pPr>
                  <w:jc w:val="center"/>
                  <w:rPr>
                    <w:rFonts w:asciiTheme="minorEastAsia" w:eastAsiaTheme="minorEastAsia" w:hAnsiTheme="minorEastAsia"/>
                    <w:b/>
                  </w:rPr>
                </w:pPr>
                <w:r>
                  <w:rPr>
                    <w:rFonts w:asciiTheme="minorEastAsia" w:eastAsiaTheme="minorEastAsia" w:hAnsiTheme="minorEastAsia"/>
                  </w:rPr>
                  <w:t>出席股东大会的次数</w:t>
                </w:r>
              </w:p>
            </w:tc>
          </w:sdtContent>
        </w:sdt>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 xml:space="preserve">李 </w:t>
            </w:r>
            <w:r>
              <w:rPr>
                <w:rFonts w:asciiTheme="minorEastAsia" w:eastAsiaTheme="minorEastAsia" w:hAnsiTheme="minorEastAsia"/>
              </w:rPr>
              <w:t xml:space="preserve"> </w:t>
            </w:r>
            <w:r>
              <w:rPr>
                <w:rFonts w:asciiTheme="minorEastAsia" w:eastAsiaTheme="minorEastAsia" w:hAnsiTheme="minorEastAsia" w:hint="eastAsia"/>
              </w:rPr>
              <w:t>伟</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健</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强</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张海军</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 xml:space="preserve">苏 </w:t>
            </w:r>
            <w:r>
              <w:rPr>
                <w:rFonts w:asciiTheme="minorEastAsia" w:eastAsiaTheme="minorEastAsia" w:hAnsiTheme="minorEastAsia"/>
              </w:rPr>
              <w:t xml:space="preserve"> </w:t>
            </w:r>
            <w:r>
              <w:rPr>
                <w:rFonts w:asciiTheme="minorEastAsia" w:eastAsiaTheme="minorEastAsia" w:hAnsiTheme="minorEastAsia" w:hint="eastAsia"/>
              </w:rPr>
              <w:t>力</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黄霄龙</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t>彭苏萍</w:t>
            </w:r>
          </w:p>
        </w:tc>
        <w:tc>
          <w:tcPr>
            <w:tcW w:w="467" w:type="pct"/>
            <w:vAlign w:val="center"/>
          </w:tcPr>
          <w:p>
            <w:pPr>
              <w:jc w:val="center"/>
              <w:rPr>
                <w:rFonts w:asciiTheme="minorEastAsia" w:eastAsiaTheme="minorEastAsia" w:hAnsiTheme="minorEastAsia"/>
              </w:rPr>
            </w:pPr>
            <w:r>
              <w:t>是</w:t>
            </w:r>
          </w:p>
        </w:tc>
        <w:tc>
          <w:tcPr>
            <w:tcW w:w="607" w:type="pct"/>
            <w:vAlign w:val="center"/>
          </w:tcPr>
          <w:p>
            <w:pPr>
              <w:jc w:val="center"/>
              <w:rPr>
                <w:rFonts w:asciiTheme="minorEastAsia" w:eastAsiaTheme="minorEastAsia" w:hAnsiTheme="minorEastAsia"/>
              </w:rPr>
            </w:pPr>
            <w:r>
              <w:t>9</w:t>
            </w:r>
          </w:p>
        </w:tc>
        <w:tc>
          <w:tcPr>
            <w:tcW w:w="470" w:type="pct"/>
            <w:vAlign w:val="center"/>
          </w:tcPr>
          <w:p>
            <w:pPr>
              <w:jc w:val="center"/>
              <w:rPr>
                <w:rFonts w:asciiTheme="minorEastAsia" w:eastAsiaTheme="minorEastAsia" w:hAnsiTheme="minorEastAsia"/>
              </w:rPr>
            </w:pPr>
            <w:r>
              <w:t>9</w:t>
            </w:r>
          </w:p>
        </w:tc>
        <w:tc>
          <w:tcPr>
            <w:tcW w:w="534" w:type="pct"/>
            <w:vAlign w:val="center"/>
          </w:tcPr>
          <w:p>
            <w:pPr>
              <w:jc w:val="center"/>
              <w:rPr>
                <w:szCs w:val="21"/>
              </w:rPr>
            </w:pPr>
            <w:r>
              <w:t>7</w:t>
            </w:r>
          </w:p>
        </w:tc>
        <w:tc>
          <w:tcPr>
            <w:tcW w:w="500" w:type="pct"/>
            <w:vAlign w:val="center"/>
          </w:tcPr>
          <w:p>
            <w:pPr>
              <w:jc w:val="center"/>
              <w:rPr>
                <w:rFonts w:asciiTheme="minorEastAsia" w:eastAsiaTheme="minorEastAsia" w:hAnsiTheme="minorEastAsia"/>
              </w:rPr>
            </w:pPr>
            <w:r>
              <w:t>0</w:t>
            </w:r>
          </w:p>
        </w:tc>
        <w:tc>
          <w:tcPr>
            <w:tcW w:w="466" w:type="pct"/>
            <w:vAlign w:val="center"/>
          </w:tcPr>
          <w:p>
            <w:pPr>
              <w:jc w:val="center"/>
              <w:rPr>
                <w:rFonts w:asciiTheme="minorEastAsia" w:eastAsiaTheme="minorEastAsia" w:hAnsiTheme="minorEastAsia"/>
              </w:rPr>
            </w:pPr>
            <w:r>
              <w:t>0</w:t>
            </w:r>
          </w:p>
        </w:tc>
        <w:tc>
          <w:tcPr>
            <w:tcW w:w="721" w:type="pct"/>
            <w:vAlign w:val="center"/>
          </w:tcPr>
          <w:p>
            <w:pPr>
              <w:jc w:val="center"/>
              <w:rPr>
                <w:rFonts w:asciiTheme="minorEastAsia" w:eastAsiaTheme="minorEastAsia" w:hAnsiTheme="minorEastAsia"/>
              </w:rPr>
            </w:pPr>
            <w: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rPr>
              <w:t>0</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朱利民</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是</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胡家栋</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是</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2</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 xml:space="preserve">朱 </w:t>
            </w:r>
            <w:r>
              <w:rPr>
                <w:rFonts w:asciiTheme="minorEastAsia" w:eastAsiaTheme="minorEastAsia" w:hAnsiTheme="minorEastAsia"/>
              </w:rPr>
              <w:t xml:space="preserve"> </w:t>
            </w:r>
            <w:r>
              <w:rPr>
                <w:rFonts w:asciiTheme="minorEastAsia" w:eastAsiaTheme="minorEastAsia" w:hAnsiTheme="minorEastAsia" w:hint="eastAsia"/>
              </w:rPr>
              <w:t>睿</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是</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9</w:t>
            </w:r>
          </w:p>
        </w:tc>
        <w:tc>
          <w:tcPr>
            <w:tcW w:w="534" w:type="pct"/>
            <w:vAlign w:val="center"/>
          </w:tcPr>
          <w:p>
            <w:pPr>
              <w:jc w:val="center"/>
              <w:rPr>
                <w:rFonts w:asciiTheme="minorEastAsia" w:eastAsiaTheme="minorEastAsia" w:hAnsiTheme="minorEastAsia"/>
              </w:rPr>
            </w:pPr>
            <w:r>
              <w:rPr>
                <w:rFonts w:hint="eastAsia"/>
                <w:szCs w:val="21"/>
              </w:rPr>
              <w:t>7</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rPr>
              <w:t>0</w:t>
            </w:r>
          </w:p>
        </w:tc>
      </w:tr>
      <w:tr>
        <w:trPr>
          <w:trHeight w:val="77"/>
        </w:trPr>
        <w:tc>
          <w:tcPr>
            <w:tcW w:w="537" w:type="pct"/>
          </w:tcPr>
          <w:p>
            <w:pPr>
              <w:rPr>
                <w:rFonts w:asciiTheme="minorEastAsia" w:eastAsiaTheme="minorEastAsia" w:hAnsiTheme="minorEastAsia"/>
              </w:rPr>
            </w:pPr>
            <w:r>
              <w:rPr>
                <w:rFonts w:asciiTheme="minorEastAsia" w:eastAsiaTheme="minorEastAsia" w:hAnsiTheme="minorEastAsia" w:hint="eastAsia"/>
              </w:rPr>
              <w:t>肖耀猛</w:t>
            </w:r>
          </w:p>
          <w:p>
            <w:pPr>
              <w:rPr>
                <w:rFonts w:asciiTheme="minorEastAsia" w:eastAsiaTheme="minorEastAsia" w:hAnsiTheme="minorEastAsia"/>
              </w:rPr>
            </w:pPr>
            <w:r>
              <w:rPr>
                <w:rFonts w:asciiTheme="minorEastAsia" w:eastAsiaTheme="minorEastAsia" w:hAnsiTheme="minorEastAsia" w:hint="eastAsia"/>
              </w:rPr>
              <w:t>(离任)</w:t>
            </w:r>
          </w:p>
        </w:tc>
        <w:tc>
          <w:tcPr>
            <w:tcW w:w="467"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07" w:type="pct"/>
            <w:vAlign w:val="center"/>
          </w:tcPr>
          <w:p>
            <w:pPr>
              <w:jc w:val="center"/>
              <w:rPr>
                <w:rFonts w:asciiTheme="minorEastAsia" w:eastAsiaTheme="minorEastAsia" w:hAnsiTheme="minorEastAsia"/>
              </w:rPr>
            </w:pPr>
            <w:r>
              <w:rPr>
                <w:rFonts w:asciiTheme="minorEastAsia" w:eastAsiaTheme="minorEastAsia" w:hAnsiTheme="minorEastAsia" w:hint="eastAsia"/>
              </w:rPr>
              <w:t>7</w:t>
            </w:r>
          </w:p>
        </w:tc>
        <w:tc>
          <w:tcPr>
            <w:tcW w:w="470" w:type="pct"/>
            <w:vAlign w:val="center"/>
          </w:tcPr>
          <w:p>
            <w:pPr>
              <w:jc w:val="center"/>
              <w:rPr>
                <w:rFonts w:asciiTheme="minorEastAsia" w:eastAsiaTheme="minorEastAsia" w:hAnsiTheme="minorEastAsia"/>
              </w:rPr>
            </w:pPr>
            <w:r>
              <w:rPr>
                <w:rFonts w:asciiTheme="minorEastAsia" w:eastAsiaTheme="minorEastAsia" w:hAnsiTheme="minorEastAsia" w:hint="eastAsia"/>
              </w:rPr>
              <w:t>7</w:t>
            </w:r>
          </w:p>
        </w:tc>
        <w:tc>
          <w:tcPr>
            <w:tcW w:w="534" w:type="pct"/>
            <w:vAlign w:val="center"/>
          </w:tcPr>
          <w:p>
            <w:pPr>
              <w:jc w:val="center"/>
              <w:rPr>
                <w:rFonts w:asciiTheme="minorEastAsia" w:eastAsiaTheme="minorEastAsia" w:hAnsiTheme="minorEastAsia"/>
              </w:rPr>
            </w:pPr>
            <w:r>
              <w:rPr>
                <w:rFonts w:asciiTheme="minorEastAsia" w:eastAsiaTheme="minorEastAsia" w:hAnsiTheme="minorEastAsia" w:hint="eastAsia"/>
              </w:rPr>
              <w:t>6</w:t>
            </w:r>
          </w:p>
        </w:tc>
        <w:tc>
          <w:tcPr>
            <w:tcW w:w="500"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466" w:type="pct"/>
            <w:vAlign w:val="center"/>
          </w:tcPr>
          <w:p>
            <w:pPr>
              <w:jc w:val="center"/>
              <w:rPr>
                <w:rFonts w:asciiTheme="minorEastAsia" w:eastAsiaTheme="minorEastAsia" w:hAnsiTheme="minorEastAsia"/>
              </w:rPr>
            </w:pPr>
            <w:r>
              <w:rPr>
                <w:rFonts w:asciiTheme="minorEastAsia" w:eastAsiaTheme="minorEastAsia" w:hAnsiTheme="minorEastAsia" w:hint="eastAsia"/>
              </w:rPr>
              <w:t>0</w:t>
            </w:r>
          </w:p>
        </w:tc>
        <w:tc>
          <w:tcPr>
            <w:tcW w:w="721" w:type="pct"/>
            <w:vAlign w:val="center"/>
          </w:tcPr>
          <w:p>
            <w:pPr>
              <w:jc w:val="center"/>
              <w:rPr>
                <w:rFonts w:asciiTheme="minorEastAsia" w:eastAsiaTheme="minorEastAsia" w:hAnsiTheme="minorEastAsia"/>
              </w:rPr>
            </w:pPr>
            <w:r>
              <w:rPr>
                <w:rFonts w:asciiTheme="minorEastAsia" w:eastAsiaTheme="minorEastAsia" w:hAnsiTheme="minorEastAsia" w:hint="eastAsia"/>
              </w:rPr>
              <w:t>否</w:t>
            </w:r>
          </w:p>
        </w:tc>
        <w:tc>
          <w:tcPr>
            <w:tcW w:w="696" w:type="pct"/>
            <w:vAlign w:val="center"/>
          </w:tcPr>
          <w:p>
            <w:pPr>
              <w:jc w:val="center"/>
              <w:rPr>
                <w:rFonts w:asciiTheme="minorEastAsia" w:eastAsiaTheme="minorEastAsia" w:hAnsiTheme="minorEastAsia"/>
              </w:rPr>
            </w:pPr>
            <w:r>
              <w:rPr>
                <w:rFonts w:asciiTheme="minorEastAsia" w:eastAsiaTheme="minorEastAsia" w:hAnsiTheme="minorEastAsia" w:hint="eastAsia"/>
              </w:rPr>
              <w:t>1</w:t>
            </w:r>
          </w:p>
        </w:tc>
      </w:tr>
    </w:tbl>
    <w:p>
      <w:pPr>
        <w:pStyle w:val="afffffffffffff8"/>
      </w:pPr>
    </w:p>
    <w:p>
      <w:pPr>
        <w:pStyle w:val="afffffffffffff8"/>
      </w:pPr>
      <w:r>
        <w:rPr>
          <w:rFonts w:hint="eastAsia"/>
        </w:rPr>
        <w:t>注：刘健董事、胡家栋董事、彭苏萍董事、朱睿董事因工作原因，未能亲自出席公司2023年度股东周年大会,已向董事会提交了书面请假材料。彭苏萍董事、朱睿董事因工作原因，未能亲自出席公司2024年度第一次临时股东大会,已向董事会提交了书面请假材料。</w:t>
      </w:r>
    </w:p>
    <w:p>
      <w:pPr>
        <w:rPr>
          <w:szCs w:val="21"/>
        </w:rPr>
      </w:pPr>
    </w:p>
    <w:p>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69278830"/>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tbl>
      <w:tblPr>
        <w:tblStyle w:val="g12"/>
        <w:tblW w:w="0" w:type="auto"/>
        <w:tblInd w:w="0" w:type="dxa"/>
        <w:tblCellMar>
          <w:left w:w="108" w:type="dxa"/>
          <w:right w:w="108" w:type="dxa"/>
        </w:tblCellMar>
        <w:tblLook w:val="04A0" w:firstRow="1" w:lastRow="0" w:firstColumn="1" w:lastColumn="0" w:noHBand="0" w:noVBand="1"/>
      </w:tblPr>
      <w:tblGrid>
        <w:gridCol w:w="4415"/>
        <w:gridCol w:w="4408"/>
      </w:tblGrid>
      <w:tr>
        <w:sdt>
          <w:sdtPr>
            <w:tag w:val="_PLD_0fc68bf164f04edda97a907df4cc747d"/>
            <w:id w:val="-1304685477"/>
          </w:sdtPr>
          <w:sdtContent>
            <w:tc>
              <w:tcPr>
                <w:tcW w:w="4524" w:type="dxa"/>
              </w:tcPr>
              <w:p>
                <w:pPr>
                  <w:rPr>
                    <w:szCs w:val="21"/>
                  </w:rPr>
                </w:pPr>
                <w:r>
                  <w:rPr>
                    <w:szCs w:val="21"/>
                  </w:rPr>
                  <w:t>年内召开董事会会议次数</w:t>
                </w:r>
              </w:p>
            </w:tc>
          </w:sdtContent>
        </w:sdt>
        <w:sdt>
          <w:sdtPr>
            <w:rPr>
              <w:rFonts w:ascii="Times New Roman" w:hAnsi="Times New Roman" w:hint="eastAsia"/>
              <w:szCs w:val="21"/>
            </w:rPr>
            <w:alias w:val="报告期内召开董事会会议次数"/>
            <w:tag w:val="_GBC_cabd294ab90e40d0afb59e61df002667"/>
            <w:id w:val="862174775"/>
          </w:sdtPr>
          <w:sdtContent>
            <w:tc>
              <w:tcPr>
                <w:tcW w:w="4525" w:type="dxa"/>
              </w:tcPr>
              <w:p>
                <w:pPr>
                  <w:rPr>
                    <w:szCs w:val="21"/>
                  </w:rPr>
                </w:pPr>
                <w:r>
                  <w:rPr>
                    <w:rFonts w:hint="eastAsia"/>
                    <w:szCs w:val="21"/>
                  </w:rPr>
                  <w:t>9</w:t>
                </w:r>
              </w:p>
            </w:tc>
          </w:sdtContent>
        </w:sdt>
      </w:tr>
      <w:tr>
        <w:tc>
          <w:tcPr>
            <w:tcW w:w="4524" w:type="dxa"/>
          </w:tcPr>
          <w:p>
            <w:pPr>
              <w:rPr>
                <w:szCs w:val="21"/>
              </w:rPr>
            </w:pPr>
            <w:r>
              <w:rPr>
                <w:szCs w:val="21"/>
              </w:rPr>
              <w:t>其中：现场会议次数</w:t>
            </w:r>
          </w:p>
        </w:tc>
        <w:tc>
          <w:tcPr>
            <w:tcW w:w="4525" w:type="dxa"/>
          </w:tcPr>
          <w:p>
            <w:pPr>
              <w:rPr>
                <w:szCs w:val="21"/>
              </w:rPr>
            </w:pPr>
            <w:r>
              <w:rPr>
                <w:rFonts w:hint="eastAsia"/>
                <w:szCs w:val="21"/>
              </w:rPr>
              <w:t>2</w:t>
            </w:r>
          </w:p>
        </w:tc>
      </w:tr>
      <w:tr>
        <w:tc>
          <w:tcPr>
            <w:tcW w:w="4524" w:type="dxa"/>
          </w:tcPr>
          <w:p>
            <w:pPr>
              <w:rPr>
                <w:szCs w:val="21"/>
              </w:rPr>
            </w:pPr>
            <w:r>
              <w:rPr>
                <w:szCs w:val="21"/>
              </w:rPr>
              <w:t>通讯方式召开会议次数</w:t>
            </w:r>
          </w:p>
        </w:tc>
        <w:tc>
          <w:tcPr>
            <w:tcW w:w="4525" w:type="dxa"/>
          </w:tcPr>
          <w:p>
            <w:pPr>
              <w:rPr>
                <w:szCs w:val="21"/>
              </w:rPr>
            </w:pPr>
            <w:r>
              <w:rPr>
                <w:rFonts w:hint="eastAsia"/>
                <w:szCs w:val="21"/>
              </w:rPr>
              <w:t>7</w:t>
            </w:r>
          </w:p>
        </w:tc>
      </w:tr>
      <w:tr>
        <w:tc>
          <w:tcPr>
            <w:tcW w:w="4524" w:type="dxa"/>
          </w:tcPr>
          <w:p>
            <w:pPr>
              <w:rPr>
                <w:szCs w:val="21"/>
              </w:rPr>
            </w:pPr>
            <w:r>
              <w:rPr>
                <w:szCs w:val="21"/>
              </w:rPr>
              <w:t>现场结合通讯方式召开会议次数</w:t>
            </w:r>
          </w:p>
        </w:tc>
        <w:tc>
          <w:tcPr>
            <w:tcW w:w="4525" w:type="dxa"/>
          </w:tcPr>
          <w:p>
            <w:pPr>
              <w:rPr>
                <w:szCs w:val="21"/>
              </w:rPr>
            </w:pPr>
            <w:r>
              <w:rPr>
                <w:rFonts w:hint="eastAsia"/>
                <w:szCs w:val="21"/>
              </w:rPr>
              <w:t>2</w:t>
            </w:r>
          </w:p>
        </w:tc>
      </w:tr>
    </w:tbl>
    <w:p>
      <w:pPr>
        <w:pStyle w:val="affffffff"/>
      </w:pPr>
    </w:p>
    <w:p>
      <w:pPr>
        <w:pStyle w:val="afffffff1"/>
        <w:numPr>
          <w:ilvl w:val="0"/>
          <w:numId w:val="37"/>
        </w:numPr>
      </w:pPr>
      <w:r>
        <w:rPr>
          <w:szCs w:val="21"/>
        </w:rPr>
        <w:t>董事对公司有关事项提出异议的情况</w:t>
      </w:r>
    </w:p>
    <w:sdt>
      <w:sdtPr>
        <w:alias w:val="是否适用：独立董事对公司有关事项提出异议的情况[双击切换]"/>
        <w:tag w:val="_GBC_1369df39a53747ff843be7f892cb0cbd"/>
        <w:id w:val="-1203622185"/>
        <w:placeholder>
          <w:docPart w:val="GBC22222222222222222222222222222"/>
        </w:placeholder>
      </w:sdtPr>
      <w:sdtContent>
        <w:p>
          <w:pPr>
            <w:rPr>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szCs w:val="21"/>
        </w:rPr>
      </w:pPr>
    </w:p>
    <w:p>
      <w:pPr>
        <w:pStyle w:val="afffffff1"/>
        <w:numPr>
          <w:ilvl w:val="0"/>
          <w:numId w:val="37"/>
        </w:numPr>
      </w:pPr>
      <w:r>
        <w:rPr>
          <w:szCs w:val="21"/>
        </w:rPr>
        <w:t>其他</w:t>
      </w:r>
    </w:p>
    <w:sdt>
      <w:sdtPr>
        <w:rPr>
          <w:rFonts w:hint="eastAsia"/>
          <w:szCs w:val="21"/>
        </w:rPr>
        <w:alias w:val="是否适用：其他董事履行职责情况说明[双击切换]"/>
        <w:tag w:val="_GBC_ba1a70dda14046559f72c5b524ca1125"/>
        <w:id w:val="977258354"/>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
        <w:numPr>
          <w:ilvl w:val="0"/>
          <w:numId w:val="34"/>
        </w:numPr>
      </w:pPr>
      <w:r>
        <w:rPr>
          <w:rFonts w:hint="eastAsia"/>
        </w:rPr>
        <w:t>董事会下设专门委员会情况</w:t>
      </w:r>
    </w:p>
    <w:sdt>
      <w:sdtPr>
        <w:rPr>
          <w:rFonts w:hint="eastAsia"/>
          <w:szCs w:val="21"/>
        </w:rPr>
        <w:alias w:val="是否适用：董事会下设专门委员会情况[双击切换]"/>
        <w:tag w:val="_GBC_88389a2d52e44644a2332ba32500fe69"/>
        <w:id w:val="-637339361"/>
        <w:lock w:val="contentLocked"/>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firstLineChars="200" w:firstLine="420"/>
        <w:jc w:val="both"/>
        <w:rPr>
          <w:szCs w:val="21"/>
        </w:rPr>
      </w:pPr>
      <w:r>
        <w:rPr>
          <w:rFonts w:hint="eastAsia"/>
          <w:szCs w:val="21"/>
        </w:rPr>
        <w:t>公司未设立专门的企业管治委员会，企业管治职能由董事会负责，主要包括：（1）制定及检讨公司的企业管治政策及常规；（2）检讨及监察董事及高级管理人员的培训及持续专业发展；（3）检讨及监察公司在遵守法律及监管规定方面的政策及常规；（4）制定、检讨及监察雇员及董事的操守准则及合规手册；及（5）检讨公司遵守证券上市地《企业管治守则》的情况及在《企业管治报告》内的披露。</w:t>
      </w:r>
    </w:p>
    <w:p>
      <w:pPr>
        <w:pStyle w:val="afffffff1"/>
        <w:numPr>
          <w:ilvl w:val="0"/>
          <w:numId w:val="38"/>
        </w:numPr>
      </w:pPr>
      <w:r>
        <w:rPr>
          <w:rFonts w:hint="eastAsia"/>
        </w:rPr>
        <w:lastRenderedPageBreak/>
        <w:t>董事会下设专门委员会成员情况</w:t>
      </w:r>
    </w:p>
    <w:tbl>
      <w:tblPr>
        <w:tblStyle w:val="g5"/>
        <w:tblW w:w="9052" w:type="dxa"/>
        <w:jc w:val="center"/>
        <w:tblInd w:w="0" w:type="dxa"/>
        <w:tblLook w:val="04A0" w:firstRow="1" w:lastRow="0" w:firstColumn="1" w:lastColumn="0" w:noHBand="0" w:noVBand="1"/>
      </w:tblPr>
      <w:tblGrid>
        <w:gridCol w:w="2586"/>
        <w:gridCol w:w="6466"/>
      </w:tblGrid>
      <w:tr>
        <w:trPr>
          <w:trHeight w:val="270"/>
          <w:jc w:val="center"/>
        </w:trPr>
        <w:sdt>
          <w:sdtPr>
            <w:rPr>
              <w:rFonts w:hint="eastAsia"/>
              <w:color w:val="000000"/>
              <w:szCs w:val="21"/>
            </w:rPr>
            <w:tag w:val="_PLD_d469fc77cfdc44b0b043e0b1ab52e604"/>
            <w:id w:val="2092268284"/>
          </w:sdtPr>
          <w:sdtContent>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专门委员会类别</w:t>
                </w:r>
              </w:p>
            </w:tc>
          </w:sdtContent>
        </w:sdt>
        <w:sdt>
          <w:sdtPr>
            <w:rPr>
              <w:rFonts w:hint="eastAsia"/>
              <w:color w:val="000000"/>
              <w:szCs w:val="21"/>
            </w:rPr>
            <w:tag w:val="_PLD_32d037161ea94d0eb907c4e766b75044"/>
            <w:id w:val="1653327330"/>
          </w:sdtPr>
          <w:sdtContent>
            <w:tc>
              <w:tcPr>
                <w:tcW w:w="6466" w:type="dxa"/>
                <w:tcBorders>
                  <w:top w:val="single" w:sz="4" w:space="0" w:color="auto"/>
                  <w:left w:val="nil"/>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成员姓名</w:t>
                </w:r>
              </w:p>
            </w:tc>
          </w:sdtContent>
        </w:sdt>
      </w:tr>
      <w:tr>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asciiTheme="minorEastAsia" w:eastAsiaTheme="minorEastAsia" w:hAnsiTheme="minorEastAsia" w:hint="eastAsia"/>
                <w:color w:val="000000"/>
                <w:szCs w:val="21"/>
              </w:rPr>
              <w:t>审计委员会</w:t>
            </w:r>
          </w:p>
        </w:tc>
        <w:tc>
          <w:tcPr>
            <w:tcW w:w="6466" w:type="dxa"/>
            <w:tcBorders>
              <w:top w:val="nil"/>
              <w:left w:val="nil"/>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szCs w:val="21"/>
              </w:rPr>
              <w:t>胡家栋、朱利民、朱睿</w:t>
            </w:r>
          </w:p>
        </w:tc>
      </w:tr>
      <w:tr>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asciiTheme="minorEastAsia" w:eastAsiaTheme="minorEastAsia" w:hAnsiTheme="minorEastAsia" w:hint="eastAsia"/>
                <w:color w:val="000000"/>
                <w:szCs w:val="21"/>
              </w:rPr>
              <w:t>提名委员会</w:t>
            </w:r>
          </w:p>
        </w:tc>
        <w:tc>
          <w:tcPr>
            <w:tcW w:w="6466" w:type="dxa"/>
            <w:tcBorders>
              <w:top w:val="nil"/>
              <w:left w:val="nil"/>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szCs w:val="21"/>
              </w:rPr>
              <w:t>彭苏萍、李伟、胡家栋</w:t>
            </w:r>
          </w:p>
        </w:tc>
      </w:tr>
      <w:tr>
        <w:trPr>
          <w:trHeight w:val="270"/>
          <w:jc w:val="center"/>
        </w:trPr>
        <w:tc>
          <w:tcPr>
            <w:tcW w:w="2586" w:type="dxa"/>
            <w:tcBorders>
              <w:top w:val="nil"/>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asciiTheme="minorEastAsia" w:eastAsiaTheme="minorEastAsia" w:hAnsiTheme="minorEastAsia" w:hint="eastAsia"/>
                <w:color w:val="000000"/>
                <w:szCs w:val="21"/>
              </w:rPr>
              <w:t>薪酬委员会</w:t>
            </w:r>
          </w:p>
        </w:tc>
        <w:tc>
          <w:tcPr>
            <w:tcW w:w="6466" w:type="dxa"/>
            <w:tcBorders>
              <w:top w:val="nil"/>
              <w:left w:val="nil"/>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szCs w:val="21"/>
              </w:rPr>
              <w:t>朱利民、胡家栋、朱睿</w:t>
            </w:r>
          </w:p>
        </w:tc>
      </w:tr>
      <w:tr>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asciiTheme="minorEastAsia" w:eastAsiaTheme="minorEastAsia" w:hAnsiTheme="minorEastAsia" w:hint="eastAsia"/>
                <w:color w:val="000000"/>
                <w:szCs w:val="21"/>
              </w:rPr>
              <w:t>战略与发展委员会</w:t>
            </w:r>
          </w:p>
        </w:tc>
        <w:tc>
          <w:tcPr>
            <w:tcW w:w="6466" w:type="dxa"/>
            <w:tcBorders>
              <w:top w:val="single" w:sz="4" w:space="0" w:color="auto"/>
              <w:left w:val="nil"/>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szCs w:val="21"/>
              </w:rPr>
              <w:t>李伟、肖耀猛（离任）、刘健、彭苏萍、朱利民</w:t>
            </w:r>
          </w:p>
        </w:tc>
      </w:tr>
      <w:tr>
        <w:trPr>
          <w:trHeight w:val="270"/>
          <w:jc w:val="center"/>
        </w:trPr>
        <w:tc>
          <w:tcPr>
            <w:tcW w:w="25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color w:val="000000"/>
                <w:szCs w:val="21"/>
              </w:rPr>
              <w:t>可持续发展委员会</w:t>
            </w:r>
          </w:p>
        </w:tc>
        <w:tc>
          <w:tcPr>
            <w:tcW w:w="6466" w:type="dxa"/>
            <w:tcBorders>
              <w:top w:val="single" w:sz="4" w:space="0" w:color="auto"/>
              <w:left w:val="nil"/>
              <w:bottom w:val="single" w:sz="4" w:space="0" w:color="auto"/>
              <w:right w:val="single" w:sz="4" w:space="0" w:color="auto"/>
            </w:tcBorders>
            <w:shd w:val="clear" w:color="auto" w:fill="auto"/>
            <w:noWrap/>
            <w:vAlign w:val="center"/>
          </w:tcPr>
          <w:p>
            <w:pPr>
              <w:jc w:val="center"/>
              <w:rPr>
                <w:szCs w:val="21"/>
              </w:rPr>
            </w:pPr>
            <w:r>
              <w:rPr>
                <w:rFonts w:asciiTheme="minorEastAsia" w:eastAsiaTheme="minorEastAsia" w:hAnsiTheme="minorEastAsia" w:hint="eastAsia"/>
                <w:szCs w:val="21"/>
              </w:rPr>
              <w:t>朱睿、肖耀猛（离任）、朱利民</w:t>
            </w:r>
          </w:p>
        </w:tc>
      </w:tr>
    </w:tbl>
    <w:p>
      <w:pPr>
        <w:rPr>
          <w:szCs w:val="21"/>
        </w:rPr>
      </w:pPr>
    </w:p>
    <w:p>
      <w:pPr>
        <w:pStyle w:val="afffffff1"/>
        <w:numPr>
          <w:ilvl w:val="0"/>
          <w:numId w:val="38"/>
        </w:numPr>
      </w:pPr>
      <w:r>
        <w:rPr>
          <w:rFonts w:hint="eastAsia"/>
        </w:rPr>
        <w:t>报告期内</w:t>
      </w:r>
      <w:sdt>
        <w:sdtPr>
          <w:rPr>
            <w:rFonts w:ascii="宋体" w:hAnsi="宋体" w:cs="宋体" w:hint="eastAsia"/>
            <w:kern w:val="0"/>
            <w:szCs w:val="24"/>
          </w:rPr>
          <w:alias w:val="召开会议的专门委员会类别"/>
          <w:tag w:val="_GBC_adf76ecbe3584f07b573642215a867bd"/>
          <w:id w:val="-931509710"/>
        </w:sdtPr>
        <w:sdtContent>
          <w:r>
            <w:rPr>
              <w:rFonts w:hint="eastAsia"/>
            </w:rPr>
            <w:t>董事会审计</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1369448134"/>
        </w:sdtPr>
        <w:sdtContent>
          <w:r>
            <w:rPr>
              <w:rFonts w:hint="eastAsia"/>
            </w:rPr>
            <w:t>7</w:t>
          </w:r>
        </w:sdtContent>
      </w:sdt>
      <w:r>
        <w:rPr>
          <w:rFonts w:hint="eastAsia"/>
        </w:rPr>
        <w:t>次会议</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公司董事会审计委员会委员为独立董事胡家栋、朱利民各位先生及朱睿女士。胡家栋先生担任审计委员会主任。</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董事会审计委员会主要职责为：</w:t>
      </w:r>
      <w:r>
        <w:rPr>
          <w:rFonts w:asciiTheme="minorEastAsia" w:eastAsiaTheme="minorEastAsia" w:hAnsiTheme="minorEastAsia"/>
        </w:rPr>
        <w:t>a.审核外部审计机构的工作，提议聘任、续聘或解聘外部审计机构；b.监督公司的内部审计制度及其实施；c.负责内部审计与外部审计之间的沟通；d.</w:t>
      </w:r>
      <w:r>
        <w:rPr>
          <w:rFonts w:asciiTheme="minorEastAsia" w:eastAsiaTheme="minorEastAsia" w:hAnsiTheme="minorEastAsia" w:hint="eastAsia"/>
        </w:rPr>
        <w:t>审核公司财务信息及披露</w:t>
      </w:r>
      <w:r>
        <w:rPr>
          <w:rFonts w:asciiTheme="minorEastAsia" w:eastAsiaTheme="minorEastAsia" w:hAnsiTheme="minorEastAsia"/>
        </w:rPr>
        <w:t>；e.审查公司的内部监控制度及风险管理系统</w:t>
      </w:r>
      <w:r>
        <w:rPr>
          <w:rFonts w:asciiTheme="minorEastAsia" w:eastAsiaTheme="minorEastAsia" w:hAnsiTheme="minorEastAsia" w:hint="eastAsia"/>
        </w:rPr>
        <w:t>；f</w:t>
      </w:r>
      <w:r>
        <w:rPr>
          <w:rFonts w:asciiTheme="minorEastAsia" w:eastAsiaTheme="minorEastAsia" w:hAnsiTheme="minorEastAsia"/>
        </w:rPr>
        <w:t>.</w:t>
      </w:r>
      <w:r>
        <w:rPr>
          <w:rFonts w:asciiTheme="minorEastAsia" w:eastAsiaTheme="minorEastAsia" w:hAnsiTheme="minorEastAsia" w:hint="eastAsia"/>
        </w:rPr>
        <w:t>研究讨论聘任或者解聘财务负责人。</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截至本报告披露日，董事会审计委员会认真履行《董事会审计委员会工作细则》规定的工作职责，严格、规范开展各项工作。审计委员会已经审阅了本公司</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年中期业绩、202</w:t>
      </w:r>
      <w:r>
        <w:rPr>
          <w:rFonts w:asciiTheme="minorEastAsia" w:eastAsiaTheme="minorEastAsia" w:hAnsiTheme="minorEastAsia" w:hint="eastAsia"/>
        </w:rPr>
        <w:t>4</w:t>
      </w:r>
      <w:r>
        <w:rPr>
          <w:rFonts w:asciiTheme="minorEastAsia" w:eastAsiaTheme="minorEastAsia" w:hAnsiTheme="minorEastAsia"/>
        </w:rPr>
        <w:t>年年度业绩，并对本集团202</w:t>
      </w:r>
      <w:r>
        <w:rPr>
          <w:rFonts w:asciiTheme="minorEastAsia" w:eastAsiaTheme="minorEastAsia" w:hAnsiTheme="minorEastAsia" w:hint="eastAsia"/>
        </w:rPr>
        <w:t>4</w:t>
      </w:r>
      <w:r>
        <w:rPr>
          <w:rFonts w:asciiTheme="minorEastAsia" w:eastAsiaTheme="minorEastAsia" w:hAnsiTheme="minorEastAsia"/>
        </w:rPr>
        <w:t>年度风险管理及内部监控系统的成效进行了检讨，有关检讨涵盖了财务监控、运作监控、合规监控等所有重要的监控方面，认为本集团的风险管理及内部监控系统</w:t>
      </w:r>
      <w:r>
        <w:rPr>
          <w:rFonts w:asciiTheme="minorEastAsia" w:eastAsiaTheme="minorEastAsia" w:hAnsiTheme="minorEastAsia" w:hint="eastAsia"/>
        </w:rPr>
        <w:t>充分有效</w:t>
      </w:r>
      <w:r>
        <w:rPr>
          <w:rFonts w:asciiTheme="minorEastAsia" w:eastAsiaTheme="minorEastAsia" w:hAnsiTheme="minorEastAsia"/>
        </w:rPr>
        <w:t>。报告期内审计委员会召开7次会议，具体情况如下：</w:t>
      </w:r>
    </w:p>
    <w:p>
      <w:pPr>
        <w:pStyle w:val="affffffd"/>
      </w:pPr>
    </w:p>
    <w:tbl>
      <w:tblPr>
        <w:tblStyle w:val="g5"/>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2004"/>
        <w:gridCol w:w="2296"/>
        <w:gridCol w:w="965"/>
        <w:gridCol w:w="1316"/>
        <w:gridCol w:w="1201"/>
      </w:tblGrid>
      <w:tr>
        <w:sdt>
          <w:sdtPr>
            <w:rPr>
              <w:rFonts w:hint="eastAsia"/>
              <w:szCs w:val="21"/>
            </w:rPr>
            <w:tag w:val="_PLD_81aefc289fbf48b1865138608d8bd14f"/>
            <w:id w:val="-374922015"/>
          </w:sdtPr>
          <w:sdtContent>
            <w:tc>
              <w:tcPr>
                <w:tcW w:w="587" w:type="pct"/>
                <w:shd w:val="clear" w:color="auto" w:fill="auto"/>
                <w:vAlign w:val="center"/>
              </w:tcPr>
              <w:p>
                <w:pPr>
                  <w:widowControl w:val="0"/>
                  <w:jc w:val="center"/>
                  <w:rPr>
                    <w:szCs w:val="21"/>
                  </w:rPr>
                </w:pPr>
                <w:r>
                  <w:rPr>
                    <w:rFonts w:hint="eastAsia"/>
                    <w:szCs w:val="21"/>
                  </w:rPr>
                  <w:t>召开日期</w:t>
                </w:r>
              </w:p>
            </w:tc>
          </w:sdtContent>
        </w:sdt>
        <w:sdt>
          <w:sdtPr>
            <w:rPr>
              <w:rFonts w:hint="eastAsia"/>
              <w:szCs w:val="21"/>
            </w:rPr>
            <w:tag w:val="_PLD_9d24b601ec70414eb969daf6b393edc8"/>
            <w:id w:val="467019873"/>
          </w:sdtPr>
          <w:sdtContent>
            <w:tc>
              <w:tcPr>
                <w:tcW w:w="1136" w:type="pct"/>
                <w:shd w:val="clear" w:color="auto" w:fill="auto"/>
                <w:vAlign w:val="center"/>
              </w:tcPr>
              <w:p>
                <w:pPr>
                  <w:widowControl w:val="0"/>
                  <w:jc w:val="center"/>
                  <w:rPr>
                    <w:szCs w:val="21"/>
                  </w:rPr>
                </w:pPr>
                <w:r>
                  <w:rPr>
                    <w:rFonts w:hint="eastAsia"/>
                    <w:szCs w:val="21"/>
                  </w:rPr>
                  <w:t>会议内容</w:t>
                </w:r>
              </w:p>
            </w:tc>
          </w:sdtContent>
        </w:sdt>
        <w:sdt>
          <w:sdtPr>
            <w:rPr>
              <w:rFonts w:hint="eastAsia"/>
              <w:szCs w:val="21"/>
            </w:rPr>
            <w:tag w:val="_PLD_6ea19dadc3684e98a6d98faaf035a9d9"/>
            <w:id w:val="1800493484"/>
          </w:sdtPr>
          <w:sdtContent>
            <w:tc>
              <w:tcPr>
                <w:tcW w:w="1302" w:type="pct"/>
                <w:shd w:val="clear" w:color="auto" w:fill="auto"/>
                <w:vAlign w:val="center"/>
              </w:tcPr>
              <w:p>
                <w:pPr>
                  <w:widowControl w:val="0"/>
                  <w:jc w:val="center"/>
                  <w:rPr>
                    <w:szCs w:val="21"/>
                  </w:rPr>
                </w:pPr>
                <w:r>
                  <w:rPr>
                    <w:rFonts w:hint="eastAsia"/>
                    <w:szCs w:val="21"/>
                  </w:rPr>
                  <w:t>重要意见和建议</w:t>
                </w:r>
              </w:p>
            </w:tc>
          </w:sdtContent>
        </w:sdt>
        <w:tc>
          <w:tcPr>
            <w:tcW w:w="547" w:type="pct"/>
            <w:shd w:val="clear" w:color="auto" w:fill="auto"/>
            <w:vAlign w:val="center"/>
          </w:tcPr>
          <w:p>
            <w:pPr>
              <w:widowControl w:val="0"/>
              <w:jc w:val="center"/>
              <w:rPr>
                <w:szCs w:val="21"/>
              </w:rPr>
            </w:pPr>
            <w:r>
              <w:rPr>
                <w:rFonts w:hint="eastAsia"/>
                <w:szCs w:val="21"/>
              </w:rPr>
              <w:t>委员</w:t>
            </w:r>
          </w:p>
        </w:tc>
        <w:tc>
          <w:tcPr>
            <w:tcW w:w="746" w:type="pct"/>
            <w:shd w:val="clear" w:color="auto" w:fill="auto"/>
            <w:vAlign w:val="center"/>
          </w:tcPr>
          <w:p>
            <w:pPr>
              <w:widowControl w:val="0"/>
              <w:jc w:val="center"/>
              <w:rPr>
                <w:szCs w:val="21"/>
              </w:rPr>
            </w:pPr>
            <w:r>
              <w:rPr>
                <w:rFonts w:hint="eastAsia"/>
                <w:szCs w:val="21"/>
              </w:rPr>
              <w:t>出席会议</w:t>
            </w:r>
          </w:p>
        </w:tc>
        <w:sdt>
          <w:sdtPr>
            <w:rPr>
              <w:rFonts w:hint="eastAsia"/>
              <w:szCs w:val="21"/>
            </w:rPr>
            <w:tag w:val="_PLD_ef03d3ffb00740008011022cb6a96805"/>
            <w:id w:val="1894998871"/>
          </w:sdtPr>
          <w:sdtContent>
            <w:tc>
              <w:tcPr>
                <w:tcW w:w="681" w:type="pct"/>
                <w:shd w:val="clear" w:color="auto" w:fill="auto"/>
                <w:vAlign w:val="center"/>
              </w:tcPr>
              <w:p>
                <w:pPr>
                  <w:widowControl w:val="0"/>
                  <w:jc w:val="center"/>
                  <w:rPr>
                    <w:szCs w:val="21"/>
                  </w:rPr>
                </w:pPr>
                <w:r>
                  <w:rPr>
                    <w:rFonts w:hint="eastAsia"/>
                    <w:szCs w:val="21"/>
                  </w:rPr>
                  <w:t>其他履行职责情况</w:t>
                </w:r>
              </w:p>
            </w:tc>
          </w:sdtContent>
        </w:sdt>
      </w:tr>
      <w:tr>
        <w:tc>
          <w:tcPr>
            <w:tcW w:w="587" w:type="pct"/>
            <w:shd w:val="clear" w:color="auto" w:fill="auto"/>
            <w:vAlign w:val="center"/>
          </w:tcPr>
          <w:p>
            <w:pPr>
              <w:widowControl w:val="0"/>
              <w:jc w:val="center"/>
              <w:rPr>
                <w:szCs w:val="21"/>
              </w:rPr>
            </w:pPr>
            <w:r>
              <w:rPr>
                <w:rFonts w:hint="eastAsia"/>
                <w:szCs w:val="21"/>
              </w:rPr>
              <w:t>2024年1月31日</w:t>
            </w:r>
          </w:p>
        </w:tc>
        <w:tc>
          <w:tcPr>
            <w:tcW w:w="1136" w:type="pct"/>
            <w:shd w:val="clear" w:color="auto" w:fill="auto"/>
            <w:vAlign w:val="center"/>
          </w:tcPr>
          <w:p>
            <w:pPr>
              <w:jc w:val="both"/>
              <w:rPr>
                <w:szCs w:val="21"/>
              </w:rPr>
            </w:pPr>
            <w:r>
              <w:rPr>
                <w:rFonts w:asciiTheme="minorEastAsia" w:hAnsiTheme="minorEastAsia" w:cstheme="minorEastAsia" w:hint="eastAsia"/>
                <w:szCs w:val="21"/>
              </w:rPr>
              <w:t>听取年审会计师关于公司2023年年报预审事项的汇报。</w:t>
            </w:r>
          </w:p>
        </w:tc>
        <w:tc>
          <w:tcPr>
            <w:tcW w:w="1302" w:type="pct"/>
            <w:shd w:val="clear" w:color="auto" w:fill="auto"/>
            <w:vAlign w:val="center"/>
          </w:tcPr>
          <w:p>
            <w:pPr>
              <w:jc w:val="both"/>
              <w:rPr>
                <w:szCs w:val="21"/>
              </w:rPr>
            </w:pPr>
            <w:r>
              <w:rPr>
                <w:rFonts w:asciiTheme="minorEastAsia" w:eastAsiaTheme="minorEastAsia" w:hAnsiTheme="minorEastAsia"/>
              </w:rPr>
              <w:t>督促年审会计师按时间计划出具审计报告，确保公司202</w:t>
            </w:r>
            <w:r>
              <w:rPr>
                <w:rFonts w:asciiTheme="minorEastAsia" w:eastAsiaTheme="minorEastAsia" w:hAnsiTheme="minorEastAsia" w:hint="eastAsia"/>
              </w:rPr>
              <w:t>3</w:t>
            </w:r>
            <w:r>
              <w:rPr>
                <w:rFonts w:asciiTheme="minorEastAsia" w:eastAsiaTheme="minorEastAsia" w:hAnsiTheme="minorEastAsia"/>
              </w:rPr>
              <w:t>年年报的及时、准确与完整。</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hint="eastAsia"/>
                <w:szCs w:val="21"/>
              </w:rPr>
              <w:t>2024年1月31日</w:t>
            </w:r>
          </w:p>
        </w:tc>
        <w:tc>
          <w:tcPr>
            <w:tcW w:w="1136" w:type="pct"/>
            <w:shd w:val="clear" w:color="auto" w:fill="auto"/>
            <w:vAlign w:val="center"/>
          </w:tcPr>
          <w:p>
            <w:pPr>
              <w:jc w:val="both"/>
              <w:rPr>
                <w:szCs w:val="21"/>
              </w:rPr>
            </w:pPr>
            <w:r>
              <w:rPr>
                <w:rFonts w:asciiTheme="minorEastAsia" w:eastAsiaTheme="minorEastAsia" w:hAnsiTheme="minorEastAsia" w:cstheme="minorEastAsia" w:hint="eastAsia"/>
                <w:szCs w:val="21"/>
              </w:rPr>
              <w:t>关于调整2023年度外部审计机构酬金安排的议案。</w:t>
            </w:r>
          </w:p>
        </w:tc>
        <w:tc>
          <w:tcPr>
            <w:tcW w:w="1302" w:type="pct"/>
            <w:shd w:val="clear" w:color="auto" w:fill="auto"/>
            <w:vAlign w:val="center"/>
          </w:tcPr>
          <w:p>
            <w:pPr>
              <w:jc w:val="both"/>
              <w:rPr>
                <w:szCs w:val="21"/>
              </w:rPr>
            </w:pPr>
            <w:r>
              <w:rPr>
                <w:rFonts w:asciiTheme="minorEastAsia" w:eastAsiaTheme="minorEastAsia" w:hAnsiTheme="minorEastAsia"/>
              </w:rPr>
              <w:t>审议通过</w:t>
            </w:r>
            <w:r>
              <w:rPr>
                <w:rFonts w:asciiTheme="minorEastAsia" w:eastAsiaTheme="minorEastAsia" w:hAnsiTheme="minorEastAsia" w:hint="eastAsia"/>
              </w:rPr>
              <w:t>《关于调整2023年度外部审计机构酬金安排的议案》并提交董事会讨论审议</w:t>
            </w:r>
            <w:r>
              <w:rPr>
                <w:rFonts w:asciiTheme="minorEastAsia" w:eastAsiaTheme="minorEastAsia" w:hAnsiTheme="minorEastAsia"/>
              </w:rPr>
              <w:t>。</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asciiTheme="minorEastAsia" w:hAnsiTheme="minorEastAsia" w:cstheme="minorEastAsia" w:hint="eastAsia"/>
                <w:szCs w:val="21"/>
              </w:rPr>
              <w:t>2024年3月19日</w:t>
            </w:r>
          </w:p>
        </w:tc>
        <w:tc>
          <w:tcPr>
            <w:tcW w:w="1136" w:type="pct"/>
            <w:shd w:val="clear" w:color="auto" w:fill="auto"/>
            <w:vAlign w:val="center"/>
          </w:tcPr>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1.听取年审会计师关于公司2023年年报审计事项的汇报；</w:t>
            </w:r>
          </w:p>
          <w:p>
            <w:pPr>
              <w:jc w:val="both"/>
              <w:rPr>
                <w:szCs w:val="21"/>
              </w:rPr>
            </w:pPr>
            <w:r>
              <w:rPr>
                <w:rFonts w:asciiTheme="minorEastAsia" w:eastAsiaTheme="minorEastAsia" w:hAnsiTheme="minorEastAsia" w:cstheme="minorEastAsia" w:hint="eastAsia"/>
                <w:szCs w:val="21"/>
              </w:rPr>
              <w:t>2.审议公司《2023年年度财务报告》。</w:t>
            </w:r>
          </w:p>
        </w:tc>
        <w:tc>
          <w:tcPr>
            <w:tcW w:w="1302" w:type="pct"/>
            <w:shd w:val="clear" w:color="auto" w:fill="auto"/>
            <w:vAlign w:val="center"/>
          </w:tcPr>
          <w:p>
            <w:pPr>
              <w:jc w:val="both"/>
              <w:rPr>
                <w:rFonts w:eastAsiaTheme="minorEastAsia"/>
                <w:szCs w:val="21"/>
              </w:rPr>
            </w:pPr>
            <w:r>
              <w:rPr>
                <w:rFonts w:asciiTheme="minorEastAsia" w:eastAsiaTheme="minorEastAsia" w:hAnsiTheme="minorEastAsia"/>
              </w:rPr>
              <w:t>审阅公司202</w:t>
            </w:r>
            <w:r>
              <w:rPr>
                <w:rFonts w:asciiTheme="minorEastAsia" w:eastAsiaTheme="minorEastAsia" w:hAnsiTheme="minorEastAsia" w:hint="eastAsia"/>
              </w:rPr>
              <w:t>3</w:t>
            </w:r>
            <w:r>
              <w:rPr>
                <w:rFonts w:asciiTheme="minorEastAsia" w:eastAsiaTheme="minorEastAsia" w:hAnsiTheme="minorEastAsia"/>
              </w:rPr>
              <w:t>年度财务会计报表，认为财务报表能真实、完整的反映公司的资产状况和经营成果，同意提交董事会审核。</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asciiTheme="minorEastAsia" w:hAnsiTheme="minorEastAsia" w:cstheme="minorEastAsia" w:hint="eastAsia"/>
                <w:szCs w:val="21"/>
              </w:rPr>
              <w:t>2024年3月19日</w:t>
            </w:r>
          </w:p>
        </w:tc>
        <w:tc>
          <w:tcPr>
            <w:tcW w:w="1136" w:type="pct"/>
            <w:shd w:val="clear" w:color="auto" w:fill="auto"/>
            <w:vAlign w:val="center"/>
          </w:tcPr>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1.审议《审计委员会2023年度履职情况报告》；</w:t>
            </w:r>
          </w:p>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2.审议《2023年度内控工作报告》；</w:t>
            </w:r>
          </w:p>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3.审议《2023年度内部控制评价报告》；</w:t>
            </w:r>
          </w:p>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4.审议《2023年度会计师事务所履职情况评估报告》；</w:t>
            </w:r>
          </w:p>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lastRenderedPageBreak/>
              <w:t>5.审议《2023年度审计委员会对会计师事务所履行监督职责情况报告》；</w:t>
            </w:r>
          </w:p>
          <w:p>
            <w:pPr>
              <w:jc w:val="both"/>
              <w:rPr>
                <w:szCs w:val="21"/>
              </w:rPr>
            </w:pPr>
            <w:r>
              <w:rPr>
                <w:rFonts w:asciiTheme="minorEastAsia" w:eastAsiaTheme="minorEastAsia" w:hAnsiTheme="minorEastAsia" w:cstheme="minorEastAsia" w:hint="eastAsia"/>
                <w:szCs w:val="21"/>
              </w:rPr>
              <w:t>6.关于聘请2024年度外部审计机构及其酬金安排的议案。</w:t>
            </w:r>
          </w:p>
        </w:tc>
        <w:tc>
          <w:tcPr>
            <w:tcW w:w="1302" w:type="pct"/>
            <w:shd w:val="clear" w:color="auto" w:fill="auto"/>
            <w:vAlign w:val="center"/>
          </w:tcPr>
          <w:p>
            <w:pPr>
              <w:jc w:val="both"/>
              <w:rPr>
                <w:rFonts w:asciiTheme="minorEastAsia" w:eastAsiaTheme="minorEastAsia" w:hAnsiTheme="minorEastAsia"/>
              </w:rPr>
            </w:pPr>
          </w:p>
          <w:p>
            <w:pPr>
              <w:jc w:val="both"/>
              <w:rPr>
                <w:rFonts w:asciiTheme="minorEastAsia" w:eastAsiaTheme="minorEastAsia" w:hAnsiTheme="minorEastAsia"/>
              </w:rPr>
            </w:pPr>
            <w:r>
              <w:rPr>
                <w:rFonts w:asciiTheme="minorEastAsia" w:eastAsiaTheme="minorEastAsia" w:hAnsiTheme="minorEastAsia"/>
              </w:rPr>
              <w:t>审议通过</w:t>
            </w:r>
            <w:r>
              <w:rPr>
                <w:rFonts w:asciiTheme="minorEastAsia" w:eastAsiaTheme="minorEastAsia" w:hAnsiTheme="minorEastAsia" w:hint="eastAsia"/>
              </w:rPr>
              <w:t>《审计委员会2023年度履职情况报告》《2023年度内控工作报告》《2023年度内部控制评价报告》《2023年度会计师事务所履职情况评估报告》《2023年度审计委员会对会计师事务所履行监督职责情况报</w:t>
            </w:r>
            <w:r>
              <w:rPr>
                <w:rFonts w:asciiTheme="minorEastAsia" w:eastAsiaTheme="minorEastAsia" w:hAnsiTheme="minorEastAsia" w:hint="eastAsia"/>
              </w:rPr>
              <w:lastRenderedPageBreak/>
              <w:t>告》《关于聘请2024年度外部审计机构及其酬金安排的议案》</w:t>
            </w:r>
            <w:r>
              <w:rPr>
                <w:rFonts w:asciiTheme="minorEastAsia" w:eastAsiaTheme="minorEastAsia" w:hAnsiTheme="minorEastAsia"/>
              </w:rPr>
              <w:t>。</w:t>
            </w:r>
          </w:p>
          <w:p>
            <w:pPr>
              <w:jc w:val="both"/>
              <w:rPr>
                <w:szCs w:val="21"/>
              </w:rPr>
            </w:pP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lastRenderedPageBreak/>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asciiTheme="minorEastAsia" w:hAnsiTheme="minorEastAsia" w:cstheme="minorEastAsia" w:hint="eastAsia"/>
                <w:szCs w:val="21"/>
              </w:rPr>
              <w:t>2024年4月26日</w:t>
            </w:r>
          </w:p>
        </w:tc>
        <w:tc>
          <w:tcPr>
            <w:tcW w:w="1136" w:type="pct"/>
            <w:shd w:val="clear" w:color="auto" w:fill="auto"/>
            <w:vAlign w:val="center"/>
          </w:tcPr>
          <w:p>
            <w:pPr>
              <w:jc w:val="both"/>
              <w:rPr>
                <w:szCs w:val="21"/>
              </w:rPr>
            </w:pPr>
            <w:r>
              <w:rPr>
                <w:rFonts w:asciiTheme="minorEastAsia" w:eastAsiaTheme="minorEastAsia" w:hAnsiTheme="minorEastAsia" w:cstheme="minorEastAsia" w:hint="eastAsia"/>
                <w:szCs w:val="21"/>
              </w:rPr>
              <w:t>审议公司《2024年第一季度报告》。</w:t>
            </w:r>
          </w:p>
        </w:tc>
        <w:tc>
          <w:tcPr>
            <w:tcW w:w="1302" w:type="pct"/>
            <w:shd w:val="clear" w:color="auto" w:fill="auto"/>
            <w:vAlign w:val="center"/>
          </w:tcPr>
          <w:p>
            <w:pPr>
              <w:jc w:val="both"/>
              <w:rPr>
                <w:szCs w:val="21"/>
              </w:rPr>
            </w:pPr>
            <w:r>
              <w:rPr>
                <w:rFonts w:asciiTheme="minorEastAsia" w:eastAsiaTheme="minorEastAsia" w:hAnsiTheme="minorEastAsia"/>
              </w:rPr>
              <w:t>审议通过</w:t>
            </w:r>
            <w:r>
              <w:rPr>
                <w:rFonts w:asciiTheme="minorEastAsia" w:eastAsiaTheme="minorEastAsia" w:hAnsiTheme="minorEastAsia" w:hint="eastAsia"/>
              </w:rPr>
              <w:t>公司</w:t>
            </w:r>
            <w:r>
              <w:rPr>
                <w:rFonts w:asciiTheme="minorEastAsia" w:eastAsiaTheme="minorEastAsia" w:hAnsiTheme="minorEastAsia"/>
              </w:rPr>
              <w:t>《</w:t>
            </w:r>
            <w:r>
              <w:rPr>
                <w:rFonts w:asciiTheme="minorEastAsia" w:eastAsiaTheme="minorEastAsia" w:hAnsiTheme="minorEastAsia" w:cstheme="minorEastAsia" w:hint="eastAsia"/>
                <w:szCs w:val="21"/>
              </w:rPr>
              <w:t>2024年第一季度报告</w:t>
            </w:r>
            <w:r>
              <w:rPr>
                <w:rFonts w:asciiTheme="minorEastAsia" w:eastAsiaTheme="minorEastAsia" w:hAnsiTheme="minorEastAsia"/>
              </w:rPr>
              <w:t>》</w:t>
            </w:r>
            <w:r>
              <w:rPr>
                <w:rFonts w:asciiTheme="minorEastAsia" w:eastAsiaTheme="minorEastAsia" w:hAnsiTheme="minorEastAsia" w:hint="eastAsia"/>
              </w:rPr>
              <w:t>并提交董事会讨论审议</w:t>
            </w:r>
            <w:r>
              <w:rPr>
                <w:rFonts w:asciiTheme="minorEastAsia" w:eastAsiaTheme="minorEastAsia" w:hAnsiTheme="minorEastAsia"/>
              </w:rPr>
              <w:t>。</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asciiTheme="minorEastAsia" w:hAnsiTheme="minorEastAsia" w:cstheme="minorEastAsia" w:hint="eastAsia"/>
                <w:szCs w:val="21"/>
              </w:rPr>
              <w:t>2024年8月15日</w:t>
            </w:r>
          </w:p>
        </w:tc>
        <w:tc>
          <w:tcPr>
            <w:tcW w:w="1136" w:type="pct"/>
            <w:shd w:val="clear" w:color="auto" w:fill="auto"/>
            <w:vAlign w:val="center"/>
          </w:tcPr>
          <w:p>
            <w:pPr>
              <w:jc w:val="both"/>
              <w:rPr>
                <w:rFonts w:asciiTheme="minorEastAsia" w:hAnsiTheme="minorEastAsia" w:cstheme="minorEastAsia"/>
                <w:szCs w:val="21"/>
              </w:rPr>
            </w:pPr>
            <w:r>
              <w:rPr>
                <w:rFonts w:asciiTheme="minorEastAsia" w:hAnsiTheme="minorEastAsia" w:cstheme="minorEastAsia" w:hint="eastAsia"/>
                <w:szCs w:val="21"/>
              </w:rPr>
              <w:t>1.审议公司《2024年中期财务报告》；</w:t>
            </w:r>
          </w:p>
          <w:p>
            <w:pPr>
              <w:jc w:val="both"/>
              <w:rPr>
                <w:rFonts w:asciiTheme="minorEastAsia" w:hAnsiTheme="minorEastAsia" w:cstheme="minorEastAsia"/>
                <w:szCs w:val="21"/>
              </w:rPr>
            </w:pPr>
            <w:r>
              <w:rPr>
                <w:rFonts w:asciiTheme="minorEastAsia" w:hAnsiTheme="minorEastAsia" w:cstheme="minorEastAsia" w:hint="eastAsia"/>
                <w:szCs w:val="21"/>
              </w:rPr>
              <w:t>2.关于山东能源集团财务有限公司与山东能源集团有限公司综合授信审批及服务提供情况的议案；</w:t>
            </w:r>
          </w:p>
          <w:p>
            <w:pPr>
              <w:jc w:val="both"/>
              <w:rPr>
                <w:szCs w:val="21"/>
              </w:rPr>
            </w:pPr>
            <w:r>
              <w:rPr>
                <w:rFonts w:asciiTheme="minorEastAsia" w:hAnsiTheme="minorEastAsia" w:cstheme="minorEastAsia" w:hint="eastAsia"/>
                <w:szCs w:val="21"/>
              </w:rPr>
              <w:t>3.关于讨论审议山东能源集团财务有限公司2024年上半年风险评估报告的议案。</w:t>
            </w:r>
          </w:p>
        </w:tc>
        <w:tc>
          <w:tcPr>
            <w:tcW w:w="1302" w:type="pct"/>
            <w:shd w:val="clear" w:color="auto" w:fill="auto"/>
            <w:vAlign w:val="center"/>
          </w:tcPr>
          <w:p>
            <w:pPr>
              <w:jc w:val="both"/>
              <w:rPr>
                <w:szCs w:val="21"/>
              </w:rPr>
            </w:pPr>
            <w:r>
              <w:rPr>
                <w:rFonts w:asciiTheme="minorEastAsia" w:eastAsiaTheme="minorEastAsia" w:hAnsiTheme="minorEastAsia" w:hint="eastAsia"/>
              </w:rPr>
              <w:t>审议通过公司</w:t>
            </w:r>
            <w:r>
              <w:rPr>
                <w:rFonts w:asciiTheme="minorEastAsia" w:hAnsiTheme="minorEastAsia" w:cstheme="minorEastAsia" w:hint="eastAsia"/>
                <w:szCs w:val="21"/>
              </w:rPr>
              <w:t>《2024年中期财务报告》《关于山东能源集团财务有限公司与山东能源集团有限公司综合授信审批及服务提供情况的议案》《关于山东能源集团财务有限公司2024年上半年风险评估报告的议案》</w:t>
            </w:r>
            <w:r>
              <w:rPr>
                <w:rFonts w:asciiTheme="minorEastAsia" w:eastAsiaTheme="minorEastAsia" w:hAnsiTheme="minorEastAsia" w:hint="eastAsia"/>
              </w:rPr>
              <w:t>。</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r>
        <w:tc>
          <w:tcPr>
            <w:tcW w:w="587" w:type="pct"/>
            <w:shd w:val="clear" w:color="auto" w:fill="auto"/>
            <w:vAlign w:val="center"/>
          </w:tcPr>
          <w:p>
            <w:pPr>
              <w:widowControl w:val="0"/>
              <w:jc w:val="center"/>
              <w:rPr>
                <w:szCs w:val="21"/>
              </w:rPr>
            </w:pPr>
            <w:r>
              <w:rPr>
                <w:rFonts w:asciiTheme="minorEastAsia" w:hAnsiTheme="minorEastAsia" w:cstheme="minorEastAsia" w:hint="eastAsia"/>
                <w:szCs w:val="21"/>
              </w:rPr>
              <w:t>2024年10月16日</w:t>
            </w:r>
          </w:p>
        </w:tc>
        <w:tc>
          <w:tcPr>
            <w:tcW w:w="1136" w:type="pct"/>
            <w:shd w:val="clear" w:color="auto" w:fill="auto"/>
            <w:vAlign w:val="center"/>
          </w:tcPr>
          <w:p>
            <w:pPr>
              <w:jc w:val="both"/>
              <w:rPr>
                <w:szCs w:val="21"/>
              </w:rPr>
            </w:pPr>
            <w:r>
              <w:rPr>
                <w:rFonts w:asciiTheme="minorEastAsia" w:hAnsiTheme="minorEastAsia" w:cstheme="minorEastAsia" w:hint="eastAsia"/>
                <w:szCs w:val="21"/>
              </w:rPr>
              <w:t>审议公司《2024年第三季度报告》。</w:t>
            </w:r>
          </w:p>
        </w:tc>
        <w:tc>
          <w:tcPr>
            <w:tcW w:w="1302" w:type="pct"/>
            <w:shd w:val="clear" w:color="auto" w:fill="auto"/>
            <w:vAlign w:val="center"/>
          </w:tcPr>
          <w:p>
            <w:pPr>
              <w:jc w:val="both"/>
              <w:rPr>
                <w:szCs w:val="21"/>
              </w:rPr>
            </w:pPr>
            <w:r>
              <w:rPr>
                <w:rFonts w:asciiTheme="minorEastAsia" w:eastAsiaTheme="minorEastAsia" w:hAnsiTheme="minorEastAsia"/>
              </w:rPr>
              <w:t>审议通过</w:t>
            </w:r>
            <w:r>
              <w:rPr>
                <w:rFonts w:asciiTheme="minorEastAsia" w:eastAsiaTheme="minorEastAsia" w:hAnsiTheme="minorEastAsia" w:hint="eastAsia"/>
              </w:rPr>
              <w:t>公司</w:t>
            </w:r>
            <w:r>
              <w:rPr>
                <w:rFonts w:asciiTheme="minorEastAsia" w:eastAsiaTheme="minorEastAsia" w:hAnsiTheme="minorEastAsia"/>
              </w:rPr>
              <w:t>《</w:t>
            </w:r>
            <w:r>
              <w:rPr>
                <w:rFonts w:asciiTheme="minorEastAsia" w:eastAsiaTheme="minorEastAsia" w:hAnsiTheme="minorEastAsia" w:cstheme="minorEastAsia" w:hint="eastAsia"/>
                <w:szCs w:val="21"/>
              </w:rPr>
              <w:t>2024年第三季度报告</w:t>
            </w:r>
            <w:r>
              <w:rPr>
                <w:rFonts w:asciiTheme="minorEastAsia" w:eastAsiaTheme="minorEastAsia" w:hAnsiTheme="minorEastAsia"/>
              </w:rPr>
              <w:t>》</w:t>
            </w:r>
            <w:r>
              <w:rPr>
                <w:rFonts w:asciiTheme="minorEastAsia" w:eastAsiaTheme="minorEastAsia" w:hAnsiTheme="minorEastAsia" w:hint="eastAsia"/>
              </w:rPr>
              <w:t>并提交董事会讨论审议。</w:t>
            </w:r>
          </w:p>
        </w:tc>
        <w:tc>
          <w:tcPr>
            <w:tcW w:w="547" w:type="pct"/>
            <w:shd w:val="clear" w:color="auto" w:fill="auto"/>
            <w:vAlign w:val="center"/>
          </w:tcPr>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胡家栋</w:t>
            </w:r>
          </w:p>
          <w:p>
            <w:pPr>
              <w:widowControl w:val="0"/>
              <w:jc w:val="center"/>
              <w:rPr>
                <w:rFonts w:asciiTheme="minorEastAsia" w:eastAsiaTheme="minorEastAsia" w:hAnsiTheme="minorEastAsia"/>
                <w:sz w:val="22"/>
              </w:rPr>
            </w:pPr>
            <w:r>
              <w:rPr>
                <w:rFonts w:asciiTheme="minorEastAsia" w:eastAsiaTheme="minorEastAsia" w:hAnsiTheme="minorEastAsia" w:hint="eastAsia"/>
                <w:sz w:val="22"/>
              </w:rPr>
              <w:t>朱利民</w:t>
            </w:r>
          </w:p>
          <w:p>
            <w:pPr>
              <w:widowControl w:val="0"/>
              <w:jc w:val="center"/>
              <w:rPr>
                <w:szCs w:val="21"/>
              </w:rPr>
            </w:pPr>
            <w:r>
              <w:rPr>
                <w:rFonts w:asciiTheme="minorEastAsia" w:eastAsiaTheme="minorEastAsia" w:hAnsiTheme="minorEastAsia" w:hint="eastAsia"/>
                <w:sz w:val="22"/>
              </w:rPr>
              <w:t>朱  睿</w:t>
            </w:r>
          </w:p>
        </w:tc>
        <w:tc>
          <w:tcPr>
            <w:tcW w:w="746" w:type="pct"/>
            <w:shd w:val="clear" w:color="auto" w:fill="auto"/>
            <w:vAlign w:val="center"/>
          </w:tcPr>
          <w:p>
            <w:pPr>
              <w:jc w:val="center"/>
              <w:rPr>
                <w:rFonts w:asciiTheme="minorEastAsia" w:eastAsiaTheme="minorEastAsia" w:hAnsiTheme="minorEastAsia"/>
              </w:rPr>
            </w:pP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widowControl w:val="0"/>
              <w:jc w:val="center"/>
              <w:rPr>
                <w:szCs w:val="21"/>
              </w:rPr>
            </w:pPr>
          </w:p>
        </w:tc>
        <w:tc>
          <w:tcPr>
            <w:tcW w:w="681" w:type="pct"/>
            <w:shd w:val="clear" w:color="auto" w:fill="auto"/>
            <w:vAlign w:val="center"/>
          </w:tcPr>
          <w:p>
            <w:pPr>
              <w:widowControl w:val="0"/>
              <w:jc w:val="center"/>
              <w:rPr>
                <w:szCs w:val="21"/>
              </w:rPr>
            </w:pPr>
            <w:r>
              <w:rPr>
                <w:rFonts w:hint="eastAsia"/>
                <w:szCs w:val="21"/>
              </w:rPr>
              <w:t>-</w:t>
            </w:r>
          </w:p>
        </w:tc>
      </w:tr>
    </w:tbl>
    <w:p>
      <w:pPr>
        <w:pStyle w:val="affffffff"/>
        <w:ind w:firstLineChars="200" w:firstLine="420"/>
        <w:jc w:val="both"/>
      </w:pPr>
      <w:r>
        <w:rPr>
          <w:rFonts w:hint="eastAsia"/>
        </w:rPr>
        <w:t>注：经公司2023年6月30日召开的第九届董事会第一次会议讨论审议，批准由胡家栋先生、朱利民先生、朱睿女士三位委员组成公司第九届董事会审计委员会，胡家栋先生担任审计委员会主任。</w:t>
      </w:r>
    </w:p>
    <w:p>
      <w:pPr>
        <w:pStyle w:val="affffffff"/>
        <w:ind w:firstLineChars="200" w:firstLine="420"/>
        <w:jc w:val="both"/>
      </w:pPr>
      <w:r>
        <w:rPr>
          <w:rFonts w:hint="eastAsia"/>
        </w:rPr>
        <w:t>2025年2月21日，公司召开第九届董事会审计委员会第十一次会议，听取年审会计师关于公司2024年年报预审事项的汇报。</w:t>
      </w:r>
    </w:p>
    <w:p>
      <w:pPr>
        <w:pStyle w:val="affffffff"/>
        <w:ind w:firstLineChars="200" w:firstLine="420"/>
        <w:jc w:val="both"/>
      </w:pPr>
      <w:r>
        <w:rPr>
          <w:rFonts w:hint="eastAsia"/>
        </w:rPr>
        <w:t>2025年3月18日，公司召开第九届董事会审计委员会第十二次会议，听取天职国际会计师事务所（特殊普通合伙）、天职香港会计师事务所有限公司对2024年年报审计工作的汇报，对2024年度财务会计报表进行表决，形成决议后提交董事会审核。</w:t>
      </w:r>
    </w:p>
    <w:p>
      <w:pPr>
        <w:pStyle w:val="affffffff"/>
        <w:ind w:firstLineChars="200" w:firstLine="420"/>
        <w:jc w:val="both"/>
      </w:pPr>
      <w:r>
        <w:rPr>
          <w:rFonts w:hint="eastAsia"/>
        </w:rPr>
        <w:t>2025年3月18日，公司召开第九届董事会审计委员会第十三次会议，审议通过审计委员会2024年度履职情况报告、公司2024年度内部控制工作报告、公司2024年度内部控制评价报告、2024年度会计师事务所履职情况评估报告、2024年度审计委员会对会计师事务所履行监督职责情况报告、续聘2025年度外部审计机构及其酬金安排、国际会计准则企业合并会计政策变更、山能财司与山东能源2024年综合授信审批及服务提供情况报告、山能财司2024年风险评估报告。</w:t>
      </w:r>
    </w:p>
    <w:p>
      <w:pPr>
        <w:pStyle w:val="affffffff"/>
      </w:pPr>
    </w:p>
    <w:p>
      <w:pPr>
        <w:pStyle w:val="afffffff1"/>
        <w:numPr>
          <w:ilvl w:val="0"/>
          <w:numId w:val="38"/>
        </w:numPr>
      </w:pPr>
      <w:r>
        <w:rPr>
          <w:rFonts w:hint="eastAsia"/>
        </w:rPr>
        <w:t>报告期内</w:t>
      </w:r>
      <w:sdt>
        <w:sdtPr>
          <w:rPr>
            <w:rFonts w:ascii="宋体" w:hAnsi="宋体" w:cs="宋体" w:hint="eastAsia"/>
            <w:kern w:val="0"/>
            <w:szCs w:val="24"/>
          </w:rPr>
          <w:alias w:val="召开会议的专门委员会类别"/>
          <w:tag w:val="_GBC_adf76ecbe3584f07b573642215a867bd"/>
          <w:id w:val="1790624751"/>
        </w:sdtPr>
        <w:sdtContent>
          <w:r>
            <w:rPr>
              <w:rFonts w:hint="eastAsia"/>
            </w:rPr>
            <w:t>董事会提名</w:t>
          </w:r>
        </w:sdtContent>
      </w:sdt>
      <w:r>
        <w:rPr>
          <w:rFonts w:hint="eastAsia"/>
        </w:rPr>
        <w:t>委员会召开</w:t>
      </w:r>
      <w:sdt>
        <w:sdtPr>
          <w:rPr>
            <w:rFonts w:ascii="宋体" w:hAnsi="宋体" w:cs="宋体" w:hint="eastAsia"/>
            <w:kern w:val="0"/>
            <w:szCs w:val="24"/>
          </w:rPr>
          <w:alias w:val="报告期内召开专门委员会会议次数"/>
          <w:tag w:val="_GBC_7bf2cd7c3a6a4685ac9c89ee396352a0"/>
          <w:id w:val="493159183"/>
        </w:sdtPr>
        <w:sdtContent>
          <w:r>
            <w:rPr>
              <w:rFonts w:hint="eastAsia"/>
            </w:rPr>
            <w:t>3</w:t>
          </w:r>
        </w:sdtContent>
      </w:sdt>
      <w:r>
        <w:rPr>
          <w:rFonts w:hint="eastAsia"/>
        </w:rPr>
        <w:t>次会议</w:t>
      </w:r>
    </w:p>
    <w:p>
      <w:pPr>
        <w:ind w:firstLineChars="200" w:firstLine="420"/>
        <w:jc w:val="both"/>
        <w:rPr>
          <w:rFonts w:asciiTheme="minorEastAsia" w:eastAsiaTheme="minorEastAsia" w:hAnsiTheme="minorEastAsia"/>
          <w:b/>
          <w:bCs/>
        </w:rPr>
      </w:pPr>
      <w:r>
        <w:rPr>
          <w:rFonts w:asciiTheme="minorEastAsia" w:eastAsiaTheme="minorEastAsia" w:hAnsiTheme="minorEastAsia" w:hint="eastAsia"/>
        </w:rPr>
        <w:t>公司董事会提名委员会委员为董事长李伟先生及独立董事彭苏萍、胡家栋各位先生。彭苏萍先生担任提名委员会主任。</w:t>
      </w:r>
    </w:p>
    <w:p>
      <w:pPr>
        <w:ind w:firstLineChars="200" w:firstLine="420"/>
        <w:jc w:val="both"/>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.董事会提名委员会的主要职责包括：a</w:t>
      </w:r>
      <w:r>
        <w:rPr>
          <w:rFonts w:asciiTheme="minorEastAsia" w:eastAsiaTheme="minorEastAsia" w:hAnsiTheme="minorEastAsia"/>
        </w:rPr>
        <w:t>.</w:t>
      </w:r>
      <w:r>
        <w:rPr>
          <w:rFonts w:asciiTheme="minorEastAsia" w:eastAsiaTheme="minorEastAsia" w:hAnsiTheme="minorEastAsia" w:hint="eastAsia"/>
        </w:rPr>
        <w:t>根据公司的经营情况、资产规模和股权结构，每年至少一次检审董事会的架构、人数和组成（包括技能、知识及经验方面），并就任何为配合公司策略而拟对董事会作出的变动提出建议；b</w:t>
      </w:r>
      <w:r>
        <w:rPr>
          <w:rFonts w:asciiTheme="minorEastAsia" w:eastAsiaTheme="minorEastAsia" w:hAnsiTheme="minorEastAsia"/>
        </w:rPr>
        <w:t>.</w:t>
      </w:r>
      <w:r>
        <w:rPr>
          <w:rFonts w:asciiTheme="minorEastAsia" w:eastAsiaTheme="minorEastAsia" w:hAnsiTheme="minorEastAsia" w:hint="eastAsia"/>
        </w:rPr>
        <w:t>研究董事、高级管理人员的选择标准、程序和方法，</w:t>
      </w:r>
      <w:r>
        <w:rPr>
          <w:rFonts w:asciiTheme="minorEastAsia" w:eastAsiaTheme="minorEastAsia" w:hAnsiTheme="minorEastAsia" w:hint="eastAsia"/>
        </w:rPr>
        <w:lastRenderedPageBreak/>
        <w:t>并向董事会提出建议；c</w:t>
      </w:r>
      <w:r>
        <w:rPr>
          <w:rFonts w:asciiTheme="minorEastAsia" w:eastAsiaTheme="minorEastAsia" w:hAnsiTheme="minorEastAsia"/>
        </w:rPr>
        <w:t>.</w:t>
      </w:r>
      <w:r>
        <w:rPr>
          <w:rFonts w:asciiTheme="minorEastAsia" w:eastAsiaTheme="minorEastAsia" w:hAnsiTheme="minorEastAsia" w:hint="eastAsia"/>
        </w:rPr>
        <w:t>遴选具备适合资格可担任公司董事、高级管理人员的人选，并挑选提名有关人士出任董事、高级管理人员和就此向董事会提出建议；d</w:t>
      </w:r>
      <w:r>
        <w:rPr>
          <w:rFonts w:asciiTheme="minorEastAsia" w:eastAsiaTheme="minorEastAsia" w:hAnsiTheme="minorEastAsia"/>
        </w:rPr>
        <w:t>.</w:t>
      </w:r>
      <w:r>
        <w:rPr>
          <w:rFonts w:asciiTheme="minorEastAsia" w:eastAsiaTheme="minorEastAsia" w:hAnsiTheme="minorEastAsia" w:hint="eastAsia"/>
        </w:rPr>
        <w:t>对董事、高级管理人员候选人的资格进行审查，并向董事会提出意见及任职建议；e</w:t>
      </w:r>
      <w:r>
        <w:rPr>
          <w:rFonts w:asciiTheme="minorEastAsia" w:eastAsiaTheme="minorEastAsia" w:hAnsiTheme="minorEastAsia"/>
        </w:rPr>
        <w:t>.</w:t>
      </w:r>
      <w:r>
        <w:rPr>
          <w:rFonts w:asciiTheme="minorEastAsia" w:eastAsiaTheme="minorEastAsia" w:hAnsiTheme="minorEastAsia" w:hint="eastAsia"/>
        </w:rPr>
        <w:t>对董事、高级管理人员的委任或重新委任以及董事、高级管理人员的继任计划等有关事宜向董事会提出建议；f</w:t>
      </w:r>
      <w:r>
        <w:rPr>
          <w:rFonts w:asciiTheme="minorEastAsia" w:eastAsiaTheme="minorEastAsia" w:hAnsiTheme="minorEastAsia"/>
        </w:rPr>
        <w:t>.</w:t>
      </w:r>
      <w:r>
        <w:rPr>
          <w:rFonts w:asciiTheme="minorEastAsia" w:eastAsiaTheme="minorEastAsia" w:hAnsiTheme="minorEastAsia" w:hint="eastAsia"/>
        </w:rPr>
        <w:t>评估独立董事的独立性。</w:t>
      </w:r>
    </w:p>
    <w:p>
      <w:pPr>
        <w:ind w:firstLineChars="200" w:firstLine="420"/>
        <w:jc w:val="both"/>
        <w:rPr>
          <w:rFonts w:asciiTheme="minorEastAsia" w:eastAsiaTheme="minorEastAsia" w:hAnsiTheme="minorEastAsia"/>
        </w:rPr>
      </w:pPr>
      <w:r>
        <w:rPr>
          <w:rFonts w:asciiTheme="minorEastAsia" w:eastAsiaTheme="minorEastAsia" w:hAnsiTheme="minorEastAsia"/>
        </w:rPr>
        <w:t>2</w:t>
      </w:r>
      <w:r>
        <w:rPr>
          <w:rFonts w:asciiTheme="minorEastAsia" w:eastAsiaTheme="minorEastAsia" w:hAnsiTheme="minorEastAsia" w:hint="eastAsia"/>
        </w:rPr>
        <w:t>.本公司董事会成员多元化政策概要</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提名委员会从多个方面考虑董事会成员多元化，包括但不限于性别、年龄、文化及教育背景、专业经验、技能及服务年限等。在考虑上述有关因素后，提名委员会按董事人选的长处及可为公司及董事会作出的贡献，向董事会提出最终的委任建议。</w:t>
      </w:r>
    </w:p>
    <w:p>
      <w:pPr>
        <w:ind w:firstLineChars="200" w:firstLine="420"/>
        <w:jc w:val="both"/>
        <w:rPr>
          <w:rFonts w:asciiTheme="minorEastAsia" w:eastAsiaTheme="minorEastAsia" w:hAnsiTheme="minorEastAsia"/>
        </w:rPr>
      </w:pPr>
      <w:r>
        <w:rPr>
          <w:rFonts w:asciiTheme="minorEastAsia" w:eastAsiaTheme="minorEastAsia" w:hAnsiTheme="minorEastAsia"/>
        </w:rPr>
        <w:t>3</w:t>
      </w:r>
      <w:r>
        <w:rPr>
          <w:rFonts w:asciiTheme="minorEastAsia" w:eastAsiaTheme="minorEastAsia" w:hAnsiTheme="minorEastAsia" w:hint="eastAsia"/>
        </w:rPr>
        <w:t>.本公司董事提名政策及执行情况</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职工董事由公司职工通过职工代表大会或者其他形式民主选举产生。</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非职工代表董事候选人一般情况下由公司董事会以提案方式提交股东大会。公司股东、监事会可按《公司章程》规定提名非职工代表董事候选人。</w:t>
      </w:r>
    </w:p>
    <w:p>
      <w:pPr>
        <w:ind w:firstLineChars="200" w:firstLine="420"/>
        <w:jc w:val="both"/>
        <w:rPr>
          <w:rFonts w:asciiTheme="minorEastAsia" w:eastAsiaTheme="minorEastAsia" w:hAnsiTheme="minorEastAsia"/>
          <w:bCs/>
        </w:rPr>
      </w:pPr>
      <w:r>
        <w:rPr>
          <w:rFonts w:asciiTheme="minorEastAsia" w:eastAsiaTheme="minorEastAsia" w:hAnsiTheme="minorEastAsia" w:hint="eastAsia"/>
        </w:rPr>
        <w:t>公司董事会、监事会、单独或者合并持有公司已发行股份百分之一以上的股东可以提出独立董事候选人，并经股东大会选举决定。报告期内</w:t>
      </w:r>
      <w:r>
        <w:rPr>
          <w:rFonts w:asciiTheme="minorEastAsia" w:eastAsiaTheme="minorEastAsia" w:hAnsiTheme="minorEastAsia" w:hint="eastAsia"/>
          <w:bCs/>
        </w:rPr>
        <w:t>董事会提名委员会召开3次会议，具体情况如下：</w:t>
      </w:r>
    </w:p>
    <w:p>
      <w:pPr>
        <w:pStyle w:val="affffffd"/>
      </w:pPr>
    </w:p>
    <w:tbl>
      <w:tblPr>
        <w:tblStyle w:val="g5"/>
        <w:tblW w:w="4992"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417"/>
        <w:gridCol w:w="3121"/>
        <w:gridCol w:w="990"/>
        <w:gridCol w:w="708"/>
        <w:gridCol w:w="1443"/>
      </w:tblGrid>
      <w:tr>
        <w:sdt>
          <w:sdtPr>
            <w:rPr>
              <w:rFonts w:hint="eastAsia"/>
            </w:rPr>
            <w:tag w:val="_PLD_81aefc289fbf48b1865138608d8bd14f"/>
            <w:id w:val="-1449690864"/>
          </w:sdtPr>
          <w:sdtContent>
            <w:tc>
              <w:tcPr>
                <w:tcW w:w="641" w:type="pct"/>
                <w:shd w:val="clear" w:color="auto" w:fill="auto"/>
                <w:vAlign w:val="center"/>
              </w:tcPr>
              <w:p>
                <w:pPr>
                  <w:jc w:val="center"/>
                </w:pPr>
                <w:r>
                  <w:rPr>
                    <w:rFonts w:hint="eastAsia"/>
                  </w:rPr>
                  <w:t>召开日期</w:t>
                </w:r>
              </w:p>
            </w:tc>
          </w:sdtContent>
        </w:sdt>
        <w:sdt>
          <w:sdtPr>
            <w:rPr>
              <w:rFonts w:hint="eastAsia"/>
            </w:rPr>
            <w:tag w:val="_PLD_9d24b601ec70414eb969daf6b393edc8"/>
            <w:id w:val="-1266922810"/>
          </w:sdtPr>
          <w:sdtContent>
            <w:tc>
              <w:tcPr>
                <w:tcW w:w="804" w:type="pct"/>
                <w:shd w:val="clear" w:color="auto" w:fill="auto"/>
                <w:vAlign w:val="center"/>
              </w:tcPr>
              <w:p>
                <w:pPr>
                  <w:jc w:val="center"/>
                </w:pPr>
                <w:r>
                  <w:rPr>
                    <w:rFonts w:hint="eastAsia"/>
                  </w:rPr>
                  <w:t>会议内容</w:t>
                </w:r>
              </w:p>
            </w:tc>
          </w:sdtContent>
        </w:sdt>
        <w:sdt>
          <w:sdtPr>
            <w:rPr>
              <w:rFonts w:hint="eastAsia"/>
            </w:rPr>
            <w:tag w:val="_PLD_6ea19dadc3684e98a6d98faaf035a9d9"/>
            <w:id w:val="-478767029"/>
          </w:sdtPr>
          <w:sdtContent>
            <w:tc>
              <w:tcPr>
                <w:tcW w:w="1771" w:type="pct"/>
                <w:shd w:val="clear" w:color="auto" w:fill="auto"/>
                <w:vAlign w:val="center"/>
              </w:tcPr>
              <w:p>
                <w:pPr>
                  <w:jc w:val="center"/>
                </w:pPr>
                <w:r>
                  <w:rPr>
                    <w:rFonts w:hint="eastAsia"/>
                  </w:rPr>
                  <w:t>重要意见和建议</w:t>
                </w:r>
              </w:p>
            </w:tc>
          </w:sdtContent>
        </w:sdt>
        <w:tc>
          <w:tcPr>
            <w:tcW w:w="562" w:type="pct"/>
            <w:shd w:val="clear" w:color="auto" w:fill="auto"/>
            <w:vAlign w:val="center"/>
          </w:tcPr>
          <w:p>
            <w:pPr>
              <w:jc w:val="center"/>
            </w:pPr>
            <w:r>
              <w:rPr>
                <w:rFonts w:hint="eastAsia"/>
              </w:rPr>
              <w:t>委员</w:t>
            </w:r>
          </w:p>
        </w:tc>
        <w:tc>
          <w:tcPr>
            <w:tcW w:w="402" w:type="pct"/>
            <w:shd w:val="clear" w:color="auto" w:fill="auto"/>
            <w:vAlign w:val="center"/>
          </w:tcPr>
          <w:p>
            <w:pPr>
              <w:jc w:val="center"/>
            </w:pPr>
            <w:r>
              <w:rPr>
                <w:rFonts w:hint="eastAsia"/>
              </w:rPr>
              <w:t>出席会议</w:t>
            </w:r>
          </w:p>
        </w:tc>
        <w:sdt>
          <w:sdtPr>
            <w:rPr>
              <w:rFonts w:hint="eastAsia"/>
            </w:rPr>
            <w:tag w:val="_PLD_ef03d3ffb00740008011022cb6a96805"/>
            <w:id w:val="-517157234"/>
          </w:sdtPr>
          <w:sdtContent>
            <w:tc>
              <w:tcPr>
                <w:tcW w:w="819" w:type="pct"/>
                <w:shd w:val="clear" w:color="auto" w:fill="auto"/>
                <w:vAlign w:val="center"/>
              </w:tcPr>
              <w:p>
                <w:pPr>
                  <w:jc w:val="center"/>
                </w:pPr>
                <w:r>
                  <w:rPr>
                    <w:rFonts w:hint="eastAsia"/>
                  </w:rPr>
                  <w:t>其他履行职责情况</w:t>
                </w:r>
              </w:p>
            </w:tc>
          </w:sdtContent>
        </w:sdt>
      </w:tr>
      <w:tr>
        <w:tc>
          <w:tcPr>
            <w:tcW w:w="641" w:type="pct"/>
            <w:shd w:val="clear" w:color="auto" w:fill="auto"/>
            <w:vAlign w:val="center"/>
          </w:tcPr>
          <w:p>
            <w:pPr>
              <w:pStyle w:val="affffffd"/>
            </w:pPr>
            <w:r>
              <w:rPr>
                <w:rFonts w:asciiTheme="minorEastAsia" w:eastAsiaTheme="minorEastAsia" w:hAnsiTheme="minorEastAsia" w:hint="eastAsia"/>
              </w:rPr>
              <w:t>2024年3月</w:t>
            </w:r>
            <w:r>
              <w:rPr>
                <w:rFonts w:asciiTheme="minorEastAsia" w:eastAsiaTheme="minorEastAsia" w:hAnsiTheme="minorEastAsia"/>
              </w:rPr>
              <w:t>19</w:t>
            </w:r>
            <w:r>
              <w:rPr>
                <w:rFonts w:asciiTheme="minorEastAsia" w:eastAsiaTheme="minorEastAsia" w:hAnsiTheme="minorEastAsia" w:hint="eastAsia"/>
              </w:rPr>
              <w:t>日</w:t>
            </w:r>
          </w:p>
        </w:tc>
        <w:tc>
          <w:tcPr>
            <w:tcW w:w="804" w:type="pct"/>
            <w:shd w:val="clear" w:color="auto" w:fill="auto"/>
            <w:vAlign w:val="center"/>
          </w:tcPr>
          <w:p>
            <w:pPr>
              <w:jc w:val="both"/>
            </w:pPr>
            <w:r>
              <w:rPr>
                <w:rFonts w:asciiTheme="minorEastAsia" w:eastAsiaTheme="minorEastAsia" w:hAnsiTheme="minorEastAsia" w:cstheme="minorEastAsia" w:hint="eastAsia"/>
                <w:szCs w:val="21"/>
              </w:rPr>
              <w:t>关于提名公司总工程师（化工）的议案。</w:t>
            </w:r>
          </w:p>
        </w:tc>
        <w:tc>
          <w:tcPr>
            <w:tcW w:w="1771" w:type="pct"/>
            <w:shd w:val="clear" w:color="auto" w:fill="auto"/>
            <w:vAlign w:val="center"/>
          </w:tcPr>
          <w:p>
            <w:pPr>
              <w:jc w:val="both"/>
            </w:pPr>
            <w:r>
              <w:rPr>
                <w:rFonts w:asciiTheme="minorEastAsia" w:eastAsiaTheme="minorEastAsia" w:hAnsiTheme="minorEastAsia" w:hint="eastAsia"/>
              </w:rPr>
              <w:t>通过《关于提名公司总工程师（化工）的议案》，并向董事会提名高春雷先生为公司总工程师（化工）。</w:t>
            </w:r>
          </w:p>
        </w:tc>
        <w:tc>
          <w:tcPr>
            <w:tcW w:w="56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彭苏萍</w:t>
            </w:r>
          </w:p>
          <w:p>
            <w:pPr>
              <w:jc w:val="center"/>
              <w:rPr>
                <w:rFonts w:asciiTheme="minorEastAsia" w:eastAsiaTheme="minorEastAsia" w:hAnsiTheme="minorEastAsia"/>
              </w:rPr>
            </w:pPr>
            <w:r>
              <w:rPr>
                <w:rFonts w:asciiTheme="minorEastAsia" w:eastAsiaTheme="minorEastAsia" w:hAnsiTheme="minorEastAsia" w:hint="eastAsia"/>
              </w:rPr>
              <w:t>李  伟</w:t>
            </w:r>
          </w:p>
          <w:p>
            <w:pPr>
              <w:jc w:val="center"/>
            </w:pPr>
            <w:r>
              <w:rPr>
                <w:rFonts w:asciiTheme="minorEastAsia" w:eastAsiaTheme="minorEastAsia" w:hAnsiTheme="minorEastAsia" w:hint="eastAsia"/>
              </w:rPr>
              <w:t>胡家栋</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819" w:type="pct"/>
            <w:shd w:val="clear" w:color="auto" w:fill="auto"/>
            <w:vAlign w:val="center"/>
          </w:tcPr>
          <w:p>
            <w:pPr>
              <w:pStyle w:val="affffffd"/>
            </w:pPr>
            <w:r>
              <w:rPr>
                <w:rFonts w:asciiTheme="minorEastAsia" w:eastAsiaTheme="minorEastAsia" w:hAnsiTheme="minorEastAsia" w:hint="eastAsia"/>
              </w:rPr>
              <w:t>经审阅高春雷先生个人履历等相关资料，高春雷先生任职资格符合《公司法》、上市地监管规则及《公司章程》相关规定。</w:t>
            </w:r>
          </w:p>
        </w:tc>
      </w:tr>
      <w:tr>
        <w:tc>
          <w:tcPr>
            <w:tcW w:w="641" w:type="pct"/>
            <w:shd w:val="clear" w:color="auto" w:fill="auto"/>
            <w:vAlign w:val="center"/>
          </w:tcPr>
          <w:p>
            <w:pPr>
              <w:pStyle w:val="affffffd"/>
            </w:pPr>
            <w:r>
              <w:rPr>
                <w:rFonts w:asciiTheme="minorEastAsia" w:eastAsiaTheme="minorEastAsia" w:hAnsiTheme="minorEastAsia" w:hint="eastAsia"/>
              </w:rPr>
              <w:t>2024年</w:t>
            </w:r>
            <w:r>
              <w:rPr>
                <w:rFonts w:asciiTheme="minorEastAsia" w:eastAsiaTheme="minorEastAsia" w:hAnsiTheme="minorEastAsia"/>
              </w:rPr>
              <w:t>6</w:t>
            </w:r>
            <w:r>
              <w:rPr>
                <w:rFonts w:asciiTheme="minorEastAsia" w:eastAsiaTheme="minorEastAsia" w:hAnsiTheme="minorEastAsia" w:hint="eastAsia"/>
              </w:rPr>
              <w:t>月20日</w:t>
            </w:r>
          </w:p>
        </w:tc>
        <w:tc>
          <w:tcPr>
            <w:tcW w:w="804" w:type="pct"/>
            <w:shd w:val="clear" w:color="auto" w:fill="auto"/>
            <w:vAlign w:val="center"/>
          </w:tcPr>
          <w:p>
            <w:pPr>
              <w:jc w:val="both"/>
            </w:pPr>
            <w:r>
              <w:rPr>
                <w:rFonts w:asciiTheme="minorEastAsia" w:eastAsiaTheme="minorEastAsia" w:hAnsiTheme="minorEastAsia" w:hint="eastAsia"/>
              </w:rPr>
              <w:t>关于提名公司总工程师的议案。</w:t>
            </w:r>
          </w:p>
        </w:tc>
        <w:tc>
          <w:tcPr>
            <w:tcW w:w="1771" w:type="pct"/>
            <w:shd w:val="clear" w:color="auto" w:fill="auto"/>
            <w:vAlign w:val="center"/>
          </w:tcPr>
          <w:p>
            <w:pPr>
              <w:jc w:val="both"/>
            </w:pPr>
            <w:r>
              <w:rPr>
                <w:rFonts w:asciiTheme="minorEastAsia" w:eastAsiaTheme="minorEastAsia" w:hAnsiTheme="minorEastAsia" w:hint="eastAsia"/>
              </w:rPr>
              <w:t>通过《关于提名公司总工程师的议案》，并向董事会提名张照允先生为公司总工程师。</w:t>
            </w:r>
          </w:p>
        </w:tc>
        <w:tc>
          <w:tcPr>
            <w:tcW w:w="56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彭苏萍</w:t>
            </w:r>
          </w:p>
          <w:p>
            <w:pPr>
              <w:jc w:val="center"/>
              <w:rPr>
                <w:rFonts w:asciiTheme="minorEastAsia" w:eastAsiaTheme="minorEastAsia" w:hAnsiTheme="minorEastAsia"/>
              </w:rPr>
            </w:pPr>
            <w:r>
              <w:rPr>
                <w:rFonts w:asciiTheme="minorEastAsia" w:eastAsiaTheme="minorEastAsia" w:hAnsiTheme="minorEastAsia" w:hint="eastAsia"/>
              </w:rPr>
              <w:t>李  伟</w:t>
            </w:r>
          </w:p>
          <w:p>
            <w:pPr>
              <w:jc w:val="center"/>
            </w:pPr>
            <w:r>
              <w:rPr>
                <w:rFonts w:asciiTheme="minorEastAsia" w:eastAsiaTheme="minorEastAsia" w:hAnsiTheme="minorEastAsia" w:hint="eastAsia"/>
              </w:rPr>
              <w:t>胡家栋</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819" w:type="pct"/>
            <w:shd w:val="clear" w:color="auto" w:fill="auto"/>
            <w:vAlign w:val="center"/>
          </w:tcPr>
          <w:p>
            <w:pPr>
              <w:pStyle w:val="affffffd"/>
            </w:pPr>
            <w:r>
              <w:rPr>
                <w:rFonts w:asciiTheme="minorEastAsia" w:eastAsiaTheme="minorEastAsia" w:hAnsiTheme="minorEastAsia" w:hint="eastAsia"/>
              </w:rPr>
              <w:t>经审阅张照允先生个人履历等相关资料，张照允先生任职资格符合《公司法》、上市地监管规则及《公司章程》相关规定。</w:t>
            </w:r>
          </w:p>
        </w:tc>
      </w:tr>
      <w:tr>
        <w:tc>
          <w:tcPr>
            <w:tcW w:w="641" w:type="pct"/>
            <w:shd w:val="clear" w:color="auto" w:fill="auto"/>
            <w:vAlign w:val="center"/>
          </w:tcPr>
          <w:p>
            <w:pPr>
              <w:pStyle w:val="affffffd"/>
            </w:pPr>
            <w:r>
              <w:rPr>
                <w:rFonts w:asciiTheme="minorEastAsia" w:eastAsiaTheme="minorEastAsia" w:hAnsiTheme="minorEastAsia" w:hint="eastAsia"/>
              </w:rPr>
              <w:t>2024年11月12日</w:t>
            </w:r>
          </w:p>
        </w:tc>
        <w:tc>
          <w:tcPr>
            <w:tcW w:w="804" w:type="pct"/>
            <w:shd w:val="clear" w:color="auto" w:fill="auto"/>
            <w:vAlign w:val="center"/>
          </w:tcPr>
          <w:p>
            <w:pPr>
              <w:jc w:val="both"/>
            </w:pPr>
            <w:r>
              <w:rPr>
                <w:rFonts w:asciiTheme="minorEastAsia" w:eastAsiaTheme="minorEastAsia" w:hAnsiTheme="minorEastAsia" w:hint="eastAsia"/>
              </w:rPr>
              <w:t>关于提名公司总经理的议案。</w:t>
            </w:r>
          </w:p>
        </w:tc>
        <w:tc>
          <w:tcPr>
            <w:tcW w:w="1771" w:type="pct"/>
            <w:shd w:val="clear" w:color="auto" w:fill="auto"/>
            <w:vAlign w:val="center"/>
          </w:tcPr>
          <w:p>
            <w:pPr>
              <w:jc w:val="both"/>
            </w:pPr>
            <w:r>
              <w:rPr>
                <w:rFonts w:asciiTheme="minorEastAsia" w:eastAsiaTheme="minorEastAsia" w:hAnsiTheme="minorEastAsia" w:hint="eastAsia"/>
              </w:rPr>
              <w:t>通过《关于提名公司总经理的议案》，向董事会提名王九红先生为公司总经理。</w:t>
            </w:r>
          </w:p>
        </w:tc>
        <w:tc>
          <w:tcPr>
            <w:tcW w:w="56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彭苏萍</w:t>
            </w:r>
          </w:p>
          <w:p>
            <w:pPr>
              <w:jc w:val="center"/>
              <w:rPr>
                <w:rFonts w:asciiTheme="minorEastAsia" w:eastAsiaTheme="minorEastAsia" w:hAnsiTheme="minorEastAsia"/>
              </w:rPr>
            </w:pPr>
            <w:r>
              <w:rPr>
                <w:rFonts w:asciiTheme="minorEastAsia" w:eastAsiaTheme="minorEastAsia" w:hAnsiTheme="minorEastAsia" w:hint="eastAsia"/>
              </w:rPr>
              <w:t>李  伟</w:t>
            </w:r>
          </w:p>
          <w:p>
            <w:pPr>
              <w:jc w:val="center"/>
            </w:pPr>
            <w:r>
              <w:rPr>
                <w:rFonts w:asciiTheme="minorEastAsia" w:eastAsiaTheme="minorEastAsia" w:hAnsiTheme="minorEastAsia" w:hint="eastAsia"/>
              </w:rPr>
              <w:t>胡家栋</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819" w:type="pct"/>
            <w:shd w:val="clear" w:color="auto" w:fill="auto"/>
            <w:vAlign w:val="center"/>
          </w:tcPr>
          <w:p>
            <w:pPr>
              <w:pStyle w:val="affffffd"/>
            </w:pPr>
            <w:r>
              <w:rPr>
                <w:rFonts w:asciiTheme="minorEastAsia" w:eastAsiaTheme="minorEastAsia" w:hAnsiTheme="minorEastAsia" w:hint="eastAsia"/>
              </w:rPr>
              <w:t>经审阅王九红先生个人履历等相关资料，王九红先生任职资格符合《公司法》、上市地监管规则</w:t>
            </w:r>
            <w:r>
              <w:rPr>
                <w:rFonts w:asciiTheme="minorEastAsia" w:eastAsiaTheme="minorEastAsia" w:hAnsiTheme="minorEastAsia" w:hint="eastAsia"/>
              </w:rPr>
              <w:lastRenderedPageBreak/>
              <w:t>及《公司章程》相关规定。</w:t>
            </w:r>
          </w:p>
        </w:tc>
      </w:tr>
    </w:tbl>
    <w:p>
      <w:pPr>
        <w:pStyle w:val="affffffd"/>
        <w:ind w:firstLineChars="200" w:firstLine="420"/>
        <w:jc w:val="both"/>
      </w:pPr>
      <w:r>
        <w:rPr>
          <w:rFonts w:hint="eastAsia"/>
        </w:rPr>
        <w:lastRenderedPageBreak/>
        <w:t>注：经公司2023年6月30日召开的第九届董事会第一次会议讨论审议，批准由彭苏萍先生、胡家栋先生、李伟先生三位委员组成公司第九届董事会提名委员会，彭苏萍先生担任提名委员会主任。</w:t>
      </w:r>
    </w:p>
    <w:p>
      <w:pPr>
        <w:pStyle w:val="affffffd"/>
        <w:ind w:firstLineChars="200" w:firstLine="420"/>
        <w:jc w:val="both"/>
      </w:pPr>
      <w:r>
        <w:rPr>
          <w:rFonts w:hint="eastAsia"/>
        </w:rPr>
        <w:t>2025年2月21日，公司召开第九届董事会提名委员会第五次会议，通过《关于提名公司董事的议案》，并向董事会提名王九红先生为公司非职工代表董事。经审阅王九红先生个人履历等相关资料，王九红先生任职资格符合《公司法》、上市地监管规则及《公司章程》相关规定，建议董事会提交股东大会履行选举程序。</w:t>
      </w:r>
    </w:p>
    <w:p>
      <w:pPr>
        <w:ind w:firstLineChars="200" w:firstLine="420"/>
        <w:jc w:val="both"/>
        <w:rPr>
          <w:rFonts w:asciiTheme="minorEastAsia" w:eastAsiaTheme="minorEastAsia" w:hAnsiTheme="minorEastAsia"/>
        </w:rPr>
      </w:pPr>
    </w:p>
    <w:p>
      <w:pPr>
        <w:ind w:firstLineChars="200" w:firstLine="420"/>
        <w:jc w:val="both"/>
      </w:pPr>
      <w:r>
        <w:rPr>
          <w:rFonts w:asciiTheme="minorEastAsia" w:eastAsiaTheme="minorEastAsia" w:hAnsiTheme="minorEastAsia" w:hint="eastAsia"/>
        </w:rPr>
        <w:t>报告期内，按照《公司章程》等相关规定，董事会提名委员会根据公司的经营情况、资产规模和股权结构，检讨董事会的架构、人数和构成（包括技能、知识及经验方面），认为当前董事会构成和规模符合公司发展策略；公司独立非执行董事的独立性均符合要求。</w:t>
      </w:r>
    </w:p>
    <w:p>
      <w:pPr>
        <w:pStyle w:val="affffffff"/>
      </w:pPr>
    </w:p>
    <w:p>
      <w:pPr>
        <w:pStyle w:val="afffffff1"/>
        <w:numPr>
          <w:ilvl w:val="0"/>
          <w:numId w:val="38"/>
        </w:numPr>
      </w:pPr>
      <w:r>
        <w:rPr>
          <w:rFonts w:hint="eastAsia"/>
        </w:rPr>
        <w:t>报告期内</w:t>
      </w:r>
      <w:sdt>
        <w:sdtPr>
          <w:rPr>
            <w:rFonts w:ascii="宋体" w:hAnsi="宋体" w:cs="宋体" w:hint="eastAsia"/>
            <w:kern w:val="0"/>
            <w:szCs w:val="24"/>
          </w:rPr>
          <w:alias w:val="召开会议的专门委员会类别"/>
          <w:tag w:val="_GBC_adf76ecbe3584f07b573642215a867bd"/>
          <w:id w:val="-2118138332"/>
        </w:sdtPr>
        <w:sdtContent>
          <w:r>
            <w:rPr>
              <w:rFonts w:hint="eastAsia"/>
            </w:rPr>
            <w:t>董事会薪酬</w:t>
          </w:r>
        </w:sdtContent>
      </w:sdt>
      <w:r>
        <w:rPr>
          <w:rFonts w:hint="eastAsia"/>
        </w:rPr>
        <w:t>委员会召开</w:t>
      </w:r>
      <w:sdt>
        <w:sdtPr>
          <w:rPr>
            <w:rFonts w:asciiTheme="minorEastAsia" w:eastAsiaTheme="minorEastAsia" w:hAnsiTheme="minorEastAsia" w:cs="宋体" w:hint="eastAsia"/>
            <w:kern w:val="0"/>
            <w:szCs w:val="24"/>
          </w:rPr>
          <w:alias w:val="报告期内召开专门委员会会议次数"/>
          <w:tag w:val="_GBC_7bf2cd7c3a6a4685ac9c89ee396352a0"/>
          <w:id w:val="-1265769654"/>
        </w:sdtPr>
        <w:sdtEndPr>
          <w:rPr>
            <w:rFonts w:ascii="宋体" w:eastAsia="宋体" w:hAnsi="宋体"/>
          </w:rPr>
        </w:sdtEndPr>
        <w:sdtContent>
          <w:r>
            <w:rPr>
              <w:rFonts w:hint="eastAsia"/>
            </w:rPr>
            <w:t>2</w:t>
          </w:r>
        </w:sdtContent>
      </w:sdt>
      <w:r>
        <w:rPr>
          <w:rFonts w:hint="eastAsia"/>
        </w:rPr>
        <w:t>次会议</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公司董事会薪酬委员会委员为独立董事朱利民、胡家栋各位先生及朱睿女士。朱利民先生担任薪酬委员会主任。</w:t>
      </w:r>
    </w:p>
    <w:p>
      <w:pPr>
        <w:ind w:firstLineChars="200" w:firstLine="420"/>
        <w:jc w:val="both"/>
      </w:pPr>
      <w:r>
        <w:rPr>
          <w:rFonts w:asciiTheme="minorEastAsia" w:eastAsiaTheme="minorEastAsia" w:hAnsiTheme="minorEastAsia" w:hint="eastAsia"/>
        </w:rPr>
        <w:t>董事会薪酬委员会的主要职责包括：a.考虑董事、监事及高级管理人员岗位的主要范围、所承担的职责、须付出的时间、集团内其他职位的雇佣条件以及其他相关企业相关岗位的薪酬水平等因素，制定薪酬计划或方案，并向董事会提出建议；薪酬计划或方案主要包括但不限于参照董事会通过的公司目标制定绩效评价标准、程序及主要评价体系，奖励和惩罚的主要方案和制度等；b.对公司董事、监事及高级管理人员薪酬制度执行情况进行监督；c.参照董事会所订公司方针及目标，审查公司董事、监事及高级管理人员的履行职责情况并对其进行年度绩效考评，向董事会提出董事、监事及高级管理人员薪酬建议；d.对公司的股权激励方案进行研究并提出建议；e</w:t>
      </w:r>
      <w:r>
        <w:rPr>
          <w:rFonts w:asciiTheme="minorEastAsia" w:eastAsiaTheme="minorEastAsia" w:hAnsiTheme="minorEastAsia"/>
        </w:rPr>
        <w:t>.</w:t>
      </w:r>
      <w:r>
        <w:rPr>
          <w:rFonts w:asciiTheme="minorEastAsia" w:eastAsiaTheme="minorEastAsia" w:hAnsiTheme="minorEastAsia" w:hint="eastAsia"/>
        </w:rPr>
        <w:t>董事、高级管理人员在拟分拆所属子公司安排持股计划。报告期内</w:t>
      </w:r>
      <w:r>
        <w:rPr>
          <w:rFonts w:asciiTheme="minorEastAsia" w:eastAsiaTheme="minorEastAsia" w:hAnsiTheme="minorEastAsia" w:hint="eastAsia"/>
          <w:bCs/>
        </w:rPr>
        <w:t>董事会薪酬委员会召开2次会议。具体情况如下：</w:t>
      </w:r>
    </w:p>
    <w:tbl>
      <w:tblPr>
        <w:tblStyle w:val="g5"/>
        <w:tblW w:w="499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1419"/>
        <w:gridCol w:w="3121"/>
        <w:gridCol w:w="994"/>
        <w:gridCol w:w="708"/>
        <w:gridCol w:w="1438"/>
      </w:tblGrid>
      <w:tr>
        <w:sdt>
          <w:sdtPr>
            <w:rPr>
              <w:rFonts w:hint="eastAsia"/>
            </w:rPr>
            <w:tag w:val="_PLD_81aefc289fbf48b1865138608d8bd14f"/>
            <w:id w:val="-233625416"/>
          </w:sdtPr>
          <w:sdtContent>
            <w:tc>
              <w:tcPr>
                <w:tcW w:w="642" w:type="pct"/>
                <w:shd w:val="clear" w:color="auto" w:fill="auto"/>
                <w:vAlign w:val="center"/>
              </w:tcPr>
              <w:p>
                <w:pPr>
                  <w:jc w:val="center"/>
                </w:pPr>
                <w:r>
                  <w:rPr>
                    <w:rFonts w:hint="eastAsia"/>
                  </w:rPr>
                  <w:t>召开日期</w:t>
                </w:r>
              </w:p>
            </w:tc>
          </w:sdtContent>
        </w:sdt>
        <w:sdt>
          <w:sdtPr>
            <w:rPr>
              <w:rFonts w:hint="eastAsia"/>
            </w:rPr>
            <w:tag w:val="_PLD_9d24b601ec70414eb969daf6b393edc8"/>
            <w:id w:val="2040702523"/>
          </w:sdtPr>
          <w:sdtContent>
            <w:tc>
              <w:tcPr>
                <w:tcW w:w="805" w:type="pct"/>
                <w:shd w:val="clear" w:color="auto" w:fill="auto"/>
                <w:vAlign w:val="center"/>
              </w:tcPr>
              <w:p>
                <w:pPr>
                  <w:jc w:val="center"/>
                </w:pPr>
                <w:r>
                  <w:rPr>
                    <w:rFonts w:hint="eastAsia"/>
                  </w:rPr>
                  <w:t>会议内容</w:t>
                </w:r>
              </w:p>
            </w:tc>
          </w:sdtContent>
        </w:sdt>
        <w:sdt>
          <w:sdtPr>
            <w:rPr>
              <w:rFonts w:hint="eastAsia"/>
            </w:rPr>
            <w:tag w:val="_PLD_6ea19dadc3684e98a6d98faaf035a9d9"/>
            <w:id w:val="2119094163"/>
          </w:sdtPr>
          <w:sdtContent>
            <w:tc>
              <w:tcPr>
                <w:tcW w:w="1771" w:type="pct"/>
                <w:shd w:val="clear" w:color="auto" w:fill="auto"/>
                <w:vAlign w:val="center"/>
              </w:tcPr>
              <w:p>
                <w:pPr>
                  <w:jc w:val="center"/>
                </w:pPr>
                <w:r>
                  <w:rPr>
                    <w:rFonts w:hint="eastAsia"/>
                  </w:rPr>
                  <w:t>重要意见和建议</w:t>
                </w:r>
              </w:p>
            </w:tc>
          </w:sdtContent>
        </w:sdt>
        <w:tc>
          <w:tcPr>
            <w:tcW w:w="564" w:type="pct"/>
            <w:shd w:val="clear" w:color="auto" w:fill="auto"/>
            <w:vAlign w:val="center"/>
          </w:tcPr>
          <w:p>
            <w:pPr>
              <w:jc w:val="center"/>
            </w:pPr>
            <w:r>
              <w:rPr>
                <w:rFonts w:hint="eastAsia"/>
              </w:rPr>
              <w:t>委员</w:t>
            </w:r>
          </w:p>
        </w:tc>
        <w:tc>
          <w:tcPr>
            <w:tcW w:w="402" w:type="pct"/>
            <w:shd w:val="clear" w:color="auto" w:fill="auto"/>
            <w:vAlign w:val="center"/>
          </w:tcPr>
          <w:p>
            <w:pPr>
              <w:jc w:val="center"/>
            </w:pPr>
            <w:r>
              <w:rPr>
                <w:rFonts w:hint="eastAsia"/>
              </w:rPr>
              <w:t>出席会议</w:t>
            </w:r>
          </w:p>
        </w:tc>
        <w:sdt>
          <w:sdtPr>
            <w:rPr>
              <w:rFonts w:hint="eastAsia"/>
            </w:rPr>
            <w:tag w:val="_PLD_ef03d3ffb00740008011022cb6a96805"/>
            <w:id w:val="-1724910199"/>
          </w:sdtPr>
          <w:sdtContent>
            <w:tc>
              <w:tcPr>
                <w:tcW w:w="818" w:type="pct"/>
                <w:shd w:val="clear" w:color="auto" w:fill="auto"/>
                <w:vAlign w:val="center"/>
              </w:tcPr>
              <w:p>
                <w:pPr>
                  <w:jc w:val="center"/>
                </w:pPr>
                <w:r>
                  <w:rPr>
                    <w:rFonts w:hint="eastAsia"/>
                  </w:rPr>
                  <w:t>其他履行职责情况</w:t>
                </w:r>
              </w:p>
            </w:tc>
          </w:sdtContent>
        </w:sdt>
      </w:tr>
      <w:tr>
        <w:tc>
          <w:tcPr>
            <w:tcW w:w="642" w:type="pct"/>
            <w:shd w:val="clear" w:color="auto" w:fill="auto"/>
            <w:vAlign w:val="center"/>
          </w:tcPr>
          <w:p>
            <w:pPr>
              <w:pStyle w:val="affffffd"/>
            </w:pPr>
            <w:r>
              <w:rPr>
                <w:rFonts w:asciiTheme="minorEastAsia" w:eastAsiaTheme="minorEastAsia" w:hAnsiTheme="minorEastAsia" w:hint="eastAsia"/>
              </w:rPr>
              <w:t>2024年2月23日</w:t>
            </w:r>
          </w:p>
        </w:tc>
        <w:tc>
          <w:tcPr>
            <w:tcW w:w="805" w:type="pct"/>
            <w:shd w:val="clear" w:color="auto" w:fill="auto"/>
            <w:vAlign w:val="center"/>
          </w:tcPr>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1.关于回购注销部分激励对象限制性股票的议案；</w:t>
            </w:r>
          </w:p>
          <w:p>
            <w:pPr>
              <w:jc w:val="both"/>
            </w:pPr>
            <w:r>
              <w:rPr>
                <w:rFonts w:asciiTheme="minorEastAsia" w:eastAsiaTheme="minorEastAsia" w:hAnsiTheme="minorEastAsia" w:cstheme="minorEastAsia" w:hint="eastAsia"/>
                <w:szCs w:val="21"/>
              </w:rPr>
              <w:t>2.关于2021年A股限制性股票激励计划第一个解除限售期条件成就的议案。</w:t>
            </w:r>
          </w:p>
        </w:tc>
        <w:tc>
          <w:tcPr>
            <w:tcW w:w="1771" w:type="pct"/>
            <w:shd w:val="clear" w:color="auto" w:fill="auto"/>
            <w:vAlign w:val="center"/>
          </w:tcPr>
          <w:p>
            <w:pPr>
              <w:jc w:val="both"/>
            </w:pPr>
            <w:r>
              <w:rPr>
                <w:rFonts w:asciiTheme="minorEastAsia" w:eastAsiaTheme="minorEastAsia" w:hAnsiTheme="minorEastAsia" w:hint="eastAsia"/>
              </w:rPr>
              <w:t>通过《关于回购注销部分激励对象限制性股票的议案》以及《关于2</w:t>
            </w:r>
            <w:r>
              <w:rPr>
                <w:rFonts w:asciiTheme="minorEastAsia" w:eastAsiaTheme="minorEastAsia" w:hAnsiTheme="minorEastAsia"/>
              </w:rPr>
              <w:t>021</w:t>
            </w:r>
            <w:r>
              <w:rPr>
                <w:rFonts w:asciiTheme="minorEastAsia" w:eastAsiaTheme="minorEastAsia" w:hAnsiTheme="minorEastAsia" w:hint="eastAsia"/>
              </w:rPr>
              <w:t>年A股限制性股票激励计划第一个解除限售期条件成就的议案》</w:t>
            </w:r>
            <w:r>
              <w:rPr>
                <w:rFonts w:asciiTheme="minorEastAsia" w:eastAsiaTheme="minorEastAsia" w:hAnsiTheme="minorEastAsia"/>
              </w:rPr>
              <w:t>，并提交公司董事会讨论审议</w:t>
            </w:r>
            <w:r>
              <w:rPr>
                <w:rFonts w:asciiTheme="minorEastAsia" w:eastAsiaTheme="minorEastAsia" w:hAnsiTheme="minorEastAsia" w:hint="eastAsia"/>
              </w:rPr>
              <w:t>。</w:t>
            </w:r>
          </w:p>
        </w:tc>
        <w:tc>
          <w:tcPr>
            <w:tcW w:w="564"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朱利民</w:t>
            </w:r>
          </w:p>
          <w:p>
            <w:pPr>
              <w:jc w:val="center"/>
              <w:rPr>
                <w:rFonts w:asciiTheme="minorEastAsia" w:eastAsiaTheme="minorEastAsia" w:hAnsiTheme="minorEastAsia"/>
              </w:rPr>
            </w:pPr>
            <w:r>
              <w:rPr>
                <w:rFonts w:asciiTheme="minorEastAsia" w:eastAsiaTheme="minorEastAsia" w:hAnsiTheme="minorEastAsia" w:hint="eastAsia"/>
              </w:rPr>
              <w:t>朱  睿</w:t>
            </w:r>
          </w:p>
          <w:p>
            <w:pPr>
              <w:jc w:val="center"/>
            </w:pPr>
            <w:r>
              <w:rPr>
                <w:rFonts w:hint="eastAsia"/>
              </w:rPr>
              <w:t>胡家栋</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818" w:type="pct"/>
            <w:shd w:val="clear" w:color="auto" w:fill="auto"/>
            <w:vAlign w:val="center"/>
          </w:tcPr>
          <w:p>
            <w:pPr>
              <w:jc w:val="center"/>
            </w:pPr>
            <w:r>
              <w:rPr>
                <w:rFonts w:hint="eastAsia"/>
              </w:rPr>
              <w:t>-</w:t>
            </w:r>
          </w:p>
        </w:tc>
      </w:tr>
      <w:tr>
        <w:tc>
          <w:tcPr>
            <w:tcW w:w="642" w:type="pct"/>
            <w:shd w:val="clear" w:color="auto" w:fill="auto"/>
            <w:vAlign w:val="center"/>
          </w:tcPr>
          <w:p>
            <w:pPr>
              <w:pStyle w:val="affffffd"/>
            </w:pPr>
            <w:r>
              <w:rPr>
                <w:rFonts w:asciiTheme="minorEastAsia" w:eastAsiaTheme="minorEastAsia" w:hAnsiTheme="minorEastAsia" w:hint="eastAsia"/>
              </w:rPr>
              <w:t>2024年3月19日</w:t>
            </w:r>
          </w:p>
        </w:tc>
        <w:tc>
          <w:tcPr>
            <w:tcW w:w="805" w:type="pct"/>
            <w:shd w:val="clear" w:color="auto" w:fill="auto"/>
            <w:vAlign w:val="center"/>
          </w:tcPr>
          <w:p>
            <w:pPr>
              <w:jc w:val="both"/>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1.关于讨论审议公司董事、监事2024年度酬金的议案；</w:t>
            </w:r>
          </w:p>
          <w:p>
            <w:pPr>
              <w:jc w:val="both"/>
            </w:pPr>
            <w:r>
              <w:rPr>
                <w:rFonts w:asciiTheme="minorEastAsia" w:eastAsiaTheme="minorEastAsia" w:hAnsiTheme="minorEastAsia" w:cstheme="minorEastAsia" w:hint="eastAsia"/>
                <w:szCs w:val="21"/>
              </w:rPr>
              <w:t>2.关于讨论审议公司高级管理人员</w:t>
            </w:r>
            <w:r>
              <w:rPr>
                <w:rFonts w:asciiTheme="minorEastAsia" w:eastAsiaTheme="minorEastAsia" w:hAnsiTheme="minorEastAsia" w:cstheme="minorEastAsia" w:hint="eastAsia"/>
                <w:szCs w:val="21"/>
              </w:rPr>
              <w:lastRenderedPageBreak/>
              <w:t>2024年度酬金的议案</w:t>
            </w:r>
            <w:r>
              <w:rPr>
                <w:rFonts w:asciiTheme="minorEastAsia" w:eastAsiaTheme="minorEastAsia" w:hAnsiTheme="minorEastAsia" w:hint="eastAsia"/>
              </w:rPr>
              <w:t>。</w:t>
            </w:r>
          </w:p>
        </w:tc>
        <w:tc>
          <w:tcPr>
            <w:tcW w:w="1771" w:type="pct"/>
            <w:shd w:val="clear" w:color="auto" w:fill="auto"/>
            <w:vAlign w:val="center"/>
          </w:tcPr>
          <w:p>
            <w:pPr>
              <w:jc w:val="both"/>
            </w:pPr>
            <w:r>
              <w:rPr>
                <w:rFonts w:asciiTheme="minorEastAsia" w:eastAsiaTheme="minorEastAsia" w:hAnsiTheme="minorEastAsia" w:hint="eastAsia"/>
              </w:rPr>
              <w:lastRenderedPageBreak/>
              <w:t>通过《关于讨论审议公司董事、监事</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年度酬金的议案</w:t>
            </w:r>
            <w:r>
              <w:rPr>
                <w:rFonts w:asciiTheme="minorEastAsia" w:eastAsiaTheme="minorEastAsia" w:hAnsiTheme="minorEastAsia" w:hint="eastAsia"/>
              </w:rPr>
              <w:t>》以及《关于讨论审议公司高级管理人员</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年度酬金的议案</w:t>
            </w:r>
            <w:r>
              <w:rPr>
                <w:rFonts w:asciiTheme="minorEastAsia" w:eastAsiaTheme="minorEastAsia" w:hAnsiTheme="minorEastAsia" w:hint="eastAsia"/>
              </w:rPr>
              <w:t>》，并提交公司董事会讨论审议。</w:t>
            </w:r>
          </w:p>
        </w:tc>
        <w:tc>
          <w:tcPr>
            <w:tcW w:w="564"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朱利民</w:t>
            </w:r>
          </w:p>
          <w:p>
            <w:pPr>
              <w:jc w:val="center"/>
              <w:rPr>
                <w:rFonts w:asciiTheme="minorEastAsia" w:eastAsiaTheme="minorEastAsia" w:hAnsiTheme="minorEastAsia"/>
              </w:rPr>
            </w:pPr>
            <w:r>
              <w:rPr>
                <w:rFonts w:asciiTheme="minorEastAsia" w:eastAsiaTheme="minorEastAsia" w:hAnsiTheme="minorEastAsia" w:hint="eastAsia"/>
              </w:rPr>
              <w:t>朱  睿</w:t>
            </w:r>
          </w:p>
          <w:p>
            <w:pPr>
              <w:jc w:val="center"/>
            </w:pPr>
            <w:r>
              <w:rPr>
                <w:rFonts w:hint="eastAsia"/>
              </w:rPr>
              <w:t>胡家栋</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818" w:type="pct"/>
            <w:shd w:val="clear" w:color="auto" w:fill="auto"/>
            <w:vAlign w:val="center"/>
          </w:tcPr>
          <w:p>
            <w:pPr>
              <w:jc w:val="both"/>
              <w:rPr>
                <w:rFonts w:asciiTheme="minorEastAsia" w:eastAsiaTheme="minorEastAsia" w:hAnsiTheme="minorEastAsia"/>
              </w:rPr>
            </w:pPr>
            <w:r>
              <w:rPr>
                <w:rFonts w:asciiTheme="minorEastAsia" w:eastAsiaTheme="minorEastAsia" w:hAnsiTheme="minorEastAsia"/>
              </w:rPr>
              <w:t>1.建议公司独立董事202</w:t>
            </w:r>
            <w:r>
              <w:rPr>
                <w:rFonts w:asciiTheme="minorEastAsia" w:eastAsiaTheme="minorEastAsia" w:hAnsiTheme="minorEastAsia" w:hint="eastAsia"/>
              </w:rPr>
              <w:t>4</w:t>
            </w:r>
            <w:r>
              <w:rPr>
                <w:rFonts w:asciiTheme="minorEastAsia" w:eastAsiaTheme="minorEastAsia" w:hAnsiTheme="minorEastAsia"/>
              </w:rPr>
              <w:t>年度人均酬金为</w:t>
            </w:r>
            <w:r>
              <w:rPr>
                <w:rFonts w:asciiTheme="minorEastAsia" w:eastAsiaTheme="minorEastAsia" w:hAnsiTheme="minorEastAsia" w:hint="eastAsia"/>
              </w:rPr>
              <w:t>25</w:t>
            </w:r>
            <w:r>
              <w:rPr>
                <w:rFonts w:asciiTheme="minorEastAsia" w:eastAsiaTheme="minorEastAsia" w:hAnsiTheme="minorEastAsia"/>
              </w:rPr>
              <w:t>万元(含税)。建议公司202</w:t>
            </w:r>
            <w:r>
              <w:rPr>
                <w:rFonts w:asciiTheme="minorEastAsia" w:eastAsiaTheme="minorEastAsia" w:hAnsiTheme="minorEastAsia" w:hint="eastAsia"/>
              </w:rPr>
              <w:t>4</w:t>
            </w:r>
            <w:r>
              <w:rPr>
                <w:rFonts w:asciiTheme="minorEastAsia" w:eastAsiaTheme="minorEastAsia" w:hAnsiTheme="minorEastAsia"/>
              </w:rPr>
              <w:t>年度完成经营目标</w:t>
            </w:r>
            <w:r>
              <w:rPr>
                <w:rFonts w:asciiTheme="minorEastAsia" w:eastAsiaTheme="minorEastAsia" w:hAnsiTheme="minorEastAsia"/>
              </w:rPr>
              <w:lastRenderedPageBreak/>
              <w:t>后，按照公司薪酬考核政策，确定从公司领取薪酬的非独立董事、监事薪酬水平。</w:t>
            </w:r>
          </w:p>
          <w:p>
            <w:pPr>
              <w:jc w:val="both"/>
            </w:pPr>
            <w:r>
              <w:rPr>
                <w:rFonts w:asciiTheme="minorEastAsia" w:eastAsiaTheme="minorEastAsia" w:hAnsiTheme="minorEastAsia"/>
              </w:rPr>
              <w:t>2.建议公司202</w:t>
            </w:r>
            <w:r>
              <w:rPr>
                <w:rFonts w:asciiTheme="minorEastAsia" w:eastAsiaTheme="minorEastAsia" w:hAnsiTheme="minorEastAsia" w:hint="eastAsia"/>
              </w:rPr>
              <w:t>4</w:t>
            </w:r>
            <w:r>
              <w:rPr>
                <w:rFonts w:asciiTheme="minorEastAsia" w:eastAsiaTheme="minorEastAsia" w:hAnsiTheme="minorEastAsia"/>
              </w:rPr>
              <w:t>年度完成经营目标后，按照公司薪酬考核政策，确定非董事高级管理人员薪酬水平。</w:t>
            </w:r>
          </w:p>
        </w:tc>
      </w:tr>
    </w:tbl>
    <w:p>
      <w:pPr>
        <w:pStyle w:val="affffffff"/>
        <w:ind w:firstLineChars="200" w:firstLine="420"/>
        <w:jc w:val="both"/>
      </w:pPr>
      <w:r>
        <w:rPr>
          <w:rFonts w:hint="eastAsia"/>
        </w:rPr>
        <w:lastRenderedPageBreak/>
        <w:t>注：经公司2023年6月30日召开的第九届董事会第一次会议讨论审议，批准由朱利民先生、胡家栋先生及朱睿女士三位委员组成公司第九届董事会薪酬委员会，朱利民先生担任薪酬委员会主任。</w:t>
      </w:r>
    </w:p>
    <w:p>
      <w:pPr>
        <w:pStyle w:val="affffffff"/>
        <w:ind w:firstLineChars="200" w:firstLine="420"/>
        <w:jc w:val="both"/>
      </w:pPr>
      <w:r>
        <w:rPr>
          <w:rFonts w:hint="eastAsia"/>
        </w:rPr>
        <w:t>2025年2月21日，公司召开第九届董事会薪酬委员会第四次会议，通过《关于回购注销部分激励对象限制性股票的议案》《关于审议批准解禁A股限制性股票激励第二批限售股份的议案》，并提交公司董事会讨论审议。</w:t>
      </w:r>
    </w:p>
    <w:p>
      <w:pPr>
        <w:pStyle w:val="affffffff"/>
        <w:ind w:firstLineChars="200" w:firstLine="420"/>
        <w:jc w:val="both"/>
      </w:pPr>
      <w:r>
        <w:rPr>
          <w:rFonts w:hint="eastAsia"/>
        </w:rPr>
        <w:t>2025年3月18日，公司召开第九届董事会薪酬委员会第五次会议，通过《关于讨论审议董事、监事2025年度酬金的议案》《关于讨论审议高级管理人员2025年度酬金的议案》，并提交公司董事会讨论审议。</w:t>
      </w:r>
    </w:p>
    <w:p>
      <w:pPr>
        <w:pStyle w:val="affffffff"/>
      </w:pPr>
    </w:p>
    <w:p>
      <w:pPr>
        <w:pStyle w:val="afffffff1"/>
        <w:numPr>
          <w:ilvl w:val="0"/>
          <w:numId w:val="38"/>
        </w:numPr>
      </w:pPr>
      <w:r>
        <w:rPr>
          <w:rFonts w:hint="eastAsia"/>
        </w:rPr>
        <w:t>报告期内</w:t>
      </w:r>
      <w:sdt>
        <w:sdtPr>
          <w:rPr>
            <w:rFonts w:ascii="宋体" w:hAnsi="宋体" w:cs="宋体" w:hint="eastAsia"/>
            <w:kern w:val="0"/>
            <w:szCs w:val="24"/>
          </w:rPr>
          <w:alias w:val="召开会议的专门委员会类别"/>
          <w:tag w:val="_GBC_adf76ecbe3584f07b573642215a867bd"/>
          <w:id w:val="-256369382"/>
        </w:sdtPr>
        <w:sdtContent>
          <w:r>
            <w:rPr>
              <w:rFonts w:hint="eastAsia"/>
            </w:rPr>
            <w:t>董事会战略与发展</w:t>
          </w:r>
        </w:sdtContent>
      </w:sdt>
      <w:r>
        <w:rPr>
          <w:rFonts w:hint="eastAsia"/>
        </w:rPr>
        <w:t>委员会召开</w:t>
      </w:r>
      <w:sdt>
        <w:sdtPr>
          <w:rPr>
            <w:rFonts w:asciiTheme="minorEastAsia" w:eastAsiaTheme="minorEastAsia" w:hAnsiTheme="minorEastAsia" w:cs="宋体" w:hint="eastAsia"/>
            <w:kern w:val="0"/>
            <w:szCs w:val="24"/>
          </w:rPr>
          <w:alias w:val="报告期内召开专门委员会会议次数"/>
          <w:tag w:val="_GBC_7bf2cd7c3a6a4685ac9c89ee396352a0"/>
          <w:id w:val="-1100956722"/>
        </w:sdtPr>
        <w:sdtEndPr>
          <w:rPr>
            <w:rFonts w:ascii="宋体" w:eastAsia="宋体" w:hAnsi="宋体"/>
          </w:rPr>
        </w:sdtEndPr>
        <w:sdtContent>
          <w:r>
            <w:rPr>
              <w:rFonts w:hint="eastAsia"/>
            </w:rPr>
            <w:t>1</w:t>
          </w:r>
        </w:sdtContent>
      </w:sdt>
      <w:r>
        <w:rPr>
          <w:rFonts w:hint="eastAsia"/>
        </w:rPr>
        <w:t>次会议</w:t>
      </w:r>
    </w:p>
    <w:p>
      <w:pPr>
        <w:ind w:firstLineChars="200" w:firstLine="420"/>
        <w:rPr>
          <w:rFonts w:asciiTheme="minorEastAsia" w:eastAsiaTheme="minorEastAsia" w:hAnsiTheme="minorEastAsia"/>
        </w:rPr>
      </w:pPr>
      <w:r>
        <w:rPr>
          <w:rFonts w:asciiTheme="minorEastAsia" w:eastAsiaTheme="minorEastAsia" w:hAnsiTheme="minorEastAsia" w:hint="eastAsia"/>
        </w:rPr>
        <w:t>公司董事会战略与发展委员会委员为董事李伟、肖耀猛、刘健各位先生及独立董事彭苏萍先生、朱利民先生。李伟先生担任战略与发展委员会主任。</w:t>
      </w:r>
    </w:p>
    <w:p>
      <w:pPr>
        <w:ind w:firstLineChars="200" w:firstLine="420"/>
      </w:pPr>
      <w:r>
        <w:rPr>
          <w:rFonts w:asciiTheme="minorEastAsia" w:eastAsiaTheme="minorEastAsia" w:hAnsiTheme="minorEastAsia" w:hint="eastAsia"/>
        </w:rPr>
        <w:t>董事会战略与发展委员会的主要职责包括：a</w:t>
      </w:r>
      <w:r>
        <w:rPr>
          <w:rFonts w:asciiTheme="minorEastAsia" w:eastAsiaTheme="minorEastAsia" w:hAnsiTheme="minorEastAsia"/>
        </w:rPr>
        <w:t>.</w:t>
      </w:r>
      <w:r>
        <w:rPr>
          <w:rFonts w:asciiTheme="minorEastAsia" w:eastAsiaTheme="minorEastAsia" w:hAnsiTheme="minorEastAsia" w:hint="eastAsia"/>
        </w:rPr>
        <w:t>对公司长期发展战略和重大投资决策进行研究并提出建议；b.</w:t>
      </w:r>
      <w:r>
        <w:rPr>
          <w:rFonts w:asciiTheme="minorEastAsia" w:eastAsiaTheme="minorEastAsia" w:hAnsiTheme="minorEastAsia"/>
        </w:rPr>
        <w:t>对公司的年度战略发展计划和经营计划进行研究并提出建议；</w:t>
      </w:r>
      <w:r>
        <w:rPr>
          <w:rFonts w:asciiTheme="minorEastAsia" w:eastAsiaTheme="minorEastAsia" w:hAnsiTheme="minorEastAsia" w:hint="eastAsia"/>
        </w:rPr>
        <w:t>c.</w:t>
      </w:r>
      <w:r>
        <w:rPr>
          <w:rFonts w:asciiTheme="minorEastAsia" w:eastAsiaTheme="minorEastAsia" w:hAnsiTheme="minorEastAsia"/>
        </w:rPr>
        <w:t>对影响公司发展的其他重大事项进行研究并提出建议；</w:t>
      </w:r>
      <w:r>
        <w:rPr>
          <w:rFonts w:asciiTheme="minorEastAsia" w:eastAsiaTheme="minorEastAsia" w:hAnsiTheme="minorEastAsia" w:hint="eastAsia"/>
        </w:rPr>
        <w:t>d.</w:t>
      </w:r>
      <w:r>
        <w:rPr>
          <w:rFonts w:asciiTheme="minorEastAsia" w:eastAsiaTheme="minorEastAsia" w:hAnsiTheme="minorEastAsia"/>
        </w:rPr>
        <w:t>对以上事项的实施情况进行监督</w:t>
      </w:r>
      <w:r>
        <w:rPr>
          <w:rFonts w:asciiTheme="minorEastAsia" w:eastAsiaTheme="minorEastAsia" w:hAnsiTheme="minorEastAsia" w:hint="eastAsia"/>
        </w:rPr>
        <w:t>。报告期内</w:t>
      </w:r>
      <w:r>
        <w:rPr>
          <w:rFonts w:asciiTheme="minorEastAsia" w:eastAsiaTheme="minorEastAsia" w:hAnsiTheme="minorEastAsia" w:hint="eastAsia"/>
          <w:bCs/>
        </w:rPr>
        <w:t>董事会战略与发展委员会召开1次会议。具体情况如下：</w:t>
      </w:r>
    </w:p>
    <w:tbl>
      <w:tblPr>
        <w:tblStyle w:val="g5"/>
        <w:tblW w:w="4993"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563"/>
        <w:gridCol w:w="1984"/>
        <w:gridCol w:w="992"/>
        <w:gridCol w:w="708"/>
        <w:gridCol w:w="2434"/>
      </w:tblGrid>
      <w:tr>
        <w:sdt>
          <w:sdtPr>
            <w:rPr>
              <w:rFonts w:hint="eastAsia"/>
            </w:rPr>
            <w:tag w:val="_PLD_81aefc289fbf48b1865138608d8bd14f"/>
            <w:id w:val="804596789"/>
          </w:sdtPr>
          <w:sdtContent>
            <w:tc>
              <w:tcPr>
                <w:tcW w:w="641" w:type="pct"/>
                <w:shd w:val="clear" w:color="auto" w:fill="auto"/>
                <w:vAlign w:val="center"/>
              </w:tcPr>
              <w:p>
                <w:pPr>
                  <w:jc w:val="center"/>
                </w:pPr>
                <w:r>
                  <w:rPr>
                    <w:rFonts w:hint="eastAsia"/>
                  </w:rPr>
                  <w:t>召开日期</w:t>
                </w:r>
              </w:p>
            </w:tc>
          </w:sdtContent>
        </w:sdt>
        <w:sdt>
          <w:sdtPr>
            <w:rPr>
              <w:rFonts w:hint="eastAsia"/>
            </w:rPr>
            <w:tag w:val="_PLD_9d24b601ec70414eb969daf6b393edc8"/>
            <w:id w:val="1236903099"/>
          </w:sdtPr>
          <w:sdtContent>
            <w:tc>
              <w:tcPr>
                <w:tcW w:w="887" w:type="pct"/>
                <w:shd w:val="clear" w:color="auto" w:fill="auto"/>
                <w:vAlign w:val="center"/>
              </w:tcPr>
              <w:p>
                <w:pPr>
                  <w:jc w:val="center"/>
                </w:pPr>
                <w:r>
                  <w:rPr>
                    <w:rFonts w:hint="eastAsia"/>
                  </w:rPr>
                  <w:t>会议内容</w:t>
                </w:r>
              </w:p>
            </w:tc>
          </w:sdtContent>
        </w:sdt>
        <w:sdt>
          <w:sdtPr>
            <w:rPr>
              <w:rFonts w:hint="eastAsia"/>
            </w:rPr>
            <w:tag w:val="_PLD_6ea19dadc3684e98a6d98faaf035a9d9"/>
            <w:id w:val="-276261505"/>
          </w:sdtPr>
          <w:sdtContent>
            <w:tc>
              <w:tcPr>
                <w:tcW w:w="1126" w:type="pct"/>
                <w:shd w:val="clear" w:color="auto" w:fill="auto"/>
                <w:vAlign w:val="center"/>
              </w:tcPr>
              <w:p>
                <w:pPr>
                  <w:jc w:val="center"/>
                </w:pPr>
                <w:r>
                  <w:rPr>
                    <w:rFonts w:hint="eastAsia"/>
                  </w:rPr>
                  <w:t>重要意见和建议</w:t>
                </w:r>
              </w:p>
            </w:tc>
          </w:sdtContent>
        </w:sdt>
        <w:tc>
          <w:tcPr>
            <w:tcW w:w="563" w:type="pct"/>
            <w:shd w:val="clear" w:color="auto" w:fill="auto"/>
            <w:vAlign w:val="center"/>
          </w:tcPr>
          <w:p>
            <w:pPr>
              <w:jc w:val="center"/>
            </w:pPr>
            <w:r>
              <w:rPr>
                <w:rFonts w:hint="eastAsia"/>
              </w:rPr>
              <w:t>委员</w:t>
            </w:r>
          </w:p>
        </w:tc>
        <w:tc>
          <w:tcPr>
            <w:tcW w:w="402" w:type="pct"/>
            <w:shd w:val="clear" w:color="auto" w:fill="auto"/>
            <w:vAlign w:val="center"/>
          </w:tcPr>
          <w:p>
            <w:pPr>
              <w:jc w:val="center"/>
            </w:pPr>
            <w:r>
              <w:rPr>
                <w:rFonts w:hint="eastAsia"/>
              </w:rPr>
              <w:t>出席会议</w:t>
            </w:r>
          </w:p>
        </w:tc>
        <w:sdt>
          <w:sdtPr>
            <w:rPr>
              <w:rFonts w:hint="eastAsia"/>
            </w:rPr>
            <w:tag w:val="_PLD_ef03d3ffb00740008011022cb6a96805"/>
            <w:id w:val="1978414722"/>
          </w:sdtPr>
          <w:sdtContent>
            <w:tc>
              <w:tcPr>
                <w:tcW w:w="1381" w:type="pct"/>
                <w:shd w:val="clear" w:color="auto" w:fill="auto"/>
                <w:vAlign w:val="center"/>
              </w:tcPr>
              <w:p>
                <w:pPr>
                  <w:jc w:val="center"/>
                </w:pPr>
                <w:r>
                  <w:rPr>
                    <w:rFonts w:hint="eastAsia"/>
                  </w:rPr>
                  <w:t>其他履行职责情况</w:t>
                </w:r>
              </w:p>
            </w:tc>
          </w:sdtContent>
        </w:sdt>
      </w:tr>
      <w:tr>
        <w:tc>
          <w:tcPr>
            <w:tcW w:w="641" w:type="pct"/>
            <w:shd w:val="clear" w:color="auto" w:fill="auto"/>
            <w:vAlign w:val="center"/>
          </w:tcPr>
          <w:p>
            <w:pPr>
              <w:pStyle w:val="affffffd"/>
            </w:pPr>
            <w:r>
              <w:rPr>
                <w:rFonts w:asciiTheme="minorEastAsia" w:eastAsiaTheme="minorEastAsia" w:hAnsiTheme="minorEastAsia" w:hint="eastAsia"/>
              </w:rPr>
              <w:t>2024年</w:t>
            </w:r>
            <w:r>
              <w:rPr>
                <w:rFonts w:asciiTheme="minorEastAsia" w:eastAsiaTheme="minorEastAsia" w:hAnsiTheme="minorEastAsia"/>
              </w:rPr>
              <w:t>3</w:t>
            </w:r>
            <w:r>
              <w:rPr>
                <w:rFonts w:asciiTheme="minorEastAsia" w:eastAsiaTheme="minorEastAsia" w:hAnsiTheme="minorEastAsia" w:hint="eastAsia"/>
              </w:rPr>
              <w:t>月</w:t>
            </w:r>
            <w:r>
              <w:rPr>
                <w:rFonts w:asciiTheme="minorEastAsia" w:eastAsiaTheme="minorEastAsia" w:hAnsiTheme="minorEastAsia"/>
              </w:rPr>
              <w:t>1</w:t>
            </w:r>
            <w:r>
              <w:rPr>
                <w:rFonts w:asciiTheme="minorEastAsia" w:eastAsiaTheme="minorEastAsia" w:hAnsiTheme="minorEastAsia" w:hint="eastAsia"/>
              </w:rPr>
              <w:t>9日</w:t>
            </w:r>
          </w:p>
        </w:tc>
        <w:tc>
          <w:tcPr>
            <w:tcW w:w="887" w:type="pct"/>
            <w:shd w:val="clear" w:color="auto" w:fill="auto"/>
            <w:vAlign w:val="center"/>
          </w:tcPr>
          <w:p>
            <w:pPr>
              <w:pStyle w:val="affffffd"/>
              <w:jc w:val="both"/>
            </w:pPr>
            <w:r>
              <w:rPr>
                <w:rFonts w:asciiTheme="minorEastAsia" w:eastAsiaTheme="minorEastAsia" w:hAnsiTheme="minorEastAsia" w:hint="eastAsia"/>
              </w:rPr>
              <w:t>关于讨论审议《</w:t>
            </w:r>
            <w:r>
              <w:rPr>
                <w:rFonts w:asciiTheme="minorEastAsia" w:eastAsiaTheme="minorEastAsia" w:hAnsiTheme="minorEastAsia"/>
              </w:rPr>
              <w:t>202</w:t>
            </w:r>
            <w:r>
              <w:rPr>
                <w:rFonts w:asciiTheme="minorEastAsia" w:eastAsiaTheme="minorEastAsia" w:hAnsiTheme="minorEastAsia" w:hint="eastAsia"/>
              </w:rPr>
              <w:t>4</w:t>
            </w:r>
            <w:r>
              <w:rPr>
                <w:rFonts w:asciiTheme="minorEastAsia" w:eastAsiaTheme="minorEastAsia" w:hAnsiTheme="minorEastAsia"/>
              </w:rPr>
              <w:t>年度生产经营和资本性开支计划</w:t>
            </w:r>
            <w:r>
              <w:rPr>
                <w:rFonts w:asciiTheme="minorEastAsia" w:eastAsiaTheme="minorEastAsia" w:hAnsiTheme="minorEastAsia" w:hint="eastAsia"/>
              </w:rPr>
              <w:t>》的议案。</w:t>
            </w:r>
          </w:p>
        </w:tc>
        <w:tc>
          <w:tcPr>
            <w:tcW w:w="1126" w:type="pct"/>
            <w:shd w:val="clear" w:color="auto" w:fill="auto"/>
            <w:vAlign w:val="center"/>
          </w:tcPr>
          <w:p>
            <w:pPr>
              <w:pStyle w:val="affffffd"/>
              <w:jc w:val="both"/>
            </w:pPr>
            <w:r>
              <w:rPr>
                <w:rFonts w:asciiTheme="minorEastAsia" w:eastAsiaTheme="minorEastAsia" w:hAnsiTheme="minorEastAsia" w:hint="eastAsia"/>
              </w:rPr>
              <w:t>通过《关于讨论审议</w:t>
            </w:r>
            <w:r>
              <w:rPr>
                <w:rFonts w:asciiTheme="minorEastAsia" w:eastAsiaTheme="minorEastAsia" w:hAnsiTheme="minorEastAsia"/>
              </w:rPr>
              <w:t>&lt;202</w:t>
            </w:r>
            <w:r>
              <w:rPr>
                <w:rFonts w:asciiTheme="minorEastAsia" w:eastAsiaTheme="minorEastAsia" w:hAnsiTheme="minorEastAsia" w:hint="eastAsia"/>
              </w:rPr>
              <w:t>4</w:t>
            </w:r>
            <w:r>
              <w:rPr>
                <w:rFonts w:asciiTheme="minorEastAsia" w:eastAsiaTheme="minorEastAsia" w:hAnsiTheme="minorEastAsia"/>
              </w:rPr>
              <w:t>年度生产经营和资本性开支计划&gt;的议案</w:t>
            </w:r>
            <w:r>
              <w:rPr>
                <w:rFonts w:asciiTheme="minorEastAsia" w:eastAsiaTheme="minorEastAsia" w:hAnsiTheme="minorEastAsia" w:hint="eastAsia"/>
              </w:rPr>
              <w:t>》，并提交公司董事会讨论审议。</w:t>
            </w:r>
          </w:p>
        </w:tc>
        <w:tc>
          <w:tcPr>
            <w:tcW w:w="563"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 xml:space="preserve">李 </w:t>
            </w:r>
            <w:r>
              <w:rPr>
                <w:rFonts w:asciiTheme="minorEastAsia" w:eastAsiaTheme="minorEastAsia" w:hAnsiTheme="minorEastAsia"/>
              </w:rPr>
              <w:t xml:space="preserve"> </w:t>
            </w:r>
            <w:r>
              <w:rPr>
                <w:rFonts w:asciiTheme="minorEastAsia" w:eastAsiaTheme="minorEastAsia" w:hAnsiTheme="minorEastAsia" w:hint="eastAsia"/>
              </w:rPr>
              <w:t>伟</w:t>
            </w:r>
          </w:p>
          <w:p>
            <w:pPr>
              <w:jc w:val="center"/>
              <w:rPr>
                <w:rFonts w:asciiTheme="minorEastAsia" w:eastAsiaTheme="minorEastAsia" w:hAnsiTheme="minorEastAsia"/>
              </w:rPr>
            </w:pPr>
            <w:r>
              <w:rPr>
                <w:rFonts w:asciiTheme="minorEastAsia" w:eastAsiaTheme="minorEastAsia" w:hAnsiTheme="minorEastAsia" w:hint="eastAsia"/>
              </w:rPr>
              <w:t>肖耀猛</w:t>
            </w:r>
          </w:p>
          <w:p>
            <w:pPr>
              <w:jc w:val="center"/>
              <w:rPr>
                <w:rFonts w:asciiTheme="minorEastAsia" w:eastAsiaTheme="minorEastAsia" w:hAnsiTheme="minorEastAsia"/>
              </w:rPr>
            </w:pPr>
            <w:r>
              <w:rPr>
                <w:rFonts w:asciiTheme="minorEastAsia" w:eastAsiaTheme="minorEastAsia" w:hAnsiTheme="minorEastAsia" w:hint="eastAsia"/>
              </w:rPr>
              <w:t xml:space="preserve">刘 </w:t>
            </w:r>
            <w:r>
              <w:rPr>
                <w:rFonts w:asciiTheme="minorEastAsia" w:eastAsiaTheme="minorEastAsia" w:hAnsiTheme="minorEastAsia"/>
              </w:rPr>
              <w:t xml:space="preserve"> </w:t>
            </w:r>
            <w:r>
              <w:rPr>
                <w:rFonts w:asciiTheme="minorEastAsia" w:eastAsiaTheme="minorEastAsia" w:hAnsiTheme="minorEastAsia" w:hint="eastAsia"/>
              </w:rPr>
              <w:t>健</w:t>
            </w:r>
          </w:p>
          <w:p>
            <w:pPr>
              <w:jc w:val="center"/>
              <w:rPr>
                <w:rFonts w:asciiTheme="minorEastAsia" w:eastAsiaTheme="minorEastAsia" w:hAnsiTheme="minorEastAsia"/>
              </w:rPr>
            </w:pPr>
            <w:r>
              <w:rPr>
                <w:rFonts w:asciiTheme="minorEastAsia" w:eastAsiaTheme="minorEastAsia" w:hAnsiTheme="minorEastAsia" w:hint="eastAsia"/>
              </w:rPr>
              <w:t>彭苏萍</w:t>
            </w:r>
          </w:p>
          <w:p>
            <w:pPr>
              <w:jc w:val="center"/>
              <w:rPr>
                <w:rFonts w:asciiTheme="minorEastAsia" w:eastAsiaTheme="minorEastAsia" w:hAnsiTheme="minorEastAsia"/>
              </w:rPr>
            </w:pPr>
            <w:r>
              <w:rPr>
                <w:rFonts w:asciiTheme="minorEastAsia" w:eastAsiaTheme="minorEastAsia" w:hAnsiTheme="minorEastAsia" w:hint="eastAsia"/>
              </w:rPr>
              <w:t>朱利民</w:t>
            </w:r>
          </w:p>
        </w:tc>
        <w:tc>
          <w:tcPr>
            <w:tcW w:w="40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tc>
        <w:tc>
          <w:tcPr>
            <w:tcW w:w="1381" w:type="pct"/>
            <w:shd w:val="clear" w:color="auto" w:fill="auto"/>
            <w:vAlign w:val="center"/>
          </w:tcPr>
          <w:p>
            <w:pPr>
              <w:jc w:val="center"/>
            </w:pPr>
            <w:r>
              <w:rPr>
                <w:rFonts w:asciiTheme="minorEastAsia" w:eastAsiaTheme="minorEastAsia" w:hAnsiTheme="minorEastAsia" w:hint="eastAsia"/>
              </w:rPr>
              <w:t>-</w:t>
            </w:r>
          </w:p>
        </w:tc>
      </w:tr>
    </w:tbl>
    <w:p>
      <w:pPr>
        <w:pStyle w:val="affffffff"/>
        <w:ind w:firstLineChars="200" w:firstLine="420"/>
        <w:jc w:val="both"/>
      </w:pPr>
      <w:r>
        <w:rPr>
          <w:rFonts w:hint="eastAsia"/>
        </w:rPr>
        <w:t>注：经公司2023年6月30日召开的第九届董事会第一次会议讨论审议，批准由李伟先生、肖耀猛先生、刘健先生、彭苏萍先生、朱利民先生五位委员组成公司第九届董事会战略与发展委员会，李伟先生担任战略与发展委员会主任。</w:t>
      </w:r>
    </w:p>
    <w:p>
      <w:pPr>
        <w:pStyle w:val="affffffff"/>
        <w:ind w:firstLineChars="200" w:firstLine="420"/>
        <w:jc w:val="both"/>
      </w:pPr>
      <w:r>
        <w:rPr>
          <w:rFonts w:hint="eastAsia"/>
        </w:rPr>
        <w:t>2025年3月18日，公司召开第九届董事会战略与发展委员会第二次会议，通过《关于讨论审议公司&lt;2025年度生产经营和资本性开支计划&gt;的议案》，并提交公司董事会讨论审议。</w:t>
      </w:r>
    </w:p>
    <w:p>
      <w:pPr>
        <w:pStyle w:val="affffffff"/>
      </w:pPr>
    </w:p>
    <w:p>
      <w:pPr>
        <w:pStyle w:val="afffffff1"/>
        <w:numPr>
          <w:ilvl w:val="0"/>
          <w:numId w:val="38"/>
        </w:numPr>
      </w:pPr>
      <w:r>
        <w:rPr>
          <w:rFonts w:hint="eastAsia"/>
        </w:rPr>
        <w:lastRenderedPageBreak/>
        <w:t>报告期内</w:t>
      </w:r>
      <w:sdt>
        <w:sdtPr>
          <w:rPr>
            <w:rFonts w:ascii="宋体" w:hAnsi="宋体" w:cs="宋体" w:hint="eastAsia"/>
            <w:kern w:val="0"/>
            <w:szCs w:val="24"/>
          </w:rPr>
          <w:alias w:val="召开会议的专门委员会类别"/>
          <w:tag w:val="_GBC_adf76ecbe3584f07b573642215a867bd"/>
          <w:id w:val="1881747006"/>
        </w:sdtPr>
        <w:sdtContent>
          <w:r>
            <w:rPr>
              <w:rFonts w:hint="eastAsia"/>
            </w:rPr>
            <w:t>董事会可持续发展</w:t>
          </w:r>
        </w:sdtContent>
      </w:sdt>
      <w:r>
        <w:rPr>
          <w:rFonts w:hint="eastAsia"/>
        </w:rPr>
        <w:t>委员会召开</w:t>
      </w:r>
      <w:sdt>
        <w:sdtPr>
          <w:rPr>
            <w:rFonts w:asciiTheme="minorEastAsia" w:eastAsiaTheme="minorEastAsia" w:hAnsiTheme="minorEastAsia" w:cs="宋体" w:hint="eastAsia"/>
            <w:kern w:val="0"/>
            <w:szCs w:val="24"/>
          </w:rPr>
          <w:alias w:val="报告期内召开专门委员会会议次数"/>
          <w:tag w:val="_GBC_7bf2cd7c3a6a4685ac9c89ee396352a0"/>
          <w:id w:val="1656038176"/>
        </w:sdtPr>
        <w:sdtEndPr>
          <w:rPr>
            <w:rFonts w:ascii="宋体" w:eastAsia="宋体" w:hAnsi="宋体"/>
          </w:rPr>
        </w:sdtEndPr>
        <w:sdtContent>
          <w:r>
            <w:rPr>
              <w:rFonts w:hint="eastAsia"/>
            </w:rPr>
            <w:t>1</w:t>
          </w:r>
        </w:sdtContent>
      </w:sdt>
      <w:r>
        <w:rPr>
          <w:rFonts w:hint="eastAsia"/>
        </w:rPr>
        <w:t>次会议</w:t>
      </w:r>
    </w:p>
    <w:p>
      <w:pPr>
        <w:ind w:firstLineChars="200" w:firstLine="420"/>
        <w:rPr>
          <w:rFonts w:asciiTheme="minorEastAsia" w:eastAsiaTheme="minorEastAsia" w:hAnsiTheme="minorEastAsia"/>
        </w:rPr>
      </w:pPr>
      <w:r>
        <w:rPr>
          <w:rFonts w:asciiTheme="minorEastAsia" w:eastAsiaTheme="minorEastAsia" w:hAnsiTheme="minorEastAsia" w:hint="eastAsia"/>
        </w:rPr>
        <w:t>公司董事会可持续发展委员会委员为董事肖耀猛先生及独立董事朱睿女士、朱利民先生，朱睿女士担任可持续发展委员会主任。</w:t>
      </w:r>
    </w:p>
    <w:p>
      <w:pPr>
        <w:ind w:firstLineChars="200" w:firstLine="420"/>
      </w:pPr>
      <w:r>
        <w:rPr>
          <w:rFonts w:asciiTheme="minorEastAsia" w:eastAsiaTheme="minorEastAsia" w:hAnsiTheme="minorEastAsia" w:hint="eastAsia"/>
        </w:rPr>
        <w:t>董事会可持续发展委员会的主要职责包括：a</w:t>
      </w:r>
      <w:r>
        <w:rPr>
          <w:rFonts w:asciiTheme="minorEastAsia" w:eastAsiaTheme="minorEastAsia" w:hAnsiTheme="minorEastAsia"/>
        </w:rPr>
        <w:t>.对公司的企业管治、环境及社会责任相关政策和策略进行审阅，确保其符合法律、法规和标准；</w:t>
      </w:r>
      <w:r>
        <w:rPr>
          <w:rFonts w:asciiTheme="minorEastAsia" w:eastAsiaTheme="minorEastAsia" w:hAnsiTheme="minorEastAsia" w:hint="eastAsia"/>
        </w:rPr>
        <w:t>b.</w:t>
      </w:r>
      <w:r>
        <w:rPr>
          <w:rFonts w:asciiTheme="minorEastAsia" w:eastAsiaTheme="minorEastAsia" w:hAnsiTheme="minorEastAsia"/>
        </w:rPr>
        <w:t>对公司的企业管治、环境及社会责任相关风险及机遇进行评估和梳理，并向董事会提出建议；</w:t>
      </w:r>
      <w:r>
        <w:rPr>
          <w:rFonts w:asciiTheme="minorEastAsia" w:eastAsiaTheme="minorEastAsia" w:hAnsiTheme="minorEastAsia" w:hint="eastAsia"/>
        </w:rPr>
        <w:t>c</w:t>
      </w:r>
      <w:r>
        <w:rPr>
          <w:rFonts w:asciiTheme="minorEastAsia" w:eastAsiaTheme="minorEastAsia" w:hAnsiTheme="minorEastAsia"/>
        </w:rPr>
        <w:t>.审查公司的企业管治、环境及社会责任管理及内部监控系统，就其适当性和有效性向董事会提出建议；</w:t>
      </w:r>
      <w:r>
        <w:rPr>
          <w:rFonts w:asciiTheme="minorEastAsia" w:eastAsiaTheme="minorEastAsia" w:hAnsiTheme="minorEastAsia" w:hint="eastAsia"/>
        </w:rPr>
        <w:t>d</w:t>
      </w:r>
      <w:r>
        <w:rPr>
          <w:rFonts w:asciiTheme="minorEastAsia" w:eastAsiaTheme="minorEastAsia" w:hAnsiTheme="minorEastAsia"/>
        </w:rPr>
        <w:t>.对公司的企业管治、环境及社会责任相关工作的目标和实施情况进行审查和监督，评估工作情况，并向董事会提出建议；</w:t>
      </w:r>
      <w:r>
        <w:rPr>
          <w:rFonts w:asciiTheme="minorEastAsia" w:eastAsiaTheme="minorEastAsia" w:hAnsiTheme="minorEastAsia" w:hint="eastAsia"/>
        </w:rPr>
        <w:t>e</w:t>
      </w:r>
      <w:r>
        <w:rPr>
          <w:rFonts w:asciiTheme="minorEastAsia" w:eastAsiaTheme="minorEastAsia" w:hAnsiTheme="minorEastAsia"/>
        </w:rPr>
        <w:t>.审阅公司对外披露的社会责任报告，并向董事会提出建议；</w:t>
      </w:r>
      <w:r>
        <w:rPr>
          <w:rFonts w:asciiTheme="minorEastAsia" w:eastAsiaTheme="minorEastAsia" w:hAnsiTheme="minorEastAsia" w:hint="eastAsia"/>
        </w:rPr>
        <w:t>f</w:t>
      </w:r>
      <w:r>
        <w:rPr>
          <w:rFonts w:asciiTheme="minorEastAsia" w:eastAsiaTheme="minorEastAsia" w:hAnsiTheme="minorEastAsia"/>
        </w:rPr>
        <w:t>.对公司的企业管治、环境及社会责任管理愿景、目标及策略的制定进行指导，并向董事会提出建议</w:t>
      </w:r>
      <w:r>
        <w:rPr>
          <w:rFonts w:asciiTheme="minorEastAsia" w:eastAsiaTheme="minorEastAsia" w:hAnsiTheme="minorEastAsia" w:hint="eastAsia"/>
        </w:rPr>
        <w:t>。报告期内</w:t>
      </w:r>
      <w:r>
        <w:rPr>
          <w:rFonts w:asciiTheme="minorEastAsia" w:eastAsiaTheme="minorEastAsia" w:hAnsiTheme="minorEastAsia" w:hint="eastAsia"/>
          <w:bCs/>
        </w:rPr>
        <w:t>董事会可持续发展委员会召开</w:t>
      </w:r>
      <w:r>
        <w:rPr>
          <w:rFonts w:asciiTheme="minorEastAsia" w:eastAsiaTheme="minorEastAsia" w:hAnsiTheme="minorEastAsia"/>
          <w:bCs/>
        </w:rPr>
        <w:t>1</w:t>
      </w:r>
      <w:r>
        <w:rPr>
          <w:rFonts w:asciiTheme="minorEastAsia" w:eastAsiaTheme="minorEastAsia" w:hAnsiTheme="minorEastAsia" w:hint="eastAsia"/>
          <w:bCs/>
        </w:rPr>
        <w:t>次会议。具体情况如下：</w:t>
      </w:r>
    </w:p>
    <w:tbl>
      <w:tblPr>
        <w:tblStyle w:val="g5"/>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562"/>
        <w:gridCol w:w="1984"/>
        <w:gridCol w:w="992"/>
        <w:gridCol w:w="710"/>
        <w:gridCol w:w="2432"/>
      </w:tblGrid>
      <w:tr>
        <w:sdt>
          <w:sdtPr>
            <w:rPr>
              <w:rFonts w:hint="eastAsia"/>
            </w:rPr>
            <w:tag w:val="_PLD_81aefc289fbf48b1865138608d8bd14f"/>
            <w:id w:val="-512384967"/>
          </w:sdtPr>
          <w:sdtContent>
            <w:tc>
              <w:tcPr>
                <w:tcW w:w="642" w:type="pct"/>
                <w:shd w:val="clear" w:color="auto" w:fill="auto"/>
                <w:vAlign w:val="center"/>
              </w:tcPr>
              <w:p>
                <w:pPr>
                  <w:jc w:val="center"/>
                </w:pPr>
                <w:r>
                  <w:rPr>
                    <w:rFonts w:hint="eastAsia"/>
                  </w:rPr>
                  <w:t>召开日期</w:t>
                </w:r>
              </w:p>
            </w:tc>
          </w:sdtContent>
        </w:sdt>
        <w:sdt>
          <w:sdtPr>
            <w:rPr>
              <w:rFonts w:hint="eastAsia"/>
            </w:rPr>
            <w:tag w:val="_PLD_9d24b601ec70414eb969daf6b393edc8"/>
            <w:id w:val="200756757"/>
          </w:sdtPr>
          <w:sdtContent>
            <w:tc>
              <w:tcPr>
                <w:tcW w:w="886" w:type="pct"/>
                <w:shd w:val="clear" w:color="auto" w:fill="auto"/>
                <w:vAlign w:val="center"/>
              </w:tcPr>
              <w:p>
                <w:pPr>
                  <w:jc w:val="center"/>
                </w:pPr>
                <w:r>
                  <w:rPr>
                    <w:rFonts w:hint="eastAsia"/>
                  </w:rPr>
                  <w:t>会议内容</w:t>
                </w:r>
              </w:p>
            </w:tc>
          </w:sdtContent>
        </w:sdt>
        <w:sdt>
          <w:sdtPr>
            <w:rPr>
              <w:rFonts w:hint="eastAsia"/>
            </w:rPr>
            <w:tag w:val="_PLD_6ea19dadc3684e98a6d98faaf035a9d9"/>
            <w:id w:val="-1008516789"/>
          </w:sdtPr>
          <w:sdtContent>
            <w:tc>
              <w:tcPr>
                <w:tcW w:w="1126" w:type="pct"/>
                <w:shd w:val="clear" w:color="auto" w:fill="auto"/>
                <w:vAlign w:val="center"/>
              </w:tcPr>
              <w:p>
                <w:pPr>
                  <w:jc w:val="center"/>
                </w:pPr>
                <w:r>
                  <w:rPr>
                    <w:rFonts w:hint="eastAsia"/>
                  </w:rPr>
                  <w:t>重要意见和建议</w:t>
                </w:r>
              </w:p>
            </w:tc>
          </w:sdtContent>
        </w:sdt>
        <w:tc>
          <w:tcPr>
            <w:tcW w:w="563" w:type="pct"/>
            <w:shd w:val="clear" w:color="auto" w:fill="auto"/>
            <w:vAlign w:val="center"/>
          </w:tcPr>
          <w:p>
            <w:pPr>
              <w:jc w:val="center"/>
            </w:pPr>
            <w:r>
              <w:rPr>
                <w:rFonts w:hint="eastAsia"/>
              </w:rPr>
              <w:t>委员</w:t>
            </w:r>
          </w:p>
        </w:tc>
        <w:tc>
          <w:tcPr>
            <w:tcW w:w="403" w:type="pct"/>
            <w:shd w:val="clear" w:color="auto" w:fill="auto"/>
            <w:vAlign w:val="center"/>
          </w:tcPr>
          <w:p>
            <w:pPr>
              <w:jc w:val="center"/>
            </w:pPr>
            <w:r>
              <w:rPr>
                <w:rFonts w:hint="eastAsia"/>
              </w:rPr>
              <w:t>出席会议</w:t>
            </w:r>
          </w:p>
        </w:tc>
        <w:sdt>
          <w:sdtPr>
            <w:rPr>
              <w:rFonts w:hint="eastAsia"/>
            </w:rPr>
            <w:tag w:val="_PLD_ef03d3ffb00740008011022cb6a96805"/>
            <w:id w:val="1015805026"/>
          </w:sdtPr>
          <w:sdtContent>
            <w:tc>
              <w:tcPr>
                <w:tcW w:w="1380" w:type="pct"/>
                <w:shd w:val="clear" w:color="auto" w:fill="auto"/>
                <w:vAlign w:val="center"/>
              </w:tcPr>
              <w:p>
                <w:pPr>
                  <w:jc w:val="center"/>
                </w:pPr>
                <w:r>
                  <w:rPr>
                    <w:rFonts w:hint="eastAsia"/>
                  </w:rPr>
                  <w:t>其他履行职责情况</w:t>
                </w:r>
              </w:p>
            </w:tc>
          </w:sdtContent>
        </w:sdt>
      </w:tr>
      <w:tr>
        <w:tc>
          <w:tcPr>
            <w:tcW w:w="642" w:type="pct"/>
            <w:shd w:val="clear" w:color="auto" w:fill="auto"/>
            <w:vAlign w:val="center"/>
          </w:tcPr>
          <w:p>
            <w:pPr>
              <w:pStyle w:val="affffffd"/>
            </w:pPr>
            <w:r>
              <w:rPr>
                <w:rFonts w:asciiTheme="minorEastAsia" w:eastAsiaTheme="minorEastAsia" w:hAnsiTheme="minorEastAsia" w:hint="eastAsia"/>
              </w:rPr>
              <w:t>2024年</w:t>
            </w:r>
            <w:r>
              <w:rPr>
                <w:rFonts w:asciiTheme="minorEastAsia" w:eastAsiaTheme="minorEastAsia" w:hAnsiTheme="minorEastAsia"/>
              </w:rPr>
              <w:t>3</w:t>
            </w:r>
            <w:r>
              <w:rPr>
                <w:rFonts w:asciiTheme="minorEastAsia" w:eastAsiaTheme="minorEastAsia" w:hAnsiTheme="minorEastAsia" w:hint="eastAsia"/>
              </w:rPr>
              <w:t>月</w:t>
            </w:r>
            <w:r>
              <w:rPr>
                <w:rFonts w:asciiTheme="minorEastAsia" w:eastAsiaTheme="minorEastAsia" w:hAnsiTheme="minorEastAsia"/>
              </w:rPr>
              <w:t>1</w:t>
            </w:r>
            <w:r>
              <w:rPr>
                <w:rFonts w:asciiTheme="minorEastAsia" w:eastAsiaTheme="minorEastAsia" w:hAnsiTheme="minorEastAsia" w:hint="eastAsia"/>
              </w:rPr>
              <w:t>9日</w:t>
            </w:r>
          </w:p>
        </w:tc>
        <w:tc>
          <w:tcPr>
            <w:tcW w:w="886" w:type="pct"/>
            <w:shd w:val="clear" w:color="auto" w:fill="auto"/>
            <w:vAlign w:val="center"/>
          </w:tcPr>
          <w:p>
            <w:pPr>
              <w:pStyle w:val="affffffd"/>
            </w:pPr>
            <w:r>
              <w:rPr>
                <w:rFonts w:asciiTheme="minorEastAsia" w:eastAsiaTheme="minorEastAsia" w:hAnsiTheme="minorEastAsia" w:hint="eastAsia"/>
              </w:rPr>
              <w:t>关于讨论审议《公司</w:t>
            </w: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年度环境、社会及管治报告</w:t>
            </w:r>
            <w:r>
              <w:rPr>
                <w:rFonts w:asciiTheme="minorEastAsia" w:eastAsiaTheme="minorEastAsia" w:hAnsiTheme="minorEastAsia" w:hint="eastAsia"/>
              </w:rPr>
              <w:t>》</w:t>
            </w:r>
            <w:r>
              <w:rPr>
                <w:rFonts w:asciiTheme="minorEastAsia" w:eastAsiaTheme="minorEastAsia" w:hAnsiTheme="minorEastAsia"/>
              </w:rPr>
              <w:t>的议案</w:t>
            </w:r>
            <w:r>
              <w:rPr>
                <w:rFonts w:asciiTheme="minorEastAsia" w:eastAsiaTheme="minorEastAsia" w:hAnsiTheme="minorEastAsia" w:hint="eastAsia"/>
              </w:rPr>
              <w:t>。</w:t>
            </w:r>
          </w:p>
        </w:tc>
        <w:tc>
          <w:tcPr>
            <w:tcW w:w="1126" w:type="pct"/>
            <w:shd w:val="clear" w:color="auto" w:fill="auto"/>
            <w:vAlign w:val="center"/>
          </w:tcPr>
          <w:p>
            <w:pPr>
              <w:pStyle w:val="affffffd"/>
              <w:jc w:val="both"/>
            </w:pPr>
            <w:r>
              <w:rPr>
                <w:rFonts w:asciiTheme="minorEastAsia" w:eastAsiaTheme="minorEastAsia" w:hAnsiTheme="minorEastAsia" w:hint="eastAsia"/>
              </w:rPr>
              <w:t>通过《关于讨论审议〈公司</w:t>
            </w:r>
            <w:r>
              <w:rPr>
                <w:rFonts w:asciiTheme="minorEastAsia" w:eastAsiaTheme="minorEastAsia" w:hAnsiTheme="minorEastAsia"/>
              </w:rPr>
              <w:t>202</w:t>
            </w:r>
            <w:r>
              <w:rPr>
                <w:rFonts w:asciiTheme="minorEastAsia" w:eastAsiaTheme="minorEastAsia" w:hAnsiTheme="minorEastAsia" w:hint="eastAsia"/>
              </w:rPr>
              <w:t>3</w:t>
            </w:r>
            <w:r>
              <w:rPr>
                <w:rFonts w:asciiTheme="minorEastAsia" w:eastAsiaTheme="minorEastAsia" w:hAnsiTheme="minorEastAsia"/>
              </w:rPr>
              <w:t>年度环境、社会及管治报告〉的议案</w:t>
            </w:r>
            <w:r>
              <w:rPr>
                <w:rFonts w:asciiTheme="minorEastAsia" w:eastAsiaTheme="minorEastAsia" w:hAnsiTheme="minorEastAsia" w:hint="eastAsia"/>
              </w:rPr>
              <w:t>》，并提交公司董事会讨论审议。</w:t>
            </w:r>
          </w:p>
        </w:tc>
        <w:tc>
          <w:tcPr>
            <w:tcW w:w="563"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朱  睿肖耀猛</w:t>
            </w:r>
          </w:p>
          <w:p>
            <w:pPr>
              <w:jc w:val="center"/>
            </w:pPr>
            <w:r>
              <w:rPr>
                <w:rFonts w:asciiTheme="minorEastAsia" w:eastAsiaTheme="minorEastAsia" w:hAnsiTheme="minorEastAsia" w:hint="eastAsia"/>
              </w:rPr>
              <w:t>朱利民</w:t>
            </w:r>
          </w:p>
        </w:tc>
        <w:tc>
          <w:tcPr>
            <w:tcW w:w="403"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w:t>
            </w:r>
          </w:p>
          <w:p>
            <w:pPr>
              <w:jc w:val="center"/>
              <w:rPr>
                <w:rFonts w:asciiTheme="minorEastAsia" w:eastAsiaTheme="minorEastAsia" w:hAnsiTheme="minorEastAsia"/>
              </w:rPr>
            </w:pPr>
            <w:r>
              <w:rPr>
                <w:rFonts w:asciiTheme="minorEastAsia" w:eastAsiaTheme="minorEastAsia" w:hAnsiTheme="minorEastAsia" w:hint="eastAsia"/>
              </w:rPr>
              <w:t>√</w:t>
            </w:r>
          </w:p>
          <w:p>
            <w:pPr>
              <w:jc w:val="center"/>
            </w:pPr>
            <w:r>
              <w:rPr>
                <w:rFonts w:asciiTheme="minorEastAsia" w:eastAsiaTheme="minorEastAsia" w:hAnsiTheme="minorEastAsia" w:hint="eastAsia"/>
              </w:rPr>
              <w:t>√</w:t>
            </w:r>
          </w:p>
        </w:tc>
        <w:tc>
          <w:tcPr>
            <w:tcW w:w="1380" w:type="pct"/>
            <w:shd w:val="clear" w:color="auto" w:fill="auto"/>
            <w:vAlign w:val="center"/>
          </w:tcPr>
          <w:p>
            <w:pPr>
              <w:jc w:val="center"/>
            </w:pPr>
            <w:r>
              <w:rPr>
                <w:rFonts w:asciiTheme="minorEastAsia" w:eastAsiaTheme="minorEastAsia" w:hAnsiTheme="minorEastAsia" w:hint="eastAsia"/>
              </w:rPr>
              <w:t>-</w:t>
            </w:r>
          </w:p>
        </w:tc>
      </w:tr>
    </w:tbl>
    <w:p>
      <w:pPr>
        <w:pStyle w:val="affffffff"/>
        <w:ind w:firstLineChars="200" w:firstLine="420"/>
        <w:jc w:val="both"/>
      </w:pPr>
      <w:r>
        <w:rPr>
          <w:rFonts w:hint="eastAsia"/>
        </w:rPr>
        <w:t>注：经公司2023年6月30日召开的第九届董事会第一次会议讨论审议，批准由朱睿女士、肖耀猛先生、朱利民先生三位委员组成公司第九届董事会可持续发展委员会，朱睿女士担任可持续发展委员会主任。</w:t>
      </w:r>
    </w:p>
    <w:p>
      <w:pPr>
        <w:pStyle w:val="affffffff"/>
        <w:ind w:firstLineChars="200" w:firstLine="420"/>
        <w:jc w:val="both"/>
      </w:pPr>
      <w:r>
        <w:rPr>
          <w:rFonts w:hint="eastAsia"/>
        </w:rPr>
        <w:t>2025年3月18日，公司召开第九届董事会可持续发展委员会第二次会议，通过《关于讨论审议公司〈2024年度环境、社会及管治报告〉的议案》，并提交公司董事会讨论审议。</w:t>
      </w:r>
    </w:p>
    <w:p>
      <w:pPr>
        <w:pStyle w:val="affffffff"/>
      </w:pPr>
    </w:p>
    <w:p>
      <w:pPr>
        <w:pStyle w:val="afffffff1"/>
        <w:numPr>
          <w:ilvl w:val="0"/>
          <w:numId w:val="38"/>
        </w:numPr>
      </w:pPr>
      <w:r>
        <w:rPr>
          <w:rFonts w:hint="eastAsia"/>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357496704"/>
        <w:placeholder>
          <w:docPart w:val="GBC22222222222222222222222222222"/>
        </w:placeholder>
      </w:sdtPr>
      <w:sdtContent>
        <w:p>
          <w:pPr>
            <w:pStyle w:val="affffffff"/>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
        <w:numPr>
          <w:ilvl w:val="0"/>
          <w:numId w:val="34"/>
        </w:numPr>
      </w:pPr>
      <w:r>
        <w:t>监事会发现公司存在风险的说明</w:t>
      </w:r>
    </w:p>
    <w:sdt>
      <w:sdtPr>
        <w:alias w:val="是否适用：监事会发现公司存在风险的说明[双击切换]"/>
        <w:tag w:val="_GBC_987bc6e795084351a58e9d0bca47f246"/>
        <w:id w:val="341357945"/>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ind w:firstLineChars="200" w:firstLine="420"/>
        <w:rPr>
          <w:rFonts w:asciiTheme="minorEastAsia" w:eastAsiaTheme="minorEastAsia" w:hAnsiTheme="minorEastAsia"/>
        </w:rPr>
      </w:pPr>
      <w:r>
        <w:rPr>
          <w:rFonts w:asciiTheme="minorEastAsia" w:eastAsiaTheme="minorEastAsia" w:hAnsiTheme="minorEastAsia" w:hint="eastAsia"/>
        </w:rPr>
        <w:t>报告期内，本公司全体监事按照《公司法》《公司章程》的有关规定，依据《监事会议事规则》认真履行监督职能，维护公司和全体股东权益，遵照诚信原则谨慎、勤勉地开展工作。</w:t>
      </w:r>
    </w:p>
    <w:p>
      <w:pPr>
        <w:ind w:firstLineChars="200" w:firstLine="420"/>
        <w:rPr>
          <w:szCs w:val="21"/>
        </w:rPr>
      </w:pPr>
      <w:r>
        <w:rPr>
          <w:rFonts w:asciiTheme="minorEastAsia" w:eastAsiaTheme="minorEastAsia" w:hAnsiTheme="minorEastAsia" w:hint="eastAsia"/>
        </w:rPr>
        <w:t>本公司监事会对报告期内监督事项无异议，在报告期内未发现公司存在风险。</w:t>
      </w:r>
    </w:p>
    <w:p>
      <w:pPr>
        <w:pStyle w:val="affffffff"/>
      </w:pPr>
    </w:p>
    <w:p>
      <w:pPr>
        <w:pStyle w:val="afffffff"/>
        <w:numPr>
          <w:ilvl w:val="0"/>
          <w:numId w:val="34"/>
        </w:numPr>
      </w:pPr>
      <w:r>
        <w:rPr>
          <w:rFonts w:ascii="宋体" w:hAnsi="宋体" w:cs="宋体" w:hint="eastAsia"/>
          <w:kern w:val="0"/>
          <w:szCs w:val="24"/>
        </w:rPr>
        <w:t>报告期末</w:t>
      </w:r>
      <w:r>
        <w:rPr>
          <w:rFonts w:ascii="宋体" w:hAnsi="宋体" w:cs="宋体"/>
          <w:kern w:val="0"/>
          <w:szCs w:val="24"/>
        </w:rPr>
        <w:t>母公司和主要子公司的员工情况</w:t>
      </w:r>
    </w:p>
    <w:p>
      <w:pPr>
        <w:pStyle w:val="afffffff1"/>
        <w:numPr>
          <w:ilvl w:val="0"/>
          <w:numId w:val="56"/>
        </w:numPr>
        <w:rPr>
          <w:szCs w:val="21"/>
        </w:rPr>
      </w:pPr>
      <w:r>
        <w:rPr>
          <w:szCs w:val="21"/>
        </w:rPr>
        <w:t>员工情况</w:t>
      </w:r>
    </w:p>
    <w:tbl>
      <w:tblPr>
        <w:tblStyle w:val="g12"/>
        <w:tblW w:w="5000" w:type="pct"/>
        <w:tblInd w:w="0" w:type="dxa"/>
        <w:tblCellMar>
          <w:left w:w="108" w:type="dxa"/>
          <w:right w:w="108" w:type="dxa"/>
        </w:tblCellMar>
        <w:tblLook w:val="04A0" w:firstRow="1" w:lastRow="0" w:firstColumn="1" w:lastColumn="0" w:noHBand="0" w:noVBand="1"/>
      </w:tblPr>
      <w:tblGrid>
        <w:gridCol w:w="4411"/>
        <w:gridCol w:w="4412"/>
      </w:tblGrid>
      <w:tr>
        <w:trPr>
          <w:trHeight w:val="120"/>
        </w:trPr>
        <w:sdt>
          <w:sdtPr>
            <w:tag w:val="_PLD_cff5d8823807446facbb16ac3f50949e"/>
            <w:id w:val="1370795917"/>
          </w:sdtPr>
          <w:sdtContent>
            <w:tc>
              <w:tcPr>
                <w:tcW w:w="2500" w:type="pct"/>
              </w:tcPr>
              <w:p>
                <w:pPr>
                  <w:rPr>
                    <w:szCs w:val="21"/>
                  </w:rPr>
                </w:pPr>
                <w:r>
                  <w:rPr>
                    <w:szCs w:val="21"/>
                  </w:rPr>
                  <w:t>母公司在职员工的数量</w:t>
                </w:r>
              </w:p>
            </w:tc>
          </w:sdtContent>
        </w:sdt>
        <w:sdt>
          <w:sdtPr>
            <w:rPr>
              <w:rFonts w:ascii="Times New Roman" w:hAnsi="Times New Roman"/>
              <w:szCs w:val="21"/>
            </w:rPr>
            <w:alias w:val="母公司在职员工的数量"/>
            <w:tag w:val="_GBC_abd1eca65c1c4a43937ae4fdd8599b5b"/>
            <w:id w:val="254256444"/>
          </w:sdtPr>
          <w:sdtContent>
            <w:tc>
              <w:tcPr>
                <w:tcW w:w="2500" w:type="pct"/>
              </w:tcPr>
              <w:p>
                <w:pPr>
                  <w:jc w:val="right"/>
                  <w:rPr>
                    <w:szCs w:val="21"/>
                  </w:rPr>
                </w:pPr>
                <w:r>
                  <w:rPr>
                    <w:rFonts w:asciiTheme="minorEastAsia" w:eastAsiaTheme="minorEastAsia" w:hAnsiTheme="minorEastAsia" w:hint="eastAsia"/>
                    <w:szCs w:val="21"/>
                  </w:rPr>
                  <w:t>33,241</w:t>
                </w:r>
              </w:p>
            </w:tc>
          </w:sdtContent>
        </w:sdt>
      </w:tr>
      <w:tr>
        <w:trPr>
          <w:trHeight w:val="195"/>
        </w:trPr>
        <w:tc>
          <w:tcPr>
            <w:tcW w:w="2500" w:type="pct"/>
          </w:tcPr>
          <w:p>
            <w:pPr>
              <w:rPr>
                <w:szCs w:val="21"/>
              </w:rPr>
            </w:pPr>
            <w:r>
              <w:rPr>
                <w:szCs w:val="21"/>
              </w:rPr>
              <w:t>主要子公司在职员工的数量</w:t>
            </w:r>
          </w:p>
        </w:tc>
        <w:tc>
          <w:tcPr>
            <w:tcW w:w="2500" w:type="pct"/>
          </w:tcPr>
          <w:p>
            <w:pPr>
              <w:jc w:val="right"/>
              <w:rPr>
                <w:szCs w:val="21"/>
              </w:rPr>
            </w:pPr>
            <w:r>
              <w:rPr>
                <w:rFonts w:hint="eastAsia"/>
                <w:szCs w:val="21"/>
              </w:rPr>
              <w:t>44,716</w:t>
            </w:r>
          </w:p>
        </w:tc>
      </w:tr>
      <w:tr>
        <w:trPr>
          <w:trHeight w:val="116"/>
        </w:trPr>
        <w:tc>
          <w:tcPr>
            <w:tcW w:w="2500" w:type="pct"/>
          </w:tcPr>
          <w:p>
            <w:pPr>
              <w:rPr>
                <w:szCs w:val="21"/>
              </w:rPr>
            </w:pPr>
            <w:r>
              <w:rPr>
                <w:szCs w:val="21"/>
              </w:rPr>
              <w:t>在职员工的数量合计</w:t>
            </w:r>
          </w:p>
        </w:tc>
        <w:tc>
          <w:tcPr>
            <w:tcW w:w="2500" w:type="pct"/>
          </w:tcPr>
          <w:p>
            <w:pPr>
              <w:jc w:val="right"/>
              <w:rPr>
                <w:szCs w:val="21"/>
              </w:rPr>
            </w:pPr>
            <w:r>
              <w:rPr>
                <w:rFonts w:hint="eastAsia"/>
                <w:szCs w:val="21"/>
              </w:rPr>
              <w:t>77,957</w:t>
            </w:r>
          </w:p>
        </w:tc>
      </w:tr>
      <w:tr>
        <w:trPr>
          <w:trHeight w:val="180"/>
        </w:trPr>
        <w:tc>
          <w:tcPr>
            <w:tcW w:w="2500" w:type="pct"/>
          </w:tcPr>
          <w:p>
            <w:pPr>
              <w:rPr>
                <w:szCs w:val="21"/>
              </w:rPr>
            </w:pPr>
            <w:r>
              <w:rPr>
                <w:szCs w:val="21"/>
              </w:rPr>
              <w:t>母公司及主要子公司需承担费用的离退休职工人数</w:t>
            </w:r>
          </w:p>
        </w:tc>
        <w:tc>
          <w:tcPr>
            <w:tcW w:w="2500" w:type="pct"/>
          </w:tcPr>
          <w:p>
            <w:pPr>
              <w:jc w:val="right"/>
              <w:rPr>
                <w:szCs w:val="21"/>
              </w:rPr>
            </w:pPr>
            <w:r>
              <w:rPr>
                <w:szCs w:val="21"/>
              </w:rPr>
              <w:t>71</w:t>
            </w:r>
            <w:r>
              <w:rPr>
                <w:rFonts w:hint="eastAsia"/>
                <w:szCs w:val="21"/>
              </w:rPr>
              <w:t>,</w:t>
            </w:r>
            <w:r>
              <w:rPr>
                <w:szCs w:val="21"/>
              </w:rPr>
              <w:t>733</w:t>
            </w:r>
          </w:p>
        </w:tc>
      </w:tr>
      <w:tr>
        <w:trPr>
          <w:trHeight w:val="101"/>
        </w:trPr>
        <w:sdt>
          <w:sdtPr>
            <w:tag w:val="_PLD_f37d0297c6bb44dea272632ad4d910e4"/>
            <w:id w:val="1052660924"/>
          </w:sdtPr>
          <w:sdtContent>
            <w:tc>
              <w:tcPr>
                <w:tcW w:w="5000" w:type="pct"/>
                <w:gridSpan w:val="2"/>
                <w:vAlign w:val="center"/>
              </w:tcPr>
              <w:p>
                <w:pPr>
                  <w:jc w:val="center"/>
                  <w:rPr>
                    <w:szCs w:val="21"/>
                  </w:rPr>
                </w:pPr>
                <w:r>
                  <w:rPr>
                    <w:szCs w:val="21"/>
                  </w:rPr>
                  <w:t>专业构成</w:t>
                </w:r>
              </w:p>
            </w:tc>
          </w:sdtContent>
        </w:sdt>
      </w:tr>
      <w:tr>
        <w:trPr>
          <w:trHeight w:val="150"/>
        </w:trPr>
        <w:sdt>
          <w:sdtPr>
            <w:tag w:val="_PLD_90bef974c0c14508b11a7e84e6f364c5"/>
            <w:id w:val="129449910"/>
          </w:sdtPr>
          <w:sdtContent>
            <w:tc>
              <w:tcPr>
                <w:tcW w:w="2500" w:type="pct"/>
              </w:tcPr>
              <w:p>
                <w:pPr>
                  <w:jc w:val="center"/>
                  <w:rPr>
                    <w:szCs w:val="21"/>
                  </w:rPr>
                </w:pPr>
                <w:r>
                  <w:rPr>
                    <w:szCs w:val="21"/>
                  </w:rPr>
                  <w:t>专业构成类别</w:t>
                </w:r>
              </w:p>
            </w:tc>
          </w:sdtContent>
        </w:sdt>
        <w:sdt>
          <w:sdtPr>
            <w:tag w:val="_PLD_a5f175a6b2a94ee7a70936fbe5cbc8da"/>
            <w:id w:val="-1959946723"/>
          </w:sdtPr>
          <w:sdtContent>
            <w:tc>
              <w:tcPr>
                <w:tcW w:w="2500" w:type="pct"/>
              </w:tcPr>
              <w:p>
                <w:pPr>
                  <w:jc w:val="center"/>
                  <w:rPr>
                    <w:szCs w:val="21"/>
                  </w:rPr>
                </w:pPr>
                <w:r>
                  <w:rPr>
                    <w:szCs w:val="21"/>
                  </w:rPr>
                  <w:t>专业构成人数</w:t>
                </w:r>
              </w:p>
            </w:tc>
          </w:sdtContent>
        </w:sdt>
      </w:tr>
      <w:tr>
        <w:trPr>
          <w:trHeight w:val="150"/>
        </w:trPr>
        <w:tc>
          <w:tcPr>
            <w:tcW w:w="2500" w:type="pct"/>
          </w:tcPr>
          <w:p>
            <w:pPr>
              <w:jc w:val="center"/>
              <w:rPr>
                <w:szCs w:val="21"/>
              </w:rPr>
            </w:pPr>
            <w:r>
              <w:rPr>
                <w:szCs w:val="21"/>
              </w:rPr>
              <w:t>生产人员</w:t>
            </w:r>
          </w:p>
        </w:tc>
        <w:tc>
          <w:tcPr>
            <w:tcW w:w="2500" w:type="pct"/>
          </w:tcPr>
          <w:p>
            <w:pPr>
              <w:jc w:val="right"/>
              <w:rPr>
                <w:szCs w:val="21"/>
              </w:rPr>
            </w:pPr>
            <w:r>
              <w:rPr>
                <w:rFonts w:hint="eastAsia"/>
                <w:szCs w:val="21"/>
              </w:rPr>
              <w:t>44,108</w:t>
            </w:r>
          </w:p>
        </w:tc>
      </w:tr>
      <w:tr>
        <w:trPr>
          <w:trHeight w:val="150"/>
        </w:trPr>
        <w:tc>
          <w:tcPr>
            <w:tcW w:w="2500" w:type="pct"/>
          </w:tcPr>
          <w:p>
            <w:pPr>
              <w:jc w:val="center"/>
              <w:rPr>
                <w:szCs w:val="21"/>
              </w:rPr>
            </w:pPr>
            <w:r>
              <w:rPr>
                <w:szCs w:val="21"/>
              </w:rPr>
              <w:t>销售人员</w:t>
            </w:r>
          </w:p>
        </w:tc>
        <w:tc>
          <w:tcPr>
            <w:tcW w:w="2500" w:type="pct"/>
          </w:tcPr>
          <w:p>
            <w:pPr>
              <w:jc w:val="right"/>
              <w:rPr>
                <w:szCs w:val="21"/>
              </w:rPr>
            </w:pPr>
            <w:r>
              <w:rPr>
                <w:rFonts w:hint="eastAsia"/>
                <w:szCs w:val="21"/>
              </w:rPr>
              <w:t>796</w:t>
            </w:r>
          </w:p>
        </w:tc>
      </w:tr>
      <w:tr>
        <w:trPr>
          <w:trHeight w:val="101"/>
        </w:trPr>
        <w:tc>
          <w:tcPr>
            <w:tcW w:w="2500" w:type="pct"/>
          </w:tcPr>
          <w:p>
            <w:pPr>
              <w:jc w:val="center"/>
              <w:rPr>
                <w:szCs w:val="21"/>
              </w:rPr>
            </w:pPr>
            <w:r>
              <w:rPr>
                <w:szCs w:val="21"/>
              </w:rPr>
              <w:t>技术人员</w:t>
            </w:r>
          </w:p>
        </w:tc>
        <w:tc>
          <w:tcPr>
            <w:tcW w:w="2500" w:type="pct"/>
          </w:tcPr>
          <w:p>
            <w:pPr>
              <w:jc w:val="right"/>
              <w:rPr>
                <w:szCs w:val="21"/>
              </w:rPr>
            </w:pPr>
            <w:r>
              <w:rPr>
                <w:rFonts w:hint="eastAsia"/>
                <w:szCs w:val="21"/>
              </w:rPr>
              <w:t>5,747</w:t>
            </w:r>
          </w:p>
        </w:tc>
      </w:tr>
      <w:tr>
        <w:trPr>
          <w:trHeight w:val="116"/>
        </w:trPr>
        <w:tc>
          <w:tcPr>
            <w:tcW w:w="2500" w:type="pct"/>
          </w:tcPr>
          <w:p>
            <w:pPr>
              <w:jc w:val="center"/>
              <w:rPr>
                <w:szCs w:val="21"/>
              </w:rPr>
            </w:pPr>
            <w:r>
              <w:rPr>
                <w:szCs w:val="21"/>
              </w:rPr>
              <w:t>财务人员</w:t>
            </w:r>
          </w:p>
        </w:tc>
        <w:tc>
          <w:tcPr>
            <w:tcW w:w="2500" w:type="pct"/>
          </w:tcPr>
          <w:p>
            <w:pPr>
              <w:jc w:val="right"/>
              <w:rPr>
                <w:szCs w:val="21"/>
              </w:rPr>
            </w:pPr>
            <w:r>
              <w:rPr>
                <w:rFonts w:hint="eastAsia"/>
                <w:szCs w:val="21"/>
              </w:rPr>
              <w:t>858</w:t>
            </w:r>
          </w:p>
        </w:tc>
      </w:tr>
      <w:tr>
        <w:trPr>
          <w:trHeight w:val="165"/>
        </w:trPr>
        <w:tc>
          <w:tcPr>
            <w:tcW w:w="2500" w:type="pct"/>
          </w:tcPr>
          <w:p>
            <w:pPr>
              <w:jc w:val="center"/>
              <w:rPr>
                <w:szCs w:val="21"/>
              </w:rPr>
            </w:pPr>
            <w:r>
              <w:rPr>
                <w:szCs w:val="21"/>
              </w:rPr>
              <w:lastRenderedPageBreak/>
              <w:t>行政人员</w:t>
            </w:r>
          </w:p>
        </w:tc>
        <w:tc>
          <w:tcPr>
            <w:tcW w:w="2500" w:type="pct"/>
          </w:tcPr>
          <w:p>
            <w:pPr>
              <w:jc w:val="right"/>
              <w:rPr>
                <w:szCs w:val="21"/>
              </w:rPr>
            </w:pPr>
            <w:r>
              <w:rPr>
                <w:rFonts w:hint="eastAsia"/>
                <w:szCs w:val="21"/>
              </w:rPr>
              <w:t>4,800</w:t>
            </w:r>
          </w:p>
        </w:tc>
      </w:tr>
      <w:tr>
        <w:trPr>
          <w:trHeight w:val="131"/>
        </w:trPr>
        <w:tc>
          <w:tcPr>
            <w:tcW w:w="2500" w:type="pct"/>
          </w:tcPr>
          <w:p>
            <w:pPr>
              <w:jc w:val="center"/>
              <w:rPr>
                <w:szCs w:val="21"/>
              </w:rPr>
            </w:pPr>
            <w:r>
              <w:rPr>
                <w:rFonts w:hint="eastAsia"/>
                <w:szCs w:val="21"/>
              </w:rPr>
              <w:t>其他辅助人员</w:t>
            </w:r>
          </w:p>
        </w:tc>
        <w:tc>
          <w:tcPr>
            <w:tcW w:w="2500" w:type="pct"/>
          </w:tcPr>
          <w:p>
            <w:pPr>
              <w:jc w:val="right"/>
              <w:rPr>
                <w:szCs w:val="21"/>
              </w:rPr>
            </w:pPr>
            <w:r>
              <w:rPr>
                <w:rFonts w:hint="eastAsia"/>
                <w:szCs w:val="21"/>
              </w:rPr>
              <w:t>21,648</w:t>
            </w:r>
          </w:p>
        </w:tc>
      </w:tr>
      <w:tr>
        <w:trPr>
          <w:trHeight w:val="146"/>
        </w:trPr>
        <w:tc>
          <w:tcPr>
            <w:tcW w:w="2500" w:type="pct"/>
            <w:vAlign w:val="center"/>
          </w:tcPr>
          <w:p>
            <w:pPr>
              <w:jc w:val="center"/>
              <w:rPr>
                <w:szCs w:val="21"/>
              </w:rPr>
            </w:pPr>
            <w:r>
              <w:rPr>
                <w:szCs w:val="21"/>
              </w:rPr>
              <w:t>合计</w:t>
            </w:r>
          </w:p>
        </w:tc>
        <w:tc>
          <w:tcPr>
            <w:tcW w:w="2500" w:type="pct"/>
          </w:tcPr>
          <w:p>
            <w:pPr>
              <w:jc w:val="right"/>
              <w:rPr>
                <w:szCs w:val="21"/>
              </w:rPr>
            </w:pPr>
            <w:r>
              <w:rPr>
                <w:rFonts w:hint="eastAsia"/>
                <w:szCs w:val="21"/>
              </w:rPr>
              <w:t>77,957</w:t>
            </w:r>
          </w:p>
        </w:tc>
      </w:tr>
      <w:tr>
        <w:trPr>
          <w:trHeight w:val="101"/>
        </w:trPr>
        <w:sdt>
          <w:sdtPr>
            <w:tag w:val="_PLD_ea58f2d9c900463a8694fdc78940295e"/>
            <w:id w:val="1042715869"/>
          </w:sdtPr>
          <w:sdtContent>
            <w:tc>
              <w:tcPr>
                <w:tcW w:w="5000" w:type="pct"/>
                <w:gridSpan w:val="2"/>
                <w:vAlign w:val="center"/>
              </w:tcPr>
              <w:p>
                <w:pPr>
                  <w:jc w:val="center"/>
                  <w:rPr>
                    <w:szCs w:val="21"/>
                  </w:rPr>
                </w:pPr>
                <w:r>
                  <w:rPr>
                    <w:szCs w:val="21"/>
                  </w:rPr>
                  <w:t>教育程度</w:t>
                </w:r>
              </w:p>
            </w:tc>
          </w:sdtContent>
        </w:sdt>
      </w:tr>
      <w:tr>
        <w:trPr>
          <w:trHeight w:val="116"/>
        </w:trPr>
        <w:sdt>
          <w:sdtPr>
            <w:tag w:val="_PLD_92fefeded22c454881177d08c5c97d97"/>
            <w:id w:val="1202211536"/>
          </w:sdtPr>
          <w:sdtContent>
            <w:tc>
              <w:tcPr>
                <w:tcW w:w="2500" w:type="pct"/>
              </w:tcPr>
              <w:p>
                <w:pPr>
                  <w:jc w:val="center"/>
                  <w:rPr>
                    <w:szCs w:val="21"/>
                  </w:rPr>
                </w:pPr>
                <w:r>
                  <w:rPr>
                    <w:szCs w:val="21"/>
                  </w:rPr>
                  <w:t>教育程度类别</w:t>
                </w:r>
              </w:p>
            </w:tc>
          </w:sdtContent>
        </w:sdt>
        <w:sdt>
          <w:sdtPr>
            <w:tag w:val="_PLD_2a8ff2c52daa4348bedf7a0e6951a5c6"/>
            <w:id w:val="-95180603"/>
          </w:sdtPr>
          <w:sdtContent>
            <w:tc>
              <w:tcPr>
                <w:tcW w:w="2500" w:type="pct"/>
              </w:tcPr>
              <w:p>
                <w:pPr>
                  <w:jc w:val="center"/>
                  <w:rPr>
                    <w:szCs w:val="21"/>
                  </w:rPr>
                </w:pPr>
                <w:r>
                  <w:rPr>
                    <w:szCs w:val="21"/>
                  </w:rPr>
                  <w:t>数量（人）</w:t>
                </w:r>
              </w:p>
            </w:tc>
          </w:sdtContent>
        </w:sdt>
      </w:tr>
      <w:tr>
        <w:trPr>
          <w:trHeight w:val="131"/>
        </w:trPr>
        <w:tc>
          <w:tcPr>
            <w:tcW w:w="2500" w:type="pct"/>
          </w:tcPr>
          <w:p>
            <w:pPr>
              <w:jc w:val="center"/>
              <w:rPr>
                <w:szCs w:val="21"/>
              </w:rPr>
            </w:pPr>
            <w:r>
              <w:rPr>
                <w:rFonts w:hint="eastAsia"/>
                <w:szCs w:val="21"/>
              </w:rPr>
              <w:t>大专及以上</w:t>
            </w:r>
          </w:p>
        </w:tc>
        <w:tc>
          <w:tcPr>
            <w:tcW w:w="2500" w:type="pct"/>
          </w:tcPr>
          <w:p>
            <w:pPr>
              <w:jc w:val="right"/>
              <w:rPr>
                <w:szCs w:val="21"/>
              </w:rPr>
            </w:pPr>
            <w:r>
              <w:rPr>
                <w:rFonts w:hint="eastAsia"/>
                <w:szCs w:val="21"/>
              </w:rPr>
              <w:t>38,106</w:t>
            </w:r>
          </w:p>
        </w:tc>
      </w:tr>
      <w:tr>
        <w:trPr>
          <w:trHeight w:val="131"/>
        </w:trPr>
        <w:tc>
          <w:tcPr>
            <w:tcW w:w="2500" w:type="pct"/>
          </w:tcPr>
          <w:p>
            <w:pPr>
              <w:jc w:val="center"/>
              <w:rPr>
                <w:szCs w:val="21"/>
              </w:rPr>
            </w:pPr>
            <w:r>
              <w:rPr>
                <w:rFonts w:hint="eastAsia"/>
                <w:szCs w:val="21"/>
              </w:rPr>
              <w:t>中等学历</w:t>
            </w:r>
          </w:p>
        </w:tc>
        <w:tc>
          <w:tcPr>
            <w:tcW w:w="2500" w:type="pct"/>
          </w:tcPr>
          <w:p>
            <w:pPr>
              <w:jc w:val="right"/>
              <w:rPr>
                <w:szCs w:val="21"/>
              </w:rPr>
            </w:pPr>
            <w:r>
              <w:rPr>
                <w:rFonts w:hint="eastAsia"/>
                <w:szCs w:val="21"/>
              </w:rPr>
              <w:t>25,607</w:t>
            </w:r>
          </w:p>
        </w:tc>
      </w:tr>
      <w:tr>
        <w:trPr>
          <w:trHeight w:val="131"/>
        </w:trPr>
        <w:tc>
          <w:tcPr>
            <w:tcW w:w="2500" w:type="pct"/>
          </w:tcPr>
          <w:p>
            <w:pPr>
              <w:jc w:val="center"/>
              <w:rPr>
                <w:szCs w:val="21"/>
              </w:rPr>
            </w:pPr>
            <w:r>
              <w:rPr>
                <w:rFonts w:hint="eastAsia"/>
                <w:szCs w:val="21"/>
              </w:rPr>
              <w:t>初中及以下</w:t>
            </w:r>
          </w:p>
        </w:tc>
        <w:tc>
          <w:tcPr>
            <w:tcW w:w="2500" w:type="pct"/>
          </w:tcPr>
          <w:p>
            <w:pPr>
              <w:jc w:val="right"/>
              <w:rPr>
                <w:szCs w:val="21"/>
              </w:rPr>
            </w:pPr>
            <w:r>
              <w:rPr>
                <w:rFonts w:hint="eastAsia"/>
                <w:szCs w:val="21"/>
              </w:rPr>
              <w:t>14,244</w:t>
            </w:r>
          </w:p>
        </w:tc>
      </w:tr>
      <w:tr>
        <w:trPr>
          <w:trHeight w:val="165"/>
        </w:trPr>
        <w:tc>
          <w:tcPr>
            <w:tcW w:w="2500" w:type="pct"/>
            <w:tcBorders>
              <w:bottom w:val="single" w:sz="4" w:space="0" w:color="auto"/>
            </w:tcBorders>
            <w:vAlign w:val="center"/>
          </w:tcPr>
          <w:p>
            <w:pPr>
              <w:jc w:val="center"/>
              <w:rPr>
                <w:szCs w:val="21"/>
              </w:rPr>
            </w:pPr>
            <w:r>
              <w:rPr>
                <w:szCs w:val="21"/>
              </w:rPr>
              <w:t>合计</w:t>
            </w:r>
          </w:p>
        </w:tc>
        <w:tc>
          <w:tcPr>
            <w:tcW w:w="2500" w:type="pct"/>
            <w:tcBorders>
              <w:bottom w:val="single" w:sz="4" w:space="0" w:color="auto"/>
            </w:tcBorders>
          </w:tcPr>
          <w:p>
            <w:pPr>
              <w:jc w:val="right"/>
              <w:rPr>
                <w:szCs w:val="21"/>
              </w:rPr>
            </w:pPr>
            <w:r>
              <w:rPr>
                <w:rFonts w:hint="eastAsia"/>
                <w:szCs w:val="21"/>
              </w:rPr>
              <w:t>77,957</w:t>
            </w:r>
          </w:p>
        </w:tc>
      </w:tr>
    </w:tbl>
    <w:p>
      <w:pPr>
        <w:rPr>
          <w:szCs w:val="21"/>
        </w:rPr>
      </w:pPr>
    </w:p>
    <w:p>
      <w:pPr>
        <w:pStyle w:val="afffffff1"/>
        <w:numPr>
          <w:ilvl w:val="0"/>
          <w:numId w:val="56"/>
        </w:numPr>
        <w:rPr>
          <w:szCs w:val="21"/>
        </w:rPr>
      </w:pPr>
      <w:r>
        <w:rPr>
          <w:szCs w:val="21"/>
        </w:rPr>
        <w:t>薪酬政策</w:t>
      </w:r>
    </w:p>
    <w:sdt>
      <w:sdtPr>
        <w:rPr>
          <w:rFonts w:hint="eastAsia"/>
          <w:szCs w:val="21"/>
        </w:rPr>
        <w:alias w:val="是否适用：薪酬政策[双击切换]"/>
        <w:tag w:val="_GBC_13404877597d44c38f554884f31b3123"/>
        <w:id w:val="-13687584"/>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538573181"/>
        <w:placeholder>
          <w:docPart w:val="GBC22222222222222222222222222222"/>
        </w:placeholder>
      </w:sdtPr>
      <w:sdtContent>
        <w:sdt>
          <w:sdtPr>
            <w:rPr>
              <w:rFonts w:asciiTheme="minorEastAsia" w:eastAsiaTheme="minorEastAsia" w:hAnsiTheme="minorEastAsia" w:hint="eastAsia"/>
            </w:rPr>
            <w:alias w:val="员工薪酬政策"/>
            <w:tag w:val="_GBC_c66914a8847a42b2b50437dbe93cdad1"/>
            <w:id w:val="63079960"/>
          </w:sdtPr>
          <w:sdtContent>
            <w:p>
              <w:pPr>
                <w:ind w:firstLineChars="200" w:firstLine="420"/>
                <w:jc w:val="both"/>
                <w:rPr>
                  <w:rFonts w:asciiTheme="minorEastAsia" w:eastAsiaTheme="minorEastAsia" w:hAnsiTheme="minorEastAsia"/>
                </w:rPr>
              </w:pPr>
              <w:r>
                <w:rPr>
                  <w:rFonts w:asciiTheme="minorEastAsia" w:eastAsiaTheme="minorEastAsia" w:hAnsiTheme="minorEastAsia" w:hint="eastAsia"/>
                </w:rPr>
                <w:t>2024年度本集团员工的工资与津贴总额为158亿元。董事、监事、高级管理人员薪酬政策详情请见本节“</w:t>
              </w:r>
              <w:r>
                <w:rPr>
                  <w:rFonts w:asciiTheme="minorEastAsia" w:eastAsiaTheme="minorEastAsia" w:hAnsiTheme="minorEastAsia"/>
                </w:rPr>
                <w:t>现任及报告期内离任董事</w:t>
              </w:r>
              <w:r>
                <w:rPr>
                  <w:rFonts w:asciiTheme="minorEastAsia" w:eastAsiaTheme="minorEastAsia" w:hAnsiTheme="minorEastAsia" w:hint="eastAsia"/>
                </w:rPr>
                <w:t>、监事和</w:t>
              </w:r>
              <w:r>
                <w:rPr>
                  <w:rFonts w:asciiTheme="minorEastAsia" w:eastAsiaTheme="minorEastAsia" w:hAnsiTheme="minorEastAsia"/>
                </w:rPr>
                <w:t>高级管理人员持股变动及报酬情况</w:t>
              </w:r>
              <w:r>
                <w:rPr>
                  <w:rFonts w:asciiTheme="minorEastAsia" w:eastAsiaTheme="minorEastAsia" w:hAnsiTheme="minorEastAsia" w:hint="eastAsia"/>
                </w:rPr>
                <w:t>”。</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本集团其他员工的薪酬政策主要是实行以岗位职责及量化考核结果为基础的岗位绩效工资制，并将绩效工资与公司的整体经济效益及个人业绩挂钩考核兑现。</w:t>
              </w:r>
            </w:p>
          </w:sdtContent>
        </w:sdt>
        <w:p>
          <w:pPr>
            <w:rPr>
              <w:szCs w:val="21"/>
            </w:rPr>
          </w:pPr>
        </w:p>
      </w:sdtContent>
    </w:sdt>
    <w:p>
      <w:pPr>
        <w:rPr>
          <w:szCs w:val="21"/>
        </w:rPr>
      </w:pPr>
    </w:p>
    <w:p>
      <w:pPr>
        <w:pStyle w:val="afffffff1"/>
        <w:numPr>
          <w:ilvl w:val="0"/>
          <w:numId w:val="56"/>
        </w:numPr>
        <w:rPr>
          <w:szCs w:val="21"/>
        </w:rPr>
      </w:pPr>
      <w:r>
        <w:rPr>
          <w:szCs w:val="21"/>
        </w:rPr>
        <w:t>培训计划</w:t>
      </w:r>
    </w:p>
    <w:sdt>
      <w:sdtPr>
        <w:rPr>
          <w:rFonts w:hint="eastAsia"/>
          <w:szCs w:val="21"/>
        </w:rPr>
        <w:alias w:val="是否适用：培训计划[双击切换]"/>
        <w:tag w:val="_GBC_123cfa2c006d4970ae10b316c2c1f95a"/>
        <w:id w:val="-1335691615"/>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420301793"/>
        <w:placeholder>
          <w:docPart w:val="GBC22222222222222222222222222222"/>
        </w:placeholder>
      </w:sdtPr>
      <w:sdtContent>
        <w:sdt>
          <w:sdtPr>
            <w:rPr>
              <w:rFonts w:asciiTheme="minorEastAsia" w:eastAsiaTheme="minorEastAsia" w:hAnsiTheme="minorEastAsia" w:hint="eastAsia"/>
            </w:rPr>
            <w:alias w:val="员工培训计划"/>
            <w:tag w:val="_GBC_266f6e1d93824387ae96645a471738b7"/>
            <w:id w:val="-470059134"/>
          </w:sdtPr>
          <w:sdtContent>
            <w:p>
              <w:pPr>
                <w:ind w:firstLineChars="200" w:firstLine="420"/>
                <w:rPr>
                  <w:rFonts w:asciiTheme="minorEastAsia" w:eastAsiaTheme="minorEastAsia" w:hAnsiTheme="minorEastAsia"/>
                </w:rPr>
              </w:pPr>
              <w:r>
                <w:rPr>
                  <w:rFonts w:asciiTheme="minorEastAsia" w:eastAsiaTheme="minorEastAsia" w:hAnsiTheme="minorEastAsia" w:hint="eastAsia"/>
                </w:rPr>
                <w:t>本集团重视员工技能和业务素质培训。不断拓宽教育培训渠道，充分利用各类培训机构，采用形式多样的培训方式，有重点地进行业务技能培训，稳步推进实施管理培训、继续教育、技能培训、安全培训、转岗培训、岗前培训及其他培训。2024年全年计划脱产培训9.52万人次，实际完成10.90万人次，完成计划的114%。</w:t>
              </w:r>
            </w:p>
          </w:sdtContent>
        </w:sdt>
        <w:p>
          <w:pPr>
            <w:rPr>
              <w:szCs w:val="21"/>
            </w:rPr>
          </w:pPr>
        </w:p>
      </w:sdtContent>
    </w:sdt>
    <w:p>
      <w:pPr>
        <w:rPr>
          <w:szCs w:val="21"/>
        </w:rPr>
      </w:pPr>
    </w:p>
    <w:p>
      <w:pPr>
        <w:pStyle w:val="afffffff1"/>
        <w:numPr>
          <w:ilvl w:val="0"/>
          <w:numId w:val="56"/>
        </w:numPr>
        <w:rPr>
          <w:szCs w:val="21"/>
        </w:rPr>
      </w:pPr>
      <w:r>
        <w:rPr>
          <w:szCs w:val="21"/>
        </w:rPr>
        <w:t>劳务外包情况</w:t>
      </w:r>
    </w:p>
    <w:sdt>
      <w:sdtPr>
        <w:alias w:val="是否适用：劳务外包情况[双击切换]"/>
        <w:tag w:val="_GBC_7647f15955ca4a4f9916c280d684fbc0"/>
        <w:id w:val="1185404967"/>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
        <w:numPr>
          <w:ilvl w:val="0"/>
          <w:numId w:val="34"/>
        </w:numPr>
      </w:pPr>
      <w:r>
        <w:t>利润分配或资本公积金转增预案</w:t>
      </w:r>
    </w:p>
    <w:p>
      <w:pPr>
        <w:pStyle w:val="afffffff1"/>
        <w:numPr>
          <w:ilvl w:val="0"/>
          <w:numId w:val="39"/>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1201317056"/>
        <w:placeholder>
          <w:docPart w:val="GBC22222222222222222222222222222"/>
        </w:placeholder>
      </w:sdtPr>
      <w:sdtContent>
        <w:p>
          <w:pPr>
            <w:pStyle w:val="affffffff"/>
          </w:pPr>
          <w:r>
            <w:fldChar w:fldCharType="begin"/>
          </w:r>
          <w:r>
            <w:instrText xml:space="preserve"> </w:instrText>
          </w:r>
          <w:r>
            <w:rPr>
              <w:rFonts w:hint="eastAsia"/>
            </w:rPr>
            <w:instrText xml:space="preserve">MACROBUTTON  SnrToggleCheckbox √适用 </w:instrText>
          </w:r>
          <w:r>
            <w:instrText xml:space="preserve">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267041924"/>
        <w:placeholder>
          <w:docPart w:val="GBC22222222222222222222222222222"/>
        </w:placeholder>
      </w:sdtPr>
      <w:sdtContent>
        <w:p>
          <w:pPr>
            <w:pStyle w:val="affffffff"/>
          </w:pPr>
        </w:p>
        <w:p>
          <w:pPr>
            <w:ind w:firstLineChars="200" w:firstLine="420"/>
            <w:jc w:val="both"/>
          </w:pPr>
          <w:r>
            <w:rPr>
              <w:rFonts w:hint="eastAsia"/>
            </w:rPr>
            <w:t>公司规定的现金分红政策为：公司可以采用现金、股票或者现金与股票相结合的方式进行利润分配。当具备现金分红条件时，现金股利优先于股票股利。公司在分配有关会计年度的税后利润时，以两种财务报表（按中国会计准则编制的财务报表、按国际或者境外上市地会计准则编制的财务报表）税后利润数较少者为准。公司分配当年税后利润时，应当提取利润的百分之十列入公司法定公积金。公司法定公积金累计额为公司注册资本的百分之五十以上的，可以不再提取。公司每年分配末期股利一次，由股东大会通过普通决议授权董事会分配和支付该末期股利；除非股东大会另有决议，股东大会授权董事会分配中期股利。在优先保证公司可持续发展、公司当年盈利且累计未分配利润为正的前提下，除有重大投资计划或重大现金需求外，公司在该会计年度分配的现金股利总额，应占公司该年度扣除法定储备后净利润的约百分之三十五。公司在经营情况良好，并且董事会认为公司股票价格与公司股本规模不匹配、发放股票股利有利于公司全体股东整体利益及其他必要情形时，可采用股票形式进行利润分配。</w:t>
          </w:r>
        </w:p>
        <w:p>
          <w:pPr>
            <w:pStyle w:val="affffffff"/>
            <w:jc w:val="both"/>
          </w:pPr>
        </w:p>
        <w:p>
          <w:pPr>
            <w:pStyle w:val="affffffff"/>
            <w:ind w:firstLineChars="200" w:firstLine="420"/>
            <w:jc w:val="both"/>
          </w:pPr>
          <w:r>
            <w:rPr>
              <w:rFonts w:hint="eastAsia"/>
            </w:rPr>
            <w:lastRenderedPageBreak/>
            <w:t>经公司</w:t>
          </w:r>
          <w:r>
            <w:t>2023年10月27日召开的2023年第一次临时股东大会审议批准，公司2023-2025年度现金分红比例确定为：公司在各会计年度分配的现金股利总额，应占公司该年度扣除法定储备后净利润的约百分之六十，且每股现金股利不低于0.50元。</w:t>
          </w:r>
        </w:p>
        <w:p>
          <w:pPr>
            <w:pStyle w:val="affffffff"/>
            <w:ind w:firstLineChars="200" w:firstLine="420"/>
            <w:jc w:val="both"/>
          </w:pPr>
        </w:p>
        <w:p>
          <w:pPr>
            <w:pStyle w:val="affffffff"/>
            <w:ind w:firstLineChars="200" w:firstLine="420"/>
            <w:jc w:val="both"/>
          </w:pPr>
          <w:r>
            <w:rPr>
              <w:rFonts w:hint="eastAsia"/>
            </w:rPr>
            <w:t>经公司</w:t>
          </w:r>
          <w:r>
            <w:t>2024年6月21日召开的2023年度股东周年大会审议批准，公司2023年度权益分派方案为每10股送红股3股，并每10股派发现金股利14.90元（含税）。截至本报告披露日，2023年度权益分派已实施完毕。</w:t>
          </w:r>
        </w:p>
        <w:p>
          <w:pPr>
            <w:pStyle w:val="affffffff"/>
            <w:ind w:firstLineChars="200" w:firstLine="420"/>
            <w:jc w:val="both"/>
          </w:pPr>
        </w:p>
        <w:p>
          <w:pPr>
            <w:pStyle w:val="affffffff"/>
            <w:ind w:firstLineChars="200" w:firstLine="420"/>
            <w:jc w:val="both"/>
          </w:pPr>
          <w:r>
            <w:rPr>
              <w:rFonts w:hint="eastAsia"/>
            </w:rPr>
            <w:t>经公司</w:t>
          </w:r>
          <w:r>
            <w:t>2024年10月25日召开的2024年度第一次临时股东大会审议批准，公司2024年半年度权益分派方案为每10股派发现金股利2.30元（含税）。截至本报告披露日，2024年半年度权益分派已实施完毕。</w:t>
          </w:r>
        </w:p>
        <w:p>
          <w:pPr>
            <w:pStyle w:val="affffffff"/>
            <w:ind w:firstLineChars="200" w:firstLine="420"/>
            <w:jc w:val="both"/>
          </w:pPr>
        </w:p>
        <w:p>
          <w:pPr>
            <w:pStyle w:val="affffffff"/>
            <w:ind w:firstLineChars="200" w:firstLine="420"/>
            <w:jc w:val="both"/>
          </w:pPr>
          <w:r>
            <w:t>2024年度，公司按中国会计准则实现归母净利润144.25亿元，按国际财务报告准则实现的归母净利润140.56亿元，根据公司章程及2023-2025年度分红政策，2024年度现金股利为0.77元/股（含税），扣除2024年半年度现金股利0.23元/股（含税）后，公司董事会建议以权益分派股权登记日的总股本为基数，派发</w:t>
          </w:r>
          <w:bookmarkStart w:id="123" w:name="_Hlk194000563"/>
          <w:r>
            <w:rPr>
              <w:rFonts w:hint="eastAsia"/>
            </w:rPr>
            <w:t>2</w:t>
          </w:r>
          <w:r>
            <w:t>024</w:t>
          </w:r>
          <w:r>
            <w:rPr>
              <w:rFonts w:hint="eastAsia"/>
            </w:rPr>
            <w:t>年度</w:t>
          </w:r>
          <w:bookmarkEnd w:id="123"/>
          <w:r>
            <w:rPr>
              <w:rFonts w:hint="eastAsia"/>
            </w:rPr>
            <w:t>末期</w:t>
          </w:r>
          <w:r>
            <w:t>现金股利0.54元/股（含税）。</w:t>
          </w:r>
        </w:p>
        <w:p>
          <w:pPr>
            <w:pStyle w:val="affffffff"/>
            <w:ind w:firstLineChars="200" w:firstLine="420"/>
            <w:jc w:val="both"/>
          </w:pPr>
          <w:r>
            <w:rPr>
              <w:rFonts w:hint="eastAsia"/>
            </w:rPr>
            <w:t>该等分配方案将提交</w:t>
          </w:r>
          <w:r>
            <w:t>2024年度股东周年大会审议，并于股东周年大会批准后两个月内（若被通过）发放给公司股东。根据《公司章程》规定，现金股利将以人民币计算和宣布。</w:t>
          </w:r>
        </w:p>
        <w:p>
          <w:pPr>
            <w:pStyle w:val="affffffff"/>
            <w:ind w:firstLineChars="200" w:firstLine="420"/>
            <w:jc w:val="both"/>
          </w:pPr>
          <w:r>
            <w:rPr>
              <w:rFonts w:hint="eastAsia"/>
            </w:rPr>
            <w:t>在实施权益分派的股权登记日前公司总股本发生变动的，拟维持每股分配金额不变，相应调整分配总额。</w:t>
          </w:r>
        </w:p>
        <w:p>
          <w:pPr>
            <w:pStyle w:val="affffffff"/>
          </w:pPr>
        </w:p>
        <w:p>
          <w:pPr>
            <w:pStyle w:val="affffffff"/>
            <w:ind w:firstLineChars="200" w:firstLine="420"/>
          </w:pPr>
          <w:r>
            <w:rPr>
              <w:rFonts w:hint="eastAsia"/>
            </w:rPr>
            <w:t>公司利润分配方案的制定已充分听取和考虑本公司股东特别是中小股东的意见和诉求，并符合《公司章程》规定，经本公司董事会和股东大会批准执行。</w:t>
          </w:r>
        </w:p>
      </w:sdtContent>
    </w:sdt>
    <w:p>
      <w:pPr>
        <w:pStyle w:val="affffffff"/>
      </w:pPr>
    </w:p>
    <w:p>
      <w:pPr>
        <w:pStyle w:val="afffffff1"/>
        <w:numPr>
          <w:ilvl w:val="0"/>
          <w:numId w:val="39"/>
        </w:numPr>
      </w:pPr>
      <w:r>
        <w:rPr>
          <w:rFonts w:hint="eastAsia"/>
        </w:rPr>
        <w:t>现金分红政策的专项说明</w:t>
      </w:r>
    </w:p>
    <w:sdt>
      <w:sdtPr>
        <w:alias w:val="是否适用：现金分红政策的专项说明 [双击切换]"/>
        <w:tag w:val="_GBC_715d8b6c04924cf19dcd2347ae32471f"/>
        <w:id w:val="2033462108"/>
        <w:placeholder>
          <w:docPart w:val="GBC22222222222222222222222222222"/>
        </w:placeholder>
      </w:sdtPr>
      <w:sdtContent>
        <w:p>
          <w:pPr>
            <w:pStyle w:val="affffffff"/>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8"/>
        <w:gridCol w:w="1945"/>
      </w:tblGrid>
      <w:tr>
        <w:sdt>
          <w:sdtPr>
            <w:tag w:val="_PLD_be5b642d619e47719375899ad34c31f6"/>
            <w:id w:val="-1113359019"/>
          </w:sdtPr>
          <w:sdtContent>
            <w:tc>
              <w:tcPr>
                <w:tcW w:w="3898" w:type="pct"/>
                <w:vAlign w:val="center"/>
              </w:tcPr>
              <w:p>
                <w:pPr>
                  <w:jc w:val="both"/>
                </w:pPr>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2005085557"/>
          </w:sdtPr>
          <w:sdtContent>
            <w:tc>
              <w:tcPr>
                <w:tcW w:w="1102" w:type="pct"/>
                <w:vAlign w:val="center"/>
              </w:tcPr>
              <w:p>
                <w:pPr>
                  <w:jc w:val="both"/>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c>
          <w:tcPr>
            <w:tcW w:w="3898" w:type="pct"/>
            <w:vAlign w:val="center"/>
          </w:tcPr>
          <w:p>
            <w:pPr>
              <w:jc w:val="both"/>
            </w:pPr>
            <w:r>
              <w:rPr>
                <w:rFonts w:hint="eastAsia"/>
              </w:rPr>
              <w:t>分红标准和比例是否明确和清晰</w:t>
            </w:r>
          </w:p>
        </w:tc>
        <w:sdt>
          <w:sdtPr>
            <w:alias w:val="分红标准和比例是否明确和清晰[双击切换]"/>
            <w:tag w:val="_GBC_c8bbad0601c544fca3faeac3b11ee218"/>
            <w:id w:val="1011574738"/>
          </w:sdtPr>
          <w:sdtContent>
            <w:tc>
              <w:tcPr>
                <w:tcW w:w="1102" w:type="pct"/>
                <w:vAlign w:val="center"/>
              </w:tcPr>
              <w:p>
                <w:pPr>
                  <w:jc w:val="both"/>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c>
          <w:tcPr>
            <w:tcW w:w="3898"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相关的决策程序和机制是否完备</w:t>
            </w:r>
          </w:p>
        </w:tc>
        <w:sdt>
          <w:sdtPr>
            <w:alias w:val="相关的决策程序和机制是否完备[双击切换]"/>
            <w:tag w:val="_GBC_b2d0d75abb6f4f14a51595902d0ad7b9"/>
            <w:id w:val="1138231660"/>
          </w:sdtPr>
          <w:sdtContent>
            <w:tc>
              <w:tcPr>
                <w:tcW w:w="1102" w:type="pct"/>
                <w:tcBorders>
                  <w:top w:val="single" w:sz="4" w:space="0" w:color="auto"/>
                  <w:left w:val="single" w:sz="4" w:space="0" w:color="auto"/>
                  <w:bottom w:val="single" w:sz="4" w:space="0" w:color="auto"/>
                  <w:right w:val="single" w:sz="4" w:space="0" w:color="auto"/>
                </w:tcBorders>
                <w:vAlign w:val="center"/>
              </w:tcPr>
              <w:p>
                <w:pPr>
                  <w:jc w:val="both"/>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c>
          <w:tcPr>
            <w:tcW w:w="3898"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独立董事是否履职尽责并发挥了应有的作用</w:t>
            </w:r>
          </w:p>
        </w:tc>
        <w:sdt>
          <w:sdtPr>
            <w:alias w:val="独立董事是否履职尽责并发挥了应有的作用[双击切换]"/>
            <w:tag w:val="_GBC_0b8d249fbcc74af893077c4c7eee16ef"/>
            <w:id w:val="-1105420451"/>
          </w:sdtPr>
          <w:sdtContent>
            <w:tc>
              <w:tcPr>
                <w:tcW w:w="1102" w:type="pct"/>
                <w:tcBorders>
                  <w:top w:val="single" w:sz="4" w:space="0" w:color="auto"/>
                  <w:left w:val="single" w:sz="4" w:space="0" w:color="auto"/>
                  <w:bottom w:val="single" w:sz="4" w:space="0" w:color="auto"/>
                  <w:right w:val="single" w:sz="4" w:space="0" w:color="auto"/>
                </w:tcBorders>
                <w:vAlign w:val="center"/>
              </w:tcPr>
              <w:p>
                <w:pPr>
                  <w:jc w:val="both"/>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c>
          <w:tcPr>
            <w:tcW w:w="3898"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中小股东是否有充分表达意见和诉求的机会，其合法权益是否得到了充分保护</w:t>
            </w:r>
          </w:p>
        </w:tc>
        <w:sdt>
          <w:sdtPr>
            <w:alias w:val="中小股东是否有充分表达意见和诉求的机会，其合法权益是否得到了充分保护[双击切换]"/>
            <w:tag w:val="_GBC_827122507d054bfd80b4c5e8d243a91b"/>
            <w:id w:val="435185198"/>
          </w:sdtPr>
          <w:sdtContent>
            <w:tc>
              <w:tcPr>
                <w:tcW w:w="1102" w:type="pct"/>
                <w:tcBorders>
                  <w:top w:val="single" w:sz="4" w:space="0" w:color="auto"/>
                  <w:left w:val="single" w:sz="4" w:space="0" w:color="auto"/>
                  <w:bottom w:val="single" w:sz="4" w:space="0" w:color="auto"/>
                  <w:right w:val="single" w:sz="4" w:space="0" w:color="auto"/>
                </w:tcBorders>
                <w:vAlign w:val="center"/>
              </w:tcPr>
              <w:p>
                <w:pPr>
                  <w:jc w:val="both"/>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bl>
    <w:p>
      <w:pPr>
        <w:pStyle w:val="affffffff"/>
      </w:pPr>
    </w:p>
    <w:p>
      <w:pPr>
        <w:pStyle w:val="afffffff1"/>
        <w:numPr>
          <w:ilvl w:val="0"/>
          <w:numId w:val="39"/>
        </w:numPr>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1352538488"/>
        <w:placeholder>
          <w:docPart w:val="GBC22222222222222222222222222222"/>
        </w:placeholder>
      </w:sdtPr>
      <w:sdtContent>
        <w:p>
          <w:pPr>
            <w:pStyle w:val="affffffff"/>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1"/>
        <w:numPr>
          <w:ilvl w:val="0"/>
          <w:numId w:val="39"/>
        </w:numPr>
      </w:pPr>
      <w:r>
        <w:rPr>
          <w:rFonts w:hint="eastAsia"/>
        </w:rPr>
        <w:t>本报告期利润分配及资本公积金转增股本预案</w:t>
      </w:r>
    </w:p>
    <w:sdt>
      <w:sdtPr>
        <w:alias w:val="是否适用：利润分配及资本公积金转增股本情况[双击切换]"/>
        <w:tag w:val="_GBC_495a4ba42a0f42f09a8ad4b2fade6559"/>
        <w:id w:val="1749304205"/>
        <w:placeholder>
          <w:docPart w:val="GBC22222222222222222222222222222"/>
        </w:placeholder>
      </w:sdtPr>
      <w:sdtContent>
        <w:p>
          <w:pPr>
            <w:pStyle w:val="affffffff"/>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利润分配及资本公积金转增股本情况"/>
          <w:tag w:val="_GBC_13401d941a944aa6845e12add2d0dd0e"/>
          <w:id w:val="-83060773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利润分配及资本公积金转增股本情况"/>
          <w:tag w:val="_GBC_7b66af31a51f46208037a812a69070e9"/>
          <w:id w:val="20766186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410"/>
        <w:gridCol w:w="4413"/>
      </w:tblGrid>
      <w:tr>
        <w:trPr>
          <w:trHeight w:val="380"/>
        </w:trPr>
        <w:sdt>
          <w:sdtPr>
            <w:tag w:val="_PLD_28cd685f5155420cab6b327b3f81025e"/>
            <w:id w:val="-888649284"/>
          </w:sdtPr>
          <w:sdtContent>
            <w:tc>
              <w:tcPr>
                <w:tcW w:w="2499" w:type="pct"/>
                <w:shd w:val="clear" w:color="auto" w:fill="auto"/>
                <w:vAlign w:val="center"/>
              </w:tcPr>
              <w:p>
                <w:pPr>
                  <w:pStyle w:val="affffffff"/>
                </w:pPr>
                <w:r>
                  <w:t>每10股送红股数（股）</w:t>
                </w:r>
              </w:p>
            </w:tc>
          </w:sdtContent>
        </w:sdt>
        <w:sdt>
          <w:sdtPr>
            <w:alias w:val="每10股送红股数"/>
            <w:tag w:val="_GBC_58f0c45405b7481688ebf758a6c2771d"/>
            <w:id w:val="-142731697"/>
          </w:sdtPr>
          <w:sdtContent>
            <w:tc>
              <w:tcPr>
                <w:tcW w:w="2501" w:type="pct"/>
                <w:vAlign w:val="center"/>
              </w:tcPr>
              <w:p>
                <w:pPr>
                  <w:jc w:val="right"/>
                </w:pPr>
                <w:r>
                  <w:t>-</w:t>
                </w:r>
              </w:p>
            </w:tc>
          </w:sdtContent>
        </w:sdt>
      </w:tr>
      <w:tr>
        <w:trPr>
          <w:trHeight w:val="340"/>
        </w:trPr>
        <w:tc>
          <w:tcPr>
            <w:tcW w:w="2499" w:type="pct"/>
            <w:shd w:val="clear" w:color="auto" w:fill="auto"/>
            <w:vAlign w:val="center"/>
          </w:tcPr>
          <w:p>
            <w:pPr>
              <w:pStyle w:val="affffffff"/>
            </w:pPr>
            <w:r>
              <w:rPr>
                <w:rFonts w:hint="eastAsia"/>
              </w:rPr>
              <w:t>每</w:t>
            </w:r>
            <w:r>
              <w:t>10</w:t>
            </w:r>
            <w:r>
              <w:rPr>
                <w:rFonts w:hint="eastAsia"/>
              </w:rPr>
              <w:t>股派息数（元）（含税）</w:t>
            </w:r>
          </w:p>
        </w:tc>
        <w:tc>
          <w:tcPr>
            <w:tcW w:w="2501" w:type="pct"/>
            <w:vAlign w:val="center"/>
          </w:tcPr>
          <w:p>
            <w:pPr>
              <w:jc w:val="right"/>
            </w:pPr>
            <w:r>
              <w:t>7.70</w:t>
            </w:r>
          </w:p>
        </w:tc>
      </w:tr>
      <w:tr>
        <w:trPr>
          <w:trHeight w:val="340"/>
        </w:trPr>
        <w:tc>
          <w:tcPr>
            <w:tcW w:w="2499" w:type="pct"/>
            <w:shd w:val="clear" w:color="auto" w:fill="auto"/>
            <w:vAlign w:val="center"/>
          </w:tcPr>
          <w:p>
            <w:pPr>
              <w:pStyle w:val="affffffff"/>
            </w:pPr>
            <w:r>
              <w:rPr>
                <w:rFonts w:hint="eastAsia"/>
              </w:rPr>
              <w:t>每</w:t>
            </w:r>
            <w:r>
              <w:t>10</w:t>
            </w:r>
            <w:r>
              <w:rPr>
                <w:rFonts w:hint="eastAsia"/>
              </w:rPr>
              <w:t>股转增数（股）</w:t>
            </w:r>
          </w:p>
        </w:tc>
        <w:tc>
          <w:tcPr>
            <w:tcW w:w="2501" w:type="pct"/>
            <w:vAlign w:val="center"/>
          </w:tcPr>
          <w:p>
            <w:pPr>
              <w:jc w:val="right"/>
            </w:pPr>
            <w:r>
              <w:rPr>
                <w:rFonts w:hint="eastAsia"/>
              </w:rPr>
              <w:t>-</w:t>
            </w:r>
          </w:p>
        </w:tc>
      </w:tr>
      <w:tr>
        <w:trPr>
          <w:trHeight w:val="340"/>
        </w:trPr>
        <w:tc>
          <w:tcPr>
            <w:tcW w:w="2499" w:type="pct"/>
            <w:shd w:val="clear" w:color="auto" w:fill="auto"/>
            <w:vAlign w:val="center"/>
          </w:tcPr>
          <w:p>
            <w:pPr>
              <w:pStyle w:val="affffffff"/>
            </w:pPr>
            <w:r>
              <w:rPr>
                <w:rFonts w:hint="eastAsia"/>
              </w:rPr>
              <w:t>现金分红金额（含税）</w:t>
            </w:r>
          </w:p>
        </w:tc>
        <w:tc>
          <w:tcPr>
            <w:tcW w:w="2501" w:type="pct"/>
            <w:vAlign w:val="center"/>
          </w:tcPr>
          <w:p>
            <w:pPr>
              <w:jc w:val="right"/>
            </w:pPr>
            <w:r>
              <w:t xml:space="preserve">7,730,693 </w:t>
            </w:r>
          </w:p>
        </w:tc>
      </w:tr>
      <w:tr>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
            </w:pPr>
            <w:r>
              <w:t>合并报表中归属于上市公司</w:t>
            </w:r>
            <w:r>
              <w:rPr>
                <w:rFonts w:hint="eastAsia"/>
              </w:rPr>
              <w:t>普通股</w:t>
            </w:r>
            <w:r>
              <w:t>股东的净利润</w:t>
            </w:r>
          </w:p>
        </w:tc>
        <w:tc>
          <w:tcPr>
            <w:tcW w:w="2501" w:type="pct"/>
            <w:tcBorders>
              <w:top w:val="single" w:sz="4" w:space="0" w:color="auto"/>
              <w:left w:val="single" w:sz="4" w:space="0" w:color="auto"/>
              <w:bottom w:val="single" w:sz="4" w:space="0" w:color="auto"/>
              <w:right w:val="single" w:sz="4" w:space="0" w:color="auto"/>
            </w:tcBorders>
            <w:vAlign w:val="center"/>
          </w:tcPr>
          <w:p>
            <w:pPr>
              <w:jc w:val="right"/>
            </w:pPr>
            <w:r>
              <w:t xml:space="preserve">14,425,051 </w:t>
            </w:r>
          </w:p>
        </w:tc>
      </w:tr>
      <w:tr>
        <w:trPr>
          <w:trHeight w:val="340"/>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
            </w:pPr>
            <w:r>
              <w:rPr>
                <w:rFonts w:hint="eastAsia"/>
              </w:rPr>
              <w:lastRenderedPageBreak/>
              <w:t>现金分红金额</w:t>
            </w:r>
            <w:r>
              <w:t>占合并报表中归属于上市公司</w:t>
            </w:r>
            <w:r>
              <w:rPr>
                <w:rFonts w:hint="eastAsia"/>
              </w:rPr>
              <w:t>普通股</w:t>
            </w:r>
            <w:r>
              <w:t>股东的净利润的比率</w:t>
            </w:r>
            <w:bookmarkStart w:id="124" w:name="OLE_LINK4"/>
            <w:r>
              <w:rPr>
                <w:rFonts w:hint="eastAsia"/>
              </w:rPr>
              <w:t>（%）</w:t>
            </w:r>
          </w:p>
        </w:tc>
        <w:bookmarkEnd w:id="124"/>
        <w:tc>
          <w:tcPr>
            <w:tcW w:w="2501" w:type="pct"/>
            <w:tcBorders>
              <w:top w:val="single" w:sz="4" w:space="0" w:color="auto"/>
              <w:left w:val="single" w:sz="4" w:space="0" w:color="auto"/>
              <w:bottom w:val="single" w:sz="4" w:space="0" w:color="auto"/>
              <w:right w:val="single" w:sz="4" w:space="0" w:color="auto"/>
            </w:tcBorders>
            <w:vAlign w:val="center"/>
          </w:tcPr>
          <w:p>
            <w:pPr>
              <w:jc w:val="right"/>
            </w:pPr>
            <w:r>
              <w:t>53.59</w:t>
            </w:r>
          </w:p>
        </w:tc>
      </w:tr>
      <w:tr>
        <w:trPr>
          <w:trHeight w:val="340"/>
        </w:trPr>
        <w:tc>
          <w:tcPr>
            <w:tcW w:w="2499" w:type="pct"/>
            <w:shd w:val="clear" w:color="auto" w:fill="auto"/>
            <w:vAlign w:val="center"/>
          </w:tcPr>
          <w:p>
            <w:pPr>
              <w:pStyle w:val="affffffff"/>
            </w:pPr>
            <w:r>
              <w:rPr>
                <w:rFonts w:hint="eastAsia"/>
              </w:rPr>
              <w:t>以</w:t>
            </w:r>
            <w:r>
              <w:t>现金方式回购股份计入现金分红的</w:t>
            </w:r>
            <w:r>
              <w:rPr>
                <w:rFonts w:hint="eastAsia"/>
              </w:rPr>
              <w:t>金额</w:t>
            </w:r>
          </w:p>
        </w:tc>
        <w:tc>
          <w:tcPr>
            <w:tcW w:w="2501" w:type="pct"/>
            <w:vAlign w:val="center"/>
          </w:tcPr>
          <w:p>
            <w:pPr>
              <w:jc w:val="right"/>
            </w:pPr>
            <w:r>
              <w:rPr>
                <w:rFonts w:hint="eastAsia"/>
              </w:rPr>
              <w:t>-</w:t>
            </w:r>
          </w:p>
        </w:tc>
      </w:tr>
      <w:tr>
        <w:trPr>
          <w:trHeight w:val="340"/>
        </w:trPr>
        <w:tc>
          <w:tcPr>
            <w:tcW w:w="2499" w:type="pct"/>
            <w:shd w:val="clear" w:color="auto" w:fill="auto"/>
            <w:vAlign w:val="center"/>
          </w:tcPr>
          <w:p>
            <w:pPr>
              <w:pStyle w:val="affffffff"/>
            </w:pPr>
            <w:r>
              <w:rPr>
                <w:rFonts w:hint="eastAsia"/>
              </w:rPr>
              <w:t>合计分红金额（含税）</w:t>
            </w:r>
          </w:p>
        </w:tc>
        <w:tc>
          <w:tcPr>
            <w:tcW w:w="2501" w:type="pct"/>
            <w:vAlign w:val="center"/>
          </w:tcPr>
          <w:p>
            <w:pPr>
              <w:jc w:val="right"/>
            </w:pPr>
            <w:r>
              <w:t xml:space="preserve">7,730,693 </w:t>
            </w:r>
          </w:p>
        </w:tc>
      </w:tr>
      <w:tr>
        <w:trPr>
          <w:trHeight w:val="340"/>
        </w:trPr>
        <w:tc>
          <w:tcPr>
            <w:tcW w:w="2499" w:type="pct"/>
            <w:shd w:val="clear" w:color="auto" w:fill="auto"/>
            <w:vAlign w:val="center"/>
          </w:tcPr>
          <w:p>
            <w:pPr>
              <w:pStyle w:val="affffffff"/>
            </w:pPr>
            <w:r>
              <w:rPr>
                <w:rFonts w:hint="eastAsia"/>
              </w:rPr>
              <w:t>合计分红金额</w:t>
            </w:r>
            <w:r>
              <w:t>占合并报表中归属于上市公司</w:t>
            </w:r>
            <w:r>
              <w:rPr>
                <w:rFonts w:hint="eastAsia"/>
              </w:rPr>
              <w:t>普通股</w:t>
            </w:r>
            <w:r>
              <w:t>股东的净利润的比率</w:t>
            </w:r>
            <w:r>
              <w:rPr>
                <w:rFonts w:hint="eastAsia"/>
              </w:rPr>
              <w:t>（%）</w:t>
            </w:r>
          </w:p>
        </w:tc>
        <w:tc>
          <w:tcPr>
            <w:tcW w:w="2501" w:type="pct"/>
            <w:vAlign w:val="center"/>
          </w:tcPr>
          <w:p>
            <w:pPr>
              <w:jc w:val="right"/>
            </w:pPr>
            <w:r>
              <w:t>53.59</w:t>
            </w:r>
          </w:p>
        </w:tc>
      </w:tr>
    </w:tbl>
    <w:p>
      <w:pPr>
        <w:pStyle w:val="affffffff"/>
      </w:pPr>
    </w:p>
    <w:p>
      <w:pPr>
        <w:pStyle w:val="afffffff1"/>
        <w:numPr>
          <w:ilvl w:val="0"/>
          <w:numId w:val="39"/>
        </w:numPr>
      </w:pPr>
      <w:r>
        <w:rPr>
          <w:rFonts w:hint="eastAsia"/>
        </w:rPr>
        <w:t>最近三个会计年度现金分红情况</w:t>
      </w:r>
    </w:p>
    <w:sdt>
      <w:sdtPr>
        <w:rPr>
          <w:rFonts w:hint="eastAsia"/>
        </w:rPr>
        <w:alias w:val="是否适用：最近三个会计年度现金分红情况[双击切换]"/>
        <w:tag w:val="_GBC_28e549783f2141f4b4d8c360788bf33d"/>
        <w:id w:val="722492957"/>
        <w:placeholder>
          <w:docPart w:val="GBC22222222222222222222222222222"/>
        </w:placeholder>
      </w:sdtPr>
      <w:sdtContent>
        <w:p>
          <w:pPr>
            <w:pStyle w:val="affffffff"/>
          </w:pPr>
          <w:r>
            <w:rPr>
              <w:rFonts w:hint="eastAsia"/>
            </w:rPr>
            <w:fldChar w:fldCharType="begin"/>
          </w:r>
          <w:r>
            <w:rPr>
              <w:rFonts w:hint="eastAsia"/>
            </w:rPr>
            <w:instrText xml:space="preserve"> MACROBUTTON  SnrToggleCheckbox √适用 </w:instrText>
          </w:r>
          <w:r>
            <w:rPr>
              <w:rFonts w:hint="eastAsia"/>
            </w:rPr>
            <w:fldChar w:fldCharType="end"/>
          </w:r>
          <w:r>
            <w:rPr>
              <w:rFonts w:hint="eastAsia"/>
            </w:rPr>
            <w:fldChar w:fldCharType="begin"/>
          </w:r>
          <w:r>
            <w:rPr>
              <w:rFonts w:hint="eastAsia"/>
            </w:rPr>
            <w:instrText xml:space="preserve"> MACROBUTTON  SnrToggleCheckbox □不适用 </w:instrText>
          </w:r>
          <w:r>
            <w:rPr>
              <w:rFonts w:hint="eastAsia"/>
            </w:rPr>
            <w:fldChar w:fldCharType="end"/>
          </w:r>
        </w:p>
      </w:sdtContent>
    </w:sdt>
    <w:p>
      <w:pPr>
        <w:jc w:val="right"/>
      </w:pPr>
      <w:r>
        <w:rPr>
          <w:rFonts w:hint="eastAsia"/>
          <w:szCs w:val="21"/>
        </w:rPr>
        <w:t>单位：</w:t>
      </w:r>
      <w:sdt>
        <w:sdtPr>
          <w:rPr>
            <w:rFonts w:hint="eastAsia"/>
            <w:szCs w:val="21"/>
          </w:rPr>
          <w:alias w:val="单位：最近三个会计年度现金分红情况"/>
          <w:tag w:val="_GBC_b8634c7351cc405bb925f28f0a63105b"/>
          <w:id w:val="-84817805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最近三个会计年度现金分红情况"/>
          <w:tag w:val="_GBC_f92d810bf34147c190eacf6f794855d7"/>
          <w:id w:val="3936292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rFonts w:hint="eastAsia"/>
        </w:rPr>
        <w:t xml:space="preserve"> </w:t>
      </w:r>
    </w:p>
    <w:tbl>
      <w:tblPr>
        <w:tblStyle w:val="g5"/>
        <w:tblW w:w="499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943"/>
        <w:gridCol w:w="3875"/>
      </w:tblGrid>
      <w:tr>
        <w:trPr>
          <w:trHeight w:val="340"/>
        </w:trPr>
        <w:sdt>
          <w:sdtPr>
            <w:tag w:val="_PLD_f2d866feb6ed4bba8cf4399521757247"/>
            <w:id w:val="1967305113"/>
          </w:sdtPr>
          <w:sdtContent>
            <w:tc>
              <w:tcPr>
                <w:tcW w:w="2803" w:type="pct"/>
                <w:vAlign w:val="center"/>
              </w:tcPr>
              <w:p>
                <w:pPr>
                  <w:pStyle w:val="affffffff"/>
                </w:pPr>
                <w:r>
                  <w:rPr>
                    <w:rFonts w:hint="eastAsia"/>
                  </w:rPr>
                  <w:t>最近三个会计年度累计现金分红金额（含税）(1)</w:t>
                </w:r>
              </w:p>
            </w:tc>
          </w:sdtContent>
        </w:sdt>
        <w:sdt>
          <w:sdtPr>
            <w:rPr>
              <w:rFonts w:hint="eastAsia"/>
            </w:rPr>
            <w:alias w:val="最近三个会计年度累计现金分红金额"/>
            <w:tag w:val="_GBC_7995ca7746b5435e81fa91542e8c70a3"/>
            <w:id w:val="-1953464514"/>
          </w:sdtPr>
          <w:sdtContent>
            <w:tc>
              <w:tcPr>
                <w:tcW w:w="2197" w:type="pct"/>
                <w:vAlign w:val="center"/>
              </w:tcPr>
              <w:p>
                <w:pPr>
                  <w:jc w:val="right"/>
                </w:pPr>
                <w:r>
                  <w:t>40,571,767</w:t>
                </w:r>
              </w:p>
            </w:tc>
          </w:sdtContent>
        </w:sdt>
      </w:tr>
      <w:tr>
        <w:trPr>
          <w:trHeight w:val="340"/>
        </w:trPr>
        <w:tc>
          <w:tcPr>
            <w:tcW w:w="2803" w:type="pct"/>
            <w:vAlign w:val="center"/>
          </w:tcPr>
          <w:p>
            <w:pPr>
              <w:pStyle w:val="affffffff"/>
            </w:pPr>
            <w:r>
              <w:rPr>
                <w:rFonts w:hint="eastAsia"/>
              </w:rPr>
              <w:t>最近三个会计年度累计回购并注销金额</w:t>
            </w:r>
            <w:r>
              <w:t>(</w:t>
            </w:r>
            <w:r>
              <w:rPr>
                <w:rFonts w:hint="eastAsia"/>
              </w:rPr>
              <w:t>2</w:t>
            </w:r>
            <w:r>
              <w:t>)</w:t>
            </w:r>
          </w:p>
        </w:tc>
        <w:tc>
          <w:tcPr>
            <w:tcW w:w="2197" w:type="pct"/>
            <w:vAlign w:val="center"/>
          </w:tcPr>
          <w:p>
            <w:pPr>
              <w:jc w:val="right"/>
            </w:pPr>
            <w:r>
              <w:rPr>
                <w:rFonts w:hint="eastAsia"/>
              </w:rPr>
              <w:t>-</w:t>
            </w:r>
          </w:p>
        </w:tc>
      </w:tr>
      <w:tr>
        <w:trPr>
          <w:trHeight w:val="340"/>
        </w:trPr>
        <w:tc>
          <w:tcPr>
            <w:tcW w:w="2803" w:type="pct"/>
            <w:vAlign w:val="center"/>
          </w:tcPr>
          <w:p>
            <w:pPr>
              <w:pStyle w:val="affffffff"/>
            </w:pPr>
            <w:r>
              <w:rPr>
                <w:rFonts w:hint="eastAsia"/>
              </w:rPr>
              <w:t>最近三个会计年度现金分红和回购并注销累计金额</w:t>
            </w:r>
            <w:r>
              <w:t>(</w:t>
            </w:r>
            <w:r>
              <w:rPr>
                <w:rFonts w:hint="eastAsia"/>
              </w:rPr>
              <w:t>3</w:t>
            </w:r>
            <w:r>
              <w:t>)=(1)+(</w:t>
            </w:r>
            <w:r>
              <w:rPr>
                <w:rFonts w:hint="eastAsia"/>
              </w:rPr>
              <w:t>2</w:t>
            </w:r>
            <w:r>
              <w:t>)</w:t>
            </w:r>
          </w:p>
        </w:tc>
        <w:tc>
          <w:tcPr>
            <w:tcW w:w="2197" w:type="pct"/>
            <w:vAlign w:val="center"/>
          </w:tcPr>
          <w:p>
            <w:pPr>
              <w:jc w:val="right"/>
            </w:pPr>
            <w:r>
              <w:t xml:space="preserve">40,571,767 </w:t>
            </w:r>
          </w:p>
        </w:tc>
      </w:tr>
      <w:tr>
        <w:trPr>
          <w:trHeight w:val="340"/>
        </w:trPr>
        <w:tc>
          <w:tcPr>
            <w:tcW w:w="2803" w:type="pct"/>
            <w:vAlign w:val="center"/>
          </w:tcPr>
          <w:p>
            <w:pPr>
              <w:pStyle w:val="affffffff"/>
            </w:pPr>
            <w:r>
              <w:rPr>
                <w:rFonts w:hint="eastAsia"/>
              </w:rPr>
              <w:t>最近三个会计年度年均净利润金额</w:t>
            </w:r>
            <w:r>
              <w:t>(</w:t>
            </w:r>
            <w:r>
              <w:rPr>
                <w:rFonts w:hint="eastAsia"/>
              </w:rPr>
              <w:t>4</w:t>
            </w:r>
            <w:r>
              <w:t>)</w:t>
            </w:r>
          </w:p>
        </w:tc>
        <w:tc>
          <w:tcPr>
            <w:tcW w:w="2197" w:type="pct"/>
            <w:vAlign w:val="center"/>
          </w:tcPr>
          <w:p>
            <w:pPr>
              <w:jc w:val="right"/>
            </w:pPr>
            <w:r>
              <w:t xml:space="preserve">22,646,123 </w:t>
            </w:r>
          </w:p>
        </w:tc>
      </w:tr>
      <w:tr>
        <w:trPr>
          <w:trHeight w:val="340"/>
        </w:trPr>
        <w:tc>
          <w:tcPr>
            <w:tcW w:w="2803" w:type="pct"/>
            <w:vAlign w:val="center"/>
          </w:tcPr>
          <w:p>
            <w:pPr>
              <w:pStyle w:val="affffffff"/>
            </w:pPr>
            <w:r>
              <w:rPr>
                <w:rFonts w:hint="eastAsia"/>
              </w:rPr>
              <w:t>最近三个会计年度现金分红比例（%）</w:t>
            </w:r>
            <w:r>
              <w:t>(5)=(3)/(4)</w:t>
            </w:r>
          </w:p>
        </w:tc>
        <w:tc>
          <w:tcPr>
            <w:tcW w:w="2197" w:type="pct"/>
            <w:vAlign w:val="center"/>
          </w:tcPr>
          <w:p>
            <w:pPr>
              <w:jc w:val="right"/>
            </w:pPr>
            <w:r>
              <w:t>179.16</w:t>
            </w:r>
          </w:p>
        </w:tc>
      </w:tr>
      <w:tr>
        <w:trPr>
          <w:trHeight w:val="340"/>
        </w:trPr>
        <w:tc>
          <w:tcPr>
            <w:tcW w:w="2803" w:type="pct"/>
            <w:vAlign w:val="center"/>
          </w:tcPr>
          <w:p>
            <w:pPr>
              <w:pStyle w:val="affffffff"/>
            </w:pPr>
            <w:r>
              <w:rPr>
                <w:rFonts w:hint="eastAsia"/>
              </w:rPr>
              <w:t>最近一个会计年度</w:t>
            </w:r>
            <w:r>
              <w:t>合并报表</w:t>
            </w:r>
            <w:r>
              <w:rPr>
                <w:rFonts w:hint="eastAsia"/>
              </w:rPr>
              <w:t>中</w:t>
            </w:r>
            <w:r>
              <w:t>归属于上市公司</w:t>
            </w:r>
            <w:r>
              <w:rPr>
                <w:rFonts w:hint="eastAsia"/>
              </w:rPr>
              <w:t>普通股</w:t>
            </w:r>
            <w:r>
              <w:t>股东的净利润</w:t>
            </w:r>
          </w:p>
        </w:tc>
        <w:tc>
          <w:tcPr>
            <w:tcW w:w="2197" w:type="pct"/>
            <w:vAlign w:val="center"/>
          </w:tcPr>
          <w:p>
            <w:pPr>
              <w:jc w:val="right"/>
            </w:pPr>
            <w:r>
              <w:t xml:space="preserve">14,425,051 </w:t>
            </w:r>
          </w:p>
        </w:tc>
      </w:tr>
      <w:tr>
        <w:trPr>
          <w:trHeight w:val="340"/>
        </w:trPr>
        <w:tc>
          <w:tcPr>
            <w:tcW w:w="2803" w:type="pct"/>
            <w:vAlign w:val="center"/>
          </w:tcPr>
          <w:p>
            <w:pPr>
              <w:pStyle w:val="affffffff"/>
            </w:pPr>
            <w:r>
              <w:rPr>
                <w:rFonts w:hint="eastAsia"/>
              </w:rPr>
              <w:t>最近一个会计年度母公司报表年度末未分配利润</w:t>
            </w:r>
          </w:p>
        </w:tc>
        <w:tc>
          <w:tcPr>
            <w:tcW w:w="2197" w:type="pct"/>
            <w:vAlign w:val="center"/>
          </w:tcPr>
          <w:p>
            <w:pPr>
              <w:jc w:val="right"/>
            </w:pPr>
            <w:r>
              <w:t xml:space="preserve">9,174,556 </w:t>
            </w:r>
          </w:p>
        </w:tc>
      </w:tr>
    </w:tbl>
    <w:p>
      <w:pPr>
        <w:pStyle w:val="affffffff"/>
      </w:pPr>
    </w:p>
    <w:p>
      <w:pPr>
        <w:pStyle w:val="afffffff1"/>
        <w:numPr>
          <w:ilvl w:val="0"/>
          <w:numId w:val="39"/>
        </w:numPr>
      </w:pPr>
      <w:r>
        <w:rPr>
          <w:rFonts w:hint="eastAsia"/>
        </w:rPr>
        <w:t>税项及税项减免</w:t>
      </w:r>
    </w:p>
    <w:p>
      <w:pPr>
        <w:widowControl w:val="0"/>
        <w:ind w:firstLineChars="200" w:firstLine="420"/>
        <w:jc w:val="both"/>
      </w:pPr>
      <w:r>
        <w:rPr>
          <w:rFonts w:hint="eastAsia"/>
        </w:rPr>
        <w:t>1.A股投资者股息红利所得税代扣代缴及税项减免相关规定，详情请见本公司日期为2024年6月28日的《2023年年度权益分派实施公告》、日期为2024年11月1日的《2024年半年度权益分派实施公告》有关内容，该等资料刊载于上交所网站、公司网站及/或《中国证券报》《上海证券报》《证券时报》《证券日报》。</w:t>
      </w:r>
    </w:p>
    <w:p>
      <w:pPr>
        <w:widowControl w:val="0"/>
        <w:ind w:firstLineChars="200" w:firstLine="420"/>
        <w:jc w:val="both"/>
      </w:pPr>
      <w:r>
        <w:rPr>
          <w:rFonts w:hint="eastAsia"/>
        </w:rPr>
        <w:t>2.H股投资者股息红利所得税代扣代缴及税项减免</w:t>
      </w:r>
    </w:p>
    <w:p>
      <w:pPr>
        <w:widowControl w:val="0"/>
        <w:ind w:firstLineChars="200" w:firstLine="420"/>
        <w:jc w:val="both"/>
      </w:pPr>
      <w:r>
        <w:rPr>
          <w:rFonts w:hint="eastAsia"/>
        </w:rPr>
        <w:t>(1)代扣代缴境外非居民企业股东企业所得税</w:t>
      </w:r>
    </w:p>
    <w:p>
      <w:pPr>
        <w:widowControl w:val="0"/>
        <w:ind w:firstLineChars="200" w:firstLine="420"/>
        <w:jc w:val="both"/>
      </w:pPr>
      <w:r>
        <w:rPr>
          <w:rFonts w:hint="eastAsia"/>
        </w:rPr>
        <w:t>根据《中华人民共和国企业所得税法》及其实施条例以及相关规定，本公司向名列于H股股东名册上的非居民企业股东派发股息时，有义务代扣代缴企业所得税，税率为10%。任何以非个人股东名义，包括以香港中央结算（代理人）有限公司、其他代理人或受托人、或其他组织及团体名义登记的股份皆被视为非居民企业股东所持的股份，其应得之股息将被扣除企业所得税。</w:t>
      </w:r>
    </w:p>
    <w:p>
      <w:pPr>
        <w:widowControl w:val="0"/>
        <w:ind w:firstLineChars="200" w:firstLine="420"/>
        <w:jc w:val="both"/>
      </w:pPr>
      <w:r>
        <w:rPr>
          <w:rFonts w:hint="eastAsia"/>
        </w:rPr>
        <w:t>(2)代扣代缴境外个人股东个人所得税</w:t>
      </w:r>
    </w:p>
    <w:p>
      <w:pPr>
        <w:widowControl w:val="0"/>
        <w:ind w:firstLineChars="200" w:firstLine="420"/>
        <w:jc w:val="both"/>
      </w:pPr>
      <w:r>
        <w:rPr>
          <w:rFonts w:hint="eastAsia"/>
        </w:rPr>
        <w:t>本公司将按照如下安排为H股个人股东代扣代缴股息的个人所得税：</w:t>
      </w:r>
    </w:p>
    <w:p>
      <w:pPr>
        <w:widowControl w:val="0"/>
        <w:ind w:firstLineChars="200" w:firstLine="420"/>
        <w:jc w:val="both"/>
      </w:pPr>
      <w:r>
        <w:rPr>
          <w:rFonts w:hint="eastAsia"/>
        </w:rPr>
        <w:t>①取得股息的H股个人股东为香港或澳门居民或其他与中国签订10%股息税率的税收协议的国家（地区）的居民，本公司派发股息时将按10%的税率代扣代缴个人所得税。</w:t>
      </w:r>
    </w:p>
    <w:p>
      <w:pPr>
        <w:widowControl w:val="0"/>
        <w:ind w:firstLineChars="200" w:firstLine="420"/>
        <w:jc w:val="both"/>
      </w:pPr>
      <w:r>
        <w:rPr>
          <w:rFonts w:hint="eastAsia"/>
        </w:rPr>
        <w:t>②取得股息的H股个人股东为与中国签订低于10%股息税率的税收协议的国家（地区）的居民，本公司派发股息时将暂按10%的税率代扣代缴个人所得税。名列本公司H股股东名册的个人股东，如属于低于10%税率的协议国家居民，请依照股东周年大会决议安排向H股股份过户登记处呈交书面委托以及有关申报材料，并经本公司转呈主管税务机关审核批准后，本公司可以根据中国税务机关有关规定，代为办理享受有关协议待遇申请。</w:t>
      </w:r>
    </w:p>
    <w:p>
      <w:pPr>
        <w:widowControl w:val="0"/>
        <w:ind w:firstLineChars="200" w:firstLine="420"/>
        <w:jc w:val="both"/>
      </w:pPr>
      <w:r>
        <w:rPr>
          <w:rFonts w:hint="eastAsia"/>
        </w:rPr>
        <w:t>③取得股息的H股个人股东为与中国签订高于10%但低于20%股息税率的税收协议的国家（地区）的居民，本公司派发股息时将按相关税收协议规定的实际税率代扣代缴个人所得税。</w:t>
      </w:r>
    </w:p>
    <w:p>
      <w:pPr>
        <w:widowControl w:val="0"/>
        <w:ind w:firstLineChars="200" w:firstLine="420"/>
        <w:jc w:val="both"/>
      </w:pPr>
      <w:r>
        <w:rPr>
          <w:rFonts w:hint="eastAsia"/>
        </w:rPr>
        <w:t>④取得股息的H股个人股东为与中国签订20%股息税率的税收协议的国家（地区）居民、与中国没有税收协议的国家（地区）居民或其他情况，本公司派发股息时将按20%的税率代扣代缴个人所得税。</w:t>
      </w:r>
    </w:p>
    <w:p>
      <w:pPr>
        <w:widowControl w:val="0"/>
        <w:ind w:firstLineChars="200" w:firstLine="420"/>
        <w:jc w:val="both"/>
      </w:pPr>
      <w:r>
        <w:rPr>
          <w:rFonts w:hint="eastAsia"/>
        </w:rPr>
        <w:t>（3）港股通投资者的所得税扣缴方式</w:t>
      </w:r>
    </w:p>
    <w:p>
      <w:pPr>
        <w:widowControl w:val="0"/>
        <w:ind w:firstLineChars="200" w:firstLine="420"/>
        <w:jc w:val="both"/>
      </w:pPr>
      <w:r>
        <w:rPr>
          <w:rFonts w:hint="eastAsia"/>
        </w:rPr>
        <w:t>根据中国财政部、国家税务总局、中国证监会联合发布的《沪港股票市场交易互联互通机制</w:t>
      </w:r>
      <w:r>
        <w:rPr>
          <w:rFonts w:hint="eastAsia"/>
        </w:rPr>
        <w:lastRenderedPageBreak/>
        <w:t>试点涉及的有关税收政策的通知（财税〔2014〕81号）》及《关于深港股票市场交易互联互通机制试点有关税收政策的通知（财税〔2016〕127号）》的相关规定，内地个人投资者通过沪港通或深港通投资香港联交所上市H股取得的股息红利由本公司按照20%的税率代扣个人所得税。对内地证券投资基金通过沪港通或深港通投资香港联交所上市股票取得的股息红利所得参照个人投资者征税。对内地企业投资者不代扣股息红利所得税款，应纳税款由企业自行申报缴纳。</w:t>
      </w:r>
    </w:p>
    <w:p>
      <w:pPr>
        <w:pStyle w:val="afffffffffffff8"/>
      </w:pPr>
    </w:p>
    <w:p>
      <w:pPr>
        <w:pStyle w:val="afffffff"/>
        <w:numPr>
          <w:ilvl w:val="0"/>
          <w:numId w:val="34"/>
        </w:numPr>
      </w:pPr>
      <w:bookmarkStart w:id="125" w:name="_Toc342565948"/>
      <w:bookmarkStart w:id="126" w:name="_Toc342491956"/>
      <w:r>
        <w:rPr>
          <w:rFonts w:hint="eastAsia"/>
        </w:rPr>
        <w:t>公司股权激励计划、员工持股计划或其他员工激励措施的情况及其影响</w:t>
      </w:r>
      <w:bookmarkEnd w:id="125"/>
      <w:bookmarkEnd w:id="126"/>
    </w:p>
    <w:p>
      <w:pPr>
        <w:pStyle w:val="afffffff1"/>
        <w:numPr>
          <w:ilvl w:val="1"/>
          <w:numId w:val="57"/>
        </w:numPr>
        <w:rPr>
          <w:kern w:val="44"/>
          <w:szCs w:val="21"/>
        </w:rPr>
      </w:pPr>
      <w:bookmarkStart w:id="127" w:name="_Toc342491957"/>
      <w:bookmarkStart w:id="128" w:name="_Toc342565949"/>
      <w:r>
        <w:rPr>
          <w:rFonts w:hint="eastAsia"/>
          <w:kern w:val="44"/>
          <w:szCs w:val="21"/>
        </w:rPr>
        <w:t>相关激励事项已在临时公告披露且后续实施无进展或变化的</w:t>
      </w:r>
      <w:bookmarkEnd w:id="127"/>
      <w:bookmarkEnd w:id="128"/>
    </w:p>
    <w:sdt>
      <w:sdtPr>
        <w:alias w:val="是否适用：相关激励事项已在临时公告披露且后续实施无进展或变化的[双击切换]"/>
        <w:tag w:val="_GBC_0af9dca2858d42619c57d7878f3a7792"/>
        <w:id w:val="-758140691"/>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1"/>
          <w:numId w:val="57"/>
        </w:numPr>
        <w:rPr>
          <w:kern w:val="44"/>
          <w:szCs w:val="21"/>
        </w:rPr>
      </w:pPr>
      <w:r>
        <w:rPr>
          <w:rFonts w:hint="eastAsia"/>
          <w:kern w:val="44"/>
          <w:szCs w:val="21"/>
        </w:rPr>
        <w:t>临时公告未披露或有后续进展的激励情况</w:t>
      </w:r>
    </w:p>
    <w:p>
      <w:pPr>
        <w:pStyle w:val="affffffff"/>
      </w:pPr>
      <w:r>
        <w:rPr>
          <w:rFonts w:hint="eastAsia"/>
        </w:rPr>
        <w:t>股权激励情况</w:t>
      </w:r>
    </w:p>
    <w:p>
      <w:pPr>
        <w:pStyle w:val="affffffff"/>
      </w:pPr>
      <w:sdt>
        <w:sdtPr>
          <w:alias w:val="是否适用：股权激励情况[双击切换]"/>
          <w:tag w:val="_GBC_002ad948ce1449c2a805bfbb132b2202"/>
          <w:id w:val="-496417031"/>
          <w:lock w:val="contentLocked"/>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pStyle w:val="affffffff"/>
      </w:pPr>
      <w:sdt>
        <w:sdtPr>
          <w:rPr>
            <w:rFonts w:hint="eastAsia"/>
          </w:rPr>
          <w:alias w:val="股权激励计划年份"/>
          <w:tag w:val="_GBC_8c608b750e98413fbea3e815e4c9162c"/>
          <w:id w:val="136856136"/>
          <w:placeholder>
            <w:docPart w:val="GBC22222222222222222222222222222"/>
          </w:placeholder>
        </w:sdtPr>
        <w:sdtContent>
          <w:r>
            <w:rPr>
              <w:rFonts w:hint="eastAsia"/>
            </w:rPr>
            <w:t>2021</w:t>
          </w:r>
        </w:sdtContent>
      </w:sdt>
      <w:r>
        <w:rPr>
          <w:rFonts w:hint="eastAsia"/>
        </w:rPr>
        <w:t>年A股</w:t>
      </w:r>
      <w:sdt>
        <w:sdtPr>
          <w:rPr>
            <w:rFonts w:hint="eastAsia"/>
          </w:rPr>
          <w:alias w:val="股权激励计划执行次数"/>
          <w:tag w:val="_GBC_0d4c8424e0e44370819dff37a3a57f27"/>
          <w:id w:val="684556220"/>
          <w:placeholder>
            <w:docPart w:val="GBC22222222222222222222222222222"/>
          </w:placeholder>
        </w:sdtPr>
        <w:sdtContent>
          <w:r>
            <w:rPr>
              <w:rFonts w:hint="eastAsia"/>
            </w:rPr>
            <w:t>限制性股票</w:t>
          </w:r>
        </w:sdtContent>
      </w:sdt>
      <w:r>
        <w:rPr>
          <w:rFonts w:hint="eastAsia"/>
        </w:rPr>
        <w:t>激励计划</w:t>
      </w:r>
    </w:p>
    <w:p>
      <w:pPr>
        <w:rPr>
          <w:szCs w:val="21"/>
        </w:rPr>
      </w:pPr>
      <w:r>
        <w:rPr>
          <w:rFonts w:hint="eastAsia"/>
          <w:szCs w:val="21"/>
        </w:rPr>
        <w:t>激励方式</w:t>
      </w:r>
      <w:r>
        <w:rPr>
          <w:szCs w:val="21"/>
        </w:rPr>
        <w:t>:</w:t>
      </w:r>
      <w:sdt>
        <w:sdtPr>
          <w:rPr>
            <w:szCs w:val="21"/>
          </w:rPr>
          <w:alias w:val="公司股权激励方式"/>
          <w:tag w:val="_GBC_a761ce34631247a78f1c34cf742f6749"/>
          <w:id w:val="-1362346583"/>
          <w:placeholder>
            <w:docPart w:val="GBC22222222222222222222222222222"/>
          </w:placeholder>
          <w:comboBox>
            <w:listItem w:displayText="限制性股票" w:value="限制性股票"/>
            <w:listItem w:displayText="股票期权" w:value="股票期权"/>
            <w:listItem w:displayText="其他" w:value="其他"/>
          </w:comboBox>
        </w:sdtPr>
        <w:sdtContent>
          <w:r>
            <w:rPr>
              <w:szCs w:val="21"/>
            </w:rPr>
            <w:t>限制性股票</w:t>
          </w:r>
        </w:sdtContent>
      </w:sdt>
    </w:p>
    <w:p>
      <w:pPr>
        <w:rPr>
          <w:szCs w:val="21"/>
        </w:rPr>
      </w:pPr>
      <w:r>
        <w:rPr>
          <w:rFonts w:hint="eastAsia"/>
          <w:szCs w:val="21"/>
        </w:rPr>
        <w:t>标的股票来源</w:t>
      </w:r>
      <w:r>
        <w:rPr>
          <w:szCs w:val="21"/>
        </w:rPr>
        <w:t>:</w:t>
      </w:r>
      <w:sdt>
        <w:sdtPr>
          <w:rPr>
            <w:szCs w:val="21"/>
          </w:rPr>
          <w:alias w:val="公司股权激励的标的股票来源"/>
          <w:tag w:val="_GBC_52a8d93837e1430ba8062d77dd075fce"/>
          <w:id w:val="-1124838773"/>
          <w:placeholder>
            <w:docPart w:val="GBC22222222222222222222222222222"/>
          </w:placeholder>
          <w:comboBox>
            <w:listItem w:displayText="向激励对象发行股份" w:value="向激励对象发行股份"/>
            <w:listItem w:displayText="公司回购股份" w:value="公司回购股份"/>
            <w:listItem w:displayText="提取激励基金委托" w:value="提取激励基金委托"/>
            <w:listItem w:displayText="他人购买股份" w:value="他人购买股份"/>
          </w:comboBox>
        </w:sdtPr>
        <w:sdtContent>
          <w:r>
            <w:rPr>
              <w:szCs w:val="21"/>
            </w:rPr>
            <w:t>向激励对象发行股份</w:t>
          </w:r>
        </w:sdtContent>
      </w:sdt>
    </w:p>
    <w:p>
      <w:pPr>
        <w:rPr>
          <w:szCs w:val="21"/>
        </w:rPr>
      </w:pPr>
      <w:r>
        <w:rPr>
          <w:rFonts w:hint="eastAsia"/>
          <w:szCs w:val="21"/>
        </w:rPr>
        <w:t>权益工具公允价值的计量方法、参数的选取标准及结果</w:t>
      </w:r>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8195"/>
      </w:tblGrid>
      <w:tr>
        <w:trPr>
          <w:trHeight w:val="270"/>
        </w:trPr>
        <w:sdt>
          <w:sdtPr>
            <w:tag w:val="_PLD_ae12e8f12c5b4a0a84b192aebc659e30"/>
            <w:id w:val="-492795388"/>
          </w:sdtPr>
          <w:sdtContent>
            <w:tc>
              <w:tcPr>
                <w:tcW w:w="1754" w:type="pct"/>
                <w:shd w:val="clear" w:color="auto" w:fill="auto"/>
                <w:noWrap/>
                <w:vAlign w:val="center"/>
              </w:tcPr>
              <w:p>
                <w:pPr>
                  <w:pStyle w:val="affffffff"/>
                </w:pPr>
                <w:r>
                  <w:rPr>
                    <w:rFonts w:hint="eastAsia"/>
                  </w:rPr>
                  <w:t>计量方法</w:t>
                </w:r>
              </w:p>
            </w:tc>
          </w:sdtContent>
        </w:sdt>
        <w:tc>
          <w:tcPr>
            <w:tcW w:w="3246" w:type="pct"/>
            <w:shd w:val="clear" w:color="auto" w:fill="auto"/>
            <w:noWrap/>
            <w:vAlign w:val="center"/>
          </w:tcPr>
          <w:p>
            <w:pPr>
              <w:pStyle w:val="affffffff"/>
            </w:pPr>
            <w:r>
              <w:rPr>
                <w:rFonts w:hint="eastAsia"/>
              </w:rPr>
              <w:t>根据《企业会计准则第11号——股份支付》，公司以授予日股票收盘价与授予价格之间的差额作为每股限制性股票的股份支付成本，并将最终确认本激励计划的股份支付费用。</w:t>
            </w:r>
          </w:p>
        </w:tc>
      </w:tr>
      <w:tr>
        <w:trPr>
          <w:trHeight w:val="270"/>
        </w:trPr>
        <w:tc>
          <w:tcPr>
            <w:tcW w:w="1754" w:type="pct"/>
            <w:shd w:val="clear" w:color="auto" w:fill="auto"/>
            <w:noWrap/>
            <w:vAlign w:val="center"/>
          </w:tcPr>
          <w:p>
            <w:pPr>
              <w:pStyle w:val="affffffff"/>
            </w:pPr>
            <w:r>
              <w:rPr>
                <w:rFonts w:hint="eastAsia"/>
              </w:rPr>
              <w:t>参数名称</w:t>
            </w:r>
          </w:p>
        </w:tc>
        <w:tc>
          <w:tcPr>
            <w:tcW w:w="5875" w:type="dxa"/>
            <w:shd w:val="clear" w:color="auto" w:fill="auto"/>
            <w:noWrap/>
            <w:vAlign w:val="center"/>
          </w:tcPr>
          <w:p>
            <w:pPr>
              <w:pStyle w:val="affffffff"/>
            </w:pPr>
            <w:r>
              <w:rPr>
                <w:rFonts w:asciiTheme="minorEastAsia" w:eastAsiaTheme="minorEastAsia" w:hAnsiTheme="minorEastAsia" w:hint="eastAsia"/>
              </w:rPr>
              <w:t>授予日股票收盘价、授予价格。</w:t>
            </w:r>
          </w:p>
        </w:tc>
      </w:tr>
      <w:tr>
        <w:trPr>
          <w:trHeight w:val="270"/>
        </w:trPr>
        <w:tc>
          <w:tcPr>
            <w:tcW w:w="1754" w:type="pct"/>
            <w:shd w:val="clear" w:color="auto" w:fill="auto"/>
            <w:noWrap/>
            <w:vAlign w:val="center"/>
          </w:tcPr>
          <w:p>
            <w:pPr>
              <w:pStyle w:val="affffffff"/>
            </w:pPr>
            <w:r>
              <w:rPr>
                <w:rFonts w:hint="eastAsia"/>
              </w:rPr>
              <w:t>计量结果</w:t>
            </w:r>
          </w:p>
        </w:tc>
        <w:tc>
          <w:tcPr>
            <w:tcW w:w="5875" w:type="dxa"/>
            <w:shd w:val="clear" w:color="auto" w:fill="auto"/>
            <w:noWrap/>
            <w:vAlign w:val="center"/>
          </w:tcPr>
          <w:p>
            <w:pPr>
              <w:pStyle w:val="affffffff"/>
            </w:pPr>
            <w:r>
              <w:rPr>
                <w:rFonts w:asciiTheme="minorEastAsia" w:eastAsiaTheme="minorEastAsia" w:hAnsiTheme="minorEastAsia" w:hint="eastAsia"/>
              </w:rPr>
              <w:t>每股限制性股票的公允价值为12.80元。</w:t>
            </w:r>
          </w:p>
        </w:tc>
      </w:tr>
    </w:tbl>
    <w:p>
      <w:pPr>
        <w:rPr>
          <w:szCs w:val="21"/>
        </w:rPr>
      </w:pPr>
      <w:bookmarkStart w:id="129" w:name="_Hlk194047417"/>
      <w:r>
        <w:rPr>
          <w:rFonts w:hint="eastAsia"/>
          <w:szCs w:val="21"/>
        </w:rPr>
        <w:t>其他说明：</w:t>
      </w:r>
    </w:p>
    <w:bookmarkEnd w:id="129" w:displacedByCustomXml="next"/>
    <w:sdt>
      <w:sdtPr>
        <w:rPr>
          <w:rFonts w:hint="eastAsia"/>
          <w:szCs w:val="21"/>
        </w:rPr>
        <w:alias w:val="是否适用：股权激励情况的说明[双击切换]"/>
        <w:tag w:val="_GBC_67421581adf34d0f9f06e3042b8d7199"/>
        <w:id w:val="598527781"/>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
      <w:sdtPr>
        <w:rPr>
          <w:szCs w:val="21"/>
        </w:rPr>
        <w:alias w:val="股权激励情况的说明"/>
        <w:tag w:val="_GBC_387c842e79d147469f8a81b8141b623a"/>
        <w:id w:val="751165416"/>
      </w:sdtPr>
      <w:sdtContent>
        <w:p>
          <w:pPr>
            <w:pStyle w:val="afffffffffffff8"/>
          </w:pPr>
          <w:r>
            <w:t>经2022年1月27日召开的公司2022年度第一次临时股东大会、第一次A股/H股类别股东大会及第八届董事会第二十次会议批准，公司根据2021年A股限制性股票激励计划（“限制性股票激励计划”）向激励对象授出限制性股票。</w:t>
          </w:r>
        </w:p>
        <w:p>
          <w:pPr>
            <w:pStyle w:val="afffffffffffff8"/>
          </w:pPr>
          <w:r>
            <w:t>经2024年2月23日召开的公司第九届董事会第五次会议批准，确认限制性股票激励计划第一个解除限售期条件已经成就，公司对1,201名激励对象所获授的2,916.342万股限制性股票解除限售。紧接解除限售日期之前本公司股份的加权平均收市价为27.41元（除权除息前价格）。2024年3月8日，解除限售的限制性股票上市流通。</w:t>
          </w:r>
        </w:p>
        <w:p>
          <w:pPr>
            <w:pStyle w:val="afffffffffffff8"/>
          </w:pPr>
          <w:r>
            <w:t>经2025年2月24日召开的公司第九届董事会第十三次会议批准，确认限制性股票激励计划第二个解除限售期条件已经成就，公司对1,171名激励对象所获授的3,673.870万股限制性股票解除限售。紧接解除限售日期之前本公司股份的加权平均收市价为13.21元。</w:t>
          </w:r>
        </w:p>
        <w:p>
          <w:pPr>
            <w:pStyle w:val="afffffffffffff8"/>
          </w:pPr>
          <w:r>
            <w:t>2025年3月7日，解除限售的限制性股票上市流通。</w:t>
          </w:r>
        </w:p>
        <w:p>
          <w:pPr>
            <w:pStyle w:val="afffffffffffff8"/>
          </w:pPr>
        </w:p>
        <w:p>
          <w:pPr>
            <w:pStyle w:val="afffffffffffff8"/>
          </w:pPr>
          <w:r>
            <w:t>限制性股票激励计划摘要</w:t>
          </w:r>
        </w:p>
        <w:p>
          <w:pPr>
            <w:pStyle w:val="afffffffffffff8"/>
          </w:pPr>
          <w:r>
            <w:t> </w:t>
          </w:r>
        </w:p>
        <w:p>
          <w:pPr>
            <w:pStyle w:val="afffffffffffff8"/>
          </w:pPr>
          <w:r>
            <w:t>（一）限制性股票激励计划授予情况</w:t>
          </w:r>
        </w:p>
        <w:p>
          <w:pPr>
            <w:pStyle w:val="afffffffffffff8"/>
          </w:pPr>
          <w:r>
            <w:t>1.限制性股票激励计划的目的</w:t>
          </w:r>
        </w:p>
        <w:p>
          <w:pPr>
            <w:pStyle w:val="afffffffffffff8"/>
          </w:pPr>
          <w:r>
            <w:lastRenderedPageBreak/>
            <w:t>为进一步健全中长期激励机制，充分调动公司管理团队及骨干员工积极性，将股东利益、公司利益和核心团队个人利益紧密结合，提升公司的市场竞争能力与可持续发展能力。</w:t>
          </w:r>
        </w:p>
        <w:p>
          <w:pPr>
            <w:pStyle w:val="afffffffffffff8"/>
          </w:pPr>
          <w:r>
            <w:t>2.激励对象的范围</w:t>
          </w:r>
        </w:p>
        <w:p>
          <w:pPr>
            <w:pStyle w:val="afffffffffffff8"/>
          </w:pPr>
          <w:r>
            <w:t>限制性股票激励计划的激励对象为当时担任公司董事、高级管理人员、中层管理人员、核心骨干人员等，不包括外部董事（含独立董事）、监事及单独或合计持有公司5%以上股份的股东或实际控制人及其配偶、父母、子女。</w:t>
          </w:r>
        </w:p>
        <w:p>
          <w:pPr>
            <w:pStyle w:val="afffffffffffff8"/>
          </w:pPr>
          <w:r>
            <w:t>3.标的股票数量</w:t>
          </w:r>
        </w:p>
        <w:p>
          <w:pPr>
            <w:pStyle w:val="afffffffffffff8"/>
          </w:pPr>
          <w:r>
            <w:t>经2022年1月27日召开的公司2022年度第一次临时股东大会、第一次A股/H股类别股东大会及第八届董事会第二十次会议批准，向激励对象1,245人授予6,174万股限制性股票（占本报告披露日公司已发行总股本（不包括库存股份）的约0.61%），所有限制性股票已于2022年1月27日授予完毕。涉及的标的股票种类为人民币普通股（A股）股票。</w:t>
          </w:r>
        </w:p>
        <w:p>
          <w:pPr>
            <w:pStyle w:val="afffffffffffff8"/>
          </w:pPr>
          <w:r>
            <w:t>4.每名参与人可获授权益上限</w:t>
          </w:r>
        </w:p>
        <w:p>
          <w:pPr>
            <w:pStyle w:val="afffffffffffff8"/>
          </w:pPr>
          <w:r>
            <w:t>任何一名激励对象通过全部在有效期内的股权激励计划获授的公司股票数量，累计未超过限制性股票激励计划草案公告日公司股本总额的1%。</w:t>
          </w:r>
        </w:p>
        <w:p>
          <w:pPr>
            <w:pStyle w:val="afffffffffffff8"/>
          </w:pPr>
          <w:r>
            <w:t>5.授予日</w:t>
          </w:r>
        </w:p>
        <w:p>
          <w:pPr>
            <w:pStyle w:val="afffffffffffff8"/>
          </w:pPr>
          <w:r>
            <w:t>经2022年1月27日召开的公司第八届董事会第二十次会议审议批准，授予日为2022年1月27日。</w:t>
          </w:r>
        </w:p>
        <w:p>
          <w:pPr>
            <w:pStyle w:val="afffffffffffff8"/>
          </w:pPr>
          <w:r>
            <w:t>6.限售期</w:t>
          </w:r>
        </w:p>
        <w:p>
          <w:pPr>
            <w:pStyle w:val="afffffffffffff8"/>
          </w:pPr>
          <w:r>
            <w:t>限制性股票激励计划限售期分别为自限制性股票授予登记完成之日起24个月、36个月、48个月。</w:t>
          </w:r>
        </w:p>
        <w:p>
          <w:pPr>
            <w:pStyle w:val="afffffffffffff8"/>
          </w:pPr>
          <w:r>
            <w:t>7.解除限售安排</w:t>
          </w:r>
        </w:p>
        <w:p>
          <w:pPr>
            <w:pStyle w:val="afffffffffffff8"/>
          </w:pPr>
          <w:r>
            <w:t>限制性股票激励计划授予限制性股票的解除限售期及各期解除限售时间安排如下表所示：</w:t>
          </w:r>
        </w:p>
        <w:tbl>
          <w:tblPr>
            <w:tblStyle w:val="affffffffff8"/>
            <w:tblW w:w="8583"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firstRow="1" w:lastRow="0" w:firstColumn="1" w:lastColumn="0" w:noHBand="0" w:noVBand="1"/>
          </w:tblPr>
          <w:tblGrid>
            <w:gridCol w:w="1577"/>
            <w:gridCol w:w="5091"/>
            <w:gridCol w:w="1915"/>
          </w:tblGrid>
          <w:tr>
            <w:trPr>
              <w:trHeight w:val="632"/>
              <w:jc w:val="center"/>
            </w:trPr>
            <w:tc>
              <w:tcPr>
                <w:tcW w:w="1577" w:type="dxa"/>
                <w:tcBorders>
                  <w:top w:val="single" w:sz="12" w:space="0" w:color="auto"/>
                  <w:left w:val="single" w:sz="12" w:space="0" w:color="auto"/>
                  <w:bottom w:val="single" w:sz="8" w:space="0" w:color="auto"/>
                  <w:right w:val="single" w:sz="8" w:space="0" w:color="auto"/>
                </w:tcBorders>
                <w:vAlign w:val="center"/>
              </w:tcPr>
              <w:p>
                <w:pPr>
                  <w:pStyle w:val="afffffffffffff8"/>
                </w:pPr>
                <w:r>
                  <w:t>解除限售安排</w:t>
                </w:r>
              </w:p>
            </w:tc>
            <w:tc>
              <w:tcPr>
                <w:tcW w:w="5091" w:type="dxa"/>
                <w:tcBorders>
                  <w:top w:val="single" w:sz="12" w:space="0" w:color="auto"/>
                  <w:left w:val="single" w:sz="8" w:space="0" w:color="auto"/>
                  <w:bottom w:val="single" w:sz="8" w:space="0" w:color="auto"/>
                  <w:right w:val="single" w:sz="8" w:space="0" w:color="auto"/>
                </w:tcBorders>
                <w:vAlign w:val="center"/>
              </w:tcPr>
              <w:p>
                <w:pPr>
                  <w:pStyle w:val="afffffffffffff8"/>
                </w:pPr>
                <w:r>
                  <w:t>解除限售时间</w:t>
                </w:r>
              </w:p>
            </w:tc>
            <w:tc>
              <w:tcPr>
                <w:tcW w:w="1915" w:type="dxa"/>
                <w:tcBorders>
                  <w:top w:val="single" w:sz="12" w:space="0" w:color="auto"/>
                  <w:left w:val="single" w:sz="8" w:space="0" w:color="auto"/>
                  <w:bottom w:val="single" w:sz="8" w:space="0" w:color="auto"/>
                  <w:right w:val="single" w:sz="12" w:space="0" w:color="auto"/>
                </w:tcBorders>
                <w:vAlign w:val="center"/>
              </w:tcPr>
              <w:p>
                <w:pPr>
                  <w:pStyle w:val="afffffffffffff8"/>
                </w:pPr>
                <w:r>
                  <w:t>解除限售比例</w:t>
                </w:r>
              </w:p>
            </w:tc>
          </w:tr>
          <w:tr>
            <w:trPr>
              <w:trHeight w:val="676"/>
              <w:jc w:val="center"/>
            </w:trPr>
            <w:tc>
              <w:tcPr>
                <w:tcW w:w="1577" w:type="dxa"/>
                <w:tcBorders>
                  <w:top w:val="single" w:sz="8" w:space="0" w:color="auto"/>
                  <w:left w:val="single" w:sz="12" w:space="0" w:color="auto"/>
                  <w:bottom w:val="single" w:sz="8" w:space="0" w:color="auto"/>
                  <w:right w:val="single" w:sz="8" w:space="0" w:color="auto"/>
                </w:tcBorders>
                <w:vAlign w:val="center"/>
              </w:tcPr>
              <w:p>
                <w:pPr>
                  <w:pStyle w:val="afffffffffffff8"/>
                </w:pPr>
                <w:r>
                  <w:t>第一个解除限售期</w:t>
                </w:r>
              </w:p>
            </w:tc>
            <w:tc>
              <w:tcPr>
                <w:tcW w:w="5091" w:type="dxa"/>
                <w:tcBorders>
                  <w:top w:val="single" w:sz="8" w:space="0" w:color="auto"/>
                  <w:left w:val="single" w:sz="8" w:space="0" w:color="auto"/>
                  <w:bottom w:val="single" w:sz="8" w:space="0" w:color="auto"/>
                  <w:right w:val="single" w:sz="8" w:space="0" w:color="auto"/>
                </w:tcBorders>
                <w:vAlign w:val="center"/>
              </w:tcPr>
              <w:p>
                <w:pPr>
                  <w:pStyle w:val="afffffffffffff8"/>
                </w:pPr>
                <w:r>
                  <w:t>自限制性股票完成登记日起24个月后的首个交易日起至限制性股票完成登记日起36个月内的最后一个交易日当日止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pPr>
                  <w:pStyle w:val="afffffffffffff8"/>
                </w:pPr>
                <w:r>
                  <w:t>33%</w:t>
                </w:r>
              </w:p>
            </w:tc>
          </w:tr>
          <w:tr>
            <w:trPr>
              <w:trHeight w:val="634"/>
              <w:jc w:val="center"/>
            </w:trPr>
            <w:tc>
              <w:tcPr>
                <w:tcW w:w="1577" w:type="dxa"/>
                <w:tcBorders>
                  <w:top w:val="single" w:sz="8" w:space="0" w:color="auto"/>
                  <w:left w:val="single" w:sz="12" w:space="0" w:color="auto"/>
                  <w:bottom w:val="single" w:sz="8" w:space="0" w:color="auto"/>
                  <w:right w:val="single" w:sz="8" w:space="0" w:color="auto"/>
                </w:tcBorders>
                <w:vAlign w:val="center"/>
              </w:tcPr>
              <w:p>
                <w:pPr>
                  <w:pStyle w:val="afffffffffffff8"/>
                </w:pPr>
                <w:r>
                  <w:t>第二个解除限售期</w:t>
                </w:r>
              </w:p>
            </w:tc>
            <w:tc>
              <w:tcPr>
                <w:tcW w:w="5091" w:type="dxa"/>
                <w:tcBorders>
                  <w:top w:val="single" w:sz="8" w:space="0" w:color="auto"/>
                  <w:left w:val="single" w:sz="8" w:space="0" w:color="auto"/>
                  <w:bottom w:val="single" w:sz="8" w:space="0" w:color="auto"/>
                  <w:right w:val="single" w:sz="8" w:space="0" w:color="auto"/>
                </w:tcBorders>
                <w:vAlign w:val="center"/>
              </w:tcPr>
              <w:p>
                <w:pPr>
                  <w:pStyle w:val="afffffffffffff8"/>
                </w:pPr>
                <w:r>
                  <w:t>自限制性股票完成登记日起36个月后的首个交易日起至限制性股票完成登记日起48个月内的最后一个交易日当日止</w:t>
                </w:r>
              </w:p>
            </w:tc>
            <w:tc>
              <w:tcPr>
                <w:tcW w:w="1915" w:type="dxa"/>
                <w:tcBorders>
                  <w:top w:val="single" w:sz="8" w:space="0" w:color="auto"/>
                  <w:left w:val="single" w:sz="8" w:space="0" w:color="auto"/>
                  <w:bottom w:val="single" w:sz="8" w:space="0" w:color="auto"/>
                  <w:right w:val="single" w:sz="12" w:space="0" w:color="auto"/>
                </w:tcBorders>
                <w:vAlign w:val="center"/>
              </w:tcPr>
              <w:p>
                <w:pPr>
                  <w:pStyle w:val="afffffffffffff8"/>
                </w:pPr>
                <w:r>
                  <w:t>33%</w:t>
                </w:r>
              </w:p>
            </w:tc>
          </w:tr>
          <w:tr>
            <w:trPr>
              <w:trHeight w:val="744"/>
              <w:jc w:val="center"/>
            </w:trPr>
            <w:tc>
              <w:tcPr>
                <w:tcW w:w="1577" w:type="dxa"/>
                <w:tcBorders>
                  <w:top w:val="single" w:sz="8" w:space="0" w:color="auto"/>
                  <w:left w:val="single" w:sz="12" w:space="0" w:color="auto"/>
                  <w:bottom w:val="single" w:sz="12" w:space="0" w:color="auto"/>
                  <w:right w:val="single" w:sz="8" w:space="0" w:color="auto"/>
                </w:tcBorders>
                <w:vAlign w:val="center"/>
              </w:tcPr>
              <w:p>
                <w:pPr>
                  <w:pStyle w:val="afffffffffffff8"/>
                </w:pPr>
                <w:r>
                  <w:t>第三个解除限售期</w:t>
                </w:r>
              </w:p>
            </w:tc>
            <w:tc>
              <w:tcPr>
                <w:tcW w:w="5091" w:type="dxa"/>
                <w:tcBorders>
                  <w:top w:val="single" w:sz="8" w:space="0" w:color="auto"/>
                  <w:left w:val="single" w:sz="8" w:space="0" w:color="auto"/>
                  <w:bottom w:val="single" w:sz="12" w:space="0" w:color="auto"/>
                  <w:right w:val="single" w:sz="8" w:space="0" w:color="auto"/>
                </w:tcBorders>
                <w:vAlign w:val="center"/>
              </w:tcPr>
              <w:p>
                <w:pPr>
                  <w:pStyle w:val="afffffffffffff8"/>
                </w:pPr>
                <w:r>
                  <w:t>自限制性股票完成登记日起48个月后的首个交易日起至限制性股票完成登记日起60个月内的最后一个交易日当日止</w:t>
                </w:r>
              </w:p>
            </w:tc>
            <w:tc>
              <w:tcPr>
                <w:tcW w:w="1915" w:type="dxa"/>
                <w:tcBorders>
                  <w:top w:val="single" w:sz="8" w:space="0" w:color="auto"/>
                  <w:left w:val="single" w:sz="8" w:space="0" w:color="auto"/>
                  <w:bottom w:val="single" w:sz="12" w:space="0" w:color="auto"/>
                  <w:right w:val="single" w:sz="12" w:space="0" w:color="auto"/>
                </w:tcBorders>
                <w:vAlign w:val="center"/>
              </w:tcPr>
              <w:p>
                <w:pPr>
                  <w:pStyle w:val="afffffffffffff8"/>
                </w:pPr>
                <w:r>
                  <w:t>34%</w:t>
                </w:r>
              </w:p>
            </w:tc>
          </w:tr>
        </w:tbl>
        <w:p>
          <w:pPr>
            <w:pStyle w:val="afffffffffffff8"/>
          </w:pPr>
          <w:r>
            <w:t>8.授予价格</w:t>
          </w:r>
        </w:p>
        <w:p>
          <w:pPr>
            <w:pStyle w:val="afffffffffffff8"/>
          </w:pPr>
          <w:r>
            <w:t>限制性股票激励计划的授予价格为11.72元/股，即满足授予条件后，激励对象可以每股11.72元的价格购买公司向激励对象增发的公司限制性股票。</w:t>
          </w:r>
        </w:p>
        <w:p>
          <w:pPr>
            <w:pStyle w:val="afffffffffffff8"/>
          </w:pPr>
          <w:r>
            <w:t>9.授予价格的确定方法</w:t>
          </w:r>
        </w:p>
        <w:p>
          <w:pPr>
            <w:pStyle w:val="afffffffffffff8"/>
          </w:pPr>
          <w:r>
            <w:t>授予价格不低于股票票面金额，且不低于公平市场价格的50%，公平市场价格按以下价格的较高者确定：</w:t>
          </w:r>
        </w:p>
        <w:p>
          <w:pPr>
            <w:pStyle w:val="afffffffffffff8"/>
          </w:pPr>
          <w:r>
            <w:t>标准一、限制性股票激励计划草案公布前1个交易日的公司标的股票交易均价；</w:t>
          </w:r>
        </w:p>
        <w:p>
          <w:pPr>
            <w:pStyle w:val="afffffffffffff8"/>
          </w:pPr>
          <w:r>
            <w:t>标准二、限制性股票激励计划草案公布前20个交易日、60个交易日或者120个交易日的公司标的股票交易均价之一。</w:t>
          </w:r>
        </w:p>
        <w:p>
          <w:pPr>
            <w:pStyle w:val="afffffffffffff8"/>
          </w:pPr>
          <w:r>
            <w:t>详情请见下表：</w:t>
          </w:r>
        </w:p>
        <w:p>
          <w:pPr>
            <w:pStyle w:val="afffffffffffff8"/>
          </w:pPr>
          <w:r>
            <w:t>单位：元/股</w:t>
          </w:r>
        </w:p>
        <w:tbl>
          <w:tblPr>
            <w:tblStyle w:val="affffffffff8"/>
            <w:tblW w:w="0" w:type="auto"/>
            <w:jc w:val="center"/>
            <w:tblLook w:val="04A0" w:firstRow="1" w:lastRow="0" w:firstColumn="1" w:lastColumn="0" w:noHBand="0" w:noVBand="1"/>
          </w:tblPr>
          <w:tblGrid>
            <w:gridCol w:w="1031"/>
            <w:gridCol w:w="1557"/>
            <w:gridCol w:w="1510"/>
            <w:gridCol w:w="1559"/>
            <w:gridCol w:w="1559"/>
            <w:gridCol w:w="1317"/>
          </w:tblGrid>
          <w:tr>
            <w:trPr>
              <w:jc w:val="center"/>
            </w:trPr>
            <w:tc>
              <w:tcPr>
                <w:tcW w:w="1031" w:type="dxa"/>
                <w:vMerge w:val="restart"/>
                <w:tcBorders>
                  <w:top w:val="single" w:sz="4" w:space="0" w:color="auto"/>
                  <w:left w:val="single" w:sz="4" w:space="0" w:color="auto"/>
                  <w:bottom w:val="single" w:sz="4" w:space="0" w:color="auto"/>
                  <w:right w:val="single" w:sz="4" w:space="0" w:color="auto"/>
                </w:tcBorders>
              </w:tcPr>
              <w:p>
                <w:pPr>
                  <w:pStyle w:val="afffffffffffff8"/>
                </w:pPr>
              </w:p>
            </w:tc>
            <w:tc>
              <w:tcPr>
                <w:tcW w:w="1557" w:type="dxa"/>
                <w:tcBorders>
                  <w:top w:val="single" w:sz="4" w:space="0" w:color="auto"/>
                  <w:left w:val="single" w:sz="4" w:space="0" w:color="auto"/>
                  <w:bottom w:val="single" w:sz="4" w:space="0" w:color="auto"/>
                  <w:right w:val="single" w:sz="4" w:space="0" w:color="auto"/>
                </w:tcBorders>
                <w:vAlign w:val="center"/>
              </w:tcPr>
              <w:p>
                <w:pPr>
                  <w:pStyle w:val="afffffffffffff8"/>
                </w:pPr>
                <w:r>
                  <w:t>标准一</w:t>
                </w:r>
              </w:p>
            </w:tc>
            <w:tc>
              <w:tcPr>
                <w:tcW w:w="4628" w:type="dxa"/>
                <w:gridSpan w:val="3"/>
                <w:tcBorders>
                  <w:top w:val="single" w:sz="4" w:space="0" w:color="auto"/>
                  <w:left w:val="single" w:sz="4" w:space="0" w:color="auto"/>
                  <w:bottom w:val="single" w:sz="4" w:space="0" w:color="auto"/>
                  <w:right w:val="single" w:sz="4" w:space="0" w:color="auto"/>
                </w:tcBorders>
                <w:vAlign w:val="center"/>
              </w:tcPr>
              <w:p>
                <w:pPr>
                  <w:pStyle w:val="afffffffffffff8"/>
                </w:pPr>
                <w:r>
                  <w:t>标准二</w:t>
                </w:r>
              </w:p>
            </w:tc>
            <w:tc>
              <w:tcPr>
                <w:tcW w:w="1317" w:type="dxa"/>
                <w:vMerge w:val="restart"/>
                <w:tcBorders>
                  <w:top w:val="single" w:sz="4" w:space="0" w:color="auto"/>
                  <w:left w:val="single" w:sz="4" w:space="0" w:color="auto"/>
                  <w:bottom w:val="single" w:sz="4" w:space="0" w:color="auto"/>
                  <w:right w:val="single" w:sz="4" w:space="0" w:color="auto"/>
                </w:tcBorders>
                <w:vAlign w:val="center"/>
              </w:tcPr>
              <w:p>
                <w:pPr>
                  <w:pStyle w:val="afffffffffffff8"/>
                </w:pPr>
                <w:r>
                  <w:t>最低授予价格</w:t>
                </w:r>
              </w:p>
            </w:tc>
          </w:tr>
          <w:tr>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pPr>
                  <w:pStyle w:val="afffffffffffff8"/>
                </w:pPr>
              </w:p>
            </w:tc>
            <w:tc>
              <w:tcPr>
                <w:tcW w:w="1557" w:type="dxa"/>
                <w:tcBorders>
                  <w:top w:val="single" w:sz="4" w:space="0" w:color="auto"/>
                  <w:left w:val="single" w:sz="4" w:space="0" w:color="auto"/>
                  <w:bottom w:val="single" w:sz="4" w:space="0" w:color="auto"/>
                  <w:right w:val="single" w:sz="4" w:space="0" w:color="auto"/>
                </w:tcBorders>
                <w:vAlign w:val="center"/>
              </w:tcPr>
              <w:p>
                <w:pPr>
                  <w:pStyle w:val="afffffffffffff8"/>
                </w:pPr>
                <w:r>
                  <w:t>前1个交易日的公司股票交易均价</w:t>
                </w:r>
              </w:p>
            </w:tc>
            <w:tc>
              <w:tcPr>
                <w:tcW w:w="1510" w:type="dxa"/>
                <w:tcBorders>
                  <w:top w:val="single" w:sz="4" w:space="0" w:color="auto"/>
                  <w:left w:val="single" w:sz="4" w:space="0" w:color="auto"/>
                  <w:bottom w:val="single" w:sz="4" w:space="0" w:color="auto"/>
                  <w:right w:val="single" w:sz="4" w:space="0" w:color="auto"/>
                </w:tcBorders>
                <w:vAlign w:val="center"/>
              </w:tcPr>
              <w:p>
                <w:pPr>
                  <w:pStyle w:val="afffffffffffff8"/>
                </w:pPr>
                <w:r>
                  <w:t>前20个交易日的公司股票交易均价</w:t>
                </w:r>
              </w:p>
            </w:tc>
            <w:tc>
              <w:tcPr>
                <w:tcW w:w="1559" w:type="dxa"/>
                <w:tcBorders>
                  <w:top w:val="single" w:sz="4" w:space="0" w:color="auto"/>
                  <w:left w:val="single" w:sz="4" w:space="0" w:color="auto"/>
                  <w:bottom w:val="single" w:sz="4" w:space="0" w:color="auto"/>
                  <w:right w:val="single" w:sz="4" w:space="0" w:color="auto"/>
                </w:tcBorders>
                <w:vAlign w:val="center"/>
              </w:tcPr>
              <w:p>
                <w:pPr>
                  <w:pStyle w:val="afffffffffffff8"/>
                </w:pPr>
                <w:r>
                  <w:t>前60个交易日的公司股票交易均价</w:t>
                </w:r>
              </w:p>
            </w:tc>
            <w:tc>
              <w:tcPr>
                <w:tcW w:w="1559" w:type="dxa"/>
                <w:tcBorders>
                  <w:top w:val="single" w:sz="4" w:space="0" w:color="auto"/>
                  <w:left w:val="single" w:sz="4" w:space="0" w:color="auto"/>
                  <w:bottom w:val="single" w:sz="4" w:space="0" w:color="auto"/>
                  <w:right w:val="single" w:sz="4" w:space="0" w:color="auto"/>
                </w:tcBorders>
                <w:vAlign w:val="center"/>
              </w:tcPr>
              <w:p>
                <w:pPr>
                  <w:pStyle w:val="afffffffffffff8"/>
                </w:pPr>
                <w:r>
                  <w:t>前120个交易日的公司股票交易均价</w:t>
                </w:r>
              </w:p>
            </w:tc>
            <w:tc>
              <w:tcPr>
                <w:tcW w:w="0" w:type="auto"/>
                <w:vMerge/>
                <w:tcBorders>
                  <w:top w:val="single" w:sz="4" w:space="0" w:color="auto"/>
                  <w:left w:val="single" w:sz="4" w:space="0" w:color="auto"/>
                  <w:bottom w:val="single" w:sz="4" w:space="0" w:color="auto"/>
                  <w:right w:val="single" w:sz="4" w:space="0" w:color="auto"/>
                </w:tcBorders>
                <w:vAlign w:val="center"/>
              </w:tcPr>
              <w:p>
                <w:pPr>
                  <w:pStyle w:val="afffffffffffff8"/>
                </w:pPr>
              </w:p>
            </w:tc>
          </w:tr>
          <w:tr>
            <w:trPr>
              <w:jc w:val="center"/>
            </w:trPr>
            <w:tc>
              <w:tcPr>
                <w:tcW w:w="1031" w:type="dxa"/>
                <w:tcBorders>
                  <w:top w:val="single" w:sz="4" w:space="0" w:color="auto"/>
                  <w:left w:val="single" w:sz="4" w:space="0" w:color="auto"/>
                  <w:bottom w:val="single" w:sz="4" w:space="0" w:color="auto"/>
                  <w:right w:val="single" w:sz="4" w:space="0" w:color="auto"/>
                </w:tcBorders>
                <w:vAlign w:val="center"/>
              </w:tcPr>
              <w:p>
                <w:pPr>
                  <w:pStyle w:val="afffffffffffff8"/>
                </w:pPr>
                <w:r>
                  <w:t>A股</w:t>
                </w:r>
              </w:p>
            </w:tc>
            <w:tc>
              <w:tcPr>
                <w:tcW w:w="1557" w:type="dxa"/>
                <w:tcBorders>
                  <w:top w:val="single" w:sz="4" w:space="0" w:color="auto"/>
                  <w:left w:val="single" w:sz="4" w:space="0" w:color="auto"/>
                  <w:bottom w:val="single" w:sz="4" w:space="0" w:color="auto"/>
                  <w:right w:val="single" w:sz="4" w:space="0" w:color="auto"/>
                </w:tcBorders>
                <w:vAlign w:val="center"/>
              </w:tcPr>
              <w:p>
                <w:pPr>
                  <w:pStyle w:val="afffffffffffff8"/>
                </w:pPr>
                <w:r>
                  <w:t>23.44</w:t>
                </w:r>
              </w:p>
            </w:tc>
            <w:tc>
              <w:tcPr>
                <w:tcW w:w="1510" w:type="dxa"/>
                <w:tcBorders>
                  <w:top w:val="single" w:sz="4" w:space="0" w:color="auto"/>
                  <w:left w:val="single" w:sz="4" w:space="0" w:color="auto"/>
                  <w:bottom w:val="single" w:sz="4" w:space="0" w:color="auto"/>
                  <w:right w:val="single" w:sz="4" w:space="0" w:color="auto"/>
                </w:tcBorders>
                <w:vAlign w:val="center"/>
              </w:tcPr>
              <w:p>
                <w:pPr>
                  <w:pStyle w:val="afffffffffffff8"/>
                </w:pPr>
                <w:r>
                  <w:t>23.29</w:t>
                </w:r>
              </w:p>
            </w:tc>
            <w:tc>
              <w:tcPr>
                <w:tcW w:w="1559" w:type="dxa"/>
                <w:tcBorders>
                  <w:top w:val="single" w:sz="4" w:space="0" w:color="auto"/>
                  <w:left w:val="single" w:sz="4" w:space="0" w:color="auto"/>
                  <w:bottom w:val="single" w:sz="4" w:space="0" w:color="auto"/>
                  <w:right w:val="single" w:sz="4" w:space="0" w:color="auto"/>
                </w:tcBorders>
                <w:vAlign w:val="center"/>
              </w:tcPr>
              <w:p>
                <w:pPr>
                  <w:pStyle w:val="afffffffffffff8"/>
                </w:pPr>
                <w:r>
                  <w:t>27.03</w:t>
                </w:r>
              </w:p>
            </w:tc>
            <w:tc>
              <w:tcPr>
                <w:tcW w:w="1559" w:type="dxa"/>
                <w:tcBorders>
                  <w:top w:val="single" w:sz="4" w:space="0" w:color="auto"/>
                  <w:left w:val="single" w:sz="4" w:space="0" w:color="auto"/>
                  <w:bottom w:val="single" w:sz="4" w:space="0" w:color="auto"/>
                  <w:right w:val="single" w:sz="4" w:space="0" w:color="auto"/>
                </w:tcBorders>
                <w:vAlign w:val="center"/>
              </w:tcPr>
              <w:p>
                <w:pPr>
                  <w:pStyle w:val="afffffffffffff8"/>
                </w:pPr>
                <w:r>
                  <w:t>22.55</w:t>
                </w:r>
              </w:p>
            </w:tc>
            <w:tc>
              <w:tcPr>
                <w:tcW w:w="1317" w:type="dxa"/>
                <w:tcBorders>
                  <w:top w:val="single" w:sz="4" w:space="0" w:color="auto"/>
                  <w:left w:val="single" w:sz="4" w:space="0" w:color="auto"/>
                  <w:bottom w:val="single" w:sz="4" w:space="0" w:color="auto"/>
                  <w:right w:val="single" w:sz="4" w:space="0" w:color="auto"/>
                </w:tcBorders>
                <w:vAlign w:val="center"/>
              </w:tcPr>
              <w:p>
                <w:pPr>
                  <w:pStyle w:val="afffffffffffff8"/>
                </w:pPr>
                <w:r>
                  <w:t>11.72</w:t>
                </w:r>
              </w:p>
            </w:tc>
          </w:tr>
        </w:tbl>
        <w:p>
          <w:pPr>
            <w:pStyle w:val="afffffffffffff8"/>
          </w:pPr>
        </w:p>
        <w:p>
          <w:pPr>
            <w:pStyle w:val="afffffffffffff8"/>
          </w:pPr>
        </w:p>
        <w:p>
          <w:pPr>
            <w:pStyle w:val="afffffffffffff8"/>
          </w:pPr>
          <w:r>
            <w:t>10.回购原则</w:t>
          </w:r>
        </w:p>
        <w:p>
          <w:pPr>
            <w:pStyle w:val="afffffffffffff8"/>
          </w:pPr>
          <w:r>
            <w:t>激励对象获授的限制性股票完成股份登记后，公司有资本公积转增股本、派送股票红利、股份拆细、配股、缩股等影响公司股本总额或公司股票价格事项的，公司应对尚未解除限售的限制性股票的回购数量、价格做相应的调整。具体调整方法请见2022年1月27日公告的《兖矿能源2021年A股限制性股票激励计划》。</w:t>
          </w:r>
        </w:p>
        <w:p>
          <w:pPr>
            <w:pStyle w:val="afffffffffffff8"/>
          </w:pPr>
          <w:r>
            <w:t>激励对象因调动、免职、退休、死亡、丧失民事行为能力等客观原因与公司解除或者终止劳动关系时，尚未解除限售的限制性股票，由公司按授予价格（调整后的，下同）加上同期银行存款利息回购注销。</w:t>
          </w:r>
        </w:p>
        <w:p>
          <w:pPr>
            <w:pStyle w:val="afffffffffffff8"/>
          </w:pPr>
          <w:r>
            <w:t>激励对象辞职、因个人原因被解除劳动关系的，已获授但尚未解除限售的限制性股票由公司回购注销，回购价格为授予价格与回购时公司股票市场价格的孰低值（市场价格为董事会审议回购事项前1交易日公司标的股票交易均价，下同）。</w:t>
          </w:r>
        </w:p>
        <w:p>
          <w:pPr>
            <w:pStyle w:val="afffffffffffff8"/>
          </w:pPr>
          <w:r>
            <w:t>若限制性股票某个解除限售期的公司业绩考核目标未达成，则所有激励对象当期限制性股票不可解除限售，由公司回购注销；因个人层面绩效考核结果导致当期不可解除限售的限制性股票，由公司回购注销。回购价格不得高于授予价格与市场价格的较低者。</w:t>
          </w:r>
        </w:p>
        <w:p>
          <w:pPr>
            <w:pStyle w:val="afffffffffffff8"/>
          </w:pPr>
          <w:r>
            <w:t>11.有效期</w:t>
          </w:r>
        </w:p>
        <w:p>
          <w:pPr>
            <w:pStyle w:val="afffffffffffff8"/>
          </w:pPr>
          <w:r>
            <w:t>限制性股票激励计划经2022年1月27日召开的公司2022年度第一次临时股东大会、2022年度第一次A股/H股类别股东大会批准生效。有效期自限制性股票授予登记完成之日起至激励对象获授的限制性股票全部解除限售或回购注销完成之日止，最长不超过60个月。</w:t>
          </w:r>
        </w:p>
        <w:p>
          <w:pPr>
            <w:pStyle w:val="afffffffffffff8"/>
          </w:pPr>
          <w:r>
            <w:t>12.授予完成情况</w:t>
          </w:r>
        </w:p>
        <w:p>
          <w:pPr>
            <w:pStyle w:val="afffffffffffff8"/>
          </w:pPr>
          <w:r>
            <w:t>2022年2月24日，公司在中国结算上海分公司完成了限制性股票的授予登记工作。有关详情请见公司日期为2022年2月25日的关于2021年A股限制性股票激励计划授予结果的公告。</w:t>
          </w:r>
        </w:p>
        <w:p>
          <w:pPr>
            <w:pStyle w:val="afffffffffffff8"/>
          </w:pPr>
        </w:p>
        <w:p>
          <w:pPr>
            <w:pStyle w:val="afffffffffffff8"/>
          </w:pPr>
          <w:r>
            <w:t>（二）历次调整情况</w:t>
          </w:r>
        </w:p>
        <w:p>
          <w:pPr>
            <w:pStyle w:val="afffffffffffff8"/>
          </w:pPr>
          <w:r>
            <w:t>经2023年8月25日召开的公司第九届董事会第二次会议审议批准，由于公司于限售期内进行两次利润分配，另外每股派送红股0.5股，因此公司董事会对限制性股票回购价格、数量进行调整，本次调整后，回购价格由11.72元/股调整为3.6133元/股，已获授但未解除限售的限制性股票数量由6,174万股调整为9,261万股；26名激励对象因调动、退休等原因，公司注销其已获授但未解除限售的限制性股票267万股。详情请见公司日期为2023年8月25日的关于调整限制性股票回购价格及回购数量的公告、关于回购注销部分激励对象已获授但尚未解除限售的限制性股票的公告。</w:t>
          </w:r>
        </w:p>
        <w:p>
          <w:pPr>
            <w:pStyle w:val="afffffffffffff8"/>
          </w:pPr>
          <w:r>
            <w:t>经2024年2月23日召开的公司第九届董事会第五次会议审议批准，由于限制性股票激励计划16名激励对象因职务调动等原因已不符合激励条件，2名激励对象绩效考核结果为“不合格”，4名激励对象绩效考核结果为“达标”，因此对上述22名激励对象已获授但尚未解除限售的限制性股票140.118万股进行回购注销。详情请见公司日期为2024年2月23日的关于回购注销部分激励对象已获授但尚未解除限售的限制性股票的公告。</w:t>
          </w:r>
        </w:p>
        <w:p>
          <w:pPr>
            <w:pStyle w:val="afffffffffffff8"/>
          </w:pPr>
          <w:r>
            <w:t>经2025年2月24日召开的公司第九届董事会第十三次会议审议批准，由于公司于报告期内进行两次利润分配，另外每股派送红股0.3股，因此公司董事会对限制性股票回购价格、数量进行调整，本次调整后，回购价格由3.6133元/股调整为1.4033元/股，已获授但未解除限售的限制性股票数量由5,937.54万股调整为7,718.802万股。27名激励对象因职务调动等原因已不符合激励条件，5名激励对象绩效考核结果为“不合格”，9名激励对象绩效考核结果为“达标”，因此对上述41名激励对象已获授但尚未解除限售的限制性股票237.986万股进行回购注销。详情请见公司日期为2025年2月24日的关于回购注销部分激励对象已获授但尚未解除限售的限制性股票的公告。</w:t>
          </w:r>
        </w:p>
      </w:sdtContent>
    </w:sdt>
    <w:p>
      <w:pPr>
        <w:rPr>
          <w:szCs w:val="21"/>
        </w:rPr>
      </w:pPr>
    </w:p>
    <w:p>
      <w:pPr>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560222491"/>
        <w:placeholder>
          <w:docPart w:val="GBC22222222222222222222222222222"/>
        </w:placeholder>
      </w:sdtPr>
      <w:sdtContent>
        <w:p>
          <w:pPr>
            <w:rPr>
              <w:bCs/>
              <w:szCs w:val="21"/>
            </w:rPr>
          </w:pPr>
          <w:r>
            <w:rPr>
              <w:bCs/>
              <w:szCs w:val="21"/>
            </w:rPr>
            <w:fldChar w:fldCharType="begin"/>
          </w:r>
          <w:r>
            <w:rPr>
              <w:rFonts w:hint="eastAsia"/>
              <w:bCs/>
              <w:szCs w:val="21"/>
            </w:rPr>
            <w:instrText xml:space="preserve"> MACROBUTTON  SnrToggleCheckbox □适用  </w:instrText>
          </w:r>
          <w:r>
            <w:rPr>
              <w:bCs/>
              <w:szCs w:val="21"/>
            </w:rPr>
            <w:fldChar w:fldCharType="end"/>
          </w:r>
          <w:r>
            <w:rPr>
              <w:bCs/>
              <w:szCs w:val="21"/>
            </w:rPr>
            <w:fldChar w:fldCharType="begin"/>
          </w:r>
          <w:r>
            <w:rPr>
              <w:rFonts w:hint="eastAsia"/>
              <w:bCs/>
              <w:szCs w:val="21"/>
            </w:rPr>
            <w:instrText xml:space="preserve"> MACROBUTTON  SnrToggleCheckbox √不适用 </w:instrText>
          </w:r>
          <w:r>
            <w:rPr>
              <w:bCs/>
              <w:szCs w:val="21"/>
            </w:rPr>
            <w:fldChar w:fldCharType="end"/>
          </w:r>
        </w:p>
      </w:sdtContent>
    </w:sdt>
    <w:p>
      <w:pPr>
        <w:rPr>
          <w:bCs/>
          <w:szCs w:val="21"/>
        </w:rPr>
      </w:pPr>
    </w:p>
    <w:p>
      <w:pPr>
        <w:rPr>
          <w:bCs/>
          <w:szCs w:val="21"/>
        </w:rPr>
      </w:pPr>
      <w:r>
        <w:rPr>
          <w:rFonts w:hint="eastAsia"/>
          <w:bCs/>
          <w:szCs w:val="21"/>
        </w:rPr>
        <w:t>其他激励措施</w:t>
      </w:r>
    </w:p>
    <w:sdt>
      <w:sdtPr>
        <w:rPr>
          <w:szCs w:val="21"/>
        </w:rPr>
        <w:alias w:val="是否适用：其他激励措施[双击切换]"/>
        <w:tag w:val="_GBC_1273f753309d4658962c7982b10fa010"/>
        <w:id w:val="-1047518195"/>
        <w:placeholder>
          <w:docPart w:val="GBC22222222222222222222222222222"/>
        </w:placeholder>
      </w:sdtPr>
      <w:sdtContent>
        <w:p>
          <w:pPr>
            <w:rPr>
              <w:szCs w:val="21"/>
            </w:rPr>
            <w:sectPr>
              <w:pgSz w:w="11906" w:h="16838"/>
              <w:pgMar w:top="1525" w:right="1276" w:bottom="1440" w:left="1797" w:header="851" w:footer="992" w:gutter="0"/>
              <w:cols w:space="425"/>
              <w:docGrid w:linePitch="312"/>
            </w:sect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p>
          <w:pPr>
            <w:rPr>
              <w:bCs/>
              <w:szCs w:val="21"/>
            </w:rPr>
          </w:pPr>
        </w:p>
      </w:sdtContent>
    </w:sdt>
    <w:p>
      <w:pPr>
        <w:rPr>
          <w:bCs/>
          <w:szCs w:val="21"/>
        </w:rPr>
      </w:pPr>
    </w:p>
    <w:p>
      <w:pPr>
        <w:pStyle w:val="afffffff1"/>
        <w:numPr>
          <w:ilvl w:val="1"/>
          <w:numId w:val="57"/>
        </w:numPr>
        <w:rPr>
          <w:kern w:val="44"/>
          <w:szCs w:val="21"/>
        </w:rPr>
      </w:pPr>
      <w:bookmarkStart w:id="130" w:name="_Toc342566005"/>
      <w:bookmarkStart w:id="131" w:name="_Toc342057945"/>
      <w:r>
        <w:rPr>
          <w:rFonts w:hint="eastAsia"/>
          <w:kern w:val="44"/>
          <w:szCs w:val="21"/>
        </w:rPr>
        <w:t>董事、高级管理人员报告期内被授予的股权激励情况</w:t>
      </w:r>
      <w:bookmarkEnd w:id="130"/>
      <w:bookmarkEnd w:id="131"/>
    </w:p>
    <w:bookmarkStart w:id="132" w:name="OLE_LINK20" w:displacedByCustomXml="next"/>
    <w:sdt>
      <w:sdtPr>
        <w:rPr>
          <w:rFonts w:hint="eastAsia"/>
          <w:szCs w:val="21"/>
        </w:rPr>
        <w:alias w:val="是否适用：董事、监事、高级管理人员报告期内被授予的股权激励情况[双击切换]"/>
        <w:tag w:val="_GBC_c2d0a53ac8044ce0b5022c6f5ccdc0a9"/>
        <w:id w:val="1741211276"/>
        <w:placeholder>
          <w:docPart w:val="GBC22222222222222222222222222222"/>
        </w:placeholder>
      </w:sdtPr>
      <w:sdtContent>
        <w:p>
          <w:pPr>
            <w:pStyle w:val="affffffff"/>
            <w:rPr>
              <w:szCs w:val="21"/>
            </w:rPr>
          </w:pPr>
          <w:r>
            <w:rPr>
              <w:rFonts w:hint="eastAsia"/>
              <w:szCs w:val="21"/>
            </w:rPr>
            <w:t>董事、监事、高级管理人员报告期内被授予的股权激励情况</w:t>
          </w:r>
          <w:bookmarkEnd w:id="132"/>
        </w:p>
        <w:p>
          <w:pPr>
            <w:pStyle w:val="affffffff"/>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133" w:name="_Hlk193312757" w:displacedByCustomXml="prev"/>
    <w:p>
      <w:pPr>
        <w:pStyle w:val="affffffff"/>
      </w:pPr>
    </w:p>
    <w:sdt>
      <w:sdtPr>
        <w:rPr>
          <w:rFonts w:hint="eastAsia"/>
          <w:szCs w:val="21"/>
        </w:rPr>
        <w:alias w:val="是否适用：董事、监事、高级管理人员报告期内被授予的限制性股票激励情况[双击切换]"/>
        <w:tag w:val="_GBC_fab645ff85b74c30b698dafe2aa5cba6"/>
        <w:id w:val="1285313962"/>
        <w:placeholder>
          <w:docPart w:val="GBC22222222222222222222222222222"/>
        </w:placeholder>
      </w:sdtPr>
      <w:sdtContent>
        <w:p>
          <w:pPr>
            <w:kinsoku w:val="0"/>
            <w:overflowPunct w:val="0"/>
            <w:autoSpaceDE w:val="0"/>
            <w:autoSpaceDN w:val="0"/>
            <w:adjustRightInd w:val="0"/>
            <w:snapToGrid w:val="0"/>
            <w:rPr>
              <w:szCs w:val="21"/>
            </w:rPr>
          </w:pPr>
          <w:r>
            <w:rPr>
              <w:rFonts w:hint="eastAsia"/>
              <w:szCs w:val="21"/>
            </w:rPr>
            <w:t>董事、监事、高级管理人员报告期内被授予的限制性股票激励情况</w:t>
          </w:r>
        </w:p>
        <w:p>
          <w:pPr>
            <w:kinsoku w:val="0"/>
            <w:overflowPunct w:val="0"/>
            <w:autoSpaceDE w:val="0"/>
            <w:autoSpaceDN w:val="0"/>
            <w:adjustRightInd w:val="0"/>
            <w:snapToGrid w:val="0"/>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133"/>
    <w:p>
      <w:pPr>
        <w:ind w:firstLine="420"/>
        <w:jc w:val="both"/>
      </w:pPr>
    </w:p>
    <w:p>
      <w:pPr>
        <w:kinsoku w:val="0"/>
        <w:overflowPunct w:val="0"/>
        <w:autoSpaceDE w:val="0"/>
        <w:autoSpaceDN w:val="0"/>
        <w:adjustRightInd w:val="0"/>
        <w:snapToGrid w:val="0"/>
        <w:jc w:val="right"/>
      </w:pPr>
      <w:r>
        <w:rPr>
          <w:rFonts w:hint="eastAsia"/>
          <w:szCs w:val="21"/>
        </w:rPr>
        <w:t>单位：</w:t>
      </w:r>
      <w:sdt>
        <w:sdtPr>
          <w:rPr>
            <w:rFonts w:hint="eastAsia"/>
            <w:szCs w:val="21"/>
          </w:rPr>
          <w:alias w:val="单位：董事、监事、高级管理人员报告期内被授予的股权激励情况"/>
          <w:tag w:val="_GBC_fd6c88cda94949d6a3e4b29026628a1d"/>
          <w:id w:val="-1269611182"/>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万股</w:t>
          </w:r>
        </w:sdtContent>
      </w:sdt>
    </w:p>
    <w:tbl>
      <w:tblPr>
        <w:tblStyle w:val="g18"/>
        <w:tblpPr w:leftFromText="180" w:rightFromText="180" w:vertAnchor="text" w:horzAnchor="page" w:tblpX="1599" w:tblpY="125"/>
        <w:tblOverlap w:val="never"/>
        <w:tblW w:w="488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7"/>
        <w:gridCol w:w="1036"/>
        <w:gridCol w:w="987"/>
        <w:gridCol w:w="1277"/>
        <w:gridCol w:w="1200"/>
        <w:gridCol w:w="1233"/>
        <w:gridCol w:w="1355"/>
        <w:gridCol w:w="1393"/>
        <w:gridCol w:w="1127"/>
      </w:tblGrid>
      <w:tr>
        <w:tc>
          <w:tcPr>
            <w:tcW w:w="458" w:type="pct"/>
            <w:vAlign w:val="center"/>
          </w:tcPr>
          <w:p>
            <w:pPr>
              <w:kinsoku w:val="0"/>
              <w:overflowPunct w:val="0"/>
              <w:autoSpaceDE w:val="0"/>
              <w:autoSpaceDN w:val="0"/>
              <w:adjustRightInd w:val="0"/>
              <w:snapToGrid w:val="0"/>
              <w:jc w:val="center"/>
              <w:rPr>
                <w:bCs/>
              </w:rPr>
            </w:pPr>
            <w:r>
              <w:rPr>
                <w:rFonts w:hint="eastAsia"/>
                <w:bCs/>
              </w:rPr>
              <w:t>姓名</w:t>
            </w:r>
          </w:p>
        </w:tc>
        <w:tc>
          <w:tcPr>
            <w:tcW w:w="993" w:type="pct"/>
            <w:vAlign w:val="center"/>
          </w:tcPr>
          <w:p>
            <w:pPr>
              <w:kinsoku w:val="0"/>
              <w:overflowPunct w:val="0"/>
              <w:autoSpaceDE w:val="0"/>
              <w:autoSpaceDN w:val="0"/>
              <w:adjustRightInd w:val="0"/>
              <w:snapToGrid w:val="0"/>
              <w:jc w:val="center"/>
              <w:rPr>
                <w:bCs/>
              </w:rPr>
            </w:pPr>
            <w:r>
              <w:rPr>
                <w:rFonts w:hint="eastAsia"/>
                <w:bCs/>
              </w:rPr>
              <w:t>职务</w:t>
            </w:r>
          </w:p>
        </w:tc>
        <w:tc>
          <w:tcPr>
            <w:tcW w:w="382" w:type="pct"/>
            <w:vAlign w:val="center"/>
          </w:tcPr>
          <w:p>
            <w:pPr>
              <w:kinsoku w:val="0"/>
              <w:overflowPunct w:val="0"/>
              <w:autoSpaceDE w:val="0"/>
              <w:autoSpaceDN w:val="0"/>
              <w:adjustRightInd w:val="0"/>
              <w:snapToGrid w:val="0"/>
              <w:jc w:val="center"/>
              <w:rPr>
                <w:bCs/>
              </w:rPr>
            </w:pPr>
            <w:r>
              <w:rPr>
                <w:rFonts w:hint="eastAsia"/>
                <w:bCs/>
              </w:rPr>
              <w:t>年初持有限制性股票数量</w:t>
            </w:r>
          </w:p>
        </w:tc>
        <w:tc>
          <w:tcPr>
            <w:tcW w:w="364" w:type="pct"/>
            <w:vAlign w:val="center"/>
          </w:tcPr>
          <w:p>
            <w:pPr>
              <w:kinsoku w:val="0"/>
              <w:overflowPunct w:val="0"/>
              <w:autoSpaceDE w:val="0"/>
              <w:autoSpaceDN w:val="0"/>
              <w:adjustRightInd w:val="0"/>
              <w:snapToGrid w:val="0"/>
              <w:jc w:val="center"/>
              <w:rPr>
                <w:bCs/>
              </w:rPr>
            </w:pPr>
            <w:r>
              <w:rPr>
                <w:rFonts w:hint="eastAsia"/>
                <w:bCs/>
              </w:rPr>
              <w:t>新授予限制性股票数量</w:t>
            </w:r>
          </w:p>
        </w:tc>
        <w:tc>
          <w:tcPr>
            <w:tcW w:w="471" w:type="pct"/>
            <w:vAlign w:val="center"/>
          </w:tcPr>
          <w:p>
            <w:pPr>
              <w:kinsoku w:val="0"/>
              <w:overflowPunct w:val="0"/>
              <w:autoSpaceDE w:val="0"/>
              <w:autoSpaceDN w:val="0"/>
              <w:adjustRightInd w:val="0"/>
              <w:snapToGrid w:val="0"/>
              <w:jc w:val="center"/>
              <w:rPr>
                <w:bCs/>
              </w:rPr>
            </w:pPr>
            <w:r>
              <w:rPr>
                <w:rFonts w:hint="eastAsia"/>
                <w:bCs/>
              </w:rPr>
              <w:t>限制性股票的授予价格</w:t>
            </w:r>
          </w:p>
          <w:p>
            <w:pPr>
              <w:kinsoku w:val="0"/>
              <w:overflowPunct w:val="0"/>
              <w:autoSpaceDE w:val="0"/>
              <w:autoSpaceDN w:val="0"/>
              <w:adjustRightInd w:val="0"/>
              <w:snapToGrid w:val="0"/>
              <w:jc w:val="center"/>
              <w:rPr>
                <w:bCs/>
              </w:rPr>
            </w:pPr>
            <w:r>
              <w:rPr>
                <w:rFonts w:hint="eastAsia"/>
                <w:bCs/>
              </w:rPr>
              <w:t>（元/股）</w:t>
            </w:r>
          </w:p>
        </w:tc>
        <w:tc>
          <w:tcPr>
            <w:tcW w:w="443" w:type="pct"/>
            <w:vAlign w:val="center"/>
          </w:tcPr>
          <w:p>
            <w:pPr>
              <w:kinsoku w:val="0"/>
              <w:overflowPunct w:val="0"/>
              <w:autoSpaceDE w:val="0"/>
              <w:autoSpaceDN w:val="0"/>
              <w:adjustRightInd w:val="0"/>
              <w:snapToGrid w:val="0"/>
              <w:jc w:val="center"/>
              <w:rPr>
                <w:bCs/>
              </w:rPr>
            </w:pPr>
            <w:r>
              <w:rPr>
                <w:rFonts w:hint="eastAsia"/>
                <w:bCs/>
              </w:rPr>
              <w:t>报告期内失效（注销）的限制性股票数量</w:t>
            </w:r>
          </w:p>
        </w:tc>
        <w:tc>
          <w:tcPr>
            <w:tcW w:w="455" w:type="pct"/>
            <w:vAlign w:val="center"/>
          </w:tcPr>
          <w:p>
            <w:pPr>
              <w:kinsoku w:val="0"/>
              <w:overflowPunct w:val="0"/>
              <w:autoSpaceDE w:val="0"/>
              <w:autoSpaceDN w:val="0"/>
              <w:adjustRightInd w:val="0"/>
              <w:snapToGrid w:val="0"/>
              <w:jc w:val="center"/>
              <w:rPr>
                <w:bCs/>
              </w:rPr>
            </w:pPr>
            <w:r>
              <w:rPr>
                <w:rFonts w:hint="eastAsia"/>
                <w:bCs/>
              </w:rPr>
              <w:t>报告期内已解锁股份</w:t>
            </w:r>
          </w:p>
        </w:tc>
        <w:tc>
          <w:tcPr>
            <w:tcW w:w="500" w:type="pct"/>
            <w:vAlign w:val="center"/>
          </w:tcPr>
          <w:p>
            <w:pPr>
              <w:kinsoku w:val="0"/>
              <w:overflowPunct w:val="0"/>
              <w:autoSpaceDE w:val="0"/>
              <w:autoSpaceDN w:val="0"/>
              <w:adjustRightInd w:val="0"/>
              <w:snapToGrid w:val="0"/>
              <w:jc w:val="center"/>
              <w:rPr>
                <w:bCs/>
              </w:rPr>
            </w:pPr>
            <w:r>
              <w:rPr>
                <w:rFonts w:hint="eastAsia"/>
                <w:bCs/>
              </w:rPr>
              <w:t>报告期内未解锁股份</w:t>
            </w:r>
          </w:p>
        </w:tc>
        <w:tc>
          <w:tcPr>
            <w:tcW w:w="514" w:type="pct"/>
            <w:vAlign w:val="center"/>
          </w:tcPr>
          <w:p>
            <w:pPr>
              <w:kinsoku w:val="0"/>
              <w:overflowPunct w:val="0"/>
              <w:autoSpaceDE w:val="0"/>
              <w:autoSpaceDN w:val="0"/>
              <w:adjustRightInd w:val="0"/>
              <w:snapToGrid w:val="0"/>
              <w:jc w:val="center"/>
              <w:rPr>
                <w:bCs/>
              </w:rPr>
            </w:pPr>
            <w:r>
              <w:rPr>
                <w:rFonts w:hint="eastAsia"/>
                <w:bCs/>
              </w:rPr>
              <w:t>期末持有</w:t>
            </w:r>
          </w:p>
          <w:p>
            <w:pPr>
              <w:kinsoku w:val="0"/>
              <w:overflowPunct w:val="0"/>
              <w:autoSpaceDE w:val="0"/>
              <w:autoSpaceDN w:val="0"/>
              <w:adjustRightInd w:val="0"/>
              <w:snapToGrid w:val="0"/>
              <w:jc w:val="center"/>
              <w:rPr>
                <w:bCs/>
              </w:rPr>
            </w:pPr>
            <w:r>
              <w:rPr>
                <w:rFonts w:hint="eastAsia"/>
                <w:bCs/>
              </w:rPr>
              <w:t>限制性</w:t>
            </w:r>
          </w:p>
          <w:p>
            <w:pPr>
              <w:kinsoku w:val="0"/>
              <w:overflowPunct w:val="0"/>
              <w:autoSpaceDE w:val="0"/>
              <w:autoSpaceDN w:val="0"/>
              <w:adjustRightInd w:val="0"/>
              <w:snapToGrid w:val="0"/>
              <w:jc w:val="center"/>
              <w:rPr>
                <w:bCs/>
              </w:rPr>
            </w:pPr>
            <w:r>
              <w:rPr>
                <w:rFonts w:hint="eastAsia"/>
                <w:bCs/>
              </w:rPr>
              <w:t>股票数量</w:t>
            </w:r>
          </w:p>
        </w:tc>
        <w:tc>
          <w:tcPr>
            <w:tcW w:w="416" w:type="pct"/>
            <w:vAlign w:val="center"/>
          </w:tcPr>
          <w:p>
            <w:pPr>
              <w:kinsoku w:val="0"/>
              <w:overflowPunct w:val="0"/>
              <w:autoSpaceDE w:val="0"/>
              <w:autoSpaceDN w:val="0"/>
              <w:adjustRightInd w:val="0"/>
              <w:snapToGrid w:val="0"/>
              <w:jc w:val="center"/>
              <w:rPr>
                <w:bCs/>
              </w:rPr>
            </w:pPr>
            <w:r>
              <w:rPr>
                <w:rFonts w:hint="eastAsia"/>
                <w:bCs/>
              </w:rPr>
              <w:t>报告期末市价</w:t>
            </w:r>
          </w:p>
          <w:p>
            <w:pPr>
              <w:kinsoku w:val="0"/>
              <w:overflowPunct w:val="0"/>
              <w:autoSpaceDE w:val="0"/>
              <w:autoSpaceDN w:val="0"/>
              <w:adjustRightInd w:val="0"/>
              <w:snapToGrid w:val="0"/>
              <w:jc w:val="center"/>
              <w:rPr>
                <w:bCs/>
                <w:spacing w:val="-26"/>
              </w:rPr>
            </w:pPr>
            <w:r>
              <w:rPr>
                <w:rFonts w:hint="eastAsia"/>
                <w:bCs/>
                <w:spacing w:val="-26"/>
              </w:rPr>
              <w:t>（元/股）</w:t>
            </w:r>
          </w:p>
        </w:tc>
      </w:tr>
      <w:tr>
        <w:tc>
          <w:tcPr>
            <w:tcW w:w="458" w:type="pct"/>
            <w:vAlign w:val="center"/>
          </w:tcPr>
          <w:p>
            <w:pPr>
              <w:kinsoku w:val="0"/>
              <w:overflowPunct w:val="0"/>
              <w:autoSpaceDE w:val="0"/>
              <w:autoSpaceDN w:val="0"/>
              <w:adjustRightInd w:val="0"/>
              <w:snapToGrid w:val="0"/>
              <w:jc w:val="center"/>
              <w:rPr>
                <w:bCs/>
              </w:rPr>
            </w:pPr>
            <w:r>
              <w:t>王九红</w:t>
            </w:r>
          </w:p>
        </w:tc>
        <w:tc>
          <w:tcPr>
            <w:tcW w:w="993" w:type="pct"/>
            <w:vAlign w:val="center"/>
          </w:tcPr>
          <w:p>
            <w:pPr>
              <w:kinsoku w:val="0"/>
              <w:overflowPunct w:val="0"/>
              <w:autoSpaceDE w:val="0"/>
              <w:autoSpaceDN w:val="0"/>
              <w:adjustRightInd w:val="0"/>
              <w:snapToGrid w:val="0"/>
              <w:jc w:val="center"/>
              <w:rPr>
                <w:rFonts w:eastAsiaTheme="minorEastAsia"/>
                <w:bCs/>
              </w:rPr>
            </w:pPr>
            <w:r>
              <w:t>党委书记、总经理</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t>12</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eastAsiaTheme="minorEastAsia" w:hint="eastAsia"/>
              </w:rPr>
              <w:t>3.6</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t>0</w:t>
            </w:r>
          </w:p>
        </w:tc>
        <w:tc>
          <w:tcPr>
            <w:tcW w:w="455"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eastAsiaTheme="minorEastAsia" w:hint="eastAsia"/>
              </w:rPr>
              <w:t>3.96</w:t>
            </w:r>
          </w:p>
        </w:tc>
        <w:tc>
          <w:tcPr>
            <w:tcW w:w="500"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t>10.452</w:t>
            </w:r>
          </w:p>
        </w:tc>
        <w:tc>
          <w:tcPr>
            <w:tcW w:w="1418" w:type="dxa"/>
            <w:vAlign w:val="center"/>
          </w:tcPr>
          <w:p>
            <w:pPr>
              <w:kinsoku w:val="0"/>
              <w:overflowPunct w:val="0"/>
              <w:autoSpaceDE w:val="0"/>
              <w:autoSpaceDN w:val="0"/>
              <w:adjustRightInd w:val="0"/>
              <w:snapToGrid w:val="0"/>
              <w:jc w:val="center"/>
              <w:rPr>
                <w:rFonts w:asciiTheme="minorEastAsia" w:eastAsiaTheme="minorEastAsia" w:hAnsiTheme="minorEastAsia"/>
                <w:bCs/>
              </w:rPr>
            </w:pPr>
            <w:r>
              <w:t>10.452</w:t>
            </w:r>
          </w:p>
        </w:tc>
        <w:tc>
          <w:tcPr>
            <w:tcW w:w="416" w:type="pct"/>
            <w:vAlign w:val="center"/>
          </w:tcPr>
          <w:p>
            <w:pPr>
              <w:kinsoku w:val="0"/>
              <w:overflowPunct w:val="0"/>
              <w:autoSpaceDE w:val="0"/>
              <w:autoSpaceDN w:val="0"/>
              <w:adjustRightInd w:val="0"/>
              <w:snapToGrid w:val="0"/>
              <w:jc w:val="center"/>
              <w:rPr>
                <w:rFonts w:asciiTheme="minorEastAsia" w:eastAsiaTheme="minorEastAsia" w:hAnsiTheme="minorEastAsia"/>
                <w:bCs/>
              </w:rPr>
            </w:pPr>
            <w:bookmarkStart w:id="134" w:name="OLE_LINK7"/>
            <w:r>
              <w:rPr>
                <w:rFonts w:asciiTheme="minorEastAsia" w:eastAsiaTheme="minorEastAsia" w:hAnsiTheme="minorEastAsia" w:hint="eastAsia"/>
                <w:bCs/>
              </w:rPr>
              <w:t>14.17</w:t>
            </w:r>
            <w:bookmarkEnd w:id="134"/>
          </w:p>
        </w:tc>
      </w:tr>
      <w:tr>
        <w:tc>
          <w:tcPr>
            <w:tcW w:w="458" w:type="pct"/>
            <w:vAlign w:val="center"/>
          </w:tcPr>
          <w:p>
            <w:pPr>
              <w:kinsoku w:val="0"/>
              <w:overflowPunct w:val="0"/>
              <w:autoSpaceDE w:val="0"/>
              <w:autoSpaceDN w:val="0"/>
              <w:adjustRightInd w:val="0"/>
              <w:snapToGrid w:val="0"/>
              <w:jc w:val="center"/>
              <w:rPr>
                <w:rFonts w:eastAsiaTheme="minorEastAsia"/>
                <w:bCs/>
                <w:kern w:val="2"/>
              </w:rPr>
            </w:pPr>
            <w:r>
              <w:rPr>
                <w:rFonts w:hint="eastAsia"/>
                <w:bCs/>
              </w:rPr>
              <w:t>黄霄龙</w:t>
            </w:r>
          </w:p>
        </w:tc>
        <w:tc>
          <w:tcPr>
            <w:tcW w:w="993" w:type="pct"/>
            <w:vAlign w:val="center"/>
          </w:tcPr>
          <w:p>
            <w:pPr>
              <w:kinsoku w:val="0"/>
              <w:overflowPunct w:val="0"/>
              <w:autoSpaceDE w:val="0"/>
              <w:autoSpaceDN w:val="0"/>
              <w:adjustRightInd w:val="0"/>
              <w:snapToGrid w:val="0"/>
              <w:jc w:val="center"/>
              <w:rPr>
                <w:rFonts w:eastAsiaTheme="minorEastAsia"/>
                <w:bCs/>
              </w:rPr>
            </w:pPr>
            <w:r>
              <w:rPr>
                <w:rFonts w:hint="eastAsia"/>
                <w:bCs/>
              </w:rPr>
              <w:t>董事、董事会秘书</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24</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7.2</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7.92</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20.904</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20.904</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rFonts w:eastAsiaTheme="minorEastAsia"/>
                <w:bCs/>
                <w:kern w:val="2"/>
              </w:rPr>
            </w:pPr>
            <w:r>
              <w:rPr>
                <w:rFonts w:eastAsiaTheme="minorEastAsia" w:hint="eastAsia"/>
                <w:bCs/>
                <w:kern w:val="2"/>
              </w:rPr>
              <w:t>康丹</w:t>
            </w:r>
          </w:p>
        </w:tc>
        <w:tc>
          <w:tcPr>
            <w:tcW w:w="993" w:type="pct"/>
            <w:vAlign w:val="center"/>
          </w:tcPr>
          <w:p>
            <w:pPr>
              <w:kinsoku w:val="0"/>
              <w:overflowPunct w:val="0"/>
              <w:autoSpaceDE w:val="0"/>
              <w:autoSpaceDN w:val="0"/>
              <w:adjustRightInd w:val="0"/>
              <w:snapToGrid w:val="0"/>
              <w:jc w:val="center"/>
              <w:rPr>
                <w:rFonts w:eastAsiaTheme="minorEastAsia"/>
                <w:bCs/>
              </w:rPr>
            </w:pPr>
            <w:r>
              <w:rPr>
                <w:rFonts w:hint="eastAsia"/>
                <w:bCs/>
              </w:rPr>
              <w:t>安全总监</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12</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3.6</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3.96</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rFonts w:eastAsiaTheme="minorEastAsia"/>
                <w:bCs/>
                <w:kern w:val="2"/>
              </w:rPr>
            </w:pPr>
            <w:r>
              <w:rPr>
                <w:rFonts w:eastAsiaTheme="minorEastAsia" w:hint="eastAsia"/>
                <w:bCs/>
                <w:kern w:val="2"/>
              </w:rPr>
              <w:t>高春雷</w:t>
            </w:r>
          </w:p>
        </w:tc>
        <w:tc>
          <w:tcPr>
            <w:tcW w:w="993" w:type="pct"/>
            <w:vAlign w:val="center"/>
          </w:tcPr>
          <w:p>
            <w:pPr>
              <w:kinsoku w:val="0"/>
              <w:overflowPunct w:val="0"/>
              <w:autoSpaceDE w:val="0"/>
              <w:autoSpaceDN w:val="0"/>
              <w:adjustRightInd w:val="0"/>
              <w:snapToGrid w:val="0"/>
              <w:jc w:val="center"/>
              <w:rPr>
                <w:rFonts w:eastAsiaTheme="minorEastAsia"/>
                <w:bCs/>
              </w:rPr>
            </w:pPr>
            <w:r>
              <w:rPr>
                <w:rFonts w:hint="eastAsia"/>
                <w:bCs/>
              </w:rPr>
              <w:t>总工程师（化工）</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12</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3.6</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3.96</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rFonts w:eastAsiaTheme="minorEastAsia"/>
                <w:bCs/>
                <w:kern w:val="2"/>
              </w:rPr>
            </w:pPr>
            <w:r>
              <w:rPr>
                <w:rFonts w:hint="eastAsia"/>
                <w:bCs/>
                <w:kern w:val="2"/>
              </w:rPr>
              <w:t>张照允</w:t>
            </w:r>
          </w:p>
        </w:tc>
        <w:tc>
          <w:tcPr>
            <w:tcW w:w="993" w:type="pct"/>
            <w:vAlign w:val="center"/>
          </w:tcPr>
          <w:p>
            <w:pPr>
              <w:kinsoku w:val="0"/>
              <w:overflowPunct w:val="0"/>
              <w:autoSpaceDE w:val="0"/>
              <w:autoSpaceDN w:val="0"/>
              <w:adjustRightInd w:val="0"/>
              <w:snapToGrid w:val="0"/>
              <w:jc w:val="center"/>
              <w:rPr>
                <w:rFonts w:eastAsiaTheme="minorEastAsia"/>
                <w:bCs/>
              </w:rPr>
            </w:pPr>
            <w:r>
              <w:rPr>
                <w:rFonts w:hint="eastAsia"/>
                <w:bCs/>
              </w:rPr>
              <w:t>总工程师</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9</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2.7</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2.97</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7.839</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7.839</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bCs/>
              </w:rPr>
            </w:pPr>
            <w:r>
              <w:rPr>
                <w:rFonts w:hint="eastAsia"/>
                <w:bCs/>
              </w:rPr>
              <w:t>肖耀猛</w:t>
            </w:r>
          </w:p>
          <w:p>
            <w:pPr>
              <w:kinsoku w:val="0"/>
              <w:overflowPunct w:val="0"/>
              <w:autoSpaceDE w:val="0"/>
              <w:autoSpaceDN w:val="0"/>
              <w:adjustRightInd w:val="0"/>
              <w:snapToGrid w:val="0"/>
              <w:jc w:val="center"/>
              <w:rPr>
                <w:bCs/>
                <w:kern w:val="2"/>
              </w:rPr>
            </w:pPr>
            <w:r>
              <w:rPr>
                <w:rFonts w:hint="eastAsia"/>
                <w:bCs/>
              </w:rPr>
              <w:t>（离任）</w:t>
            </w:r>
          </w:p>
        </w:tc>
        <w:tc>
          <w:tcPr>
            <w:tcW w:w="993" w:type="pct"/>
            <w:vAlign w:val="center"/>
          </w:tcPr>
          <w:p>
            <w:pPr>
              <w:kinsoku w:val="0"/>
              <w:overflowPunct w:val="0"/>
              <w:autoSpaceDE w:val="0"/>
              <w:autoSpaceDN w:val="0"/>
              <w:adjustRightInd w:val="0"/>
              <w:snapToGrid w:val="0"/>
              <w:jc w:val="center"/>
              <w:rPr>
                <w:bCs/>
              </w:rPr>
            </w:pPr>
            <w:r>
              <w:rPr>
                <w:rFonts w:eastAsiaTheme="minorEastAsia" w:hint="eastAsia"/>
                <w:bCs/>
              </w:rPr>
              <w:t>党委书记、</w:t>
            </w:r>
            <w:r>
              <w:rPr>
                <w:rFonts w:hint="eastAsia"/>
                <w:bCs/>
              </w:rPr>
              <w:t>董事、</w:t>
            </w:r>
            <w:r>
              <w:rPr>
                <w:rFonts w:asciiTheme="minorEastAsia" w:eastAsiaTheme="minorEastAsia" w:hAnsiTheme="minorEastAsia" w:hint="eastAsia"/>
                <w:bCs/>
              </w:rPr>
              <w:t>总经理</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30</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9</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9.9</w:t>
            </w:r>
          </w:p>
        </w:tc>
        <w:tc>
          <w:tcPr>
            <w:tcW w:w="500"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26.13</w:t>
            </w:r>
          </w:p>
        </w:tc>
        <w:tc>
          <w:tcPr>
            <w:tcW w:w="1418" w:type="dxa"/>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26.13</w:t>
            </w:r>
          </w:p>
        </w:tc>
        <w:tc>
          <w:tcPr>
            <w:tcW w:w="416"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bCs/>
              </w:rPr>
            </w:pPr>
            <w:r>
              <w:rPr>
                <w:rFonts w:hint="eastAsia"/>
                <w:bCs/>
              </w:rPr>
              <w:t>张传昌</w:t>
            </w:r>
          </w:p>
          <w:p>
            <w:pPr>
              <w:kinsoku w:val="0"/>
              <w:overflowPunct w:val="0"/>
              <w:autoSpaceDE w:val="0"/>
              <w:autoSpaceDN w:val="0"/>
              <w:adjustRightInd w:val="0"/>
              <w:snapToGrid w:val="0"/>
              <w:jc w:val="center"/>
              <w:rPr>
                <w:bCs/>
              </w:rPr>
            </w:pPr>
            <w:r>
              <w:rPr>
                <w:rFonts w:hint="eastAsia"/>
                <w:bCs/>
              </w:rPr>
              <w:t>（离任）</w:t>
            </w:r>
          </w:p>
        </w:tc>
        <w:tc>
          <w:tcPr>
            <w:tcW w:w="993" w:type="pct"/>
            <w:vAlign w:val="center"/>
          </w:tcPr>
          <w:p>
            <w:pPr>
              <w:kinsoku w:val="0"/>
              <w:overflowPunct w:val="0"/>
              <w:autoSpaceDE w:val="0"/>
              <w:autoSpaceDN w:val="0"/>
              <w:adjustRightInd w:val="0"/>
              <w:snapToGrid w:val="0"/>
              <w:jc w:val="center"/>
              <w:rPr>
                <w:rFonts w:eastAsiaTheme="minorEastAsia"/>
                <w:bCs/>
              </w:rPr>
            </w:pPr>
            <w:r>
              <w:rPr>
                <w:rFonts w:hint="eastAsia"/>
                <w:bCs/>
              </w:rPr>
              <w:t>副总经理</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24</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7.2</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7.92</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20.904</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20.904</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458" w:type="pct"/>
            <w:vAlign w:val="center"/>
          </w:tcPr>
          <w:p>
            <w:pPr>
              <w:kinsoku w:val="0"/>
              <w:overflowPunct w:val="0"/>
              <w:autoSpaceDE w:val="0"/>
              <w:autoSpaceDN w:val="0"/>
              <w:adjustRightInd w:val="0"/>
              <w:snapToGrid w:val="0"/>
              <w:jc w:val="center"/>
              <w:rPr>
                <w:bCs/>
                <w:kern w:val="2"/>
              </w:rPr>
            </w:pPr>
            <w:r>
              <w:rPr>
                <w:rFonts w:hint="eastAsia"/>
                <w:bCs/>
                <w:kern w:val="2"/>
              </w:rPr>
              <w:t>马俊鹏</w:t>
            </w:r>
          </w:p>
          <w:p>
            <w:pPr>
              <w:kinsoku w:val="0"/>
              <w:overflowPunct w:val="0"/>
              <w:autoSpaceDE w:val="0"/>
              <w:autoSpaceDN w:val="0"/>
              <w:adjustRightInd w:val="0"/>
              <w:snapToGrid w:val="0"/>
              <w:jc w:val="center"/>
              <w:rPr>
                <w:bCs/>
                <w:kern w:val="2"/>
              </w:rPr>
            </w:pPr>
            <w:r>
              <w:rPr>
                <w:rFonts w:hint="eastAsia"/>
                <w:bCs/>
                <w:kern w:val="2"/>
              </w:rPr>
              <w:t>（离任）</w:t>
            </w:r>
          </w:p>
        </w:tc>
        <w:tc>
          <w:tcPr>
            <w:tcW w:w="993" w:type="pct"/>
            <w:vAlign w:val="center"/>
          </w:tcPr>
          <w:p>
            <w:pPr>
              <w:kinsoku w:val="0"/>
              <w:overflowPunct w:val="0"/>
              <w:autoSpaceDE w:val="0"/>
              <w:autoSpaceDN w:val="0"/>
              <w:adjustRightInd w:val="0"/>
              <w:snapToGrid w:val="0"/>
              <w:jc w:val="center"/>
              <w:rPr>
                <w:bCs/>
              </w:rPr>
            </w:pPr>
            <w:r>
              <w:rPr>
                <w:rFonts w:hint="eastAsia"/>
                <w:bCs/>
              </w:rPr>
              <w:t>总工程师</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12</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3.6</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11.72</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3.96</w:t>
            </w:r>
          </w:p>
        </w:tc>
        <w:tc>
          <w:tcPr>
            <w:tcW w:w="500"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10.452</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14.17</w:t>
            </w:r>
          </w:p>
        </w:tc>
      </w:tr>
      <w:tr>
        <w:tc>
          <w:tcPr>
            <w:tcW w:w="1452" w:type="pct"/>
            <w:gridSpan w:val="2"/>
            <w:vAlign w:val="center"/>
          </w:tcPr>
          <w:p>
            <w:pPr>
              <w:kinsoku w:val="0"/>
              <w:overflowPunct w:val="0"/>
              <w:autoSpaceDE w:val="0"/>
              <w:autoSpaceDN w:val="0"/>
              <w:adjustRightInd w:val="0"/>
              <w:snapToGrid w:val="0"/>
              <w:jc w:val="center"/>
              <w:rPr>
                <w:bCs/>
              </w:rPr>
            </w:pPr>
            <w:r>
              <w:rPr>
                <w:rFonts w:hint="eastAsia"/>
                <w:bCs/>
              </w:rPr>
              <w:t>董事和高管合计</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135</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40.5</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0</w:t>
            </w:r>
          </w:p>
        </w:tc>
        <w:tc>
          <w:tcPr>
            <w:tcW w:w="455"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44.55</w:t>
            </w:r>
          </w:p>
        </w:tc>
        <w:tc>
          <w:tcPr>
            <w:tcW w:w="500" w:type="pct"/>
            <w:shd w:val="clear" w:color="auto" w:fill="auto"/>
            <w:vAlign w:val="center"/>
          </w:tcPr>
          <w:p>
            <w:pPr>
              <w:jc w:val="center"/>
              <w:rPr>
                <w:rFonts w:asciiTheme="minorEastAsia" w:eastAsiaTheme="minorEastAsia" w:hAnsiTheme="minorEastAsia"/>
                <w:bCs/>
                <w:highlight w:val="yellow"/>
              </w:rPr>
            </w:pPr>
            <w:r>
              <w:rPr>
                <w:rFonts w:asciiTheme="minorEastAsia" w:eastAsiaTheme="minorEastAsia" w:hAnsiTheme="minorEastAsia" w:hint="eastAsia"/>
                <w:bCs/>
              </w:rPr>
              <w:t>117.585</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117.585</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w:t>
            </w:r>
          </w:p>
        </w:tc>
      </w:tr>
      <w:tr>
        <w:tc>
          <w:tcPr>
            <w:tcW w:w="1452" w:type="pct"/>
            <w:gridSpan w:val="2"/>
            <w:vAlign w:val="center"/>
          </w:tcPr>
          <w:p>
            <w:pPr>
              <w:kinsoku w:val="0"/>
              <w:overflowPunct w:val="0"/>
              <w:autoSpaceDE w:val="0"/>
              <w:autoSpaceDN w:val="0"/>
              <w:adjustRightInd w:val="0"/>
              <w:snapToGrid w:val="0"/>
              <w:jc w:val="center"/>
              <w:rPr>
                <w:bCs/>
              </w:rPr>
            </w:pPr>
            <w:r>
              <w:rPr>
                <w:rFonts w:hint="eastAsia"/>
                <w:bCs/>
              </w:rPr>
              <w:t>其他人员合计</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8,859</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2,657.7</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140.118</w:t>
            </w:r>
          </w:p>
        </w:tc>
        <w:tc>
          <w:tcPr>
            <w:tcW w:w="1255" w:type="dxa"/>
            <w:vAlign w:val="center"/>
          </w:tcPr>
          <w:p>
            <w:pPr>
              <w:kinsoku w:val="0"/>
              <w:overflowPunct w:val="0"/>
              <w:autoSpaceDE w:val="0"/>
              <w:autoSpaceDN w:val="0"/>
              <w:adjustRightInd w:val="0"/>
              <w:snapToGrid w:val="0"/>
              <w:jc w:val="center"/>
              <w:rPr>
                <w:rFonts w:asciiTheme="minorEastAsia" w:eastAsiaTheme="minorEastAsia" w:hAnsiTheme="minorEastAsia"/>
                <w:bCs/>
                <w:color w:val="000000"/>
              </w:rPr>
            </w:pPr>
            <w:r>
              <w:rPr>
                <w:rFonts w:asciiTheme="minorEastAsia" w:eastAsiaTheme="minorEastAsia" w:hAnsiTheme="minorEastAsia" w:hint="eastAsia"/>
                <w:bCs/>
              </w:rPr>
              <w:t>2,871.792</w:t>
            </w:r>
          </w:p>
        </w:tc>
        <w:tc>
          <w:tcPr>
            <w:tcW w:w="500" w:type="pct"/>
            <w:vAlign w:val="center"/>
          </w:tcPr>
          <w:p>
            <w:pPr>
              <w:jc w:val="center"/>
              <w:rPr>
                <w:rFonts w:asciiTheme="minorEastAsia" w:eastAsiaTheme="minorEastAsia" w:hAnsiTheme="minorEastAsia"/>
                <w:bCs/>
                <w:highlight w:val="yellow"/>
              </w:rPr>
            </w:pPr>
            <w:r>
              <w:rPr>
                <w:rFonts w:asciiTheme="minorEastAsia" w:eastAsiaTheme="minorEastAsia" w:hAnsiTheme="minorEastAsia" w:hint="eastAsia"/>
                <w:bCs/>
              </w:rPr>
              <w:t>7,601.217</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7,601.217</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w:t>
            </w:r>
          </w:p>
        </w:tc>
      </w:tr>
      <w:tr>
        <w:tc>
          <w:tcPr>
            <w:tcW w:w="1452" w:type="pct"/>
            <w:gridSpan w:val="2"/>
            <w:vAlign w:val="center"/>
          </w:tcPr>
          <w:p>
            <w:pPr>
              <w:kinsoku w:val="0"/>
              <w:overflowPunct w:val="0"/>
              <w:autoSpaceDE w:val="0"/>
              <w:autoSpaceDN w:val="0"/>
              <w:adjustRightInd w:val="0"/>
              <w:snapToGrid w:val="0"/>
              <w:jc w:val="center"/>
              <w:rPr>
                <w:bCs/>
              </w:rPr>
            </w:pPr>
            <w:r>
              <w:rPr>
                <w:rFonts w:hint="eastAsia"/>
                <w:bCs/>
              </w:rPr>
              <w:t>合计</w:t>
            </w:r>
          </w:p>
        </w:tc>
        <w:tc>
          <w:tcPr>
            <w:tcW w:w="382"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8,994</w:t>
            </w:r>
          </w:p>
        </w:tc>
        <w:tc>
          <w:tcPr>
            <w:tcW w:w="364"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2,698.2</w:t>
            </w:r>
          </w:p>
        </w:tc>
        <w:tc>
          <w:tcPr>
            <w:tcW w:w="471"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w:t>
            </w:r>
          </w:p>
        </w:tc>
        <w:tc>
          <w:tcPr>
            <w:tcW w:w="443" w:type="pct"/>
            <w:vAlign w:val="center"/>
          </w:tcPr>
          <w:p>
            <w:pPr>
              <w:kinsoku w:val="0"/>
              <w:overflowPunct w:val="0"/>
              <w:autoSpaceDE w:val="0"/>
              <w:autoSpaceDN w:val="0"/>
              <w:adjustRightInd w:val="0"/>
              <w:snapToGrid w:val="0"/>
              <w:jc w:val="center"/>
              <w:rPr>
                <w:rFonts w:asciiTheme="minorEastAsia" w:eastAsiaTheme="minorEastAsia" w:hAnsiTheme="minorEastAsia"/>
                <w:bCs/>
              </w:rPr>
            </w:pPr>
            <w:r>
              <w:rPr>
                <w:rFonts w:asciiTheme="minorEastAsia" w:eastAsiaTheme="minorEastAsia" w:hAnsiTheme="minorEastAsia" w:hint="eastAsia"/>
                <w:bCs/>
              </w:rPr>
              <w:t>140.118</w:t>
            </w:r>
          </w:p>
        </w:tc>
        <w:tc>
          <w:tcPr>
            <w:tcW w:w="1255" w:type="dxa"/>
            <w:vAlign w:val="center"/>
          </w:tcPr>
          <w:p>
            <w:pPr>
              <w:kinsoku w:val="0"/>
              <w:overflowPunct w:val="0"/>
              <w:autoSpaceDE w:val="0"/>
              <w:autoSpaceDN w:val="0"/>
              <w:adjustRightInd w:val="0"/>
              <w:snapToGrid w:val="0"/>
              <w:jc w:val="center"/>
              <w:rPr>
                <w:rFonts w:asciiTheme="minorEastAsia" w:eastAsiaTheme="minorEastAsia" w:hAnsiTheme="minorEastAsia"/>
                <w:bCs/>
                <w:color w:val="000000"/>
              </w:rPr>
            </w:pPr>
            <w:r>
              <w:rPr>
                <w:rFonts w:asciiTheme="minorEastAsia" w:eastAsiaTheme="minorEastAsia" w:hAnsiTheme="minorEastAsia" w:hint="eastAsia"/>
                <w:bCs/>
              </w:rPr>
              <w:t>2,916.342</w:t>
            </w:r>
          </w:p>
        </w:tc>
        <w:tc>
          <w:tcPr>
            <w:tcW w:w="500" w:type="pct"/>
            <w:vAlign w:val="center"/>
          </w:tcPr>
          <w:p>
            <w:pPr>
              <w:jc w:val="center"/>
              <w:rPr>
                <w:rFonts w:asciiTheme="minorEastAsia" w:eastAsiaTheme="minorEastAsia" w:hAnsiTheme="minorEastAsia"/>
                <w:bCs/>
                <w:highlight w:val="yellow"/>
              </w:rPr>
            </w:pPr>
            <w:r>
              <w:rPr>
                <w:rFonts w:asciiTheme="minorEastAsia" w:eastAsiaTheme="minorEastAsia" w:hAnsiTheme="minorEastAsia" w:hint="eastAsia"/>
                <w:bCs/>
              </w:rPr>
              <w:t>7,718.802</w:t>
            </w:r>
          </w:p>
        </w:tc>
        <w:tc>
          <w:tcPr>
            <w:tcW w:w="1418" w:type="dxa"/>
            <w:vAlign w:val="center"/>
          </w:tcPr>
          <w:p>
            <w:pPr>
              <w:jc w:val="center"/>
              <w:rPr>
                <w:rFonts w:asciiTheme="minorEastAsia" w:eastAsiaTheme="minorEastAsia" w:hAnsiTheme="minorEastAsia"/>
                <w:bCs/>
              </w:rPr>
            </w:pPr>
            <w:r>
              <w:rPr>
                <w:rFonts w:asciiTheme="minorEastAsia" w:eastAsiaTheme="minorEastAsia" w:hAnsiTheme="minorEastAsia" w:hint="eastAsia"/>
                <w:bCs/>
              </w:rPr>
              <w:t>7,718.802</w:t>
            </w:r>
          </w:p>
        </w:tc>
        <w:tc>
          <w:tcPr>
            <w:tcW w:w="416" w:type="pct"/>
            <w:vAlign w:val="center"/>
          </w:tcPr>
          <w:p>
            <w:pPr>
              <w:jc w:val="center"/>
              <w:rPr>
                <w:rFonts w:asciiTheme="minorEastAsia" w:eastAsiaTheme="minorEastAsia" w:hAnsiTheme="minorEastAsia"/>
                <w:bCs/>
              </w:rPr>
            </w:pPr>
            <w:r>
              <w:rPr>
                <w:rFonts w:asciiTheme="minorEastAsia" w:eastAsiaTheme="minorEastAsia" w:hAnsiTheme="minorEastAsia" w:hint="eastAsia"/>
                <w:bCs/>
              </w:rPr>
              <w:t>/</w:t>
            </w:r>
          </w:p>
        </w:tc>
      </w:tr>
    </w:tbl>
    <w:p>
      <w:pPr>
        <w:ind w:leftChars="200" w:left="420"/>
        <w:jc w:val="both"/>
      </w:pPr>
      <w:r>
        <w:rPr>
          <w:rFonts w:hint="eastAsia"/>
        </w:rPr>
        <w:t>注：</w:t>
      </w:r>
    </w:p>
    <w:p>
      <w:pPr>
        <w:ind w:firstLineChars="200" w:firstLine="420"/>
        <w:rPr>
          <w:rFonts w:asciiTheme="minorEastAsia" w:eastAsiaTheme="minorEastAsia" w:hAnsiTheme="minorEastAsia"/>
        </w:rPr>
      </w:pPr>
      <w:r>
        <w:rPr>
          <w:rFonts w:hint="eastAsia"/>
        </w:rPr>
        <w:lastRenderedPageBreak/>
        <w:t>①</w:t>
      </w:r>
      <w:r>
        <w:rPr>
          <w:rFonts w:asciiTheme="minorEastAsia" w:eastAsiaTheme="minorEastAsia" w:hAnsiTheme="minorEastAsia" w:hint="eastAsia"/>
        </w:rPr>
        <w:t>截至本报告披露日，公司对董事、高级管理人员进行了一定的调整，上表根据本报告披露日公司董事、高级管理人员任职情况填列。</w:t>
      </w:r>
    </w:p>
    <w:p>
      <w:pPr>
        <w:ind w:firstLineChars="200" w:firstLine="420"/>
        <w:jc w:val="both"/>
      </w:pPr>
      <w:r>
        <w:rPr>
          <w:rFonts w:hint="eastAsia"/>
        </w:rPr>
        <w:t>②根据公司限制性股票激励计划，表内各激励对象于2022年1月27日获授全部未解锁的限制性股票，紧接该等限制性股票授出日期之前的收盘价为人民币22.06元(除权除息前价格)。</w:t>
      </w:r>
    </w:p>
    <w:p>
      <w:pPr>
        <w:ind w:firstLineChars="200" w:firstLine="420"/>
        <w:jc w:val="both"/>
      </w:pPr>
      <w:r>
        <w:rPr>
          <w:rFonts w:hint="eastAsia"/>
        </w:rPr>
        <w:t>③根据有关要求，公司将回购注销肖耀猛先生、马俊鹏先生的尚未解除限售的限制性股票。</w:t>
      </w:r>
    </w:p>
    <w:p>
      <w:pPr>
        <w:ind w:firstLineChars="200" w:firstLine="420"/>
        <w:jc w:val="both"/>
      </w:pPr>
      <w:r>
        <w:rPr>
          <w:rFonts w:hint="eastAsia"/>
        </w:rPr>
        <w:t>④22名激励对象因职务调动等原因，公司回购注销其已获授但未解除限售的限制性股票140.118万股，详见本节“限制性股票激励计划摘要”之“（二）历次调整情况”。</w:t>
      </w:r>
    </w:p>
    <w:p>
      <w:pPr>
        <w:ind w:firstLineChars="200" w:firstLine="420"/>
        <w:jc w:val="both"/>
      </w:pPr>
      <w:r>
        <w:rPr>
          <w:rFonts w:hint="eastAsia"/>
        </w:rPr>
        <w:t>⑤由于公司于报告期内每股派送0.3股红股，故上表“</w:t>
      </w:r>
      <w:r>
        <w:rPr>
          <w:rFonts w:hint="eastAsia"/>
          <w:bCs/>
        </w:rPr>
        <w:t>新授予限制性股票数量</w:t>
      </w:r>
      <w:r>
        <w:rPr>
          <w:rFonts w:hint="eastAsia"/>
        </w:rPr>
        <w:t>”反映的是分红股情况。</w:t>
      </w:r>
    </w:p>
    <w:p>
      <w:pPr>
        <w:ind w:firstLineChars="200" w:firstLine="420"/>
        <w:rPr>
          <w:rFonts w:asciiTheme="minorEastAsia" w:eastAsiaTheme="minorEastAsia" w:hAnsiTheme="minorEastAsia"/>
        </w:rPr>
      </w:pPr>
      <w:r>
        <w:rPr>
          <w:rFonts w:hint="eastAsia"/>
        </w:rPr>
        <w:t>⑥</w:t>
      </w:r>
      <w:r>
        <w:rPr>
          <w:rFonts w:asciiTheme="minorEastAsia" w:eastAsiaTheme="minorEastAsia" w:hAnsiTheme="minorEastAsia" w:hint="eastAsia"/>
        </w:rPr>
        <w:t>有关获授限制性股票的解锁期，详见本节“限制性股票激励计划摘要”之“7.解除限售安排”。</w:t>
      </w:r>
    </w:p>
    <w:p>
      <w:pPr>
        <w:ind w:firstLineChars="200" w:firstLine="420"/>
        <w:rPr>
          <w:rFonts w:asciiTheme="minorEastAsia" w:eastAsiaTheme="minorEastAsia" w:hAnsiTheme="minorEastAsia"/>
        </w:rPr>
      </w:pPr>
      <w:r>
        <w:rPr>
          <w:rFonts w:asciiTheme="minorEastAsia" w:eastAsiaTheme="minorEastAsia" w:hAnsiTheme="minorEastAsia" w:hint="eastAsia"/>
        </w:rPr>
        <w:t>⑦有关获授限制性股票的考核目标以限制性股票激励计划中规定的各解除限售期所对应的业绩考核条件为准，详情请见本公司于</w:t>
      </w:r>
      <w:r>
        <w:rPr>
          <w:rFonts w:asciiTheme="minorEastAsia" w:eastAsiaTheme="minorEastAsia" w:hAnsiTheme="minorEastAsia"/>
        </w:rPr>
        <w:t>2022年1月12日刊发</w:t>
      </w:r>
      <w:r>
        <w:rPr>
          <w:rFonts w:asciiTheme="minorEastAsia" w:eastAsiaTheme="minorEastAsia" w:hAnsiTheme="minorEastAsia" w:hint="eastAsia"/>
        </w:rPr>
        <w:t>的通函</w:t>
      </w:r>
      <w:r>
        <w:rPr>
          <w:rFonts w:asciiTheme="minorEastAsia" w:eastAsiaTheme="minorEastAsia" w:hAnsiTheme="minorEastAsia"/>
        </w:rPr>
        <w:t>。</w:t>
      </w:r>
    </w:p>
    <w:p>
      <w:pPr>
        <w:ind w:firstLineChars="200" w:firstLine="420"/>
        <w:jc w:val="both"/>
      </w:pPr>
    </w:p>
    <w:p>
      <w:pPr>
        <w:ind w:firstLineChars="200" w:firstLine="420"/>
        <w:jc w:val="both"/>
      </w:pPr>
      <w:r>
        <w:rPr>
          <w:rFonts w:asciiTheme="minorEastAsia" w:eastAsiaTheme="minorEastAsia" w:hAnsiTheme="minorEastAsia" w:hint="eastAsia"/>
        </w:rPr>
        <w:t>2024年开始及结束时，可以根据本公司所有股权激励计划授权授出的限制性股票数目为0。报告期内，可以就所有股权激励计划授出的限制性股票而发行的股份数目为0，除以该期间已发行的A股股份总数的加权平均数为0%。</w:t>
      </w:r>
    </w:p>
    <w:p>
      <w:pPr>
        <w:pStyle w:val="affffffd"/>
      </w:pPr>
    </w:p>
    <w:p>
      <w:pPr>
        <w:pStyle w:val="afffffff1"/>
        <w:numPr>
          <w:ilvl w:val="1"/>
          <w:numId w:val="57"/>
        </w:numPr>
        <w:rPr>
          <w:kern w:val="44"/>
          <w:szCs w:val="21"/>
        </w:rPr>
      </w:pPr>
      <w:r>
        <w:rPr>
          <w:rFonts w:hint="eastAsia"/>
          <w:kern w:val="44"/>
          <w:szCs w:val="21"/>
        </w:rP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1216264274"/>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10129335"/>
        <w:placeholder>
          <w:docPart w:val="GBC22222222222222222222222222222"/>
        </w:placeholder>
      </w:sdtPr>
      <w:sdtContent>
        <w:sdt>
          <w:sdtPr>
            <w:rPr>
              <w:rFonts w:asciiTheme="minorEastAsia" w:eastAsiaTheme="minorEastAsia" w:hAnsiTheme="minorEastAsia" w:hint="eastAsia"/>
            </w:rPr>
            <w:alias w:val="公司对高级管理人员的考评及激励情况"/>
            <w:tag w:val="_GBC_ff8dc93589b2464ba735502bf6a2a8ca"/>
            <w:id w:val="1020045009"/>
          </w:sdtPr>
          <w:sdtContent>
            <w:p>
              <w:pPr>
                <w:ind w:firstLineChars="200" w:firstLine="420"/>
                <w:rPr>
                  <w:rFonts w:asciiTheme="minorEastAsia" w:eastAsiaTheme="minorEastAsia" w:hAnsiTheme="minorEastAsia"/>
                </w:rPr>
              </w:pPr>
              <w:r>
                <w:rPr>
                  <w:rFonts w:asciiTheme="minorEastAsia" w:eastAsiaTheme="minorEastAsia" w:hAnsiTheme="minorEastAsia" w:hint="eastAsia"/>
                </w:rPr>
                <w:t>公司在管理层中推行年度薪酬考评及激励机制，使管理层的绩效考评与公司经济效益、经营效果有机结合。公司根据有关经营指标和管理标准直接对高级管理人员的业绩和绩效进行考评、奖惩。公司将根据高级管理人员经营指标完成情况和考评结果，兑现其2024年度薪酬。</w:t>
              </w:r>
            </w:p>
            <w:p>
              <w:pPr>
                <w:ind w:firstLineChars="200" w:firstLine="420"/>
                <w:rPr>
                  <w:rFonts w:asciiTheme="minorEastAsia" w:eastAsiaTheme="minorEastAsia" w:hAnsiTheme="minorEastAsia"/>
                </w:rPr>
              </w:pPr>
              <w:r>
                <w:rPr>
                  <w:rFonts w:asciiTheme="minorEastAsia" w:eastAsiaTheme="minorEastAsia" w:hAnsiTheme="minorEastAsia" w:hint="eastAsia"/>
                </w:rPr>
                <w:t>公司实施了限制性股票激励计划，公司严格按照相关考核管理办法，在达成业绩考核指标后，对管理层解除限售。</w:t>
              </w:r>
            </w:p>
          </w:sdtContent>
        </w:sdt>
        <w:p>
          <w:pPr>
            <w:rPr>
              <w:szCs w:val="21"/>
            </w:rPr>
            <w:sectPr>
              <w:pgSz w:w="16838" w:h="11906" w:orient="landscape"/>
              <w:pgMar w:top="1797" w:right="1525" w:bottom="1276" w:left="1440" w:header="851" w:footer="992" w:gutter="0"/>
              <w:cols w:space="425"/>
              <w:docGrid w:linePitch="312"/>
            </w:sectPr>
          </w:pPr>
        </w:p>
        <w:p>
          <w:pPr>
            <w:rPr>
              <w:szCs w:val="21"/>
            </w:rPr>
          </w:pPr>
        </w:p>
      </w:sdtContent>
    </w:sdt>
    <w:p>
      <w:pPr>
        <w:pStyle w:val="afffffff"/>
        <w:numPr>
          <w:ilvl w:val="0"/>
          <w:numId w:val="34"/>
        </w:numPr>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132053664"/>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757606257"/>
        <w:placeholder>
          <w:docPart w:val="GBC22222222222222222222222222222"/>
        </w:placeholder>
      </w:sdtPr>
      <w:sdtContent>
        <w:sdt>
          <w:sdtPr>
            <w:rPr>
              <w:rFonts w:asciiTheme="minorEastAsia" w:eastAsiaTheme="minorEastAsia" w:hAnsiTheme="minorEastAsia" w:hint="eastAsia"/>
            </w:rPr>
            <w:alias w:val="内部控制自我评价报告"/>
            <w:tag w:val="_GBC_7ec2120247b647e18f5670c0a1211280"/>
            <w:id w:val="-1685740532"/>
          </w:sdtPr>
          <w:sdtContent>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公司按照上市地监管要求，于2006年制定了《内控体系设计与应用》，建立有效运行的内部控制体系。</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于2011年按照财政部等五部委联合发布的《企业内部控制基本规范》和《企业内部控制配套指引》及上市地监管要求，在《企业内部控制配套指引》18项指引的基础上，从公司、下属部门及附属公司、业务环节三个层面对内部控制流程和内部控制制度等方面，进一步完善了内部控制体系，建立健全了内部控制制度。</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董事会及董事会专门委员会负责内部控制体系的建立健全和有效实施；监事会对董事会建立与实施内部控制进行监督；经理层负责组织领导企业内部控制的日常运行。</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自2007年起，董事会每年评估一次内部控制体系运行的有效性。公司2025年3月28日召开的第九届董事会第十四次会议，对2024年度内部控制的有效性进行了评估。董事会评估认为，公司内部控制制度健全，执行有效，未发现本公司存在内部控制设计或执行方面的重大缺陷。</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公司内部控制的自我评估报告全文载于上交所网站、香港联交所网站和公司网站。</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制定了《全面风险管理办法》，搭建了风险（包括环境、社会及管治风险）管理信息化管控平台，建立了完善的风险管控机制。每年在公司及附属公司范围内，通过风险管理信息化管控平台开展风险辨识、风险评估、风险应对、关键风险点监控等全面风险管理工作，并出具《年度风险管理报告》；针对确认的重大风险，制定切合实际的风险管理策略和解决方案，定期对管控情况进行总结，编制重大风险管控报告。通过借助信息化的手段，对重大风险实施精准辨识、多维度风险评估及量化分析、科学应对及定期跟踪评价，实现了对重大风险的全过程闭环管理。</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对前述的风险管理及内部监控系统负责，并及时检讨该等制度的有效性（最少每年检讨一次）。董事会已经完成有关检讨，认为本集团的风险管理及内部监控系统有效且足够。董事会进一步阐明前述系统旨在管理而并非消除未能达成业务目标的风险，并且只就不会有重大的失实陈述或损失作出合理而非绝对的保证。</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在处理及发布内幕消息方面，本公司已制定《股东、董事、监事、高管及相关内幕信息知情人所持本公司股份及变动管理制度》《信息披露管理制度》《内幕信息知情人登记管理制度》及《重大信息内部报告制度》等内部制度，规定了内幕信息及内幕信息知情人的范围、报告流程、登记备案、禁止行为等内容，严控知情人范围，严防内幕信息泄露。</w:t>
              </w:r>
            </w:p>
          </w:sdtContent>
        </w:sdt>
        <w:p>
          <w:pPr>
            <w:rPr>
              <w:szCs w:val="21"/>
            </w:rPr>
          </w:pPr>
        </w:p>
      </w:sdtContent>
    </w:sdt>
    <w:p>
      <w:pPr>
        <w:rPr>
          <w:szCs w:val="21"/>
        </w:rPr>
      </w:pPr>
    </w:p>
    <w:p>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474941530"/>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
        <w:numPr>
          <w:ilvl w:val="0"/>
          <w:numId w:val="34"/>
        </w:numPr>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626514335"/>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1411891448"/>
        <w:placeholder>
          <w:docPart w:val="GBC22222222222222222222222222222"/>
        </w:placeholder>
      </w:sdtPr>
      <w:sdtContent>
        <w:sdt>
          <w:sdtPr>
            <w:rPr>
              <w:rFonts w:asciiTheme="minorEastAsia" w:eastAsiaTheme="minorEastAsia" w:hAnsiTheme="minorEastAsia" w:hint="eastAsia"/>
            </w:rPr>
            <w:alias w:val="报告期内对子公司的管理控制情况"/>
            <w:tag w:val="_GBC_c42acb3ad0ff45a1891fd8fa03ee78a2"/>
            <w:id w:val="428397387"/>
          </w:sdtPr>
          <w:sdtContent>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通过派驻董事、监事、高级管理人员；规范子公司召开股东会、董事会、监事会；建立《重大信息内部报告制度》《专职产权代表管理办法》《关联交易管理办法》等一系列管控制度；以及督导各主体规范建立内控制度等措施对子公司进行有效的管理控制。</w:t>
              </w:r>
            </w:p>
            <w:p>
              <w:pPr>
                <w:ind w:firstLineChars="200" w:firstLine="420"/>
                <w:jc w:val="both"/>
                <w:rPr>
                  <w:rFonts w:asciiTheme="minorEastAsia" w:eastAsiaTheme="minorEastAsia" w:hAnsiTheme="minorEastAsia"/>
                </w:rPr>
              </w:pPr>
              <w:bookmarkStart w:id="135" w:name="_Hlk160884635"/>
              <w:r>
                <w:rPr>
                  <w:rFonts w:asciiTheme="minorEastAsia" w:eastAsiaTheme="minorEastAsia" w:hAnsiTheme="minorEastAsia" w:hint="eastAsia"/>
                </w:rPr>
                <w:t>报告期内，公司新增子公司主要为物泊科技、</w:t>
              </w:r>
              <w:r>
                <w:rPr>
                  <w:rFonts w:hint="eastAsia"/>
                </w:rPr>
                <w:t>天玛智控、国拓科技、</w:t>
              </w:r>
              <w:r>
                <w:rPr>
                  <w:rFonts w:asciiTheme="minorEastAsia" w:eastAsiaTheme="minorEastAsia" w:hAnsiTheme="minorEastAsia" w:hint="eastAsia"/>
                </w:rPr>
                <w:t>沙尔夫公司、德伯特机械等。上述子公司纳入公司合并报表范围后，与其他子公司同受内部控制管理制度的约束，通过公司治理、财务管理、风险管理、重大事项管理等方面对子公司实施管理控制，完成业务整合，确保子公司的经营及发展符合公司整体发展战略规划。</w:t>
              </w:r>
            </w:p>
            <w:bookmarkEnd w:id="135" w:displacedByCustomXml="next"/>
          </w:sdtContent>
        </w:sdt>
        <w:p>
          <w:pPr>
            <w:rPr>
              <w:szCs w:val="21"/>
            </w:rPr>
          </w:pPr>
        </w:p>
      </w:sdtContent>
    </w:sdt>
    <w:p>
      <w:pPr>
        <w:pStyle w:val="afffffff"/>
        <w:numPr>
          <w:ilvl w:val="0"/>
          <w:numId w:val="34"/>
        </w:numPr>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245457252"/>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1384445403"/>
        <w:placeholder>
          <w:docPart w:val="GBC22222222222222222222222222222"/>
        </w:placeholder>
      </w:sdtPr>
      <w:sdtContent>
        <w:sdt>
          <w:sdtPr>
            <w:rPr>
              <w:rFonts w:asciiTheme="minorEastAsia" w:eastAsiaTheme="minorEastAsia" w:hAnsiTheme="minorEastAsia" w:hint="eastAsia"/>
            </w:rPr>
            <w:alias w:val="审计报告与公司自我评价意见不一致情况"/>
            <w:tag w:val="_GBC_1abfe1ce3c2044e1a311865463691e52"/>
            <w:id w:val="-236170203"/>
          </w:sdtPr>
          <w:sdtContent>
            <w:p>
              <w:pPr>
                <w:ind w:firstLineChars="200" w:firstLine="420"/>
                <w:rPr>
                  <w:rFonts w:asciiTheme="minorEastAsia" w:eastAsiaTheme="minorEastAsia" w:hAnsiTheme="minorEastAsia"/>
                </w:rPr>
              </w:pPr>
              <w:r>
                <w:rPr>
                  <w:rFonts w:asciiTheme="minorEastAsia" w:eastAsiaTheme="minorEastAsia" w:hAnsiTheme="minorEastAsia" w:hint="eastAsia"/>
                </w:rPr>
                <w:t>公司自2013年起聘请境内年审会计师，对财务报告内部控制体系建设是否符合境内监管要求及运行的有效性进行评估。</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公司聘请天职国际会计师事务所（特殊普通合伙）对公司2024年度财务报告内部控制有效性进行了审核评估，认为公司按照《企业内部控制基本规范》和相关规定在所有重大方面保持了有效的财务报告内部控制。</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天职国际会计师事务所（特殊普通合伙）出具的2024年度财务报告内部控制审计报告全文载于上交所网站、香港联交所网站和公司网站。</w:t>
              </w:r>
            </w:p>
          </w:sdtContent>
        </w:sdt>
        <w:p>
          <w:pPr>
            <w:rPr>
              <w:szCs w:val="21"/>
            </w:rPr>
          </w:pPr>
        </w:p>
      </w:sdtContent>
    </w:sdt>
    <w:p>
      <w:pPr>
        <w:rPr>
          <w:szCs w:val="21"/>
        </w:rPr>
      </w:pPr>
      <w:r>
        <w:rPr>
          <w:szCs w:val="21"/>
        </w:rPr>
        <w:t>是否披露内部控制审计报告：</w:t>
      </w:r>
      <w:sdt>
        <w:sdtPr>
          <w:rPr>
            <w:szCs w:val="21"/>
          </w:rPr>
          <w:alias w:val="审计机构是否对公司内部控制出具核实评价意见"/>
          <w:tag w:val="_GBC_c9f332f7c06944ebbd339ca86944d1e2"/>
          <w:id w:val="1197271935"/>
          <w:lock w:val="sdtLocked"/>
          <w:placeholder>
            <w:docPart w:val="GBC22222222222222222222222222222"/>
          </w:placeholder>
          <w:comboBox>
            <w:listItem w:displayText="是" w:value="true"/>
            <w:listItem w:displayText="否" w:value="false"/>
          </w:comboBox>
        </w:sdtPr>
        <w:sdtContent>
          <w:r>
            <w:rPr>
              <w:szCs w:val="21"/>
            </w:rPr>
            <w:t>是</w:t>
          </w:r>
        </w:sdtContent>
      </w:sdt>
    </w:p>
    <w:p>
      <w:pPr>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503748051"/>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Pr>
              <w:rFonts w:hint="eastAsia"/>
              <w:lang w:val="zh-CN"/>
            </w:rPr>
            <w:t>标准的无保留意见</w:t>
          </w:r>
        </w:sdtContent>
      </w:sdt>
    </w:p>
    <w:p>
      <w:pPr>
        <w:rPr>
          <w:szCs w:val="21"/>
        </w:rPr>
      </w:pPr>
    </w:p>
    <w:p>
      <w:pPr>
        <w:pStyle w:val="afffffff"/>
        <w:numPr>
          <w:ilvl w:val="0"/>
          <w:numId w:val="34"/>
        </w:numPr>
      </w:pPr>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583209496"/>
        <w:placeholder>
          <w:docPart w:val="GBC22222222222222222222222222222"/>
        </w:placeholder>
      </w:sdtPr>
      <w:sdtContent>
        <w:p>
          <w:pPr>
            <w:rPr>
              <w:szCs w:val="21"/>
            </w:rPr>
          </w:pPr>
          <w:r>
            <w:rPr>
              <w:rFonts w:hint="eastAsia"/>
              <w:szCs w:val="21"/>
            </w:rPr>
            <w:t>不适用</w:t>
          </w:r>
        </w:p>
      </w:sdtContent>
    </w:sdt>
    <w:p>
      <w:pPr>
        <w:rPr>
          <w:szCs w:val="21"/>
        </w:rPr>
      </w:pPr>
    </w:p>
    <w:p>
      <w:pPr>
        <w:pStyle w:val="afffffff"/>
        <w:numPr>
          <w:ilvl w:val="0"/>
          <w:numId w:val="34"/>
        </w:numPr>
      </w:pPr>
      <w:r>
        <w:t>其他</w:t>
      </w:r>
    </w:p>
    <w:sdt>
      <w:sdtPr>
        <w:rPr>
          <w:rFonts w:hint="eastAsia"/>
          <w:szCs w:val="21"/>
        </w:rPr>
        <w:alias w:val="是否适用：其他公司治理情况说明[双击切换]"/>
        <w:tag w:val="_GBC_dc91085943bb4d4ab22a79a9ba7014df"/>
        <w:id w:val="-1023005562"/>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公司治理情况"/>
        <w:tag w:val="_GBC_b87ae3f9769a4139afd35b4713731640"/>
        <w:id w:val="-1809700275"/>
        <w:placeholder>
          <w:docPart w:val="GBC22222222222222222222222222222"/>
        </w:placeholder>
      </w:sdtPr>
      <w:sdtContent>
        <w:sdt>
          <w:sdtPr>
            <w:rPr>
              <w:rFonts w:asciiTheme="minorEastAsia" w:eastAsiaTheme="minorEastAsia" w:hAnsiTheme="minorEastAsia" w:hint="eastAsia"/>
            </w:rPr>
            <w:alias w:val="其他公司治理情况"/>
            <w:tag w:val="_GBC_b87ae3f9769a4139afd35b4713731640"/>
            <w:id w:val="1544953667"/>
          </w:sdtPr>
          <w:sdtEndPr>
            <w:rPr>
              <w:rFonts w:ascii="Calibri" w:eastAsia="宋体" w:hAnsi="Calibri"/>
              <w:highlight w:val="yellow"/>
            </w:rPr>
          </w:sdtEndPr>
          <w:sdtContent>
            <w:p>
              <w:pPr>
                <w:ind w:firstLineChars="200" w:firstLine="420"/>
                <w:rPr>
                  <w:rFonts w:asciiTheme="minorEastAsia" w:eastAsiaTheme="minorEastAsia" w:hAnsiTheme="minorEastAsia"/>
                </w:rPr>
              </w:pPr>
              <w:r>
                <w:rPr>
                  <w:rFonts w:asciiTheme="minorEastAsia" w:eastAsiaTheme="minorEastAsia" w:hAnsiTheme="minorEastAsia" w:hint="eastAsia"/>
                </w:rPr>
                <w:t>企业管治报告（按香港上市监管规定编制）</w:t>
              </w:r>
            </w:p>
            <w:p>
              <w:pPr>
                <w:ind w:firstLineChars="200" w:firstLine="420"/>
                <w:rPr>
                  <w:rFonts w:asciiTheme="minorEastAsia" w:eastAsiaTheme="minorEastAsia" w:hAnsiTheme="minorEastAsia"/>
                </w:rPr>
              </w:pPr>
            </w:p>
            <w:p>
              <w:pPr>
                <w:ind w:firstLineChars="200" w:firstLine="420"/>
                <w:rPr>
                  <w:rFonts w:asciiTheme="minorEastAsia" w:eastAsiaTheme="minorEastAsia" w:hAnsiTheme="minorEastAsia"/>
                </w:rPr>
              </w:pPr>
              <w:r>
                <w:rPr>
                  <w:rFonts w:asciiTheme="minorEastAsia" w:eastAsiaTheme="minorEastAsia" w:hAnsiTheme="minorEastAsia" w:hint="eastAsia"/>
                </w:rPr>
                <w:t>（一）《企业管治守则》（“《守则》”）及《标准守则》遵守情况</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本集团已经建立了比较规范、稳健的企业管治架构，并注重遵循透明、问责、维护全体股东权益的公司管治原则。</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相信，良好的企业管治对本集团运营发展十分重要。本集团已建立向全体董事汇报的制度，确保董事对公司业务知情；并相信定期举行的董事会会议能够为非执行董事提供有效的沟通渠道，以使非执行董事对本集团业务进行全面及开放的讨论。董事会定期检讨公司治理常规，以确保公司的运行符合法律、法规及上市地监管规定，不断致力于提升公司管治水平。</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已执行的企业管治常规文件包括但不限于：《公司章程》《股东大会议事规则》《董事会议事规则》《总经理工作细则》《总经理办公会议事规则》《独立董事工作制度》《董事会授权管理制度》《董事会秘书工作制度》《信息披露管理制度》《关联交易管理办法》《投资者关系管理工作制度》《股东、董事、监事、高管及相关内幕信息知情人所持本公司股份及变动管理制度》《董事会决议落实情况监督和评价管理办法》《专职产权代表管理办法》《高级职员职业道德行为准则》《内控体系建设管理办法》《全面风险管理办法》《市值管理制度》等。截至2024年12月31日止年度及截至本报告公布之日，本集团采纳的企业管治常规文件，还包含香港上市规则之《守则》，本集团的企业管治运行情况亦符合《守则》的要求。报告期内，本公司已全面遵守《守则》第二部分所载的守则条文。</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本集团已执行的企业管治常规，在某些方面比《守则》条文更严格，主要体现在：</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积极推进董事会专门委员会建设。除《守则》条文中要求设立的审计委员会、薪酬委员会和提名委员会外，公司还进一步设立了战略与发展委员会和可持续发展委员会，并赋予各委员会具体详实的职责义务；</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制定的《股东、董事、监事、高管及相关内幕信息知情人所持本公司股份及变动管理制度》《高级职员职业道德行为准则》，比《标准守则》更严格；</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按照上交所《公司自律监管指引第1号——规范运作》、中国财政部等五部委联合下发的《企业内部控制基本规范》和《守则》条文的规定建立内部控制体系，执行的标准比《守则》有关内部监控的条文更细化；</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公布了董事会及年审会计师对公司2024年度内部控制有效性的评估结论。</w:t>
              </w:r>
            </w:p>
            <w:p>
              <w:pPr>
                <w:ind w:firstLineChars="200" w:firstLine="420"/>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（二）董事、监事证券交易</w:t>
              </w:r>
            </w:p>
            <w:p>
              <w:pPr>
                <w:ind w:firstLineChars="200" w:firstLine="420"/>
                <w:rPr>
                  <w:rFonts w:asciiTheme="minorEastAsia" w:eastAsiaTheme="minorEastAsia" w:hAnsiTheme="minorEastAsia"/>
                </w:rPr>
              </w:pPr>
              <w:r>
                <w:rPr>
                  <w:rFonts w:asciiTheme="minorEastAsia" w:eastAsiaTheme="minorEastAsia" w:hAnsiTheme="minorEastAsia" w:hint="eastAsia"/>
                </w:rPr>
                <w:t>在向所有董事、监事和高级管理人员作出特定查询后，本公司确定，截至本报告披露日，本公司董事、监事和高级管理人员均严格遵守了《标准守则》所订有关进行证券交易的标准及</w:t>
              </w:r>
              <w:bookmarkStart w:id="136" w:name="_Hlk193313014"/>
              <w:r>
                <w:rPr>
                  <w:rFonts w:asciiTheme="minorEastAsia" w:eastAsiaTheme="minorEastAsia" w:hAnsiTheme="minorEastAsia" w:hint="eastAsia"/>
                </w:rPr>
                <w:t>本公司的有关管理制度</w:t>
              </w:r>
              <w:bookmarkEnd w:id="136"/>
              <w:r>
                <w:rPr>
                  <w:rFonts w:asciiTheme="minorEastAsia" w:eastAsiaTheme="minorEastAsia" w:hAnsiTheme="minorEastAsia" w:hint="eastAsia"/>
                </w:rPr>
                <w:t>。本公司已就董事、监事和高级管理人员的证券交易采用不低于《标准守则》的行为准则。</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2006年4月21日，本公司第三届董事会第五次会议审议批准了《管理层证券交易守则》；2010年4月23日，本公司第四届董事会第十四次会议对《管理层证券交易守则》进行修订，该制度在《标准守则》的基础上，补充完善了上市地证券交易有关法律法规和监管要求，比《标准守则》更严格。</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2018年2月13日，本公司第七届董事会第十次会议审议批准了《董监高及内幕信息知情人所持本公司股份及变动管理制度》，同时废止了《管理层证券交易守则》；2018年12月5日，本公司第七届董事会第二十次会议对《董监高及内幕信息知情人所持本公司股份及变动管理制度》进行修订，该制度在《管理层证券交易守则》的基础上，规范了内幕信息知情人所持本公司股份及变动的行为，增加了违反监管措施的处罚规定，比《管理层证券交易守则》更全面、更严格。</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2022年4月29日，本公司第八届董事会第二十二次会议审议批准了《股东、董事、监事、高管及相关内幕信息知情人所持本公司股份及变动管理制度》，对《董监高及内幕信息知情人所持本公司股份及变动管理制度》进行整体结构调整，补充更新相关条款，进一步加强股东、董事、监事、高级管理人员及相关内幕信息知情人所持本公司股份变动管理。</w:t>
              </w:r>
            </w:p>
            <w:p>
              <w:pPr>
                <w:ind w:firstLineChars="200" w:firstLine="420"/>
                <w:jc w:val="both"/>
                <w:rPr>
                  <w:rFonts w:asciiTheme="minorEastAsia" w:eastAsiaTheme="minorEastAsia" w:hAnsiTheme="minorEastAsia"/>
                </w:rPr>
              </w:pPr>
              <w:r>
                <w:rPr>
                  <w:rFonts w:hint="eastAsia"/>
                </w:rPr>
                <w:t>2024年8月30日，结合中国证监会修改发布《上市公司股东减持股份管理暂行办法》《上市公司董事、监事和高级管理人员所持本公司股份及其变动管理规则》，上交所修改发布《上市公司自律监管指引第15号——股东及董事、监事、高级管理人员减持股份》等实际情况，本公司第九届董事会第十次会议审议批准修改</w:t>
              </w:r>
              <w:bookmarkStart w:id="137" w:name="OLE_LINK17"/>
              <w:r>
                <w:rPr>
                  <w:rFonts w:hint="eastAsia"/>
                </w:rPr>
                <w:t>《股东、董事、监事、高管及相关内幕信息知情人所持本公司股份及变动管理制度》</w:t>
              </w:r>
              <w:bookmarkEnd w:id="137"/>
              <w:r>
                <w:rPr>
                  <w:rFonts w:hint="eastAsia"/>
                </w:rPr>
                <w:t>中有关股东、董事、监事和高管减持股份的条款。</w:t>
              </w:r>
            </w:p>
            <w:p>
              <w:pPr>
                <w:ind w:firstLineChars="200" w:firstLine="420"/>
              </w:pPr>
            </w:p>
            <w:p>
              <w:pPr>
                <w:ind w:firstLineChars="200" w:firstLine="420"/>
                <w:rPr>
                  <w:rFonts w:asciiTheme="minorEastAsia" w:eastAsiaTheme="minorEastAsia" w:hAnsiTheme="minorEastAsia"/>
                </w:rPr>
              </w:pPr>
              <w:r>
                <w:rPr>
                  <w:rFonts w:asciiTheme="minorEastAsia" w:eastAsiaTheme="minorEastAsia" w:hAnsiTheme="minorEastAsia" w:hint="eastAsia"/>
                </w:rPr>
                <w:t>（三）董事会与经理层</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于本报告披露日，公司董事会由10名董事组成，其中包括4名独立非执行董事。董事会成员的姓名、任职及离任情况载于本节相关内容。</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《公司章程》清晰载列了董事会和经理层的职责权限。</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负责公司战略决策和监督公司及管理层的运行，主要行使下列职权：决定公司经营计划和投资方案；制订公司财务决算和利润分配方案；推行及检讨公司内部监控系统；履行企业管治职责；确定公司管理机构设置及基本管理制度等。</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经理层负责公司生产经营和管理，主要行使下列职权：负责公司的生产经营管理工作；组织实施董事会决议事项；组织实施公司年度经营计划和投资方案；起草公司管理机构设置方案；起草公司的基本管理制度；拟定公司职工的工资、福利、奖惩；决定公司职工的聘用和解聘等。</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根据香港上市规则，公司已经收到每名独立非执行董事就其独立性而作出的年度确认函，公司确认4名独立非执行董事属独立人士且符合香港上市规则关于独立非执行董事资格的要求。</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董事负责编制公司相关会计期间的财务账目，真实公允地反映公司财务状况、经营业绩及现金流量状况。</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自2008年以来，公司每年均为公司董事、监事和高级管理人员购买责任保险。</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公司已制定内部政策（包括但不限于《公司章程》、董事提名政策、薪酬与提名委员会职权范围）以确保董事会可获得独立的观点和意见，这些政策涵盖了本公司就董事（包括独立非执行董事）的选举与委任的程序及甄选准则、董事就董事会审议相关议案的回避表决机制、独立董事委员会聘请独立财务顾问或其他专业顾问的权限等。本公司已检讨上述机制的实施及有效性，认为上述机制能够确保董事会获得独立的观点和意见。</w:t>
              </w:r>
            </w:p>
            <w:p>
              <w:pPr>
                <w:ind w:firstLineChars="200" w:firstLine="420"/>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（四）董事会会议及董事培训</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公司章程》和《董事会议事规则》规定，所有董事皆有机会提出商讨事项列入董事会会议议程；公司于定期董事会会议召开日14天前、临时董事会会议召开日3天前，向董事发出会议通知；于定期董事会会议召开日5天前、临时董事会会议召开日3天前，将会议议案、会议讨论资料提交公司董事审阅；对会议上各董事所考虑的事项及形成的决定作了详细的会议记录；董事会会议结束后，会议记录的初稿和最终定稿于合理时间内提交全体董事，初稿供董事表达意见，最终定稿供董事备存；任何董事亦可于合理时段查阅公司备存的会议记录。</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董事会及每名董事均有自行接触高级管理人员的独立途径。所有董事均有权查阅董事会文件及相关资料。</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公司设立了董事会专门办事机构，全体董事均可获得董事会秘书提供的服务。董事会可以决定在适当情况下为董事寻求独立专业意见，相关费用由公司承担。董事会审议关联事项时，关联董事均回避表决。</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截至2024年12月31日止年度，公司董事会共召开了9次会议。有关董事出席董事会、股东大会情况详情请见本节相关内容。</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公司所有董事均能够参与持续专业发展，更新其知识、技能，以确保其为董事会做出贡献。</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报告期内，公司现任董事参加培训情况如下：</w:t>
              </w:r>
            </w:p>
            <w:tbl>
              <w:tblPr>
                <w:tblStyle w:val="g22"/>
                <w:tblW w:w="4981" w:type="pct"/>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
              <w:tblGrid>
                <w:gridCol w:w="3827"/>
                <w:gridCol w:w="4962"/>
              </w:tblGrid>
              <w:tr>
                <w:tc>
                  <w:tcPr>
                    <w:tcW w:w="2177" w:type="pct"/>
                    <w:tcBorders>
                      <w:top w:val="single" w:sz="4" w:space="0" w:color="auto"/>
                      <w:left w:val="single" w:sz="4" w:space="0" w:color="auto"/>
                      <w:bottom w:val="single" w:sz="4" w:space="0" w:color="auto"/>
                      <w:right w:val="single" w:sz="4" w:space="0" w:color="auto"/>
                    </w:tcBorders>
                  </w:tcPr>
                  <w:p>
                    <w:pPr>
                      <w:spacing w:line="400" w:lineRule="exact"/>
                      <w:jc w:val="center"/>
                      <w:rPr>
                        <w:rFonts w:asciiTheme="minorEastAsia" w:eastAsiaTheme="minorEastAsia" w:hAnsiTheme="minorEastAsia" w:cs="MHei-Light-Identity-H"/>
                        <w:b/>
                      </w:rPr>
                    </w:pPr>
                    <w:r>
                      <w:rPr>
                        <w:rFonts w:asciiTheme="minorEastAsia" w:eastAsiaTheme="minorEastAsia" w:hAnsiTheme="minorEastAsia" w:cs="MHei-Light-Identity-H" w:hint="eastAsia"/>
                        <w:b/>
                      </w:rPr>
                      <w:t>姓名</w:t>
                    </w:r>
                  </w:p>
                </w:tc>
                <w:tc>
                  <w:tcPr>
                    <w:tcW w:w="2822" w:type="pct"/>
                    <w:tcBorders>
                      <w:top w:val="single" w:sz="4" w:space="0" w:color="auto"/>
                      <w:left w:val="nil"/>
                      <w:bottom w:val="single" w:sz="4" w:space="0" w:color="auto"/>
                      <w:right w:val="single" w:sz="4" w:space="0" w:color="auto"/>
                    </w:tcBorders>
                  </w:tcPr>
                  <w:p>
                    <w:pPr>
                      <w:spacing w:line="400" w:lineRule="exact"/>
                      <w:jc w:val="center"/>
                      <w:rPr>
                        <w:rFonts w:asciiTheme="minorEastAsia" w:eastAsiaTheme="minorEastAsia" w:hAnsiTheme="minorEastAsia" w:cs="MHei-Light-Identity-H"/>
                        <w:b/>
                      </w:rPr>
                    </w:pPr>
                    <w:r>
                      <w:rPr>
                        <w:rFonts w:asciiTheme="minorEastAsia" w:eastAsiaTheme="minorEastAsia" w:hAnsiTheme="minorEastAsia" w:cs="MHei-Light-Identity-H" w:hint="eastAsia"/>
                        <w:b/>
                      </w:rPr>
                      <w:t>培训情况</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jc w:val="both"/>
                      <w:rPr>
                        <w:rFonts w:asciiTheme="minorEastAsia" w:eastAsiaTheme="minorEastAsia" w:hAnsiTheme="minorEastAsia"/>
                      </w:rPr>
                    </w:pPr>
                    <w:r>
                      <w:rPr>
                        <w:rFonts w:hint="eastAsia"/>
                      </w:rPr>
                      <w:t>李伟、肖耀猛（离任）、刘健、刘强、张海军、苏力、黄霄龙、彭苏萍、朱利民、胡家栋、朱睿</w:t>
                    </w:r>
                  </w:p>
                </w:tc>
                <w:tc>
                  <w:tcPr>
                    <w:tcW w:w="2822" w:type="pct"/>
                    <w:tcBorders>
                      <w:top w:val="single" w:sz="4" w:space="0" w:color="auto"/>
                      <w:left w:val="nil"/>
                      <w:bottom w:val="single" w:sz="4" w:space="0" w:color="auto"/>
                      <w:right w:val="single" w:sz="4" w:space="0" w:color="auto"/>
                    </w:tcBorders>
                    <w:vAlign w:val="center"/>
                  </w:tcPr>
                  <w:p>
                    <w:pPr>
                      <w:rPr>
                        <w:rFonts w:asciiTheme="minorEastAsia" w:eastAsiaTheme="minorEastAsia" w:hAnsiTheme="minorEastAsia" w:cs="MHei-Light-Identity-H"/>
                      </w:rPr>
                    </w:pPr>
                    <w:r>
                      <w:rPr>
                        <w:rFonts w:hint="eastAsia"/>
                      </w:rPr>
                      <w:t>于2024年6月21日参加了公司组织的《国有控股上市公司权属公司规范运作》专题培训。</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jc w:val="both"/>
                      <w:rPr>
                        <w:rFonts w:asciiTheme="minorEastAsia" w:eastAsiaTheme="minorEastAsia" w:hAnsiTheme="minorEastAsia"/>
                      </w:rPr>
                    </w:pPr>
                    <w:r>
                      <w:rPr>
                        <w:rFonts w:asciiTheme="minorEastAsia" w:eastAsiaTheme="minorEastAsia" w:hAnsiTheme="minorEastAsia" w:hint="eastAsia"/>
                      </w:rPr>
                      <w:t>彭苏萍、胡家栋、朱利民、朱睿</w:t>
                    </w:r>
                  </w:p>
                </w:tc>
                <w:tc>
                  <w:tcPr>
                    <w:tcW w:w="2822" w:type="pct"/>
                    <w:tcBorders>
                      <w:top w:val="single" w:sz="4" w:space="0" w:color="auto"/>
                      <w:left w:val="nil"/>
                      <w:bottom w:val="single" w:sz="4" w:space="0" w:color="auto"/>
                      <w:right w:val="single" w:sz="4" w:space="0" w:color="auto"/>
                    </w:tcBorders>
                    <w:vAlign w:val="center"/>
                  </w:tcPr>
                  <w:p>
                    <w:pPr>
                      <w:rPr>
                        <w:rFonts w:asciiTheme="minorEastAsia" w:eastAsiaTheme="minorEastAsia" w:hAnsiTheme="minorEastAsia"/>
                      </w:rPr>
                    </w:pPr>
                    <w:r>
                      <w:rPr>
                        <w:rFonts w:asciiTheme="minorEastAsia" w:eastAsiaTheme="minorEastAsia" w:hAnsiTheme="minorEastAsia"/>
                      </w:rPr>
                      <w:t>于</w:t>
                    </w: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年</w:t>
                    </w:r>
                    <w:r>
                      <w:rPr>
                        <w:rFonts w:asciiTheme="minorEastAsia" w:eastAsiaTheme="minorEastAsia" w:hAnsiTheme="minorEastAsia" w:hint="eastAsia"/>
                      </w:rPr>
                      <w:t>8</w:t>
                    </w:r>
                    <w:r>
                      <w:rPr>
                        <w:rFonts w:asciiTheme="minorEastAsia" w:eastAsiaTheme="minorEastAsia" w:hAnsiTheme="minorEastAsia"/>
                      </w:rPr>
                      <w:t>月</w:t>
                    </w:r>
                    <w:r>
                      <w:rPr>
                        <w:rFonts w:asciiTheme="minorEastAsia" w:eastAsiaTheme="minorEastAsia" w:hAnsiTheme="minorEastAsia" w:hint="eastAsia"/>
                      </w:rPr>
                      <w:t>16</w:t>
                    </w:r>
                    <w:r>
                      <w:rPr>
                        <w:rFonts w:asciiTheme="minorEastAsia" w:eastAsiaTheme="minorEastAsia" w:hAnsiTheme="minorEastAsia"/>
                      </w:rPr>
                      <w:t>日</w:t>
                    </w:r>
                    <w:r>
                      <w:rPr>
                        <w:rFonts w:asciiTheme="minorEastAsia" w:eastAsiaTheme="minorEastAsia" w:hAnsiTheme="minorEastAsia" w:hint="eastAsia"/>
                      </w:rPr>
                      <w:t>-29日</w:t>
                    </w:r>
                    <w:r>
                      <w:rPr>
                        <w:rFonts w:asciiTheme="minorEastAsia" w:eastAsiaTheme="minorEastAsia" w:hAnsiTheme="minorEastAsia"/>
                      </w:rPr>
                      <w:t>参加了</w:t>
                    </w:r>
                    <w:r>
                      <w:rPr>
                        <w:rFonts w:asciiTheme="minorEastAsia" w:eastAsiaTheme="minorEastAsia" w:hAnsiTheme="minorEastAsia" w:hint="eastAsia"/>
                      </w:rPr>
                      <w:t>上交所2024年第4期上市公司独立董事后续培训</w:t>
                    </w:r>
                    <w:r>
                      <w:rPr>
                        <w:rFonts w:asciiTheme="minorEastAsia" w:eastAsiaTheme="minorEastAsia" w:hAnsiTheme="minorEastAsia"/>
                      </w:rPr>
                      <w:t>。</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jc w:val="both"/>
                      <w:rPr>
                        <w:rFonts w:asciiTheme="minorEastAsia" w:eastAsiaTheme="minorEastAsia" w:hAnsiTheme="minorEastAsia"/>
                      </w:rPr>
                    </w:pPr>
                    <w:r>
                      <w:rPr>
                        <w:rFonts w:hint="eastAsia"/>
                      </w:rPr>
                      <w:t>李伟、肖耀猛（离任）、刘健、刘强、张海军、苏力、黄霄龙、彭苏萍、朱利民、胡家栋、朱睿</w:t>
                    </w:r>
                  </w:p>
                </w:tc>
                <w:tc>
                  <w:tcPr>
                    <w:tcW w:w="2822" w:type="pct"/>
                    <w:tcBorders>
                      <w:top w:val="single" w:sz="4" w:space="0" w:color="auto"/>
                      <w:left w:val="nil"/>
                      <w:bottom w:val="single" w:sz="4" w:space="0" w:color="auto"/>
                      <w:right w:val="single" w:sz="4" w:space="0" w:color="auto"/>
                    </w:tcBorders>
                    <w:vAlign w:val="center"/>
                  </w:tcPr>
                  <w:p>
                    <w:pPr>
                      <w:rPr>
                        <w:rFonts w:asciiTheme="minorEastAsia" w:eastAsiaTheme="minorEastAsia" w:hAnsiTheme="minorEastAsia"/>
                      </w:rPr>
                    </w:pPr>
                    <w:r>
                      <w:rPr>
                        <w:rFonts w:hint="eastAsia"/>
                      </w:rPr>
                      <w:t>于2024年8月30日参加了公司组织的《国有控股上市公司权属公司董监高规范运作》专题培训。</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jc w:val="both"/>
                    </w:pPr>
                    <w:r>
                      <w:rPr>
                        <w:rFonts w:hint="eastAsia"/>
                      </w:rPr>
                      <w:t>刘健</w:t>
                    </w:r>
                  </w:p>
                </w:tc>
                <w:tc>
                  <w:tcPr>
                    <w:tcW w:w="2822" w:type="pct"/>
                    <w:tcBorders>
                      <w:top w:val="single" w:sz="4" w:space="0" w:color="auto"/>
                      <w:left w:val="nil"/>
                      <w:bottom w:val="single" w:sz="4" w:space="0" w:color="auto"/>
                      <w:right w:val="single" w:sz="4" w:space="0" w:color="auto"/>
                    </w:tcBorders>
                    <w:vAlign w:val="center"/>
                  </w:tcPr>
                  <w:p>
                    <w:pPr>
                      <w:pStyle w:val="affffffff"/>
                    </w:pPr>
                    <w:r>
                      <w:rPr>
                        <w:rFonts w:hint="eastAsia"/>
                      </w:rPr>
                      <w:t>1.2024年3月15日参加山东上市公司协会年报专题培训；</w:t>
                    </w:r>
                  </w:p>
                  <w:p>
                    <w:pPr>
                      <w:pStyle w:val="affffffff"/>
                    </w:pPr>
                    <w:r>
                      <w:rPr>
                        <w:rFonts w:hint="eastAsia"/>
                      </w:rPr>
                      <w:t>2.2024年4月19日参加山东上市公司协会独立董事制度改革专题培训会。</w:t>
                    </w:r>
                  </w:p>
                </w:tc>
              </w:tr>
              <w:tr>
                <w:trPr>
                  <w:trHeight w:val="723"/>
                </w:trPr>
                <w:tc>
                  <w:tcPr>
                    <w:tcW w:w="2177" w:type="pct"/>
                    <w:tcBorders>
                      <w:top w:val="single" w:sz="4" w:space="0" w:color="auto"/>
                      <w:left w:val="single" w:sz="4" w:space="0" w:color="auto"/>
                      <w:bottom w:val="single" w:sz="4" w:space="0" w:color="auto"/>
                      <w:right w:val="single" w:sz="4" w:space="0" w:color="auto"/>
                    </w:tcBorders>
                    <w:vAlign w:val="center"/>
                  </w:tcPr>
                  <w:p>
                    <w:pPr>
                      <w:jc w:val="both"/>
                      <w:rPr>
                        <w:rFonts w:asciiTheme="minorEastAsia" w:eastAsiaTheme="minorEastAsia" w:hAnsiTheme="minorEastAsia"/>
                      </w:rPr>
                    </w:pPr>
                    <w:r>
                      <w:rPr>
                        <w:rFonts w:asciiTheme="minorEastAsia" w:eastAsiaTheme="minorEastAsia" w:hAnsiTheme="minorEastAsia" w:hint="eastAsia"/>
                      </w:rPr>
                      <w:t>黄霄龙</w:t>
                    </w:r>
                  </w:p>
                </w:tc>
                <w:tc>
                  <w:tcPr>
                    <w:tcW w:w="2822" w:type="pct"/>
                    <w:tcBorders>
                      <w:top w:val="single" w:sz="4" w:space="0" w:color="auto"/>
                      <w:left w:val="nil"/>
                      <w:bottom w:val="single" w:sz="4" w:space="0" w:color="auto"/>
                      <w:right w:val="single" w:sz="4" w:space="0" w:color="auto"/>
                    </w:tcBorders>
                    <w:vAlign w:val="center"/>
                  </w:tcPr>
                  <w:p>
                    <w:pPr>
                      <w:pStyle w:val="affffffff"/>
                    </w:pPr>
                    <w:r>
                      <w:rPr>
                        <w:rFonts w:hint="eastAsia"/>
                      </w:rPr>
                      <w:t>1.于2024年6月25日参加上交所上市公司《可持续发展报告》(ESG)专题培训（第二期）；</w:t>
                    </w:r>
                  </w:p>
                  <w:p>
                    <w:pPr>
                      <w:rPr>
                        <w:rFonts w:asciiTheme="minorEastAsia" w:eastAsiaTheme="minorEastAsia" w:hAnsiTheme="minorEastAsia"/>
                      </w:rPr>
                    </w:pPr>
                    <w:r>
                      <w:rPr>
                        <w:rFonts w:asciiTheme="minorEastAsia" w:eastAsiaTheme="minorEastAsia" w:hAnsiTheme="minorEastAsia" w:hint="eastAsia"/>
                      </w:rPr>
                      <w:t>2.于2024年11月27日-29日参加香港公司治理公会港股上市公司信息披露、公司治理与资本运作实务基础班（第二期）培训；</w:t>
                    </w:r>
                  </w:p>
                  <w:p>
                    <w:pPr>
                      <w:rPr>
                        <w:rFonts w:asciiTheme="minorEastAsia" w:eastAsiaTheme="minorEastAsia" w:hAnsiTheme="minorEastAsia"/>
                      </w:rPr>
                    </w:pPr>
                    <w:r>
                      <w:rPr>
                        <w:rFonts w:asciiTheme="minorEastAsia" w:eastAsiaTheme="minorEastAsia" w:hAnsiTheme="minorEastAsia" w:hint="eastAsia"/>
                      </w:rPr>
                      <w:t>3.</w:t>
                    </w:r>
                    <w:r>
                      <w:rPr>
                        <w:rFonts w:asciiTheme="minorEastAsia" w:eastAsiaTheme="minorEastAsia" w:hAnsiTheme="minorEastAsia"/>
                      </w:rPr>
                      <w:t>于</w:t>
                    </w:r>
                    <w:r>
                      <w:rPr>
                        <w:rFonts w:asciiTheme="minorEastAsia" w:eastAsiaTheme="minorEastAsia" w:hAnsiTheme="minorEastAsia" w:hint="eastAsia"/>
                      </w:rPr>
                      <w:t>2</w:t>
                    </w:r>
                    <w:r>
                      <w:rPr>
                        <w:rFonts w:asciiTheme="minorEastAsia" w:eastAsiaTheme="minorEastAsia" w:hAnsiTheme="minorEastAsia"/>
                      </w:rPr>
                      <w:t>02</w:t>
                    </w:r>
                    <w:r>
                      <w:rPr>
                        <w:rFonts w:asciiTheme="minorEastAsia" w:eastAsiaTheme="minorEastAsia" w:hAnsiTheme="minorEastAsia" w:hint="eastAsia"/>
                      </w:rPr>
                      <w:t>4</w:t>
                    </w:r>
                    <w:r>
                      <w:rPr>
                        <w:rFonts w:asciiTheme="minorEastAsia" w:eastAsiaTheme="minorEastAsia" w:hAnsiTheme="minorEastAsia"/>
                      </w:rPr>
                      <w:t>年</w:t>
                    </w:r>
                    <w:r>
                      <w:rPr>
                        <w:rFonts w:asciiTheme="minorEastAsia" w:eastAsiaTheme="minorEastAsia" w:hAnsiTheme="minorEastAsia" w:hint="eastAsia"/>
                      </w:rPr>
                      <w:t>12</w:t>
                    </w:r>
                    <w:r>
                      <w:rPr>
                        <w:rFonts w:asciiTheme="minorEastAsia" w:eastAsiaTheme="minorEastAsia" w:hAnsiTheme="minorEastAsia"/>
                      </w:rPr>
                      <w:t>月</w:t>
                    </w:r>
                    <w:r>
                      <w:rPr>
                        <w:rFonts w:asciiTheme="minorEastAsia" w:eastAsiaTheme="minorEastAsia" w:hAnsiTheme="minorEastAsia" w:hint="eastAsia"/>
                      </w:rPr>
                      <w:t>13</w:t>
                    </w:r>
                    <w:r>
                      <w:rPr>
                        <w:rFonts w:asciiTheme="minorEastAsia" w:eastAsiaTheme="minorEastAsia" w:hAnsiTheme="minorEastAsia"/>
                      </w:rPr>
                      <w:t>日</w:t>
                    </w:r>
                    <w:r>
                      <w:rPr>
                        <w:rFonts w:asciiTheme="minorEastAsia" w:eastAsiaTheme="minorEastAsia" w:hAnsiTheme="minorEastAsia" w:hint="eastAsia"/>
                      </w:rPr>
                      <w:t>-</w:t>
                    </w:r>
                    <w:r>
                      <w:rPr>
                        <w:rFonts w:asciiTheme="minorEastAsia" w:eastAsiaTheme="minorEastAsia" w:hAnsiTheme="minorEastAsia"/>
                      </w:rPr>
                      <w:t>2</w:t>
                    </w:r>
                    <w:r>
                      <w:rPr>
                        <w:rFonts w:asciiTheme="minorEastAsia" w:eastAsiaTheme="minorEastAsia" w:hAnsiTheme="minorEastAsia" w:hint="eastAsia"/>
                      </w:rPr>
                      <w:t>0</w:t>
                    </w:r>
                    <w:r>
                      <w:rPr>
                        <w:rFonts w:asciiTheme="minorEastAsia" w:eastAsiaTheme="minorEastAsia" w:hAnsiTheme="minorEastAsia"/>
                      </w:rPr>
                      <w:t>日参加了</w:t>
                    </w:r>
                    <w:r>
                      <w:rPr>
                        <w:rFonts w:asciiTheme="minorEastAsia" w:eastAsiaTheme="minorEastAsia" w:hAnsiTheme="minorEastAsia" w:hint="eastAsia"/>
                      </w:rPr>
                      <w:t>上交所2024年第7期上市公司董事会秘书后续培训。</w:t>
                    </w:r>
                  </w:p>
                </w:tc>
              </w:tr>
            </w:tbl>
            <w:p>
              <w:pPr>
                <w:rPr>
                  <w:rFonts w:asciiTheme="minorEastAsia" w:eastAsiaTheme="minorEastAsia" w:hAnsiTheme="minorEastAsia"/>
                </w:rPr>
              </w:pPr>
              <w:r>
                <w:rPr>
                  <w:rFonts w:asciiTheme="minorEastAsia" w:eastAsiaTheme="minorEastAsia" w:hAnsiTheme="minorEastAsia"/>
                </w:rPr>
                <w:t xml:space="preserve"> </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报告期内，公司除邀请法律顾问、年审会计师就上市监管规则、会计准则进行研究学习外，还将法律法规修订、监管要求变化、典型突出案例、董事培训资料和公司编制的《合规动态》刊物及时呈报全体董事传阅，持续提升董事的业务能力。</w:t>
              </w:r>
            </w:p>
            <w:p>
              <w:pPr>
                <w:jc w:val="both"/>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（五）主席及行政总裁</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于2024年度，本公司董事长由李伟先生担任，总经理由肖耀猛先生（于2024年9月18日辞任）及王九红先生担任（于2024年11月13日起生效）。董事长和总经理的职责分工明确，《公司章程》具体载列了董事长和总经理的职责权限。</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于2024年度，董事长与独立非执行董事举行了没有其他董事出席的会议。</w:t>
              </w:r>
            </w:p>
            <w:p>
              <w:pPr>
                <w:rPr>
                  <w:rFonts w:asciiTheme="minorEastAsia" w:eastAsiaTheme="minorEastAsia" w:hAnsiTheme="minorEastAsia"/>
                </w:rPr>
              </w:pPr>
            </w:p>
            <w:p>
              <w:pPr>
                <w:ind w:firstLineChars="200" w:firstLine="420"/>
                <w:rPr>
                  <w:rFonts w:asciiTheme="minorEastAsia" w:eastAsiaTheme="minorEastAsia" w:hAnsiTheme="minorEastAsia"/>
                </w:rPr>
              </w:pPr>
              <w:r>
                <w:rPr>
                  <w:rFonts w:asciiTheme="minorEastAsia" w:eastAsiaTheme="minorEastAsia" w:hAnsiTheme="minorEastAsia" w:hint="eastAsia"/>
                </w:rPr>
                <w:t>（六）非执行董事</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非执行董事均与公司订立服务合约。按照《公司章程》规定，公司董事会成员（包括非执行董事）每届任期三年，任期届满后连选可以连任；而独立非执行董事的连任期间不超过六年。</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公司非执行董事的职责包括但不限于下列各项：</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参与公司董事会会议，在涉及策略、政策、公司表现、问责性、资源、主要委任及操守准则等事宜上，提供独立的意见；</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在出现潜在利益冲突时发挥规范引导作用；</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出任董事会下属审计委员会、薪酬委员会、提名委员会、战略与发展委员会及可持续发展委员会成员；</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检查公司的表现是否达到既定的企业目标和目的，并监察汇报公司表现的事宜。</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lastRenderedPageBreak/>
                <w:t>独立非执行董事及其他非执行董事须通过提供独立、富建设性及有根据的意见对本公司制定策略及政策作出正面贡献。</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（七）董事会下属委员会履职情况</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提名委员会从多个方面考虑董事会成员多元化，包括但不限于性别、年龄、文化及教育背景、专业经验、技能及服务年限等。在考虑上述有关因素后，提名委员会按董事人选专业特长及可为公司及董事会作出的贡献，向董事会提出最终的委任建议。</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董事会致力提高性别多元化，在选聘时适当考虑增加女性成员比例，目前已委任一名女性董事。公司认为董事会目前的组成是均衡多样化的组合，充分考虑了公司的实际情况，适合公司的业务发展，于报告期内符合董事会多元化政策。</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本公司亦已采取，并继续采取措施促进各级员工团队之多元化。所有合资格雇员均享有平等之雇佣、培训及职业发展之机会，并无歧视。于本年度内，本公司员工总数中女性占比为19.1%。</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综上，公司已采取并将继续采取措施，包括但不限于物色各方面董事成员，持续推进公司董事会的多元化水平，董事会希望其女性成员比例至少维持在现有水平左右。为促进本公司管理层及雇员的组成多元化，本公司将在选聘雇员时适当考虑增加女性成员的比例，并在提拔管理层时适当考虑增加女性成员的比例。</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本公司每年检讨董事会多元化政策，以确保其持续有效，并符合监管规定及良好企业管治常规。董事会认为公司目前的董事会多元化政策及实施是有效的。</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其他请见本节“董事会下设专门委员会情况”相关内容。</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（八）核数师酬金</w:t>
              </w:r>
            </w:p>
            <w:p>
              <w:pPr>
                <w:ind w:firstLineChars="200" w:firstLine="420"/>
                <w:rPr>
                  <w:rFonts w:asciiTheme="minorEastAsia" w:eastAsiaTheme="minorEastAsia" w:hAnsiTheme="minorEastAsia"/>
                </w:rPr>
              </w:pPr>
              <w:r>
                <w:rPr>
                  <w:rFonts w:asciiTheme="minorEastAsia" w:eastAsiaTheme="minorEastAsia" w:hAnsiTheme="minorEastAsia" w:hint="eastAsia"/>
                </w:rPr>
                <w:t>详情请见“第七节重要事项”之“聘任、解聘会计师事务所情况”相关内容。</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（九）公司秘书</w:t>
              </w:r>
            </w:p>
            <w:p>
              <w:pPr>
                <w:ind w:firstLineChars="200" w:firstLine="420"/>
                <w:rPr>
                  <w:rFonts w:asciiTheme="minorEastAsia" w:eastAsiaTheme="minorEastAsia" w:hAnsiTheme="minorEastAsia"/>
                </w:rPr>
              </w:pPr>
              <w:r>
                <w:rPr>
                  <w:rFonts w:asciiTheme="minorEastAsia" w:eastAsiaTheme="minorEastAsia" w:hAnsiTheme="minorEastAsia" w:hint="eastAsia"/>
                </w:rPr>
                <w:t>经公司202</w:t>
              </w:r>
              <w:r>
                <w:rPr>
                  <w:rFonts w:asciiTheme="minorEastAsia" w:eastAsiaTheme="minorEastAsia" w:hAnsiTheme="minorEastAsia"/>
                </w:rPr>
                <w:t>3</w:t>
              </w:r>
              <w:r>
                <w:rPr>
                  <w:rFonts w:asciiTheme="minorEastAsia" w:eastAsiaTheme="minorEastAsia" w:hAnsiTheme="minorEastAsia" w:hint="eastAsia"/>
                </w:rPr>
                <w:t>年</w:t>
              </w:r>
              <w:r>
                <w:rPr>
                  <w:rFonts w:asciiTheme="minorEastAsia" w:eastAsiaTheme="minorEastAsia" w:hAnsiTheme="minorEastAsia"/>
                </w:rPr>
                <w:t>6</w:t>
              </w:r>
              <w:r>
                <w:rPr>
                  <w:rFonts w:asciiTheme="minorEastAsia" w:eastAsiaTheme="minorEastAsia" w:hAnsiTheme="minorEastAsia" w:hint="eastAsia"/>
                </w:rPr>
                <w:t>月</w:t>
              </w:r>
              <w:r>
                <w:rPr>
                  <w:rFonts w:asciiTheme="minorEastAsia" w:eastAsiaTheme="minorEastAsia" w:hAnsiTheme="minorEastAsia"/>
                </w:rPr>
                <w:t>30</w:t>
              </w:r>
              <w:r>
                <w:rPr>
                  <w:rFonts w:asciiTheme="minorEastAsia" w:eastAsiaTheme="minorEastAsia" w:hAnsiTheme="minorEastAsia" w:hint="eastAsia"/>
                </w:rPr>
                <w:t>日召开的第九届董事会第一次会议审议批准，聘任黄霄龙先生为公司秘书。</w:t>
              </w:r>
            </w:p>
            <w:p>
              <w:pPr>
                <w:ind w:firstLineChars="200" w:firstLine="420"/>
                <w:rPr>
                  <w:rFonts w:asciiTheme="minorEastAsia" w:eastAsiaTheme="minorEastAsia" w:hAnsiTheme="minorEastAsia"/>
                </w:rPr>
              </w:pPr>
              <w:r>
                <w:rPr>
                  <w:rFonts w:asciiTheme="minorEastAsia" w:eastAsiaTheme="minorEastAsia" w:hAnsiTheme="minorEastAsia" w:hint="eastAsia"/>
                </w:rPr>
                <w:t>黄霄龙先生长期从事上市公司治理和投资者关系管理工作，拥有法律硕士学位，同时拥有正高级经济师职称，在学术水平、专业资格和工作经验等方面，足以履行公司秘书职责。同时，黄先生亦是公司高级管理人员，能充分了解公司日常经营状况，以确保与董事及其他高级管理人员保持有效沟通、协助董事会加强公司治理机制建设。</w:t>
              </w:r>
            </w:p>
            <w:p>
              <w:pPr>
                <w:ind w:firstLineChars="200" w:firstLine="420"/>
                <w:rPr>
                  <w:rFonts w:asciiTheme="minorEastAsia" w:eastAsiaTheme="minorEastAsia" w:hAnsiTheme="minorEastAsia"/>
                </w:rPr>
              </w:pPr>
              <w:r>
                <w:rPr>
                  <w:rFonts w:asciiTheme="minorEastAsia" w:eastAsiaTheme="minorEastAsia" w:hAnsiTheme="minorEastAsia" w:hint="eastAsia"/>
                </w:rPr>
                <w:t>截至本报告披露日，委任黄伟超先生为本公司联席公司秘书。</w:t>
              </w:r>
            </w:p>
            <w:p>
              <w:pPr>
                <w:ind w:firstLineChars="200" w:firstLine="420"/>
                <w:rPr>
                  <w:rFonts w:asciiTheme="minorEastAsia" w:eastAsiaTheme="minorEastAsia" w:hAnsiTheme="minorEastAsia"/>
                </w:rPr>
              </w:pPr>
              <w:r>
                <w:rPr>
                  <w:rFonts w:asciiTheme="minorEastAsia" w:eastAsiaTheme="minorEastAsia" w:hAnsiTheme="minorEastAsia" w:hint="eastAsia"/>
                </w:rPr>
                <w:t>《公司章程》中具体载列了公司秘书的职责。</w:t>
              </w:r>
            </w:p>
            <w:p>
              <w:pPr>
                <w:ind w:firstLineChars="200" w:firstLine="420"/>
                <w:rPr>
                  <w:rFonts w:asciiTheme="minorEastAsia" w:eastAsiaTheme="minorEastAsia" w:hAnsiTheme="minorEastAsia"/>
                </w:rPr>
              </w:pPr>
              <w:r>
                <w:rPr>
                  <w:rFonts w:asciiTheme="minorEastAsia" w:eastAsiaTheme="minorEastAsia" w:hAnsiTheme="minorEastAsia" w:hint="eastAsia"/>
                </w:rPr>
                <w:t>报告期内，黄霄龙先生及黄伟超先生均参加了上市地监管机构组织的累计超过1</w:t>
              </w:r>
              <w:r>
                <w:rPr>
                  <w:rFonts w:asciiTheme="minorEastAsia" w:eastAsiaTheme="minorEastAsia" w:hAnsiTheme="minorEastAsia"/>
                </w:rPr>
                <w:t>5</w:t>
              </w:r>
              <w:r>
                <w:rPr>
                  <w:rFonts w:asciiTheme="minorEastAsia" w:eastAsiaTheme="minorEastAsia" w:hAnsiTheme="minorEastAsia" w:hint="eastAsia"/>
                </w:rPr>
                <w:t>小时的相关培训。</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（十）股东权利</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《公司章程》中具体载列了股东提议召开股东大会、向董事会提出查询以及在股东大会上提出建议的程序：</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符合条件的公司股东，在提供足够的联络资料后，可以以下列方式提议召开临时股东大会：（1）以书面形式提请董事会召开，并阐明会议的议题，董事会在规定的时间内应给予股东书面反馈意见；（2）若董事会不同意召开，股东有权向监事会以书面形式提议召开；（3）若监事会未在规定期限内发出股东大会通知，视为监事会不召集和主持，股东可以自行召集和主持临时股东大会。股东因董事会、监事会未应前述要求举行临时股东大会而自行召集并举行的，其所发生的合理费用由公司承担；公司董事会和公司秘书将配合组织、召集股东大会相关事宜。</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股东向公司提交相关身份证明材料和足够的联络资料后，可以向公司董事会查询公司股东名册、董事、监事和高级管理人员个人资料、股东大会记录、董事会会议决议、监事会会议决议、财务会计报告以及公司债券存根等资料。</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符合条件的股东可以在股东大会召开十日前提出临时提案并书面提交公司股东大会召集人，召集人应当在收到提案后二日内发出股东大会补充通知，公告临时提案的内容。公司全体董事、</w:t>
              </w:r>
              <w:r>
                <w:rPr>
                  <w:rFonts w:asciiTheme="minorEastAsia" w:eastAsiaTheme="minorEastAsia" w:hAnsiTheme="minorEastAsia" w:hint="eastAsia"/>
                </w:rPr>
                <w:lastRenderedPageBreak/>
                <w:t>监事和高级管理人员应当参加会议，除涉及公司商业秘密外，董事、监事、高级管理人员应当对股东的质询和建议作出解释或说明。</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（十一）投资者关系</w:t>
              </w:r>
            </w:p>
            <w:p>
              <w:pPr>
                <w:ind w:firstLineChars="200" w:firstLine="420"/>
                <w:rPr>
                  <w:rFonts w:asciiTheme="minorEastAsia" w:eastAsiaTheme="minorEastAsia" w:hAnsiTheme="minorEastAsia"/>
                </w:rPr>
              </w:pPr>
              <w:r>
                <w:rPr>
                  <w:rFonts w:asciiTheme="minorEastAsia" w:eastAsiaTheme="minorEastAsia" w:hAnsiTheme="minorEastAsia" w:hint="eastAsia"/>
                </w:rPr>
                <w:t>1．不断完善投资者关系管理制度</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根据上市地监管规定，结合日常工作实践，公司制定并完善了《投资者关系管理工作制度》《信息披露管理制度》等投资者关系管理制度，规范开展投资者关系管理工作。</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公司对《公司章程》等内部管理制度不时进行修订及完善，有关修订详情请见本节“公司治理相关情况说明”相关内容。</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2．积极与投资者进行沟通</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公司始终坚持公开、公平、公正的原则，诚恳地与投资者沟通交流。</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报告期内，公司采取路演、反路演等方式，面对面地向投资者汇报经营情况，同时了解投资者及资本市场对公司的意见和建议。积极召开定期报告业绩说明会，主动就相关重大事项召开投资者说明会。除上证e互动、投资者说明会等常规渠道以外，通过电话、电邮、微信等方式回应投资者投诉、意见，或向投资者征求意见建议并改进，与分析师、基金经理和投资者沟通交流2</w:t>
              </w:r>
              <w:r>
                <w:rPr>
                  <w:rFonts w:asciiTheme="minorEastAsia" w:eastAsiaTheme="minorEastAsia" w:hAnsiTheme="minorEastAsia"/>
                </w:rPr>
                <w:t>900</w:t>
              </w:r>
              <w:r>
                <w:rPr>
                  <w:rFonts w:asciiTheme="minorEastAsia" w:eastAsiaTheme="minorEastAsia" w:hAnsiTheme="minorEastAsia" w:hint="eastAsia"/>
                </w:rPr>
                <w:t>余人次，实现了与资本市场的双向畅通沟通交流。本公司已检讨了上述机制的实施及有效性，认为上述机制能够确保公司与投资者及股东的有效沟通。</w:t>
              </w:r>
            </w:p>
            <w:p>
              <w:pPr>
                <w:ind w:firstLineChars="200" w:firstLine="420"/>
                <w:jc w:val="both"/>
                <w:rPr>
                  <w:rFonts w:asciiTheme="minorEastAsia" w:eastAsiaTheme="minorEastAsia" w:hAnsiTheme="minorEastAsia"/>
                </w:rPr>
              </w:pPr>
              <w:r>
                <w:rPr>
                  <w:rFonts w:asciiTheme="minorEastAsia" w:eastAsiaTheme="minorEastAsia" w:hAnsiTheme="minorEastAsia" w:hint="eastAsia"/>
                </w:rPr>
                <w:t>公司重视通过股东大会与股东沟通，采用网络投票等多种方式鼓励中小股东积极参加股东大会。公司相关董事（包括独立非执行董事）、监事和高级管理人员应出席股东大会。在股东大会上，每项实际独立事项均单独提出议案，所有议案均以投票方式进行表决。</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（十二）信息披露</w:t>
              </w:r>
            </w:p>
            <w:p>
              <w:pPr>
                <w:ind w:firstLineChars="200" w:firstLine="420"/>
                <w:rPr>
                  <w:rFonts w:asciiTheme="minorEastAsia" w:eastAsiaTheme="minorEastAsia" w:hAnsiTheme="minorEastAsia"/>
                </w:rPr>
              </w:pPr>
              <w:r>
                <w:rPr>
                  <w:rFonts w:asciiTheme="minorEastAsia" w:eastAsiaTheme="minorEastAsia" w:hAnsiTheme="minorEastAsia" w:hint="eastAsia"/>
                </w:rPr>
                <w:t>公司高度重视信息披露的真实性、准确性、完整性、及时性和公平性，确保披露信息简明清晰，通俗易懂，并遵守香港上市规则的披露规定。公司建立了规范、有效的信息收集、整理、审定、披露和反馈控制程序，确保信息披露工作符合上市地监管规定，保障投资者合理获悉公司信息的需要。</w:t>
              </w:r>
            </w:p>
            <w:p>
              <w:pPr>
                <w:ind w:firstLineChars="200" w:firstLine="420"/>
                <w:rPr>
                  <w:rFonts w:asciiTheme="minorEastAsia" w:eastAsiaTheme="minorEastAsia" w:hAnsiTheme="minorEastAsia"/>
                </w:rPr>
              </w:pPr>
              <w:r>
                <w:rPr>
                  <w:rFonts w:asciiTheme="minorEastAsia" w:eastAsiaTheme="minorEastAsia" w:hAnsiTheme="minorEastAsia" w:hint="eastAsia"/>
                </w:rPr>
                <w:t>公司财务总监必须确保披露的财务报表及相关内容，按照适用的会计准则及有关法规要求真实、准确、完整的反映本公司的业绩和财务状况。通过公司网站，公司实现了定期报告、临时性公告与交易所网站及法定媒体同步披露，并向投资者及时提供公司动态、公司治理制度的完善情况以及行业信息。</w:t>
              </w:r>
            </w:p>
            <w:p>
              <w:pPr>
                <w:ind w:firstLineChars="200" w:firstLine="420"/>
                <w:rPr>
                  <w:rFonts w:asciiTheme="minorEastAsia" w:eastAsiaTheme="minorEastAsia" w:hAnsiTheme="minorEastAsia"/>
                </w:rPr>
              </w:pPr>
              <w:r>
                <w:rPr>
                  <w:rFonts w:asciiTheme="minorEastAsia" w:eastAsiaTheme="minorEastAsia" w:hAnsiTheme="minorEastAsia" w:hint="eastAsia"/>
                </w:rPr>
                <w:t>针对拥有多地上市平台的实际情况，公司始终坚持“同步公平披露”的原则，使投资者能公平地了解公司的经营情况。</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（十三）风险管理与内部监控</w:t>
              </w:r>
            </w:p>
            <w:p>
              <w:pPr>
                <w:ind w:firstLineChars="200" w:firstLine="420"/>
                <w:rPr>
                  <w:rFonts w:asciiTheme="minorEastAsia" w:eastAsiaTheme="minorEastAsia" w:hAnsiTheme="minorEastAsia"/>
                </w:rPr>
              </w:pPr>
              <w:r>
                <w:rPr>
                  <w:rFonts w:asciiTheme="minorEastAsia" w:eastAsiaTheme="minorEastAsia" w:hAnsiTheme="minorEastAsia" w:hint="eastAsia"/>
                </w:rPr>
                <w:t>详情请见本节“十二、报告期内的内部控制制度建设及实施情况”相关内容。</w:t>
              </w:r>
            </w:p>
            <w:p>
              <w:pPr>
                <w:rPr>
                  <w:rFonts w:asciiTheme="minorEastAsia" w:eastAsiaTheme="minorEastAsia" w:hAnsiTheme="minorEastAsia"/>
                </w:rPr>
              </w:pPr>
              <w:r>
                <w:rPr>
                  <w:rFonts w:asciiTheme="minorEastAsia" w:eastAsiaTheme="minorEastAsia" w:hAnsiTheme="minorEastAsia" w:hint="eastAsia"/>
                </w:rPr>
                <w:t xml:space="preserve"> </w:t>
              </w:r>
            </w:p>
            <w:p>
              <w:pPr>
                <w:ind w:firstLineChars="200" w:firstLine="420"/>
                <w:rPr>
                  <w:rFonts w:asciiTheme="minorEastAsia" w:eastAsiaTheme="minorEastAsia" w:hAnsiTheme="minorEastAsia"/>
                </w:rPr>
              </w:pPr>
              <w:r>
                <w:rPr>
                  <w:rFonts w:asciiTheme="minorEastAsia" w:eastAsiaTheme="minorEastAsia" w:hAnsiTheme="minorEastAsia" w:hint="eastAsia"/>
                </w:rPr>
                <w:t>（十四）董事关于编制公司账目责任的确认</w:t>
              </w:r>
            </w:p>
            <w:p>
              <w:pPr>
                <w:ind w:firstLineChars="200" w:firstLine="420"/>
                <w:rPr>
                  <w:rFonts w:asciiTheme="minorEastAsia" w:eastAsiaTheme="minorEastAsia" w:hAnsiTheme="minorEastAsia"/>
                </w:rPr>
              </w:pPr>
              <w:r>
                <w:rPr>
                  <w:rFonts w:asciiTheme="minorEastAsia" w:eastAsiaTheme="minorEastAsia" w:hAnsiTheme="minorEastAsia" w:hint="eastAsia"/>
                </w:rPr>
                <w:t>全体董事确认，彼等有责任编制截至2024年12月31日止年度的账目，真实公允地反映公司财务状况、经营业绩及现金流量状况。</w:t>
              </w:r>
            </w:p>
            <w:p>
              <w:pPr>
                <w:rPr>
                  <w:rFonts w:asciiTheme="minorEastAsia" w:eastAsiaTheme="minorEastAsia" w:hAnsiTheme="minorEastAsia"/>
                </w:rPr>
              </w:pPr>
            </w:p>
            <w:p>
              <w:pPr>
                <w:ind w:firstLineChars="200" w:firstLine="420"/>
                <w:rPr>
                  <w:rFonts w:asciiTheme="minorEastAsia" w:eastAsiaTheme="minorEastAsia" w:hAnsiTheme="minorEastAsia"/>
                </w:rPr>
              </w:pPr>
              <w:r>
                <w:rPr>
                  <w:rFonts w:asciiTheme="minorEastAsia" w:eastAsiaTheme="minorEastAsia" w:hAnsiTheme="minorEastAsia" w:hint="eastAsia"/>
                </w:rPr>
                <w:t>（十五）企业文化</w:t>
              </w:r>
            </w:p>
            <w:p>
              <w:pPr>
                <w:ind w:firstLineChars="200" w:firstLine="420"/>
                <w:rPr>
                  <w:rFonts w:asciiTheme="minorEastAsia" w:eastAsiaTheme="minorEastAsia" w:hAnsiTheme="minorEastAsia"/>
                </w:rPr>
              </w:pPr>
              <w:r>
                <w:rPr>
                  <w:rFonts w:asciiTheme="minorEastAsia" w:eastAsiaTheme="minorEastAsia" w:hAnsiTheme="minorEastAsia" w:hint="eastAsia"/>
                </w:rPr>
                <w:t>公司企业文化包含公司使命、愿景、核心价值观和企业目标四个部分。公司使命为：创造绿色动能</w:t>
              </w:r>
              <w:r>
                <w:rPr>
                  <w:rFonts w:asciiTheme="minorEastAsia" w:eastAsiaTheme="minorEastAsia" w:hAnsiTheme="minorEastAsia"/>
                </w:rPr>
                <w:t xml:space="preserve"> 引领能源变革。公司愿景为：建设清洁能源供应商和世界一流企业。公司核心价值观为：安全、创新、绿色、担当、卓越。公司目标为：建设国际一流、可持续发展的清洁能源引领示范企业。</w:t>
              </w:r>
            </w:p>
            <w:p>
              <w:pPr>
                <w:ind w:firstLineChars="200" w:firstLine="420"/>
              </w:pPr>
              <w:r>
                <w:rPr>
                  <w:rFonts w:hint="eastAsia"/>
                </w:rPr>
                <w:t>本公司认为健康的企业文化是良好企业管治的核心，所有董事以身作则，致力推广企业文化。本公司注重企业文化的传达及推动，遵行问责与检讨，让所有管理层及员工了解企业文化的核心价值及应有的行为。本公司已将企业文化的宣传加入各类员工培训材料、工作汇报流程、主题讨论等环节中，制定及强化员工行为守则及人才管理制度，加强及完善管理层与员工之间的沟通机制，通过各种途径了解员工对企业文化的认同度或发现的问题 。</w:t>
              </w:r>
            </w:p>
            <w:p>
              <w:pPr>
                <w:ind w:firstLineChars="200" w:firstLine="420"/>
              </w:pPr>
              <w:r>
                <w:rPr>
                  <w:rFonts w:hint="eastAsia"/>
                </w:rPr>
                <w:lastRenderedPageBreak/>
                <w:t>本公司已制定反对贪污和受理举报的制度，鼓励员工对贪污贿赂、徇私舞弊等违纪违法行为进行举报，对举报反映的问题线索及时组织核查，规范员工从业行为。本公司也会在日常员工培训中加大反贪污宣传，筑牢思想防线，强化民主监督，营造风清气正的发展环境。</w:t>
              </w:r>
            </w:p>
            <w:p>
              <w:pPr>
                <w:rPr>
                  <w:rFonts w:ascii="Calibri" w:hAnsi="Calibri"/>
                  <w:highlight w:val="yellow"/>
                </w:rPr>
              </w:pPr>
            </w:p>
          </w:sdtContent>
        </w:sdt>
        <w:p>
          <w:pPr>
            <w:rPr>
              <w:szCs w:val="21"/>
            </w:rPr>
          </w:pPr>
        </w:p>
      </w:sdtContent>
    </w:sdt>
    <w:p>
      <w:pPr>
        <w:rPr>
          <w:szCs w:val="21"/>
        </w:rPr>
      </w:pPr>
      <w:r>
        <w:rPr>
          <w:szCs w:val="21"/>
        </w:rPr>
        <w:br w:type="page"/>
      </w:r>
    </w:p>
    <w:p>
      <w:pPr>
        <w:pStyle w:val="1"/>
        <w:numPr>
          <w:ilvl w:val="0"/>
          <w:numId w:val="3"/>
        </w:numPr>
        <w:rPr>
          <w:u w:val="single"/>
        </w:rPr>
      </w:pPr>
      <w:bookmarkStart w:id="138" w:name="_Hlk40625199"/>
      <w:bookmarkStart w:id="139" w:name="_Hlk184285495"/>
      <w:bookmarkStart w:id="140" w:name="_Hlk89446160"/>
      <w:bookmarkStart w:id="141" w:name="_Hlk183089680"/>
      <w:bookmarkStart w:id="142" w:name="_Hlk89182953"/>
      <w:bookmarkStart w:id="143" w:name="_Hlk40625163"/>
      <w:bookmarkStart w:id="144" w:name="_Hlk89184114"/>
      <w:bookmarkStart w:id="145" w:name="_Hlk89182759"/>
      <w:bookmarkStart w:id="146" w:name="_Hlk56780992"/>
      <w:bookmarkStart w:id="147" w:name="_Toc193794893"/>
      <w:bookmarkStart w:id="148" w:name="_Toc184741578"/>
      <w:bookmarkStart w:id="149" w:name="_Hlk189809085"/>
      <w:bookmarkEnd w:id="138"/>
      <w:bookmarkEnd w:id="139"/>
      <w:bookmarkEnd w:id="140"/>
      <w:bookmarkEnd w:id="141"/>
      <w:bookmarkEnd w:id="142"/>
      <w:bookmarkEnd w:id="143"/>
      <w:bookmarkEnd w:id="144"/>
      <w:bookmarkEnd w:id="145"/>
      <w:bookmarkEnd w:id="146"/>
      <w:r>
        <w:rPr>
          <w:rFonts w:hint="eastAsia"/>
        </w:rPr>
        <w:lastRenderedPageBreak/>
        <w:t>环境与社会责任</w:t>
      </w:r>
      <w:bookmarkEnd w:id="147"/>
    </w:p>
    <w:p>
      <w:pPr>
        <w:pStyle w:val="afffffffffffff8"/>
        <w:numPr>
          <w:ilvl w:val="0"/>
          <w:numId w:val="62"/>
        </w:numPr>
        <w:tabs>
          <w:tab w:val="left" w:pos="426"/>
        </w:tabs>
        <w:ind w:left="425" w:hanging="425"/>
        <w:rPr>
          <w:color w:val="000000" w:themeColor="text1"/>
        </w:rPr>
      </w:pPr>
      <w:bookmarkStart w:id="150" w:name="_Hlk89187025"/>
      <w:bookmarkStart w:id="151" w:name="_Hlk89187063"/>
      <w:bookmarkEnd w:id="148"/>
      <w:r>
        <w:rPr>
          <w:rFonts w:hint="eastAsia"/>
          <w:color w:val="000000" w:themeColor="text1"/>
        </w:rPr>
        <w:t>环境</w:t>
      </w:r>
      <w:r>
        <w:rPr>
          <w:color w:val="000000" w:themeColor="text1"/>
        </w:rPr>
        <w:t>信息情况</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8"/>
        <w:gridCol w:w="4355"/>
      </w:tblGrid>
      <w:tr>
        <w:sdt>
          <w:sdtPr>
            <w:rPr>
              <w:color w:val="000000" w:themeColor="text1"/>
            </w:rPr>
            <w:tag w:val="_PLD_5357166cc0f74e2181ffc731d0410fde"/>
            <w:id w:val="340365120"/>
          </w:sdtPr>
          <w:sdtContent>
            <w:tc>
              <w:tcPr>
                <w:tcW w:w="2532" w:type="pct"/>
                <w:shd w:val="clear" w:color="auto" w:fill="auto"/>
              </w:tcPr>
              <w:p>
                <w:pPr>
                  <w:widowControl w:val="0"/>
                  <w:jc w:val="both"/>
                  <w:rPr>
                    <w:color w:val="000000" w:themeColor="text1"/>
                  </w:rPr>
                </w:pPr>
                <w:r>
                  <w:rPr>
                    <w:rFonts w:hint="eastAsia"/>
                    <w:color w:val="000000" w:themeColor="text1"/>
                  </w:rPr>
                  <w:t>是否建立环境保护相关机制</w:t>
                </w:r>
              </w:p>
            </w:tc>
          </w:sdtContent>
        </w:sdt>
        <w:sdt>
          <w:sdtPr>
            <w:rPr>
              <w:rFonts w:hint="eastAsia"/>
              <w:color w:val="000000" w:themeColor="text1"/>
            </w:rPr>
            <w:alias w:val="是否建立环境保护相关机制"/>
            <w:tag w:val="_GBC_db4b394c15a64e53bc9eb2ef5d2d583b"/>
            <w:id w:val="-432290242"/>
            <w:comboBox>
              <w:listItem w:displayText="是" w:value="是"/>
              <w:listItem w:displayText="否" w:value="否"/>
            </w:comboBox>
          </w:sdtPr>
          <w:sdtContent>
            <w:tc>
              <w:tcPr>
                <w:tcW w:w="2468" w:type="pct"/>
                <w:shd w:val="clear" w:color="auto" w:fill="auto"/>
              </w:tcPr>
              <w:p>
                <w:pPr>
                  <w:widowControl w:val="0"/>
                  <w:rPr>
                    <w:color w:val="000000" w:themeColor="text1"/>
                  </w:rPr>
                </w:pPr>
                <w:r>
                  <w:rPr>
                    <w:rFonts w:hint="eastAsia"/>
                    <w:color w:val="000000" w:themeColor="text1"/>
                  </w:rPr>
                  <w:t>是</w:t>
                </w:r>
              </w:p>
            </w:tc>
          </w:sdtContent>
        </w:sdt>
      </w:tr>
      <w:tr>
        <w:tc>
          <w:tcPr>
            <w:tcW w:w="2532" w:type="pct"/>
            <w:shd w:val="clear" w:color="auto" w:fill="auto"/>
          </w:tcPr>
          <w:p>
            <w:pPr>
              <w:widowControl w:val="0"/>
              <w:jc w:val="both"/>
              <w:rPr>
                <w:color w:val="000000" w:themeColor="text1"/>
              </w:rPr>
            </w:pPr>
            <w:sdt>
              <w:sdtPr>
                <w:rPr>
                  <w:color w:val="000000" w:themeColor="text1"/>
                </w:rPr>
                <w:tag w:val="_PLD_cc2834f9480347efb3c6049a723db89d"/>
                <w:id w:val="-1906362317"/>
              </w:sdtPr>
              <w:sdtContent>
                <w:r>
                  <w:rPr>
                    <w:rFonts w:hint="eastAsia"/>
                    <w:color w:val="000000" w:themeColor="text1"/>
                  </w:rPr>
                  <w:t>报告期内投入环保资金</w:t>
                </w:r>
              </w:sdtContent>
            </w:sdt>
            <w:r>
              <w:rPr>
                <w:rFonts w:hint="eastAsia"/>
                <w:color w:val="000000" w:themeColor="text1"/>
              </w:rPr>
              <w:t>（单位：</w:t>
            </w:r>
            <w:sdt>
              <w:sdtPr>
                <w:rPr>
                  <w:rFonts w:hint="eastAsia"/>
                  <w:color w:val="000000" w:themeColor="text1"/>
                </w:rPr>
                <w:alias w:val="单位：报告期内投入环保资金"/>
                <w:tag w:val="_GBC_23fc355d243f4962992b20f0d6511069"/>
                <w:id w:val="1442029699"/>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2468" w:type="pct"/>
            <w:shd w:val="clear" w:color="auto" w:fill="auto"/>
          </w:tcPr>
          <w:p>
            <w:pPr>
              <w:widowControl w:val="0"/>
              <w:rPr>
                <w:color w:val="000000" w:themeColor="text1"/>
              </w:rPr>
            </w:pPr>
            <w:r>
              <w:rPr>
                <w:rFonts w:hint="eastAsia"/>
                <w:color w:val="000000" w:themeColor="text1"/>
              </w:rPr>
              <w:t>66,787</w:t>
            </w:r>
          </w:p>
        </w:tc>
      </w:tr>
    </w:tbl>
    <w:p>
      <w:pPr>
        <w:rPr>
          <w:color w:val="000000" w:themeColor="text1"/>
        </w:rPr>
      </w:pPr>
    </w:p>
    <w:p>
      <w:pPr>
        <w:pStyle w:val="affffffff3"/>
        <w:numPr>
          <w:ilvl w:val="0"/>
          <w:numId w:val="63"/>
        </w:numPr>
        <w:ind w:left="425" w:hanging="425"/>
        <w:rPr>
          <w:rFonts w:ascii="宋体" w:hAnsi="宋体"/>
          <w:color w:val="000000" w:themeColor="text1"/>
        </w:rPr>
      </w:pPr>
      <w:r>
        <w:rPr>
          <w:rFonts w:ascii="宋体" w:hAnsi="宋体"/>
          <w:color w:val="000000" w:themeColor="text1"/>
        </w:rPr>
        <w:t>属于环境保护部门公布的重点排污单位的公司及其</w:t>
      </w:r>
      <w:r>
        <w:rPr>
          <w:rFonts w:ascii="宋体" w:hAnsi="宋体" w:hint="eastAsia"/>
          <w:color w:val="000000" w:themeColor="text1"/>
        </w:rPr>
        <w:t>主要</w:t>
      </w:r>
      <w:r>
        <w:rPr>
          <w:rFonts w:ascii="宋体" w:hAnsi="宋体"/>
          <w:color w:val="000000" w:themeColor="text1"/>
        </w:rPr>
        <w:t>子公司的环保情况说明</w:t>
      </w:r>
    </w:p>
    <w:sdt>
      <w:sdtPr>
        <w:rPr>
          <w:rFonts w:hint="eastAsia"/>
          <w:color w:val="000000" w:themeColor="text1"/>
        </w:rPr>
        <w:alias w:val="是否适用：重点排污单位环保情况[双击切换]"/>
        <w:tag w:val="_GBC_40b93d2f11a54d2c995a8c41cdee40c4"/>
        <w:id w:val="423996671"/>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MACROBUTTON  SnrToggleCheckbox √适用</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affffffff5"/>
        <w:numPr>
          <w:ilvl w:val="0"/>
          <w:numId w:val="64"/>
        </w:numPr>
        <w:rPr>
          <w:rFonts w:ascii="宋体" w:hAnsi="宋体"/>
          <w:color w:val="000000" w:themeColor="text1"/>
        </w:rPr>
      </w:pPr>
      <w:r>
        <w:rPr>
          <w:rFonts w:ascii="宋体" w:hAnsi="宋体" w:hint="eastAsia"/>
          <w:color w:val="000000" w:themeColor="text1"/>
        </w:rPr>
        <w:t>排污</w:t>
      </w:r>
      <w:r>
        <w:rPr>
          <w:rFonts w:ascii="宋体" w:hAnsi="宋体"/>
          <w:color w:val="000000" w:themeColor="text1"/>
        </w:rPr>
        <w:t>信息</w:t>
      </w:r>
    </w:p>
    <w:sdt>
      <w:sdtPr>
        <w:rPr>
          <w:rFonts w:ascii="宋体" w:hAnsi="宋体" w:hint="eastAsia"/>
          <w:color w:val="000000" w:themeColor="text1"/>
        </w:rPr>
        <w:alias w:val="是否适用：排污信息[双击切换]"/>
        <w:tag w:val="_GBC_c1cef0b525dc4a0e9630fcb580d743be"/>
        <w:id w:val="306594613"/>
        <w:placeholder>
          <w:docPart w:val="GBC22222222222222222222222222222"/>
        </w:placeholder>
      </w:sdtPr>
      <w:sdtContent>
        <w:p>
          <w:pPr>
            <w:pStyle w:val="affffffff7"/>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rFonts w:hint="eastAsia"/>
          <w:color w:val="000000" w:themeColor="text1"/>
          <w:szCs w:val="24"/>
        </w:rPr>
        <w:alias w:val="排污信息"/>
        <w:tag w:val="_GBC_ddafe40d844342a78bc0ed0326232a03"/>
        <w:id w:val="-1555920775"/>
        <w:placeholder>
          <w:docPart w:val="GBC22222222222222222222222222222"/>
        </w:placeholder>
      </w:sdtPr>
      <w:sdtContent>
        <w:p>
          <w:pPr>
            <w:pStyle w:val="affffffff9"/>
            <w:ind w:firstLineChars="200" w:firstLine="420"/>
            <w:rPr>
              <w:color w:val="000000" w:themeColor="text1"/>
            </w:rPr>
          </w:pPr>
          <w:r>
            <w:rPr>
              <w:rFonts w:hint="eastAsia"/>
              <w:color w:val="000000" w:themeColor="text1"/>
            </w:rPr>
            <w:t>本集团严格遵守《中华人民共和国环境保护法》《中华人民共和国大气污染防治法》《中华人民共和国水污染防治法》《中华人民共和国固体废物污染环境防治法》《中华人民共和国环境影响评价法》等法律法规要求，完善环保管理体系，强化源头治理，</w:t>
          </w:r>
          <w:r>
            <w:rPr>
              <w:color w:val="000000" w:themeColor="text1"/>
            </w:rPr>
            <w:t>积极构建资源节约</w:t>
          </w:r>
          <w:r>
            <w:rPr>
              <w:rFonts w:hint="eastAsia"/>
              <w:color w:val="000000" w:themeColor="text1"/>
            </w:rPr>
            <w:t>、</w:t>
          </w:r>
          <w:r>
            <w:rPr>
              <w:color w:val="000000" w:themeColor="text1"/>
            </w:rPr>
            <w:t>环境友好型企</w:t>
          </w:r>
          <w:r>
            <w:rPr>
              <w:rFonts w:hint="eastAsia"/>
              <w:color w:val="000000" w:themeColor="text1"/>
            </w:rPr>
            <w:t>业。报告期内，本集团未发生重大环境污染事件。</w:t>
          </w:r>
        </w:p>
        <w:p>
          <w:pPr>
            <w:ind w:firstLineChars="200" w:firstLine="420"/>
            <w:jc w:val="both"/>
            <w:rPr>
              <w:color w:val="000000" w:themeColor="text1"/>
            </w:rPr>
          </w:pPr>
          <w:r>
            <w:rPr>
              <w:rFonts w:hint="eastAsia"/>
              <w:color w:val="000000" w:themeColor="text1"/>
            </w:rPr>
            <w:t>2024年，</w:t>
          </w:r>
          <w:r>
            <w:rPr>
              <w:color w:val="000000" w:themeColor="text1"/>
            </w:rPr>
            <w:t>本集团所属</w:t>
          </w:r>
          <w:r>
            <w:rPr>
              <w:rFonts w:hint="eastAsia"/>
              <w:color w:val="000000" w:themeColor="text1"/>
            </w:rPr>
            <w:t>排污单位污染治理设施完备、运行稳定，主要污染物</w:t>
          </w:r>
          <w:r>
            <w:rPr>
              <w:color w:val="000000" w:themeColor="text1"/>
            </w:rPr>
            <w:t>化学需氧量（“COD”）、氨氮、二氧化硫（“SO</w:t>
          </w:r>
          <w:r>
            <w:rPr>
              <w:color w:val="000000" w:themeColor="text1"/>
              <w:vertAlign w:val="subscript"/>
            </w:rPr>
            <w:t>2</w:t>
          </w:r>
          <w:r>
            <w:rPr>
              <w:color w:val="000000" w:themeColor="text1"/>
            </w:rPr>
            <w:t>”）、氮氧化物（“NO</w:t>
          </w:r>
          <w:r>
            <w:rPr>
              <w:color w:val="000000" w:themeColor="text1"/>
              <w:vertAlign w:val="subscript"/>
            </w:rPr>
            <w:t>X</w:t>
          </w:r>
          <w:r>
            <w:rPr>
              <w:color w:val="000000" w:themeColor="text1"/>
            </w:rPr>
            <w:t>”）等均达标排放。</w:t>
          </w:r>
        </w:p>
        <w:p>
          <w:pPr>
            <w:ind w:firstLineChars="200" w:firstLine="420"/>
            <w:rPr>
              <w:color w:val="000000" w:themeColor="text1"/>
            </w:rPr>
          </w:pPr>
          <w:r>
            <w:rPr>
              <w:rFonts w:hint="eastAsia"/>
              <w:color w:val="000000" w:themeColor="text1"/>
            </w:rPr>
            <w:t>本集团各重点排污单位均申请了排污许可证，按要求排放污染物，符合相关环保标准要求，在污染物总量许可控制范围内。列入生态环境部门公布的</w:t>
          </w:r>
          <w:r>
            <w:rPr>
              <w:color w:val="000000" w:themeColor="text1"/>
            </w:rPr>
            <w:t>202</w:t>
          </w:r>
          <w:r>
            <w:rPr>
              <w:rFonts w:hint="eastAsia"/>
              <w:color w:val="000000" w:themeColor="text1"/>
            </w:rPr>
            <w:t>4</w:t>
          </w:r>
          <w:r>
            <w:rPr>
              <w:color w:val="000000" w:themeColor="text1"/>
            </w:rPr>
            <w:t>年重点排污单位环境信息如下：</w:t>
          </w:r>
        </w:p>
        <w:tbl>
          <w:tblPr>
            <w:tblStyle w:val="g6"/>
            <w:tblW w:w="906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1522"/>
            <w:gridCol w:w="1267"/>
            <w:gridCol w:w="1463"/>
            <w:gridCol w:w="2093"/>
            <w:gridCol w:w="2064"/>
          </w:tblGrid>
          <w:tr>
            <w:trPr>
              <w:trHeight w:val="285"/>
              <w:tblHeader/>
              <w:jc w:val="center"/>
            </w:trPr>
            <w:tc>
              <w:tcPr>
                <w:tcW w:w="660" w:type="dxa"/>
                <w:vAlign w:val="center"/>
              </w:tcPr>
              <w:p>
                <w:pPr>
                  <w:jc w:val="center"/>
                  <w:rPr>
                    <w:rFonts w:ascii="黑体" w:eastAsia="黑体" w:hAnsi="黑体"/>
                    <w:color w:val="000000" w:themeColor="text1"/>
                  </w:rPr>
                </w:pPr>
                <w:bookmarkStart w:id="152" w:name="_Hlk187681037"/>
                <w:r>
                  <w:rPr>
                    <w:rFonts w:ascii="黑体" w:eastAsia="黑体" w:hAnsi="黑体" w:hint="eastAsia"/>
                    <w:color w:val="000000" w:themeColor="text1"/>
                  </w:rPr>
                  <w:t>序号</w:t>
                </w:r>
              </w:p>
            </w:tc>
            <w:tc>
              <w:tcPr>
                <w:tcW w:w="1522" w:type="dxa"/>
                <w:vAlign w:val="center"/>
              </w:tcPr>
              <w:p>
                <w:pPr>
                  <w:jc w:val="center"/>
                  <w:rPr>
                    <w:rFonts w:ascii="黑体" w:eastAsia="黑体" w:hAnsi="黑体"/>
                    <w:color w:val="000000" w:themeColor="text1"/>
                  </w:rPr>
                </w:pPr>
                <w:r>
                  <w:rPr>
                    <w:rFonts w:ascii="黑体" w:eastAsia="黑体" w:hAnsi="黑体" w:hint="eastAsia"/>
                    <w:color w:val="000000" w:themeColor="text1"/>
                  </w:rPr>
                  <w:t>重点排污单位</w:t>
                </w:r>
              </w:p>
            </w:tc>
            <w:tc>
              <w:tcPr>
                <w:tcW w:w="1267" w:type="dxa"/>
                <w:vAlign w:val="center"/>
              </w:tcPr>
              <w:p>
                <w:pPr>
                  <w:jc w:val="center"/>
                  <w:rPr>
                    <w:rFonts w:ascii="黑体" w:eastAsia="黑体" w:hAnsi="黑体"/>
                    <w:color w:val="000000" w:themeColor="text1"/>
                  </w:rPr>
                </w:pPr>
                <w:r>
                  <w:rPr>
                    <w:rFonts w:ascii="黑体" w:eastAsia="黑体" w:hAnsi="黑体" w:hint="eastAsia"/>
                    <w:color w:val="000000" w:themeColor="text1"/>
                  </w:rPr>
                  <w:t>污染物类别</w:t>
                </w:r>
              </w:p>
            </w:tc>
            <w:tc>
              <w:tcPr>
                <w:tcW w:w="1463" w:type="dxa"/>
                <w:vAlign w:val="center"/>
              </w:tcPr>
              <w:p>
                <w:pPr>
                  <w:jc w:val="center"/>
                  <w:rPr>
                    <w:rFonts w:ascii="黑体" w:eastAsia="黑体" w:hAnsi="黑体"/>
                    <w:color w:val="000000" w:themeColor="text1"/>
                  </w:rPr>
                </w:pPr>
                <w:r>
                  <w:rPr>
                    <w:rFonts w:ascii="黑体" w:eastAsia="黑体" w:hAnsi="黑体" w:hint="eastAsia"/>
                    <w:color w:val="000000" w:themeColor="text1"/>
                  </w:rPr>
                  <w:t>主要污染物</w:t>
                </w:r>
              </w:p>
            </w:tc>
            <w:tc>
              <w:tcPr>
                <w:tcW w:w="2093" w:type="dxa"/>
                <w:vAlign w:val="center"/>
              </w:tcPr>
              <w:p>
                <w:pPr>
                  <w:jc w:val="center"/>
                  <w:rPr>
                    <w:rFonts w:ascii="黑体" w:eastAsia="黑体" w:hAnsi="黑体"/>
                    <w:color w:val="000000" w:themeColor="text1"/>
                  </w:rPr>
                </w:pPr>
                <w:r>
                  <w:rPr>
                    <w:rFonts w:ascii="黑体" w:eastAsia="黑体" w:hAnsi="黑体" w:hint="eastAsia"/>
                    <w:color w:val="000000" w:themeColor="text1"/>
                  </w:rPr>
                  <w:t>年许可排放量</w:t>
                </w:r>
              </w:p>
            </w:tc>
            <w:tc>
              <w:tcPr>
                <w:tcW w:w="2064" w:type="dxa"/>
                <w:vAlign w:val="center"/>
              </w:tcPr>
              <w:p>
                <w:pPr>
                  <w:jc w:val="center"/>
                  <w:rPr>
                    <w:rFonts w:ascii="黑体" w:eastAsia="黑体" w:hAnsi="黑体"/>
                    <w:color w:val="000000" w:themeColor="text1"/>
                  </w:rPr>
                </w:pPr>
                <w:r>
                  <w:rPr>
                    <w:rFonts w:ascii="黑体" w:eastAsia="黑体" w:hAnsi="黑体" w:hint="eastAsia"/>
                    <w:color w:val="000000" w:themeColor="text1"/>
                  </w:rPr>
                  <w:t>2024年实际排放量</w:t>
                </w:r>
              </w:p>
            </w:tc>
          </w:tr>
          <w:tr>
            <w:trPr>
              <w:trHeight w:val="241"/>
              <w:jc w:val="center"/>
            </w:trPr>
            <w:tc>
              <w:tcPr>
                <w:tcW w:w="660" w:type="dxa"/>
                <w:vAlign w:val="center"/>
              </w:tcPr>
              <w:p>
                <w:pPr>
                  <w:jc w:val="center"/>
                  <w:rPr>
                    <w:color w:val="000000" w:themeColor="text1"/>
                  </w:rPr>
                </w:pPr>
                <w:r>
                  <w:rPr>
                    <w:rFonts w:hint="eastAsia"/>
                    <w:color w:val="000000" w:themeColor="text1"/>
                  </w:rPr>
                  <w:t>1</w:t>
                </w:r>
              </w:p>
            </w:tc>
            <w:tc>
              <w:tcPr>
                <w:tcW w:w="1522" w:type="dxa"/>
                <w:vAlign w:val="center"/>
              </w:tcPr>
              <w:p>
                <w:pPr>
                  <w:rPr>
                    <w:color w:val="000000" w:themeColor="text1"/>
                  </w:rPr>
                </w:pPr>
                <w:r>
                  <w:rPr>
                    <w:color w:val="000000" w:themeColor="text1"/>
                  </w:rPr>
                  <w:t>南屯煤矿</w:t>
                </w:r>
              </w:p>
            </w:tc>
            <w:tc>
              <w:tcPr>
                <w:tcW w:w="1267" w:type="dxa"/>
                <w:vMerge w:val="restart"/>
                <w:vAlign w:val="center"/>
              </w:tcPr>
              <w:p>
                <w:pPr>
                  <w:jc w:val="center"/>
                  <w:rPr>
                    <w:color w:val="000000" w:themeColor="text1"/>
                  </w:rPr>
                </w:pPr>
                <w:r>
                  <w:rPr>
                    <w:color w:val="000000" w:themeColor="text1"/>
                  </w:rPr>
                  <w:t>生产废水</w:t>
                </w:r>
              </w:p>
              <w:p>
                <w:pPr>
                  <w:jc w:val="center"/>
                  <w:rPr>
                    <w:color w:val="000000" w:themeColor="text1"/>
                  </w:rPr>
                </w:pPr>
                <w:r>
                  <w:rPr>
                    <w:color w:val="000000" w:themeColor="text1"/>
                  </w:rPr>
                  <w:t>生活废水</w:t>
                </w:r>
              </w:p>
            </w:tc>
            <w:tc>
              <w:tcPr>
                <w:tcW w:w="1463" w:type="dxa"/>
                <w:vMerge w:val="restart"/>
                <w:vAlign w:val="center"/>
              </w:tcPr>
              <w:p>
                <w:pPr>
                  <w:rPr>
                    <w:color w:val="000000" w:themeColor="text1"/>
                  </w:rPr>
                </w:pPr>
                <w:r>
                  <w:rPr>
                    <w:color w:val="000000" w:themeColor="text1"/>
                  </w:rPr>
                  <w:t>COD</w:t>
                </w:r>
              </w:p>
              <w:p>
                <w:pPr>
                  <w:rPr>
                    <w:color w:val="000000" w:themeColor="text1"/>
                  </w:rPr>
                </w:pPr>
                <w:r>
                  <w:rPr>
                    <w:color w:val="000000" w:themeColor="text1"/>
                  </w:rPr>
                  <w:t>氨氮</w:t>
                </w:r>
              </w:p>
            </w:tc>
            <w:tc>
              <w:tcPr>
                <w:tcW w:w="2093" w:type="dxa"/>
                <w:vAlign w:val="center"/>
              </w:tcPr>
              <w:p>
                <w:pPr>
                  <w:rPr>
                    <w:color w:val="000000" w:themeColor="text1"/>
                  </w:rPr>
                </w:pPr>
                <w:r>
                  <w:rPr>
                    <w:color w:val="000000" w:themeColor="text1"/>
                  </w:rPr>
                  <w:t>COD</w:t>
                </w:r>
                <w:r>
                  <w:rPr>
                    <w:rFonts w:hint="eastAsia"/>
                    <w:color w:val="000000" w:themeColor="text1"/>
                  </w:rPr>
                  <w:t>：</w:t>
                </w:r>
                <w:r>
                  <w:rPr>
                    <w:color w:val="000000" w:themeColor="text1"/>
                  </w:rPr>
                  <w:t>128.4吨</w:t>
                </w:r>
              </w:p>
              <w:p>
                <w:pPr>
                  <w:rPr>
                    <w:color w:val="000000" w:themeColor="text1"/>
                  </w:rPr>
                </w:pPr>
                <w:r>
                  <w:rPr>
                    <w:color w:val="000000" w:themeColor="text1"/>
                  </w:rPr>
                  <w:t>氨氮</w:t>
                </w:r>
                <w:r>
                  <w:rPr>
                    <w:rFonts w:hint="eastAsia"/>
                    <w:color w:val="000000" w:themeColor="text1"/>
                  </w:rPr>
                  <w:t>：</w:t>
                </w:r>
                <w:r>
                  <w:rPr>
                    <w:color w:val="000000" w:themeColor="text1"/>
                  </w:rPr>
                  <w:t>6.4吨</w:t>
                </w:r>
              </w:p>
            </w:tc>
            <w:tc>
              <w:tcPr>
                <w:tcW w:w="2064" w:type="dxa"/>
                <w:vAlign w:val="center"/>
              </w:tcPr>
              <w:p>
                <w:pPr>
                  <w:rPr>
                    <w:color w:val="000000" w:themeColor="text1"/>
                  </w:rPr>
                </w:pPr>
                <w:r>
                  <w:rPr>
                    <w:color w:val="000000" w:themeColor="text1"/>
                  </w:rPr>
                  <w:t>COD</w:t>
                </w:r>
                <w:r>
                  <w:rPr>
                    <w:rFonts w:hint="eastAsia"/>
                    <w:color w:val="000000" w:themeColor="text1"/>
                  </w:rPr>
                  <w:t>：13.9吨</w:t>
                </w:r>
              </w:p>
              <w:p>
                <w:pPr>
                  <w:rPr>
                    <w:color w:val="000000" w:themeColor="text1"/>
                  </w:rPr>
                </w:pPr>
                <w:r>
                  <w:rPr>
                    <w:rFonts w:hint="eastAsia"/>
                    <w:color w:val="000000" w:themeColor="text1"/>
                  </w:rPr>
                  <w:t>氨氮：</w:t>
                </w:r>
                <w:r>
                  <w:rPr>
                    <w:color w:val="000000" w:themeColor="text1"/>
                  </w:rPr>
                  <w:t>0.</w:t>
                </w:r>
                <w:r>
                  <w:rPr>
                    <w:rFonts w:hint="eastAsia"/>
                    <w:color w:val="000000" w:themeColor="text1"/>
                  </w:rPr>
                  <w:t>13吨</w:t>
                </w:r>
              </w:p>
            </w:tc>
          </w:tr>
          <w:tr>
            <w:trPr>
              <w:trHeight w:val="474"/>
              <w:jc w:val="center"/>
            </w:trPr>
            <w:tc>
              <w:tcPr>
                <w:tcW w:w="660" w:type="dxa"/>
                <w:vAlign w:val="center"/>
              </w:tcPr>
              <w:p>
                <w:pPr>
                  <w:jc w:val="center"/>
                  <w:rPr>
                    <w:color w:val="000000" w:themeColor="text1"/>
                  </w:rPr>
                </w:pPr>
                <w:r>
                  <w:rPr>
                    <w:rFonts w:hint="eastAsia"/>
                    <w:color w:val="000000" w:themeColor="text1"/>
                  </w:rPr>
                  <w:t>2</w:t>
                </w:r>
              </w:p>
            </w:tc>
            <w:tc>
              <w:tcPr>
                <w:tcW w:w="1522" w:type="dxa"/>
                <w:vAlign w:val="center"/>
              </w:tcPr>
              <w:p>
                <w:pPr>
                  <w:rPr>
                    <w:color w:val="000000" w:themeColor="text1"/>
                  </w:rPr>
                </w:pPr>
                <w:r>
                  <w:rPr>
                    <w:rFonts w:hint="eastAsia"/>
                    <w:color w:val="000000" w:themeColor="text1"/>
                  </w:rPr>
                  <w:t>兴隆庄煤矿</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w:t>
                </w:r>
                <w:r>
                  <w:rPr>
                    <w:color w:val="000000" w:themeColor="text1"/>
                  </w:rPr>
                  <w:t>109吨</w:t>
                </w:r>
              </w:p>
              <w:p>
                <w:pPr>
                  <w:rPr>
                    <w:color w:val="000000" w:themeColor="text1"/>
                  </w:rPr>
                </w:pPr>
                <w:r>
                  <w:rPr>
                    <w:color w:val="000000" w:themeColor="text1"/>
                  </w:rPr>
                  <w:t>氨氮</w:t>
                </w:r>
                <w:r>
                  <w:rPr>
                    <w:rFonts w:hint="eastAsia"/>
                    <w:color w:val="000000" w:themeColor="text1"/>
                  </w:rPr>
                  <w:t>：</w:t>
                </w:r>
                <w:r>
                  <w:rPr>
                    <w:color w:val="000000" w:themeColor="text1"/>
                  </w:rPr>
                  <w:t>5.5吨</w:t>
                </w:r>
              </w:p>
            </w:tc>
            <w:tc>
              <w:tcPr>
                <w:tcW w:w="2064" w:type="dxa"/>
                <w:vAlign w:val="center"/>
              </w:tcPr>
              <w:p>
                <w:pPr>
                  <w:rPr>
                    <w:color w:val="000000" w:themeColor="text1"/>
                  </w:rPr>
                </w:pPr>
                <w:r>
                  <w:rPr>
                    <w:color w:val="000000" w:themeColor="text1"/>
                  </w:rPr>
                  <w:t>COD</w:t>
                </w:r>
                <w:r>
                  <w:rPr>
                    <w:rFonts w:hint="eastAsia"/>
                    <w:color w:val="000000" w:themeColor="text1"/>
                  </w:rPr>
                  <w:t>：0</w:t>
                </w:r>
                <w:r>
                  <w:rPr>
                    <w:color w:val="000000" w:themeColor="text1"/>
                  </w:rPr>
                  <w:t>.</w:t>
                </w:r>
                <w:r>
                  <w:rPr>
                    <w:rFonts w:hint="eastAsia"/>
                    <w:color w:val="000000" w:themeColor="text1"/>
                  </w:rPr>
                  <w:t>8</w:t>
                </w:r>
                <w:r>
                  <w:rPr>
                    <w:color w:val="000000" w:themeColor="text1"/>
                  </w:rPr>
                  <w:t>吨</w:t>
                </w:r>
              </w:p>
              <w:p>
                <w:pPr>
                  <w:rPr>
                    <w:color w:val="000000" w:themeColor="text1"/>
                  </w:rPr>
                </w:pPr>
                <w:r>
                  <w:rPr>
                    <w:color w:val="000000" w:themeColor="text1"/>
                  </w:rPr>
                  <w:t>氨氮</w:t>
                </w:r>
                <w:r>
                  <w:rPr>
                    <w:rFonts w:hint="eastAsia"/>
                    <w:color w:val="000000" w:themeColor="text1"/>
                  </w:rPr>
                  <w:t>：0.</w:t>
                </w:r>
                <w:r>
                  <w:rPr>
                    <w:color w:val="000000" w:themeColor="text1"/>
                  </w:rPr>
                  <w:t>0</w:t>
                </w:r>
                <w:r>
                  <w:rPr>
                    <w:rFonts w:hint="eastAsia"/>
                    <w:color w:val="000000" w:themeColor="text1"/>
                  </w:rPr>
                  <w:t>1</w:t>
                </w:r>
                <w:r>
                  <w:rPr>
                    <w:color w:val="000000" w:themeColor="text1"/>
                  </w:rPr>
                  <w:t>吨</w:t>
                </w:r>
              </w:p>
            </w:tc>
          </w:tr>
          <w:tr>
            <w:trPr>
              <w:trHeight w:val="593"/>
              <w:jc w:val="center"/>
            </w:trPr>
            <w:tc>
              <w:tcPr>
                <w:tcW w:w="660" w:type="dxa"/>
                <w:vAlign w:val="center"/>
              </w:tcPr>
              <w:p>
                <w:pPr>
                  <w:jc w:val="center"/>
                  <w:rPr>
                    <w:color w:val="000000" w:themeColor="text1"/>
                  </w:rPr>
                </w:pPr>
                <w:r>
                  <w:rPr>
                    <w:rFonts w:hint="eastAsia"/>
                    <w:color w:val="000000" w:themeColor="text1"/>
                  </w:rPr>
                  <w:t>3</w:t>
                </w:r>
              </w:p>
            </w:tc>
            <w:tc>
              <w:tcPr>
                <w:tcW w:w="1522" w:type="dxa"/>
                <w:vAlign w:val="center"/>
              </w:tcPr>
              <w:p>
                <w:pPr>
                  <w:rPr>
                    <w:color w:val="000000" w:themeColor="text1"/>
                  </w:rPr>
                </w:pPr>
                <w:r>
                  <w:rPr>
                    <w:color w:val="000000" w:themeColor="text1"/>
                  </w:rPr>
                  <w:t>鲍店煤矿</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:89.22</w:t>
                </w:r>
                <w:r>
                  <w:rPr>
                    <w:color w:val="000000" w:themeColor="text1"/>
                  </w:rPr>
                  <w:t>吨</w:t>
                </w:r>
              </w:p>
              <w:p>
                <w:pPr>
                  <w:rPr>
                    <w:color w:val="000000" w:themeColor="text1"/>
                  </w:rPr>
                </w:pPr>
                <w:r>
                  <w:rPr>
                    <w:color w:val="000000" w:themeColor="text1"/>
                  </w:rPr>
                  <w:t>氨氮</w:t>
                </w:r>
                <w:r>
                  <w:rPr>
                    <w:rFonts w:hint="eastAsia"/>
                    <w:color w:val="000000" w:themeColor="text1"/>
                  </w:rPr>
                  <w:t>：4.46</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：13.3</w:t>
                </w:r>
                <w:r>
                  <w:rPr>
                    <w:color w:val="000000" w:themeColor="text1"/>
                  </w:rPr>
                  <w:t>吨</w:t>
                </w:r>
              </w:p>
              <w:p>
                <w:pPr>
                  <w:rPr>
                    <w:color w:val="000000" w:themeColor="text1"/>
                  </w:rPr>
                </w:pPr>
                <w:r>
                  <w:rPr>
                    <w:color w:val="000000" w:themeColor="text1"/>
                  </w:rPr>
                  <w:t>氨氮</w:t>
                </w:r>
                <w:r>
                  <w:rPr>
                    <w:rFonts w:hint="eastAsia"/>
                    <w:color w:val="000000" w:themeColor="text1"/>
                  </w:rPr>
                  <w:t>：0.13</w:t>
                </w:r>
                <w:r>
                  <w:rPr>
                    <w:color w:val="000000" w:themeColor="text1"/>
                  </w:rPr>
                  <w:t>吨</w:t>
                </w:r>
              </w:p>
            </w:tc>
          </w:tr>
          <w:tr>
            <w:trPr>
              <w:trHeight w:val="593"/>
              <w:jc w:val="center"/>
            </w:trPr>
            <w:tc>
              <w:tcPr>
                <w:tcW w:w="660" w:type="dxa"/>
                <w:vAlign w:val="center"/>
              </w:tcPr>
              <w:p>
                <w:pPr>
                  <w:jc w:val="center"/>
                  <w:rPr>
                    <w:color w:val="000000" w:themeColor="text1"/>
                  </w:rPr>
                </w:pPr>
                <w:r>
                  <w:rPr>
                    <w:rFonts w:hint="eastAsia"/>
                    <w:color w:val="000000" w:themeColor="text1"/>
                  </w:rPr>
                  <w:t>4</w:t>
                </w:r>
              </w:p>
            </w:tc>
            <w:tc>
              <w:tcPr>
                <w:tcW w:w="1522" w:type="dxa"/>
                <w:vAlign w:val="center"/>
              </w:tcPr>
              <w:p>
                <w:pPr>
                  <w:rPr>
                    <w:color w:val="000000" w:themeColor="text1"/>
                  </w:rPr>
                </w:pPr>
                <w:r>
                  <w:rPr>
                    <w:color w:val="000000" w:themeColor="text1"/>
                  </w:rPr>
                  <w:t>东滩煤矿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：68.2</w:t>
                </w:r>
                <w:r>
                  <w:rPr>
                    <w:color w:val="000000" w:themeColor="text1"/>
                  </w:rPr>
                  <w:t>吨</w:t>
                </w:r>
              </w:p>
              <w:p>
                <w:pPr>
                  <w:rPr>
                    <w:color w:val="000000" w:themeColor="text1"/>
                  </w:rPr>
                </w:pPr>
                <w:r>
                  <w:rPr>
                    <w:color w:val="000000" w:themeColor="text1"/>
                  </w:rPr>
                  <w:t>氨氮</w:t>
                </w:r>
                <w:r>
                  <w:rPr>
                    <w:rFonts w:hint="eastAsia"/>
                    <w:color w:val="000000" w:themeColor="text1"/>
                  </w:rPr>
                  <w:t>：3.3</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：14.8</w:t>
                </w:r>
                <w:r>
                  <w:rPr>
                    <w:color w:val="000000" w:themeColor="text1"/>
                  </w:rPr>
                  <w:t>吨</w:t>
                </w:r>
              </w:p>
              <w:p>
                <w:pPr>
                  <w:rPr>
                    <w:color w:val="000000" w:themeColor="text1"/>
                  </w:rPr>
                </w:pPr>
                <w:r>
                  <w:rPr>
                    <w:color w:val="000000" w:themeColor="text1"/>
                  </w:rPr>
                  <w:t>氨氮</w:t>
                </w:r>
                <w:r>
                  <w:rPr>
                    <w:rFonts w:hint="eastAsia"/>
                    <w:color w:val="000000" w:themeColor="text1"/>
                  </w:rPr>
                  <w:t>：0</w:t>
                </w:r>
                <w:r>
                  <w:rPr>
                    <w:color w:val="000000" w:themeColor="text1"/>
                  </w:rPr>
                  <w:t>.</w:t>
                </w:r>
                <w:r>
                  <w:rPr>
                    <w:rFonts w:hint="eastAsia"/>
                    <w:color w:val="000000" w:themeColor="text1"/>
                  </w:rPr>
                  <w:t>29</w:t>
                </w:r>
                <w:r>
                  <w:rPr>
                    <w:color w:val="000000" w:themeColor="text1"/>
                  </w:rPr>
                  <w:t>吨</w:t>
                </w:r>
              </w:p>
            </w:tc>
          </w:tr>
          <w:tr>
            <w:trPr>
              <w:trHeight w:val="593"/>
              <w:jc w:val="center"/>
            </w:trPr>
            <w:tc>
              <w:tcPr>
                <w:tcW w:w="660" w:type="dxa"/>
                <w:vAlign w:val="center"/>
              </w:tcPr>
              <w:p>
                <w:pPr>
                  <w:jc w:val="center"/>
                  <w:rPr>
                    <w:color w:val="000000" w:themeColor="text1"/>
                  </w:rPr>
                </w:pPr>
                <w:r>
                  <w:rPr>
                    <w:rFonts w:hint="eastAsia"/>
                    <w:color w:val="000000" w:themeColor="text1"/>
                  </w:rPr>
                  <w:t>5</w:t>
                </w:r>
              </w:p>
            </w:tc>
            <w:tc>
              <w:tcPr>
                <w:tcW w:w="1522" w:type="dxa"/>
                <w:vAlign w:val="center"/>
              </w:tcPr>
              <w:p>
                <w:pPr>
                  <w:rPr>
                    <w:color w:val="000000" w:themeColor="text1"/>
                  </w:rPr>
                </w:pPr>
                <w:r>
                  <w:rPr>
                    <w:color w:val="000000" w:themeColor="text1"/>
                  </w:rPr>
                  <w:t>济二煤矿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：30.7</w:t>
                </w:r>
                <w:r>
                  <w:rPr>
                    <w:color w:val="000000" w:themeColor="text1"/>
                  </w:rPr>
                  <w:t>吨</w:t>
                </w:r>
              </w:p>
              <w:p>
                <w:pPr>
                  <w:rPr>
                    <w:color w:val="000000" w:themeColor="text1"/>
                  </w:rPr>
                </w:pPr>
                <w:r>
                  <w:rPr>
                    <w:color w:val="000000" w:themeColor="text1"/>
                  </w:rPr>
                  <w:t>氨氮</w:t>
                </w:r>
                <w:r>
                  <w:rPr>
                    <w:rFonts w:hint="eastAsia"/>
                    <w:color w:val="000000" w:themeColor="text1"/>
                  </w:rPr>
                  <w:t>：2.9</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：10.9</w:t>
                </w:r>
                <w:r>
                  <w:rPr>
                    <w:color w:val="000000" w:themeColor="text1"/>
                  </w:rPr>
                  <w:t>吨</w:t>
                </w:r>
              </w:p>
              <w:p>
                <w:pPr>
                  <w:rPr>
                    <w:color w:val="000000" w:themeColor="text1"/>
                  </w:rPr>
                </w:pPr>
                <w:r>
                  <w:rPr>
                    <w:color w:val="000000" w:themeColor="text1"/>
                  </w:rPr>
                  <w:t>氨氮</w:t>
                </w:r>
                <w:r>
                  <w:rPr>
                    <w:rFonts w:hint="eastAsia"/>
                    <w:color w:val="000000" w:themeColor="text1"/>
                  </w:rPr>
                  <w:t>：0.11吨</w:t>
                </w:r>
              </w:p>
            </w:tc>
          </w:tr>
          <w:tr>
            <w:trPr>
              <w:trHeight w:val="593"/>
              <w:jc w:val="center"/>
            </w:trPr>
            <w:tc>
              <w:tcPr>
                <w:tcW w:w="660" w:type="dxa"/>
                <w:vAlign w:val="center"/>
              </w:tcPr>
              <w:p>
                <w:pPr>
                  <w:jc w:val="center"/>
                  <w:rPr>
                    <w:color w:val="000000" w:themeColor="text1"/>
                  </w:rPr>
                </w:pPr>
                <w:r>
                  <w:rPr>
                    <w:rFonts w:hint="eastAsia"/>
                    <w:color w:val="000000" w:themeColor="text1"/>
                  </w:rPr>
                  <w:t>6</w:t>
                </w:r>
              </w:p>
            </w:tc>
            <w:tc>
              <w:tcPr>
                <w:tcW w:w="1522" w:type="dxa"/>
                <w:vAlign w:val="center"/>
              </w:tcPr>
              <w:p>
                <w:pPr>
                  <w:rPr>
                    <w:color w:val="000000" w:themeColor="text1"/>
                  </w:rPr>
                </w:pPr>
                <w:r>
                  <w:rPr>
                    <w:color w:val="000000" w:themeColor="text1"/>
                  </w:rPr>
                  <w:t>济三煤矿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362.9</w:t>
                </w:r>
                <w:r>
                  <w:rPr>
                    <w:color w:val="000000" w:themeColor="text1"/>
                  </w:rPr>
                  <w:t>吨</w:t>
                </w:r>
              </w:p>
              <w:p>
                <w:pPr>
                  <w:rPr>
                    <w:color w:val="000000" w:themeColor="text1"/>
                  </w:rPr>
                </w:pPr>
                <w:r>
                  <w:rPr>
                    <w:color w:val="000000" w:themeColor="text1"/>
                  </w:rPr>
                  <w:t>氨氮：</w:t>
                </w:r>
                <w:r>
                  <w:rPr>
                    <w:rFonts w:hint="eastAsia"/>
                    <w:color w:val="000000" w:themeColor="text1"/>
                  </w:rPr>
                  <w:t>18.1</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：5.3</w:t>
                </w:r>
                <w:r>
                  <w:rPr>
                    <w:color w:val="000000" w:themeColor="text1"/>
                  </w:rPr>
                  <w:t>吨</w:t>
                </w:r>
              </w:p>
              <w:p>
                <w:pPr>
                  <w:rPr>
                    <w:color w:val="000000" w:themeColor="text1"/>
                  </w:rPr>
                </w:pPr>
                <w:r>
                  <w:rPr>
                    <w:color w:val="000000" w:themeColor="text1"/>
                  </w:rPr>
                  <w:t>氨氮</w:t>
                </w:r>
                <w:r>
                  <w:rPr>
                    <w:rFonts w:hint="eastAsia"/>
                    <w:color w:val="000000" w:themeColor="text1"/>
                  </w:rPr>
                  <w:t>：0.08吨</w:t>
                </w:r>
              </w:p>
            </w:tc>
          </w:tr>
          <w:tr>
            <w:trPr>
              <w:trHeight w:val="593"/>
              <w:jc w:val="center"/>
            </w:trPr>
            <w:tc>
              <w:tcPr>
                <w:tcW w:w="660" w:type="dxa"/>
                <w:vAlign w:val="center"/>
              </w:tcPr>
              <w:p>
                <w:pPr>
                  <w:jc w:val="center"/>
                  <w:rPr>
                    <w:color w:val="000000" w:themeColor="text1"/>
                  </w:rPr>
                </w:pPr>
                <w:r>
                  <w:rPr>
                    <w:rFonts w:hint="eastAsia"/>
                    <w:color w:val="000000" w:themeColor="text1"/>
                  </w:rPr>
                  <w:t>7</w:t>
                </w:r>
              </w:p>
            </w:tc>
            <w:tc>
              <w:tcPr>
                <w:tcW w:w="1522" w:type="dxa"/>
                <w:vAlign w:val="center"/>
              </w:tcPr>
              <w:p>
                <w:pPr>
                  <w:rPr>
                    <w:color w:val="000000" w:themeColor="text1"/>
                  </w:rPr>
                </w:pPr>
                <w:r>
                  <w:rPr>
                    <w:color w:val="000000" w:themeColor="text1"/>
                  </w:rPr>
                  <w:t>杨村煤矿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：33.1</w:t>
                </w:r>
                <w:r>
                  <w:rPr>
                    <w:color w:val="000000" w:themeColor="text1"/>
                  </w:rPr>
                  <w:t>吨</w:t>
                </w:r>
              </w:p>
              <w:p>
                <w:pPr>
                  <w:rPr>
                    <w:color w:val="000000" w:themeColor="text1"/>
                  </w:rPr>
                </w:pPr>
                <w:r>
                  <w:rPr>
                    <w:color w:val="000000" w:themeColor="text1"/>
                  </w:rPr>
                  <w:t>氨氮</w:t>
                </w:r>
                <w:r>
                  <w:rPr>
                    <w:rFonts w:hint="eastAsia"/>
                    <w:color w:val="000000" w:themeColor="text1"/>
                  </w:rPr>
                  <w:t>：1.</w:t>
                </w:r>
                <w:r>
                  <w:rPr>
                    <w:color w:val="000000" w:themeColor="text1"/>
                  </w:rPr>
                  <w:t>7吨</w:t>
                </w:r>
              </w:p>
            </w:tc>
            <w:tc>
              <w:tcPr>
                <w:tcW w:w="2064" w:type="dxa"/>
                <w:vAlign w:val="center"/>
              </w:tcPr>
              <w:p>
                <w:pPr>
                  <w:rPr>
                    <w:color w:val="000000" w:themeColor="text1"/>
                  </w:rPr>
                </w:pPr>
                <w:r>
                  <w:rPr>
                    <w:color w:val="000000" w:themeColor="text1"/>
                  </w:rPr>
                  <w:t>COD</w:t>
                </w:r>
                <w:r>
                  <w:rPr>
                    <w:rFonts w:hint="eastAsia"/>
                    <w:color w:val="000000" w:themeColor="text1"/>
                  </w:rPr>
                  <w:t>：4.5</w:t>
                </w:r>
                <w:r>
                  <w:rPr>
                    <w:color w:val="000000" w:themeColor="text1"/>
                  </w:rPr>
                  <w:t>吨</w:t>
                </w:r>
              </w:p>
              <w:p>
                <w:pPr>
                  <w:rPr>
                    <w:color w:val="000000" w:themeColor="text1"/>
                  </w:rPr>
                </w:pPr>
                <w:r>
                  <w:rPr>
                    <w:color w:val="000000" w:themeColor="text1"/>
                  </w:rPr>
                  <w:t>氨氮</w:t>
                </w:r>
                <w:r>
                  <w:rPr>
                    <w:rFonts w:hint="eastAsia"/>
                    <w:color w:val="000000" w:themeColor="text1"/>
                  </w:rPr>
                  <w:t>：0.</w:t>
                </w:r>
                <w:r>
                  <w:rPr>
                    <w:color w:val="000000" w:themeColor="text1"/>
                  </w:rPr>
                  <w:t>0</w:t>
                </w:r>
                <w:r>
                  <w:rPr>
                    <w:rFonts w:hint="eastAsia"/>
                    <w:color w:val="000000" w:themeColor="text1"/>
                  </w:rPr>
                  <w:t>7</w:t>
                </w:r>
                <w:r>
                  <w:rPr>
                    <w:color w:val="000000" w:themeColor="text1"/>
                  </w:rPr>
                  <w:t>吨</w:t>
                </w:r>
              </w:p>
            </w:tc>
          </w:tr>
          <w:tr>
            <w:trPr>
              <w:trHeight w:val="593"/>
              <w:jc w:val="center"/>
            </w:trPr>
            <w:tc>
              <w:tcPr>
                <w:tcW w:w="660" w:type="dxa"/>
                <w:vAlign w:val="center"/>
              </w:tcPr>
              <w:p>
                <w:pPr>
                  <w:jc w:val="center"/>
                  <w:rPr>
                    <w:color w:val="000000" w:themeColor="text1"/>
                  </w:rPr>
                </w:pPr>
                <w:r>
                  <w:rPr>
                    <w:rFonts w:hint="eastAsia"/>
                    <w:color w:val="000000" w:themeColor="text1"/>
                  </w:rPr>
                  <w:t>8</w:t>
                </w:r>
              </w:p>
            </w:tc>
            <w:tc>
              <w:tcPr>
                <w:tcW w:w="1522" w:type="dxa"/>
                <w:vAlign w:val="center"/>
              </w:tcPr>
              <w:p>
                <w:pPr>
                  <w:rPr>
                    <w:color w:val="000000" w:themeColor="text1"/>
                  </w:rPr>
                </w:pPr>
                <w:r>
                  <w:rPr>
                    <w:color w:val="000000" w:themeColor="text1"/>
                  </w:rPr>
                  <w:t>赵楼煤矿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：52</w:t>
                </w:r>
                <w:r>
                  <w:rPr>
                    <w:color w:val="000000" w:themeColor="text1"/>
                  </w:rPr>
                  <w:t>吨</w:t>
                </w:r>
              </w:p>
              <w:p>
                <w:pPr>
                  <w:rPr>
                    <w:color w:val="000000" w:themeColor="text1"/>
                  </w:rPr>
                </w:pPr>
                <w:r>
                  <w:rPr>
                    <w:color w:val="000000" w:themeColor="text1"/>
                  </w:rPr>
                  <w:t>氨氮</w:t>
                </w:r>
                <w:r>
                  <w:rPr>
                    <w:rFonts w:hint="eastAsia"/>
                    <w:color w:val="000000" w:themeColor="text1"/>
                  </w:rPr>
                  <w:t>：5.</w:t>
                </w:r>
                <w:r>
                  <w:rPr>
                    <w:color w:val="000000" w:themeColor="text1"/>
                  </w:rPr>
                  <w:t>9吨</w:t>
                </w:r>
              </w:p>
            </w:tc>
            <w:tc>
              <w:tcPr>
                <w:tcW w:w="2064" w:type="dxa"/>
                <w:vAlign w:val="center"/>
              </w:tcPr>
              <w:p>
                <w:pPr>
                  <w:rPr>
                    <w:color w:val="000000" w:themeColor="text1"/>
                  </w:rPr>
                </w:pPr>
                <w:r>
                  <w:rPr>
                    <w:color w:val="000000" w:themeColor="text1"/>
                  </w:rPr>
                  <w:t>COD</w:t>
                </w:r>
                <w:r>
                  <w:rPr>
                    <w:rFonts w:hint="eastAsia"/>
                    <w:color w:val="000000" w:themeColor="text1"/>
                  </w:rPr>
                  <w:t>：33.6</w:t>
                </w:r>
                <w:r>
                  <w:rPr>
                    <w:color w:val="000000" w:themeColor="text1"/>
                  </w:rPr>
                  <w:t>吨</w:t>
                </w:r>
              </w:p>
              <w:p>
                <w:pPr>
                  <w:rPr>
                    <w:color w:val="000000" w:themeColor="text1"/>
                  </w:rPr>
                </w:pPr>
                <w:r>
                  <w:rPr>
                    <w:color w:val="000000" w:themeColor="text1"/>
                  </w:rPr>
                  <w:t>氨氮</w:t>
                </w:r>
                <w:r>
                  <w:rPr>
                    <w:rFonts w:hint="eastAsia"/>
                    <w:color w:val="000000" w:themeColor="text1"/>
                  </w:rPr>
                  <w:t>：0.7</w:t>
                </w:r>
                <w:r>
                  <w:rPr>
                    <w:color w:val="000000" w:themeColor="text1"/>
                  </w:rPr>
                  <w:t>吨</w:t>
                </w:r>
              </w:p>
            </w:tc>
          </w:tr>
          <w:tr>
            <w:trPr>
              <w:trHeight w:val="432"/>
              <w:jc w:val="center"/>
            </w:trPr>
            <w:tc>
              <w:tcPr>
                <w:tcW w:w="660" w:type="dxa"/>
                <w:vAlign w:val="center"/>
              </w:tcPr>
              <w:p>
                <w:pPr>
                  <w:jc w:val="center"/>
                  <w:rPr>
                    <w:color w:val="000000" w:themeColor="text1"/>
                  </w:rPr>
                </w:pPr>
                <w:r>
                  <w:rPr>
                    <w:rFonts w:hint="eastAsia"/>
                    <w:color w:val="000000" w:themeColor="text1"/>
                  </w:rPr>
                  <w:t>9</w:t>
                </w:r>
              </w:p>
            </w:tc>
            <w:tc>
              <w:tcPr>
                <w:tcW w:w="1522" w:type="dxa"/>
                <w:vAlign w:val="center"/>
              </w:tcPr>
              <w:p>
                <w:pPr>
                  <w:rPr>
                    <w:color w:val="000000" w:themeColor="text1"/>
                  </w:rPr>
                </w:pPr>
                <w:r>
                  <w:rPr>
                    <w:rFonts w:hint="eastAsia"/>
                    <w:color w:val="000000" w:themeColor="text1"/>
                  </w:rPr>
                  <w:t>金鸡滩</w:t>
                </w:r>
                <w:r>
                  <w:rPr>
                    <w:color w:val="000000" w:themeColor="text1"/>
                  </w:rPr>
                  <w:t>煤矿</w:t>
                </w:r>
              </w:p>
            </w:tc>
            <w:tc>
              <w:tcPr>
                <w:tcW w:w="1267" w:type="dxa"/>
                <w:vMerge w:val="restart"/>
                <w:vAlign w:val="center"/>
              </w:tcPr>
              <w:p>
                <w:pPr>
                  <w:jc w:val="center"/>
                  <w:rPr>
                    <w:color w:val="000000" w:themeColor="text1"/>
                  </w:rPr>
                </w:pPr>
                <w:r>
                  <w:rPr>
                    <w:rFonts w:hint="eastAsia"/>
                    <w:color w:val="000000" w:themeColor="text1"/>
                  </w:rPr>
                  <w:t>锅炉烟气</w:t>
                </w:r>
              </w:p>
            </w:tc>
            <w:tc>
              <w:tcPr>
                <w:tcW w:w="1463" w:type="dxa"/>
                <w:vMerge w:val="restart"/>
                <w:vAlign w:val="center"/>
              </w:tcPr>
              <w:p>
                <w:pPr>
                  <w:rPr>
                    <w:color w:val="000000" w:themeColor="text1"/>
                  </w:rPr>
                </w:pPr>
                <w:r>
                  <w:rPr>
                    <w:rFonts w:hint="eastAsia"/>
                    <w:color w:val="000000" w:themeColor="text1"/>
                  </w:rPr>
                  <w:t>颗粒物</w:t>
                </w:r>
              </w:p>
              <w:p>
                <w:pPr>
                  <w:rPr>
                    <w:color w:val="000000" w:themeColor="text1"/>
                  </w:rPr>
                </w:pPr>
                <w:r>
                  <w:rPr>
                    <w:rFonts w:hint="eastAsia"/>
                    <w:color w:val="000000" w:themeColor="text1"/>
                  </w:rPr>
                  <w:t>SO</w:t>
                </w:r>
                <w:r>
                  <w:rPr>
                    <w:rFonts w:hint="eastAsia"/>
                    <w:color w:val="000000" w:themeColor="text1"/>
                    <w:vertAlign w:val="subscript"/>
                  </w:rPr>
                  <w:t>2</w:t>
                </w:r>
              </w:p>
              <w:p>
                <w:pPr>
                  <w:rPr>
                    <w:color w:val="000000" w:themeColor="text1"/>
                  </w:rPr>
                </w:pPr>
                <w:r>
                  <w:rPr>
                    <w:color w:val="000000" w:themeColor="text1"/>
                  </w:rPr>
                  <w:t>NO</w:t>
                </w:r>
                <w:r>
                  <w:rPr>
                    <w:color w:val="000000" w:themeColor="text1"/>
                    <w:vertAlign w:val="subscript"/>
                  </w:rPr>
                  <w:t>X</w:t>
                </w:r>
              </w:p>
            </w:tc>
            <w:tc>
              <w:tcPr>
                <w:tcW w:w="2093" w:type="dxa"/>
                <w:vAlign w:val="center"/>
              </w:tcPr>
              <w:p>
                <w:pPr>
                  <w:rPr>
                    <w:color w:val="000000" w:themeColor="text1"/>
                    <w:spacing w:val="-12"/>
                  </w:rPr>
                </w:pPr>
                <w:r>
                  <w:rPr>
                    <w:rFonts w:hint="eastAsia"/>
                    <w:color w:val="000000" w:themeColor="text1"/>
                  </w:rPr>
                  <w:t>颗粒物</w:t>
                </w:r>
                <w:r>
                  <w:rPr>
                    <w:rFonts w:hint="eastAsia"/>
                    <w:color w:val="000000" w:themeColor="text1"/>
                    <w:spacing w:val="-12"/>
                  </w:rPr>
                  <w:t>：</w:t>
                </w:r>
                <w:r>
                  <w:rPr>
                    <w:color w:val="000000" w:themeColor="text1"/>
                    <w:spacing w:val="-12"/>
                  </w:rPr>
                  <w:t>14</w:t>
                </w:r>
                <w:r>
                  <w:rPr>
                    <w:rFonts w:hint="eastAsia"/>
                    <w:color w:val="000000" w:themeColor="text1"/>
                    <w:spacing w:val="-12"/>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color w:val="000000" w:themeColor="text1"/>
                  </w:rPr>
                  <w:t>46.6吨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93.1吨</w:t>
                </w:r>
              </w:p>
            </w:tc>
            <w:tc>
              <w:tcPr>
                <w:tcW w:w="2064" w:type="dxa"/>
                <w:vAlign w:val="center"/>
              </w:tcPr>
              <w:p>
                <w:pPr>
                  <w:rPr>
                    <w:color w:val="000000" w:themeColor="text1"/>
                    <w:spacing w:val="-12"/>
                  </w:rPr>
                </w:pPr>
                <w:r>
                  <w:rPr>
                    <w:rFonts w:hint="eastAsia"/>
                    <w:color w:val="000000" w:themeColor="text1"/>
                  </w:rPr>
                  <w:t>颗粒物</w:t>
                </w:r>
                <w:r>
                  <w:rPr>
                    <w:rFonts w:hint="eastAsia"/>
                    <w:color w:val="000000" w:themeColor="text1"/>
                    <w:spacing w:val="-12"/>
                  </w:rPr>
                  <w:t>：</w:t>
                </w:r>
                <w:r>
                  <w:rPr>
                    <w:color w:val="000000" w:themeColor="text1"/>
                    <w:spacing w:val="-12"/>
                  </w:rPr>
                  <w:t>0.</w:t>
                </w:r>
                <w:r>
                  <w:rPr>
                    <w:rFonts w:hint="eastAsia"/>
                    <w:color w:val="000000" w:themeColor="text1"/>
                    <w:spacing w:val="-12"/>
                  </w:rPr>
                  <w:t>3吨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color w:val="000000" w:themeColor="text1"/>
                  </w:rPr>
                  <w:t>0.</w:t>
                </w:r>
                <w:r>
                  <w:rPr>
                    <w:rFonts w:hint="eastAsia"/>
                    <w:color w:val="000000" w:themeColor="text1"/>
                  </w:rPr>
                  <w:t>8</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：10.2</w:t>
                </w:r>
                <w:r>
                  <w:rPr>
                    <w:color w:val="000000" w:themeColor="text1"/>
                  </w:rPr>
                  <w:t>吨</w:t>
                </w:r>
              </w:p>
            </w:tc>
          </w:tr>
          <w:tr>
            <w:trPr>
              <w:trHeight w:val="593"/>
              <w:jc w:val="center"/>
            </w:trPr>
            <w:tc>
              <w:tcPr>
                <w:tcW w:w="660" w:type="dxa"/>
                <w:vAlign w:val="center"/>
              </w:tcPr>
              <w:p>
                <w:pPr>
                  <w:jc w:val="center"/>
                  <w:rPr>
                    <w:color w:val="000000" w:themeColor="text1"/>
                  </w:rPr>
                </w:pPr>
                <w:r>
                  <w:rPr>
                    <w:rFonts w:hint="eastAsia"/>
                    <w:color w:val="000000" w:themeColor="text1"/>
                  </w:rPr>
                  <w:t>10</w:t>
                </w:r>
              </w:p>
            </w:tc>
            <w:tc>
              <w:tcPr>
                <w:tcW w:w="1522" w:type="dxa"/>
                <w:vAlign w:val="center"/>
              </w:tcPr>
              <w:p>
                <w:pPr>
                  <w:rPr>
                    <w:color w:val="000000" w:themeColor="text1"/>
                  </w:rPr>
                </w:pPr>
                <w:r>
                  <w:rPr>
                    <w:rFonts w:hint="eastAsia"/>
                    <w:color w:val="000000" w:themeColor="text1"/>
                  </w:rPr>
                  <w:t>未来能源煤制油分公司</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spacing w:val="-18"/>
                  </w:rPr>
                </w:pPr>
                <w:r>
                  <w:rPr>
                    <w:rFonts w:hint="eastAsia"/>
                    <w:color w:val="000000" w:themeColor="text1"/>
                  </w:rPr>
                  <w:t>颗粒物</w:t>
                </w:r>
                <w:r>
                  <w:rPr>
                    <w:rFonts w:hint="eastAsia"/>
                    <w:color w:val="000000" w:themeColor="text1"/>
                    <w:spacing w:val="-18"/>
                  </w:rPr>
                  <w:t>：9</w:t>
                </w:r>
                <w:r>
                  <w:rPr>
                    <w:color w:val="000000" w:themeColor="text1"/>
                    <w:spacing w:val="-18"/>
                  </w:rPr>
                  <w:t>2.1</w:t>
                </w:r>
                <w:r>
                  <w:rPr>
                    <w:rFonts w:hint="eastAsia"/>
                    <w:color w:val="000000" w:themeColor="text1"/>
                    <w:spacing w:val="-18"/>
                  </w:rPr>
                  <w:t>吨</w:t>
                </w:r>
              </w:p>
              <w:p>
                <w:pPr>
                  <w:rPr>
                    <w:color w:val="000000" w:themeColor="text1"/>
                    <w:spacing w:val="-10"/>
                  </w:rPr>
                </w:pPr>
                <w:r>
                  <w:rPr>
                    <w:rFonts w:hint="eastAsia"/>
                    <w:color w:val="000000" w:themeColor="text1"/>
                    <w:spacing w:val="-10"/>
                  </w:rPr>
                  <w:t>SO</w:t>
                </w:r>
                <w:r>
                  <w:rPr>
                    <w:rFonts w:hint="eastAsia"/>
                    <w:color w:val="000000" w:themeColor="text1"/>
                    <w:spacing w:val="-10"/>
                    <w:vertAlign w:val="subscript"/>
                  </w:rPr>
                  <w:t>2</w:t>
                </w:r>
                <w:r>
                  <w:rPr>
                    <w:rFonts w:hint="eastAsia"/>
                    <w:color w:val="000000" w:themeColor="text1"/>
                    <w:spacing w:val="-10"/>
                  </w:rPr>
                  <w:t>：</w:t>
                </w:r>
                <w:r>
                  <w:rPr>
                    <w:color w:val="000000" w:themeColor="text1"/>
                    <w:spacing w:val="-10"/>
                  </w:rPr>
                  <w:t>488.9吨</w:t>
                </w:r>
              </w:p>
              <w:p>
                <w:pPr>
                  <w:rPr>
                    <w:color w:val="000000" w:themeColor="text1"/>
                  </w:rPr>
                </w:pPr>
                <w:r>
                  <w:rPr>
                    <w:color w:val="000000" w:themeColor="text1"/>
                    <w:spacing w:val="-10"/>
                  </w:rPr>
                  <w:t>NO</w:t>
                </w:r>
                <w:r>
                  <w:rPr>
                    <w:color w:val="000000" w:themeColor="text1"/>
                    <w:spacing w:val="-10"/>
                    <w:vertAlign w:val="subscript"/>
                  </w:rPr>
                  <w:t>X</w:t>
                </w:r>
                <w:r>
                  <w:rPr>
                    <w:rFonts w:hint="eastAsia"/>
                    <w:color w:val="000000" w:themeColor="text1"/>
                    <w:spacing w:val="-10"/>
                  </w:rPr>
                  <w:t>：</w:t>
                </w:r>
                <w:r>
                  <w:rPr>
                    <w:color w:val="000000" w:themeColor="text1"/>
                    <w:spacing w:val="-10"/>
                  </w:rPr>
                  <w:t>1,084.2吨</w:t>
                </w:r>
              </w:p>
            </w:tc>
            <w:tc>
              <w:tcPr>
                <w:tcW w:w="2064" w:type="dxa"/>
                <w:vAlign w:val="center"/>
              </w:tcPr>
              <w:p>
                <w:pPr>
                  <w:rPr>
                    <w:color w:val="000000" w:themeColor="text1"/>
                    <w:spacing w:val="-18"/>
                  </w:rPr>
                </w:pPr>
                <w:r>
                  <w:rPr>
                    <w:rFonts w:hint="eastAsia"/>
                    <w:color w:val="000000" w:themeColor="text1"/>
                  </w:rPr>
                  <w:t>颗粒物</w:t>
                </w:r>
                <w:r>
                  <w:rPr>
                    <w:rFonts w:hint="eastAsia"/>
                    <w:color w:val="000000" w:themeColor="text1"/>
                    <w:spacing w:val="-18"/>
                  </w:rPr>
                  <w:t>：34.0吨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：247.1</w:t>
                </w:r>
                <w:r>
                  <w:rPr>
                    <w:color w:val="000000" w:themeColor="text1"/>
                  </w:rPr>
                  <w:t>吨</w:t>
                </w:r>
              </w:p>
              <w:p>
                <w:pPr>
                  <w:rPr>
                    <w:color w:val="000000" w:themeColor="text1"/>
                    <w:spacing w:val="-6"/>
                  </w:rPr>
                </w:pPr>
                <w:r>
                  <w:rPr>
                    <w:color w:val="000000" w:themeColor="text1"/>
                    <w:spacing w:val="-6"/>
                  </w:rPr>
                  <w:t>NO</w:t>
                </w:r>
                <w:r>
                  <w:rPr>
                    <w:color w:val="000000" w:themeColor="text1"/>
                    <w:spacing w:val="-6"/>
                    <w:vertAlign w:val="subscript"/>
                  </w:rPr>
                  <w:t>X</w:t>
                </w:r>
                <w:r>
                  <w:rPr>
                    <w:rFonts w:hint="eastAsia"/>
                    <w:color w:val="000000" w:themeColor="text1"/>
                    <w:spacing w:val="-6"/>
                  </w:rPr>
                  <w:t>：711.9</w:t>
                </w:r>
                <w:r>
                  <w:rPr>
                    <w:color w:val="000000" w:themeColor="text1"/>
                    <w:spacing w:val="-6"/>
                  </w:rPr>
                  <w:t>吨</w:t>
                </w:r>
              </w:p>
            </w:tc>
          </w:tr>
          <w:tr>
            <w:trPr>
              <w:trHeight w:val="593"/>
              <w:jc w:val="center"/>
            </w:trPr>
            <w:tc>
              <w:tcPr>
                <w:tcW w:w="660" w:type="dxa"/>
                <w:vAlign w:val="center"/>
              </w:tcPr>
              <w:p>
                <w:pPr>
                  <w:jc w:val="center"/>
                  <w:rPr>
                    <w:color w:val="000000" w:themeColor="text1"/>
                  </w:rPr>
                </w:pPr>
                <w:r>
                  <w:rPr>
                    <w:rFonts w:hint="eastAsia"/>
                    <w:color w:val="000000" w:themeColor="text1"/>
                  </w:rPr>
                  <w:t>11</w:t>
                </w:r>
              </w:p>
            </w:tc>
            <w:tc>
              <w:tcPr>
                <w:tcW w:w="1522" w:type="dxa"/>
                <w:vAlign w:val="center"/>
              </w:tcPr>
              <w:p>
                <w:pPr>
                  <w:rPr>
                    <w:color w:val="000000" w:themeColor="text1"/>
                  </w:rPr>
                </w:pPr>
                <w:r>
                  <w:rPr>
                    <w:rFonts w:hint="eastAsia"/>
                    <w:color w:val="000000" w:themeColor="text1"/>
                  </w:rPr>
                  <w:t>鄂尔多斯公司</w:t>
                </w:r>
                <w:r>
                  <w:rPr>
                    <w:color w:val="000000" w:themeColor="text1"/>
                  </w:rPr>
                  <w:t>荣信化工</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spacing w:val="-12"/>
                  </w:rPr>
                </w:pPr>
                <w:r>
                  <w:rPr>
                    <w:rFonts w:hint="eastAsia"/>
                    <w:color w:val="000000" w:themeColor="text1"/>
                  </w:rPr>
                  <w:t>颗粒物</w:t>
                </w:r>
                <w:r>
                  <w:rPr>
                    <w:rFonts w:hint="eastAsia"/>
                    <w:color w:val="000000" w:themeColor="text1"/>
                    <w:spacing w:val="-12"/>
                  </w:rPr>
                  <w:t>：</w:t>
                </w:r>
                <w:r>
                  <w:rPr>
                    <w:color w:val="000000" w:themeColor="text1"/>
                    <w:spacing w:val="-12"/>
                  </w:rPr>
                  <w:t>121.8</w:t>
                </w:r>
                <w:r>
                  <w:rPr>
                    <w:rFonts w:hint="eastAsia"/>
                    <w:color w:val="000000" w:themeColor="text1"/>
                    <w:spacing w:val="-12"/>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color w:val="000000" w:themeColor="text1"/>
                  </w:rPr>
                  <w:t>406.1吨</w:t>
                </w:r>
              </w:p>
              <w:p>
                <w:pPr>
                  <w:rPr>
                    <w:color w:val="000000" w:themeColor="text1"/>
                    <w:spacing w:val="-12"/>
                  </w:rPr>
                </w:pPr>
                <w:r>
                  <w:rPr>
                    <w:color w:val="000000" w:themeColor="text1"/>
                  </w:rPr>
                  <w:t>NO</w:t>
                </w:r>
                <w:r>
                  <w:rPr>
                    <w:color w:val="000000" w:themeColor="text1"/>
                    <w:vertAlign w:val="subscript"/>
                  </w:rPr>
                  <w:t>X</w:t>
                </w:r>
                <w:r>
                  <w:rPr>
                    <w:rFonts w:hint="eastAsia"/>
                    <w:color w:val="000000" w:themeColor="text1"/>
                  </w:rPr>
                  <w:t>：</w:t>
                </w:r>
                <w:r>
                  <w:rPr>
                    <w:color w:val="000000" w:themeColor="text1"/>
                  </w:rPr>
                  <w:t>609.1吨</w:t>
                </w:r>
              </w:p>
            </w:tc>
            <w:tc>
              <w:tcPr>
                <w:tcW w:w="2064" w:type="dxa"/>
                <w:vAlign w:val="center"/>
              </w:tcPr>
              <w:p>
                <w:pPr>
                  <w:rPr>
                    <w:color w:val="000000" w:themeColor="text1"/>
                    <w:spacing w:val="-12"/>
                  </w:rPr>
                </w:pPr>
                <w:r>
                  <w:rPr>
                    <w:rFonts w:hint="eastAsia"/>
                    <w:color w:val="000000" w:themeColor="text1"/>
                  </w:rPr>
                  <w:t>颗粒物</w:t>
                </w:r>
                <w:r>
                  <w:rPr>
                    <w:rFonts w:hint="eastAsia"/>
                    <w:color w:val="000000" w:themeColor="text1"/>
                    <w:spacing w:val="-12"/>
                  </w:rPr>
                  <w:t>：8.2吨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：106.8</w:t>
                </w:r>
                <w:r>
                  <w:rPr>
                    <w:color w:val="000000" w:themeColor="text1"/>
                  </w:rPr>
                  <w:t>吨</w:t>
                </w:r>
              </w:p>
              <w:p>
                <w:pPr>
                  <w:rPr>
                    <w:color w:val="000000" w:themeColor="text1"/>
                    <w:spacing w:val="-12"/>
                  </w:rPr>
                </w:pPr>
                <w:r>
                  <w:rPr>
                    <w:color w:val="000000" w:themeColor="text1"/>
                    <w:spacing w:val="-4"/>
                  </w:rPr>
                  <w:t>NO</w:t>
                </w:r>
                <w:r>
                  <w:rPr>
                    <w:color w:val="000000" w:themeColor="text1"/>
                    <w:spacing w:val="-4"/>
                    <w:vertAlign w:val="subscript"/>
                  </w:rPr>
                  <w:t>X</w:t>
                </w:r>
                <w:r>
                  <w:rPr>
                    <w:rFonts w:hint="eastAsia"/>
                    <w:color w:val="000000" w:themeColor="text1"/>
                    <w:spacing w:val="-4"/>
                  </w:rPr>
                  <w:t>：334.9</w:t>
                </w:r>
                <w:r>
                  <w:rPr>
                    <w:color w:val="000000" w:themeColor="text1"/>
                    <w:spacing w:val="-4"/>
                  </w:rPr>
                  <w:t>吨</w:t>
                </w:r>
              </w:p>
            </w:tc>
          </w:tr>
          <w:tr>
            <w:trPr>
              <w:trHeight w:val="564"/>
              <w:jc w:val="center"/>
            </w:trPr>
            <w:tc>
              <w:tcPr>
                <w:tcW w:w="660" w:type="dxa"/>
                <w:vAlign w:val="center"/>
              </w:tcPr>
              <w:p>
                <w:pPr>
                  <w:jc w:val="center"/>
                  <w:rPr>
                    <w:color w:val="000000" w:themeColor="text1"/>
                  </w:rPr>
                </w:pPr>
                <w:r>
                  <w:rPr>
                    <w:rFonts w:hint="eastAsia"/>
                    <w:color w:val="000000" w:themeColor="text1"/>
                  </w:rPr>
                  <w:t>12</w:t>
                </w:r>
              </w:p>
            </w:tc>
            <w:tc>
              <w:tcPr>
                <w:tcW w:w="1522" w:type="dxa"/>
                <w:vAlign w:val="center"/>
              </w:tcPr>
              <w:p>
                <w:pPr>
                  <w:rPr>
                    <w:color w:val="000000" w:themeColor="text1"/>
                  </w:rPr>
                </w:pPr>
                <w:r>
                  <w:rPr>
                    <w:color w:val="000000" w:themeColor="text1"/>
                  </w:rPr>
                  <w:t>转龙湾煤矿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w:t>
                </w:r>
                <w:r>
                  <w:rPr>
                    <w:color w:val="000000" w:themeColor="text1"/>
                  </w:rPr>
                  <w:t>19.4</w:t>
                </w:r>
                <w:r>
                  <w:rPr>
                    <w:rFonts w:hint="eastAsia"/>
                    <w:color w:val="000000" w:themeColor="text1"/>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color w:val="000000" w:themeColor="text1"/>
                  </w:rPr>
                  <w:t>89.4吨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114.8吨</w:t>
                </w:r>
              </w:p>
            </w:tc>
            <w:tc>
              <w:tcPr>
                <w:tcW w:w="2064" w:type="dxa"/>
                <w:vAlign w:val="center"/>
              </w:tcPr>
              <w:p>
                <w:pPr>
                  <w:rPr>
                    <w:color w:val="000000" w:themeColor="text1"/>
                  </w:rPr>
                </w:pPr>
                <w:r>
                  <w:rPr>
                    <w:rFonts w:hint="eastAsia"/>
                    <w:color w:val="000000" w:themeColor="text1"/>
                  </w:rPr>
                  <w:t>颗粒物：3.4吨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：2.9</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：34.4</w:t>
                </w:r>
                <w:r>
                  <w:rPr>
                    <w:color w:val="000000" w:themeColor="text1"/>
                  </w:rPr>
                  <w:t>吨</w:t>
                </w:r>
              </w:p>
            </w:tc>
          </w:tr>
          <w:tr>
            <w:trPr>
              <w:trHeight w:val="254"/>
              <w:jc w:val="center"/>
            </w:trPr>
            <w:tc>
              <w:tcPr>
                <w:tcW w:w="660" w:type="dxa"/>
                <w:vAlign w:val="center"/>
              </w:tcPr>
              <w:p>
                <w:pPr>
                  <w:jc w:val="center"/>
                  <w:rPr>
                    <w:color w:val="000000" w:themeColor="text1"/>
                  </w:rPr>
                </w:pPr>
                <w:r>
                  <w:rPr>
                    <w:rFonts w:hint="eastAsia"/>
                    <w:color w:val="000000" w:themeColor="text1"/>
                  </w:rPr>
                  <w:lastRenderedPageBreak/>
                  <w:t>13</w:t>
                </w:r>
              </w:p>
            </w:tc>
            <w:tc>
              <w:tcPr>
                <w:tcW w:w="1522" w:type="dxa"/>
                <w:vAlign w:val="center"/>
              </w:tcPr>
              <w:p>
                <w:pPr>
                  <w:rPr>
                    <w:color w:val="000000" w:themeColor="text1"/>
                  </w:rPr>
                </w:pPr>
                <w:r>
                  <w:rPr>
                    <w:rFonts w:hint="eastAsia"/>
                    <w:color w:val="000000" w:themeColor="text1"/>
                  </w:rPr>
                  <w:t>石拉乌素煤矿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颗粒物：32.2吨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：98</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92.1吨</w:t>
                </w:r>
              </w:p>
            </w:tc>
            <w:tc>
              <w:tcPr>
                <w:tcW w:w="2064" w:type="dxa"/>
                <w:vAlign w:val="center"/>
              </w:tcPr>
              <w:p>
                <w:pPr>
                  <w:rPr>
                    <w:color w:val="000000" w:themeColor="text1"/>
                  </w:rPr>
                </w:pPr>
                <w:r>
                  <w:rPr>
                    <w:rFonts w:hint="eastAsia"/>
                    <w:color w:val="000000" w:themeColor="text1"/>
                  </w:rPr>
                  <w:t>颗粒物：4.2吨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：44</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：56.3</w:t>
                </w:r>
                <w:r>
                  <w:rPr>
                    <w:color w:val="000000" w:themeColor="text1"/>
                  </w:rPr>
                  <w:t>吨</w:t>
                </w:r>
              </w:p>
            </w:tc>
          </w:tr>
          <w:tr>
            <w:trPr>
              <w:trHeight w:val="564"/>
              <w:jc w:val="center"/>
            </w:trPr>
            <w:tc>
              <w:tcPr>
                <w:tcW w:w="660" w:type="dxa"/>
                <w:vAlign w:val="center"/>
              </w:tcPr>
              <w:p>
                <w:pPr>
                  <w:jc w:val="center"/>
                  <w:rPr>
                    <w:color w:val="000000" w:themeColor="text1"/>
                  </w:rPr>
                </w:pPr>
                <w:r>
                  <w:rPr>
                    <w:rFonts w:hint="eastAsia"/>
                    <w:color w:val="000000" w:themeColor="text1"/>
                  </w:rPr>
                  <w:t>14</w:t>
                </w:r>
              </w:p>
            </w:tc>
            <w:tc>
              <w:tcPr>
                <w:tcW w:w="1522" w:type="dxa"/>
                <w:vAlign w:val="center"/>
              </w:tcPr>
              <w:p>
                <w:pPr>
                  <w:rPr>
                    <w:color w:val="000000" w:themeColor="text1"/>
                  </w:rPr>
                </w:pPr>
                <w:r>
                  <w:rPr>
                    <w:rFonts w:hint="eastAsia"/>
                    <w:color w:val="000000" w:themeColor="text1"/>
                  </w:rPr>
                  <w:t>营盘壕煤矿</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颗粒物：32.9吨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：90.8</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：26.1</w:t>
                </w:r>
                <w:r>
                  <w:rPr>
                    <w:color w:val="000000" w:themeColor="text1"/>
                  </w:rPr>
                  <w:t>吨</w:t>
                </w:r>
              </w:p>
            </w:tc>
            <w:tc>
              <w:tcPr>
                <w:tcW w:w="2064" w:type="dxa"/>
                <w:vAlign w:val="center"/>
              </w:tcPr>
              <w:p>
                <w:pPr>
                  <w:rPr>
                    <w:color w:val="000000" w:themeColor="text1"/>
                  </w:rPr>
                </w:pPr>
                <w:r>
                  <w:rPr>
                    <w:rFonts w:hint="eastAsia"/>
                    <w:color w:val="000000" w:themeColor="text1"/>
                  </w:rPr>
                  <w:t>颗粒物：</w:t>
                </w:r>
                <w:r>
                  <w:rPr>
                    <w:color w:val="000000" w:themeColor="text1"/>
                  </w:rPr>
                  <w:t>0.</w:t>
                </w:r>
                <w:r>
                  <w:rPr>
                    <w:rFonts w:hint="eastAsia"/>
                    <w:color w:val="000000" w:themeColor="text1"/>
                  </w:rPr>
                  <w:t>8吨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：48.7</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：21.8</w:t>
                </w:r>
                <w:r>
                  <w:rPr>
                    <w:color w:val="000000" w:themeColor="text1"/>
                  </w:rPr>
                  <w:t>吨</w:t>
                </w:r>
              </w:p>
            </w:tc>
          </w:tr>
          <w:tr>
            <w:trPr>
              <w:trHeight w:val="564"/>
              <w:jc w:val="center"/>
            </w:trPr>
            <w:tc>
              <w:tcPr>
                <w:tcW w:w="660" w:type="dxa"/>
                <w:vAlign w:val="center"/>
              </w:tcPr>
              <w:p>
                <w:pPr>
                  <w:jc w:val="center"/>
                  <w:rPr>
                    <w:color w:val="000000" w:themeColor="text1"/>
                  </w:rPr>
                </w:pPr>
                <w:r>
                  <w:rPr>
                    <w:rFonts w:hint="eastAsia"/>
                    <w:color w:val="000000" w:themeColor="text1"/>
                  </w:rPr>
                  <w:t>15</w:t>
                </w:r>
              </w:p>
            </w:tc>
            <w:tc>
              <w:tcPr>
                <w:tcW w:w="1522" w:type="dxa"/>
                <w:vAlign w:val="center"/>
              </w:tcPr>
              <w:p>
                <w:pPr>
                  <w:rPr>
                    <w:color w:val="000000" w:themeColor="text1"/>
                  </w:rPr>
                </w:pPr>
                <w:r>
                  <w:rPr>
                    <w:rFonts w:hint="eastAsia"/>
                    <w:color w:val="000000" w:themeColor="text1"/>
                  </w:rPr>
                  <w:t>赵楼电厂</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w:t>
                </w:r>
                <w:r>
                  <w:rPr>
                    <w:color w:val="000000" w:themeColor="text1"/>
                  </w:rPr>
                  <w:t>34.6吨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w:t>
                </w:r>
                <w:r>
                  <w:rPr>
                    <w:color w:val="000000" w:themeColor="text1"/>
                  </w:rPr>
                  <w:t>242.4吨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346.3吨</w:t>
                </w:r>
              </w:p>
            </w:tc>
            <w:tc>
              <w:tcPr>
                <w:tcW w:w="2064" w:type="dxa"/>
                <w:vAlign w:val="center"/>
              </w:tcPr>
              <w:p>
                <w:pPr>
                  <w:rPr>
                    <w:color w:val="000000" w:themeColor="text1"/>
                  </w:rPr>
                </w:pPr>
                <w:r>
                  <w:rPr>
                    <w:rFonts w:hint="eastAsia"/>
                    <w:color w:val="000000" w:themeColor="text1"/>
                  </w:rPr>
                  <w:t>颗粒物：9.4</w:t>
                </w:r>
                <w:r>
                  <w:rPr>
                    <w:color w:val="000000" w:themeColor="text1"/>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：46.2</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：195</w:t>
                </w:r>
                <w:r>
                  <w:rPr>
                    <w:color w:val="000000" w:themeColor="text1"/>
                  </w:rPr>
                  <w:t>吨</w:t>
                </w:r>
              </w:p>
            </w:tc>
          </w:tr>
          <w:tr>
            <w:trPr>
              <w:trHeight w:val="564"/>
              <w:jc w:val="center"/>
            </w:trPr>
            <w:tc>
              <w:tcPr>
                <w:tcW w:w="660" w:type="dxa"/>
                <w:vAlign w:val="center"/>
              </w:tcPr>
              <w:p>
                <w:pPr>
                  <w:jc w:val="center"/>
                  <w:rPr>
                    <w:color w:val="000000" w:themeColor="text1"/>
                  </w:rPr>
                </w:pPr>
                <w:r>
                  <w:rPr>
                    <w:rFonts w:hint="eastAsia"/>
                    <w:color w:val="000000" w:themeColor="text1"/>
                  </w:rPr>
                  <w:t>16</w:t>
                </w:r>
              </w:p>
            </w:tc>
            <w:tc>
              <w:tcPr>
                <w:tcW w:w="1522" w:type="dxa"/>
                <w:vAlign w:val="center"/>
              </w:tcPr>
              <w:p>
                <w:pPr>
                  <w:rPr>
                    <w:color w:val="000000" w:themeColor="text1"/>
                  </w:rPr>
                </w:pPr>
                <w:r>
                  <w:rPr>
                    <w:rFonts w:hint="eastAsia"/>
                    <w:color w:val="000000" w:themeColor="text1"/>
                  </w:rPr>
                  <w:t>济三电力</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颗粒物：31.9</w:t>
                </w:r>
                <w:r>
                  <w:rPr>
                    <w:color w:val="000000" w:themeColor="text1"/>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：223.3</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：319</w:t>
                </w:r>
                <w:r>
                  <w:rPr>
                    <w:color w:val="000000" w:themeColor="text1"/>
                  </w:rPr>
                  <w:t>吨</w:t>
                </w:r>
              </w:p>
            </w:tc>
            <w:tc>
              <w:tcPr>
                <w:tcW w:w="2064" w:type="dxa"/>
                <w:vAlign w:val="center"/>
              </w:tcPr>
              <w:p>
                <w:pPr>
                  <w:rPr>
                    <w:color w:val="000000" w:themeColor="text1"/>
                  </w:rPr>
                </w:pPr>
                <w:r>
                  <w:rPr>
                    <w:rFonts w:hint="eastAsia"/>
                    <w:color w:val="000000" w:themeColor="text1"/>
                  </w:rPr>
                  <w:t>颗粒物：4.2</w:t>
                </w:r>
                <w:r>
                  <w:rPr>
                    <w:color w:val="000000" w:themeColor="text1"/>
                  </w:rPr>
                  <w:t>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：59.2</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：294</w:t>
                </w:r>
                <w:r>
                  <w:rPr>
                    <w:color w:val="000000" w:themeColor="text1"/>
                  </w:rPr>
                  <w:t>吨</w:t>
                </w:r>
              </w:p>
            </w:tc>
          </w:tr>
          <w:tr>
            <w:trPr>
              <w:trHeight w:val="564"/>
              <w:jc w:val="center"/>
            </w:trPr>
            <w:tc>
              <w:tcPr>
                <w:tcW w:w="660" w:type="dxa"/>
                <w:vAlign w:val="center"/>
              </w:tcPr>
              <w:p>
                <w:pPr>
                  <w:jc w:val="center"/>
                  <w:rPr>
                    <w:color w:val="000000" w:themeColor="text1"/>
                  </w:rPr>
                </w:pPr>
                <w:r>
                  <w:rPr>
                    <w:rFonts w:hint="eastAsia"/>
                    <w:color w:val="000000" w:themeColor="text1"/>
                  </w:rPr>
                  <w:t>17</w:t>
                </w:r>
              </w:p>
            </w:tc>
            <w:tc>
              <w:tcPr>
                <w:tcW w:w="1522" w:type="dxa"/>
                <w:vAlign w:val="center"/>
              </w:tcPr>
              <w:p>
                <w:pPr>
                  <w:rPr>
                    <w:color w:val="000000" w:themeColor="text1"/>
                  </w:rPr>
                </w:pPr>
                <w:r>
                  <w:rPr>
                    <w:rFonts w:hint="eastAsia"/>
                    <w:color w:val="000000" w:themeColor="text1"/>
                  </w:rPr>
                  <w:t>内蒙古矿业宏大实业兴和热电</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颗粒物：374吨</w:t>
                </w:r>
              </w:p>
              <w:p>
                <w:pPr>
                  <w:rPr>
                    <w:color w:val="000000" w:themeColor="text1"/>
                  </w:rPr>
                </w:pPr>
                <w:r>
                  <w:rPr>
                    <w:rFonts w:hint="eastAsia"/>
                    <w:color w:val="000000" w:themeColor="text1"/>
                  </w:rPr>
                  <w:t>SO</w:t>
                </w:r>
                <w:r>
                  <w:rPr>
                    <w:rFonts w:hint="eastAsia"/>
                    <w:color w:val="000000" w:themeColor="text1"/>
                    <w:vertAlign w:val="subscript"/>
                  </w:rPr>
                  <w:t>2</w:t>
                </w:r>
                <w:r>
                  <w:rPr>
                    <w:color w:val="000000" w:themeColor="text1"/>
                  </w:rPr>
                  <w:t>：1</w:t>
                </w:r>
                <w:r>
                  <w:rPr>
                    <w:rFonts w:hint="eastAsia"/>
                    <w:color w:val="000000" w:themeColor="text1"/>
                  </w:rPr>
                  <w:t>,</w:t>
                </w:r>
                <w:r>
                  <w:rPr>
                    <w:color w:val="000000" w:themeColor="text1"/>
                  </w:rPr>
                  <w:t>522.1吨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1</w:t>
                </w:r>
                <w:r>
                  <w:rPr>
                    <w:rFonts w:hint="eastAsia"/>
                    <w:color w:val="000000" w:themeColor="text1"/>
                  </w:rPr>
                  <w:t>,</w:t>
                </w:r>
                <w:r>
                  <w:rPr>
                    <w:color w:val="000000" w:themeColor="text1"/>
                  </w:rPr>
                  <w:t>522.1吨</w:t>
                </w:r>
              </w:p>
            </w:tc>
            <w:tc>
              <w:tcPr>
                <w:tcW w:w="2064" w:type="dxa"/>
                <w:vAlign w:val="center"/>
              </w:tcPr>
              <w:p>
                <w:pPr>
                  <w:rPr>
                    <w:color w:val="000000" w:themeColor="text1"/>
                  </w:rPr>
                </w:pPr>
                <w:r>
                  <w:rPr>
                    <w:rFonts w:hint="eastAsia"/>
                    <w:color w:val="000000" w:themeColor="text1"/>
                  </w:rPr>
                  <w:t>颗粒物：33.3</w:t>
                </w:r>
                <w:r>
                  <w:rPr>
                    <w:color w:val="000000" w:themeColor="text1"/>
                  </w:rPr>
                  <w:t>吨</w:t>
                </w:r>
              </w:p>
              <w:p>
                <w:pPr>
                  <w:rPr>
                    <w:color w:val="000000" w:themeColor="text1"/>
                  </w:rPr>
                </w:pPr>
                <w:r>
                  <w:rPr>
                    <w:color w:val="000000" w:themeColor="text1"/>
                  </w:rPr>
                  <w:t>SO</w:t>
                </w:r>
                <w:r>
                  <w:rPr>
                    <w:color w:val="000000" w:themeColor="text1"/>
                    <w:vertAlign w:val="subscript"/>
                  </w:rPr>
                  <w:t>2</w:t>
                </w:r>
                <w:r>
                  <w:rPr>
                    <w:color w:val="000000" w:themeColor="text1"/>
                  </w:rPr>
                  <w:t>：</w:t>
                </w:r>
                <w:r>
                  <w:rPr>
                    <w:rFonts w:hint="eastAsia"/>
                    <w:color w:val="000000" w:themeColor="text1"/>
                  </w:rPr>
                  <w:t>157.2</w:t>
                </w:r>
                <w:r>
                  <w:rPr>
                    <w:color w:val="000000" w:themeColor="text1"/>
                  </w:rPr>
                  <w:t>吨</w:t>
                </w:r>
              </w:p>
              <w:p>
                <w:pPr>
                  <w:rPr>
                    <w:color w:val="000000" w:themeColor="text1"/>
                  </w:rPr>
                </w:pPr>
                <w:r>
                  <w:rPr>
                    <w:color w:val="000000" w:themeColor="text1"/>
                  </w:rPr>
                  <w:t>NO</w:t>
                </w:r>
                <w:r>
                  <w:rPr>
                    <w:color w:val="000000" w:themeColor="text1"/>
                    <w:vertAlign w:val="subscript"/>
                  </w:rPr>
                  <w:t>X</w:t>
                </w:r>
                <w:r>
                  <w:rPr>
                    <w:color w:val="000000" w:themeColor="text1"/>
                  </w:rPr>
                  <w:t>：</w:t>
                </w:r>
                <w:r>
                  <w:rPr>
                    <w:rFonts w:hint="eastAsia"/>
                    <w:color w:val="000000" w:themeColor="text1"/>
                  </w:rPr>
                  <w:t>528.4</w:t>
                </w:r>
                <w:r>
                  <w:rPr>
                    <w:color w:val="000000" w:themeColor="text1"/>
                  </w:rPr>
                  <w:t>吨</w:t>
                </w:r>
              </w:p>
            </w:tc>
          </w:tr>
          <w:tr>
            <w:trPr>
              <w:trHeight w:val="564"/>
              <w:jc w:val="center"/>
            </w:trPr>
            <w:tc>
              <w:tcPr>
                <w:tcW w:w="660" w:type="dxa"/>
                <w:vAlign w:val="center"/>
              </w:tcPr>
              <w:p>
                <w:pPr>
                  <w:jc w:val="center"/>
                  <w:rPr>
                    <w:color w:val="000000" w:themeColor="text1"/>
                  </w:rPr>
                </w:pPr>
                <w:r>
                  <w:rPr>
                    <w:rFonts w:hint="eastAsia"/>
                    <w:color w:val="000000" w:themeColor="text1"/>
                  </w:rPr>
                  <w:t>18</w:t>
                </w:r>
              </w:p>
            </w:tc>
            <w:tc>
              <w:tcPr>
                <w:tcW w:w="1522" w:type="dxa"/>
                <w:vAlign w:val="center"/>
              </w:tcPr>
              <w:p>
                <w:pPr>
                  <w:rPr>
                    <w:color w:val="000000" w:themeColor="text1"/>
                  </w:rPr>
                </w:pPr>
                <w:r>
                  <w:rPr>
                    <w:color w:val="000000" w:themeColor="text1"/>
                  </w:rPr>
                  <w:t>榆林能化</w:t>
                </w:r>
              </w:p>
            </w:tc>
            <w:tc>
              <w:tcPr>
                <w:tcW w:w="1267" w:type="dxa"/>
                <w:vMerge w:val="restart"/>
                <w:vAlign w:val="center"/>
              </w:tcPr>
              <w:p>
                <w:pPr>
                  <w:jc w:val="center"/>
                  <w:rPr>
                    <w:color w:val="000000" w:themeColor="text1"/>
                  </w:rPr>
                </w:pPr>
                <w:r>
                  <w:rPr>
                    <w:rFonts w:hint="eastAsia"/>
                    <w:color w:val="000000" w:themeColor="text1"/>
                  </w:rPr>
                  <w:t>锅炉烟气</w:t>
                </w:r>
              </w:p>
              <w:p>
                <w:pPr>
                  <w:jc w:val="center"/>
                  <w:rPr>
                    <w:color w:val="000000" w:themeColor="text1"/>
                  </w:rPr>
                </w:pPr>
                <w:r>
                  <w:rPr>
                    <w:rFonts w:hint="eastAsia"/>
                    <w:color w:val="000000" w:themeColor="text1"/>
                  </w:rPr>
                  <w:t>生产废水</w:t>
                </w:r>
              </w:p>
              <w:p>
                <w:pPr>
                  <w:jc w:val="center"/>
                  <w:rPr>
                    <w:color w:val="000000" w:themeColor="text1"/>
                  </w:rPr>
                </w:pPr>
                <w:r>
                  <w:rPr>
                    <w:rFonts w:hint="eastAsia"/>
                    <w:color w:val="000000" w:themeColor="text1"/>
                  </w:rPr>
                  <w:t>生活污水</w:t>
                </w:r>
              </w:p>
            </w:tc>
            <w:tc>
              <w:tcPr>
                <w:tcW w:w="1463" w:type="dxa"/>
                <w:vMerge w:val="restart"/>
                <w:vAlign w:val="center"/>
              </w:tcPr>
              <w:p>
                <w:pPr>
                  <w:rPr>
                    <w:color w:val="000000" w:themeColor="text1"/>
                  </w:rPr>
                </w:pPr>
                <w:r>
                  <w:rPr>
                    <w:rFonts w:hint="eastAsia"/>
                    <w:color w:val="000000" w:themeColor="text1"/>
                  </w:rPr>
                  <w:t>颗粒物</w:t>
                </w:r>
              </w:p>
              <w:p>
                <w:pPr>
                  <w:rPr>
                    <w:color w:val="000000" w:themeColor="text1"/>
                  </w:rPr>
                </w:pPr>
                <w:r>
                  <w:rPr>
                    <w:rFonts w:hint="eastAsia"/>
                    <w:color w:val="000000" w:themeColor="text1"/>
                  </w:rPr>
                  <w:t>SO</w:t>
                </w:r>
                <w:r>
                  <w:rPr>
                    <w:rFonts w:hint="eastAsia"/>
                    <w:color w:val="000000" w:themeColor="text1"/>
                    <w:vertAlign w:val="subscript"/>
                  </w:rPr>
                  <w:t>2</w:t>
                </w:r>
              </w:p>
              <w:p>
                <w:pPr>
                  <w:rPr>
                    <w:color w:val="000000" w:themeColor="text1"/>
                  </w:rPr>
                </w:pPr>
                <w:r>
                  <w:rPr>
                    <w:color w:val="000000" w:themeColor="text1"/>
                  </w:rPr>
                  <w:t>NO</w:t>
                </w:r>
                <w:r>
                  <w:rPr>
                    <w:color w:val="000000" w:themeColor="text1"/>
                    <w:vertAlign w:val="subscript"/>
                  </w:rPr>
                  <w:t>X</w:t>
                </w:r>
              </w:p>
              <w:p>
                <w:pPr>
                  <w:rPr>
                    <w:color w:val="000000" w:themeColor="text1"/>
                  </w:rPr>
                </w:pPr>
                <w:r>
                  <w:rPr>
                    <w:color w:val="000000" w:themeColor="text1"/>
                  </w:rPr>
                  <w:t>COD</w:t>
                </w:r>
              </w:p>
              <w:p>
                <w:pPr>
                  <w:rPr>
                    <w:color w:val="000000" w:themeColor="text1"/>
                  </w:rPr>
                </w:pPr>
                <w:r>
                  <w:rPr>
                    <w:color w:val="000000" w:themeColor="text1"/>
                  </w:rPr>
                  <w:t>氨氮</w:t>
                </w:r>
              </w:p>
            </w:tc>
            <w:tc>
              <w:tcPr>
                <w:tcW w:w="2093" w:type="dxa"/>
                <w:vAlign w:val="center"/>
              </w:tcPr>
              <w:p>
                <w:pPr>
                  <w:rPr>
                    <w:color w:val="000000" w:themeColor="text1"/>
                  </w:rPr>
                </w:pPr>
                <w:r>
                  <w:rPr>
                    <w:rFonts w:hint="eastAsia"/>
                    <w:color w:val="000000" w:themeColor="text1"/>
                  </w:rPr>
                  <w:t>颗粒物：76.1吨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：246.7</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3</w:t>
                </w:r>
                <w:r>
                  <w:rPr>
                    <w:rFonts w:hint="eastAsia"/>
                    <w:color w:val="000000" w:themeColor="text1"/>
                  </w:rPr>
                  <w:t>74.9</w:t>
                </w:r>
                <w:r>
                  <w:rPr>
                    <w:color w:val="000000" w:themeColor="text1"/>
                  </w:rPr>
                  <w:t>吨</w:t>
                </w:r>
              </w:p>
              <w:p>
                <w:pPr>
                  <w:rPr>
                    <w:color w:val="000000" w:themeColor="text1"/>
                  </w:rPr>
                </w:pPr>
                <w:r>
                  <w:rPr>
                    <w:color w:val="000000" w:themeColor="text1"/>
                  </w:rPr>
                  <w:t>COD</w:t>
                </w:r>
                <w:r>
                  <w:rPr>
                    <w:rFonts w:hint="eastAsia"/>
                    <w:color w:val="000000" w:themeColor="text1"/>
                  </w:rPr>
                  <w:t>：</w:t>
                </w:r>
                <w:r>
                  <w:rPr>
                    <w:color w:val="000000" w:themeColor="text1"/>
                  </w:rPr>
                  <w:t>85.8吨</w:t>
                </w:r>
              </w:p>
              <w:p>
                <w:pPr>
                  <w:rPr>
                    <w:color w:val="000000" w:themeColor="text1"/>
                  </w:rPr>
                </w:pPr>
                <w:r>
                  <w:rPr>
                    <w:color w:val="000000" w:themeColor="text1"/>
                  </w:rPr>
                  <w:t>氨氮</w:t>
                </w:r>
                <w:r>
                  <w:rPr>
                    <w:rFonts w:hint="eastAsia"/>
                    <w:color w:val="000000" w:themeColor="text1"/>
                  </w:rPr>
                  <w:t>：1</w:t>
                </w:r>
                <w:r>
                  <w:rPr>
                    <w:color w:val="000000" w:themeColor="text1"/>
                  </w:rPr>
                  <w:t>3.7吨</w:t>
                </w:r>
              </w:p>
            </w:tc>
            <w:tc>
              <w:tcPr>
                <w:tcW w:w="2064" w:type="dxa"/>
                <w:vAlign w:val="center"/>
              </w:tcPr>
              <w:p>
                <w:pPr>
                  <w:rPr>
                    <w:color w:val="000000" w:themeColor="text1"/>
                  </w:rPr>
                </w:pPr>
                <w:r>
                  <w:rPr>
                    <w:rFonts w:hint="eastAsia"/>
                    <w:color w:val="000000" w:themeColor="text1"/>
                  </w:rPr>
                  <w:t>颗粒物：6.1吨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：91.2</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：234.7</w:t>
                </w:r>
                <w:r>
                  <w:rPr>
                    <w:color w:val="000000" w:themeColor="text1"/>
                  </w:rPr>
                  <w:t>吨</w:t>
                </w:r>
              </w:p>
              <w:p>
                <w:pPr>
                  <w:rPr>
                    <w:color w:val="000000" w:themeColor="text1"/>
                  </w:rPr>
                </w:pPr>
                <w:r>
                  <w:rPr>
                    <w:color w:val="000000" w:themeColor="text1"/>
                  </w:rPr>
                  <w:t>COD</w:t>
                </w:r>
                <w:r>
                  <w:rPr>
                    <w:rFonts w:hint="eastAsia"/>
                    <w:color w:val="000000" w:themeColor="text1"/>
                  </w:rPr>
                  <w:t>：20.1</w:t>
                </w:r>
                <w:r>
                  <w:rPr>
                    <w:color w:val="000000" w:themeColor="text1"/>
                  </w:rPr>
                  <w:t>吨</w:t>
                </w:r>
              </w:p>
              <w:p>
                <w:pPr>
                  <w:rPr>
                    <w:color w:val="000000" w:themeColor="text1"/>
                  </w:rPr>
                </w:pPr>
                <w:r>
                  <w:rPr>
                    <w:color w:val="000000" w:themeColor="text1"/>
                  </w:rPr>
                  <w:t>氨氮</w:t>
                </w:r>
                <w:r>
                  <w:rPr>
                    <w:rFonts w:hint="eastAsia"/>
                    <w:color w:val="000000" w:themeColor="text1"/>
                  </w:rPr>
                  <w:t>：</w:t>
                </w:r>
                <w:r>
                  <w:rPr>
                    <w:color w:val="000000" w:themeColor="text1"/>
                  </w:rPr>
                  <w:t>0.</w:t>
                </w:r>
                <w:r>
                  <w:rPr>
                    <w:rFonts w:hint="eastAsia"/>
                    <w:color w:val="000000" w:themeColor="text1"/>
                  </w:rPr>
                  <w:t>66</w:t>
                </w:r>
                <w:r>
                  <w:rPr>
                    <w:color w:val="000000" w:themeColor="text1"/>
                  </w:rPr>
                  <w:t>吨</w:t>
                </w:r>
              </w:p>
            </w:tc>
          </w:tr>
          <w:tr>
            <w:trPr>
              <w:trHeight w:val="90"/>
              <w:jc w:val="center"/>
            </w:trPr>
            <w:tc>
              <w:tcPr>
                <w:tcW w:w="660" w:type="dxa"/>
                <w:vAlign w:val="center"/>
              </w:tcPr>
              <w:p>
                <w:pPr>
                  <w:jc w:val="center"/>
                  <w:rPr>
                    <w:color w:val="000000" w:themeColor="text1"/>
                  </w:rPr>
                </w:pPr>
                <w:r>
                  <w:rPr>
                    <w:rFonts w:hint="eastAsia"/>
                    <w:color w:val="000000" w:themeColor="text1"/>
                  </w:rPr>
                  <w:t>19</w:t>
                </w:r>
              </w:p>
            </w:tc>
            <w:tc>
              <w:tcPr>
                <w:tcW w:w="1522" w:type="dxa"/>
                <w:vAlign w:val="center"/>
              </w:tcPr>
              <w:p>
                <w:pPr>
                  <w:rPr>
                    <w:color w:val="000000" w:themeColor="text1"/>
                  </w:rPr>
                </w:pPr>
                <w:r>
                  <w:rPr>
                    <w:rFonts w:hint="eastAsia"/>
                    <w:color w:val="000000" w:themeColor="text1"/>
                  </w:rPr>
                  <w:t>鲁南化工</w:t>
                </w:r>
              </w:p>
            </w:tc>
            <w:tc>
              <w:tcPr>
                <w:tcW w:w="1267" w:type="dxa"/>
                <w:vMerge/>
                <w:vAlign w:val="center"/>
              </w:tcPr>
              <w:p>
                <w:pP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rFonts w:hint="eastAsia"/>
                    <w:color w:val="000000" w:themeColor="text1"/>
                  </w:rPr>
                  <w:t>颗粒物：</w:t>
                </w:r>
                <w:r>
                  <w:rPr>
                    <w:color w:val="000000" w:themeColor="text1"/>
                  </w:rPr>
                  <w:t>9</w:t>
                </w:r>
                <w:r>
                  <w:rPr>
                    <w:rFonts w:hint="eastAsia"/>
                    <w:color w:val="000000" w:themeColor="text1"/>
                  </w:rPr>
                  <w:t>5吨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：545</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w:t>
                </w:r>
                <w:r>
                  <w:rPr>
                    <w:color w:val="000000" w:themeColor="text1"/>
                  </w:rPr>
                  <w:t>78</w:t>
                </w:r>
                <w:r>
                  <w:rPr>
                    <w:rFonts w:hint="eastAsia"/>
                    <w:color w:val="000000" w:themeColor="text1"/>
                  </w:rPr>
                  <w:t>8</w:t>
                </w:r>
                <w:r>
                  <w:rPr>
                    <w:color w:val="000000" w:themeColor="text1"/>
                  </w:rPr>
                  <w:t>吨</w:t>
                </w:r>
              </w:p>
              <w:p>
                <w:pPr>
                  <w:rPr>
                    <w:color w:val="000000" w:themeColor="text1"/>
                  </w:rPr>
                </w:pPr>
                <w:r>
                  <w:rPr>
                    <w:color w:val="000000" w:themeColor="text1"/>
                  </w:rPr>
                  <w:t>COD</w:t>
                </w:r>
                <w:r>
                  <w:rPr>
                    <w:rFonts w:hint="eastAsia"/>
                    <w:color w:val="000000" w:themeColor="text1"/>
                  </w:rPr>
                  <w:t>：</w:t>
                </w:r>
                <w:r>
                  <w:rPr>
                    <w:color w:val="000000" w:themeColor="text1"/>
                  </w:rPr>
                  <w:t>577吨</w:t>
                </w:r>
              </w:p>
              <w:p>
                <w:pPr>
                  <w:rPr>
                    <w:color w:val="000000" w:themeColor="text1"/>
                  </w:rPr>
                </w:pPr>
                <w:r>
                  <w:rPr>
                    <w:color w:val="000000" w:themeColor="text1"/>
                  </w:rPr>
                  <w:t>氨氮</w:t>
                </w:r>
                <w:r>
                  <w:rPr>
                    <w:rFonts w:hint="eastAsia"/>
                    <w:color w:val="000000" w:themeColor="text1"/>
                  </w:rPr>
                  <w:t>：9</w:t>
                </w:r>
                <w:r>
                  <w:rPr>
                    <w:color w:val="000000" w:themeColor="text1"/>
                  </w:rPr>
                  <w:t>1吨</w:t>
                </w:r>
              </w:p>
            </w:tc>
            <w:tc>
              <w:tcPr>
                <w:tcW w:w="2064" w:type="dxa"/>
                <w:vAlign w:val="center"/>
              </w:tcPr>
              <w:p>
                <w:pPr>
                  <w:rPr>
                    <w:color w:val="000000" w:themeColor="text1"/>
                  </w:rPr>
                </w:pPr>
                <w:r>
                  <w:rPr>
                    <w:rFonts w:hint="eastAsia"/>
                    <w:color w:val="000000" w:themeColor="text1"/>
                  </w:rPr>
                  <w:t>颗粒物：25吨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：44.2</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：472.7</w:t>
                </w:r>
                <w:r>
                  <w:rPr>
                    <w:color w:val="000000" w:themeColor="text1"/>
                  </w:rPr>
                  <w:t>吨</w:t>
                </w:r>
              </w:p>
              <w:p>
                <w:pPr>
                  <w:rPr>
                    <w:color w:val="000000" w:themeColor="text1"/>
                  </w:rPr>
                </w:pPr>
                <w:r>
                  <w:rPr>
                    <w:color w:val="000000" w:themeColor="text1"/>
                  </w:rPr>
                  <w:t>COD</w:t>
                </w:r>
                <w:r>
                  <w:rPr>
                    <w:rFonts w:hint="eastAsia"/>
                    <w:color w:val="000000" w:themeColor="text1"/>
                  </w:rPr>
                  <w:t>：490</w:t>
                </w:r>
                <w:r>
                  <w:rPr>
                    <w:color w:val="000000" w:themeColor="text1"/>
                  </w:rPr>
                  <w:t>吨</w:t>
                </w:r>
              </w:p>
              <w:p>
                <w:pPr>
                  <w:rPr>
                    <w:color w:val="000000" w:themeColor="text1"/>
                  </w:rPr>
                </w:pPr>
                <w:r>
                  <w:rPr>
                    <w:color w:val="000000" w:themeColor="text1"/>
                  </w:rPr>
                  <w:t>氨氮</w:t>
                </w:r>
                <w:r>
                  <w:rPr>
                    <w:rFonts w:hint="eastAsia"/>
                    <w:color w:val="000000" w:themeColor="text1"/>
                  </w:rPr>
                  <w:t>：11.81</w:t>
                </w:r>
                <w:r>
                  <w:rPr>
                    <w:color w:val="000000" w:themeColor="text1"/>
                  </w:rPr>
                  <w:t>吨</w:t>
                </w:r>
              </w:p>
            </w:tc>
          </w:tr>
          <w:tr>
            <w:trPr>
              <w:trHeight w:val="90"/>
              <w:jc w:val="center"/>
            </w:trPr>
            <w:tc>
              <w:tcPr>
                <w:tcW w:w="660" w:type="dxa"/>
                <w:vAlign w:val="center"/>
              </w:tcPr>
              <w:p>
                <w:pPr>
                  <w:jc w:val="center"/>
                  <w:rPr>
                    <w:color w:val="000000" w:themeColor="text1"/>
                  </w:rPr>
                </w:pPr>
                <w:r>
                  <w:rPr>
                    <w:rFonts w:hint="eastAsia"/>
                    <w:color w:val="000000" w:themeColor="text1"/>
                  </w:rPr>
                  <w:t>20</w:t>
                </w:r>
              </w:p>
            </w:tc>
            <w:tc>
              <w:tcPr>
                <w:tcW w:w="1522" w:type="dxa"/>
                <w:vAlign w:val="center"/>
              </w:tcPr>
              <w:p>
                <w:pPr>
                  <w:rPr>
                    <w:color w:val="000000" w:themeColor="text1"/>
                  </w:rPr>
                </w:pPr>
                <w:r>
                  <w:rPr>
                    <w:rFonts w:hint="eastAsia"/>
                    <w:color w:val="000000" w:themeColor="text1"/>
                  </w:rPr>
                  <w:t>新巨龙公司</w:t>
                </w:r>
              </w:p>
            </w:tc>
            <w:tc>
              <w:tcPr>
                <w:tcW w:w="1267" w:type="dxa"/>
                <w:vMerge w:val="restart"/>
                <w:vAlign w:val="center"/>
              </w:tcPr>
              <w:p>
                <w:pPr>
                  <w:jc w:val="center"/>
                  <w:rPr>
                    <w:color w:val="000000" w:themeColor="text1"/>
                  </w:rPr>
                </w:pPr>
                <w:r>
                  <w:rPr>
                    <w:rFonts w:hint="eastAsia"/>
                    <w:color w:val="000000" w:themeColor="text1"/>
                  </w:rPr>
                  <w:t>生产废水</w:t>
                </w:r>
              </w:p>
              <w:p>
                <w:pPr>
                  <w:jc w:val="center"/>
                  <w:rPr>
                    <w:color w:val="000000" w:themeColor="text1"/>
                  </w:rPr>
                </w:pPr>
                <w:r>
                  <w:rPr>
                    <w:rFonts w:hint="eastAsia"/>
                    <w:color w:val="000000" w:themeColor="text1"/>
                  </w:rPr>
                  <w:t>生活污水</w:t>
                </w:r>
              </w:p>
            </w:tc>
            <w:tc>
              <w:tcPr>
                <w:tcW w:w="1463" w:type="dxa"/>
                <w:vMerge w:val="restart"/>
                <w:vAlign w:val="center"/>
              </w:tcPr>
              <w:p>
                <w:pPr>
                  <w:rPr>
                    <w:color w:val="000000" w:themeColor="text1"/>
                  </w:rPr>
                </w:pPr>
                <w:r>
                  <w:rPr>
                    <w:rFonts w:hint="eastAsia"/>
                    <w:color w:val="000000" w:themeColor="text1"/>
                  </w:rPr>
                  <w:t>C</w:t>
                </w:r>
                <w:r>
                  <w:rPr>
                    <w:color w:val="000000" w:themeColor="text1"/>
                  </w:rPr>
                  <w:t>OD</w:t>
                </w:r>
              </w:p>
              <w:p>
                <w:pPr>
                  <w:rPr>
                    <w:color w:val="000000" w:themeColor="text1"/>
                  </w:rPr>
                </w:pPr>
                <w:r>
                  <w:rPr>
                    <w:rFonts w:hint="eastAsia"/>
                    <w:color w:val="000000" w:themeColor="text1"/>
                  </w:rPr>
                  <w:t>氨氮</w:t>
                </w:r>
              </w:p>
            </w:tc>
            <w:tc>
              <w:tcPr>
                <w:tcW w:w="2093" w:type="dxa"/>
                <w:vAlign w:val="center"/>
              </w:tcPr>
              <w:p>
                <w:pPr>
                  <w:rPr>
                    <w:color w:val="000000" w:themeColor="text1"/>
                  </w:rPr>
                </w:pPr>
                <w:r>
                  <w:rPr>
                    <w:color w:val="000000" w:themeColor="text1"/>
                  </w:rPr>
                  <w:t>COD</w:t>
                </w:r>
                <w:r>
                  <w:rPr>
                    <w:rFonts w:hint="eastAsia"/>
                    <w:color w:val="000000" w:themeColor="text1"/>
                  </w:rPr>
                  <w:t>：1</w:t>
                </w:r>
                <w:r>
                  <w:rPr>
                    <w:color w:val="000000" w:themeColor="text1"/>
                  </w:rPr>
                  <w:t>38</w:t>
                </w:r>
                <w:r>
                  <w:rPr>
                    <w:rFonts w:hint="eastAsia"/>
                    <w:color w:val="000000" w:themeColor="text1"/>
                  </w:rPr>
                  <w:t>.</w:t>
                </w:r>
                <w:r>
                  <w:rPr>
                    <w:color w:val="000000" w:themeColor="text1"/>
                  </w:rPr>
                  <w:t>8</w:t>
                </w:r>
                <w:r>
                  <w:rPr>
                    <w:rFonts w:hint="eastAsia"/>
                    <w:color w:val="000000" w:themeColor="text1"/>
                  </w:rPr>
                  <w:t>9</w:t>
                </w:r>
                <w:r>
                  <w:rPr>
                    <w:color w:val="000000" w:themeColor="text1"/>
                  </w:rPr>
                  <w:t>吨</w:t>
                </w:r>
              </w:p>
              <w:p>
                <w:pPr>
                  <w:rPr>
                    <w:color w:val="000000" w:themeColor="text1"/>
                  </w:rPr>
                </w:pPr>
                <w:r>
                  <w:rPr>
                    <w:color w:val="000000" w:themeColor="text1"/>
                  </w:rPr>
                  <w:t>氨氮</w:t>
                </w:r>
                <w:r>
                  <w:rPr>
                    <w:rFonts w:hint="eastAsia"/>
                    <w:color w:val="000000" w:themeColor="text1"/>
                  </w:rPr>
                  <w:t>：1</w:t>
                </w:r>
                <w:r>
                  <w:rPr>
                    <w:color w:val="000000" w:themeColor="text1"/>
                  </w:rPr>
                  <w:t>3</w:t>
                </w:r>
                <w:r>
                  <w:rPr>
                    <w:rFonts w:hint="eastAsia"/>
                    <w:color w:val="000000" w:themeColor="text1"/>
                  </w:rPr>
                  <w:t>.</w:t>
                </w:r>
                <w:r>
                  <w:rPr>
                    <w:color w:val="000000" w:themeColor="text1"/>
                  </w:rPr>
                  <w:t>8</w:t>
                </w:r>
                <w:r>
                  <w:rPr>
                    <w:rFonts w:hint="eastAsia"/>
                    <w:color w:val="000000" w:themeColor="text1"/>
                  </w:rPr>
                  <w:t>9</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：46.7吨</w:t>
                </w:r>
              </w:p>
              <w:p>
                <w:pPr>
                  <w:rPr>
                    <w:color w:val="000000" w:themeColor="text1"/>
                  </w:rPr>
                </w:pPr>
                <w:r>
                  <w:rPr>
                    <w:rFonts w:hint="eastAsia"/>
                    <w:color w:val="000000" w:themeColor="text1"/>
                  </w:rPr>
                  <w:t>氨氮：0.48吨</w:t>
                </w:r>
              </w:p>
            </w:tc>
          </w:tr>
          <w:tr>
            <w:trPr>
              <w:trHeight w:val="90"/>
              <w:jc w:val="center"/>
            </w:trPr>
            <w:tc>
              <w:tcPr>
                <w:tcW w:w="660" w:type="dxa"/>
                <w:vAlign w:val="center"/>
              </w:tcPr>
              <w:p>
                <w:pPr>
                  <w:jc w:val="center"/>
                  <w:rPr>
                    <w:color w:val="000000" w:themeColor="text1"/>
                  </w:rPr>
                </w:pPr>
                <w:r>
                  <w:rPr>
                    <w:rFonts w:hint="eastAsia"/>
                    <w:color w:val="000000" w:themeColor="text1"/>
                  </w:rPr>
                  <w:t>21</w:t>
                </w:r>
              </w:p>
            </w:tc>
            <w:tc>
              <w:tcPr>
                <w:tcW w:w="1522" w:type="dxa"/>
                <w:vAlign w:val="center"/>
              </w:tcPr>
              <w:p>
                <w:pPr>
                  <w:rPr>
                    <w:color w:val="000000" w:themeColor="text1"/>
                  </w:rPr>
                </w:pPr>
                <w:r>
                  <w:rPr>
                    <w:rFonts w:hint="eastAsia"/>
                    <w:color w:val="000000" w:themeColor="text1"/>
                  </w:rPr>
                  <w:t>李楼煤业</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：117.6</w:t>
                </w:r>
                <w:r>
                  <w:rPr>
                    <w:color w:val="000000" w:themeColor="text1"/>
                  </w:rPr>
                  <w:t>吨</w:t>
                </w:r>
              </w:p>
              <w:p>
                <w:pPr>
                  <w:rPr>
                    <w:color w:val="000000" w:themeColor="text1"/>
                  </w:rPr>
                </w:pPr>
                <w:r>
                  <w:rPr>
                    <w:color w:val="000000" w:themeColor="text1"/>
                  </w:rPr>
                  <w:t>氨氮</w:t>
                </w:r>
                <w:r>
                  <w:rPr>
                    <w:rFonts w:hint="eastAsia"/>
                    <w:color w:val="000000" w:themeColor="text1"/>
                  </w:rPr>
                  <w:t>：5.88</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15.4</w:t>
                </w:r>
                <w:r>
                  <w:rPr>
                    <w:color w:val="000000" w:themeColor="text1"/>
                  </w:rPr>
                  <w:t>吨</w:t>
                </w:r>
              </w:p>
              <w:p>
                <w:pPr>
                  <w:rPr>
                    <w:color w:val="000000" w:themeColor="text1"/>
                  </w:rPr>
                </w:pPr>
                <w:r>
                  <w:rPr>
                    <w:rFonts w:hint="eastAsia"/>
                    <w:color w:val="000000" w:themeColor="text1"/>
                  </w:rPr>
                  <w:t>氨氮：</w:t>
                </w:r>
                <w:r>
                  <w:rPr>
                    <w:color w:val="000000" w:themeColor="text1"/>
                  </w:rPr>
                  <w:t>0.</w:t>
                </w:r>
                <w:r>
                  <w:rPr>
                    <w:rFonts w:hint="eastAsia"/>
                    <w:color w:val="000000" w:themeColor="text1"/>
                  </w:rPr>
                  <w:t>24</w:t>
                </w:r>
                <w:r>
                  <w:rPr>
                    <w:color w:val="000000" w:themeColor="text1"/>
                  </w:rPr>
                  <w:t>吨</w:t>
                </w:r>
              </w:p>
            </w:tc>
          </w:tr>
          <w:tr>
            <w:trPr>
              <w:trHeight w:val="90"/>
              <w:jc w:val="center"/>
            </w:trPr>
            <w:tc>
              <w:tcPr>
                <w:tcW w:w="660" w:type="dxa"/>
                <w:vAlign w:val="center"/>
              </w:tcPr>
              <w:p>
                <w:pPr>
                  <w:jc w:val="center"/>
                  <w:rPr>
                    <w:color w:val="000000" w:themeColor="text1"/>
                  </w:rPr>
                </w:pPr>
                <w:r>
                  <w:rPr>
                    <w:rFonts w:hint="eastAsia"/>
                    <w:color w:val="000000" w:themeColor="text1"/>
                  </w:rPr>
                  <w:t>22</w:t>
                </w:r>
              </w:p>
            </w:tc>
            <w:tc>
              <w:tcPr>
                <w:tcW w:w="1522" w:type="dxa"/>
                <w:vAlign w:val="center"/>
              </w:tcPr>
              <w:p>
                <w:pPr>
                  <w:rPr>
                    <w:color w:val="000000" w:themeColor="text1"/>
                  </w:rPr>
                </w:pPr>
                <w:r>
                  <w:rPr>
                    <w:rFonts w:hint="eastAsia"/>
                    <w:color w:val="000000" w:themeColor="text1"/>
                  </w:rPr>
                  <w:t>彭庄煤矿</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：61.88</w:t>
                </w:r>
                <w:r>
                  <w:rPr>
                    <w:color w:val="000000" w:themeColor="text1"/>
                  </w:rPr>
                  <w:t>吨</w:t>
                </w:r>
              </w:p>
              <w:p>
                <w:pPr>
                  <w:rPr>
                    <w:color w:val="000000" w:themeColor="text1"/>
                  </w:rPr>
                </w:pPr>
                <w:r>
                  <w:rPr>
                    <w:color w:val="000000" w:themeColor="text1"/>
                  </w:rPr>
                  <w:t>氨氮</w:t>
                </w:r>
                <w:r>
                  <w:rPr>
                    <w:rFonts w:hint="eastAsia"/>
                    <w:color w:val="000000" w:themeColor="text1"/>
                  </w:rPr>
                  <w:t>：2.87</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：6.7吨</w:t>
                </w:r>
              </w:p>
              <w:p>
                <w:pPr>
                  <w:rPr>
                    <w:color w:val="000000" w:themeColor="text1"/>
                  </w:rPr>
                </w:pPr>
                <w:r>
                  <w:rPr>
                    <w:rFonts w:hint="eastAsia"/>
                    <w:color w:val="000000" w:themeColor="text1"/>
                  </w:rPr>
                  <w:t>氨氮：0.58吨</w:t>
                </w:r>
              </w:p>
            </w:tc>
          </w:tr>
          <w:tr>
            <w:trPr>
              <w:trHeight w:val="90"/>
              <w:jc w:val="center"/>
            </w:trPr>
            <w:tc>
              <w:tcPr>
                <w:tcW w:w="660" w:type="dxa"/>
                <w:vAlign w:val="center"/>
              </w:tcPr>
              <w:p>
                <w:pPr>
                  <w:jc w:val="center"/>
                  <w:rPr>
                    <w:color w:val="000000" w:themeColor="text1"/>
                  </w:rPr>
                </w:pPr>
                <w:r>
                  <w:rPr>
                    <w:rFonts w:hint="eastAsia"/>
                    <w:color w:val="000000" w:themeColor="text1"/>
                  </w:rPr>
                  <w:t>23</w:t>
                </w:r>
              </w:p>
            </w:tc>
            <w:tc>
              <w:tcPr>
                <w:tcW w:w="1522" w:type="dxa"/>
                <w:vAlign w:val="center"/>
              </w:tcPr>
              <w:p>
                <w:pPr>
                  <w:rPr>
                    <w:color w:val="000000" w:themeColor="text1"/>
                  </w:rPr>
                </w:pPr>
                <w:r>
                  <w:rPr>
                    <w:rFonts w:hint="eastAsia"/>
                    <w:color w:val="000000" w:themeColor="text1"/>
                  </w:rPr>
                  <w:t>单县能源</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：29.50</w:t>
                </w:r>
                <w:r>
                  <w:rPr>
                    <w:color w:val="000000" w:themeColor="text1"/>
                  </w:rPr>
                  <w:t>吨</w:t>
                </w:r>
              </w:p>
              <w:p>
                <w:pPr>
                  <w:rPr>
                    <w:color w:val="000000" w:themeColor="text1"/>
                  </w:rPr>
                </w:pPr>
                <w:r>
                  <w:rPr>
                    <w:color w:val="000000" w:themeColor="text1"/>
                  </w:rPr>
                  <w:t>氨氮</w:t>
                </w:r>
                <w:r>
                  <w:rPr>
                    <w:rFonts w:hint="eastAsia"/>
                    <w:color w:val="000000" w:themeColor="text1"/>
                  </w:rPr>
                  <w:t>：1.4</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：2.8吨</w:t>
                </w:r>
              </w:p>
              <w:p>
                <w:pPr>
                  <w:rPr>
                    <w:color w:val="000000" w:themeColor="text1"/>
                  </w:rPr>
                </w:pPr>
                <w:r>
                  <w:rPr>
                    <w:rFonts w:hint="eastAsia"/>
                    <w:color w:val="000000" w:themeColor="text1"/>
                  </w:rPr>
                  <w:t>氨氮：0.19吨</w:t>
                </w:r>
              </w:p>
            </w:tc>
          </w:tr>
          <w:tr>
            <w:trPr>
              <w:trHeight w:val="90"/>
              <w:jc w:val="center"/>
            </w:trPr>
            <w:tc>
              <w:tcPr>
                <w:tcW w:w="660" w:type="dxa"/>
                <w:vAlign w:val="center"/>
              </w:tcPr>
              <w:p>
                <w:pPr>
                  <w:jc w:val="center"/>
                  <w:rPr>
                    <w:color w:val="000000" w:themeColor="text1"/>
                  </w:rPr>
                </w:pPr>
                <w:r>
                  <w:rPr>
                    <w:color w:val="000000" w:themeColor="text1"/>
                  </w:rPr>
                  <w:t>2</w:t>
                </w:r>
                <w:r>
                  <w:rPr>
                    <w:rFonts w:hint="eastAsia"/>
                    <w:color w:val="000000" w:themeColor="text1"/>
                  </w:rPr>
                  <w:t>4</w:t>
                </w:r>
              </w:p>
            </w:tc>
            <w:tc>
              <w:tcPr>
                <w:tcW w:w="1522" w:type="dxa"/>
                <w:vAlign w:val="center"/>
              </w:tcPr>
              <w:p>
                <w:pPr>
                  <w:rPr>
                    <w:color w:val="000000" w:themeColor="text1"/>
                  </w:rPr>
                </w:pPr>
                <w:r>
                  <w:rPr>
                    <w:rFonts w:hint="eastAsia"/>
                    <w:color w:val="000000" w:themeColor="text1"/>
                  </w:rPr>
                  <w:t>唐口煤业</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：26.95</w:t>
                </w:r>
                <w:r>
                  <w:rPr>
                    <w:color w:val="000000" w:themeColor="text1"/>
                  </w:rPr>
                  <w:t>吨</w:t>
                </w:r>
              </w:p>
              <w:p>
                <w:pPr>
                  <w:rPr>
                    <w:color w:val="000000" w:themeColor="text1"/>
                  </w:rPr>
                </w:pPr>
                <w:r>
                  <w:rPr>
                    <w:color w:val="000000" w:themeColor="text1"/>
                  </w:rPr>
                  <w:t>氨氮</w:t>
                </w:r>
                <w:r>
                  <w:rPr>
                    <w:rFonts w:hint="eastAsia"/>
                    <w:color w:val="000000" w:themeColor="text1"/>
                  </w:rPr>
                  <w:t>：1.01</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：6.8吨</w:t>
                </w:r>
              </w:p>
              <w:p>
                <w:pPr>
                  <w:rPr>
                    <w:color w:val="000000" w:themeColor="text1"/>
                  </w:rPr>
                </w:pPr>
                <w:r>
                  <w:rPr>
                    <w:rFonts w:hint="eastAsia"/>
                    <w:color w:val="000000" w:themeColor="text1"/>
                  </w:rPr>
                  <w:t>氨氮：0.12吨</w:t>
                </w:r>
              </w:p>
            </w:tc>
          </w:tr>
          <w:tr>
            <w:trPr>
              <w:trHeight w:val="90"/>
              <w:jc w:val="center"/>
            </w:trPr>
            <w:tc>
              <w:tcPr>
                <w:tcW w:w="660" w:type="dxa"/>
                <w:vAlign w:val="center"/>
              </w:tcPr>
              <w:p>
                <w:pPr>
                  <w:jc w:val="center"/>
                  <w:rPr>
                    <w:color w:val="000000" w:themeColor="text1"/>
                  </w:rPr>
                </w:pPr>
                <w:r>
                  <w:rPr>
                    <w:color w:val="000000" w:themeColor="text1"/>
                  </w:rPr>
                  <w:t>2</w:t>
                </w:r>
                <w:r>
                  <w:rPr>
                    <w:rFonts w:hint="eastAsia"/>
                    <w:color w:val="000000" w:themeColor="text1"/>
                  </w:rPr>
                  <w:t>5</w:t>
                </w:r>
              </w:p>
            </w:tc>
            <w:tc>
              <w:tcPr>
                <w:tcW w:w="1522" w:type="dxa"/>
                <w:vAlign w:val="center"/>
              </w:tcPr>
              <w:p>
                <w:pPr>
                  <w:rPr>
                    <w:color w:val="000000" w:themeColor="text1"/>
                  </w:rPr>
                </w:pPr>
                <w:r>
                  <w:rPr>
                    <w:rFonts w:hint="eastAsia"/>
                    <w:color w:val="000000" w:themeColor="text1"/>
                  </w:rPr>
                  <w:t>梁宝寺公司</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：84.47</w:t>
                </w:r>
                <w:r>
                  <w:rPr>
                    <w:color w:val="000000" w:themeColor="text1"/>
                  </w:rPr>
                  <w:t>吨</w:t>
                </w:r>
              </w:p>
              <w:p>
                <w:pPr>
                  <w:rPr>
                    <w:color w:val="000000" w:themeColor="text1"/>
                  </w:rPr>
                </w:pPr>
                <w:r>
                  <w:rPr>
                    <w:color w:val="000000" w:themeColor="text1"/>
                  </w:rPr>
                  <w:t>氨氮</w:t>
                </w:r>
                <w:r>
                  <w:rPr>
                    <w:rFonts w:hint="eastAsia"/>
                    <w:color w:val="000000" w:themeColor="text1"/>
                  </w:rPr>
                  <w:t>：4.02</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：18.4吨</w:t>
                </w:r>
              </w:p>
              <w:p>
                <w:pPr>
                  <w:rPr>
                    <w:color w:val="000000" w:themeColor="text1"/>
                  </w:rPr>
                </w:pPr>
                <w:r>
                  <w:rPr>
                    <w:rFonts w:hint="eastAsia"/>
                    <w:color w:val="000000" w:themeColor="text1"/>
                  </w:rPr>
                  <w:t>氨氮：0.4吨</w:t>
                </w:r>
              </w:p>
            </w:tc>
          </w:tr>
          <w:tr>
            <w:trPr>
              <w:trHeight w:val="90"/>
              <w:jc w:val="center"/>
            </w:trPr>
            <w:tc>
              <w:tcPr>
                <w:tcW w:w="660" w:type="dxa"/>
                <w:vAlign w:val="center"/>
              </w:tcPr>
              <w:p>
                <w:pPr>
                  <w:jc w:val="center"/>
                  <w:rPr>
                    <w:color w:val="000000" w:themeColor="text1"/>
                  </w:rPr>
                </w:pPr>
                <w:r>
                  <w:rPr>
                    <w:color w:val="000000" w:themeColor="text1"/>
                  </w:rPr>
                  <w:t>2</w:t>
                </w:r>
                <w:r>
                  <w:rPr>
                    <w:rFonts w:hint="eastAsia"/>
                    <w:color w:val="000000" w:themeColor="text1"/>
                  </w:rPr>
                  <w:t>6</w:t>
                </w:r>
              </w:p>
            </w:tc>
            <w:tc>
              <w:tcPr>
                <w:tcW w:w="1522" w:type="dxa"/>
                <w:vAlign w:val="center"/>
              </w:tcPr>
              <w:p>
                <w:pPr>
                  <w:rPr>
                    <w:color w:val="000000" w:themeColor="text1"/>
                  </w:rPr>
                </w:pPr>
                <w:r>
                  <w:rPr>
                    <w:rFonts w:hint="eastAsia"/>
                    <w:color w:val="000000" w:themeColor="text1"/>
                  </w:rPr>
                  <w:t>郭屯煤矿</w:t>
                </w:r>
              </w:p>
            </w:tc>
            <w:tc>
              <w:tcPr>
                <w:tcW w:w="1267" w:type="dxa"/>
                <w:vMerge/>
                <w:vAlign w:val="center"/>
              </w:tcPr>
              <w:p>
                <w:pPr>
                  <w:jc w:val="center"/>
                  <w:rPr>
                    <w:color w:val="000000" w:themeColor="text1"/>
                  </w:rPr>
                </w:pPr>
              </w:p>
            </w:tc>
            <w:tc>
              <w:tcPr>
                <w:tcW w:w="1463" w:type="dxa"/>
                <w:vMerge/>
                <w:vAlign w:val="center"/>
              </w:tcPr>
              <w:p>
                <w:pPr>
                  <w:rPr>
                    <w:color w:val="000000" w:themeColor="text1"/>
                  </w:rPr>
                </w:pPr>
              </w:p>
            </w:tc>
            <w:tc>
              <w:tcPr>
                <w:tcW w:w="2093" w:type="dxa"/>
                <w:vAlign w:val="center"/>
              </w:tcPr>
              <w:p>
                <w:pPr>
                  <w:rPr>
                    <w:color w:val="000000" w:themeColor="text1"/>
                  </w:rPr>
                </w:pPr>
                <w:r>
                  <w:rPr>
                    <w:color w:val="000000" w:themeColor="text1"/>
                  </w:rPr>
                  <w:t>COD</w:t>
                </w:r>
                <w:r>
                  <w:rPr>
                    <w:rFonts w:hint="eastAsia"/>
                    <w:color w:val="000000" w:themeColor="text1"/>
                  </w:rPr>
                  <w:t>：121.2</w:t>
                </w:r>
                <w:r>
                  <w:rPr>
                    <w:color w:val="000000" w:themeColor="text1"/>
                  </w:rPr>
                  <w:t>吨</w:t>
                </w:r>
              </w:p>
              <w:p>
                <w:pPr>
                  <w:rPr>
                    <w:color w:val="000000" w:themeColor="text1"/>
                  </w:rPr>
                </w:pPr>
                <w:r>
                  <w:rPr>
                    <w:color w:val="000000" w:themeColor="text1"/>
                  </w:rPr>
                  <w:t>氨氮</w:t>
                </w:r>
                <w:r>
                  <w:rPr>
                    <w:rFonts w:hint="eastAsia"/>
                    <w:color w:val="000000" w:themeColor="text1"/>
                  </w:rPr>
                  <w:t>：5.9</w:t>
                </w:r>
                <w:r>
                  <w:rPr>
                    <w:color w:val="000000" w:themeColor="text1"/>
                  </w:rPr>
                  <w:t>吨</w:t>
                </w:r>
              </w:p>
            </w:tc>
            <w:tc>
              <w:tcPr>
                <w:tcW w:w="2064" w:type="dxa"/>
                <w:vAlign w:val="center"/>
              </w:tcPr>
              <w:p>
                <w:pPr>
                  <w:rPr>
                    <w:color w:val="000000" w:themeColor="text1"/>
                  </w:rPr>
                </w:pPr>
                <w:r>
                  <w:rPr>
                    <w:color w:val="000000" w:themeColor="text1"/>
                  </w:rPr>
                  <w:t>COD</w:t>
                </w:r>
                <w:r>
                  <w:rPr>
                    <w:rFonts w:hint="eastAsia"/>
                    <w:color w:val="000000" w:themeColor="text1"/>
                  </w:rPr>
                  <w:t>：23.3</w:t>
                </w:r>
                <w:r>
                  <w:rPr>
                    <w:color w:val="000000" w:themeColor="text1"/>
                  </w:rPr>
                  <w:t>吨</w:t>
                </w:r>
              </w:p>
              <w:p>
                <w:pPr>
                  <w:rPr>
                    <w:color w:val="000000" w:themeColor="text1"/>
                  </w:rPr>
                </w:pPr>
                <w:r>
                  <w:rPr>
                    <w:color w:val="000000" w:themeColor="text1"/>
                  </w:rPr>
                  <w:t>氨氮</w:t>
                </w:r>
                <w:r>
                  <w:rPr>
                    <w:rFonts w:hint="eastAsia"/>
                    <w:color w:val="000000" w:themeColor="text1"/>
                  </w:rPr>
                  <w:t>：0.37</w:t>
                </w:r>
                <w:r>
                  <w:rPr>
                    <w:color w:val="000000" w:themeColor="text1"/>
                  </w:rPr>
                  <w:t>吨</w:t>
                </w:r>
              </w:p>
            </w:tc>
          </w:tr>
          <w:tr>
            <w:trPr>
              <w:trHeight w:val="90"/>
              <w:jc w:val="center"/>
            </w:trPr>
            <w:tc>
              <w:tcPr>
                <w:tcW w:w="660" w:type="dxa"/>
                <w:vAlign w:val="center"/>
              </w:tcPr>
              <w:p>
                <w:pPr>
                  <w:jc w:val="center"/>
                  <w:rPr>
                    <w:color w:val="000000" w:themeColor="text1"/>
                  </w:rPr>
                </w:pPr>
                <w:r>
                  <w:rPr>
                    <w:color w:val="000000" w:themeColor="text1"/>
                  </w:rPr>
                  <w:t>2</w:t>
                </w:r>
                <w:r>
                  <w:rPr>
                    <w:rFonts w:hint="eastAsia"/>
                    <w:color w:val="000000" w:themeColor="text1"/>
                  </w:rPr>
                  <w:t>7</w:t>
                </w:r>
              </w:p>
            </w:tc>
            <w:tc>
              <w:tcPr>
                <w:tcW w:w="1522" w:type="dxa"/>
                <w:vAlign w:val="center"/>
              </w:tcPr>
              <w:p>
                <w:pPr>
                  <w:rPr>
                    <w:color w:val="000000" w:themeColor="text1"/>
                  </w:rPr>
                </w:pPr>
                <w:r>
                  <w:rPr>
                    <w:rFonts w:hint="eastAsia"/>
                    <w:color w:val="000000" w:themeColor="text1"/>
                  </w:rPr>
                  <w:t>新疆煤化工</w:t>
                </w:r>
              </w:p>
            </w:tc>
            <w:tc>
              <w:tcPr>
                <w:tcW w:w="1267" w:type="dxa"/>
                <w:vAlign w:val="center"/>
              </w:tcPr>
              <w:p>
                <w:pPr>
                  <w:jc w:val="center"/>
                  <w:rPr>
                    <w:color w:val="000000" w:themeColor="text1"/>
                  </w:rPr>
                </w:pPr>
                <w:r>
                  <w:rPr>
                    <w:rFonts w:hint="eastAsia"/>
                    <w:color w:val="000000" w:themeColor="text1"/>
                  </w:rPr>
                  <w:t>锅炉烟气</w:t>
                </w:r>
              </w:p>
              <w:p>
                <w:pPr>
                  <w:jc w:val="center"/>
                  <w:rPr>
                    <w:color w:val="000000" w:themeColor="text1"/>
                  </w:rPr>
                </w:pPr>
                <w:r>
                  <w:rPr>
                    <w:rFonts w:hint="eastAsia"/>
                    <w:color w:val="000000" w:themeColor="text1"/>
                  </w:rPr>
                  <w:t>生产废水</w:t>
                </w:r>
              </w:p>
              <w:p>
                <w:pPr>
                  <w:jc w:val="center"/>
                  <w:rPr>
                    <w:color w:val="000000" w:themeColor="text1"/>
                  </w:rPr>
                </w:pPr>
                <w:r>
                  <w:rPr>
                    <w:rFonts w:hint="eastAsia"/>
                    <w:color w:val="000000" w:themeColor="text1"/>
                  </w:rPr>
                  <w:t>生活污水</w:t>
                </w:r>
              </w:p>
            </w:tc>
            <w:tc>
              <w:tcPr>
                <w:tcW w:w="1463" w:type="dxa"/>
                <w:vAlign w:val="center"/>
              </w:tcPr>
              <w:p>
                <w:pPr>
                  <w:rPr>
                    <w:color w:val="000000" w:themeColor="text1"/>
                  </w:rPr>
                </w:pPr>
                <w:r>
                  <w:rPr>
                    <w:rFonts w:hint="eastAsia"/>
                    <w:color w:val="000000" w:themeColor="text1"/>
                  </w:rPr>
                  <w:t>颗粒物</w:t>
                </w:r>
              </w:p>
              <w:p>
                <w:pPr>
                  <w:rPr>
                    <w:color w:val="000000" w:themeColor="text1"/>
                  </w:rPr>
                </w:pPr>
                <w:r>
                  <w:rPr>
                    <w:rFonts w:hint="eastAsia"/>
                    <w:color w:val="000000" w:themeColor="text1"/>
                  </w:rPr>
                  <w:t>SO</w:t>
                </w:r>
                <w:r>
                  <w:rPr>
                    <w:rFonts w:hint="eastAsia"/>
                    <w:color w:val="000000" w:themeColor="text1"/>
                    <w:vertAlign w:val="subscript"/>
                  </w:rPr>
                  <w:t>2</w:t>
                </w:r>
              </w:p>
              <w:p>
                <w:pPr>
                  <w:rPr>
                    <w:color w:val="000000" w:themeColor="text1"/>
                  </w:rPr>
                </w:pPr>
                <w:r>
                  <w:rPr>
                    <w:color w:val="000000" w:themeColor="text1"/>
                  </w:rPr>
                  <w:t>NO</w:t>
                </w:r>
                <w:r>
                  <w:rPr>
                    <w:color w:val="000000" w:themeColor="text1"/>
                    <w:vertAlign w:val="subscript"/>
                  </w:rPr>
                  <w:t>X</w:t>
                </w:r>
              </w:p>
              <w:p>
                <w:pPr>
                  <w:rPr>
                    <w:color w:val="000000" w:themeColor="text1"/>
                  </w:rPr>
                </w:pPr>
                <w:r>
                  <w:rPr>
                    <w:color w:val="000000" w:themeColor="text1"/>
                  </w:rPr>
                  <w:t>COD</w:t>
                </w:r>
              </w:p>
              <w:p>
                <w:pPr>
                  <w:rPr>
                    <w:color w:val="000000" w:themeColor="text1"/>
                  </w:rPr>
                </w:pPr>
                <w:r>
                  <w:rPr>
                    <w:color w:val="000000" w:themeColor="text1"/>
                  </w:rPr>
                  <w:t>氨氮</w:t>
                </w:r>
              </w:p>
            </w:tc>
            <w:tc>
              <w:tcPr>
                <w:tcW w:w="2093" w:type="dxa"/>
                <w:vAlign w:val="center"/>
              </w:tcPr>
              <w:p>
                <w:pPr>
                  <w:rPr>
                    <w:color w:val="000000" w:themeColor="text1"/>
                  </w:rPr>
                </w:pPr>
                <w:r>
                  <w:rPr>
                    <w:rFonts w:hint="eastAsia"/>
                    <w:color w:val="000000" w:themeColor="text1"/>
                  </w:rPr>
                  <w:t>颗粒物：</w:t>
                </w:r>
                <w:r>
                  <w:rPr>
                    <w:color w:val="000000" w:themeColor="text1"/>
                  </w:rPr>
                  <w:t>313.07吨</w:t>
                </w:r>
              </w:p>
              <w:p>
                <w:pPr>
                  <w:rPr>
                    <w:color w:val="000000" w:themeColor="text1"/>
                  </w:rPr>
                </w:pPr>
                <w:r>
                  <w:rPr>
                    <w:color w:val="000000" w:themeColor="text1"/>
                  </w:rPr>
                  <w:t>SO</w:t>
                </w:r>
                <w:r>
                  <w:rPr>
                    <w:color w:val="000000" w:themeColor="text1"/>
                    <w:vertAlign w:val="subscript"/>
                  </w:rPr>
                  <w:t>2</w:t>
                </w:r>
                <w:r>
                  <w:rPr>
                    <w:color w:val="000000" w:themeColor="text1"/>
                  </w:rPr>
                  <w:t>：427.46吨</w:t>
                </w:r>
              </w:p>
              <w:p>
                <w:pPr>
                  <w:rPr>
                    <w:color w:val="000000" w:themeColor="text1"/>
                  </w:rPr>
                </w:pPr>
                <w:r>
                  <w:rPr>
                    <w:color w:val="000000" w:themeColor="text1"/>
                  </w:rPr>
                  <w:t>NO</w:t>
                </w:r>
                <w:r>
                  <w:rPr>
                    <w:color w:val="000000" w:themeColor="text1"/>
                    <w:vertAlign w:val="subscript"/>
                  </w:rPr>
                  <w:t>X</w:t>
                </w:r>
                <w:r>
                  <w:rPr>
                    <w:color w:val="000000" w:themeColor="text1"/>
                  </w:rPr>
                  <w:t>：222.87吨</w:t>
                </w:r>
              </w:p>
              <w:p>
                <w:pPr>
                  <w:rPr>
                    <w:color w:val="000000" w:themeColor="text1"/>
                  </w:rPr>
                </w:pPr>
                <w:r>
                  <w:rPr>
                    <w:color w:val="000000" w:themeColor="text1"/>
                  </w:rPr>
                  <w:t>COD：122.26吨</w:t>
                </w:r>
              </w:p>
              <w:p>
                <w:pPr>
                  <w:rPr>
                    <w:color w:val="000000" w:themeColor="text1"/>
                  </w:rPr>
                </w:pPr>
                <w:r>
                  <w:rPr>
                    <w:rFonts w:hint="eastAsia"/>
                    <w:color w:val="000000" w:themeColor="text1"/>
                  </w:rPr>
                  <w:t>氨氮：</w:t>
                </w:r>
                <w:r>
                  <w:rPr>
                    <w:color w:val="000000" w:themeColor="text1"/>
                  </w:rPr>
                  <w:t>20.38吨</w:t>
                </w:r>
              </w:p>
            </w:tc>
            <w:tc>
              <w:tcPr>
                <w:tcW w:w="2064" w:type="dxa"/>
                <w:vAlign w:val="center"/>
              </w:tcPr>
              <w:p>
                <w:pPr>
                  <w:rPr>
                    <w:color w:val="000000" w:themeColor="text1"/>
                  </w:rPr>
                </w:pPr>
                <w:r>
                  <w:rPr>
                    <w:rFonts w:hint="eastAsia"/>
                    <w:color w:val="000000" w:themeColor="text1"/>
                  </w:rPr>
                  <w:t>颗粒物：20.1</w:t>
                </w:r>
                <w:r>
                  <w:rPr>
                    <w:color w:val="000000" w:themeColor="text1"/>
                  </w:rPr>
                  <w:t>吨</w:t>
                </w:r>
              </w:p>
              <w:p>
                <w:pPr>
                  <w:rPr>
                    <w:color w:val="000000" w:themeColor="text1"/>
                  </w:rPr>
                </w:pPr>
                <w:r>
                  <w:rPr>
                    <w:color w:val="000000" w:themeColor="text1"/>
                  </w:rPr>
                  <w:t>SO</w:t>
                </w:r>
                <w:r>
                  <w:rPr>
                    <w:color w:val="000000" w:themeColor="text1"/>
                    <w:vertAlign w:val="subscript"/>
                  </w:rPr>
                  <w:t>2</w:t>
                </w:r>
                <w:r>
                  <w:rPr>
                    <w:color w:val="000000" w:themeColor="text1"/>
                  </w:rPr>
                  <w:t>：</w:t>
                </w:r>
                <w:r>
                  <w:rPr>
                    <w:rFonts w:hint="eastAsia"/>
                    <w:color w:val="000000" w:themeColor="text1"/>
                  </w:rPr>
                  <w:t>7.5</w:t>
                </w:r>
                <w:r>
                  <w:rPr>
                    <w:color w:val="000000" w:themeColor="text1"/>
                  </w:rPr>
                  <w:t>吨</w:t>
                </w:r>
              </w:p>
              <w:p>
                <w:pPr>
                  <w:rPr>
                    <w:color w:val="000000" w:themeColor="text1"/>
                  </w:rPr>
                </w:pPr>
                <w:r>
                  <w:rPr>
                    <w:color w:val="000000" w:themeColor="text1"/>
                  </w:rPr>
                  <w:t>NO</w:t>
                </w:r>
                <w:r>
                  <w:rPr>
                    <w:color w:val="000000" w:themeColor="text1"/>
                    <w:vertAlign w:val="subscript"/>
                  </w:rPr>
                  <w:t>X</w:t>
                </w:r>
                <w:r>
                  <w:rPr>
                    <w:color w:val="000000" w:themeColor="text1"/>
                  </w:rPr>
                  <w:t>：</w:t>
                </w:r>
                <w:r>
                  <w:rPr>
                    <w:rFonts w:hint="eastAsia"/>
                    <w:color w:val="000000" w:themeColor="text1"/>
                  </w:rPr>
                  <w:t>202</w:t>
                </w:r>
                <w:r>
                  <w:rPr>
                    <w:color w:val="000000" w:themeColor="text1"/>
                  </w:rPr>
                  <w:t>吨</w:t>
                </w:r>
              </w:p>
              <w:p>
                <w:pPr>
                  <w:rPr>
                    <w:color w:val="000000" w:themeColor="text1"/>
                  </w:rPr>
                </w:pPr>
                <w:r>
                  <w:rPr>
                    <w:color w:val="000000" w:themeColor="text1"/>
                  </w:rPr>
                  <w:t>COD：</w:t>
                </w:r>
                <w:r>
                  <w:rPr>
                    <w:rFonts w:hint="eastAsia"/>
                    <w:color w:val="000000" w:themeColor="text1"/>
                  </w:rPr>
                  <w:t>81.8</w:t>
                </w:r>
                <w:r>
                  <w:rPr>
                    <w:color w:val="000000" w:themeColor="text1"/>
                  </w:rPr>
                  <w:t>吨</w:t>
                </w:r>
              </w:p>
              <w:p>
                <w:pPr>
                  <w:rPr>
                    <w:color w:val="000000" w:themeColor="text1"/>
                  </w:rPr>
                </w:pPr>
                <w:r>
                  <w:rPr>
                    <w:rFonts w:hint="eastAsia"/>
                    <w:color w:val="000000" w:themeColor="text1"/>
                  </w:rPr>
                  <w:t>氨氮：6.41</w:t>
                </w:r>
                <w:r>
                  <w:rPr>
                    <w:color w:val="000000" w:themeColor="text1"/>
                  </w:rPr>
                  <w:t>吨</w:t>
                </w:r>
              </w:p>
            </w:tc>
          </w:tr>
          <w:tr>
            <w:trPr>
              <w:trHeight w:val="90"/>
              <w:jc w:val="center"/>
            </w:trPr>
            <w:tc>
              <w:tcPr>
                <w:tcW w:w="660" w:type="dxa"/>
                <w:vAlign w:val="center"/>
              </w:tcPr>
              <w:p>
                <w:pPr>
                  <w:jc w:val="center"/>
                  <w:rPr>
                    <w:color w:val="000000" w:themeColor="text1"/>
                  </w:rPr>
                </w:pPr>
                <w:r>
                  <w:rPr>
                    <w:color w:val="000000" w:themeColor="text1"/>
                  </w:rPr>
                  <w:t>2</w:t>
                </w:r>
                <w:r>
                  <w:rPr>
                    <w:rFonts w:hint="eastAsia"/>
                    <w:color w:val="000000" w:themeColor="text1"/>
                  </w:rPr>
                  <w:t>8</w:t>
                </w:r>
              </w:p>
            </w:tc>
            <w:tc>
              <w:tcPr>
                <w:tcW w:w="1522" w:type="dxa"/>
                <w:vAlign w:val="center"/>
              </w:tcPr>
              <w:p>
                <w:pPr>
                  <w:rPr>
                    <w:color w:val="000000" w:themeColor="text1"/>
                  </w:rPr>
                </w:pPr>
                <w:r>
                  <w:rPr>
                    <w:rFonts w:hint="eastAsia"/>
                    <w:color w:val="000000" w:themeColor="text1"/>
                  </w:rPr>
                  <w:t>伊犁一矿</w:t>
                </w:r>
              </w:p>
            </w:tc>
            <w:tc>
              <w:tcPr>
                <w:tcW w:w="1267" w:type="dxa"/>
                <w:vAlign w:val="center"/>
              </w:tcPr>
              <w:p>
                <w:pPr>
                  <w:jc w:val="center"/>
                  <w:rPr>
                    <w:color w:val="000000" w:themeColor="text1"/>
                  </w:rPr>
                </w:pPr>
                <w:r>
                  <w:rPr>
                    <w:rFonts w:hint="eastAsia"/>
                    <w:color w:val="000000" w:themeColor="text1"/>
                  </w:rPr>
                  <w:t>锅炉烟气</w:t>
                </w:r>
              </w:p>
            </w:tc>
            <w:tc>
              <w:tcPr>
                <w:tcW w:w="1463" w:type="dxa"/>
                <w:vAlign w:val="center"/>
              </w:tcPr>
              <w:p>
                <w:pPr>
                  <w:rPr>
                    <w:color w:val="000000" w:themeColor="text1"/>
                  </w:rPr>
                </w:pPr>
                <w:r>
                  <w:rPr>
                    <w:rFonts w:hint="eastAsia"/>
                    <w:color w:val="000000" w:themeColor="text1"/>
                  </w:rPr>
                  <w:t>颗粒物</w:t>
                </w:r>
              </w:p>
              <w:p>
                <w:pPr>
                  <w:rPr>
                    <w:color w:val="000000" w:themeColor="text1"/>
                  </w:rPr>
                </w:pPr>
                <w:r>
                  <w:rPr>
                    <w:rFonts w:hint="eastAsia"/>
                    <w:color w:val="000000" w:themeColor="text1"/>
                  </w:rPr>
                  <w:t>SO</w:t>
                </w:r>
                <w:r>
                  <w:rPr>
                    <w:rFonts w:hint="eastAsia"/>
                    <w:color w:val="000000" w:themeColor="text1"/>
                    <w:vertAlign w:val="subscript"/>
                  </w:rPr>
                  <w:t>2</w:t>
                </w:r>
              </w:p>
              <w:p>
                <w:pPr>
                  <w:rPr>
                    <w:color w:val="000000" w:themeColor="text1"/>
                  </w:rPr>
                </w:pPr>
                <w:r>
                  <w:rPr>
                    <w:color w:val="000000" w:themeColor="text1"/>
                  </w:rPr>
                  <w:t>NO</w:t>
                </w:r>
                <w:r>
                  <w:rPr>
                    <w:color w:val="000000" w:themeColor="text1"/>
                    <w:vertAlign w:val="subscript"/>
                  </w:rPr>
                  <w:t>X</w:t>
                </w:r>
              </w:p>
            </w:tc>
            <w:tc>
              <w:tcPr>
                <w:tcW w:w="2093" w:type="dxa"/>
                <w:vAlign w:val="center"/>
              </w:tcPr>
              <w:p>
                <w:pPr>
                  <w:rPr>
                    <w:color w:val="000000" w:themeColor="text1"/>
                  </w:rPr>
                </w:pPr>
                <w:r>
                  <w:rPr>
                    <w:rFonts w:hint="eastAsia"/>
                    <w:color w:val="000000" w:themeColor="text1"/>
                  </w:rPr>
                  <w:t>颗粒物：9.77吨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：41.39</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：51.05</w:t>
                </w:r>
                <w:r>
                  <w:rPr>
                    <w:color w:val="000000" w:themeColor="text1"/>
                  </w:rPr>
                  <w:t>吨</w:t>
                </w:r>
              </w:p>
            </w:tc>
            <w:tc>
              <w:tcPr>
                <w:tcW w:w="2064" w:type="dxa"/>
                <w:vAlign w:val="center"/>
              </w:tcPr>
              <w:p>
                <w:pPr>
                  <w:rPr>
                    <w:color w:val="000000" w:themeColor="text1"/>
                  </w:rPr>
                </w:pPr>
                <w:r>
                  <w:rPr>
                    <w:rFonts w:hint="eastAsia"/>
                    <w:color w:val="000000" w:themeColor="text1"/>
                  </w:rPr>
                  <w:t>颗粒物：4.6吨</w:t>
                </w:r>
              </w:p>
              <w:p>
                <w:pPr>
                  <w:rPr>
                    <w:color w:val="000000" w:themeColor="text1"/>
                  </w:rPr>
                </w:pPr>
                <w:r>
                  <w:rPr>
                    <w:rFonts w:hint="eastAsia"/>
                    <w:color w:val="000000" w:themeColor="text1"/>
                  </w:rPr>
                  <w:t>SO</w:t>
                </w:r>
                <w:r>
                  <w:rPr>
                    <w:rFonts w:hint="eastAsia"/>
                    <w:color w:val="000000" w:themeColor="text1"/>
                    <w:vertAlign w:val="subscript"/>
                  </w:rPr>
                  <w:t>2</w:t>
                </w:r>
                <w:r>
                  <w:rPr>
                    <w:rFonts w:hint="eastAsia"/>
                    <w:color w:val="000000" w:themeColor="text1"/>
                  </w:rPr>
                  <w:t>：28.4</w:t>
                </w:r>
                <w:r>
                  <w:rPr>
                    <w:color w:val="000000" w:themeColor="text1"/>
                  </w:rPr>
                  <w:t>吨</w:t>
                </w:r>
              </w:p>
              <w:p>
                <w:pPr>
                  <w:rPr>
                    <w:color w:val="000000" w:themeColor="text1"/>
                  </w:rPr>
                </w:pPr>
                <w:r>
                  <w:rPr>
                    <w:color w:val="000000" w:themeColor="text1"/>
                  </w:rPr>
                  <w:t>NO</w:t>
                </w:r>
                <w:r>
                  <w:rPr>
                    <w:color w:val="000000" w:themeColor="text1"/>
                    <w:vertAlign w:val="subscript"/>
                  </w:rPr>
                  <w:t>X</w:t>
                </w:r>
                <w:r>
                  <w:rPr>
                    <w:rFonts w:hint="eastAsia"/>
                    <w:color w:val="000000" w:themeColor="text1"/>
                  </w:rPr>
                  <w:t>：23.6</w:t>
                </w:r>
                <w:r>
                  <w:rPr>
                    <w:color w:val="000000" w:themeColor="text1"/>
                  </w:rPr>
                  <w:t>吨</w:t>
                </w:r>
              </w:p>
            </w:tc>
          </w:tr>
        </w:tbl>
        <w:bookmarkEnd w:id="152"/>
        <w:p>
          <w:pPr>
            <w:rPr>
              <w:color w:val="000000" w:themeColor="text1"/>
            </w:rPr>
          </w:pPr>
          <w:r>
            <w:rPr>
              <w:rFonts w:hint="eastAsia"/>
              <w:color w:val="000000" w:themeColor="text1"/>
            </w:rPr>
            <w:t xml:space="preserve">注：重点排污单位主要污染物排放方式、执行标准及排放浓度、排放口数量和分布情况等信息，详见全国排污许可证信息管理平台。 </w:t>
          </w:r>
        </w:p>
      </w:sdtContent>
    </w:sdt>
    <w:p>
      <w:pPr>
        <w:rPr>
          <w:color w:val="000000" w:themeColor="text1"/>
        </w:rPr>
      </w:pPr>
    </w:p>
    <w:p>
      <w:pPr>
        <w:pStyle w:val="affffffff5"/>
        <w:numPr>
          <w:ilvl w:val="0"/>
          <w:numId w:val="64"/>
        </w:numPr>
        <w:rPr>
          <w:rFonts w:ascii="宋体" w:hAnsi="宋体"/>
          <w:color w:val="000000" w:themeColor="text1"/>
        </w:rPr>
      </w:pPr>
      <w:r>
        <w:rPr>
          <w:rFonts w:ascii="宋体" w:hAnsi="宋体" w:hint="eastAsia"/>
          <w:color w:val="000000" w:themeColor="text1"/>
        </w:rPr>
        <w:t>防治污染设施的建设和运行情况</w:t>
      </w:r>
    </w:p>
    <w:sdt>
      <w:sdtPr>
        <w:rPr>
          <w:color w:val="000000" w:themeColor="text1"/>
        </w:rPr>
        <w:alias w:val="是否适用：防治污染设施的建设和运行情况[双击切换]"/>
        <w:tag w:val="_GBC_665c787eaadc48818cfce34c2b6143fc"/>
        <w:id w:val="-264694276"/>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防治污染设施的建设和运行情况"/>
        <w:tag w:val="_GBC_c27cfa9787844f19acb594b8dca60fdb"/>
        <w:id w:val="-1358734996"/>
        <w:placeholder>
          <w:docPart w:val="GBC22222222222222222222222222222"/>
        </w:placeholder>
      </w:sdtPr>
      <w:sdtContent>
        <w:p>
          <w:pPr>
            <w:ind w:firstLineChars="200" w:firstLine="420"/>
            <w:rPr>
              <w:bCs/>
              <w:color w:val="000000" w:themeColor="text1"/>
            </w:rPr>
          </w:pPr>
          <w:r>
            <w:rPr>
              <w:rFonts w:hint="eastAsia"/>
              <w:color w:val="000000" w:themeColor="text1"/>
            </w:rPr>
            <w:t>本集团所属排污单位建设有完善的污染源治理设施，治理设施与生产系统同步运行，确保实现污染物达标排放。</w:t>
          </w:r>
        </w:p>
        <w:tbl>
          <w:tblPr>
            <w:tblStyle w:val="g6"/>
            <w:tblW w:w="1015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1725"/>
            <w:gridCol w:w="7765"/>
          </w:tblGrid>
          <w:tr>
            <w:trPr>
              <w:trHeight w:val="348"/>
              <w:tblHeader/>
              <w:jc w:val="center"/>
            </w:trPr>
            <w:tc>
              <w:tcPr>
                <w:tcW w:w="667" w:type="dxa"/>
                <w:vAlign w:val="center"/>
              </w:tcPr>
              <w:p>
                <w:pPr>
                  <w:jc w:val="center"/>
                  <w:rPr>
                    <w:rFonts w:ascii="黑体" w:eastAsia="黑体" w:hAnsi="黑体"/>
                    <w:color w:val="000000" w:themeColor="text1"/>
                  </w:rPr>
                </w:pPr>
                <w:r>
                  <w:rPr>
                    <w:rFonts w:ascii="黑体" w:eastAsia="黑体" w:hAnsi="黑体" w:hint="eastAsia"/>
                    <w:color w:val="000000" w:themeColor="text1"/>
                  </w:rPr>
                  <w:t>序号</w:t>
                </w:r>
              </w:p>
            </w:tc>
            <w:tc>
              <w:tcPr>
                <w:tcW w:w="1725" w:type="dxa"/>
                <w:vAlign w:val="center"/>
              </w:tcPr>
              <w:p>
                <w:pPr>
                  <w:jc w:val="center"/>
                  <w:rPr>
                    <w:rFonts w:ascii="黑体" w:eastAsia="黑体" w:hAnsi="黑体"/>
                    <w:color w:val="000000" w:themeColor="text1"/>
                  </w:rPr>
                </w:pPr>
                <w:r>
                  <w:rPr>
                    <w:rFonts w:ascii="黑体" w:eastAsia="黑体" w:hAnsi="黑体" w:hint="eastAsia"/>
                    <w:color w:val="000000" w:themeColor="text1"/>
                  </w:rPr>
                  <w:t>重点排污单位</w:t>
                </w:r>
              </w:p>
            </w:tc>
            <w:tc>
              <w:tcPr>
                <w:tcW w:w="7765" w:type="dxa"/>
                <w:vAlign w:val="center"/>
              </w:tcPr>
              <w:p>
                <w:pPr>
                  <w:jc w:val="center"/>
                  <w:rPr>
                    <w:rFonts w:ascii="黑体" w:eastAsia="黑体" w:hAnsi="黑体"/>
                    <w:color w:val="000000" w:themeColor="text1"/>
                  </w:rPr>
                </w:pPr>
                <w:r>
                  <w:rPr>
                    <w:rFonts w:ascii="黑体" w:eastAsia="黑体" w:hAnsi="黑体" w:hint="eastAsia"/>
                    <w:color w:val="000000" w:themeColor="text1"/>
                  </w:rPr>
                  <w:t>防治污染设施的建设和运行情况</w:t>
                </w:r>
              </w:p>
            </w:tc>
          </w:tr>
          <w:tr>
            <w:trPr>
              <w:trHeight w:val="430"/>
              <w:jc w:val="center"/>
            </w:trPr>
            <w:tc>
              <w:tcPr>
                <w:tcW w:w="667" w:type="dxa"/>
                <w:vAlign w:val="center"/>
              </w:tcPr>
              <w:p>
                <w:pPr>
                  <w:jc w:val="center"/>
                  <w:rPr>
                    <w:color w:val="000000" w:themeColor="text1"/>
                  </w:rPr>
                </w:pPr>
                <w:r>
                  <w:rPr>
                    <w:rFonts w:hint="eastAsia"/>
                    <w:color w:val="000000" w:themeColor="text1"/>
                  </w:rPr>
                  <w:t>1</w:t>
                </w:r>
              </w:p>
            </w:tc>
            <w:tc>
              <w:tcPr>
                <w:tcW w:w="1725" w:type="dxa"/>
                <w:vAlign w:val="center"/>
              </w:tcPr>
              <w:p>
                <w:pPr>
                  <w:rPr>
                    <w:color w:val="000000" w:themeColor="text1"/>
                  </w:rPr>
                </w:pPr>
                <w:r>
                  <w:rPr>
                    <w:color w:val="000000" w:themeColor="text1"/>
                  </w:rPr>
                  <w:t>南屯煤矿</w:t>
                </w:r>
              </w:p>
            </w:tc>
            <w:tc>
              <w:tcPr>
                <w:tcW w:w="7765" w:type="dxa"/>
                <w:vMerge w:val="restart"/>
                <w:vAlign w:val="center"/>
              </w:tcPr>
              <w:p>
                <w:pPr>
                  <w:pStyle w:val="affffffff9"/>
                  <w:rPr>
                    <w:color w:val="000000" w:themeColor="text1"/>
                  </w:rPr>
                </w:pPr>
                <w:r>
                  <w:rPr>
                    <w:rFonts w:hint="eastAsia"/>
                    <w:color w:val="000000" w:themeColor="text1"/>
                  </w:rPr>
                  <w:t>分别建有1座矿井水处理站、1座生活污水处理站、1套高盐矿井水处理系统，运行正常。建有封闭煤棚和物料棚。</w:t>
                </w:r>
              </w:p>
            </w:tc>
          </w:tr>
          <w:tr>
            <w:trPr>
              <w:trHeight w:val="430"/>
              <w:jc w:val="center"/>
            </w:trPr>
            <w:tc>
              <w:tcPr>
                <w:tcW w:w="667" w:type="dxa"/>
                <w:vAlign w:val="center"/>
              </w:tcPr>
              <w:p>
                <w:pPr>
                  <w:jc w:val="center"/>
                  <w:rPr>
                    <w:color w:val="000000" w:themeColor="text1"/>
                  </w:rPr>
                </w:pPr>
                <w:r>
                  <w:rPr>
                    <w:rFonts w:hint="eastAsia"/>
                    <w:color w:val="000000" w:themeColor="text1"/>
                  </w:rPr>
                  <w:t>2</w:t>
                </w:r>
              </w:p>
            </w:tc>
            <w:tc>
              <w:tcPr>
                <w:tcW w:w="1725" w:type="dxa"/>
                <w:vAlign w:val="center"/>
              </w:tcPr>
              <w:p>
                <w:pPr>
                  <w:rPr>
                    <w:color w:val="000000" w:themeColor="text1"/>
                  </w:rPr>
                </w:pPr>
                <w:r>
                  <w:rPr>
                    <w:color w:val="000000" w:themeColor="text1"/>
                  </w:rPr>
                  <w:t>鲍店煤矿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3</w:t>
                </w:r>
              </w:p>
            </w:tc>
            <w:tc>
              <w:tcPr>
                <w:tcW w:w="1725" w:type="dxa"/>
                <w:vAlign w:val="center"/>
              </w:tcPr>
              <w:p>
                <w:pPr>
                  <w:rPr>
                    <w:color w:val="000000" w:themeColor="text1"/>
                  </w:rPr>
                </w:pPr>
                <w:r>
                  <w:rPr>
                    <w:color w:val="000000" w:themeColor="text1"/>
                  </w:rPr>
                  <w:t>东滩煤矿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4</w:t>
                </w:r>
              </w:p>
            </w:tc>
            <w:tc>
              <w:tcPr>
                <w:tcW w:w="1725" w:type="dxa"/>
                <w:vAlign w:val="center"/>
              </w:tcPr>
              <w:p>
                <w:pPr>
                  <w:rPr>
                    <w:color w:val="000000" w:themeColor="text1"/>
                  </w:rPr>
                </w:pPr>
                <w:r>
                  <w:rPr>
                    <w:rFonts w:hint="eastAsia"/>
                    <w:color w:val="000000" w:themeColor="text1"/>
                  </w:rPr>
                  <w:t>济二煤矿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5</w:t>
                </w:r>
              </w:p>
            </w:tc>
            <w:tc>
              <w:tcPr>
                <w:tcW w:w="1725" w:type="dxa"/>
                <w:vAlign w:val="center"/>
              </w:tcPr>
              <w:p>
                <w:pPr>
                  <w:rPr>
                    <w:color w:val="000000" w:themeColor="text1"/>
                  </w:rPr>
                </w:pPr>
                <w:r>
                  <w:rPr>
                    <w:color w:val="000000" w:themeColor="text1"/>
                  </w:rPr>
                  <w:t>济</w:t>
                </w:r>
                <w:r>
                  <w:rPr>
                    <w:rFonts w:hint="eastAsia"/>
                    <w:color w:val="000000" w:themeColor="text1"/>
                  </w:rPr>
                  <w:t>三</w:t>
                </w:r>
                <w:r>
                  <w:rPr>
                    <w:color w:val="000000" w:themeColor="text1"/>
                  </w:rPr>
                  <w:t>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6</w:t>
                </w:r>
              </w:p>
            </w:tc>
            <w:tc>
              <w:tcPr>
                <w:tcW w:w="1725" w:type="dxa"/>
                <w:vAlign w:val="center"/>
              </w:tcPr>
              <w:p>
                <w:pPr>
                  <w:rPr>
                    <w:color w:val="000000" w:themeColor="text1"/>
                  </w:rPr>
                </w:pPr>
                <w:r>
                  <w:rPr>
                    <w:color w:val="000000" w:themeColor="text1"/>
                  </w:rPr>
                  <w:t>赵楼煤矿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7</w:t>
                </w:r>
              </w:p>
            </w:tc>
            <w:tc>
              <w:tcPr>
                <w:tcW w:w="1725" w:type="dxa"/>
                <w:vAlign w:val="center"/>
              </w:tcPr>
              <w:p>
                <w:pPr>
                  <w:rPr>
                    <w:color w:val="000000" w:themeColor="text1"/>
                  </w:rPr>
                </w:pPr>
                <w:r>
                  <w:rPr>
                    <w:color w:val="000000" w:themeColor="text1"/>
                  </w:rPr>
                  <w:t>兴隆庄煤矿</w:t>
                </w:r>
              </w:p>
            </w:tc>
            <w:tc>
              <w:tcPr>
                <w:tcW w:w="7765" w:type="dxa"/>
                <w:vMerge w:val="restart"/>
                <w:vAlign w:val="center"/>
              </w:tcPr>
              <w:p>
                <w:pPr>
                  <w:pStyle w:val="affffffff9"/>
                  <w:rPr>
                    <w:color w:val="000000" w:themeColor="text1"/>
                  </w:rPr>
                </w:pPr>
                <w:r>
                  <w:rPr>
                    <w:rFonts w:hint="eastAsia"/>
                    <w:color w:val="000000" w:themeColor="text1"/>
                  </w:rPr>
                  <w:t>分别建有1座矿井水处理站、1座生活污水处理站，运行正常。建有封闭煤棚和物料棚。</w:t>
                </w:r>
              </w:p>
            </w:tc>
          </w:tr>
          <w:tr>
            <w:trPr>
              <w:trHeight w:val="430"/>
              <w:jc w:val="center"/>
            </w:trPr>
            <w:tc>
              <w:tcPr>
                <w:tcW w:w="667" w:type="dxa"/>
                <w:vAlign w:val="center"/>
              </w:tcPr>
              <w:p>
                <w:pPr>
                  <w:jc w:val="center"/>
                  <w:rPr>
                    <w:color w:val="000000" w:themeColor="text1"/>
                  </w:rPr>
                </w:pPr>
                <w:r>
                  <w:rPr>
                    <w:rFonts w:hint="eastAsia"/>
                    <w:color w:val="000000" w:themeColor="text1"/>
                  </w:rPr>
                  <w:t>8</w:t>
                </w:r>
              </w:p>
            </w:tc>
            <w:tc>
              <w:tcPr>
                <w:tcW w:w="1725" w:type="dxa"/>
                <w:vAlign w:val="center"/>
              </w:tcPr>
              <w:p>
                <w:pPr>
                  <w:rPr>
                    <w:color w:val="000000" w:themeColor="text1"/>
                  </w:rPr>
                </w:pPr>
                <w:r>
                  <w:rPr>
                    <w:color w:val="000000" w:themeColor="text1"/>
                  </w:rPr>
                  <w:t>杨村煤矿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9</w:t>
                </w:r>
              </w:p>
            </w:tc>
            <w:tc>
              <w:tcPr>
                <w:tcW w:w="1725" w:type="dxa"/>
                <w:vAlign w:val="center"/>
              </w:tcPr>
              <w:p>
                <w:pPr>
                  <w:rPr>
                    <w:color w:val="000000" w:themeColor="text1"/>
                  </w:rPr>
                </w:pPr>
                <w:r>
                  <w:rPr>
                    <w:color w:val="000000" w:themeColor="text1"/>
                  </w:rPr>
                  <w:t>金鸡滩煤矿</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座矿井水处理站</w:t>
                </w:r>
                <w:r>
                  <w:rPr>
                    <w:rFonts w:hint="eastAsia"/>
                    <w:color w:val="000000" w:themeColor="text1"/>
                  </w:rPr>
                  <w:t>、1</w:t>
                </w:r>
                <w:r>
                  <w:rPr>
                    <w:color w:val="000000" w:themeColor="text1"/>
                  </w:rPr>
                  <w:t>座生活污水处理站，运行正常。另有2台65蒸吨锅炉，均建有除尘、脱硫、脱硝设施，运行正常</w:t>
                </w:r>
                <w:r>
                  <w:rPr>
                    <w:rFonts w:hint="eastAsia"/>
                    <w:color w:val="000000" w:themeColor="text1"/>
                  </w:rPr>
                  <w:t>。</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0</w:t>
                </w:r>
              </w:p>
            </w:tc>
            <w:tc>
              <w:tcPr>
                <w:tcW w:w="1725" w:type="dxa"/>
                <w:vAlign w:val="center"/>
              </w:tcPr>
              <w:p>
                <w:pPr>
                  <w:rPr>
                    <w:color w:val="000000" w:themeColor="text1"/>
                  </w:rPr>
                </w:pPr>
                <w:r>
                  <w:rPr>
                    <w:color w:val="000000" w:themeColor="text1"/>
                  </w:rPr>
                  <w:t>未来能源</w:t>
                </w:r>
                <w:r>
                  <w:rPr>
                    <w:rFonts w:hint="eastAsia"/>
                    <w:color w:val="000000" w:themeColor="text1"/>
                  </w:rPr>
                  <w:t>煤制油分公司</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座工业废水处理厂，运行正常，废水深度处理后回用。另有</w:t>
                </w:r>
                <w:r>
                  <w:rPr>
                    <w:rFonts w:hint="eastAsia"/>
                    <w:color w:val="000000" w:themeColor="text1"/>
                  </w:rPr>
                  <w:t>3</w:t>
                </w:r>
                <w:r>
                  <w:rPr>
                    <w:color w:val="000000" w:themeColor="text1"/>
                  </w:rPr>
                  <w:t>台480蒸吨煤粉</w:t>
                </w:r>
                <w:r>
                  <w:rPr>
                    <w:rFonts w:hint="eastAsia"/>
                    <w:color w:val="000000" w:themeColor="text1"/>
                  </w:rPr>
                  <w:t>锅</w:t>
                </w:r>
                <w:r>
                  <w:rPr>
                    <w:color w:val="000000" w:themeColor="text1"/>
                  </w:rPr>
                  <w:t>炉，均建有除尘、脱硫、脱硝设施，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rFonts w:hint="eastAsia"/>
                    <w:color w:val="000000" w:themeColor="text1"/>
                  </w:rPr>
                  <w:t>11</w:t>
                </w:r>
              </w:p>
            </w:tc>
            <w:tc>
              <w:tcPr>
                <w:tcW w:w="1725" w:type="dxa"/>
                <w:vAlign w:val="center"/>
              </w:tcPr>
              <w:p>
                <w:pPr>
                  <w:rPr>
                    <w:color w:val="000000" w:themeColor="text1"/>
                  </w:rPr>
                </w:pPr>
                <w:r>
                  <w:rPr>
                    <w:rFonts w:hint="eastAsia"/>
                    <w:color w:val="000000" w:themeColor="text1"/>
                  </w:rPr>
                  <w:t>鄂尔多斯公司</w:t>
                </w:r>
                <w:r>
                  <w:rPr>
                    <w:color w:val="000000" w:themeColor="text1"/>
                  </w:rPr>
                  <w:t>荣信化工</w:t>
                </w:r>
              </w:p>
            </w:tc>
            <w:tc>
              <w:tcPr>
                <w:tcW w:w="7765" w:type="dxa"/>
                <w:vAlign w:val="center"/>
              </w:tcPr>
              <w:p>
                <w:pPr>
                  <w:rPr>
                    <w:color w:val="000000" w:themeColor="text1"/>
                  </w:rPr>
                </w:pPr>
                <w:r>
                  <w:rPr>
                    <w:color w:val="000000" w:themeColor="text1"/>
                  </w:rPr>
                  <w:t>建有</w:t>
                </w:r>
                <w:r>
                  <w:rPr>
                    <w:rFonts w:hint="eastAsia"/>
                    <w:color w:val="000000" w:themeColor="text1"/>
                  </w:rPr>
                  <w:t>2套</w:t>
                </w:r>
                <w:r>
                  <w:rPr>
                    <w:color w:val="000000" w:themeColor="text1"/>
                  </w:rPr>
                  <w:t>污水处理</w:t>
                </w:r>
                <w:r>
                  <w:rPr>
                    <w:rFonts w:hint="eastAsia"/>
                    <w:color w:val="000000" w:themeColor="text1"/>
                  </w:rPr>
                  <w:t>系统</w:t>
                </w:r>
                <w:r>
                  <w:rPr>
                    <w:color w:val="000000" w:themeColor="text1"/>
                  </w:rPr>
                  <w:t>，运行正常。另有</w:t>
                </w:r>
                <w:r>
                  <w:rPr>
                    <w:rFonts w:hint="eastAsia"/>
                    <w:color w:val="000000" w:themeColor="text1"/>
                  </w:rPr>
                  <w:t>3</w:t>
                </w:r>
                <w:r>
                  <w:rPr>
                    <w:color w:val="000000" w:themeColor="text1"/>
                  </w:rPr>
                  <w:t>台220蒸吨</w:t>
                </w:r>
                <w:r>
                  <w:rPr>
                    <w:rFonts w:hint="eastAsia"/>
                    <w:color w:val="000000" w:themeColor="text1"/>
                  </w:rPr>
                  <w:t>、2台3</w:t>
                </w:r>
                <w:r>
                  <w:rPr>
                    <w:color w:val="000000" w:themeColor="text1"/>
                  </w:rPr>
                  <w:t>80</w:t>
                </w:r>
                <w:r>
                  <w:rPr>
                    <w:rFonts w:hint="eastAsia"/>
                    <w:color w:val="000000" w:themeColor="text1"/>
                  </w:rPr>
                  <w:t>蒸吨</w:t>
                </w:r>
                <w:r>
                  <w:rPr>
                    <w:color w:val="000000" w:themeColor="text1"/>
                  </w:rPr>
                  <w:t>循环流化床锅炉，均建有除尘、脱硫、脱硝设施，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2</w:t>
                </w:r>
              </w:p>
            </w:tc>
            <w:tc>
              <w:tcPr>
                <w:tcW w:w="1725" w:type="dxa"/>
                <w:vAlign w:val="center"/>
              </w:tcPr>
              <w:p>
                <w:pPr>
                  <w:rPr>
                    <w:color w:val="000000" w:themeColor="text1"/>
                  </w:rPr>
                </w:pPr>
                <w:r>
                  <w:rPr>
                    <w:color w:val="000000" w:themeColor="text1"/>
                  </w:rPr>
                  <w:t>转龙湾煤矿</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座矿井水处理站</w:t>
                </w:r>
                <w:r>
                  <w:rPr>
                    <w:rFonts w:hint="eastAsia"/>
                    <w:color w:val="000000" w:themeColor="text1"/>
                  </w:rPr>
                  <w:t>、1</w:t>
                </w:r>
                <w:r>
                  <w:rPr>
                    <w:color w:val="000000" w:themeColor="text1"/>
                  </w:rPr>
                  <w:t>座生活污水处理站，运行正常。另有3台20蒸吨锅炉，均建有除尘、脱硫、脱硝设施，运行正常。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3</w:t>
                </w:r>
              </w:p>
            </w:tc>
            <w:tc>
              <w:tcPr>
                <w:tcW w:w="1725" w:type="dxa"/>
                <w:vAlign w:val="center"/>
              </w:tcPr>
              <w:p>
                <w:pPr>
                  <w:rPr>
                    <w:color w:val="000000" w:themeColor="text1"/>
                  </w:rPr>
                </w:pPr>
                <w:r>
                  <w:rPr>
                    <w:rFonts w:hint="eastAsia"/>
                    <w:color w:val="000000" w:themeColor="text1"/>
                  </w:rPr>
                  <w:t>石拉乌素煤矿</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座矿井水处理站</w:t>
                </w:r>
                <w:r>
                  <w:rPr>
                    <w:rFonts w:hint="eastAsia"/>
                    <w:color w:val="000000" w:themeColor="text1"/>
                  </w:rPr>
                  <w:t>、1</w:t>
                </w:r>
                <w:r>
                  <w:rPr>
                    <w:color w:val="000000" w:themeColor="text1"/>
                  </w:rPr>
                  <w:t>座生活污水处理站，运行正常。另有3台20蒸吨锅炉</w:t>
                </w:r>
                <w:r>
                  <w:rPr>
                    <w:rFonts w:hint="eastAsia"/>
                    <w:color w:val="000000" w:themeColor="text1"/>
                  </w:rPr>
                  <w:t>、1台4</w:t>
                </w:r>
                <w:r>
                  <w:rPr>
                    <w:color w:val="000000" w:themeColor="text1"/>
                  </w:rPr>
                  <w:t>5</w:t>
                </w:r>
                <w:r>
                  <w:rPr>
                    <w:rFonts w:hint="eastAsia"/>
                    <w:color w:val="000000" w:themeColor="text1"/>
                  </w:rPr>
                  <w:t>蒸吨循环流化床锅炉</w:t>
                </w:r>
                <w:r>
                  <w:rPr>
                    <w:color w:val="000000" w:themeColor="text1"/>
                  </w:rPr>
                  <w:t>，均建有除尘、脱硫、脱硝设施，运行正常。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4</w:t>
                </w:r>
              </w:p>
            </w:tc>
            <w:tc>
              <w:tcPr>
                <w:tcW w:w="1725" w:type="dxa"/>
                <w:vAlign w:val="center"/>
              </w:tcPr>
              <w:p>
                <w:pPr>
                  <w:rPr>
                    <w:color w:val="000000" w:themeColor="text1"/>
                  </w:rPr>
                </w:pPr>
                <w:r>
                  <w:rPr>
                    <w:rFonts w:hint="eastAsia"/>
                    <w:color w:val="000000" w:themeColor="text1"/>
                  </w:rPr>
                  <w:t>营盘壕煤矿</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座矿井水处理站</w:t>
                </w:r>
                <w:r>
                  <w:rPr>
                    <w:rFonts w:hint="eastAsia"/>
                    <w:color w:val="000000" w:themeColor="text1"/>
                  </w:rPr>
                  <w:t>、1</w:t>
                </w:r>
                <w:r>
                  <w:rPr>
                    <w:color w:val="000000" w:themeColor="text1"/>
                  </w:rPr>
                  <w:t>座生活污水处理站，运行正常。另有</w:t>
                </w:r>
                <w:r>
                  <w:rPr>
                    <w:rFonts w:hint="eastAsia"/>
                    <w:color w:val="000000" w:themeColor="text1"/>
                  </w:rPr>
                  <w:t>2台4</w:t>
                </w:r>
                <w:r>
                  <w:rPr>
                    <w:color w:val="000000" w:themeColor="text1"/>
                  </w:rPr>
                  <w:t>5</w:t>
                </w:r>
                <w:r>
                  <w:rPr>
                    <w:rFonts w:hint="eastAsia"/>
                    <w:color w:val="000000" w:themeColor="text1"/>
                  </w:rPr>
                  <w:t>蒸吨循环流化床锅炉</w:t>
                </w:r>
                <w:r>
                  <w:rPr>
                    <w:color w:val="000000" w:themeColor="text1"/>
                  </w:rPr>
                  <w:t>，均建有除尘、脱硫、脱硝设施，运行正常。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5</w:t>
                </w:r>
              </w:p>
            </w:tc>
            <w:tc>
              <w:tcPr>
                <w:tcW w:w="1725" w:type="dxa"/>
                <w:vAlign w:val="center"/>
              </w:tcPr>
              <w:p>
                <w:pPr>
                  <w:rPr>
                    <w:color w:val="000000" w:themeColor="text1"/>
                  </w:rPr>
                </w:pPr>
                <w:r>
                  <w:rPr>
                    <w:color w:val="000000" w:themeColor="text1"/>
                  </w:rPr>
                  <w:t>赵楼电厂</w:t>
                </w:r>
              </w:p>
            </w:tc>
            <w:tc>
              <w:tcPr>
                <w:tcW w:w="7765" w:type="dxa"/>
                <w:vAlign w:val="center"/>
              </w:tcPr>
              <w:p>
                <w:pPr>
                  <w:rPr>
                    <w:color w:val="000000" w:themeColor="text1"/>
                  </w:rPr>
                </w:pPr>
                <w:r>
                  <w:rPr>
                    <w:rFonts w:hint="eastAsia"/>
                    <w:color w:val="000000" w:themeColor="text1"/>
                  </w:rPr>
                  <w:t>现有1</w:t>
                </w:r>
                <w:r>
                  <w:rPr>
                    <w:color w:val="000000" w:themeColor="text1"/>
                  </w:rPr>
                  <w:t>台</w:t>
                </w:r>
                <w:r>
                  <w:rPr>
                    <w:rFonts w:hint="eastAsia"/>
                    <w:color w:val="000000" w:themeColor="text1"/>
                  </w:rPr>
                  <w:t>1,025</w:t>
                </w:r>
                <w:r>
                  <w:rPr>
                    <w:color w:val="000000" w:themeColor="text1"/>
                  </w:rPr>
                  <w:t>蒸吨</w:t>
                </w:r>
                <w:r>
                  <w:rPr>
                    <w:rFonts w:hint="eastAsia"/>
                    <w:color w:val="000000" w:themeColor="text1"/>
                  </w:rPr>
                  <w:t>循环流化床</w:t>
                </w:r>
                <w:r>
                  <w:rPr>
                    <w:color w:val="000000" w:themeColor="text1"/>
                  </w:rPr>
                  <w:t>锅炉，建有除尘、脱硫、脱硝设施，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color w:val="000000" w:themeColor="text1"/>
                  </w:rPr>
                  <w:t>16</w:t>
                </w:r>
              </w:p>
            </w:tc>
            <w:tc>
              <w:tcPr>
                <w:tcW w:w="1725" w:type="dxa"/>
                <w:vAlign w:val="center"/>
              </w:tcPr>
              <w:p>
                <w:pPr>
                  <w:rPr>
                    <w:color w:val="000000" w:themeColor="text1"/>
                  </w:rPr>
                </w:pPr>
                <w:r>
                  <w:rPr>
                    <w:rFonts w:hint="eastAsia"/>
                    <w:color w:val="000000" w:themeColor="text1"/>
                  </w:rPr>
                  <w:t>济三电力</w:t>
                </w:r>
              </w:p>
            </w:tc>
            <w:tc>
              <w:tcPr>
                <w:tcW w:w="7765" w:type="dxa"/>
                <w:vAlign w:val="center"/>
              </w:tcPr>
              <w:p>
                <w:pPr>
                  <w:rPr>
                    <w:color w:val="000000" w:themeColor="text1"/>
                  </w:rPr>
                </w:pPr>
                <w:r>
                  <w:rPr>
                    <w:rFonts w:hint="eastAsia"/>
                    <w:color w:val="000000" w:themeColor="text1"/>
                  </w:rPr>
                  <w:t>现有2</w:t>
                </w:r>
                <w:r>
                  <w:rPr>
                    <w:color w:val="000000" w:themeColor="text1"/>
                  </w:rPr>
                  <w:t>台</w:t>
                </w:r>
                <w:r>
                  <w:rPr>
                    <w:rFonts w:hint="eastAsia"/>
                    <w:color w:val="000000" w:themeColor="text1"/>
                  </w:rPr>
                  <w:t>4</w:t>
                </w:r>
                <w:r>
                  <w:rPr>
                    <w:color w:val="000000" w:themeColor="text1"/>
                  </w:rPr>
                  <w:t>40</w:t>
                </w:r>
                <w:r>
                  <w:rPr>
                    <w:rFonts w:hint="eastAsia"/>
                    <w:color w:val="000000" w:themeColor="text1"/>
                  </w:rPr>
                  <w:t>蒸吨循环流化床</w:t>
                </w:r>
                <w:r>
                  <w:rPr>
                    <w:color w:val="000000" w:themeColor="text1"/>
                  </w:rPr>
                  <w:t>锅炉，均建有除尘、脱硫、脱硝设施，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color w:val="000000" w:themeColor="text1"/>
                  </w:rPr>
                  <w:t>17</w:t>
                </w:r>
              </w:p>
            </w:tc>
            <w:tc>
              <w:tcPr>
                <w:tcW w:w="1725" w:type="dxa"/>
                <w:vAlign w:val="center"/>
              </w:tcPr>
              <w:p>
                <w:pPr>
                  <w:rPr>
                    <w:color w:val="000000" w:themeColor="text1"/>
                  </w:rPr>
                </w:pPr>
                <w:r>
                  <w:rPr>
                    <w:rFonts w:hint="eastAsia"/>
                    <w:color w:val="000000" w:themeColor="text1"/>
                  </w:rPr>
                  <w:t>内蒙古矿业宏大实业兴和热电</w:t>
                </w:r>
              </w:p>
            </w:tc>
            <w:tc>
              <w:tcPr>
                <w:tcW w:w="7765" w:type="dxa"/>
                <w:vAlign w:val="center"/>
              </w:tcPr>
              <w:p>
                <w:pPr>
                  <w:rPr>
                    <w:color w:val="000000" w:themeColor="text1"/>
                  </w:rPr>
                </w:pPr>
                <w:r>
                  <w:rPr>
                    <w:rFonts w:hint="eastAsia"/>
                    <w:color w:val="000000" w:themeColor="text1"/>
                  </w:rPr>
                  <w:t>现有2台锅炉，共2,478蒸吨。均建有除尘、脱硫、脱硝设施，实现超低排放，运行正常。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8</w:t>
                </w:r>
              </w:p>
            </w:tc>
            <w:tc>
              <w:tcPr>
                <w:tcW w:w="1725" w:type="dxa"/>
                <w:vAlign w:val="center"/>
              </w:tcPr>
              <w:p>
                <w:pPr>
                  <w:rPr>
                    <w:color w:val="000000" w:themeColor="text1"/>
                  </w:rPr>
                </w:pPr>
                <w:r>
                  <w:rPr>
                    <w:color w:val="000000" w:themeColor="text1"/>
                  </w:rPr>
                  <w:t>榆林能化</w:t>
                </w:r>
              </w:p>
            </w:tc>
            <w:tc>
              <w:tcPr>
                <w:tcW w:w="7765" w:type="dxa"/>
                <w:vAlign w:val="center"/>
              </w:tcPr>
              <w:p>
                <w:pPr>
                  <w:rPr>
                    <w:color w:val="000000" w:themeColor="text1"/>
                  </w:rPr>
                </w:pPr>
                <w:r>
                  <w:rPr>
                    <w:color w:val="000000" w:themeColor="text1"/>
                  </w:rPr>
                  <w:t>建有</w:t>
                </w:r>
                <w:r>
                  <w:rPr>
                    <w:rFonts w:hint="eastAsia"/>
                    <w:color w:val="000000" w:themeColor="text1"/>
                  </w:rPr>
                  <w:t>2套</w:t>
                </w:r>
                <w:r>
                  <w:rPr>
                    <w:color w:val="000000" w:themeColor="text1"/>
                  </w:rPr>
                  <w:t>工业废水处理</w:t>
                </w:r>
                <w:r>
                  <w:rPr>
                    <w:rFonts w:hint="eastAsia"/>
                    <w:color w:val="000000" w:themeColor="text1"/>
                  </w:rPr>
                  <w:t>系统</w:t>
                </w:r>
                <w:r>
                  <w:rPr>
                    <w:color w:val="000000" w:themeColor="text1"/>
                  </w:rPr>
                  <w:t>，运行正常。另有4台260蒸吨煤粉</w:t>
                </w:r>
                <w:r>
                  <w:rPr>
                    <w:rFonts w:hint="eastAsia"/>
                    <w:color w:val="000000" w:themeColor="text1"/>
                  </w:rPr>
                  <w:t>锅</w:t>
                </w:r>
                <w:r>
                  <w:rPr>
                    <w:color w:val="000000" w:themeColor="text1"/>
                  </w:rPr>
                  <w:t>炉，均建有除尘、脱硫、脱硝设施，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rFonts w:hint="eastAsia"/>
                    <w:color w:val="000000" w:themeColor="text1"/>
                  </w:rPr>
                  <w:t>1</w:t>
                </w:r>
                <w:r>
                  <w:rPr>
                    <w:color w:val="000000" w:themeColor="text1"/>
                  </w:rPr>
                  <w:t>9</w:t>
                </w:r>
              </w:p>
            </w:tc>
            <w:tc>
              <w:tcPr>
                <w:tcW w:w="1725" w:type="dxa"/>
                <w:vAlign w:val="center"/>
              </w:tcPr>
              <w:p>
                <w:pPr>
                  <w:rPr>
                    <w:color w:val="000000" w:themeColor="text1"/>
                  </w:rPr>
                </w:pPr>
                <w:r>
                  <w:rPr>
                    <w:color w:val="000000" w:themeColor="text1"/>
                  </w:rPr>
                  <w:t>鲁南化工</w:t>
                </w:r>
              </w:p>
            </w:tc>
            <w:tc>
              <w:tcPr>
                <w:tcW w:w="7765" w:type="dxa"/>
                <w:vAlign w:val="center"/>
              </w:tcPr>
              <w:p>
                <w:pPr>
                  <w:rPr>
                    <w:color w:val="000000" w:themeColor="text1"/>
                  </w:rPr>
                </w:pPr>
                <w:r>
                  <w:rPr>
                    <w:color w:val="000000" w:themeColor="text1"/>
                  </w:rPr>
                  <w:t>建有</w:t>
                </w:r>
                <w:r>
                  <w:rPr>
                    <w:rFonts w:hint="eastAsia"/>
                    <w:color w:val="000000" w:themeColor="text1"/>
                  </w:rPr>
                  <w:t>1</w:t>
                </w:r>
                <w:r>
                  <w:rPr>
                    <w:color w:val="000000" w:themeColor="text1"/>
                  </w:rPr>
                  <w:t>座工业废水处理厂，运行正常。另有2台130蒸吨、2台260蒸吨循环流化床锅炉和2台480蒸吨</w:t>
                </w:r>
                <w:r>
                  <w:rPr>
                    <w:rFonts w:hint="eastAsia"/>
                    <w:color w:val="000000" w:themeColor="text1"/>
                  </w:rPr>
                  <w:t>煤粉锅炉</w:t>
                </w:r>
                <w:r>
                  <w:rPr>
                    <w:color w:val="000000" w:themeColor="text1"/>
                  </w:rPr>
                  <w:t>，均建有除尘、脱硫、脱硝设施，</w:t>
                </w:r>
                <w:r>
                  <w:rPr>
                    <w:rFonts w:hint="eastAsia"/>
                    <w:color w:val="000000" w:themeColor="text1"/>
                  </w:rPr>
                  <w:t>实现</w:t>
                </w:r>
                <w:r>
                  <w:rPr>
                    <w:color w:val="000000" w:themeColor="text1"/>
                  </w:rPr>
                  <w:t>超低排放，运行正常。</w:t>
                </w:r>
              </w:p>
            </w:tc>
          </w:tr>
          <w:tr>
            <w:trPr>
              <w:trHeight w:val="430"/>
              <w:jc w:val="center"/>
            </w:trPr>
            <w:tc>
              <w:tcPr>
                <w:tcW w:w="667" w:type="dxa"/>
                <w:vAlign w:val="center"/>
              </w:tcPr>
              <w:p>
                <w:pPr>
                  <w:jc w:val="center"/>
                  <w:rPr>
                    <w:color w:val="000000" w:themeColor="text1"/>
                  </w:rPr>
                </w:pPr>
                <w:r>
                  <w:rPr>
                    <w:rFonts w:hint="eastAsia"/>
                    <w:color w:val="000000" w:themeColor="text1"/>
                  </w:rPr>
                  <w:t>20</w:t>
                </w:r>
              </w:p>
            </w:tc>
            <w:tc>
              <w:tcPr>
                <w:tcW w:w="1725" w:type="dxa"/>
                <w:vAlign w:val="center"/>
              </w:tcPr>
              <w:p>
                <w:pPr>
                  <w:rPr>
                    <w:color w:val="000000" w:themeColor="text1"/>
                  </w:rPr>
                </w:pPr>
                <w:r>
                  <w:rPr>
                    <w:rFonts w:hint="eastAsia"/>
                    <w:color w:val="000000" w:themeColor="text1"/>
                  </w:rPr>
                  <w:t>新巨龙公司</w:t>
                </w:r>
              </w:p>
            </w:tc>
            <w:tc>
              <w:tcPr>
                <w:tcW w:w="7765" w:type="dxa"/>
                <w:vMerge w:val="restart"/>
                <w:vAlign w:val="center"/>
              </w:tcPr>
              <w:p>
                <w:pPr>
                  <w:pStyle w:val="affffffff9"/>
                  <w:rPr>
                    <w:color w:val="000000" w:themeColor="text1"/>
                  </w:rPr>
                </w:pPr>
                <w:r>
                  <w:rPr>
                    <w:rFonts w:hint="eastAsia"/>
                    <w:color w:val="000000" w:themeColor="text1"/>
                  </w:rPr>
                  <w:t>分别建有1套矿井水处理站、1套生活污水处理站、1套高盐矿井水处理系统，运行正常。建有封闭煤棚和物料棚。</w:t>
                </w:r>
              </w:p>
            </w:tc>
          </w:tr>
          <w:tr>
            <w:trPr>
              <w:trHeight w:val="430"/>
              <w:jc w:val="center"/>
            </w:trPr>
            <w:tc>
              <w:tcPr>
                <w:tcW w:w="667" w:type="dxa"/>
                <w:vAlign w:val="center"/>
              </w:tcPr>
              <w:p>
                <w:pPr>
                  <w:jc w:val="center"/>
                  <w:rPr>
                    <w:color w:val="000000" w:themeColor="text1"/>
                  </w:rPr>
                </w:pPr>
                <w:r>
                  <w:rPr>
                    <w:rFonts w:hint="eastAsia"/>
                    <w:color w:val="000000" w:themeColor="text1"/>
                  </w:rPr>
                  <w:t>2</w:t>
                </w:r>
                <w:r>
                  <w:rPr>
                    <w:color w:val="000000" w:themeColor="text1"/>
                  </w:rPr>
                  <w:t>1</w:t>
                </w:r>
              </w:p>
            </w:tc>
            <w:tc>
              <w:tcPr>
                <w:tcW w:w="1725" w:type="dxa"/>
                <w:vAlign w:val="center"/>
              </w:tcPr>
              <w:p>
                <w:pPr>
                  <w:rPr>
                    <w:color w:val="000000" w:themeColor="text1"/>
                  </w:rPr>
                </w:pPr>
                <w:r>
                  <w:rPr>
                    <w:rFonts w:hint="eastAsia"/>
                    <w:color w:val="000000" w:themeColor="text1"/>
                  </w:rPr>
                  <w:t>彭庄煤矿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2</w:t>
                </w:r>
                <w:r>
                  <w:rPr>
                    <w:color w:val="000000" w:themeColor="text1"/>
                  </w:rPr>
                  <w:t>2</w:t>
                </w:r>
              </w:p>
            </w:tc>
            <w:tc>
              <w:tcPr>
                <w:tcW w:w="1725" w:type="dxa"/>
                <w:vAlign w:val="center"/>
              </w:tcPr>
              <w:p>
                <w:pPr>
                  <w:rPr>
                    <w:color w:val="000000" w:themeColor="text1"/>
                  </w:rPr>
                </w:pPr>
                <w:r>
                  <w:rPr>
                    <w:rFonts w:hint="eastAsia"/>
                    <w:color w:val="000000" w:themeColor="text1"/>
                  </w:rPr>
                  <w:t>郭屯煤矿</w:t>
                </w:r>
              </w:p>
            </w:tc>
            <w:tc>
              <w:tcPr>
                <w:tcW w:w="7765" w:type="dxa"/>
                <w:vMerge/>
                <w:vAlign w:val="center"/>
              </w:tcPr>
              <w:p>
                <w:pPr>
                  <w:pStyle w:val="affffffff9"/>
                  <w:rPr>
                    <w:color w:val="000000" w:themeColor="text1"/>
                  </w:rPr>
                </w:pPr>
              </w:p>
            </w:tc>
          </w:tr>
          <w:tr>
            <w:trPr>
              <w:trHeight w:val="430"/>
              <w:jc w:val="center"/>
            </w:trPr>
            <w:tc>
              <w:tcPr>
                <w:tcW w:w="667" w:type="dxa"/>
                <w:vAlign w:val="center"/>
              </w:tcPr>
              <w:p>
                <w:pPr>
                  <w:jc w:val="center"/>
                  <w:rPr>
                    <w:color w:val="000000" w:themeColor="text1"/>
                  </w:rPr>
                </w:pPr>
                <w:r>
                  <w:rPr>
                    <w:rFonts w:hint="eastAsia"/>
                    <w:color w:val="000000" w:themeColor="text1"/>
                  </w:rPr>
                  <w:t>2</w:t>
                </w:r>
                <w:r>
                  <w:rPr>
                    <w:color w:val="000000" w:themeColor="text1"/>
                  </w:rPr>
                  <w:t>3</w:t>
                </w:r>
              </w:p>
            </w:tc>
            <w:tc>
              <w:tcPr>
                <w:tcW w:w="1725" w:type="dxa"/>
                <w:vAlign w:val="center"/>
              </w:tcPr>
              <w:p>
                <w:pPr>
                  <w:rPr>
                    <w:color w:val="000000" w:themeColor="text1"/>
                  </w:rPr>
                </w:pPr>
                <w:r>
                  <w:rPr>
                    <w:rFonts w:hint="eastAsia"/>
                    <w:color w:val="000000" w:themeColor="text1"/>
                  </w:rPr>
                  <w:t>李楼煤业</w:t>
                </w:r>
              </w:p>
            </w:tc>
            <w:tc>
              <w:tcPr>
                <w:tcW w:w="7765" w:type="dxa"/>
                <w:vMerge/>
                <w:vAlign w:val="center"/>
              </w:tcPr>
              <w:p>
                <w:pPr>
                  <w:pStyle w:val="affffffff9"/>
                  <w:rPr>
                    <w:color w:val="000000" w:themeColor="text1"/>
                  </w:rPr>
                </w:pPr>
              </w:p>
            </w:tc>
          </w:tr>
          <w:tr>
            <w:trPr>
              <w:trHeight w:val="430"/>
              <w:jc w:val="center"/>
            </w:trPr>
            <w:tc>
              <w:tcPr>
                <w:tcW w:w="667" w:type="dxa"/>
                <w:shd w:val="clear" w:color="auto" w:fill="auto"/>
                <w:vAlign w:val="center"/>
              </w:tcPr>
              <w:p>
                <w:pPr>
                  <w:jc w:val="center"/>
                  <w:rPr>
                    <w:color w:val="000000" w:themeColor="text1"/>
                  </w:rPr>
                </w:pPr>
                <w:r>
                  <w:rPr>
                    <w:rFonts w:hint="eastAsia"/>
                    <w:color w:val="000000" w:themeColor="text1"/>
                  </w:rPr>
                  <w:lastRenderedPageBreak/>
                  <w:t>2</w:t>
                </w:r>
                <w:r>
                  <w:rPr>
                    <w:color w:val="000000" w:themeColor="text1"/>
                  </w:rPr>
                  <w:t>4</w:t>
                </w:r>
              </w:p>
            </w:tc>
            <w:tc>
              <w:tcPr>
                <w:tcW w:w="1725" w:type="dxa"/>
                <w:shd w:val="clear" w:color="auto" w:fill="auto"/>
                <w:vAlign w:val="center"/>
              </w:tcPr>
              <w:p>
                <w:pPr>
                  <w:rPr>
                    <w:color w:val="000000" w:themeColor="text1"/>
                  </w:rPr>
                </w:pPr>
                <w:r>
                  <w:rPr>
                    <w:rFonts w:hint="eastAsia"/>
                    <w:color w:val="000000" w:themeColor="text1"/>
                  </w:rPr>
                  <w:t>单县能源</w:t>
                </w:r>
              </w:p>
            </w:tc>
            <w:tc>
              <w:tcPr>
                <w:tcW w:w="7765" w:type="dxa"/>
                <w:vMerge/>
                <w:vAlign w:val="center"/>
              </w:tcPr>
              <w:p>
                <w:pPr>
                  <w:pStyle w:val="affffffff9"/>
                  <w:rPr>
                    <w:color w:val="000000" w:themeColor="text1"/>
                  </w:rPr>
                </w:pPr>
              </w:p>
            </w:tc>
          </w:tr>
          <w:tr>
            <w:trPr>
              <w:trHeight w:val="430"/>
              <w:jc w:val="center"/>
            </w:trPr>
            <w:tc>
              <w:tcPr>
                <w:tcW w:w="667" w:type="dxa"/>
                <w:shd w:val="clear" w:color="auto" w:fill="auto"/>
                <w:vAlign w:val="center"/>
              </w:tcPr>
              <w:p>
                <w:pPr>
                  <w:jc w:val="center"/>
                  <w:rPr>
                    <w:color w:val="000000" w:themeColor="text1"/>
                  </w:rPr>
                </w:pPr>
                <w:r>
                  <w:rPr>
                    <w:rFonts w:hint="eastAsia"/>
                    <w:color w:val="000000" w:themeColor="text1"/>
                  </w:rPr>
                  <w:t>2</w:t>
                </w:r>
                <w:r>
                  <w:rPr>
                    <w:color w:val="000000" w:themeColor="text1"/>
                  </w:rPr>
                  <w:t>5</w:t>
                </w:r>
              </w:p>
            </w:tc>
            <w:tc>
              <w:tcPr>
                <w:tcW w:w="1725" w:type="dxa"/>
                <w:vAlign w:val="center"/>
              </w:tcPr>
              <w:p>
                <w:pPr>
                  <w:rPr>
                    <w:color w:val="000000" w:themeColor="text1"/>
                  </w:rPr>
                </w:pPr>
                <w:r>
                  <w:rPr>
                    <w:rFonts w:hint="eastAsia"/>
                    <w:color w:val="000000" w:themeColor="text1"/>
                  </w:rPr>
                  <w:t>梁宝寺公司</w:t>
                </w:r>
              </w:p>
            </w:tc>
            <w:tc>
              <w:tcPr>
                <w:tcW w:w="7765" w:type="dxa"/>
                <w:vAlign w:val="center"/>
              </w:tcPr>
              <w:p>
                <w:pPr>
                  <w:pStyle w:val="affffffff9"/>
                  <w:rPr>
                    <w:color w:val="000000" w:themeColor="text1"/>
                  </w:rPr>
                </w:pPr>
                <w:r>
                  <w:rPr>
                    <w:rFonts w:hint="eastAsia"/>
                    <w:color w:val="000000" w:themeColor="text1"/>
                  </w:rPr>
                  <w:t>建有2套矿井水处理站、2套生活污水处理站、1套高盐矿井水处理系统，运行正常。建有封闭煤棚和物料棚。</w:t>
                </w:r>
              </w:p>
            </w:tc>
          </w:tr>
          <w:tr>
            <w:trPr>
              <w:trHeight w:val="430"/>
              <w:jc w:val="center"/>
            </w:trPr>
            <w:tc>
              <w:tcPr>
                <w:tcW w:w="667" w:type="dxa"/>
                <w:vAlign w:val="center"/>
              </w:tcPr>
              <w:p>
                <w:pPr>
                  <w:jc w:val="center"/>
                  <w:rPr>
                    <w:color w:val="000000" w:themeColor="text1"/>
                  </w:rPr>
                </w:pPr>
                <w:r>
                  <w:rPr>
                    <w:color w:val="000000" w:themeColor="text1"/>
                  </w:rPr>
                  <w:t>2</w:t>
                </w:r>
                <w:r>
                  <w:rPr>
                    <w:rFonts w:hint="eastAsia"/>
                    <w:color w:val="000000" w:themeColor="text1"/>
                  </w:rPr>
                  <w:t>6</w:t>
                </w:r>
              </w:p>
            </w:tc>
            <w:tc>
              <w:tcPr>
                <w:tcW w:w="1725" w:type="dxa"/>
                <w:vAlign w:val="center"/>
              </w:tcPr>
              <w:p>
                <w:pPr>
                  <w:rPr>
                    <w:color w:val="000000" w:themeColor="text1"/>
                  </w:rPr>
                </w:pPr>
                <w:r>
                  <w:rPr>
                    <w:rFonts w:hint="eastAsia"/>
                    <w:color w:val="000000" w:themeColor="text1"/>
                  </w:rPr>
                  <w:t>唐口煤业</w:t>
                </w:r>
              </w:p>
            </w:tc>
            <w:tc>
              <w:tcPr>
                <w:tcW w:w="7765" w:type="dxa"/>
                <w:vAlign w:val="center"/>
              </w:tcPr>
              <w:p>
                <w:pPr>
                  <w:pStyle w:val="affffffff9"/>
                  <w:rPr>
                    <w:color w:val="000000" w:themeColor="text1"/>
                  </w:rPr>
                </w:pPr>
                <w:r>
                  <w:rPr>
                    <w:rFonts w:hint="eastAsia"/>
                    <w:color w:val="000000" w:themeColor="text1"/>
                  </w:rPr>
                  <w:t>建有1套矿井水处理站、1套生活污水处理站，运行正常。建有封闭煤棚和物料棚。</w:t>
                </w:r>
              </w:p>
            </w:tc>
          </w:tr>
          <w:tr>
            <w:trPr>
              <w:trHeight w:val="430"/>
              <w:jc w:val="center"/>
            </w:trPr>
            <w:tc>
              <w:tcPr>
                <w:tcW w:w="667" w:type="dxa"/>
                <w:vAlign w:val="center"/>
              </w:tcPr>
              <w:p>
                <w:pPr>
                  <w:jc w:val="center"/>
                  <w:rPr>
                    <w:color w:val="000000" w:themeColor="text1"/>
                  </w:rPr>
                </w:pPr>
                <w:r>
                  <w:rPr>
                    <w:color w:val="000000" w:themeColor="text1"/>
                  </w:rPr>
                  <w:t>2</w:t>
                </w:r>
                <w:r>
                  <w:rPr>
                    <w:rFonts w:hint="eastAsia"/>
                    <w:color w:val="000000" w:themeColor="text1"/>
                  </w:rPr>
                  <w:t>7</w:t>
                </w:r>
              </w:p>
            </w:tc>
            <w:tc>
              <w:tcPr>
                <w:tcW w:w="1725" w:type="dxa"/>
                <w:vAlign w:val="center"/>
              </w:tcPr>
              <w:p>
                <w:pPr>
                  <w:rPr>
                    <w:color w:val="000000" w:themeColor="text1"/>
                  </w:rPr>
                </w:pPr>
                <w:r>
                  <w:rPr>
                    <w:rFonts w:hint="eastAsia"/>
                    <w:color w:val="000000" w:themeColor="text1"/>
                  </w:rPr>
                  <w:t>新疆煤化工</w:t>
                </w:r>
              </w:p>
            </w:tc>
            <w:tc>
              <w:tcPr>
                <w:tcW w:w="7765" w:type="dxa"/>
                <w:vAlign w:val="center"/>
              </w:tcPr>
              <w:p>
                <w:pPr>
                  <w:pStyle w:val="affffffff9"/>
                  <w:rPr>
                    <w:color w:val="000000" w:themeColor="text1"/>
                  </w:rPr>
                </w:pPr>
                <w:r>
                  <w:rPr>
                    <w:color w:val="000000" w:themeColor="text1"/>
                  </w:rPr>
                  <w:t>建有</w:t>
                </w:r>
                <w:r>
                  <w:rPr>
                    <w:rFonts w:hint="eastAsia"/>
                    <w:color w:val="000000" w:themeColor="text1"/>
                  </w:rPr>
                  <w:t>1</w:t>
                </w:r>
                <w:r>
                  <w:rPr>
                    <w:color w:val="000000" w:themeColor="text1"/>
                  </w:rPr>
                  <w:t>座</w:t>
                </w:r>
                <w:r>
                  <w:rPr>
                    <w:rFonts w:hint="eastAsia"/>
                    <w:color w:val="000000" w:themeColor="text1"/>
                  </w:rPr>
                  <w:t>污水</w:t>
                </w:r>
                <w:r>
                  <w:rPr>
                    <w:color w:val="000000" w:themeColor="text1"/>
                  </w:rPr>
                  <w:t>处理厂，运行正常。另有</w:t>
                </w:r>
                <w:r>
                  <w:rPr>
                    <w:rFonts w:hint="eastAsia"/>
                    <w:color w:val="000000" w:themeColor="text1"/>
                  </w:rPr>
                  <w:t>3台220蒸吨煤粉锅炉（2开1备）</w:t>
                </w:r>
                <w:r>
                  <w:rPr>
                    <w:color w:val="000000" w:themeColor="text1"/>
                  </w:rPr>
                  <w:t>，均建有除尘、脱硫、脱硝设施，</w:t>
                </w:r>
                <w:r>
                  <w:rPr>
                    <w:rFonts w:hint="eastAsia"/>
                    <w:color w:val="000000" w:themeColor="text1"/>
                  </w:rPr>
                  <w:t>实现</w:t>
                </w:r>
                <w:r>
                  <w:rPr>
                    <w:color w:val="000000" w:themeColor="text1"/>
                  </w:rPr>
                  <w:t>超低排放，运行正常。</w:t>
                </w:r>
                <w:r>
                  <w:rPr>
                    <w:rFonts w:hint="eastAsia"/>
                    <w:color w:val="000000" w:themeColor="text1"/>
                  </w:rPr>
                  <w:t>建有封闭煤棚。</w:t>
                </w:r>
              </w:p>
            </w:tc>
          </w:tr>
          <w:tr>
            <w:trPr>
              <w:trHeight w:val="430"/>
              <w:jc w:val="center"/>
            </w:trPr>
            <w:tc>
              <w:tcPr>
                <w:tcW w:w="667" w:type="dxa"/>
                <w:vAlign w:val="center"/>
              </w:tcPr>
              <w:p>
                <w:pPr>
                  <w:jc w:val="center"/>
                  <w:rPr>
                    <w:color w:val="000000" w:themeColor="text1"/>
                  </w:rPr>
                </w:pPr>
                <w:r>
                  <w:rPr>
                    <w:color w:val="000000" w:themeColor="text1"/>
                  </w:rPr>
                  <w:t>2</w:t>
                </w:r>
                <w:r>
                  <w:rPr>
                    <w:rFonts w:hint="eastAsia"/>
                    <w:color w:val="000000" w:themeColor="text1"/>
                  </w:rPr>
                  <w:t>8</w:t>
                </w:r>
              </w:p>
            </w:tc>
            <w:tc>
              <w:tcPr>
                <w:tcW w:w="1725" w:type="dxa"/>
                <w:vAlign w:val="center"/>
              </w:tcPr>
              <w:p>
                <w:pPr>
                  <w:rPr>
                    <w:color w:val="000000" w:themeColor="text1"/>
                  </w:rPr>
                </w:pPr>
                <w:r>
                  <w:rPr>
                    <w:rFonts w:hint="eastAsia"/>
                    <w:color w:val="000000" w:themeColor="text1"/>
                  </w:rPr>
                  <w:t>伊犁一矿</w:t>
                </w:r>
              </w:p>
            </w:tc>
            <w:tc>
              <w:tcPr>
                <w:tcW w:w="7765" w:type="dxa"/>
                <w:vAlign w:val="center"/>
              </w:tcPr>
              <w:p>
                <w:pPr>
                  <w:pStyle w:val="affffffff9"/>
                  <w:rPr>
                    <w:color w:val="000000" w:themeColor="text1"/>
                  </w:rPr>
                </w:pPr>
                <w:r>
                  <w:rPr>
                    <w:rFonts w:hint="eastAsia"/>
                    <w:color w:val="000000" w:themeColor="text1"/>
                  </w:rPr>
                  <w:t>建有1座矿井水处理站、2座生活污水处理站，运行正常。建有2台15蒸吨、2台20蒸吨燃煤锅炉，</w:t>
                </w:r>
                <w:r>
                  <w:rPr>
                    <w:color w:val="000000" w:themeColor="text1"/>
                  </w:rPr>
                  <w:t>均建有除尘、脱硫、脱硝设施，运行正常</w:t>
                </w:r>
                <w:r>
                  <w:rPr>
                    <w:rFonts w:hint="eastAsia"/>
                    <w:color w:val="000000" w:themeColor="text1"/>
                  </w:rPr>
                  <w:t>。</w:t>
                </w:r>
              </w:p>
            </w:tc>
          </w:tr>
        </w:tbl>
        <w:p>
          <w:pPr>
            <w:rPr>
              <w:color w:val="000000" w:themeColor="text1"/>
            </w:rPr>
          </w:pPr>
        </w:p>
      </w:sdtContent>
    </w:sdt>
    <w:p>
      <w:pPr>
        <w:pStyle w:val="affffffff7"/>
        <w:ind w:firstLineChars="0" w:firstLine="0"/>
        <w:rPr>
          <w:rFonts w:ascii="宋体" w:hAnsi="宋体"/>
          <w:color w:val="000000" w:themeColor="text1"/>
        </w:rPr>
      </w:pPr>
    </w:p>
    <w:p>
      <w:pPr>
        <w:pStyle w:val="affffffff5"/>
        <w:numPr>
          <w:ilvl w:val="0"/>
          <w:numId w:val="64"/>
        </w:numPr>
        <w:rPr>
          <w:rFonts w:ascii="宋体" w:hAnsi="宋体"/>
          <w:color w:val="000000" w:themeColor="text1"/>
        </w:rPr>
      </w:pPr>
      <w:r>
        <w:rPr>
          <w:rFonts w:ascii="宋体" w:hAnsi="宋体" w:hint="eastAsia"/>
          <w:color w:val="000000" w:themeColor="text1"/>
        </w:rPr>
        <w:t>建设项目环境影响评价及其他环境保护行政许可情况</w:t>
      </w:r>
    </w:p>
    <w:sdt>
      <w:sdtPr>
        <w:rPr>
          <w:rFonts w:ascii="宋体" w:hAnsi="宋体" w:hint="eastAsia"/>
          <w:color w:val="000000" w:themeColor="text1"/>
        </w:rPr>
        <w:alias w:val="是否适用：环境影响评价及其他环境保护行政许可[双击切换]"/>
        <w:tag w:val="_GBC_b1119f4f82174fe198452c8d630e1378"/>
        <w:id w:val="-334146134"/>
        <w:placeholder>
          <w:docPart w:val="GBC22222222222222222222222222222"/>
        </w:placeholder>
      </w:sdtPr>
      <w:sdtContent>
        <w:p>
          <w:pPr>
            <w:pStyle w:val="affffffff7"/>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环境影响评价及其他环境保护行政许可"/>
        <w:tag w:val="_GBC_514c62e995014de18ee8286e2b72f880"/>
        <w:id w:val="-392887810"/>
        <w:placeholder>
          <w:docPart w:val="GBC22222222222222222222222222222"/>
        </w:placeholder>
      </w:sdtPr>
      <w:sdtContent>
        <w:sdt>
          <w:sdtPr>
            <w:rPr>
              <w:color w:val="000000" w:themeColor="text1"/>
            </w:rPr>
            <w:alias w:val="环境影响评价及其他环境保护行政许可"/>
            <w:tag w:val="_GBC_514c62e995014de18ee8286e2b72f880"/>
            <w:id w:val="-1614289849"/>
          </w:sdtPr>
          <w:sdtContent>
            <w:p>
              <w:pPr>
                <w:ind w:firstLineChars="200" w:firstLine="420"/>
                <w:rPr>
                  <w:color w:val="000000" w:themeColor="text1"/>
                </w:rPr>
              </w:pPr>
              <w:r>
                <w:rPr>
                  <w:rFonts w:hint="eastAsia"/>
                  <w:color w:val="000000" w:themeColor="text1"/>
                </w:rPr>
                <w:t>本集团严格落实《环境影响评价法》等相关法律法规，所建项目均严格履行建设项目环境管理程序，落实环境影响评价要求，在项目建设之前开展环境影响评价；落实“三同时”制度，按照环评及批复要求，污染治理和生态保护工程与主体工程同时设计、施工并投入使用；落实建设项目竣工环保验收要求，试运行完成后开展环保验收，确保项目建设依法依规、批建一致。</w:t>
              </w:r>
            </w:p>
            <w:p>
              <w:pPr>
                <w:ind w:firstLineChars="200" w:firstLine="420"/>
                <w:rPr>
                  <w:color w:val="000000" w:themeColor="text1"/>
                </w:rPr>
              </w:pPr>
              <w:r>
                <w:rPr>
                  <w:rFonts w:hint="eastAsia"/>
                  <w:color w:val="000000" w:themeColor="text1"/>
                </w:rPr>
                <w:t>本集团各重点排污单位严格落实排污许可制度，确保“持证排污、按证排污”，许可证均在有效期内。</w:t>
              </w:r>
            </w:p>
          </w:sdtContent>
        </w:sdt>
      </w:sdtContent>
    </w:sdt>
    <w:p>
      <w:pPr>
        <w:rPr>
          <w:color w:val="000000" w:themeColor="text1"/>
        </w:rPr>
      </w:pPr>
    </w:p>
    <w:p>
      <w:pPr>
        <w:pStyle w:val="affffffff5"/>
        <w:numPr>
          <w:ilvl w:val="0"/>
          <w:numId w:val="64"/>
        </w:numPr>
        <w:rPr>
          <w:rFonts w:ascii="宋体" w:hAnsi="宋体"/>
          <w:color w:val="000000" w:themeColor="text1"/>
        </w:rPr>
      </w:pPr>
      <w:r>
        <w:rPr>
          <w:rFonts w:ascii="宋体" w:hAnsi="宋体" w:hint="eastAsia"/>
          <w:color w:val="000000" w:themeColor="text1"/>
        </w:rPr>
        <w:t>突发环境事件应急预案</w:t>
      </w:r>
    </w:p>
    <w:sdt>
      <w:sdtPr>
        <w:rPr>
          <w:color w:val="000000" w:themeColor="text1"/>
        </w:rPr>
        <w:alias w:val="是否适用：突发环境事件应急预案[双击切换]"/>
        <w:tag w:val="_GBC_320f7292de294add91d1065ccfdd3b3b"/>
        <w:id w:val="-1409988275"/>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突发环境事件应急预案"/>
        <w:tag w:val="_GBC_e110284d79c948878cb696cb6474bb1e"/>
        <w:id w:val="1777140788"/>
        <w:placeholder>
          <w:docPart w:val="GBC22222222222222222222222222222"/>
        </w:placeholder>
      </w:sdtPr>
      <w:sdtContent>
        <w:p>
          <w:pPr>
            <w:ind w:firstLineChars="200" w:firstLine="420"/>
            <w:rPr>
              <w:color w:val="000000" w:themeColor="text1"/>
            </w:rPr>
          </w:pPr>
          <w:r>
            <w:rPr>
              <w:rFonts w:hint="eastAsia"/>
              <w:color w:val="000000" w:themeColor="text1"/>
            </w:rPr>
            <w:t>本集团各重点排污单位按要求自行或委托有资质单位编制突发环境事件应急预案，并由政府生态环境主管部门及相关专家评估后备案。同时加强应急设施配备，实施经常性应急演练，提高环境污染事件防控和应急处置能力，最大限度防止环境事件发生。</w:t>
          </w:r>
        </w:p>
      </w:sdtContent>
    </w:sdt>
    <w:p>
      <w:pPr>
        <w:rPr>
          <w:color w:val="000000" w:themeColor="text1"/>
        </w:rPr>
      </w:pPr>
    </w:p>
    <w:p>
      <w:pPr>
        <w:pStyle w:val="affffffff5"/>
        <w:numPr>
          <w:ilvl w:val="0"/>
          <w:numId w:val="64"/>
        </w:numPr>
        <w:rPr>
          <w:rFonts w:ascii="宋体" w:hAnsi="宋体"/>
          <w:color w:val="000000" w:themeColor="text1"/>
        </w:rPr>
      </w:pPr>
      <w:r>
        <w:rPr>
          <w:rFonts w:ascii="宋体" w:hAnsi="宋体" w:hint="eastAsia"/>
          <w:color w:val="000000" w:themeColor="text1"/>
        </w:rPr>
        <w:t>环境自行监测方案</w:t>
      </w:r>
    </w:p>
    <w:sdt>
      <w:sdtPr>
        <w:rPr>
          <w:rFonts w:ascii="宋体" w:hAnsi="宋体" w:hint="eastAsia"/>
          <w:color w:val="000000" w:themeColor="text1"/>
        </w:rPr>
        <w:alias w:val="是否适用：环境自行监测方案[双击切换]"/>
        <w:tag w:val="_GBC_11a22cdfe2d94619a57dc598b14322b3"/>
        <w:id w:val="2137220335"/>
        <w:placeholder>
          <w:docPart w:val="GBC22222222222222222222222222222"/>
        </w:placeholder>
      </w:sdtPr>
      <w:sdtContent>
        <w:p>
          <w:pPr>
            <w:pStyle w:val="affffffff7"/>
            <w:ind w:firstLineChars="0" w:firstLine="0"/>
            <w:rPr>
              <w:rFonts w:ascii="宋体" w:hAnsi="宋体"/>
              <w:color w:val="000000" w:themeColor="text1"/>
            </w:rPr>
          </w:pPr>
          <w:r>
            <w:rPr>
              <w:rFonts w:ascii="宋体" w:hAnsi="宋体"/>
              <w:color w:val="000000" w:themeColor="text1"/>
            </w:rPr>
            <w:fldChar w:fldCharType="begin"/>
          </w:r>
          <w:r>
            <w:rPr>
              <w:rFonts w:ascii="宋体" w:hAnsi="宋体"/>
              <w:color w:val="000000" w:themeColor="text1"/>
            </w:rPr>
            <w:instrText xml:space="preserve"> </w:instrText>
          </w:r>
          <w:r>
            <w:rPr>
              <w:rFonts w:ascii="宋体" w:hAnsi="宋体" w:hint="eastAsia"/>
              <w:color w:val="000000" w:themeColor="text1"/>
            </w:rPr>
            <w:instrText>MACROBUTTON  SnrToggleCheckbox √适用</w:instrText>
          </w:r>
          <w:r>
            <w:rPr>
              <w:rFonts w:ascii="宋体" w:hAnsi="宋体"/>
              <w:color w:val="000000" w:themeColor="text1"/>
            </w:rPr>
            <w:instrText xml:space="preserve">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sdt>
      <w:sdtPr>
        <w:rPr>
          <w:color w:val="000000" w:themeColor="text1"/>
        </w:rPr>
        <w:alias w:val="环境自行监测方案"/>
        <w:tag w:val="_GBC_b4e9798a403545c5a31116f4a13a92a2"/>
        <w:id w:val="972090827"/>
        <w:placeholder>
          <w:docPart w:val="GBC22222222222222222222222222222"/>
        </w:placeholder>
      </w:sdtPr>
      <w:sdtContent>
        <w:sdt>
          <w:sdtPr>
            <w:rPr>
              <w:color w:val="000000" w:themeColor="text1"/>
            </w:rPr>
            <w:alias w:val="环境自行监测方案"/>
            <w:tag w:val="_GBC_b4e9798a403545c5a31116f4a13a92a2"/>
            <w:id w:val="-2010977280"/>
          </w:sdtPr>
          <w:sdtContent>
            <w:p>
              <w:pPr>
                <w:ind w:firstLineChars="200" w:firstLine="420"/>
                <w:rPr>
                  <w:color w:val="000000" w:themeColor="text1"/>
                </w:rPr>
              </w:pPr>
              <w:r>
                <w:rPr>
                  <w:rFonts w:hint="eastAsia"/>
                  <w:color w:val="000000" w:themeColor="text1"/>
                </w:rPr>
                <w:t>本集团所属排污单位均按</w:t>
              </w:r>
              <w:r>
                <w:rPr>
                  <w:color w:val="000000" w:themeColor="text1"/>
                </w:rPr>
                <w:t>要求</w:t>
              </w:r>
              <w:r>
                <w:rPr>
                  <w:rFonts w:hint="eastAsia"/>
                  <w:color w:val="000000" w:themeColor="text1"/>
                </w:rPr>
                <w:t>安装有相应</w:t>
              </w:r>
              <w:r>
                <w:rPr>
                  <w:color w:val="000000" w:themeColor="text1"/>
                </w:rPr>
                <w:t>的</w:t>
              </w:r>
              <w:r>
                <w:rPr>
                  <w:rFonts w:hint="eastAsia"/>
                  <w:color w:val="000000" w:themeColor="text1"/>
                </w:rPr>
                <w:t>水、大气</w:t>
              </w:r>
              <w:r>
                <w:rPr>
                  <w:color w:val="000000" w:themeColor="text1"/>
                </w:rPr>
                <w:t>污染物</w:t>
              </w:r>
              <w:r>
                <w:rPr>
                  <w:rFonts w:hint="eastAsia"/>
                  <w:color w:val="000000" w:themeColor="text1"/>
                </w:rPr>
                <w:t>在线监测设施</w:t>
              </w:r>
              <w:r>
                <w:rPr>
                  <w:color w:val="000000" w:themeColor="text1"/>
                </w:rPr>
                <w:t>。在线</w:t>
              </w:r>
              <w:r>
                <w:rPr>
                  <w:rFonts w:hint="eastAsia"/>
                  <w:color w:val="000000" w:themeColor="text1"/>
                </w:rPr>
                <w:t>监测</w:t>
              </w:r>
              <w:r>
                <w:rPr>
                  <w:color w:val="000000" w:themeColor="text1"/>
                </w:rPr>
                <w:t>设施与政府</w:t>
              </w:r>
              <w:r>
                <w:rPr>
                  <w:rFonts w:hint="eastAsia"/>
                  <w:color w:val="000000" w:themeColor="text1"/>
                </w:rPr>
                <w:t>生态环境主管</w:t>
              </w:r>
              <w:r>
                <w:rPr>
                  <w:color w:val="000000" w:themeColor="text1"/>
                </w:rPr>
                <w:t>部门监控平台连接，实现实时</w:t>
              </w:r>
              <w:r>
                <w:rPr>
                  <w:rFonts w:hint="eastAsia"/>
                  <w:color w:val="000000" w:themeColor="text1"/>
                </w:rPr>
                <w:t>监测</w:t>
              </w:r>
              <w:r>
                <w:rPr>
                  <w:color w:val="000000" w:themeColor="text1"/>
                </w:rPr>
                <w:t>。同时，各生产单位按要求编制自行监测方案，定期开展自行监测，并向社会公开重点污染源监测信息。监测的主要方式为在线监测和委托监测。</w:t>
              </w:r>
            </w:p>
            <w:p>
              <w:pPr>
                <w:ind w:firstLineChars="200" w:firstLine="420"/>
                <w:rPr>
                  <w:color w:val="000000" w:themeColor="text1"/>
                </w:rPr>
              </w:pPr>
              <w:r>
                <w:rPr>
                  <w:rFonts w:hint="eastAsia"/>
                  <w:color w:val="000000" w:themeColor="text1"/>
                </w:rPr>
                <w:t>（</w:t>
              </w:r>
              <w:r>
                <w:rPr>
                  <w:color w:val="000000" w:themeColor="text1"/>
                </w:rPr>
                <w:t>1）在线监测</w:t>
              </w:r>
            </w:p>
            <w:p>
              <w:pPr>
                <w:ind w:firstLineChars="200" w:firstLine="420"/>
                <w:rPr>
                  <w:color w:val="000000" w:themeColor="text1"/>
                </w:rPr>
              </w:pPr>
              <w:r>
                <w:rPr>
                  <w:rFonts w:hint="eastAsia"/>
                  <w:color w:val="000000" w:themeColor="text1"/>
                </w:rPr>
                <w:t>①矿井水。由第三方机构对外排水</w:t>
              </w:r>
              <w:r>
                <w:rPr>
                  <w:color w:val="000000" w:themeColor="text1"/>
                </w:rPr>
                <w:t>COD进行在线监测，监测频率每2小时1次，监测数据与政府监控平台实时联网。</w:t>
              </w:r>
            </w:p>
            <w:p>
              <w:pPr>
                <w:ind w:firstLineChars="200" w:firstLine="420"/>
                <w:rPr>
                  <w:color w:val="000000" w:themeColor="text1"/>
                </w:rPr>
              </w:pPr>
              <w:r>
                <w:rPr>
                  <w:rFonts w:hint="eastAsia"/>
                  <w:color w:val="000000" w:themeColor="text1"/>
                </w:rPr>
                <w:t>②生活污水。由第三方机构对外排水</w:t>
              </w:r>
              <w:r>
                <w:rPr>
                  <w:color w:val="000000" w:themeColor="text1"/>
                </w:rPr>
                <w:t>COD、氨氮、总磷、总氮进行在线监测，监测频率每2小时1次，监测数据与政府监控平台实时联网。</w:t>
              </w:r>
            </w:p>
            <w:p>
              <w:pPr>
                <w:ind w:firstLineChars="200" w:firstLine="420"/>
                <w:rPr>
                  <w:color w:val="000000" w:themeColor="text1"/>
                </w:rPr>
              </w:pPr>
              <w:r>
                <w:rPr>
                  <w:rFonts w:hint="eastAsia"/>
                  <w:color w:val="000000" w:themeColor="text1"/>
                </w:rPr>
                <w:t>③工业废水。由第三方机构对外排水</w:t>
              </w:r>
              <w:r>
                <w:rPr>
                  <w:color w:val="000000" w:themeColor="text1"/>
                </w:rPr>
                <w:t>COD、氨氮、总磷、总氮等进行在线监测，监测频率每2小时1次，监测数据与政府监控平台实时联网。</w:t>
              </w:r>
            </w:p>
            <w:p>
              <w:pPr>
                <w:ind w:firstLineChars="200" w:firstLine="420"/>
                <w:rPr>
                  <w:color w:val="000000" w:themeColor="text1"/>
                </w:rPr>
              </w:pPr>
              <w:r>
                <w:rPr>
                  <w:rFonts w:hint="eastAsia"/>
                  <w:color w:val="000000" w:themeColor="text1"/>
                </w:rPr>
                <w:t>④锅炉烟气。由第三方机构对外排</w:t>
              </w:r>
              <w:r>
                <w:rPr>
                  <w:color w:val="000000" w:themeColor="text1"/>
                </w:rPr>
                <w:t>SO</w:t>
              </w:r>
              <w:r>
                <w:rPr>
                  <w:color w:val="000000" w:themeColor="text1"/>
                  <w:vertAlign w:val="subscript"/>
                </w:rPr>
                <w:t>2</w:t>
              </w:r>
              <w:r>
                <w:rPr>
                  <w:color w:val="000000" w:themeColor="text1"/>
                </w:rPr>
                <w:t>、NO</w:t>
              </w:r>
              <w:r>
                <w:rPr>
                  <w:color w:val="000000" w:themeColor="text1"/>
                  <w:vertAlign w:val="subscript"/>
                </w:rPr>
                <w:t>X</w:t>
              </w:r>
              <w:r>
                <w:rPr>
                  <w:color w:val="000000" w:themeColor="text1"/>
                </w:rPr>
                <w:t>、</w:t>
              </w:r>
              <w:r>
                <w:rPr>
                  <w:rFonts w:hint="eastAsia"/>
                  <w:color w:val="000000" w:themeColor="text1"/>
                </w:rPr>
                <w:t>颗粒物</w:t>
              </w:r>
              <w:r>
                <w:rPr>
                  <w:color w:val="000000" w:themeColor="text1"/>
                </w:rPr>
                <w:t>等进行在线监测，监测频率每小时1次，监测数据与政府监控平台实时联网。</w:t>
              </w:r>
            </w:p>
            <w:p>
              <w:pPr>
                <w:ind w:firstLineChars="200" w:firstLine="420"/>
                <w:rPr>
                  <w:color w:val="000000" w:themeColor="text1"/>
                </w:rPr>
              </w:pPr>
              <w:r>
                <w:rPr>
                  <w:rFonts w:hint="eastAsia"/>
                  <w:color w:val="000000" w:themeColor="text1"/>
                </w:rPr>
                <w:t>（</w:t>
              </w:r>
              <w:r>
                <w:rPr>
                  <w:color w:val="000000" w:themeColor="text1"/>
                </w:rPr>
                <w:t>2）委托监测</w:t>
              </w:r>
            </w:p>
            <w:p>
              <w:pPr>
                <w:ind w:firstLineChars="200" w:firstLine="420"/>
                <w:rPr>
                  <w:color w:val="000000" w:themeColor="text1"/>
                </w:rPr>
              </w:pPr>
              <w:r>
                <w:rPr>
                  <w:rFonts w:hint="eastAsia"/>
                  <w:color w:val="000000" w:themeColor="text1"/>
                </w:rPr>
                <w:t>①委托第三方机构按照排污许可证载明的水、大气污染物、厂界噪声等监测项目及频率开展自行监测，频率包括每月、每季或每年1次等</w:t>
              </w:r>
              <w:r>
                <w:rPr>
                  <w:color w:val="000000" w:themeColor="text1"/>
                </w:rPr>
                <w:t>。</w:t>
              </w:r>
            </w:p>
            <w:p>
              <w:pPr>
                <w:widowControl w:val="0"/>
                <w:ind w:firstLineChars="200" w:firstLine="420"/>
                <w:jc w:val="both"/>
                <w:rPr>
                  <w:color w:val="000000" w:themeColor="text1"/>
                </w:rPr>
              </w:pPr>
              <w:r>
                <w:rPr>
                  <w:rFonts w:hint="eastAsia"/>
                  <w:color w:val="000000" w:themeColor="text1"/>
                </w:rPr>
                <w:t>②委托第三方对在用放射源进行辐射监测，监测频率每年</w:t>
              </w:r>
              <w:r>
                <w:rPr>
                  <w:color w:val="000000" w:themeColor="text1"/>
                </w:rPr>
                <w:t>1次。</w:t>
              </w:r>
            </w:p>
          </w:sdtContent>
        </w:sdt>
      </w:sdtContent>
    </w:sdt>
    <w:p>
      <w:pPr>
        <w:rPr>
          <w:color w:val="000000" w:themeColor="text1"/>
        </w:rPr>
      </w:pPr>
    </w:p>
    <w:p>
      <w:pPr>
        <w:pStyle w:val="affffffff5"/>
        <w:numPr>
          <w:ilvl w:val="0"/>
          <w:numId w:val="64"/>
        </w:numPr>
        <w:rPr>
          <w:rFonts w:ascii="宋体" w:hAnsi="宋体"/>
          <w:color w:val="000000" w:themeColor="text1"/>
        </w:rPr>
      </w:pPr>
      <w:r>
        <w:rPr>
          <w:rFonts w:ascii="宋体" w:hAnsi="宋体" w:hint="eastAsia"/>
          <w:color w:val="000000" w:themeColor="text1"/>
        </w:rPr>
        <w:lastRenderedPageBreak/>
        <w:t>报告期内因环境问题受到行政处罚的情况</w:t>
      </w:r>
    </w:p>
    <w:sdt>
      <w:sdtPr>
        <w:rPr>
          <w:color w:val="000000" w:themeColor="text1"/>
        </w:rPr>
        <w:alias w:val="是否适用：报告期内因环境问题受到行政处罚的情况[双击切换]"/>
        <w:tag w:val="_GBC_60b589f1d48b40cdb553a3dca08d1b42"/>
        <w:id w:val="-417020290"/>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szCs w:val="21"/>
        </w:rPr>
        <w:alias w:val="报告期内因环境问题受到行政处罚的情况"/>
        <w:tag w:val="_GBC_36200a62c329427e8b8bda7e442e809e"/>
        <w:id w:val="-865362920"/>
        <w:placeholder>
          <w:docPart w:val="GBC22222222222222222222222222222"/>
        </w:placeholder>
      </w:sdtPr>
      <w:sdtContent>
        <w:sdt>
          <w:sdtPr>
            <w:rPr>
              <w:color w:val="000000" w:themeColor="text1"/>
              <w:szCs w:val="21"/>
            </w:rPr>
            <w:alias w:val="报告期内因环境问题受到行政处罚的情况"/>
            <w:tag w:val="_GBC_36200a62c329427e8b8bda7e442e809e"/>
            <w:id w:val="755866569"/>
          </w:sdtPr>
          <w:sdtContent>
            <w:p>
              <w:pPr>
                <w:jc w:val="center"/>
                <w:rPr>
                  <w:color w:val="000000" w:themeColor="text1"/>
                </w:rPr>
              </w:pPr>
              <w:r>
                <w:rPr>
                  <w:color w:val="000000" w:themeColor="text1"/>
                </w:rPr>
                <w:t>2024年因环境问题受到行政处罚情况统计表</w:t>
              </w:r>
            </w:p>
            <w:tbl>
              <w:tblPr>
                <w:tblStyle w:val="g6"/>
                <w:tblW w:w="983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252"/>
                <w:gridCol w:w="1935"/>
                <w:gridCol w:w="3132"/>
                <w:gridCol w:w="2954"/>
              </w:tblGrid>
              <w:tr>
                <w:trPr>
                  <w:jc w:val="center"/>
                </w:trPr>
                <w:tc>
                  <w:tcPr>
                    <w:tcW w:w="562" w:type="dxa"/>
                    <w:vAlign w:val="center"/>
                  </w:tcPr>
                  <w:p>
                    <w:pPr>
                      <w:jc w:val="center"/>
                      <w:rPr>
                        <w:rFonts w:ascii="黑体" w:eastAsia="黑体" w:hAnsi="黑体"/>
                        <w:color w:val="000000" w:themeColor="text1"/>
                      </w:rPr>
                    </w:pPr>
                    <w:r>
                      <w:rPr>
                        <w:rFonts w:ascii="黑体" w:eastAsia="黑体" w:hAnsi="黑体" w:hint="eastAsia"/>
                        <w:color w:val="000000" w:themeColor="text1"/>
                      </w:rPr>
                      <w:t>序号</w:t>
                    </w:r>
                  </w:p>
                </w:tc>
                <w:tc>
                  <w:tcPr>
                    <w:tcW w:w="1252" w:type="dxa"/>
                    <w:vAlign w:val="center"/>
                  </w:tcPr>
                  <w:p>
                    <w:pPr>
                      <w:jc w:val="center"/>
                      <w:rPr>
                        <w:rFonts w:ascii="黑体" w:eastAsia="黑体" w:hAnsi="黑体"/>
                        <w:color w:val="000000" w:themeColor="text1"/>
                      </w:rPr>
                    </w:pPr>
                    <w:r>
                      <w:rPr>
                        <w:rFonts w:ascii="黑体" w:eastAsia="黑体" w:hAnsi="黑体" w:hint="eastAsia"/>
                        <w:color w:val="000000" w:themeColor="text1"/>
                      </w:rPr>
                      <w:t>受罚单位</w:t>
                    </w:r>
                  </w:p>
                </w:tc>
                <w:tc>
                  <w:tcPr>
                    <w:tcW w:w="1935" w:type="dxa"/>
                    <w:vAlign w:val="center"/>
                  </w:tcPr>
                  <w:p>
                    <w:pPr>
                      <w:jc w:val="center"/>
                      <w:rPr>
                        <w:rFonts w:ascii="黑体" w:eastAsia="黑体" w:hAnsi="黑体"/>
                        <w:color w:val="000000" w:themeColor="text1"/>
                      </w:rPr>
                    </w:pPr>
                    <w:r>
                      <w:rPr>
                        <w:rFonts w:ascii="黑体" w:eastAsia="黑体" w:hAnsi="黑体" w:hint="eastAsia"/>
                        <w:color w:val="000000" w:themeColor="text1"/>
                      </w:rPr>
                      <w:t>检查部门</w:t>
                    </w:r>
                  </w:p>
                </w:tc>
                <w:tc>
                  <w:tcPr>
                    <w:tcW w:w="3132" w:type="dxa"/>
                    <w:vAlign w:val="center"/>
                  </w:tcPr>
                  <w:p>
                    <w:pPr>
                      <w:jc w:val="center"/>
                      <w:rPr>
                        <w:rFonts w:ascii="黑体" w:eastAsia="黑体" w:hAnsi="黑体"/>
                        <w:color w:val="000000" w:themeColor="text1"/>
                      </w:rPr>
                    </w:pPr>
                    <w:r>
                      <w:rPr>
                        <w:rFonts w:ascii="黑体" w:eastAsia="黑体" w:hAnsi="黑体" w:hint="eastAsia"/>
                        <w:color w:val="000000" w:themeColor="text1"/>
                      </w:rPr>
                      <w:t>通知书编号</w:t>
                    </w:r>
                  </w:p>
                </w:tc>
                <w:tc>
                  <w:tcPr>
                    <w:tcW w:w="2954" w:type="dxa"/>
                    <w:vAlign w:val="center"/>
                  </w:tcPr>
                  <w:p>
                    <w:pPr>
                      <w:jc w:val="center"/>
                      <w:rPr>
                        <w:rFonts w:ascii="黑体" w:eastAsia="黑体" w:hAnsi="黑体"/>
                        <w:color w:val="000000" w:themeColor="text1"/>
                      </w:rPr>
                    </w:pPr>
                    <w:r>
                      <w:rPr>
                        <w:rFonts w:ascii="黑体" w:eastAsia="黑体" w:hAnsi="黑体" w:hint="eastAsia"/>
                        <w:color w:val="000000" w:themeColor="text1"/>
                      </w:rPr>
                      <w:t>处罚内容</w:t>
                    </w:r>
                  </w:p>
                </w:tc>
              </w:tr>
              <w:tr>
                <w:trPr>
                  <w:jc w:val="center"/>
                </w:trPr>
                <w:tc>
                  <w:tcPr>
                    <w:tcW w:w="562" w:type="dxa"/>
                    <w:vAlign w:val="center"/>
                  </w:tcPr>
                  <w:p>
                    <w:pPr>
                      <w:jc w:val="center"/>
                      <w:rPr>
                        <w:color w:val="000000" w:themeColor="text1"/>
                      </w:rPr>
                    </w:pPr>
                    <w:r>
                      <w:rPr>
                        <w:rFonts w:hint="eastAsia"/>
                        <w:color w:val="000000" w:themeColor="text1"/>
                      </w:rPr>
                      <w:t>1</w:t>
                    </w:r>
                  </w:p>
                </w:tc>
                <w:tc>
                  <w:tcPr>
                    <w:tcW w:w="1252" w:type="dxa"/>
                    <w:vAlign w:val="center"/>
                  </w:tcPr>
                  <w:p>
                    <w:pPr>
                      <w:rPr>
                        <w:color w:val="000000" w:themeColor="text1"/>
                      </w:rPr>
                    </w:pPr>
                    <w:r>
                      <w:rPr>
                        <w:rFonts w:hint="eastAsia"/>
                        <w:color w:val="000000" w:themeColor="text1"/>
                      </w:rPr>
                      <w:t>鲁南化工</w:t>
                    </w:r>
                  </w:p>
                </w:tc>
                <w:tc>
                  <w:tcPr>
                    <w:tcW w:w="1935" w:type="dxa"/>
                  </w:tcPr>
                  <w:p>
                    <w:pPr>
                      <w:rPr>
                        <w:color w:val="000000" w:themeColor="text1"/>
                      </w:rPr>
                    </w:pPr>
                    <w:r>
                      <w:rPr>
                        <w:rFonts w:hint="eastAsia"/>
                        <w:color w:val="000000" w:themeColor="text1"/>
                      </w:rPr>
                      <w:t>枣庄市生态环境局</w:t>
                    </w:r>
                  </w:p>
                </w:tc>
                <w:tc>
                  <w:tcPr>
                    <w:tcW w:w="3132" w:type="dxa"/>
                  </w:tcPr>
                  <w:p>
                    <w:pPr>
                      <w:rPr>
                        <w:color w:val="000000" w:themeColor="text1"/>
                      </w:rPr>
                    </w:pPr>
                    <w:r>
                      <w:rPr>
                        <w:color w:val="000000" w:themeColor="text1"/>
                      </w:rPr>
                      <w:t>枣环罚字〔2024〕26号</w:t>
                    </w:r>
                  </w:p>
                </w:tc>
                <w:tc>
                  <w:tcPr>
                    <w:tcW w:w="2954" w:type="dxa"/>
                  </w:tcPr>
                  <w:p>
                    <w:pPr>
                      <w:rPr>
                        <w:color w:val="000000" w:themeColor="text1"/>
                      </w:rPr>
                    </w:pPr>
                    <w:r>
                      <w:rPr>
                        <w:rFonts w:hint="eastAsia"/>
                        <w:color w:val="000000" w:themeColor="text1"/>
                      </w:rPr>
                      <w:t>罚款</w:t>
                    </w:r>
                    <w:r>
                      <w:rPr>
                        <w:color w:val="000000" w:themeColor="text1"/>
                      </w:rPr>
                      <w:t>12</w:t>
                    </w:r>
                    <w:r>
                      <w:rPr>
                        <w:rFonts w:hint="eastAsia"/>
                        <w:color w:val="000000" w:themeColor="text1"/>
                      </w:rPr>
                      <w:t>万元</w:t>
                    </w:r>
                  </w:p>
                </w:tc>
              </w:tr>
              <w:tr>
                <w:trPr>
                  <w:jc w:val="center"/>
                </w:trPr>
                <w:tc>
                  <w:tcPr>
                    <w:tcW w:w="562" w:type="dxa"/>
                    <w:vAlign w:val="center"/>
                  </w:tcPr>
                  <w:p>
                    <w:pPr>
                      <w:jc w:val="center"/>
                      <w:rPr>
                        <w:color w:val="000000" w:themeColor="text1"/>
                      </w:rPr>
                    </w:pPr>
                    <w:r>
                      <w:rPr>
                        <w:rFonts w:hint="eastAsia"/>
                        <w:color w:val="000000" w:themeColor="text1"/>
                      </w:rPr>
                      <w:t>2</w:t>
                    </w:r>
                  </w:p>
                </w:tc>
                <w:tc>
                  <w:tcPr>
                    <w:tcW w:w="1252" w:type="dxa"/>
                    <w:vAlign w:val="center"/>
                  </w:tcPr>
                  <w:p>
                    <w:pPr>
                      <w:rPr>
                        <w:color w:val="000000" w:themeColor="text1"/>
                      </w:rPr>
                    </w:pPr>
                    <w:r>
                      <w:rPr>
                        <w:rFonts w:hint="eastAsia"/>
                        <w:color w:val="000000" w:themeColor="text1"/>
                      </w:rPr>
                      <w:t>鲁南化工</w:t>
                    </w:r>
                  </w:p>
                </w:tc>
                <w:tc>
                  <w:tcPr>
                    <w:tcW w:w="1935" w:type="dxa"/>
                  </w:tcPr>
                  <w:p>
                    <w:pPr>
                      <w:rPr>
                        <w:color w:val="000000" w:themeColor="text1"/>
                      </w:rPr>
                    </w:pPr>
                    <w:r>
                      <w:rPr>
                        <w:rFonts w:hint="eastAsia"/>
                        <w:color w:val="000000" w:themeColor="text1"/>
                      </w:rPr>
                      <w:t>枣庄市生态环境局</w:t>
                    </w:r>
                  </w:p>
                </w:tc>
                <w:tc>
                  <w:tcPr>
                    <w:tcW w:w="3132" w:type="dxa"/>
                  </w:tcPr>
                  <w:p>
                    <w:pPr>
                      <w:rPr>
                        <w:color w:val="000000" w:themeColor="text1"/>
                      </w:rPr>
                    </w:pPr>
                    <w:r>
                      <w:rPr>
                        <w:color w:val="000000" w:themeColor="text1"/>
                      </w:rPr>
                      <w:t>枣环罚字〔2024〕35号</w:t>
                    </w:r>
                  </w:p>
                </w:tc>
                <w:tc>
                  <w:tcPr>
                    <w:tcW w:w="2954" w:type="dxa"/>
                  </w:tcPr>
                  <w:p>
                    <w:pPr>
                      <w:rPr>
                        <w:color w:val="000000" w:themeColor="text1"/>
                      </w:rPr>
                    </w:pPr>
                    <w:r>
                      <w:rPr>
                        <w:rFonts w:hint="eastAsia"/>
                        <w:color w:val="000000" w:themeColor="text1"/>
                      </w:rPr>
                      <w:t>罚款</w:t>
                    </w:r>
                    <w:r>
                      <w:rPr>
                        <w:color w:val="000000" w:themeColor="text1"/>
                      </w:rPr>
                      <w:t>20</w:t>
                    </w:r>
                    <w:r>
                      <w:rPr>
                        <w:rFonts w:hint="eastAsia"/>
                        <w:color w:val="000000" w:themeColor="text1"/>
                      </w:rPr>
                      <w:t>万元</w:t>
                    </w:r>
                  </w:p>
                </w:tc>
              </w:tr>
              <w:tr>
                <w:trPr>
                  <w:jc w:val="center"/>
                </w:trPr>
                <w:tc>
                  <w:tcPr>
                    <w:tcW w:w="562" w:type="dxa"/>
                    <w:vAlign w:val="center"/>
                  </w:tcPr>
                  <w:p>
                    <w:pPr>
                      <w:jc w:val="center"/>
                      <w:rPr>
                        <w:color w:val="000000" w:themeColor="text1"/>
                      </w:rPr>
                    </w:pPr>
                    <w:r>
                      <w:rPr>
                        <w:rFonts w:hint="eastAsia"/>
                        <w:color w:val="000000" w:themeColor="text1"/>
                      </w:rPr>
                      <w:t>3</w:t>
                    </w:r>
                  </w:p>
                </w:tc>
                <w:tc>
                  <w:tcPr>
                    <w:tcW w:w="1252" w:type="dxa"/>
                    <w:vAlign w:val="center"/>
                  </w:tcPr>
                  <w:p>
                    <w:pPr>
                      <w:rPr>
                        <w:color w:val="000000" w:themeColor="text1"/>
                      </w:rPr>
                    </w:pPr>
                    <w:r>
                      <w:rPr>
                        <w:rFonts w:hint="eastAsia"/>
                        <w:color w:val="000000" w:themeColor="text1"/>
                      </w:rPr>
                      <w:t>赵楼煤矿</w:t>
                    </w:r>
                  </w:p>
                </w:tc>
                <w:tc>
                  <w:tcPr>
                    <w:tcW w:w="1935" w:type="dxa"/>
                  </w:tcPr>
                  <w:p>
                    <w:pPr>
                      <w:rPr>
                        <w:color w:val="000000" w:themeColor="text1"/>
                      </w:rPr>
                    </w:pPr>
                    <w:r>
                      <w:rPr>
                        <w:rFonts w:hint="eastAsia"/>
                        <w:color w:val="000000" w:themeColor="text1"/>
                      </w:rPr>
                      <w:t>菏泽市生态环境局</w:t>
                    </w:r>
                  </w:p>
                </w:tc>
                <w:tc>
                  <w:tcPr>
                    <w:tcW w:w="3132" w:type="dxa"/>
                  </w:tcPr>
                  <w:p>
                    <w:pPr>
                      <w:rPr>
                        <w:color w:val="000000" w:themeColor="text1"/>
                      </w:rPr>
                    </w:pPr>
                    <w:r>
                      <w:rPr>
                        <w:rFonts w:hint="eastAsia"/>
                        <w:color w:val="000000" w:themeColor="text1"/>
                        <w:sz w:val="20"/>
                        <w:szCs w:val="20"/>
                      </w:rPr>
                      <w:t>菏环罚字</w:t>
                    </w:r>
                    <w:r>
                      <w:rPr>
                        <w:color w:val="000000" w:themeColor="text1"/>
                        <w:sz w:val="20"/>
                        <w:szCs w:val="20"/>
                      </w:rPr>
                      <w:t>〔2024〕</w:t>
                    </w:r>
                    <w:r>
                      <w:rPr>
                        <w:rFonts w:hint="eastAsia"/>
                        <w:color w:val="000000" w:themeColor="text1"/>
                        <w:sz w:val="20"/>
                        <w:szCs w:val="20"/>
                      </w:rPr>
                      <w:t>LR03191001号</w:t>
                    </w:r>
                  </w:p>
                </w:tc>
                <w:tc>
                  <w:tcPr>
                    <w:tcW w:w="2954" w:type="dxa"/>
                  </w:tcPr>
                  <w:p>
                    <w:pPr>
                      <w:rPr>
                        <w:color w:val="000000" w:themeColor="text1"/>
                      </w:rPr>
                    </w:pPr>
                    <w:r>
                      <w:rPr>
                        <w:rFonts w:hint="eastAsia"/>
                        <w:color w:val="000000" w:themeColor="text1"/>
                      </w:rPr>
                      <w:t>罚款47.5万元</w:t>
                    </w:r>
                  </w:p>
                </w:tc>
              </w:tr>
              <w:tr>
                <w:trPr>
                  <w:jc w:val="center"/>
                </w:trPr>
                <w:tc>
                  <w:tcPr>
                    <w:tcW w:w="562" w:type="dxa"/>
                    <w:vAlign w:val="center"/>
                  </w:tcPr>
                  <w:p>
                    <w:pPr>
                      <w:jc w:val="center"/>
                      <w:rPr>
                        <w:color w:val="000000" w:themeColor="text1"/>
                      </w:rPr>
                    </w:pPr>
                    <w:r>
                      <w:rPr>
                        <w:rFonts w:hint="eastAsia"/>
                        <w:color w:val="000000" w:themeColor="text1"/>
                      </w:rPr>
                      <w:t>4</w:t>
                    </w:r>
                  </w:p>
                </w:tc>
                <w:tc>
                  <w:tcPr>
                    <w:tcW w:w="1252" w:type="dxa"/>
                    <w:vAlign w:val="center"/>
                  </w:tcPr>
                  <w:p>
                    <w:pPr>
                      <w:rPr>
                        <w:color w:val="000000" w:themeColor="text1"/>
                      </w:rPr>
                    </w:pPr>
                    <w:r>
                      <w:rPr>
                        <w:rFonts w:hint="eastAsia"/>
                        <w:color w:val="000000" w:themeColor="text1"/>
                        <w:sz w:val="20"/>
                      </w:rPr>
                      <w:t>榆林能化</w:t>
                    </w:r>
                  </w:p>
                </w:tc>
                <w:tc>
                  <w:tcPr>
                    <w:tcW w:w="1935" w:type="dxa"/>
                  </w:tcPr>
                  <w:p>
                    <w:pPr>
                      <w:rPr>
                        <w:color w:val="000000" w:themeColor="text1"/>
                      </w:rPr>
                    </w:pPr>
                    <w:r>
                      <w:rPr>
                        <w:rFonts w:hint="eastAsia"/>
                        <w:color w:val="000000" w:themeColor="text1"/>
                        <w:sz w:val="20"/>
                        <w:szCs w:val="20"/>
                      </w:rPr>
                      <w:t>榆林市生态环境局</w:t>
                    </w:r>
                  </w:p>
                </w:tc>
                <w:tc>
                  <w:tcPr>
                    <w:tcW w:w="3132" w:type="dxa"/>
                  </w:tcPr>
                  <w:p>
                    <w:pPr>
                      <w:rPr>
                        <w:color w:val="000000" w:themeColor="text1"/>
                      </w:rPr>
                    </w:pPr>
                    <w:r>
                      <w:rPr>
                        <w:rFonts w:hint="eastAsia"/>
                        <w:color w:val="000000" w:themeColor="text1"/>
                        <w:sz w:val="20"/>
                        <w:szCs w:val="20"/>
                      </w:rPr>
                      <w:t>陕K环罚</w:t>
                    </w:r>
                    <w:r>
                      <w:rPr>
                        <w:color w:val="000000" w:themeColor="text1"/>
                        <w:sz w:val="20"/>
                        <w:szCs w:val="20"/>
                      </w:rPr>
                      <w:t>〔2024〕</w:t>
                    </w:r>
                    <w:r>
                      <w:rPr>
                        <w:rFonts w:hint="eastAsia"/>
                        <w:color w:val="000000" w:themeColor="text1"/>
                        <w:sz w:val="20"/>
                        <w:szCs w:val="20"/>
                      </w:rPr>
                      <w:t>4号</w:t>
                    </w:r>
                  </w:p>
                </w:tc>
                <w:tc>
                  <w:tcPr>
                    <w:tcW w:w="2954" w:type="dxa"/>
                  </w:tcPr>
                  <w:p>
                    <w:pPr>
                      <w:rPr>
                        <w:color w:val="000000" w:themeColor="text1"/>
                      </w:rPr>
                    </w:pPr>
                    <w:r>
                      <w:rPr>
                        <w:rFonts w:hint="eastAsia"/>
                        <w:color w:val="000000" w:themeColor="text1"/>
                      </w:rPr>
                      <w:t>罚款</w:t>
                    </w:r>
                    <w:r>
                      <w:rPr>
                        <w:rFonts w:hint="eastAsia"/>
                        <w:color w:val="000000" w:themeColor="text1"/>
                        <w:sz w:val="20"/>
                        <w:szCs w:val="20"/>
                      </w:rPr>
                      <w:t>45</w:t>
                    </w:r>
                    <w:r>
                      <w:rPr>
                        <w:rFonts w:hint="eastAsia"/>
                        <w:color w:val="000000" w:themeColor="text1"/>
                      </w:rPr>
                      <w:t>万元</w:t>
                    </w:r>
                  </w:p>
                </w:tc>
              </w:tr>
              <w:tr>
                <w:trPr>
                  <w:jc w:val="center"/>
                </w:trPr>
                <w:tc>
                  <w:tcPr>
                    <w:tcW w:w="562" w:type="dxa"/>
                    <w:vAlign w:val="center"/>
                  </w:tcPr>
                  <w:p>
                    <w:pPr>
                      <w:jc w:val="center"/>
                      <w:rPr>
                        <w:color w:val="000000" w:themeColor="text1"/>
                      </w:rPr>
                    </w:pPr>
                    <w:r>
                      <w:rPr>
                        <w:rFonts w:hint="eastAsia"/>
                        <w:color w:val="000000" w:themeColor="text1"/>
                      </w:rPr>
                      <w:t>5</w:t>
                    </w:r>
                  </w:p>
                </w:tc>
                <w:tc>
                  <w:tcPr>
                    <w:tcW w:w="1252" w:type="dxa"/>
                    <w:vAlign w:val="center"/>
                  </w:tcPr>
                  <w:p>
                    <w:pPr>
                      <w:rPr>
                        <w:color w:val="000000" w:themeColor="text1"/>
                        <w:sz w:val="20"/>
                      </w:rPr>
                    </w:pPr>
                    <w:r>
                      <w:rPr>
                        <w:rFonts w:hint="eastAsia"/>
                        <w:color w:val="000000" w:themeColor="text1"/>
                        <w:sz w:val="20"/>
                      </w:rPr>
                      <w:t>金鸡滩煤矿</w:t>
                    </w:r>
                  </w:p>
                </w:tc>
                <w:tc>
                  <w:tcPr>
                    <w:tcW w:w="1935" w:type="dxa"/>
                  </w:tcPr>
                  <w:p>
                    <w:pPr>
                      <w:rPr>
                        <w:color w:val="000000" w:themeColor="text1"/>
                        <w:sz w:val="20"/>
                        <w:szCs w:val="20"/>
                      </w:rPr>
                    </w:pPr>
                    <w:r>
                      <w:rPr>
                        <w:rFonts w:hint="eastAsia"/>
                        <w:color w:val="000000" w:themeColor="text1"/>
                        <w:sz w:val="20"/>
                        <w:szCs w:val="20"/>
                      </w:rPr>
                      <w:t>榆林市生态环境局</w:t>
                    </w:r>
                  </w:p>
                </w:tc>
                <w:tc>
                  <w:tcPr>
                    <w:tcW w:w="3132" w:type="dxa"/>
                  </w:tcPr>
                  <w:p>
                    <w:pPr>
                      <w:rPr>
                        <w:color w:val="000000" w:themeColor="text1"/>
                        <w:sz w:val="20"/>
                        <w:szCs w:val="20"/>
                      </w:rPr>
                    </w:pPr>
                    <w:r>
                      <w:rPr>
                        <w:rFonts w:hint="eastAsia"/>
                        <w:color w:val="000000" w:themeColor="text1"/>
                        <w:sz w:val="20"/>
                        <w:szCs w:val="20"/>
                      </w:rPr>
                      <w:t>陕K环罚〔2024〕146号</w:t>
                    </w:r>
                  </w:p>
                </w:tc>
                <w:tc>
                  <w:tcPr>
                    <w:tcW w:w="2954" w:type="dxa"/>
                  </w:tcPr>
                  <w:p>
                    <w:pPr>
                      <w:rPr>
                        <w:color w:val="000000" w:themeColor="text1"/>
                        <w:sz w:val="20"/>
                        <w:szCs w:val="20"/>
                      </w:rPr>
                    </w:pPr>
                    <w:r>
                      <w:rPr>
                        <w:rFonts w:hint="eastAsia"/>
                        <w:color w:val="000000" w:themeColor="text1"/>
                      </w:rPr>
                      <w:t>罚款</w:t>
                    </w:r>
                    <w:r>
                      <w:rPr>
                        <w:rFonts w:hint="eastAsia"/>
                        <w:color w:val="000000" w:themeColor="text1"/>
                        <w:sz w:val="20"/>
                        <w:szCs w:val="20"/>
                      </w:rPr>
                      <w:t>15</w:t>
                    </w:r>
                    <w:r>
                      <w:rPr>
                        <w:rFonts w:hint="eastAsia"/>
                        <w:color w:val="000000" w:themeColor="text1"/>
                      </w:rPr>
                      <w:t>万元</w:t>
                    </w:r>
                  </w:p>
                </w:tc>
              </w:tr>
              <w:tr>
                <w:trPr>
                  <w:jc w:val="center"/>
                </w:trPr>
                <w:tc>
                  <w:tcPr>
                    <w:tcW w:w="562" w:type="dxa"/>
                    <w:vAlign w:val="center"/>
                  </w:tcPr>
                  <w:p>
                    <w:pPr>
                      <w:jc w:val="center"/>
                      <w:rPr>
                        <w:color w:val="000000" w:themeColor="text1"/>
                      </w:rPr>
                    </w:pPr>
                    <w:r>
                      <w:rPr>
                        <w:rFonts w:hint="eastAsia"/>
                        <w:color w:val="000000" w:themeColor="text1"/>
                      </w:rPr>
                      <w:t>6</w:t>
                    </w:r>
                  </w:p>
                </w:tc>
                <w:tc>
                  <w:tcPr>
                    <w:tcW w:w="1252" w:type="dxa"/>
                    <w:vAlign w:val="center"/>
                  </w:tcPr>
                  <w:p>
                    <w:pPr>
                      <w:rPr>
                        <w:color w:val="000000" w:themeColor="text1"/>
                        <w:sz w:val="20"/>
                      </w:rPr>
                    </w:pPr>
                    <w:r>
                      <w:rPr>
                        <w:rFonts w:hint="eastAsia"/>
                        <w:color w:val="000000" w:themeColor="text1"/>
                      </w:rPr>
                      <w:t>郭屯煤矿</w:t>
                    </w:r>
                  </w:p>
                </w:tc>
                <w:tc>
                  <w:tcPr>
                    <w:tcW w:w="1935" w:type="dxa"/>
                    <w:vAlign w:val="center"/>
                  </w:tcPr>
                  <w:p>
                    <w:pPr>
                      <w:rPr>
                        <w:color w:val="000000" w:themeColor="text1"/>
                        <w:sz w:val="20"/>
                        <w:szCs w:val="20"/>
                      </w:rPr>
                    </w:pPr>
                    <w:r>
                      <w:rPr>
                        <w:rFonts w:hint="eastAsia"/>
                        <w:color w:val="000000" w:themeColor="text1"/>
                      </w:rPr>
                      <w:t>菏泽市生态环境局郓城县分局</w:t>
                    </w:r>
                  </w:p>
                </w:tc>
                <w:tc>
                  <w:tcPr>
                    <w:tcW w:w="3132" w:type="dxa"/>
                    <w:vAlign w:val="center"/>
                  </w:tcPr>
                  <w:p>
                    <w:pPr>
                      <w:rPr>
                        <w:color w:val="000000" w:themeColor="text1"/>
                        <w:sz w:val="20"/>
                        <w:szCs w:val="20"/>
                      </w:rPr>
                    </w:pPr>
                    <w:r>
                      <w:rPr>
                        <w:rFonts w:hint="eastAsia"/>
                        <w:color w:val="000000" w:themeColor="text1"/>
                      </w:rPr>
                      <w:t>菏郓环罚</w:t>
                    </w:r>
                    <w:r>
                      <w:rPr>
                        <w:color w:val="000000" w:themeColor="text1"/>
                      </w:rPr>
                      <w:t>〔</w:t>
                    </w:r>
                    <w:r>
                      <w:rPr>
                        <w:rFonts w:hint="eastAsia"/>
                        <w:color w:val="000000" w:themeColor="text1"/>
                      </w:rPr>
                      <w:t>2024</w:t>
                    </w:r>
                    <w:r>
                      <w:rPr>
                        <w:color w:val="000000" w:themeColor="text1"/>
                      </w:rPr>
                      <w:t>〕</w:t>
                    </w:r>
                    <w:r>
                      <w:rPr>
                        <w:rFonts w:hint="eastAsia"/>
                        <w:color w:val="000000" w:themeColor="text1"/>
                      </w:rPr>
                      <w:t>第2408号</w:t>
                    </w:r>
                  </w:p>
                </w:tc>
                <w:tc>
                  <w:tcPr>
                    <w:tcW w:w="2954" w:type="dxa"/>
                    <w:vAlign w:val="center"/>
                  </w:tcPr>
                  <w:p>
                    <w:pPr>
                      <w:rPr>
                        <w:color w:val="000000" w:themeColor="text1"/>
                        <w:sz w:val="20"/>
                        <w:szCs w:val="20"/>
                      </w:rPr>
                    </w:pPr>
                    <w:r>
                      <w:rPr>
                        <w:rFonts w:hint="eastAsia"/>
                        <w:color w:val="000000" w:themeColor="text1"/>
                      </w:rPr>
                      <w:t>罚款11.75万元，没收违法所得2,452万元</w:t>
                    </w:r>
                  </w:p>
                </w:tc>
              </w:tr>
              <w:tr>
                <w:trPr>
                  <w:jc w:val="center"/>
                </w:trPr>
                <w:tc>
                  <w:tcPr>
                    <w:tcW w:w="562" w:type="dxa"/>
                    <w:vAlign w:val="center"/>
                  </w:tcPr>
                  <w:p>
                    <w:pPr>
                      <w:jc w:val="center"/>
                      <w:rPr>
                        <w:color w:val="000000" w:themeColor="text1"/>
                      </w:rPr>
                    </w:pPr>
                    <w:r>
                      <w:rPr>
                        <w:rFonts w:hint="eastAsia"/>
                        <w:color w:val="000000" w:themeColor="text1"/>
                      </w:rPr>
                      <w:t>7</w:t>
                    </w:r>
                  </w:p>
                </w:tc>
                <w:tc>
                  <w:tcPr>
                    <w:tcW w:w="1252" w:type="dxa"/>
                    <w:vAlign w:val="center"/>
                  </w:tcPr>
                  <w:p>
                    <w:pPr>
                      <w:rPr>
                        <w:color w:val="000000" w:themeColor="text1"/>
                        <w:sz w:val="20"/>
                      </w:rPr>
                    </w:pPr>
                    <w:r>
                      <w:rPr>
                        <w:rFonts w:hint="eastAsia"/>
                        <w:color w:val="000000" w:themeColor="text1"/>
                      </w:rPr>
                      <w:t>李楼煤业</w:t>
                    </w:r>
                  </w:p>
                </w:tc>
                <w:tc>
                  <w:tcPr>
                    <w:tcW w:w="1935" w:type="dxa"/>
                    <w:vAlign w:val="center"/>
                  </w:tcPr>
                  <w:p>
                    <w:pPr>
                      <w:rPr>
                        <w:color w:val="000000" w:themeColor="text1"/>
                        <w:sz w:val="20"/>
                        <w:szCs w:val="20"/>
                      </w:rPr>
                    </w:pPr>
                    <w:r>
                      <w:rPr>
                        <w:rFonts w:hint="eastAsia"/>
                        <w:color w:val="000000" w:themeColor="text1"/>
                      </w:rPr>
                      <w:t>菏泽市生态环境局郓城县分局</w:t>
                    </w:r>
                  </w:p>
                </w:tc>
                <w:tc>
                  <w:tcPr>
                    <w:tcW w:w="3132" w:type="dxa"/>
                    <w:vAlign w:val="center"/>
                  </w:tcPr>
                  <w:p>
                    <w:pPr>
                      <w:rPr>
                        <w:color w:val="000000" w:themeColor="text1"/>
                        <w:sz w:val="20"/>
                        <w:szCs w:val="20"/>
                      </w:rPr>
                    </w:pPr>
                    <w:r>
                      <w:rPr>
                        <w:rFonts w:hint="eastAsia"/>
                        <w:color w:val="000000" w:themeColor="text1"/>
                      </w:rPr>
                      <w:t>菏郓环罚</w:t>
                    </w:r>
                    <w:r>
                      <w:rPr>
                        <w:color w:val="000000" w:themeColor="text1"/>
                      </w:rPr>
                      <w:t>〔</w:t>
                    </w:r>
                    <w:r>
                      <w:rPr>
                        <w:rFonts w:hint="eastAsia"/>
                        <w:color w:val="000000" w:themeColor="text1"/>
                      </w:rPr>
                      <w:t>2024</w:t>
                    </w:r>
                    <w:r>
                      <w:rPr>
                        <w:color w:val="000000" w:themeColor="text1"/>
                      </w:rPr>
                      <w:t>〕</w:t>
                    </w:r>
                    <w:r>
                      <w:rPr>
                        <w:rFonts w:hint="eastAsia"/>
                        <w:color w:val="000000" w:themeColor="text1"/>
                      </w:rPr>
                      <w:t>第0403-1号</w:t>
                    </w:r>
                  </w:p>
                </w:tc>
                <w:tc>
                  <w:tcPr>
                    <w:tcW w:w="2954" w:type="dxa"/>
                    <w:vAlign w:val="center"/>
                  </w:tcPr>
                  <w:p>
                    <w:pPr>
                      <w:rPr>
                        <w:color w:val="000000" w:themeColor="text1"/>
                        <w:sz w:val="20"/>
                        <w:szCs w:val="20"/>
                      </w:rPr>
                    </w:pPr>
                    <w:r>
                      <w:rPr>
                        <w:rFonts w:hint="eastAsia"/>
                        <w:color w:val="000000" w:themeColor="text1"/>
                      </w:rPr>
                      <w:t>罚款11.75万元，没收违法所得646万元</w:t>
                    </w:r>
                  </w:p>
                </w:tc>
              </w:tr>
              <w:tr>
                <w:trPr>
                  <w:jc w:val="center"/>
                </w:trPr>
                <w:tc>
                  <w:tcPr>
                    <w:tcW w:w="562" w:type="dxa"/>
                    <w:vAlign w:val="center"/>
                  </w:tcPr>
                  <w:p>
                    <w:pPr>
                      <w:jc w:val="center"/>
                      <w:rPr>
                        <w:color w:val="000000" w:themeColor="text1"/>
                      </w:rPr>
                    </w:pPr>
                    <w:r>
                      <w:rPr>
                        <w:rFonts w:hint="eastAsia"/>
                        <w:color w:val="000000" w:themeColor="text1"/>
                      </w:rPr>
                      <w:t>8</w:t>
                    </w:r>
                  </w:p>
                </w:tc>
                <w:tc>
                  <w:tcPr>
                    <w:tcW w:w="1252" w:type="dxa"/>
                    <w:vAlign w:val="center"/>
                  </w:tcPr>
                  <w:p>
                    <w:pPr>
                      <w:rPr>
                        <w:color w:val="000000" w:themeColor="text1"/>
                        <w:szCs w:val="21"/>
                      </w:rPr>
                    </w:pPr>
                    <w:r>
                      <w:rPr>
                        <w:rFonts w:hint="eastAsia"/>
                        <w:color w:val="000000" w:themeColor="text1"/>
                        <w:szCs w:val="21"/>
                      </w:rPr>
                      <w:t>彭庄煤矿</w:t>
                    </w:r>
                  </w:p>
                </w:tc>
                <w:tc>
                  <w:tcPr>
                    <w:tcW w:w="1935" w:type="dxa"/>
                  </w:tcPr>
                  <w:p>
                    <w:pPr>
                      <w:rPr>
                        <w:color w:val="000000" w:themeColor="text1"/>
                        <w:szCs w:val="21"/>
                      </w:rPr>
                    </w:pPr>
                    <w:r>
                      <w:rPr>
                        <w:rFonts w:hint="eastAsia"/>
                        <w:color w:val="000000" w:themeColor="text1"/>
                        <w:szCs w:val="21"/>
                      </w:rPr>
                      <w:t>菏泽市生态环境局郓城县分局</w:t>
                    </w:r>
                  </w:p>
                </w:tc>
                <w:tc>
                  <w:tcPr>
                    <w:tcW w:w="3132" w:type="dxa"/>
                    <w:vAlign w:val="center"/>
                  </w:tcPr>
                  <w:p>
                    <w:pPr>
                      <w:jc w:val="both"/>
                      <w:rPr>
                        <w:color w:val="000000" w:themeColor="text1"/>
                        <w:szCs w:val="21"/>
                      </w:rPr>
                    </w:pPr>
                    <w:r>
                      <w:rPr>
                        <w:color w:val="000000" w:themeColor="text1"/>
                        <w:szCs w:val="21"/>
                      </w:rPr>
                      <w:t>菏郓环罚字</w:t>
                    </w:r>
                    <w:r>
                      <w:rPr>
                        <w:color w:val="000000" w:themeColor="text1"/>
                      </w:rPr>
                      <w:t>〔</w:t>
                    </w:r>
                    <w:r>
                      <w:rPr>
                        <w:color w:val="000000" w:themeColor="text1"/>
                        <w:szCs w:val="21"/>
                      </w:rPr>
                      <w:t>2024</w:t>
                    </w:r>
                    <w:r>
                      <w:rPr>
                        <w:color w:val="000000" w:themeColor="text1"/>
                      </w:rPr>
                      <w:t>〕</w:t>
                    </w:r>
                    <w:r>
                      <w:rPr>
                        <w:color w:val="000000" w:themeColor="text1"/>
                        <w:szCs w:val="21"/>
                      </w:rPr>
                      <w:t>第40306001号</w:t>
                    </w:r>
                  </w:p>
                </w:tc>
                <w:tc>
                  <w:tcPr>
                    <w:tcW w:w="2954" w:type="dxa"/>
                  </w:tcPr>
                  <w:p>
                    <w:pPr>
                      <w:rPr>
                        <w:color w:val="000000" w:themeColor="text1"/>
                        <w:szCs w:val="21"/>
                      </w:rPr>
                    </w:pPr>
                    <w:r>
                      <w:rPr>
                        <w:rFonts w:hint="eastAsia"/>
                        <w:color w:val="000000" w:themeColor="text1"/>
                      </w:rPr>
                      <w:t>罚款</w:t>
                    </w:r>
                    <w:r>
                      <w:rPr>
                        <w:rFonts w:hint="eastAsia"/>
                        <w:color w:val="000000" w:themeColor="text1"/>
                        <w:szCs w:val="21"/>
                      </w:rPr>
                      <w:t>11</w:t>
                    </w:r>
                    <w:r>
                      <w:rPr>
                        <w:rFonts w:hint="eastAsia"/>
                        <w:color w:val="000000" w:themeColor="text1"/>
                      </w:rPr>
                      <w:t>万元，没收违法所得269万元</w:t>
                    </w:r>
                  </w:p>
                </w:tc>
              </w:tr>
            </w:tbl>
            <w:p>
              <w:pPr>
                <w:pStyle w:val="affffffff9"/>
                <w:ind w:firstLineChars="200" w:firstLine="420"/>
                <w:jc w:val="both"/>
                <w:rPr>
                  <w:color w:val="000000" w:themeColor="text1"/>
                  <w:szCs w:val="24"/>
                </w:rPr>
              </w:pPr>
              <w:r>
                <w:rPr>
                  <w:rFonts w:hint="eastAsia"/>
                  <w:color w:val="000000" w:themeColor="text1"/>
                </w:rPr>
                <w:t>注：</w:t>
              </w:r>
              <w:r>
                <w:rPr>
                  <w:color w:val="000000" w:themeColor="text1"/>
                </w:rPr>
                <w:t>郭屯煤矿、李楼煤业、彭庄煤矿因未严格按照有关规定建立并记录工业固体废物煤矸石管理台账，被有关主管单位处以罚款，并没收煤矸石的销售收入。目前，上述事项均已整改完毕。</w:t>
              </w:r>
            </w:p>
          </w:sdtContent>
        </w:sdt>
      </w:sdtContent>
    </w:sdt>
    <w:p>
      <w:pPr>
        <w:rPr>
          <w:color w:val="000000" w:themeColor="text1"/>
        </w:rPr>
      </w:pPr>
      <w:bookmarkStart w:id="153" w:name="_Hlk174368080"/>
      <w:bookmarkEnd w:id="153"/>
    </w:p>
    <w:p>
      <w:pPr>
        <w:pStyle w:val="affffffff5"/>
        <w:numPr>
          <w:ilvl w:val="0"/>
          <w:numId w:val="64"/>
        </w:numPr>
        <w:rPr>
          <w:rFonts w:ascii="宋体" w:hAnsi="宋体"/>
          <w:color w:val="000000" w:themeColor="text1"/>
        </w:rPr>
      </w:pPr>
      <w:r>
        <w:rPr>
          <w:rFonts w:ascii="宋体" w:hAnsi="宋体" w:hint="eastAsia"/>
          <w:color w:val="000000" w:themeColor="text1"/>
        </w:rPr>
        <w:t>其他应当公开的环境信息</w:t>
      </w:r>
    </w:p>
    <w:sdt>
      <w:sdtPr>
        <w:rPr>
          <w:color w:val="000000" w:themeColor="text1"/>
        </w:rPr>
        <w:alias w:val="是否适用：其他应当公开的环境信息[双击切换]"/>
        <w:tag w:val="_GBC_98ced024394941ff987ebfb84f969979"/>
        <w:id w:val="-1315330037"/>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affffffff3"/>
        <w:numPr>
          <w:ilvl w:val="0"/>
          <w:numId w:val="63"/>
        </w:numPr>
        <w:ind w:left="425" w:hanging="425"/>
        <w:rPr>
          <w:rFonts w:ascii="宋体" w:hAnsi="宋体"/>
          <w:color w:val="000000" w:themeColor="text1"/>
        </w:rPr>
      </w:pPr>
      <w:r>
        <w:rPr>
          <w:rFonts w:ascii="宋体" w:hAnsi="宋体"/>
          <w:color w:val="000000" w:themeColor="text1"/>
        </w:rPr>
        <w:t>重点排污单位之外的公司环保情况说明</w:t>
      </w:r>
    </w:p>
    <w:sdt>
      <w:sdtPr>
        <w:rPr>
          <w:color w:val="000000" w:themeColor="text1"/>
        </w:rPr>
        <w:alias w:val="是否适用：重点排污单位之外的公司的环保情况[双击切换]"/>
        <w:tag w:val="_GBC_d5ef790979ae4170801b0e930a2b7445"/>
        <w:id w:val="241536055"/>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affffffff5"/>
        <w:numPr>
          <w:ilvl w:val="0"/>
          <w:numId w:val="65"/>
        </w:numPr>
        <w:ind w:left="450" w:hanging="450"/>
        <w:rPr>
          <w:rFonts w:ascii="宋体" w:hAnsi="宋体"/>
          <w:color w:val="000000" w:themeColor="text1"/>
          <w:szCs w:val="21"/>
        </w:rPr>
      </w:pPr>
      <w:bookmarkStart w:id="154" w:name="_Hlk74731776"/>
      <w:r>
        <w:rPr>
          <w:rFonts w:ascii="宋体" w:hAnsi="宋体" w:hint="eastAsia"/>
          <w:color w:val="000000" w:themeColor="text1"/>
          <w:szCs w:val="21"/>
        </w:rPr>
        <w:t>因环境问题受到行政处罚的情况</w:t>
      </w:r>
    </w:p>
    <w:sdt>
      <w:sdtPr>
        <w:rPr>
          <w:color w:val="000000" w:themeColor="text1"/>
          <w:szCs w:val="21"/>
        </w:rPr>
        <w:alias w:val="是否适用：重点排污单位之外的公司因环境问题受到行政处罚的情况[双击切换]"/>
        <w:tag w:val="_GBC_5896886de1f845c180bb3a271ed2a8a9"/>
        <w:id w:val="-2098932686"/>
        <w:placeholder>
          <w:docPart w:val="GBC22222222222222222222222222222"/>
        </w:placeholder>
      </w:sdtPr>
      <w:sdtContent>
        <w:p>
          <w:pPr>
            <w:rPr>
              <w:color w:val="000000" w:themeColor="text1"/>
              <w:szCs w:val="21"/>
            </w:rPr>
          </w:pPr>
          <w:r>
            <w:rPr>
              <w:color w:val="000000" w:themeColor="text1"/>
              <w:szCs w:val="21"/>
            </w:rPr>
            <w:fldChar w:fldCharType="begin"/>
          </w:r>
          <w:r>
            <w:rPr>
              <w:rFonts w:hint="eastAsia"/>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rFonts w:hint="eastAsia"/>
              <w:color w:val="000000" w:themeColor="text1"/>
              <w:szCs w:val="21"/>
            </w:rPr>
            <w:instrText xml:space="preserve"> MACROBUTTON  SnrToggleCheckbox √不适用 </w:instrText>
          </w:r>
          <w:r>
            <w:rPr>
              <w:color w:val="000000" w:themeColor="text1"/>
              <w:szCs w:val="21"/>
            </w:rPr>
            <w:fldChar w:fldCharType="end"/>
          </w:r>
        </w:p>
      </w:sdtContent>
    </w:sdt>
    <w:p>
      <w:pPr>
        <w:rPr>
          <w:color w:val="000000" w:themeColor="text1"/>
          <w:szCs w:val="21"/>
        </w:rPr>
      </w:pPr>
    </w:p>
    <w:bookmarkEnd w:id="154"/>
    <w:p>
      <w:pPr>
        <w:pStyle w:val="affffffff5"/>
        <w:numPr>
          <w:ilvl w:val="0"/>
          <w:numId w:val="65"/>
        </w:numPr>
        <w:ind w:left="450" w:hanging="450"/>
        <w:rPr>
          <w:rFonts w:ascii="宋体" w:hAnsi="宋体"/>
          <w:color w:val="000000" w:themeColor="text1"/>
          <w:szCs w:val="21"/>
        </w:rPr>
      </w:pPr>
      <w:r>
        <w:rPr>
          <w:rFonts w:ascii="宋体" w:hAnsi="宋体" w:hint="eastAsia"/>
          <w:color w:val="000000" w:themeColor="text1"/>
          <w:szCs w:val="21"/>
        </w:rPr>
        <w:t>参照重点排污单位披露其他环境信息</w:t>
      </w:r>
    </w:p>
    <w:sdt>
      <w:sdtPr>
        <w:rPr>
          <w:color w:val="000000" w:themeColor="text1"/>
          <w:szCs w:val="21"/>
        </w:rPr>
        <w:alias w:val="是否适用：参照重点排污单位披露其它环境信息[双击切换]"/>
        <w:tag w:val="_GBC_c81ce6b9ed3e477cb685a903703d325c"/>
        <w:id w:val="-155763460"/>
        <w:placeholder>
          <w:docPart w:val="GBC22222222222222222222222222222"/>
        </w:placeholder>
      </w:sdtPr>
      <w:sdtContent>
        <w:p>
          <w:pPr>
            <w:rPr>
              <w:color w:val="000000" w:themeColor="text1"/>
              <w:szCs w:val="21"/>
            </w:rPr>
          </w:pPr>
          <w:r>
            <w:rPr>
              <w:color w:val="000000" w:themeColor="text1"/>
              <w:szCs w:val="21"/>
            </w:rPr>
            <w:fldChar w:fldCharType="begin"/>
          </w:r>
          <w:r>
            <w:rPr>
              <w:rFonts w:hint="eastAsia"/>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rFonts w:hint="eastAsia"/>
              <w:color w:val="000000" w:themeColor="text1"/>
              <w:szCs w:val="21"/>
            </w:rPr>
            <w:instrText xml:space="preserve"> MACROBUTTON  SnrToggleCheckbox √不适用 </w:instrText>
          </w:r>
          <w:r>
            <w:rPr>
              <w:color w:val="000000" w:themeColor="text1"/>
              <w:szCs w:val="21"/>
            </w:rPr>
            <w:fldChar w:fldCharType="end"/>
          </w:r>
        </w:p>
      </w:sdtContent>
    </w:sdt>
    <w:p>
      <w:pPr>
        <w:rPr>
          <w:color w:val="000000" w:themeColor="text1"/>
          <w:szCs w:val="21"/>
        </w:rPr>
      </w:pPr>
    </w:p>
    <w:p>
      <w:pPr>
        <w:pStyle w:val="affffffff5"/>
        <w:numPr>
          <w:ilvl w:val="0"/>
          <w:numId w:val="65"/>
        </w:numPr>
        <w:ind w:left="450" w:hanging="450"/>
        <w:rPr>
          <w:rFonts w:ascii="宋体" w:hAnsi="宋体"/>
          <w:color w:val="000000" w:themeColor="text1"/>
          <w:szCs w:val="21"/>
        </w:rPr>
      </w:pPr>
      <w:r>
        <w:rPr>
          <w:rFonts w:ascii="宋体" w:hAnsi="宋体" w:hint="eastAsia"/>
          <w:color w:val="000000" w:themeColor="text1"/>
          <w:szCs w:val="21"/>
        </w:rPr>
        <w:t>未披露其他环境信息的原因</w:t>
      </w:r>
    </w:p>
    <w:sdt>
      <w:sdtPr>
        <w:rPr>
          <w:color w:val="000000" w:themeColor="text1"/>
        </w:rPr>
        <w:alias w:val="是否适用：重点排污单位之外的公司未披露环境信息的原因[双击切换]"/>
        <w:tag w:val="_GBC_cd8c1fc8381844409435eed0d957ea5c"/>
        <w:id w:val="-643663685"/>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重点排污单位之外的公司未披露环境信息的原因"/>
        <w:tag w:val="_GBC_320f885ba1db4670a0f1c0055e0d946f"/>
        <w:id w:val="91980075"/>
        <w:placeholder>
          <w:docPart w:val="GBC22222222222222222222222222222"/>
        </w:placeholder>
      </w:sdtPr>
      <w:sdtContent>
        <w:p>
          <w:pPr>
            <w:ind w:firstLineChars="200" w:firstLine="420"/>
            <w:jc w:val="both"/>
            <w:rPr>
              <w:color w:val="000000" w:themeColor="text1"/>
            </w:rPr>
          </w:pPr>
          <w:r>
            <w:rPr>
              <w:rFonts w:hint="eastAsia"/>
              <w:color w:val="000000" w:themeColor="text1"/>
            </w:rPr>
            <w:t>公司未披露其他环境信息的原因是对环境的影响较小，主要是日常办公运营对能源资源的消耗和排放。</w:t>
          </w:r>
        </w:p>
        <w:p>
          <w:pPr>
            <w:ind w:firstLineChars="200" w:firstLine="420"/>
            <w:jc w:val="both"/>
            <w:rPr>
              <w:color w:val="000000" w:themeColor="text1"/>
            </w:rPr>
          </w:pPr>
          <w:r>
            <w:rPr>
              <w:color w:val="000000" w:themeColor="text1"/>
            </w:rPr>
            <w:t>兖煤澳洲所属矿井均严格遵守所</w:t>
          </w:r>
          <w:r>
            <w:rPr>
              <w:rFonts w:hint="eastAsia"/>
              <w:color w:val="000000" w:themeColor="text1"/>
            </w:rPr>
            <w:t>在</w:t>
          </w:r>
          <w:r>
            <w:rPr>
              <w:color w:val="000000" w:themeColor="text1"/>
            </w:rPr>
            <w:t>国相关环境保护法律法规及监管条例，建设和运行污染防治设施，积极开展污染防治工作，废气、废水、固体废物及其他污染物的排放均符合所</w:t>
          </w:r>
          <w:r>
            <w:rPr>
              <w:rFonts w:hint="eastAsia"/>
              <w:color w:val="000000" w:themeColor="text1"/>
            </w:rPr>
            <w:t>在</w:t>
          </w:r>
          <w:r>
            <w:rPr>
              <w:color w:val="000000" w:themeColor="text1"/>
            </w:rPr>
            <w:t>国污染物排放标准规定。对可能存在的环境事故风险，均制订环境事故和其他突发事件的应急预案，并建立了向当地政府、环境保护监管机构</w:t>
          </w:r>
          <w:r>
            <w:rPr>
              <w:rFonts w:hint="eastAsia"/>
              <w:color w:val="000000" w:themeColor="text1"/>
            </w:rPr>
            <w:t>等</w:t>
          </w:r>
          <w:r>
            <w:rPr>
              <w:color w:val="000000" w:themeColor="text1"/>
            </w:rPr>
            <w:t>沟通汇报制度。有关兖煤澳洲环境信息请参见兖煤澳洲定期披露的《环境、社会及管治报告》。</w:t>
          </w:r>
        </w:p>
      </w:sdtContent>
    </w:sdt>
    <w:p>
      <w:pPr>
        <w:rPr>
          <w:color w:val="000000" w:themeColor="text1"/>
        </w:rPr>
      </w:pPr>
    </w:p>
    <w:p>
      <w:pPr>
        <w:pStyle w:val="affffffff3"/>
        <w:numPr>
          <w:ilvl w:val="0"/>
          <w:numId w:val="63"/>
        </w:numPr>
        <w:ind w:left="425" w:hanging="425"/>
        <w:rPr>
          <w:rFonts w:ascii="宋体" w:hAnsi="宋体"/>
          <w:color w:val="000000" w:themeColor="text1"/>
        </w:rPr>
      </w:pPr>
      <w:r>
        <w:rPr>
          <w:rFonts w:ascii="宋体" w:hAnsi="宋体"/>
          <w:color w:val="000000" w:themeColor="text1"/>
        </w:rPr>
        <w:t>有利于保护生态、防治污染、履行环境责任的相关信息</w:t>
      </w:r>
    </w:p>
    <w:sdt>
      <w:sdtPr>
        <w:rPr>
          <w:color w:val="000000" w:themeColor="text1"/>
          <w:szCs w:val="21"/>
        </w:rPr>
        <w:alias w:val="是否适用：有利于保护生态、防治污染、履行环境责任的相关信息[双击切换]"/>
        <w:tag w:val="_GBC_b098ce7912f144edb010c3351255b611"/>
        <w:id w:val="-1382943872"/>
        <w:placeholder>
          <w:docPart w:val="GBC22222222222222222222222222222"/>
        </w:placeholder>
      </w:sdtPr>
      <w:sdtContent>
        <w:p>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有利于保护生态、防治污染、履行环境责任的相关信息"/>
        <w:tag w:val="_GBC_1fccabe26da9412fabcb2e444011eb04"/>
        <w:id w:val="-758753663"/>
        <w:placeholder>
          <w:docPart w:val="GBC22222222222222222222222222222"/>
        </w:placeholder>
      </w:sdtPr>
      <w:sdtEndPr>
        <w:rPr>
          <w:rFonts w:hint="eastAsia"/>
          <w:szCs w:val="24"/>
        </w:rPr>
      </w:sdtEndPr>
      <w:sdtContent>
        <w:p>
          <w:pPr>
            <w:ind w:firstLineChars="200" w:firstLine="420"/>
            <w:jc w:val="both"/>
            <w:rPr>
              <w:color w:val="000000" w:themeColor="text1"/>
            </w:rPr>
          </w:pPr>
          <w:r>
            <w:rPr>
              <w:rFonts w:hint="eastAsia"/>
              <w:color w:val="000000" w:themeColor="text1"/>
            </w:rPr>
            <w:t>持续提升污染防治设施能力。积极推动补齐环境基础设施短板弱项，全面提升环境基础设施建设水平。</w:t>
          </w:r>
          <w:r>
            <w:rPr>
              <w:color w:val="000000" w:themeColor="text1"/>
            </w:rPr>
            <w:t>鲁南化工一期聚甲醛粉料输送系统改造项目已完成建设并投入使用，进一步提升了</w:t>
          </w:r>
          <w:r>
            <w:rPr>
              <w:rFonts w:hint="eastAsia"/>
              <w:color w:val="000000" w:themeColor="text1"/>
            </w:rPr>
            <w:t>挥发性有机物</w:t>
          </w:r>
          <w:r>
            <w:rPr>
              <w:color w:val="000000" w:themeColor="text1"/>
            </w:rPr>
            <w:t>排放控制水平，有利于改善厂区环境空气质量。杨村煤矿、转龙湾煤矿、营盘壕煤矿</w:t>
          </w:r>
          <w:r>
            <w:rPr>
              <w:color w:val="000000" w:themeColor="text1"/>
            </w:rPr>
            <w:lastRenderedPageBreak/>
            <w:t>生活污水处理系统改扩建项目按计划推进</w:t>
          </w:r>
          <w:r>
            <w:rPr>
              <w:rFonts w:hint="eastAsia"/>
              <w:color w:val="000000" w:themeColor="text1"/>
            </w:rPr>
            <w:t>手续办理</w:t>
          </w:r>
          <w:r>
            <w:rPr>
              <w:color w:val="000000" w:themeColor="text1"/>
            </w:rPr>
            <w:t>工作。</w:t>
          </w:r>
          <w:r>
            <w:rPr>
              <w:rFonts w:hint="eastAsia"/>
              <w:color w:val="000000" w:themeColor="text1"/>
            </w:rPr>
            <w:t>梁宝寺公司矿井水处理改造项目已开始联合调试。郭屯煤矿矿井水处理站扩容改造项目已开始试运行</w:t>
          </w:r>
          <w:r>
            <w:rPr>
              <w:color w:val="000000" w:themeColor="text1"/>
            </w:rPr>
            <w:t>。</w:t>
          </w:r>
        </w:p>
        <w:p>
          <w:pPr>
            <w:ind w:firstLineChars="200" w:firstLine="420"/>
            <w:jc w:val="both"/>
            <w:rPr>
              <w:color w:val="000000" w:themeColor="text1"/>
            </w:rPr>
          </w:pPr>
          <w:r>
            <w:rPr>
              <w:rFonts w:hint="eastAsia"/>
              <w:color w:val="000000" w:themeColor="text1"/>
            </w:rPr>
            <w:t>持续提高生态环境保护水平。</w:t>
          </w:r>
          <w:r>
            <w:rPr>
              <w:color w:val="000000" w:themeColor="text1"/>
            </w:rPr>
            <w:t>积极</w:t>
          </w:r>
          <w:r>
            <w:rPr>
              <w:rFonts w:hint="eastAsia"/>
              <w:color w:val="000000" w:themeColor="text1"/>
            </w:rPr>
            <w:t>践行“绿水青山就是金山银山”理念，</w:t>
          </w:r>
          <w:r>
            <w:rPr>
              <w:color w:val="000000" w:themeColor="text1"/>
            </w:rPr>
            <w:t>深入落实原料无害化、生产洁净化、废物资源化、能源低碳化要求</w:t>
          </w:r>
          <w:r>
            <w:rPr>
              <w:rFonts w:hint="eastAsia"/>
              <w:color w:val="000000" w:themeColor="text1"/>
            </w:rPr>
            <w:t>，推进绿色矿山、绿色工厂建设。</w:t>
          </w:r>
          <w:r>
            <w:rPr>
              <w:color w:val="000000" w:themeColor="text1"/>
            </w:rPr>
            <w:t>新疆煤化工被评为2023年度国家级绿色工厂</w:t>
          </w:r>
          <w:r>
            <w:rPr>
              <w:rFonts w:hint="eastAsia"/>
              <w:color w:val="000000" w:themeColor="text1"/>
            </w:rPr>
            <w:t>；伊犁一矿纳入新疆维吾尔自治区绿色矿山名录；新巨龙公司、郭屯煤矿、彭庄煤矿、梁宝寺公司被评为2024年度省级绿色矿山；兴隆庄煤矿被评为省级无废工厂。</w:t>
          </w:r>
        </w:p>
      </w:sdtContent>
    </w:sdt>
    <w:p>
      <w:pPr>
        <w:rPr>
          <w:color w:val="000000" w:themeColor="text1"/>
        </w:rPr>
      </w:pPr>
    </w:p>
    <w:p>
      <w:pPr>
        <w:pStyle w:val="affffffff3"/>
        <w:numPr>
          <w:ilvl w:val="0"/>
          <w:numId w:val="63"/>
        </w:numPr>
        <w:ind w:left="425" w:hanging="425"/>
        <w:rPr>
          <w:rFonts w:ascii="宋体" w:hAnsi="宋体"/>
          <w:color w:val="000000" w:themeColor="text1"/>
        </w:rPr>
      </w:pPr>
      <w:r>
        <w:rPr>
          <w:rFonts w:ascii="宋体" w:hAnsi="宋体"/>
          <w:color w:val="000000" w:themeColor="text1"/>
        </w:rPr>
        <w:t>在报告期内为减少其碳排放所采取的措施及效果</w:t>
      </w:r>
    </w:p>
    <w:tbl>
      <w:tblPr>
        <w:tblStyle w:val="g1"/>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1"/>
        <w:gridCol w:w="5202"/>
      </w:tblGrid>
      <w:tr>
        <w:sdt>
          <w:sdtPr>
            <w:rPr>
              <w:color w:val="000000" w:themeColor="text1"/>
            </w:rPr>
            <w:tag w:val="_PLD_d765fcc12171478eb6ac1d26c3b15d8b"/>
            <w:id w:val="-96415814"/>
          </w:sdtPr>
          <w:sdtContent>
            <w:tc>
              <w:tcPr>
                <w:tcW w:w="2052" w:type="pct"/>
                <w:shd w:val="clear" w:color="auto" w:fill="auto"/>
              </w:tcPr>
              <w:p>
                <w:pPr>
                  <w:widowControl w:val="0"/>
                  <w:jc w:val="both"/>
                  <w:rPr>
                    <w:color w:val="000000" w:themeColor="text1"/>
                  </w:rPr>
                </w:pPr>
                <w:r>
                  <w:rPr>
                    <w:rFonts w:hint="eastAsia"/>
                    <w:color w:val="000000" w:themeColor="text1"/>
                  </w:rPr>
                  <w:t>是否采取减碳措施</w:t>
                </w:r>
              </w:p>
            </w:tc>
          </w:sdtContent>
        </w:sdt>
        <w:sdt>
          <w:sdtPr>
            <w:rPr>
              <w:color w:val="000000" w:themeColor="text1"/>
            </w:rPr>
            <w:alias w:val="是否采取减碳措施"/>
            <w:tag w:val="_GBC_d9a1ff3875ac418bab40a855cd584ffd"/>
            <w:id w:val="2130734702"/>
            <w:comboBox>
              <w:listItem w:displayText="是" w:value="是"/>
              <w:listItem w:displayText="否" w:value="否"/>
            </w:comboBox>
          </w:sdtPr>
          <w:sdtContent>
            <w:tc>
              <w:tcPr>
                <w:tcW w:w="2948" w:type="pct"/>
                <w:shd w:val="clear" w:color="auto" w:fill="auto"/>
              </w:tcPr>
              <w:p>
                <w:pPr>
                  <w:widowControl w:val="0"/>
                  <w:jc w:val="both"/>
                  <w:rPr>
                    <w:color w:val="000000" w:themeColor="text1"/>
                  </w:rPr>
                </w:pPr>
                <w:r>
                  <w:rPr>
                    <w:color w:val="000000" w:themeColor="text1"/>
                  </w:rPr>
                  <w:t>是</w:t>
                </w:r>
              </w:p>
            </w:tc>
          </w:sdtContent>
        </w:sdt>
      </w:tr>
      <w:tr>
        <w:tc>
          <w:tcPr>
            <w:tcW w:w="2052" w:type="pct"/>
            <w:shd w:val="clear" w:color="auto" w:fill="auto"/>
          </w:tcPr>
          <w:p>
            <w:pPr>
              <w:widowControl w:val="0"/>
              <w:jc w:val="both"/>
              <w:rPr>
                <w:color w:val="000000" w:themeColor="text1"/>
              </w:rPr>
            </w:pPr>
            <w:r>
              <w:rPr>
                <w:rFonts w:hint="eastAsia"/>
                <w:color w:val="000000" w:themeColor="text1"/>
              </w:rPr>
              <w:t>减少排放二氧化碳当量（单位：吨）</w:t>
            </w:r>
          </w:p>
        </w:tc>
        <w:tc>
          <w:tcPr>
            <w:tcW w:w="2948" w:type="pct"/>
            <w:shd w:val="clear" w:color="auto" w:fill="auto"/>
          </w:tcPr>
          <w:p>
            <w:pPr>
              <w:widowControl w:val="0"/>
              <w:rPr>
                <w:color w:val="000000" w:themeColor="text1"/>
              </w:rPr>
            </w:pPr>
            <w:r>
              <w:rPr>
                <w:color w:val="000000" w:themeColor="text1"/>
              </w:rPr>
              <w:t>870,960</w:t>
            </w:r>
          </w:p>
        </w:tc>
      </w:tr>
      <w:tr>
        <w:tc>
          <w:tcPr>
            <w:tcW w:w="2052" w:type="pct"/>
            <w:shd w:val="clear" w:color="auto" w:fill="auto"/>
          </w:tcPr>
          <w:p>
            <w:pPr>
              <w:widowControl w:val="0"/>
              <w:jc w:val="both"/>
              <w:rPr>
                <w:color w:val="000000" w:themeColor="text1"/>
              </w:rPr>
            </w:pPr>
            <w:r>
              <w:rPr>
                <w:rFonts w:hint="eastAsia"/>
                <w:color w:val="000000" w:themeColor="text1"/>
              </w:rPr>
              <w:t>减碳措施类型（如使用清洁能源发电、在生产过程中使用减碳技术、研发生产助于减碳的新产品等）</w:t>
            </w:r>
          </w:p>
        </w:tc>
        <w:tc>
          <w:tcPr>
            <w:tcW w:w="2948" w:type="pct"/>
            <w:shd w:val="clear" w:color="auto" w:fill="auto"/>
          </w:tcPr>
          <w:p>
            <w:pPr>
              <w:widowControl w:val="0"/>
              <w:jc w:val="both"/>
              <w:rPr>
                <w:color w:val="000000" w:themeColor="text1"/>
              </w:rPr>
            </w:pPr>
            <w:r>
              <w:rPr>
                <w:rFonts w:hint="eastAsia"/>
                <w:color w:val="000000" w:themeColor="text1"/>
              </w:rPr>
              <w:t>清洁能源发电，在生产过程中使用减碳技术</w:t>
            </w:r>
          </w:p>
        </w:tc>
      </w:tr>
    </w:tbl>
    <w:p>
      <w:pPr>
        <w:rPr>
          <w:color w:val="000000" w:themeColor="text1"/>
        </w:rPr>
      </w:pPr>
    </w:p>
    <w:p>
      <w:pPr>
        <w:rPr>
          <w:color w:val="000000" w:themeColor="text1"/>
        </w:rPr>
      </w:pPr>
      <w:r>
        <w:rPr>
          <w:rFonts w:hint="eastAsia"/>
          <w:color w:val="000000" w:themeColor="text1"/>
        </w:rPr>
        <w:t>具体说明</w:t>
      </w:r>
    </w:p>
    <w:sdt>
      <w:sdtPr>
        <w:rPr>
          <w:color w:val="000000" w:themeColor="text1"/>
        </w:rPr>
        <w:alias w:val="是否适用：在报告期内为减少其碳排放所采取的措施及效果 [双击切换]"/>
        <w:tag w:val="_GBC_c548c6cdcee840f1b99e9992b9199dfc"/>
        <w:id w:val="-1074206660"/>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在报告期内为减少其碳排放所采取的措施及效果 "/>
        <w:tag w:val="_GBC_ca4174c323bb40d9bffbaa1df2f9a6e3"/>
        <w:id w:val="-1271624332"/>
        <w:placeholder>
          <w:docPart w:val="GBC22222222222222222222222222222"/>
        </w:placeholder>
      </w:sdtPr>
      <w:sdtContent>
        <w:p>
          <w:pPr>
            <w:rPr>
              <w:color w:val="000000" w:themeColor="text1"/>
            </w:rPr>
          </w:pPr>
          <w:r>
            <w:rPr>
              <w:rFonts w:hint="eastAsia"/>
              <w:color w:val="000000" w:themeColor="text1"/>
            </w:rPr>
            <w:t xml:space="preserve">    </w:t>
          </w:r>
          <w:r>
            <w:rPr>
              <w:color w:val="000000" w:themeColor="text1"/>
            </w:rPr>
            <w:t>2024年，本集团持续开展减少碳排放的措施。一是实施节能减碳技术改造，通过开展矿井水清污分流、高压供电升级、更换永磁电动机等节电技术改造，年节电984万kWh。二是持续开展余热余压利用。各矿井充分利用空压机等水冷循环系统，建设空气源热泵和热水循环系统，收集设备运转、乏风、矿井水等余热，满足矿区内大部分冬季供暖、夏季供冷、澡堂洗浴热水等需求，减少化石能源消耗；化工单位利用低品质余热和粗甲醇液差压能量发电，年减少电耗约1,271万kWh。三是强化低能效设备升级。实施变电所设备、低能效电机升级改造，安装无功补偿装</w:t>
          </w:r>
          <w:r>
            <w:rPr>
              <w:rFonts w:hint="eastAsia"/>
              <w:color w:val="000000" w:themeColor="text1"/>
            </w:rPr>
            <w:t>置，泵类设备提效升级等，减少无功损耗，提高设备运行效率。四是开展工艺技术提升。实施化工装置蒸汽系统优化等工艺技术改进、优化工艺系统操作，停运冗余设备，解决设备缺陷，促使工艺系统效率提升，减少化工和电力单位蒸汽消耗，并降低厂用电率，甲醇、尿素等单位产品能耗下降。五是推进新能源建设和绿能应用。公司已建成分布式光伏电站</w:t>
          </w:r>
          <w:r>
            <w:rPr>
              <w:color w:val="000000" w:themeColor="text1"/>
            </w:rPr>
            <w:t>8座，</w:t>
          </w:r>
          <w:r>
            <w:rPr>
              <w:rFonts w:hint="eastAsia"/>
              <w:color w:val="000000" w:themeColor="text1"/>
            </w:rPr>
            <w:t>集中式光伏电站</w:t>
          </w:r>
          <w:r>
            <w:rPr>
              <w:color w:val="000000" w:themeColor="text1"/>
            </w:rPr>
            <w:t>1座</w:t>
          </w:r>
          <w:r>
            <w:rPr>
              <w:rFonts w:hint="eastAsia"/>
              <w:color w:val="000000" w:themeColor="text1"/>
            </w:rPr>
            <w:t>，</w:t>
          </w:r>
          <w:r>
            <w:rPr>
              <w:color w:val="000000" w:themeColor="text1"/>
            </w:rPr>
            <w:t>合计装机达124.1MWp，年发电量17,548万kWh；化工单位与售电公司签订购电协议，用电量含30%以上绿电，绿电使用量较往年大幅提升。六是加强瓦斯气体综合利用。公司运营的煤矿绝大部分为低</w:t>
          </w:r>
          <w:r>
            <w:rPr>
              <w:rFonts w:hint="eastAsia"/>
              <w:color w:val="000000" w:themeColor="text1"/>
            </w:rPr>
            <w:t>瓦斯煤矿，煤矿开采活动导致的逸散性甲烷排放较少。天池能源将瓦斯气体进行收集并用于发电，减少碳排放</w:t>
          </w:r>
          <w:r>
            <w:rPr>
              <w:color w:val="000000" w:themeColor="text1"/>
            </w:rPr>
            <w:t>217,980吨。七是开展碳管理体系建设。组织电力、化工生产单位建立碳排放管理制度，规范碳数据核查和履约工作，并适时开展碳足迹评价工作，2024年全部按期履约完成。其中赵楼电厂成为山东省第一批获得火力发电企业碳管理体系认证的单位。</w:t>
          </w:r>
        </w:p>
      </w:sdtContent>
    </w:sdt>
    <w:p>
      <w:pPr>
        <w:pStyle w:val="afffffffffffff8"/>
        <w:numPr>
          <w:ilvl w:val="0"/>
          <w:numId w:val="62"/>
        </w:numPr>
        <w:tabs>
          <w:tab w:val="left" w:pos="426"/>
        </w:tabs>
        <w:ind w:left="425" w:hanging="425"/>
        <w:rPr>
          <w:color w:val="000000" w:themeColor="text1"/>
        </w:rPr>
      </w:pPr>
      <w:r>
        <w:rPr>
          <w:rFonts w:hint="eastAsia"/>
          <w:color w:val="000000" w:themeColor="text1"/>
        </w:rPr>
        <w:t>社会责任工作情况</w:t>
      </w:r>
    </w:p>
    <w:p>
      <w:pPr>
        <w:pStyle w:val="affffffff3"/>
        <w:numPr>
          <w:ilvl w:val="0"/>
          <w:numId w:val="66"/>
        </w:numPr>
        <w:rPr>
          <w:rFonts w:ascii="宋体" w:hAnsi="宋体"/>
          <w:color w:val="000000" w:themeColor="text1"/>
        </w:rPr>
      </w:pPr>
      <w:r>
        <w:rPr>
          <w:rFonts w:ascii="宋体" w:hAnsi="宋体" w:hint="eastAsia"/>
          <w:color w:val="000000" w:themeColor="text1"/>
        </w:rPr>
        <w:t>是否单独披露社会责任报告、可持续发展报告或ESG报告</w:t>
      </w:r>
    </w:p>
    <w:sdt>
      <w:sdtPr>
        <w:rPr>
          <w:color w:val="000000" w:themeColor="text1"/>
        </w:rPr>
        <w:alias w:val="是否适用：是否单独披露社会责任报告、可持续发展报告或ESG报告[双击切换]"/>
        <w:tag w:val="_GBC_9e7dd53d4e6f44ea9f272442eb9babac"/>
        <w:id w:val="122585620"/>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是否单独披露社会责任报告、可持续发展报告或ESG报告"/>
        <w:tag w:val="_GBC_e26ad08dba0e483a908a6ff4e6e74e3f"/>
        <w:id w:val="-1102563258"/>
        <w:placeholder>
          <w:docPart w:val="GBC22222222222222222222222222222"/>
        </w:placeholder>
      </w:sdtPr>
      <w:sdtContent>
        <w:sdt>
          <w:sdtPr>
            <w:rPr>
              <w:color w:val="000000" w:themeColor="text1"/>
            </w:rPr>
            <w:alias w:val="是否单独披露社会责任报告、可持续发展报告或ESG报告"/>
            <w:tag w:val="_GBC_e26ad08dba0e483a908a6ff4e6e74e3f"/>
            <w:id w:val="-1492246583"/>
          </w:sdtPr>
          <w:sdtContent>
            <w:p>
              <w:pPr>
                <w:rPr>
                  <w:color w:val="000000" w:themeColor="text1"/>
                </w:rPr>
              </w:pPr>
              <w:r>
                <w:rPr>
                  <w:rFonts w:hint="eastAsia"/>
                  <w:color w:val="000000" w:themeColor="text1"/>
                </w:rPr>
                <w:t>公司单独发布《环境、社会及管治报告》。</w:t>
              </w:r>
            </w:p>
          </w:sdtContent>
        </w:sdt>
        <w:p>
          <w:pPr>
            <w:rPr>
              <w:color w:val="000000" w:themeColor="text1"/>
            </w:rPr>
          </w:pPr>
        </w:p>
      </w:sdtContent>
    </w:sdt>
    <w:p>
      <w:pPr>
        <w:rPr>
          <w:color w:val="000000" w:themeColor="text1"/>
        </w:rPr>
      </w:pPr>
    </w:p>
    <w:p>
      <w:pPr>
        <w:pStyle w:val="affffffff3"/>
        <w:numPr>
          <w:ilvl w:val="0"/>
          <w:numId w:val="66"/>
        </w:numPr>
        <w:rPr>
          <w:rFonts w:ascii="宋体" w:hAnsi="宋体"/>
          <w:color w:val="000000" w:themeColor="text1"/>
        </w:rPr>
      </w:pPr>
      <w:r>
        <w:rPr>
          <w:rFonts w:ascii="宋体" w:hAnsi="宋体" w:hint="eastAsia"/>
          <w:color w:val="000000" w:themeColor="text1"/>
        </w:rPr>
        <w:t>社会责任工作具体情况</w:t>
      </w:r>
    </w:p>
    <w:sdt>
      <w:sdtPr>
        <w:rPr>
          <w:color w:val="000000" w:themeColor="text1"/>
        </w:rPr>
        <w:alias w:val="是否适用：社会责任工作具体情况[双击切换]"/>
        <w:tag w:val="_GBC_2bbbff88e2744d6dbb21a0a502bf51cf"/>
        <w:id w:val="500624876"/>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1"/>
        <w:tblW w:w="4657"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4679"/>
      </w:tblGrid>
      <w:tr>
        <w:sdt>
          <w:sdtPr>
            <w:rPr>
              <w:color w:val="000000" w:themeColor="text1"/>
            </w:rPr>
            <w:tag w:val="_PLD_8ccd1f20d787452283cca30b8be75dc8"/>
            <w:id w:val="-653059402"/>
          </w:sdtPr>
          <w:sdtContent>
            <w:tc>
              <w:tcPr>
                <w:tcW w:w="2153" w:type="pct"/>
                <w:shd w:val="clear" w:color="auto" w:fill="auto"/>
              </w:tcPr>
              <w:p>
                <w:pPr>
                  <w:widowControl w:val="0"/>
                  <w:jc w:val="center"/>
                  <w:rPr>
                    <w:color w:val="000000" w:themeColor="text1"/>
                  </w:rPr>
                </w:pPr>
                <w:r>
                  <w:rPr>
                    <w:rFonts w:hint="eastAsia"/>
                    <w:color w:val="000000" w:themeColor="text1"/>
                  </w:rPr>
                  <w:t>对外捐赠、公益项目</w:t>
                </w:r>
              </w:p>
            </w:tc>
          </w:sdtContent>
        </w:sdt>
        <w:sdt>
          <w:sdtPr>
            <w:rPr>
              <w:color w:val="000000" w:themeColor="text1"/>
            </w:rPr>
            <w:tag w:val="_PLD_8451b9cc95c641c39056391d3348179e"/>
            <w:id w:val="99072996"/>
          </w:sdtPr>
          <w:sdtContent>
            <w:tc>
              <w:tcPr>
                <w:tcW w:w="2847" w:type="pct"/>
                <w:shd w:val="clear" w:color="auto" w:fill="auto"/>
              </w:tcPr>
              <w:p>
                <w:pPr>
                  <w:widowControl w:val="0"/>
                  <w:jc w:val="center"/>
                  <w:rPr>
                    <w:color w:val="000000" w:themeColor="text1"/>
                  </w:rPr>
                </w:pPr>
                <w:r>
                  <w:rPr>
                    <w:rFonts w:hint="eastAsia"/>
                    <w:color w:val="000000" w:themeColor="text1"/>
                  </w:rPr>
                  <w:t>数量/内容</w:t>
                </w:r>
              </w:p>
            </w:tc>
          </w:sdtContent>
        </w:sdt>
      </w:tr>
      <w:tr>
        <w:tc>
          <w:tcPr>
            <w:tcW w:w="2153" w:type="pct"/>
            <w:shd w:val="clear" w:color="auto" w:fill="auto"/>
          </w:tcPr>
          <w:p>
            <w:pPr>
              <w:widowControl w:val="0"/>
              <w:jc w:val="both"/>
              <w:rPr>
                <w:color w:val="000000" w:themeColor="text1"/>
              </w:rPr>
            </w:pPr>
            <w:sdt>
              <w:sdtPr>
                <w:rPr>
                  <w:color w:val="000000" w:themeColor="text1"/>
                </w:rPr>
                <w:tag w:val="_PLD_0d7064bea05840f68cf6fa5a0fdfd98b"/>
                <w:id w:val="-1996949892"/>
              </w:sdtPr>
              <w:sdtContent>
                <w:r>
                  <w:rPr>
                    <w:rFonts w:hint="eastAsia"/>
                    <w:color w:val="000000" w:themeColor="text1"/>
                  </w:rPr>
                  <w:t>总投入</w:t>
                </w:r>
              </w:sdtContent>
            </w:sdt>
            <w:r>
              <w:rPr>
                <w:rFonts w:hint="eastAsia"/>
                <w:color w:val="000000" w:themeColor="text1"/>
              </w:rPr>
              <w:t>（</w:t>
            </w:r>
            <w:sdt>
              <w:sdtPr>
                <w:rPr>
                  <w:rFonts w:hint="eastAsia"/>
                  <w:color w:val="000000" w:themeColor="text1"/>
                </w:rPr>
                <w:alias w:val="单位：对外捐赠、公益项目总投入"/>
                <w:tag w:val="_GBC_aab341873e5d4b8da4321e41124d111c"/>
                <w:id w:val="-1074816839"/>
                <w:placeholder>
                  <w:docPart w:val="F050C2D7B0F64B23B47C45B0C8A576F5"/>
                </w:placeholder>
                <w:comboBox>
                  <w:listItem w:displayText="元" w:value="元"/>
                  <w:listItem w:displayText="千元" w:value="千元"/>
                  <w:listItem w:displayText="万元" w:value="万元"/>
                  <w:listItem w:displayText="百万元" w:value="百万元"/>
                  <w:listItem w:displayText="亿元" w:value="亿元"/>
                </w:comboBox>
              </w:sdtPr>
              <w:sdtEndPr>
                <w:rPr>
                  <w:shd w:val="solid" w:color="FFFFFF" w:fill="auto"/>
                </w:rPr>
              </w:sdtEndPr>
              <w:sdtContent>
                <w:r>
                  <w:rPr>
                    <w:rFonts w:hint="eastAsia"/>
                    <w:color w:val="000000" w:themeColor="text1"/>
                  </w:rPr>
                  <w:t>万元</w:t>
                </w:r>
              </w:sdtContent>
            </w:sdt>
            <w:r>
              <w:rPr>
                <w:rFonts w:hint="eastAsia"/>
                <w:color w:val="000000" w:themeColor="text1"/>
              </w:rPr>
              <w:t>）</w:t>
            </w:r>
          </w:p>
        </w:tc>
        <w:tc>
          <w:tcPr>
            <w:tcW w:w="2847" w:type="pct"/>
            <w:shd w:val="clear" w:color="auto" w:fill="auto"/>
            <w:vAlign w:val="center"/>
          </w:tcPr>
          <w:p>
            <w:pPr>
              <w:jc w:val="right"/>
            </w:pPr>
            <w:r>
              <w:t>5,800.18</w:t>
            </w:r>
          </w:p>
        </w:tc>
      </w:tr>
      <w:tr>
        <w:tc>
          <w:tcPr>
            <w:tcW w:w="2153" w:type="pct"/>
            <w:shd w:val="clear" w:color="auto" w:fill="auto"/>
          </w:tcPr>
          <w:p>
            <w:pPr>
              <w:widowControl w:val="0"/>
              <w:jc w:val="both"/>
              <w:rPr>
                <w:color w:val="000000" w:themeColor="text1"/>
              </w:rPr>
            </w:pPr>
            <w:sdt>
              <w:sdtPr>
                <w:rPr>
                  <w:color w:val="000000" w:themeColor="text1"/>
                </w:rPr>
                <w:tag w:val="_PLD_74e68264673c4597881c5410d63b6c6f"/>
                <w:id w:val="1574853288"/>
              </w:sdtPr>
              <w:sdtContent>
                <w:r>
                  <w:rPr>
                    <w:rFonts w:hint="eastAsia"/>
                    <w:color w:val="000000" w:themeColor="text1"/>
                  </w:rPr>
                  <w:t>其中：资金</w:t>
                </w:r>
              </w:sdtContent>
            </w:sdt>
            <w:r>
              <w:rPr>
                <w:rFonts w:hint="eastAsia"/>
                <w:color w:val="000000" w:themeColor="text1"/>
              </w:rPr>
              <w:t>（</w:t>
            </w:r>
            <w:sdt>
              <w:sdtPr>
                <w:rPr>
                  <w:rFonts w:hint="eastAsia"/>
                  <w:color w:val="000000" w:themeColor="text1"/>
                </w:rPr>
                <w:alias w:val="单位：对外捐赠、公益项目资金"/>
                <w:tag w:val="_GBC_cdf539ba1e6842ba87837cc093e99d8c"/>
                <w:id w:val="816997865"/>
                <w:placeholder>
                  <w:docPart w:val="F050C2D7B0F64B23B47C45B0C8A576F5"/>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2847" w:type="pct"/>
            <w:shd w:val="clear" w:color="auto" w:fill="auto"/>
            <w:vAlign w:val="center"/>
          </w:tcPr>
          <w:p>
            <w:pPr>
              <w:jc w:val="right"/>
            </w:pPr>
            <w:r>
              <w:t>5,800.18</w:t>
            </w:r>
          </w:p>
        </w:tc>
      </w:tr>
      <w:tr>
        <w:tc>
          <w:tcPr>
            <w:tcW w:w="2153" w:type="pct"/>
            <w:shd w:val="clear" w:color="auto" w:fill="auto"/>
          </w:tcPr>
          <w:p>
            <w:pPr>
              <w:widowControl w:val="0"/>
              <w:ind w:firstLineChars="300" w:firstLine="630"/>
              <w:jc w:val="both"/>
              <w:rPr>
                <w:color w:val="000000" w:themeColor="text1"/>
              </w:rPr>
            </w:pPr>
            <w:sdt>
              <w:sdtPr>
                <w:rPr>
                  <w:color w:val="000000" w:themeColor="text1"/>
                </w:rPr>
                <w:tag w:val="_PLD_0011a929cca44c63ae225eb40c179693"/>
                <w:id w:val="-298852069"/>
              </w:sdtPr>
              <w:sdtContent>
                <w:r>
                  <w:rPr>
                    <w:rFonts w:hint="eastAsia"/>
                    <w:color w:val="000000" w:themeColor="text1"/>
                  </w:rPr>
                  <w:t>物资折款</w:t>
                </w:r>
              </w:sdtContent>
            </w:sdt>
            <w:r>
              <w:rPr>
                <w:rFonts w:hint="eastAsia"/>
                <w:color w:val="000000" w:themeColor="text1"/>
              </w:rPr>
              <w:t>（</w:t>
            </w:r>
            <w:sdt>
              <w:sdtPr>
                <w:rPr>
                  <w:rFonts w:hint="eastAsia"/>
                  <w:color w:val="000000" w:themeColor="text1"/>
                </w:rPr>
                <w:alias w:val="单位：对外捐赠、公益项目物资折款"/>
                <w:tag w:val="_GBC_f0b7b13642c94169a98099a684129ab4"/>
                <w:id w:val="1007099313"/>
                <w:placeholder>
                  <w:docPart w:val="F050C2D7B0F64B23B47C45B0C8A576F5"/>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2847" w:type="pct"/>
            <w:shd w:val="clear" w:color="auto" w:fill="auto"/>
            <w:vAlign w:val="center"/>
          </w:tcPr>
          <w:p>
            <w:pPr>
              <w:jc w:val="right"/>
            </w:pPr>
            <w:r>
              <w:t>-</w:t>
            </w:r>
          </w:p>
        </w:tc>
      </w:tr>
      <w:tr>
        <w:tc>
          <w:tcPr>
            <w:tcW w:w="2153" w:type="pct"/>
            <w:shd w:val="clear" w:color="auto" w:fill="auto"/>
          </w:tcPr>
          <w:p>
            <w:pPr>
              <w:widowControl w:val="0"/>
              <w:jc w:val="both"/>
              <w:rPr>
                <w:color w:val="000000" w:themeColor="text1"/>
              </w:rPr>
            </w:pPr>
            <w:r>
              <w:rPr>
                <w:rFonts w:hint="eastAsia"/>
                <w:color w:val="000000" w:themeColor="text1"/>
              </w:rPr>
              <w:t>惠及人数（人）</w:t>
            </w:r>
          </w:p>
        </w:tc>
        <w:tc>
          <w:tcPr>
            <w:tcW w:w="2847" w:type="pct"/>
            <w:shd w:val="clear" w:color="auto" w:fill="auto"/>
            <w:vAlign w:val="center"/>
          </w:tcPr>
          <w:p>
            <w:pPr>
              <w:jc w:val="right"/>
            </w:pPr>
            <w:r>
              <w:t>-</w:t>
            </w:r>
          </w:p>
        </w:tc>
      </w:tr>
    </w:tbl>
    <w:p>
      <w:pPr>
        <w:rPr>
          <w:color w:val="000000" w:themeColor="text1"/>
        </w:rPr>
      </w:pPr>
    </w:p>
    <w:p>
      <w:pPr>
        <w:rPr>
          <w:color w:val="000000" w:themeColor="text1"/>
        </w:rPr>
      </w:pPr>
      <w:r>
        <w:rPr>
          <w:rFonts w:hint="eastAsia"/>
          <w:color w:val="000000" w:themeColor="text1"/>
        </w:rPr>
        <w:t>具体说明</w:t>
      </w:r>
    </w:p>
    <w:sdt>
      <w:sdtPr>
        <w:rPr>
          <w:rFonts w:hint="eastAsia"/>
          <w:color w:val="000000" w:themeColor="text1"/>
        </w:rPr>
        <w:alias w:val="是否适用：社会责任工作情况[双击切换]"/>
        <w:tag w:val="_GBC_193e5fab56724eddabaa8d0d74a4b129"/>
        <w:id w:val="156767825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w:instrText>
          </w:r>
          <w:r>
            <w:rPr>
              <w:rFonts w:hint="eastAsia"/>
              <w:color w:val="000000" w:themeColor="text1"/>
            </w:rPr>
            <w:instrText xml:space="preserve">MACROBUTTON  SnrToggleCheckbox √适用 </w:instrText>
          </w:r>
          <w:r>
            <w:rPr>
              <w:color w:val="000000" w:themeColor="text1"/>
            </w:rPr>
            <w:instrText xml:space="preserve">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社会责任工作情况"/>
        <w:tag w:val="_GBC_a9b541509de44900b46d09bc29c43131"/>
        <w:id w:val="1268198469"/>
        <w:placeholder>
          <w:docPart w:val="GBC22222222222222222222222222222"/>
        </w:placeholder>
      </w:sdtPr>
      <w:sdtContent>
        <w:sdt>
          <w:sdtPr>
            <w:rPr>
              <w:color w:val="000000" w:themeColor="text1"/>
            </w:rPr>
            <w:alias w:val="社会责任工作情况"/>
            <w:tag w:val="_GBC_a9b541509de44900b46d09bc29c43131"/>
            <w:id w:val="307135054"/>
          </w:sdtPr>
          <w:sdtContent>
            <w:p>
              <w:pPr>
                <w:pStyle w:val="affffffffffd"/>
                <w:ind w:firstLineChars="200" w:firstLine="420"/>
                <w:rPr>
                  <w:color w:val="000000" w:themeColor="text1"/>
                </w:rPr>
              </w:pPr>
              <w:r>
                <w:rPr>
                  <w:color w:val="000000" w:themeColor="text1"/>
                </w:rPr>
                <w:t>202</w:t>
              </w:r>
              <w:r>
                <w:rPr>
                  <w:rFonts w:hint="eastAsia"/>
                  <w:color w:val="000000" w:themeColor="text1"/>
                </w:rPr>
                <w:t>4年</w:t>
              </w:r>
              <w:r>
                <w:rPr>
                  <w:color w:val="000000" w:themeColor="text1"/>
                </w:rPr>
                <w:t>，</w:t>
              </w:r>
              <w:r>
                <w:rPr>
                  <w:rFonts w:cs="Times New Roman" w:hint="eastAsia"/>
                  <w:color w:val="000000" w:themeColor="text1"/>
                </w:rPr>
                <w:t>公司</w:t>
              </w:r>
              <w:r>
                <w:rPr>
                  <w:rFonts w:cs="Times New Roman"/>
                  <w:color w:val="000000" w:themeColor="text1"/>
                </w:rPr>
                <w:t>积极开展对外捐赠和公益支持等社会责任工作</w:t>
              </w:r>
              <w:r>
                <w:rPr>
                  <w:rFonts w:cs="Times New Roman" w:hint="eastAsia"/>
                  <w:color w:val="000000" w:themeColor="text1"/>
                </w:rPr>
                <w:t>，有关详情请见日期为2025年3月28日的《</w:t>
              </w:r>
              <w:r>
                <w:rPr>
                  <w:rFonts w:cs="Times New Roman"/>
                  <w:color w:val="000000" w:themeColor="text1"/>
                </w:rPr>
                <w:t>202</w:t>
              </w:r>
              <w:r>
                <w:rPr>
                  <w:rFonts w:cs="Times New Roman" w:hint="eastAsia"/>
                  <w:color w:val="000000" w:themeColor="text1"/>
                </w:rPr>
                <w:t>4</w:t>
              </w:r>
              <w:r>
                <w:rPr>
                  <w:rFonts w:cs="Times New Roman"/>
                  <w:color w:val="000000" w:themeColor="text1"/>
                </w:rPr>
                <w:t>年度环境、社会及管治报告》</w:t>
              </w:r>
              <w:r>
                <w:rPr>
                  <w:rFonts w:cs="Times New Roman" w:hint="eastAsia"/>
                  <w:color w:val="000000" w:themeColor="text1"/>
                </w:rPr>
                <w:t>。</w:t>
              </w:r>
            </w:p>
          </w:sdtContent>
        </w:sdt>
        <w:p>
          <w:pPr>
            <w:rPr>
              <w:color w:val="000000" w:themeColor="text1"/>
            </w:rPr>
          </w:pPr>
        </w:p>
      </w:sdtContent>
    </w:sdt>
    <w:p>
      <w:pPr>
        <w:rPr>
          <w:color w:val="000000" w:themeColor="text1"/>
        </w:rPr>
      </w:pPr>
    </w:p>
    <w:p>
      <w:pPr>
        <w:pStyle w:val="afffffffffffff8"/>
        <w:numPr>
          <w:ilvl w:val="0"/>
          <w:numId w:val="62"/>
        </w:numPr>
        <w:tabs>
          <w:tab w:val="left" w:pos="426"/>
        </w:tabs>
        <w:ind w:left="425" w:hanging="425"/>
        <w:rPr>
          <w:color w:val="000000" w:themeColor="text1"/>
        </w:rPr>
      </w:pPr>
      <w:r>
        <w:rPr>
          <w:rFonts w:hint="eastAsia"/>
          <w:color w:val="000000" w:themeColor="text1"/>
        </w:rPr>
        <w:t>巩固拓展脱贫攻坚成果、乡村振兴等工作具体情况</w:t>
      </w:r>
    </w:p>
    <w:sdt>
      <w:sdtPr>
        <w:rPr>
          <w:color w:val="000000" w:themeColor="text1"/>
        </w:rPr>
        <w:alias w:val="是否适用：巩固拓展脱贫攻坚成果、乡村振兴工作具体情况[双击切换]"/>
        <w:tag w:val="_GBC_94f5c59c87964f1f83743f3f44109e91"/>
        <w:id w:val="-1735230681"/>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1"/>
        <w:tblW w:w="4576"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5066"/>
      </w:tblGrid>
      <w:tr>
        <w:sdt>
          <w:sdtPr>
            <w:rPr>
              <w:color w:val="000000" w:themeColor="text1"/>
            </w:rPr>
            <w:tag w:val="_PLD_d29d252d89d54e55bc5bc96bc0b5b469"/>
            <w:id w:val="-221144721"/>
          </w:sdtPr>
          <w:sdtContent>
            <w:tc>
              <w:tcPr>
                <w:tcW w:w="1863" w:type="pct"/>
                <w:shd w:val="clear" w:color="auto" w:fill="auto"/>
              </w:tcPr>
              <w:p>
                <w:pPr>
                  <w:widowControl w:val="0"/>
                  <w:jc w:val="center"/>
                  <w:rPr>
                    <w:color w:val="000000" w:themeColor="text1"/>
                  </w:rPr>
                </w:pPr>
                <w:r>
                  <w:rPr>
                    <w:rFonts w:hint="eastAsia"/>
                    <w:color w:val="000000" w:themeColor="text1"/>
                  </w:rPr>
                  <w:t>扶贫及乡村振兴项目</w:t>
                </w:r>
              </w:p>
            </w:tc>
          </w:sdtContent>
        </w:sdt>
        <w:sdt>
          <w:sdtPr>
            <w:rPr>
              <w:color w:val="000000" w:themeColor="text1"/>
            </w:rPr>
            <w:tag w:val="_PLD_a6391e1627b241d296ea0039eb1df6ec"/>
            <w:id w:val="-1970660271"/>
          </w:sdtPr>
          <w:sdtContent>
            <w:tc>
              <w:tcPr>
                <w:tcW w:w="3137" w:type="pct"/>
                <w:shd w:val="clear" w:color="auto" w:fill="auto"/>
              </w:tcPr>
              <w:p>
                <w:pPr>
                  <w:widowControl w:val="0"/>
                  <w:jc w:val="center"/>
                  <w:rPr>
                    <w:color w:val="000000" w:themeColor="text1"/>
                  </w:rPr>
                </w:pPr>
                <w:r>
                  <w:rPr>
                    <w:rFonts w:hint="eastAsia"/>
                    <w:color w:val="000000" w:themeColor="text1"/>
                  </w:rPr>
                  <w:t>数量/内容</w:t>
                </w:r>
              </w:p>
            </w:tc>
          </w:sdtContent>
        </w:sdt>
      </w:tr>
      <w:tr>
        <w:tc>
          <w:tcPr>
            <w:tcW w:w="1863" w:type="pct"/>
            <w:shd w:val="clear" w:color="auto" w:fill="auto"/>
          </w:tcPr>
          <w:p>
            <w:pPr>
              <w:widowControl w:val="0"/>
              <w:rPr>
                <w:color w:val="000000" w:themeColor="text1"/>
              </w:rPr>
            </w:pPr>
            <w:sdt>
              <w:sdtPr>
                <w:rPr>
                  <w:color w:val="000000" w:themeColor="text1"/>
                </w:rPr>
                <w:tag w:val="_PLD_dae771cda9a1484bba73d2b716e9e1d0"/>
                <w:id w:val="-1482606873"/>
              </w:sdtPr>
              <w:sdtContent>
                <w:r>
                  <w:rPr>
                    <w:rFonts w:hint="eastAsia"/>
                    <w:color w:val="000000" w:themeColor="text1"/>
                  </w:rPr>
                  <w:t>总投入</w:t>
                </w:r>
              </w:sdtContent>
            </w:sdt>
            <w:r>
              <w:rPr>
                <w:rFonts w:hint="eastAsia"/>
                <w:color w:val="000000" w:themeColor="text1"/>
              </w:rPr>
              <w:t>（</w:t>
            </w:r>
            <w:sdt>
              <w:sdtPr>
                <w:rPr>
                  <w:rFonts w:hint="eastAsia"/>
                  <w:color w:val="000000" w:themeColor="text1"/>
                </w:rPr>
                <w:alias w:val="单位：扶贫总体投入"/>
                <w:tag w:val="_GBC_5f0221b7e67c41f098047fc332d7fdb0"/>
                <w:id w:val="-1810614995"/>
                <w:placeholder>
                  <w:docPart w:val="928F7BCFF8204A478D5E269CEA0C4F17"/>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3137" w:type="pct"/>
            <w:shd w:val="clear" w:color="auto" w:fill="auto"/>
            <w:vAlign w:val="center"/>
          </w:tcPr>
          <w:p>
            <w:pPr>
              <w:widowControl w:val="0"/>
              <w:jc w:val="right"/>
              <w:rPr>
                <w:color w:val="000000" w:themeColor="text1"/>
              </w:rPr>
            </w:pPr>
            <w:r>
              <w:rPr>
                <w:rFonts w:hint="eastAsia"/>
              </w:rPr>
              <w:t>1</w:t>
            </w:r>
            <w:r>
              <w:t>,</w:t>
            </w:r>
            <w:r>
              <w:rPr>
                <w:rFonts w:hint="eastAsia"/>
              </w:rPr>
              <w:t>047.8</w:t>
            </w:r>
          </w:p>
        </w:tc>
      </w:tr>
      <w:tr>
        <w:tc>
          <w:tcPr>
            <w:tcW w:w="1863" w:type="pct"/>
            <w:shd w:val="clear" w:color="auto" w:fill="auto"/>
          </w:tcPr>
          <w:p>
            <w:pPr>
              <w:widowControl w:val="0"/>
              <w:rPr>
                <w:color w:val="000000" w:themeColor="text1"/>
              </w:rPr>
            </w:pPr>
            <w:sdt>
              <w:sdtPr>
                <w:rPr>
                  <w:color w:val="000000" w:themeColor="text1"/>
                </w:rPr>
                <w:tag w:val="_PLD_69ea38aa090e4fbbb17554804e8f1815"/>
                <w:id w:val="1592887498"/>
              </w:sdtPr>
              <w:sdtContent>
                <w:r>
                  <w:rPr>
                    <w:rFonts w:hint="eastAsia"/>
                    <w:color w:val="000000" w:themeColor="text1"/>
                  </w:rPr>
                  <w:t>其中：资金</w:t>
                </w:r>
              </w:sdtContent>
            </w:sdt>
            <w:r>
              <w:rPr>
                <w:rFonts w:hint="eastAsia"/>
                <w:color w:val="000000" w:themeColor="text1"/>
              </w:rPr>
              <w:t>（</w:t>
            </w:r>
            <w:sdt>
              <w:sdtPr>
                <w:rPr>
                  <w:rFonts w:hint="eastAsia"/>
                  <w:color w:val="000000" w:themeColor="text1"/>
                </w:rPr>
                <w:alias w:val="单位：扶贫总体资金"/>
                <w:tag w:val="_GBC_ee2e74bc2b774ca490d2bc701194ed12"/>
                <w:id w:val="179626977"/>
                <w:placeholder>
                  <w:docPart w:val="928F7BCFF8204A478D5E269CEA0C4F17"/>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3137" w:type="pct"/>
            <w:shd w:val="clear" w:color="auto" w:fill="auto"/>
            <w:vAlign w:val="center"/>
          </w:tcPr>
          <w:p>
            <w:pPr>
              <w:widowControl w:val="0"/>
              <w:jc w:val="right"/>
              <w:rPr>
                <w:color w:val="000000" w:themeColor="text1"/>
              </w:rPr>
            </w:pPr>
            <w:r>
              <w:rPr>
                <w:rFonts w:hint="eastAsia"/>
              </w:rPr>
              <w:t>1</w:t>
            </w:r>
            <w:r>
              <w:t>,</w:t>
            </w:r>
            <w:r>
              <w:rPr>
                <w:rFonts w:hint="eastAsia"/>
              </w:rPr>
              <w:t>047.8</w:t>
            </w:r>
          </w:p>
        </w:tc>
      </w:tr>
      <w:tr>
        <w:tc>
          <w:tcPr>
            <w:tcW w:w="1863" w:type="pct"/>
            <w:shd w:val="clear" w:color="auto" w:fill="auto"/>
          </w:tcPr>
          <w:p>
            <w:pPr>
              <w:widowControl w:val="0"/>
              <w:ind w:firstLineChars="300" w:firstLine="630"/>
              <w:jc w:val="both"/>
              <w:rPr>
                <w:color w:val="000000" w:themeColor="text1"/>
              </w:rPr>
            </w:pPr>
            <w:sdt>
              <w:sdtPr>
                <w:rPr>
                  <w:color w:val="000000" w:themeColor="text1"/>
                </w:rPr>
                <w:tag w:val="_PLD_0ceb41eb583e412ea04995521d22af44"/>
                <w:id w:val="-2020454816"/>
              </w:sdtPr>
              <w:sdtContent>
                <w:r>
                  <w:rPr>
                    <w:rFonts w:hint="eastAsia"/>
                    <w:color w:val="000000" w:themeColor="text1"/>
                  </w:rPr>
                  <w:t>物资折款</w:t>
                </w:r>
              </w:sdtContent>
            </w:sdt>
            <w:r>
              <w:rPr>
                <w:rFonts w:hint="eastAsia"/>
                <w:color w:val="000000" w:themeColor="text1"/>
              </w:rPr>
              <w:t>（</w:t>
            </w:r>
            <w:sdt>
              <w:sdtPr>
                <w:rPr>
                  <w:rFonts w:hint="eastAsia"/>
                  <w:color w:val="000000" w:themeColor="text1"/>
                </w:rPr>
                <w:alias w:val="单位：扶贫物资折款"/>
                <w:tag w:val="_GBC_e913f66999ce4abcba46d8007b91edcb"/>
                <w:id w:val="-20630214"/>
                <w:placeholder>
                  <w:docPart w:val="928F7BCFF8204A478D5E269CEA0C4F17"/>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w:t>
            </w:r>
          </w:p>
        </w:tc>
        <w:tc>
          <w:tcPr>
            <w:tcW w:w="3137" w:type="pct"/>
            <w:shd w:val="clear" w:color="auto" w:fill="auto"/>
            <w:vAlign w:val="center"/>
          </w:tcPr>
          <w:p>
            <w:pPr>
              <w:widowControl w:val="0"/>
              <w:jc w:val="right"/>
              <w:rPr>
                <w:color w:val="000000" w:themeColor="text1"/>
              </w:rPr>
            </w:pPr>
            <w:r>
              <w:t>-</w:t>
            </w:r>
          </w:p>
        </w:tc>
      </w:tr>
      <w:tr>
        <w:tc>
          <w:tcPr>
            <w:tcW w:w="1863" w:type="pct"/>
            <w:shd w:val="clear" w:color="auto" w:fill="auto"/>
          </w:tcPr>
          <w:p>
            <w:pPr>
              <w:widowControl w:val="0"/>
              <w:rPr>
                <w:color w:val="000000" w:themeColor="text1"/>
              </w:rPr>
            </w:pPr>
            <w:r>
              <w:rPr>
                <w:rFonts w:hint="eastAsia"/>
                <w:color w:val="000000" w:themeColor="text1"/>
              </w:rPr>
              <w:t>惠及人数（人）</w:t>
            </w:r>
          </w:p>
        </w:tc>
        <w:tc>
          <w:tcPr>
            <w:tcW w:w="3137" w:type="pct"/>
            <w:shd w:val="clear" w:color="auto" w:fill="auto"/>
            <w:vAlign w:val="center"/>
          </w:tcPr>
          <w:p>
            <w:pPr>
              <w:widowControl w:val="0"/>
              <w:jc w:val="right"/>
              <w:rPr>
                <w:color w:val="000000" w:themeColor="text1"/>
              </w:rPr>
            </w:pPr>
            <w:r>
              <w:t>4,818</w:t>
            </w:r>
          </w:p>
        </w:tc>
      </w:tr>
      <w:tr>
        <w:tc>
          <w:tcPr>
            <w:tcW w:w="1863" w:type="pct"/>
            <w:shd w:val="clear" w:color="auto" w:fill="auto"/>
          </w:tcPr>
          <w:p>
            <w:pPr>
              <w:widowControl w:val="0"/>
              <w:rPr>
                <w:color w:val="000000" w:themeColor="text1"/>
              </w:rPr>
            </w:pPr>
            <w:r>
              <w:rPr>
                <w:rFonts w:hint="eastAsia"/>
                <w:color w:val="000000" w:themeColor="text1"/>
              </w:rPr>
              <w:t>帮扶形式（如产业扶贫、就业扶贫、教育扶贫等）</w:t>
            </w:r>
          </w:p>
        </w:tc>
        <w:tc>
          <w:tcPr>
            <w:tcW w:w="3137" w:type="pct"/>
            <w:shd w:val="clear" w:color="auto" w:fill="auto"/>
            <w:vAlign w:val="center"/>
          </w:tcPr>
          <w:p>
            <w:pPr>
              <w:jc w:val="both"/>
            </w:pPr>
            <w:r>
              <w:rPr>
                <w:rFonts w:hint="eastAsia"/>
              </w:rPr>
              <w:t>组织振兴、产业振兴、文化振兴、生态振兴</w:t>
            </w:r>
          </w:p>
        </w:tc>
      </w:tr>
    </w:tbl>
    <w:p>
      <w:pPr>
        <w:rPr>
          <w:color w:val="000000" w:themeColor="text1"/>
        </w:rPr>
      </w:pPr>
    </w:p>
    <w:p>
      <w:pPr>
        <w:rPr>
          <w:color w:val="000000" w:themeColor="text1"/>
        </w:rPr>
      </w:pPr>
      <w:r>
        <w:rPr>
          <w:color w:val="000000" w:themeColor="text1"/>
        </w:rPr>
        <w:t>具体说明</w:t>
      </w:r>
    </w:p>
    <w:sdt>
      <w:sdtPr>
        <w:rPr>
          <w:color w:val="000000" w:themeColor="text1"/>
        </w:rPr>
        <w:alias w:val="是否适用：巩固拓展脱贫攻坚成果、乡村振兴等工作具体情况其他说明[双击切换]"/>
        <w:tag w:val="_GBC_da0a87234d174e509f00e24b4a8320dc"/>
        <w:id w:val="128985580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sdt>
      <w:sdtPr>
        <w:rPr>
          <w:color w:val="000000" w:themeColor="text1"/>
        </w:rPr>
        <w:alias w:val="巩固拓展脱贫攻坚成果、乡村振兴工作具体情况"/>
        <w:tag w:val="_GBC_6af1d9c635ca457eaede5db7b23daa68"/>
        <w:id w:val="838431201"/>
        <w:placeholder>
          <w:docPart w:val="GBC22222222222222222222222222222"/>
        </w:placeholder>
      </w:sdtPr>
      <w:sdtContent>
        <w:sdt>
          <w:sdtPr>
            <w:rPr>
              <w:color w:val="000000" w:themeColor="text1"/>
            </w:rPr>
            <w:alias w:val="巩固拓展脱贫攻坚成果、乡村振兴工作具体情况"/>
            <w:tag w:val="_GBC_6af1d9c635ca457eaede5db7b23daa68"/>
            <w:id w:val="1620341484"/>
          </w:sdtPr>
          <w:sdtContent>
            <w:p>
              <w:pPr>
                <w:rPr>
                  <w:color w:val="000000" w:themeColor="text1"/>
                </w:rPr>
              </w:pPr>
              <w:r>
                <w:rPr>
                  <w:rFonts w:hint="eastAsia"/>
                  <w:color w:val="000000" w:themeColor="text1"/>
                </w:rPr>
                <w:t xml:space="preserve">    2024年，公司积极开展脱贫攻坚和乡村振兴工作，有关详情请见日期为2025年3月</w:t>
              </w:r>
              <w:r>
                <w:rPr>
                  <w:rFonts w:cs="Times New Roman" w:hint="eastAsia"/>
                  <w:color w:val="000000" w:themeColor="text1"/>
                </w:rPr>
                <w:t>28</w:t>
              </w:r>
              <w:r>
                <w:rPr>
                  <w:rFonts w:hint="eastAsia"/>
                  <w:color w:val="000000" w:themeColor="text1"/>
                </w:rPr>
                <w:t>日的《2024年度环境、社会及管治报告》。</w:t>
              </w:r>
            </w:p>
          </w:sdtContent>
        </w:sdt>
        <w:bookmarkStart w:id="155" w:name="_Hlk56779160" w:displacedByCustomXml="next"/>
        <w:bookmarkEnd w:id="155" w:displacedByCustomXml="next"/>
        <w:bookmarkStart w:id="156" w:name="_Hlk56779376" w:displacedByCustomXml="next"/>
        <w:bookmarkEnd w:id="156" w:displacedByCustomXml="next"/>
        <w:bookmarkStart w:id="157" w:name="_Toc184741583" w:displacedByCustomXml="next"/>
        <w:bookmarkEnd w:id="157" w:displacedByCustomXml="next"/>
        <w:bookmarkStart w:id="158" w:name="_Toc437440714" w:displacedByCustomXml="next"/>
        <w:bookmarkEnd w:id="158" w:displacedByCustomXml="next"/>
        <w:bookmarkStart w:id="159" w:name="_Toc184741582" w:displacedByCustomXml="next"/>
        <w:bookmarkEnd w:id="159" w:displacedByCustomXml="next"/>
        <w:bookmarkStart w:id="160" w:name="_Toc184741581" w:displacedByCustomXml="next"/>
        <w:bookmarkEnd w:id="160" w:displacedByCustomXml="next"/>
        <w:bookmarkStart w:id="161" w:name="_Toc184741580" w:displacedByCustomXml="next"/>
        <w:bookmarkEnd w:id="161" w:displacedByCustomXml="next"/>
        <w:bookmarkStart w:id="162" w:name="_Hlk56779871" w:displacedByCustomXml="next"/>
        <w:bookmarkEnd w:id="162" w:displacedByCustomXml="next"/>
        <w:bookmarkStart w:id="163" w:name="_Toc342566003" w:displacedByCustomXml="next"/>
        <w:bookmarkEnd w:id="163" w:displacedByCustomXml="next"/>
        <w:bookmarkStart w:id="164" w:name="_Toc409437608" w:displacedByCustomXml="next"/>
        <w:bookmarkEnd w:id="164" w:displacedByCustomXml="next"/>
        <w:bookmarkEnd w:id="151" w:displacedByCustomXml="next"/>
        <w:bookmarkEnd w:id="150" w:displacedByCustomXml="next"/>
      </w:sdtContent>
    </w:sdt>
    <w:p>
      <w:pPr>
        <w:rPr>
          <w:rFonts w:ascii="Calibri" w:eastAsia="黑体" w:hAnsi="Calibri" w:cs="Times New Roman"/>
          <w:b/>
          <w:bCs/>
          <w:kern w:val="44"/>
          <w:sz w:val="28"/>
          <w:szCs w:val="44"/>
        </w:rPr>
      </w:pPr>
      <w:bookmarkStart w:id="165" w:name="_Toc184741579"/>
      <w:bookmarkStart w:id="166" w:name="OLE_LINK11"/>
      <w:bookmarkStart w:id="167" w:name="_Hlk90554245"/>
      <w:bookmarkEnd w:id="149"/>
    </w:p>
    <w:p>
      <w:pPr>
        <w:rPr>
          <w:rFonts w:ascii="Calibri" w:eastAsia="黑体" w:hAnsi="Calibri" w:cs="Times New Roman"/>
          <w:b/>
          <w:bCs/>
          <w:kern w:val="44"/>
          <w:sz w:val="28"/>
          <w:szCs w:val="44"/>
        </w:rPr>
        <w:sectPr>
          <w:pgSz w:w="11906" w:h="16838"/>
          <w:pgMar w:top="1525" w:right="1276" w:bottom="1440" w:left="1797" w:header="855" w:footer="992" w:gutter="0"/>
          <w:cols w:space="425"/>
          <w:docGrid w:linePitch="312"/>
        </w:sectPr>
      </w:pPr>
    </w:p>
    <w:p>
      <w:pPr>
        <w:rPr>
          <w:rFonts w:ascii="Calibri" w:eastAsia="黑体" w:hAnsi="Calibri" w:cs="Times New Roman"/>
          <w:b/>
          <w:bCs/>
          <w:kern w:val="44"/>
          <w:sz w:val="28"/>
          <w:szCs w:val="44"/>
        </w:rPr>
      </w:pPr>
    </w:p>
    <w:p>
      <w:pPr>
        <w:pStyle w:val="1"/>
        <w:numPr>
          <w:ilvl w:val="0"/>
          <w:numId w:val="3"/>
        </w:numPr>
        <w:rPr>
          <w:u w:val="single"/>
        </w:rPr>
      </w:pPr>
      <w:bookmarkStart w:id="168" w:name="_Toc193794894"/>
      <w:r>
        <w:rPr>
          <w:rFonts w:hint="eastAsia"/>
        </w:rPr>
        <w:t>重要事项</w:t>
      </w:r>
      <w:bookmarkEnd w:id="168"/>
    </w:p>
    <w:bookmarkEnd w:id="165"/>
    <w:p>
      <w:pPr>
        <w:pStyle w:val="afffffff"/>
        <w:numPr>
          <w:ilvl w:val="0"/>
          <w:numId w:val="40"/>
        </w:numPr>
      </w:pPr>
      <w:r>
        <w:rPr>
          <w:rFonts w:hint="eastAsia"/>
        </w:rPr>
        <w:t>承诺事项履行情况</w:t>
      </w:r>
    </w:p>
    <w:p>
      <w:pPr>
        <w:pStyle w:val="afffffff1"/>
        <w:numPr>
          <w:ilvl w:val="1"/>
          <w:numId w:val="5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236531455"/>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g18"/>
        <w:tblpPr w:leftFromText="180" w:rightFromText="180" w:vertAnchor="text" w:horzAnchor="page" w:tblpX="1435" w:tblpY="419"/>
        <w:tblOverlap w:val="never"/>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1"/>
        <w:gridCol w:w="708"/>
        <w:gridCol w:w="2161"/>
        <w:gridCol w:w="4027"/>
        <w:gridCol w:w="1074"/>
        <w:gridCol w:w="671"/>
        <w:gridCol w:w="779"/>
        <w:gridCol w:w="710"/>
        <w:gridCol w:w="1342"/>
        <w:gridCol w:w="890"/>
      </w:tblGrid>
      <w:tr>
        <w:sdt>
          <w:sdtPr>
            <w:rPr>
              <w:rFonts w:asciiTheme="minorEastAsia" w:eastAsiaTheme="minorEastAsia" w:hAnsiTheme="minorEastAsia"/>
            </w:rPr>
            <w:tag w:val="_PLD_415cfb23b46b41fba9f0b895a1088fd6"/>
            <w:id w:val="877284909"/>
          </w:sdtPr>
          <w:sdtContent>
            <w:tc>
              <w:tcPr>
                <w:tcW w:w="541"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承诺背景</w:t>
                </w:r>
              </w:p>
            </w:tc>
          </w:sdtContent>
        </w:sdt>
        <w:sdt>
          <w:sdtPr>
            <w:rPr>
              <w:rFonts w:asciiTheme="minorEastAsia" w:eastAsiaTheme="minorEastAsia" w:hAnsiTheme="minorEastAsia"/>
            </w:rPr>
            <w:tag w:val="_PLD_6d89eb5533974f2f9b788e2563589a7c"/>
            <w:id w:val="1580784687"/>
          </w:sdtPr>
          <w:sdtContent>
            <w:tc>
              <w:tcPr>
                <w:tcW w:w="255"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承诺</w:t>
                </w:r>
              </w:p>
              <w:p>
                <w:pPr>
                  <w:jc w:val="center"/>
                  <w:rPr>
                    <w:rFonts w:asciiTheme="minorEastAsia" w:eastAsiaTheme="minorEastAsia" w:hAnsiTheme="minorEastAsia"/>
                  </w:rPr>
                </w:pPr>
                <w:r>
                  <w:rPr>
                    <w:rFonts w:asciiTheme="minorEastAsia" w:eastAsiaTheme="minorEastAsia" w:hAnsiTheme="minorEastAsia" w:hint="eastAsia"/>
                  </w:rPr>
                  <w:t>类型</w:t>
                </w:r>
              </w:p>
            </w:tc>
          </w:sdtContent>
        </w:sdt>
        <w:sdt>
          <w:sdtPr>
            <w:rPr>
              <w:rFonts w:asciiTheme="minorEastAsia" w:eastAsiaTheme="minorEastAsia" w:hAnsiTheme="minorEastAsia"/>
            </w:rPr>
            <w:tag w:val="_PLD_4e3459cf954648c5ade489d7f239c9b2"/>
            <w:id w:val="1861856117"/>
          </w:sdtPr>
          <w:sdtContent>
            <w:tc>
              <w:tcPr>
                <w:tcW w:w="779"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承诺方</w:t>
                </w:r>
              </w:p>
            </w:tc>
          </w:sdtContent>
        </w:sdt>
        <w:sdt>
          <w:sdtPr>
            <w:rPr>
              <w:rFonts w:asciiTheme="minorEastAsia" w:eastAsiaTheme="minorEastAsia" w:hAnsiTheme="minorEastAsia"/>
            </w:rPr>
            <w:tag w:val="_PLD_b7ba969a5a9f484b969e33829f8fee27"/>
            <w:id w:val="35094668"/>
          </w:sdtPr>
          <w:sdtContent>
            <w:tc>
              <w:tcPr>
                <w:tcW w:w="1451"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承诺</w:t>
                </w:r>
              </w:p>
              <w:p>
                <w:pPr>
                  <w:jc w:val="center"/>
                  <w:rPr>
                    <w:rFonts w:asciiTheme="minorEastAsia" w:eastAsiaTheme="minorEastAsia" w:hAnsiTheme="minorEastAsia"/>
                  </w:rPr>
                </w:pPr>
                <w:r>
                  <w:rPr>
                    <w:rFonts w:asciiTheme="minorEastAsia" w:eastAsiaTheme="minorEastAsia" w:hAnsiTheme="minorEastAsia" w:hint="eastAsia"/>
                  </w:rPr>
                  <w:t>内容</w:t>
                </w:r>
              </w:p>
            </w:tc>
          </w:sdtContent>
        </w:sdt>
        <w:sdt>
          <w:sdtPr>
            <w:rPr>
              <w:rFonts w:asciiTheme="minorEastAsia" w:eastAsiaTheme="minorEastAsia" w:hAnsiTheme="minorEastAsia" w:hint="eastAsia"/>
            </w:rPr>
            <w:tag w:val="_PLD_080af5a89fc040bc90935cec09ab2cd1"/>
            <w:id w:val="-794747250"/>
          </w:sdtPr>
          <w:sdtContent>
            <w:tc>
              <w:tcPr>
                <w:tcW w:w="387" w:type="pct"/>
                <w:vAlign w:val="center"/>
              </w:tcPr>
              <w:p>
                <w:pPr>
                  <w:jc w:val="center"/>
                  <w:rPr>
                    <w:rFonts w:asciiTheme="minorEastAsia" w:eastAsiaTheme="minorEastAsia" w:hAnsiTheme="minorEastAsia"/>
                  </w:rPr>
                </w:pPr>
                <w:r>
                  <w:rPr>
                    <w:rFonts w:asciiTheme="minorEastAsia" w:eastAsiaTheme="minorEastAsia" w:hAnsiTheme="minorEastAsia" w:hint="eastAsia"/>
                  </w:rPr>
                  <w:t>承诺时间</w:t>
                </w:r>
              </w:p>
            </w:tc>
          </w:sdtContent>
        </w:sdt>
        <w:sdt>
          <w:sdtPr>
            <w:rPr>
              <w:rFonts w:asciiTheme="minorEastAsia" w:eastAsiaTheme="minorEastAsia" w:hAnsiTheme="minorEastAsia"/>
            </w:rPr>
            <w:tag w:val="_PLD_81953845df7c406091c017485ffe89d0"/>
            <w:id w:val="1932014350"/>
          </w:sdtPr>
          <w:sdtContent>
            <w:tc>
              <w:tcPr>
                <w:tcW w:w="242"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是否有履行期限</w:t>
                </w:r>
              </w:p>
            </w:tc>
          </w:sdtContent>
        </w:sdt>
        <w:sdt>
          <w:sdtPr>
            <w:rPr>
              <w:rFonts w:asciiTheme="minorEastAsia" w:eastAsiaTheme="minorEastAsia" w:hAnsiTheme="minorEastAsia" w:hint="eastAsia"/>
            </w:rPr>
            <w:tag w:val="_PLD_95bd18790c864943ab7728a2218411a4"/>
            <w:id w:val="-514382573"/>
          </w:sdtPr>
          <w:sdtContent>
            <w:tc>
              <w:tcPr>
                <w:tcW w:w="281" w:type="pct"/>
                <w:vAlign w:val="center"/>
              </w:tcPr>
              <w:p>
                <w:pPr>
                  <w:jc w:val="center"/>
                  <w:rPr>
                    <w:rFonts w:asciiTheme="minorEastAsia" w:eastAsiaTheme="minorEastAsia" w:hAnsiTheme="minorEastAsia"/>
                  </w:rPr>
                </w:pPr>
                <w:r>
                  <w:rPr>
                    <w:rFonts w:asciiTheme="minorEastAsia" w:eastAsiaTheme="minorEastAsia" w:hAnsiTheme="minorEastAsia" w:hint="eastAsia"/>
                  </w:rPr>
                  <w:t>承诺期限</w:t>
                </w:r>
              </w:p>
            </w:tc>
          </w:sdtContent>
        </w:sdt>
        <w:sdt>
          <w:sdtPr>
            <w:rPr>
              <w:rFonts w:asciiTheme="minorEastAsia" w:eastAsiaTheme="minorEastAsia" w:hAnsiTheme="minorEastAsia"/>
            </w:rPr>
            <w:tag w:val="_PLD_f70c8d8e3e374db7a8e212809462bcc0"/>
            <w:id w:val="-1701471063"/>
          </w:sdtPr>
          <w:sdtContent>
            <w:tc>
              <w:tcPr>
                <w:tcW w:w="256"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是否及时严格履行</w:t>
                </w:r>
              </w:p>
            </w:tc>
          </w:sdtContent>
        </w:sdt>
        <w:sdt>
          <w:sdtPr>
            <w:rPr>
              <w:rFonts w:asciiTheme="minorEastAsia" w:eastAsiaTheme="minorEastAsia" w:hAnsiTheme="minorEastAsia"/>
            </w:rPr>
            <w:tag w:val="_PLD_30da9c1a74564266bdab010410b3cfc4"/>
            <w:id w:val="1601910302"/>
          </w:sdtPr>
          <w:sdtContent>
            <w:tc>
              <w:tcPr>
                <w:tcW w:w="484"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如未能及时履行应说明未完成履行的具体原因</w:t>
                </w:r>
              </w:p>
            </w:tc>
          </w:sdtContent>
        </w:sdt>
        <w:sdt>
          <w:sdtPr>
            <w:rPr>
              <w:rFonts w:asciiTheme="minorEastAsia" w:eastAsiaTheme="minorEastAsia" w:hAnsiTheme="minorEastAsia"/>
            </w:rPr>
            <w:tag w:val="_PLD_885166d72adc442aaa68aa0f496582ae"/>
            <w:id w:val="2089579468"/>
          </w:sdtPr>
          <w:sdtContent>
            <w:tc>
              <w:tcPr>
                <w:tcW w:w="321" w:type="pct"/>
                <w:shd w:val="clear" w:color="auto" w:fill="auto"/>
                <w:vAlign w:val="center"/>
              </w:tcPr>
              <w:p>
                <w:pPr>
                  <w:jc w:val="center"/>
                  <w:rPr>
                    <w:rFonts w:asciiTheme="minorEastAsia" w:eastAsiaTheme="minorEastAsia" w:hAnsiTheme="minorEastAsia"/>
                  </w:rPr>
                </w:pPr>
                <w:r>
                  <w:rPr>
                    <w:rFonts w:asciiTheme="minorEastAsia" w:eastAsiaTheme="minorEastAsia" w:hAnsiTheme="minorEastAsia" w:hint="eastAsia"/>
                  </w:rPr>
                  <w:t>如未能及时履行应说明下一步计划</w:t>
                </w:r>
              </w:p>
            </w:tc>
          </w:sdtContent>
        </w:sdt>
      </w:tr>
      <w:tr>
        <w:tc>
          <w:tcPr>
            <w:tcW w:w="541" w:type="pct"/>
            <w:shd w:val="clear" w:color="auto" w:fill="auto"/>
            <w:vAlign w:val="center"/>
          </w:tcPr>
          <w:p>
            <w:pPr>
              <w:jc w:val="center"/>
              <w:rPr>
                <w:rFonts w:asciiTheme="minorEastAsia" w:eastAsiaTheme="minorEastAsia" w:hAnsiTheme="minorEastAsia"/>
              </w:rPr>
            </w:pPr>
            <w:r>
              <w:rPr>
                <w:rFonts w:hint="eastAsia"/>
                <w:color w:val="000000" w:themeColor="text1"/>
              </w:rPr>
              <w:t>与首次公开发行相关的承诺</w:t>
            </w:r>
          </w:p>
        </w:tc>
        <w:tc>
          <w:tcPr>
            <w:tcW w:w="255" w:type="pct"/>
            <w:shd w:val="clear" w:color="auto" w:fill="auto"/>
            <w:vAlign w:val="center"/>
          </w:tcPr>
          <w:sdt>
            <w:sdtPr>
              <w:rPr>
                <w:color w:val="000000" w:themeColor="text1"/>
              </w:rPr>
              <w:alias w:val="与首次公开发行相关的承诺-承诺类型"/>
              <w:tag w:val="_GBC_4a04fadf983945b88caa62b18cad19bb"/>
              <w:id w:val="-120216566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解决同业竞争</w:t>
                </w:r>
              </w:p>
            </w:sdtContent>
          </w:sdt>
        </w:tc>
        <w:tc>
          <w:tcPr>
            <w:tcW w:w="779" w:type="pct"/>
            <w:shd w:val="clear" w:color="auto" w:fill="auto"/>
            <w:vAlign w:val="center"/>
          </w:tcPr>
          <w:p>
            <w:pPr>
              <w:jc w:val="both"/>
              <w:rPr>
                <w:rFonts w:asciiTheme="minorEastAsia" w:eastAsiaTheme="minorEastAsia" w:hAnsiTheme="minorEastAsia"/>
              </w:rPr>
            </w:pPr>
            <w:r>
              <w:rPr>
                <w:rFonts w:hint="eastAsia"/>
              </w:rPr>
              <w:t>山东能源</w:t>
            </w:r>
          </w:p>
        </w:tc>
        <w:tc>
          <w:tcPr>
            <w:tcW w:w="1451" w:type="pct"/>
            <w:shd w:val="clear" w:color="auto" w:fill="auto"/>
            <w:vAlign w:val="center"/>
          </w:tcPr>
          <w:p>
            <w:pPr>
              <w:jc w:val="both"/>
              <w:rPr>
                <w:rFonts w:asciiTheme="minorEastAsia" w:eastAsiaTheme="minorEastAsia" w:hAnsiTheme="minorEastAsia"/>
              </w:rPr>
            </w:pPr>
            <w:r>
              <w:rPr>
                <w:rFonts w:hint="eastAsia"/>
              </w:rPr>
              <w:t>避免同业竞争。本公司于1997年重组时，山东能源与本公司签订《重组协议》，承诺将采取各种有效措施避免与本公司产生同业竞争。</w:t>
            </w:r>
          </w:p>
        </w:tc>
        <w:tc>
          <w:tcPr>
            <w:tcW w:w="387" w:type="pct"/>
            <w:vAlign w:val="center"/>
          </w:tcPr>
          <w:p>
            <w:pPr>
              <w:jc w:val="center"/>
              <w:rPr>
                <w:rFonts w:asciiTheme="minorEastAsia" w:eastAsiaTheme="minorEastAsia" w:hAnsiTheme="minorEastAsia"/>
                <w:bCs/>
              </w:rPr>
            </w:pPr>
            <w:r>
              <w:rPr>
                <w:rFonts w:hint="eastAsia"/>
              </w:rPr>
              <w:t>1997年</w:t>
            </w:r>
          </w:p>
        </w:tc>
        <w:tc>
          <w:tcPr>
            <w:tcW w:w="242" w:type="pct"/>
            <w:shd w:val="clear" w:color="auto" w:fill="auto"/>
            <w:vAlign w:val="center"/>
          </w:tcPr>
          <w:sdt>
            <w:sdtPr>
              <w:rPr>
                <w:color w:val="000000" w:themeColor="text1"/>
              </w:rPr>
              <w:alias w:val="与首次公开发行相关的承诺-是否有履行期限"/>
              <w:tag w:val="_GBC_865043f20c414da39c8d8a70e9c5c4e4"/>
              <w:id w:val="1686019401"/>
              <w:comboBox>
                <w:listItem w:displayText="是" w:value="true"/>
                <w:listItem w:displayText="否" w:value="false"/>
              </w:comboBox>
            </w:sdtPr>
            <w:sdtContent>
              <w:p>
                <w:pPr>
                  <w:jc w:val="center"/>
                  <w:rPr>
                    <w:color w:val="000000" w:themeColor="text1"/>
                  </w:rPr>
                </w:pPr>
                <w:r>
                  <w:rPr>
                    <w:color w:val="000000" w:themeColor="text1"/>
                  </w:rPr>
                  <w:t>否</w:t>
                </w:r>
              </w:p>
            </w:sdtContent>
          </w:sdt>
        </w:tc>
        <w:tc>
          <w:tcPr>
            <w:tcW w:w="281" w:type="pct"/>
            <w:vAlign w:val="center"/>
          </w:tcPr>
          <w:p>
            <w:pPr>
              <w:jc w:val="center"/>
              <w:rPr>
                <w:rFonts w:asciiTheme="minorEastAsia" w:eastAsiaTheme="minorEastAsia" w:hAnsiTheme="minorEastAsia"/>
                <w:bCs/>
              </w:rPr>
            </w:pPr>
            <w:r>
              <w:rPr>
                <w:rFonts w:hint="eastAsia"/>
              </w:rPr>
              <w:t>长期有效</w:t>
            </w:r>
          </w:p>
        </w:tc>
        <w:tc>
          <w:tcPr>
            <w:tcW w:w="256" w:type="pct"/>
            <w:shd w:val="clear" w:color="auto" w:fill="auto"/>
            <w:vAlign w:val="center"/>
          </w:tcPr>
          <w:sdt>
            <w:sdtPr>
              <w:rPr>
                <w:color w:val="000000" w:themeColor="text1"/>
              </w:rPr>
              <w:alias w:val="与首次公开发行相关的承诺-是否及时严格履行"/>
              <w:tag w:val="_GBC_f0146b2209ec4419a3ed5f0295ed2e2e"/>
              <w:id w:val="1833093536"/>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rPr>
                <w:rFonts w:asciiTheme="minorEastAsia" w:eastAsiaTheme="minorEastAsia" w:hAnsiTheme="minorEastAsia"/>
              </w:rPr>
            </w:pPr>
            <w:r>
              <w:rPr>
                <w:rFonts w:hint="eastAsia"/>
              </w:rPr>
              <w:t>正常履行</w:t>
            </w: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val="restart"/>
            <w:shd w:val="clear" w:color="auto" w:fill="auto"/>
            <w:vAlign w:val="center"/>
          </w:tcPr>
          <w:p>
            <w:pPr>
              <w:jc w:val="center"/>
              <w:rPr>
                <w:rFonts w:asciiTheme="minorEastAsia" w:eastAsiaTheme="minorEastAsia" w:hAnsiTheme="minorEastAsia"/>
              </w:rPr>
            </w:pPr>
            <w:r>
              <w:rPr>
                <w:rFonts w:hint="eastAsia"/>
                <w:color w:val="000000" w:themeColor="text1"/>
              </w:rPr>
              <w:t>其他承诺</w:t>
            </w:r>
          </w:p>
        </w:tc>
        <w:tc>
          <w:tcPr>
            <w:tcW w:w="255" w:type="pct"/>
            <w:shd w:val="clear" w:color="auto" w:fill="auto"/>
            <w:vAlign w:val="center"/>
          </w:tcPr>
          <w:sdt>
            <w:sdtPr>
              <w:rPr>
                <w:color w:val="000000" w:themeColor="text1"/>
              </w:rPr>
              <w:alias w:val="其他承诺相关方的承诺事项-承诺类型"/>
              <w:tag w:val="_GBC_81c4e403d3a94f6eac0573e66d407fbf"/>
              <w:id w:val="1685388240"/>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其他</w:t>
                </w:r>
              </w:p>
            </w:sdtContent>
          </w:sdt>
        </w:tc>
        <w:tc>
          <w:tcPr>
            <w:tcW w:w="779" w:type="pct"/>
            <w:shd w:val="clear" w:color="auto" w:fill="auto"/>
            <w:vAlign w:val="center"/>
          </w:tcPr>
          <w:p>
            <w:pPr>
              <w:jc w:val="both"/>
              <w:rPr>
                <w:rFonts w:asciiTheme="minorEastAsia" w:eastAsiaTheme="minorEastAsia" w:hAnsiTheme="minorEastAsia"/>
              </w:rPr>
            </w:pPr>
            <w:r>
              <w:rPr>
                <w:rFonts w:hint="eastAsia"/>
              </w:rPr>
              <w:t>山东能源</w:t>
            </w:r>
          </w:p>
        </w:tc>
        <w:tc>
          <w:tcPr>
            <w:tcW w:w="1451" w:type="pct"/>
            <w:shd w:val="clear" w:color="auto" w:fill="auto"/>
            <w:vAlign w:val="center"/>
          </w:tcPr>
          <w:p>
            <w:pPr>
              <w:jc w:val="both"/>
            </w:pPr>
            <w:r>
              <w:rPr>
                <w:rFonts w:hint="eastAsia"/>
              </w:rPr>
              <w:t>山东能源就其与山能财司之间金融业务相关事宜作出如下承诺：</w:t>
            </w:r>
          </w:p>
          <w:p>
            <w:pPr>
              <w:jc w:val="both"/>
            </w:pPr>
            <w:r>
              <w:t>1.鉴于兖矿能源在资产、业务、人员、财务、机构等方面均独立于山东能源，山东能源将继续确保兖矿能源的独立性并充分尊重兖矿能源的经营自主权，由兖矿能源及其子公司山能财司在符合相关监管规定的条件下，履行法律法规及《公司章程》《山东能源集团财务有限公司章程》等相关规定的决策程序后，根据业务开展的实际需要，自主决策山能财司与山东能源之间的金融业务。</w:t>
            </w:r>
          </w:p>
          <w:p>
            <w:pPr>
              <w:jc w:val="both"/>
            </w:pPr>
            <w:r>
              <w:lastRenderedPageBreak/>
              <w:t>2.为保障兖矿能源在山能财司的资金安全，山东能源及其控制的其他企业将合法合规的与山能财司开展金融业务，保证不会通过山能财司或其他任何方式变相占用兖矿能源资金。</w:t>
            </w:r>
          </w:p>
          <w:p>
            <w:pPr>
              <w:jc w:val="both"/>
            </w:pPr>
            <w:r>
              <w:t>3.若因山东能源及其控制的其他企业通过山能财司或其他任何方式违规占用兖矿能源资金而致使兖矿能源遭受损失，山东能源及山东能源控制的其他企业将以现金予以足额补偿。</w:t>
            </w:r>
          </w:p>
          <w:p>
            <w:pPr>
              <w:jc w:val="both"/>
              <w:rPr>
                <w:rFonts w:asciiTheme="minorEastAsia" w:eastAsiaTheme="minorEastAsia" w:hAnsiTheme="minorEastAsia"/>
              </w:rPr>
            </w:pPr>
            <w:r>
              <w:t>4.山东能源保证严格遵守中国证监会、上交所及《公司章程》等有关规定，与其他股东平等地行使股东权利、履行股东义务，不利用控股股东的地位谋取不当利益，不损害兖矿能源及其他社会公众股东的合法权益。</w:t>
            </w:r>
          </w:p>
        </w:tc>
        <w:tc>
          <w:tcPr>
            <w:tcW w:w="387" w:type="pct"/>
            <w:vAlign w:val="center"/>
          </w:tcPr>
          <w:p>
            <w:pPr>
              <w:jc w:val="center"/>
              <w:rPr>
                <w:rFonts w:asciiTheme="minorEastAsia" w:eastAsiaTheme="minorEastAsia" w:hAnsiTheme="minorEastAsia"/>
              </w:rPr>
            </w:pPr>
            <w:r>
              <w:rPr>
                <w:rFonts w:hint="eastAsia"/>
              </w:rPr>
              <w:lastRenderedPageBreak/>
              <w:t>2022年8月26日</w:t>
            </w:r>
          </w:p>
        </w:tc>
        <w:tc>
          <w:tcPr>
            <w:tcW w:w="242" w:type="pct"/>
            <w:shd w:val="clear" w:color="auto" w:fill="auto"/>
            <w:vAlign w:val="center"/>
          </w:tcPr>
          <w:sdt>
            <w:sdtPr>
              <w:rPr>
                <w:color w:val="000000" w:themeColor="text1"/>
              </w:rPr>
              <w:alias w:val="其他承诺相关方的承诺事项-是否有履行期限"/>
              <w:tag w:val="_GBC_53c721e8b7ba452fb3b1ab4897356c91"/>
              <w:id w:val="-1068798598"/>
              <w:comboBox>
                <w:listItem w:displayText="是" w:value="true"/>
                <w:listItem w:displayText="否" w:value="false"/>
              </w:comboBox>
            </w:sdtPr>
            <w:sdtContent>
              <w:p>
                <w:pPr>
                  <w:jc w:val="center"/>
                  <w:rPr>
                    <w:color w:val="000000" w:themeColor="text1"/>
                  </w:rPr>
                </w:pPr>
                <w:r>
                  <w:rPr>
                    <w:color w:val="000000" w:themeColor="text1"/>
                  </w:rPr>
                  <w:t>否</w:t>
                </w:r>
              </w:p>
            </w:sdtContent>
          </w:sdt>
        </w:tc>
        <w:tc>
          <w:tcPr>
            <w:tcW w:w="281" w:type="pct"/>
            <w:vAlign w:val="center"/>
          </w:tcPr>
          <w:p>
            <w:pPr>
              <w:jc w:val="center"/>
              <w:rPr>
                <w:rFonts w:asciiTheme="minorEastAsia" w:eastAsiaTheme="minorEastAsia" w:hAnsiTheme="minorEastAsia"/>
              </w:rPr>
            </w:pPr>
            <w:r>
              <w:rPr>
                <w:rFonts w:hint="eastAsia"/>
              </w:rPr>
              <w:t>长期有效</w:t>
            </w:r>
          </w:p>
        </w:tc>
        <w:tc>
          <w:tcPr>
            <w:tcW w:w="256" w:type="pct"/>
            <w:shd w:val="clear" w:color="auto" w:fill="auto"/>
            <w:vAlign w:val="center"/>
          </w:tcPr>
          <w:sdt>
            <w:sdtPr>
              <w:rPr>
                <w:color w:val="000000" w:themeColor="text1"/>
              </w:rPr>
              <w:alias w:val="其他承诺相关方的承诺事项-是否及时严格履行"/>
              <w:tag w:val="_GBC_428e2c83eb8e4ee2b2c7303f7dd67a15"/>
              <w:id w:val="1068769525"/>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rPr>
                <w:rFonts w:asciiTheme="minorEastAsia" w:eastAsiaTheme="minorEastAsia" w:hAnsiTheme="minorEastAsia"/>
              </w:rPr>
            </w:pPr>
            <w:r>
              <w:rPr>
                <w:rFonts w:hint="eastAsia"/>
              </w:rPr>
              <w:t>正常履行</w:t>
            </w: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shd w:val="clear" w:color="auto" w:fill="auto"/>
            <w:vAlign w:val="center"/>
          </w:tcPr>
          <w:p>
            <w:pPr>
              <w:jc w:val="center"/>
              <w:rPr>
                <w:rFonts w:asciiTheme="minorEastAsia" w:eastAsiaTheme="minorEastAsia" w:hAnsiTheme="minorEastAsia"/>
              </w:rPr>
            </w:pPr>
          </w:p>
        </w:tc>
        <w:tc>
          <w:tcPr>
            <w:tcW w:w="255" w:type="pct"/>
            <w:shd w:val="clear" w:color="auto" w:fill="auto"/>
            <w:vAlign w:val="center"/>
          </w:tcPr>
          <w:sdt>
            <w:sdtPr>
              <w:rPr>
                <w:color w:val="000000" w:themeColor="text1"/>
              </w:rPr>
              <w:alias w:val="其他承诺相关方的承诺事项-承诺类型"/>
              <w:tag w:val="_GBC_81c4e403d3a94f6eac0573e66d407fbf"/>
              <w:id w:val="-1373380683"/>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其他</w:t>
                </w:r>
              </w:p>
            </w:sdtContent>
          </w:sdt>
        </w:tc>
        <w:tc>
          <w:tcPr>
            <w:tcW w:w="779" w:type="pct"/>
            <w:shd w:val="clear" w:color="auto" w:fill="auto"/>
            <w:vAlign w:val="center"/>
          </w:tcPr>
          <w:p>
            <w:pPr>
              <w:jc w:val="both"/>
              <w:rPr>
                <w:rFonts w:asciiTheme="minorEastAsia" w:eastAsiaTheme="minorEastAsia" w:hAnsiTheme="minorEastAsia"/>
              </w:rPr>
            </w:pPr>
            <w:r>
              <w:rPr>
                <w:rFonts w:hint="eastAsia"/>
              </w:rPr>
              <w:t>新汶矿业集团有限责任公司、龙口矿业集团有限公司、淄博矿业集团有限责任公司、肥城肥矿煤业有限公司、临沂矿业集团有限责任公司（以下合称“转让方”）</w:t>
            </w:r>
          </w:p>
        </w:tc>
        <w:tc>
          <w:tcPr>
            <w:tcW w:w="1451" w:type="pct"/>
            <w:shd w:val="clear" w:color="auto" w:fill="auto"/>
            <w:vAlign w:val="center"/>
          </w:tcPr>
          <w:p>
            <w:pPr>
              <w:jc w:val="both"/>
            </w:pPr>
            <w:r>
              <w:rPr>
                <w:rFonts w:hint="eastAsia"/>
              </w:rPr>
              <w:t>转让方就兖矿能源（“受让方”）收购鲁西矿业51%股权事项向兖矿能源做出如下承诺：</w:t>
            </w:r>
          </w:p>
          <w:p>
            <w:pPr>
              <w:jc w:val="both"/>
            </w:pPr>
            <w:r>
              <w:rPr>
                <w:rFonts w:hint="eastAsia"/>
              </w:rPr>
              <w:t>1.如本次交易交割日后相关政府主管部门依据鲁动能〔2021〕3号、鲁政字〔2021〕143号文件或相关实施细则对鲁西矿业下属子公司煤矿采取限产、停产、关闭退出等处置措施的，转让方承诺：</w:t>
            </w:r>
          </w:p>
          <w:p>
            <w:pPr>
              <w:jc w:val="both"/>
            </w:pPr>
            <w:r>
              <w:rPr>
                <w:rFonts w:hint="eastAsia"/>
              </w:rPr>
              <w:t>（1）由转让方对受让方给予相应补偿；</w:t>
            </w:r>
          </w:p>
          <w:p>
            <w:pPr>
              <w:jc w:val="both"/>
            </w:pPr>
            <w:r>
              <w:rPr>
                <w:rFonts w:hint="eastAsia"/>
              </w:rPr>
              <w:t>（2）如转让方及受让方无法就前述具体赔偿金额协商一致的，则受让方可以向转让方书面通知解除《股权转让协议》，转让方应当返还已支付的股权转让价款等。</w:t>
            </w:r>
          </w:p>
          <w:p>
            <w:pPr>
              <w:jc w:val="both"/>
            </w:pPr>
            <w:r>
              <w:rPr>
                <w:rFonts w:hint="eastAsia"/>
              </w:rPr>
              <w:t>2．除已扣减矿业权出让收益的矿业权外，就郭屯煤矿、彭庄煤矿、梁宝寺煤矿以及</w:t>
            </w:r>
            <w:r>
              <w:rPr>
                <w:rFonts w:hint="eastAsia"/>
              </w:rPr>
              <w:lastRenderedPageBreak/>
              <w:t>陈蛮庄煤矿四宗以现金、转增国家资本金等方式有偿处置过的矿业权，在本次交易交割日后，如被相关主管部门就在本次交易中相关采矿权评估范围内的资源储量征收矿业权出让收益且前述出让收益未在本次交易审计报告中体现，则：</w:t>
            </w:r>
          </w:p>
          <w:p>
            <w:pPr>
              <w:jc w:val="both"/>
            </w:pPr>
            <w:r>
              <w:rPr>
                <w:rFonts w:hint="eastAsia"/>
              </w:rPr>
              <w:t>（1）转让方将按照该等下属子公司被征收出让收益金额向受让方现金补偿（补偿金额为被征收出让收益金额×51%×鲁西矿业持有该等下属子公司的股权比例）；</w:t>
            </w:r>
          </w:p>
          <w:p>
            <w:pPr>
              <w:jc w:val="both"/>
            </w:pPr>
            <w:r>
              <w:rPr>
                <w:rFonts w:hint="eastAsia"/>
              </w:rPr>
              <w:t>（2）就届时本次交易对应资源储量中剩余的尚未按矿产品销售时的矿业权出让收益率计算征收的部分，由转让方一并向受让方现金补偿；</w:t>
            </w:r>
          </w:p>
          <w:p>
            <w:pPr>
              <w:jc w:val="both"/>
              <w:rPr>
                <w:rFonts w:asciiTheme="minorEastAsia" w:eastAsiaTheme="minorEastAsia" w:hAnsiTheme="minorEastAsia"/>
              </w:rPr>
            </w:pPr>
            <w:r>
              <w:rPr>
                <w:rFonts w:hint="eastAsia"/>
              </w:rPr>
              <w:t>（3）转让方向受让方补偿的金额应以《股权转让协议》依据的评估报告引用的矿业权评估报告所载金额×51%×鲁西矿业持有该等下属子公司的股权比例为限。</w:t>
            </w:r>
          </w:p>
        </w:tc>
        <w:tc>
          <w:tcPr>
            <w:tcW w:w="387" w:type="pct"/>
            <w:vAlign w:val="center"/>
          </w:tcPr>
          <w:p>
            <w:pPr>
              <w:jc w:val="center"/>
              <w:rPr>
                <w:rFonts w:asciiTheme="minorEastAsia" w:eastAsiaTheme="minorEastAsia" w:hAnsiTheme="minorEastAsia"/>
              </w:rPr>
            </w:pPr>
            <w:r>
              <w:rPr>
                <w:rFonts w:hint="eastAsia"/>
              </w:rPr>
              <w:lastRenderedPageBreak/>
              <w:t>2023年4月28日</w:t>
            </w:r>
          </w:p>
        </w:tc>
        <w:tc>
          <w:tcPr>
            <w:tcW w:w="242" w:type="pct"/>
            <w:shd w:val="clear" w:color="auto" w:fill="auto"/>
            <w:vAlign w:val="center"/>
          </w:tcPr>
          <w:sdt>
            <w:sdtPr>
              <w:rPr>
                <w:color w:val="000000" w:themeColor="text1"/>
              </w:rPr>
              <w:alias w:val="与首次公开发行相关的承诺-是否有履行期限"/>
              <w:tag w:val="_GBC_865043f20c414da39c8d8a70e9c5c4e4"/>
              <w:id w:val="-2109347547"/>
              <w:comboBox>
                <w:listItem w:displayText="是" w:value="true"/>
                <w:listItem w:displayText="否" w:value="false"/>
              </w:comboBox>
            </w:sdtPr>
            <w:sdtContent>
              <w:p>
                <w:pPr>
                  <w:jc w:val="center"/>
                  <w:rPr>
                    <w:color w:val="000000" w:themeColor="text1"/>
                  </w:rPr>
                </w:pPr>
                <w:r>
                  <w:rPr>
                    <w:color w:val="000000" w:themeColor="text1"/>
                  </w:rPr>
                  <w:t>否</w:t>
                </w:r>
              </w:p>
            </w:sdtContent>
          </w:sdt>
        </w:tc>
        <w:tc>
          <w:tcPr>
            <w:tcW w:w="281" w:type="pct"/>
            <w:vAlign w:val="center"/>
          </w:tcPr>
          <w:p>
            <w:pPr>
              <w:jc w:val="center"/>
              <w:rPr>
                <w:rFonts w:asciiTheme="minorEastAsia" w:eastAsiaTheme="minorEastAsia" w:hAnsiTheme="minorEastAsia"/>
                <w:bCs/>
              </w:rPr>
            </w:pPr>
            <w:r>
              <w:rPr>
                <w:rFonts w:hint="eastAsia"/>
              </w:rPr>
              <w:t>长期有效</w:t>
            </w:r>
          </w:p>
        </w:tc>
        <w:tc>
          <w:tcPr>
            <w:tcW w:w="256" w:type="pct"/>
            <w:shd w:val="clear" w:color="auto" w:fill="auto"/>
            <w:vAlign w:val="center"/>
          </w:tcPr>
          <w:sdt>
            <w:sdtPr>
              <w:rPr>
                <w:color w:val="000000" w:themeColor="text1"/>
              </w:rPr>
              <w:alias w:val="其他承诺相关方的承诺事项-是否及时严格履行"/>
              <w:tag w:val="_GBC_428e2c83eb8e4ee2b2c7303f7dd67a15"/>
              <w:id w:val="-1644880529"/>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rPr>
                <w:rFonts w:asciiTheme="minorEastAsia" w:eastAsiaTheme="minorEastAsia" w:hAnsiTheme="minorEastAsia"/>
              </w:rPr>
            </w:pPr>
            <w:r>
              <w:rPr>
                <w:rFonts w:hint="eastAsia"/>
              </w:rPr>
              <w:t>正常履行</w:t>
            </w: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shd w:val="clear" w:color="auto" w:fill="auto"/>
            <w:vAlign w:val="center"/>
          </w:tcPr>
          <w:p>
            <w:pPr>
              <w:jc w:val="center"/>
              <w:rPr>
                <w:rFonts w:asciiTheme="minorEastAsia" w:eastAsiaTheme="minorEastAsia" w:hAnsiTheme="minorEastAsia"/>
              </w:rPr>
            </w:pPr>
          </w:p>
        </w:tc>
        <w:tc>
          <w:tcPr>
            <w:tcW w:w="255" w:type="pct"/>
            <w:shd w:val="clear" w:color="auto" w:fill="auto"/>
            <w:vAlign w:val="center"/>
          </w:tcPr>
          <w:sdt>
            <w:sdtPr>
              <w:rPr>
                <w:color w:val="000000" w:themeColor="text1"/>
              </w:rPr>
              <w:alias w:val="其他承诺相关方的承诺事项-承诺类型"/>
              <w:tag w:val="_GBC_81c4e403d3a94f6eac0573e66d407fbf"/>
              <w:id w:val="2109455681"/>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其他</w:t>
                </w:r>
              </w:p>
            </w:sdtContent>
          </w:sdt>
        </w:tc>
        <w:tc>
          <w:tcPr>
            <w:tcW w:w="779" w:type="pct"/>
            <w:shd w:val="clear" w:color="auto" w:fill="auto"/>
            <w:vAlign w:val="center"/>
          </w:tcPr>
          <w:p>
            <w:pPr>
              <w:jc w:val="both"/>
            </w:pPr>
            <w:r>
              <w:rPr>
                <w:rFonts w:hint="eastAsia"/>
              </w:rPr>
              <w:t>新汶矿业集团有限责任公司、山东能源（以下合称“转让方”）</w:t>
            </w:r>
          </w:p>
          <w:p>
            <w:pPr>
              <w:jc w:val="both"/>
              <w:rPr>
                <w:rFonts w:asciiTheme="minorEastAsia" w:eastAsiaTheme="minorEastAsia" w:hAnsiTheme="minorEastAsia"/>
              </w:rPr>
            </w:pPr>
          </w:p>
        </w:tc>
        <w:tc>
          <w:tcPr>
            <w:tcW w:w="1451" w:type="pct"/>
            <w:shd w:val="clear" w:color="auto" w:fill="auto"/>
            <w:vAlign w:val="center"/>
          </w:tcPr>
          <w:p>
            <w:pPr>
              <w:jc w:val="both"/>
            </w:pPr>
            <w:r>
              <w:rPr>
                <w:rFonts w:hint="eastAsia"/>
              </w:rPr>
              <w:t>转让方就兖矿能源（“受让方”）收购新疆能化51%股权事项向兖矿能源做出如下承诺：</w:t>
            </w:r>
          </w:p>
          <w:p>
            <w:pPr>
              <w:jc w:val="both"/>
            </w:pPr>
            <w:r>
              <w:rPr>
                <w:rFonts w:hint="eastAsia"/>
              </w:rPr>
              <w:t>1．截至2023年4月28日，新疆能化所持有的新疆准东煤田奇台县黄草湖一至十一勘查区勘探探矿权有效期已经届满。转让方承诺将积极敦促并协助新疆能化尽快完成探矿权变更登记手续，如新疆能化在本次交易交割日后因无法完成或无法按时完成上述探矿权变更登记手续受到损失，则届时由转让方向受让方予以补偿。</w:t>
            </w:r>
          </w:p>
          <w:p>
            <w:pPr>
              <w:jc w:val="both"/>
            </w:pPr>
            <w:r>
              <w:rPr>
                <w:rFonts w:hint="eastAsia"/>
              </w:rPr>
              <w:t>2．除已扣减矿业权出让收益的矿业权外，就保盛煤矿、红山洼煤矿两宗有偿处置过</w:t>
            </w:r>
            <w:r>
              <w:rPr>
                <w:rFonts w:hint="eastAsia"/>
              </w:rPr>
              <w:lastRenderedPageBreak/>
              <w:t>的矿业权，在本次交易交割日后，如被相关主管部门就在本次交易中相关采矿权评估范围内的资源储量征收矿业权出让收益且前述出让收益未在本次交易审计报告中体现，则：</w:t>
            </w:r>
          </w:p>
          <w:p>
            <w:pPr>
              <w:jc w:val="both"/>
            </w:pPr>
            <w:r>
              <w:rPr>
                <w:rFonts w:hint="eastAsia"/>
              </w:rPr>
              <w:t>（1）转让方将按照该等下属子公司被征收出让收益金额，在明确缴纳义务后的30日内向受让方现金补偿（补偿金额为被征收出让收益金额×51%×新疆能化持有该等下属子公司的股权比例）；</w:t>
            </w:r>
          </w:p>
          <w:p>
            <w:pPr>
              <w:jc w:val="both"/>
            </w:pPr>
            <w:r>
              <w:rPr>
                <w:rFonts w:hint="eastAsia"/>
              </w:rPr>
              <w:t>（2）就届时本次交易对应资源储量中剩余的尚未按矿产品销售时的矿业权出让收益率计算征收的部分（如涉及），由转让方一并向受让方现金补偿；</w:t>
            </w:r>
          </w:p>
          <w:p>
            <w:pPr>
              <w:jc w:val="both"/>
              <w:rPr>
                <w:rFonts w:asciiTheme="minorEastAsia" w:eastAsiaTheme="minorEastAsia" w:hAnsiTheme="minorEastAsia"/>
              </w:rPr>
            </w:pPr>
            <w:r>
              <w:rPr>
                <w:rFonts w:hint="eastAsia"/>
              </w:rPr>
              <w:t>（3）转让方向受让方补偿的金额应以《股权转让协议》依据的评估报告引用的矿业权评估报告所载金额×51%×新疆能化持有该等下属子公司的股权比例为限。</w:t>
            </w:r>
          </w:p>
        </w:tc>
        <w:tc>
          <w:tcPr>
            <w:tcW w:w="387" w:type="pct"/>
            <w:vAlign w:val="center"/>
          </w:tcPr>
          <w:p>
            <w:pPr>
              <w:jc w:val="center"/>
              <w:rPr>
                <w:rFonts w:asciiTheme="minorEastAsia" w:eastAsiaTheme="minorEastAsia" w:hAnsiTheme="minorEastAsia"/>
              </w:rPr>
            </w:pPr>
            <w:r>
              <w:rPr>
                <w:rFonts w:hint="eastAsia"/>
              </w:rPr>
              <w:lastRenderedPageBreak/>
              <w:t>2023年4月28日</w:t>
            </w:r>
          </w:p>
        </w:tc>
        <w:tc>
          <w:tcPr>
            <w:tcW w:w="242" w:type="pct"/>
            <w:shd w:val="clear" w:color="auto" w:fill="auto"/>
            <w:vAlign w:val="center"/>
          </w:tcPr>
          <w:sdt>
            <w:sdtPr>
              <w:rPr>
                <w:color w:val="000000" w:themeColor="text1"/>
              </w:rPr>
              <w:alias w:val="其他承诺相关方的承诺事项-是否有履行期限"/>
              <w:tag w:val="_GBC_53c721e8b7ba452fb3b1ab4897356c91"/>
              <w:id w:val="-1135413417"/>
              <w:comboBox>
                <w:listItem w:displayText="是" w:value="true"/>
                <w:listItem w:displayText="否" w:value="false"/>
              </w:comboBox>
            </w:sdtPr>
            <w:sdtContent>
              <w:p>
                <w:pPr>
                  <w:jc w:val="center"/>
                  <w:rPr>
                    <w:color w:val="000000" w:themeColor="text1"/>
                  </w:rPr>
                </w:pPr>
                <w:r>
                  <w:rPr>
                    <w:color w:val="000000" w:themeColor="text1"/>
                  </w:rPr>
                  <w:t>否</w:t>
                </w:r>
              </w:p>
            </w:sdtContent>
          </w:sdt>
        </w:tc>
        <w:tc>
          <w:tcPr>
            <w:tcW w:w="281" w:type="pct"/>
            <w:vAlign w:val="center"/>
          </w:tcPr>
          <w:p>
            <w:pPr>
              <w:jc w:val="center"/>
              <w:rPr>
                <w:rFonts w:asciiTheme="minorEastAsia" w:eastAsiaTheme="minorEastAsia" w:hAnsiTheme="minorEastAsia"/>
                <w:bCs/>
              </w:rPr>
            </w:pPr>
            <w:r>
              <w:rPr>
                <w:rFonts w:hint="eastAsia"/>
              </w:rPr>
              <w:t>长期有效</w:t>
            </w:r>
          </w:p>
        </w:tc>
        <w:tc>
          <w:tcPr>
            <w:tcW w:w="256" w:type="pct"/>
            <w:shd w:val="clear" w:color="auto" w:fill="auto"/>
            <w:vAlign w:val="center"/>
          </w:tcPr>
          <w:sdt>
            <w:sdtPr>
              <w:rPr>
                <w:color w:val="000000" w:themeColor="text1"/>
              </w:rPr>
              <w:alias w:val="其他承诺相关方的承诺事项-是否及时严格履行"/>
              <w:tag w:val="_GBC_428e2c83eb8e4ee2b2c7303f7dd67a15"/>
              <w:id w:val="550118837"/>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pPr>
            <w:r>
              <w:rPr>
                <w:rFonts w:hint="eastAsia"/>
              </w:rPr>
              <w:t>就黄草湖探矿权续期承诺，新疆能化已于2023年5月完成续期。承诺其他部分正常履行。</w:t>
            </w:r>
          </w:p>
          <w:p>
            <w:pPr>
              <w:jc w:val="center"/>
              <w:rPr>
                <w:rFonts w:asciiTheme="minorEastAsia" w:eastAsiaTheme="minorEastAsia" w:hAnsiTheme="minorEastAsia"/>
              </w:rPr>
            </w:pP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shd w:val="clear" w:color="auto" w:fill="auto"/>
            <w:vAlign w:val="center"/>
          </w:tcPr>
          <w:p>
            <w:pPr>
              <w:jc w:val="center"/>
              <w:rPr>
                <w:rFonts w:asciiTheme="minorEastAsia" w:eastAsiaTheme="minorEastAsia" w:hAnsiTheme="minorEastAsia"/>
              </w:rPr>
            </w:pPr>
          </w:p>
        </w:tc>
        <w:tc>
          <w:tcPr>
            <w:tcW w:w="255" w:type="pct"/>
            <w:shd w:val="clear" w:color="auto" w:fill="auto"/>
            <w:vAlign w:val="center"/>
          </w:tcPr>
          <w:sdt>
            <w:sdtPr>
              <w:rPr>
                <w:color w:val="000000" w:themeColor="text1"/>
              </w:rPr>
              <w:alias w:val="其他承诺相关方的承诺事项-承诺类型"/>
              <w:tag w:val="_GBC_81c4e403d3a94f6eac0573e66d407fbf"/>
              <w:id w:val="-773012019"/>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其他</w:t>
                </w:r>
              </w:p>
            </w:sdtContent>
          </w:sdt>
        </w:tc>
        <w:tc>
          <w:tcPr>
            <w:tcW w:w="779" w:type="pct"/>
            <w:shd w:val="clear" w:color="auto" w:fill="auto"/>
            <w:vAlign w:val="center"/>
          </w:tcPr>
          <w:p>
            <w:pPr>
              <w:jc w:val="both"/>
              <w:rPr>
                <w:rFonts w:asciiTheme="minorEastAsia" w:eastAsiaTheme="minorEastAsia" w:hAnsiTheme="minorEastAsia"/>
              </w:rPr>
            </w:pPr>
            <w:r>
              <w:rPr>
                <w:rFonts w:hint="eastAsia"/>
              </w:rPr>
              <w:t>新汶矿业集团有限责任公司、龙口矿业集团有限公司、淄博矿业集团有限责任公司、肥城肥矿煤业有限公司、临沂矿业集团有限责任公司（以下合称“转让方”）</w:t>
            </w:r>
          </w:p>
        </w:tc>
        <w:tc>
          <w:tcPr>
            <w:tcW w:w="1451" w:type="pct"/>
            <w:shd w:val="clear" w:color="auto" w:fill="auto"/>
            <w:vAlign w:val="center"/>
          </w:tcPr>
          <w:p>
            <w:pPr>
              <w:jc w:val="both"/>
            </w:pPr>
            <w:r>
              <w:rPr>
                <w:rFonts w:hint="eastAsia"/>
              </w:rPr>
              <w:t>转让方就鲁西矿业（“目标公司”）2023-2025年经营业绩作出如下承诺：</w:t>
            </w:r>
          </w:p>
          <w:p>
            <w:pPr>
              <w:jc w:val="both"/>
            </w:pPr>
            <w:r>
              <w:rPr>
                <w:rFonts w:hint="eastAsia"/>
              </w:rPr>
              <w:t>1．2023-2025年度（“承诺期”），按中国会计准则计算，目标公司对应的经审计的扣除非经常性损益后归属于母公司股东的净利润（“净利润”）承诺期累计不低于人民币1,142,480.14万元（“承诺期累计承诺净利润”）。</w:t>
            </w:r>
          </w:p>
          <w:p>
            <w:pPr>
              <w:jc w:val="both"/>
            </w:pPr>
            <w:r>
              <w:rPr>
                <w:rFonts w:hint="eastAsia"/>
              </w:rPr>
              <w:t>2．若目标公司在承诺期内累计实现净利润未达到承诺期累计承诺净利润，转让方将以现金方式向兖矿能源进行补偿。具体补偿金额按照以下方式计算：</w:t>
            </w:r>
          </w:p>
          <w:p>
            <w:pPr>
              <w:jc w:val="both"/>
            </w:pPr>
            <w:r>
              <w:rPr>
                <w:rFonts w:hint="eastAsia"/>
              </w:rPr>
              <w:lastRenderedPageBreak/>
              <w:t>承诺期业绩补偿金额=（承诺期累计承诺净利润-承诺期累计实现净利润）÷承诺期累计承诺净利润×标的股权交易作价-其他已补偿金额。</w:t>
            </w:r>
          </w:p>
          <w:p>
            <w:pPr>
              <w:jc w:val="both"/>
              <w:rPr>
                <w:rFonts w:asciiTheme="minorEastAsia" w:eastAsiaTheme="minorEastAsia" w:hAnsiTheme="minorEastAsia"/>
              </w:rPr>
            </w:pPr>
          </w:p>
        </w:tc>
        <w:tc>
          <w:tcPr>
            <w:tcW w:w="387" w:type="pct"/>
            <w:vAlign w:val="center"/>
          </w:tcPr>
          <w:p>
            <w:pPr>
              <w:jc w:val="center"/>
              <w:rPr>
                <w:rFonts w:asciiTheme="minorEastAsia" w:eastAsiaTheme="minorEastAsia" w:hAnsiTheme="minorEastAsia"/>
              </w:rPr>
            </w:pPr>
            <w:r>
              <w:rPr>
                <w:rFonts w:hint="eastAsia"/>
              </w:rPr>
              <w:lastRenderedPageBreak/>
              <w:t>2023年4月28日</w:t>
            </w:r>
          </w:p>
        </w:tc>
        <w:tc>
          <w:tcPr>
            <w:tcW w:w="242" w:type="pct"/>
            <w:shd w:val="clear" w:color="auto" w:fill="auto"/>
            <w:vAlign w:val="center"/>
          </w:tcPr>
          <w:sdt>
            <w:sdtPr>
              <w:rPr>
                <w:color w:val="000000" w:themeColor="text1"/>
              </w:rPr>
              <w:alias w:val="其他承诺相关方的承诺事项-是否有履行期限"/>
              <w:tag w:val="_GBC_53c721e8b7ba452fb3b1ab4897356c91"/>
              <w:id w:val="-1106879842"/>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281" w:type="pct"/>
            <w:vAlign w:val="center"/>
          </w:tcPr>
          <w:p>
            <w:pPr>
              <w:wordWrap w:val="0"/>
              <w:jc w:val="center"/>
              <w:rPr>
                <w:rFonts w:asciiTheme="minorEastAsia" w:eastAsiaTheme="minorEastAsia" w:hAnsiTheme="minorEastAsia"/>
                <w:bCs/>
              </w:rPr>
            </w:pPr>
            <w:r>
              <w:rPr>
                <w:rFonts w:hint="eastAsia"/>
              </w:rPr>
              <w:t>2023-2025年度</w:t>
            </w:r>
          </w:p>
        </w:tc>
        <w:tc>
          <w:tcPr>
            <w:tcW w:w="256" w:type="pct"/>
            <w:shd w:val="clear" w:color="auto" w:fill="auto"/>
            <w:vAlign w:val="center"/>
          </w:tcPr>
          <w:sdt>
            <w:sdtPr>
              <w:rPr>
                <w:color w:val="000000" w:themeColor="text1"/>
              </w:rPr>
              <w:alias w:val="其他承诺相关方的承诺事项-是否及时严格履行"/>
              <w:tag w:val="_GBC_428e2c83eb8e4ee2b2c7303f7dd67a15"/>
              <w:id w:val="-1172870307"/>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rPr>
                <w:rFonts w:asciiTheme="minorEastAsia" w:eastAsiaTheme="minorEastAsia" w:hAnsiTheme="minorEastAsia"/>
              </w:rPr>
            </w:pPr>
            <w:r>
              <w:rPr>
                <w:rFonts w:hint="eastAsia"/>
              </w:rPr>
              <w:t>正常履行</w:t>
            </w: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shd w:val="clear" w:color="auto" w:fill="auto"/>
            <w:vAlign w:val="center"/>
          </w:tcPr>
          <w:p>
            <w:pPr>
              <w:jc w:val="center"/>
              <w:rPr>
                <w:rFonts w:asciiTheme="minorEastAsia" w:eastAsiaTheme="minorEastAsia" w:hAnsiTheme="minorEastAsia"/>
              </w:rPr>
            </w:pPr>
          </w:p>
        </w:tc>
        <w:tc>
          <w:tcPr>
            <w:tcW w:w="255" w:type="pct"/>
            <w:shd w:val="clear" w:color="auto" w:fill="auto"/>
            <w:vAlign w:val="center"/>
          </w:tcPr>
          <w:sdt>
            <w:sdtPr>
              <w:rPr>
                <w:color w:val="000000" w:themeColor="text1"/>
              </w:rPr>
              <w:alias w:val="其他承诺相关方的承诺事项-承诺类型"/>
              <w:tag w:val="_GBC_81c4e403d3a94f6eac0573e66d407fbf"/>
              <w:id w:val="646555816"/>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p>
                <w:pPr>
                  <w:jc w:val="center"/>
                  <w:rPr>
                    <w:color w:val="000000" w:themeColor="text1"/>
                  </w:rPr>
                </w:pPr>
                <w:r>
                  <w:rPr>
                    <w:color w:val="000000" w:themeColor="text1"/>
                  </w:rPr>
                  <w:t>其他</w:t>
                </w:r>
              </w:p>
            </w:sdtContent>
          </w:sdt>
        </w:tc>
        <w:tc>
          <w:tcPr>
            <w:tcW w:w="779" w:type="pct"/>
            <w:shd w:val="clear" w:color="auto" w:fill="auto"/>
            <w:vAlign w:val="center"/>
          </w:tcPr>
          <w:p>
            <w:pPr>
              <w:jc w:val="both"/>
            </w:pPr>
            <w:r>
              <w:rPr>
                <w:rFonts w:hint="eastAsia"/>
              </w:rPr>
              <w:t>新汶矿业集团有限责任公司、山东能源（以下合称“转让方”）</w:t>
            </w:r>
          </w:p>
          <w:p>
            <w:pPr>
              <w:jc w:val="both"/>
              <w:rPr>
                <w:rFonts w:asciiTheme="minorEastAsia" w:eastAsiaTheme="minorEastAsia" w:hAnsiTheme="minorEastAsia"/>
              </w:rPr>
            </w:pPr>
          </w:p>
        </w:tc>
        <w:tc>
          <w:tcPr>
            <w:tcW w:w="1451" w:type="pct"/>
            <w:shd w:val="clear" w:color="auto" w:fill="auto"/>
            <w:vAlign w:val="center"/>
          </w:tcPr>
          <w:p>
            <w:pPr>
              <w:jc w:val="both"/>
            </w:pPr>
            <w:r>
              <w:rPr>
                <w:rFonts w:hint="eastAsia"/>
              </w:rPr>
              <w:t>转让方就新疆能化（“目标公司”）2023-2025年经营业绩作出如下承诺：</w:t>
            </w:r>
          </w:p>
          <w:p>
            <w:pPr>
              <w:jc w:val="both"/>
            </w:pPr>
            <w:r>
              <w:rPr>
                <w:rFonts w:hint="eastAsia"/>
              </w:rPr>
              <w:t>1．2023-2025年度（“承诺期”），按中国会计准则计算，目标公司对应的经审计的扣除非经常性损益后归属于母公司股东的净利润（“净利润”）承诺期累计不低于人民币401,345.61万元（“承诺期累计承诺净利润”）。</w:t>
            </w:r>
          </w:p>
          <w:p>
            <w:pPr>
              <w:jc w:val="both"/>
            </w:pPr>
            <w:r>
              <w:rPr>
                <w:rFonts w:hint="eastAsia"/>
              </w:rPr>
              <w:t>2．若目标公司在承诺期内累计实现净利润未达到承诺期累计承诺净利润，转让方将以现金方式向兖矿能源进行补偿，</w:t>
            </w:r>
            <w:bookmarkStart w:id="169" w:name="OLE_LINK10"/>
            <w:r>
              <w:rPr>
                <w:rFonts w:hint="eastAsia"/>
              </w:rPr>
              <w:t>具体补偿金额按照以下方式计算：</w:t>
            </w:r>
          </w:p>
          <w:bookmarkEnd w:id="169"/>
          <w:p>
            <w:pPr>
              <w:jc w:val="both"/>
              <w:rPr>
                <w:rFonts w:asciiTheme="minorEastAsia" w:eastAsiaTheme="minorEastAsia" w:hAnsiTheme="minorEastAsia"/>
              </w:rPr>
            </w:pPr>
            <w:r>
              <w:rPr>
                <w:rFonts w:hint="eastAsia"/>
              </w:rPr>
              <w:t>承诺期业绩补偿金额=（承诺期累计承诺净利润-承诺期累计实现净利润）÷承诺期累计承诺净利润×标的股权交易作价-其他已补偿金额。</w:t>
            </w:r>
          </w:p>
        </w:tc>
        <w:tc>
          <w:tcPr>
            <w:tcW w:w="387" w:type="pct"/>
            <w:vAlign w:val="center"/>
          </w:tcPr>
          <w:p>
            <w:pPr>
              <w:jc w:val="center"/>
              <w:rPr>
                <w:rFonts w:asciiTheme="minorEastAsia" w:eastAsiaTheme="minorEastAsia" w:hAnsiTheme="minorEastAsia"/>
              </w:rPr>
            </w:pPr>
            <w:r>
              <w:t>2023年4月28日</w:t>
            </w:r>
          </w:p>
        </w:tc>
        <w:tc>
          <w:tcPr>
            <w:tcW w:w="242" w:type="pct"/>
            <w:shd w:val="clear" w:color="auto" w:fill="auto"/>
            <w:vAlign w:val="center"/>
          </w:tcPr>
          <w:sdt>
            <w:sdtPr>
              <w:rPr>
                <w:color w:val="000000" w:themeColor="text1"/>
              </w:rPr>
              <w:alias w:val="其他承诺相关方的承诺事项-是否有履行期限"/>
              <w:tag w:val="_GBC_53c721e8b7ba452fb3b1ab4897356c91"/>
              <w:id w:val="-1881703265"/>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281" w:type="pct"/>
            <w:vAlign w:val="center"/>
          </w:tcPr>
          <w:p>
            <w:pPr>
              <w:jc w:val="center"/>
              <w:rPr>
                <w:rFonts w:asciiTheme="minorEastAsia" w:eastAsiaTheme="minorEastAsia" w:hAnsiTheme="minorEastAsia"/>
                <w:bCs/>
              </w:rPr>
            </w:pPr>
            <w:r>
              <w:t>2023-2025年度</w:t>
            </w:r>
          </w:p>
        </w:tc>
        <w:tc>
          <w:tcPr>
            <w:tcW w:w="256" w:type="pct"/>
            <w:shd w:val="clear" w:color="auto" w:fill="auto"/>
            <w:vAlign w:val="center"/>
          </w:tcPr>
          <w:sdt>
            <w:sdtPr>
              <w:rPr>
                <w:color w:val="000000" w:themeColor="text1"/>
              </w:rPr>
              <w:alias w:val="其他承诺相关方的承诺事项-是否及时严格履行"/>
              <w:tag w:val="_GBC_428e2c83eb8e4ee2b2c7303f7dd67a15"/>
              <w:id w:val="1051737290"/>
              <w:comboBox>
                <w:listItem w:displayText="是" w:value="true"/>
                <w:listItem w:displayText="否" w:value="false"/>
              </w:comboBox>
            </w:sdtPr>
            <w:sdtContent>
              <w:p>
                <w:pPr>
                  <w:jc w:val="center"/>
                  <w:rPr>
                    <w:color w:val="000000" w:themeColor="text1"/>
                  </w:rPr>
                </w:pPr>
                <w:r>
                  <w:rPr>
                    <w:color w:val="000000" w:themeColor="text1"/>
                  </w:rPr>
                  <w:t>是</w:t>
                </w:r>
              </w:p>
            </w:sdtContent>
          </w:sdt>
        </w:tc>
        <w:tc>
          <w:tcPr>
            <w:tcW w:w="484" w:type="pct"/>
            <w:shd w:val="clear" w:color="auto" w:fill="auto"/>
            <w:vAlign w:val="center"/>
          </w:tcPr>
          <w:p>
            <w:pPr>
              <w:jc w:val="center"/>
              <w:rPr>
                <w:rFonts w:asciiTheme="minorEastAsia" w:eastAsiaTheme="minorEastAsia" w:hAnsiTheme="minorEastAsia"/>
              </w:rPr>
            </w:pPr>
            <w:r>
              <w:rPr>
                <w:rFonts w:hint="eastAsia"/>
              </w:rPr>
              <w:t>正常履行</w:t>
            </w:r>
          </w:p>
        </w:tc>
        <w:tc>
          <w:tcPr>
            <w:tcW w:w="321" w:type="pct"/>
            <w:shd w:val="clear" w:color="auto" w:fill="auto"/>
            <w:vAlign w:val="center"/>
          </w:tcPr>
          <w:p>
            <w:pPr>
              <w:jc w:val="center"/>
              <w:rPr>
                <w:rFonts w:asciiTheme="minorEastAsia" w:eastAsiaTheme="minorEastAsia" w:hAnsiTheme="minorEastAsia"/>
              </w:rPr>
            </w:pPr>
            <w:r>
              <w:rPr>
                <w:rFonts w:hint="eastAsia"/>
              </w:rPr>
              <w:t>无</w:t>
            </w:r>
          </w:p>
        </w:tc>
      </w:tr>
      <w:tr>
        <w:tc>
          <w:tcPr>
            <w:tcW w:w="541" w:type="pct"/>
            <w:vMerge/>
            <w:shd w:val="clear" w:color="auto" w:fill="auto"/>
            <w:vAlign w:val="center"/>
          </w:tcPr>
          <w:p>
            <w:pPr>
              <w:jc w:val="center"/>
              <w:rPr>
                <w:rFonts w:asciiTheme="minorEastAsia" w:eastAsiaTheme="minorEastAsia" w:hAnsiTheme="minorEastAsia"/>
              </w:rPr>
            </w:pPr>
          </w:p>
        </w:tc>
        <w:tc>
          <w:tcPr>
            <w:tcW w:w="255" w:type="pct"/>
            <w:shd w:val="clear" w:color="auto" w:fill="auto"/>
            <w:vAlign w:val="center"/>
          </w:tcPr>
          <w:p>
            <w:pPr>
              <w:jc w:val="center"/>
              <w:rPr>
                <w:color w:val="000000" w:themeColor="text1"/>
              </w:rPr>
            </w:pPr>
            <w:r>
              <w:rPr>
                <w:rFonts w:hint="eastAsia"/>
                <w:color w:val="000000" w:themeColor="text1"/>
              </w:rPr>
              <w:t>其他</w:t>
            </w:r>
          </w:p>
        </w:tc>
        <w:tc>
          <w:tcPr>
            <w:tcW w:w="779" w:type="pct"/>
            <w:shd w:val="clear" w:color="auto" w:fill="auto"/>
            <w:vAlign w:val="center"/>
          </w:tcPr>
          <w:p>
            <w:pPr>
              <w:jc w:val="both"/>
              <w:rPr>
                <w:rFonts w:asciiTheme="minorEastAsia" w:eastAsiaTheme="minorEastAsia" w:hAnsiTheme="minorEastAsia"/>
              </w:rPr>
            </w:pPr>
            <w:r>
              <w:rPr>
                <w:rFonts w:asciiTheme="minorEastAsia" w:eastAsiaTheme="minorEastAsia" w:hAnsiTheme="minorEastAsia" w:hint="eastAsia"/>
              </w:rPr>
              <w:t>福建东聚科技有限公司、福建东普投资中心（有限合伙）、福建东震投资中心（有限合伙）、福建东熹投资中心（有限合伙）、福建东泊投资中心（有限合伙）、福建东沃投资中心（有限合伙）、福建东创投资中心</w:t>
            </w:r>
            <w:r>
              <w:rPr>
                <w:rFonts w:asciiTheme="minorEastAsia" w:eastAsiaTheme="minorEastAsia" w:hAnsiTheme="minorEastAsia" w:hint="eastAsia"/>
              </w:rPr>
              <w:lastRenderedPageBreak/>
              <w:t>（有限合伙）、福建东潭投资中心（有限合伙）、福建东厦投资中心（有限合伙）、福建东达投资中心（有限合伙）、竞点（福建）国际贸易有限公司、福建东投投资中心（有限合伙）、东铭实业集团有限公司（以下合称“承诺方”）</w:t>
            </w:r>
          </w:p>
        </w:tc>
        <w:tc>
          <w:tcPr>
            <w:tcW w:w="1451" w:type="pct"/>
            <w:shd w:val="clear" w:color="auto" w:fill="auto"/>
            <w:vAlign w:val="center"/>
          </w:tcPr>
          <w:p>
            <w:pPr>
              <w:jc w:val="both"/>
            </w:pPr>
            <w:r>
              <w:rPr>
                <w:rFonts w:hint="eastAsia"/>
              </w:rPr>
              <w:lastRenderedPageBreak/>
              <w:t>承诺方就物泊科技（“目标公司”）2024-2028年经营业绩作出如下承诺：</w:t>
            </w:r>
          </w:p>
          <w:p>
            <w:pPr>
              <w:jc w:val="both"/>
            </w:pPr>
            <w:r>
              <w:rPr>
                <w:rFonts w:hint="eastAsia"/>
              </w:rPr>
              <w:t>1.2024-2028年目标公司经审计的扣除非经常性损益的归属于母公司股东的净利润（“净利润”）分别不低于9,875.37万元、10,931.41万元、11,585.10万元、12,680.99万元及13,909.10万元。</w:t>
            </w:r>
          </w:p>
          <w:p>
            <w:pPr>
              <w:jc w:val="both"/>
            </w:pPr>
            <w:r>
              <w:rPr>
                <w:rFonts w:hint="eastAsia"/>
              </w:rPr>
              <w:t>2.若目标公司截至任一期末累计考核年度未实现上述承诺业绩，转让方将以现金方</w:t>
            </w:r>
            <w:r>
              <w:rPr>
                <w:rFonts w:hint="eastAsia"/>
              </w:rPr>
              <w:lastRenderedPageBreak/>
              <w:t>式向兖矿能源进行补偿，具体补偿金额按照以下方式计算：</w:t>
            </w:r>
          </w:p>
          <w:p>
            <w:pPr>
              <w:jc w:val="both"/>
            </w:pPr>
            <w:r>
              <w:rPr>
                <w:rFonts w:hint="eastAsia"/>
              </w:rPr>
              <w:t>承诺期业绩补偿金额=（截至当期期末累计承诺净利润－截至当期期末累计实际净利润）÷盈利承诺期内各年的承诺净利润总和×本次交易现金增资款金额－累计已补偿金额。</w:t>
            </w:r>
          </w:p>
        </w:tc>
        <w:tc>
          <w:tcPr>
            <w:tcW w:w="387" w:type="pct"/>
            <w:vAlign w:val="center"/>
          </w:tcPr>
          <w:p>
            <w:pPr>
              <w:jc w:val="center"/>
            </w:pPr>
            <w:r>
              <w:rPr>
                <w:rFonts w:hint="eastAsia"/>
              </w:rPr>
              <w:lastRenderedPageBreak/>
              <w:t>2024年5月31日</w:t>
            </w:r>
          </w:p>
        </w:tc>
        <w:tc>
          <w:tcPr>
            <w:tcW w:w="242" w:type="pct"/>
            <w:shd w:val="clear" w:color="auto" w:fill="auto"/>
            <w:vAlign w:val="center"/>
          </w:tcPr>
          <w:p>
            <w:pPr>
              <w:jc w:val="center"/>
              <w:rPr>
                <w:color w:val="000000" w:themeColor="text1"/>
              </w:rPr>
            </w:pPr>
            <w:r>
              <w:rPr>
                <w:rFonts w:hint="eastAsia"/>
                <w:color w:val="000000" w:themeColor="text1"/>
              </w:rPr>
              <w:t>是</w:t>
            </w:r>
          </w:p>
        </w:tc>
        <w:tc>
          <w:tcPr>
            <w:tcW w:w="281" w:type="pct"/>
            <w:vAlign w:val="center"/>
          </w:tcPr>
          <w:p>
            <w:pPr>
              <w:jc w:val="center"/>
            </w:pPr>
            <w:r>
              <w:rPr>
                <w:rFonts w:hint="eastAsia"/>
              </w:rPr>
              <w:t>2024-2028年度</w:t>
            </w:r>
          </w:p>
        </w:tc>
        <w:tc>
          <w:tcPr>
            <w:tcW w:w="256" w:type="pct"/>
            <w:shd w:val="clear" w:color="auto" w:fill="auto"/>
            <w:vAlign w:val="center"/>
          </w:tcPr>
          <w:p>
            <w:pPr>
              <w:jc w:val="center"/>
              <w:rPr>
                <w:color w:val="000000" w:themeColor="text1"/>
              </w:rPr>
            </w:pPr>
            <w:r>
              <w:rPr>
                <w:rFonts w:hint="eastAsia"/>
                <w:color w:val="000000" w:themeColor="text1"/>
              </w:rPr>
              <w:t>是</w:t>
            </w:r>
          </w:p>
        </w:tc>
        <w:tc>
          <w:tcPr>
            <w:tcW w:w="484" w:type="pct"/>
            <w:shd w:val="clear" w:color="auto" w:fill="auto"/>
            <w:vAlign w:val="center"/>
          </w:tcPr>
          <w:p>
            <w:pPr>
              <w:jc w:val="center"/>
            </w:pPr>
            <w:r>
              <w:rPr>
                <w:rFonts w:hint="eastAsia"/>
              </w:rPr>
              <w:t>正常履行</w:t>
            </w:r>
          </w:p>
        </w:tc>
        <w:tc>
          <w:tcPr>
            <w:tcW w:w="321" w:type="pct"/>
            <w:shd w:val="clear" w:color="auto" w:fill="auto"/>
            <w:vAlign w:val="center"/>
          </w:tcPr>
          <w:p>
            <w:pPr>
              <w:jc w:val="center"/>
            </w:pPr>
            <w:r>
              <w:rPr>
                <w:rFonts w:hint="eastAsia"/>
              </w:rPr>
              <w:t>无</w:t>
            </w:r>
          </w:p>
        </w:tc>
      </w:tr>
    </w:tbl>
    <w:p>
      <w:pPr>
        <w:pStyle w:val="afffffffd"/>
      </w:pPr>
    </w:p>
    <w:p>
      <w:pPr>
        <w:pStyle w:val="afffffffd"/>
      </w:pPr>
      <w:r>
        <w:rPr>
          <w:rFonts w:hint="eastAsia"/>
        </w:rPr>
        <w:t>注：</w:t>
      </w:r>
    </w:p>
    <w:p>
      <w:pPr>
        <w:pStyle w:val="afffffffd"/>
      </w:pPr>
      <w:r>
        <w:rPr>
          <w:rFonts w:hint="eastAsia"/>
        </w:rPr>
        <w:t>①关于公司收购鲁西矿业51%股权及新疆能化51%股权交易中转让方作出的承诺，有关详情请见公司日期为2023年4月28日的关联/关连交易公告。</w:t>
      </w:r>
    </w:p>
    <w:p>
      <w:pPr>
        <w:pStyle w:val="afffffffd"/>
      </w:pPr>
      <w:r>
        <w:rPr>
          <w:rFonts w:hint="eastAsia"/>
        </w:rPr>
        <w:t>②关于收购物泊科技股权交易中承诺方作出的承诺，有关详情请见公司日期为2024年5月31日的关于并购物泊科技有限公司的公告。</w:t>
      </w:r>
    </w:p>
    <w:p>
      <w:pPr>
        <w:pStyle w:val="affffffff"/>
      </w:pPr>
    </w:p>
    <w:p>
      <w:pPr>
        <w:pStyle w:val="affffffff"/>
      </w:pPr>
    </w:p>
    <w:p>
      <w:pPr>
        <w:rPr>
          <w:szCs w:val="21"/>
        </w:rPr>
        <w:sectPr>
          <w:pgSz w:w="16838" w:h="11906" w:orient="landscape"/>
          <w:pgMar w:top="1797" w:right="1525" w:bottom="1276" w:left="1440" w:header="855" w:footer="992" w:gutter="0"/>
          <w:cols w:space="425"/>
          <w:docGrid w:linePitch="312"/>
        </w:sectPr>
      </w:pPr>
    </w:p>
    <w:p>
      <w:pPr>
        <w:rPr>
          <w:szCs w:val="21"/>
        </w:rPr>
      </w:pPr>
    </w:p>
    <w:p>
      <w:pPr>
        <w:pStyle w:val="afffffff1"/>
        <w:numPr>
          <w:ilvl w:val="1"/>
          <w:numId w:val="58"/>
        </w:numPr>
        <w:rPr>
          <w:szCs w:val="21"/>
        </w:rPr>
      </w:pPr>
      <w:r>
        <w:rPr>
          <w:rFonts w:hint="eastAsia"/>
          <w:szCs w:val="21"/>
        </w:rPr>
        <w:t>公司资产或项目存在盈利预测，且报告期仍处在盈利预测期间，公司就资产或项目</w:t>
      </w:r>
    </w:p>
    <w:p>
      <w:pPr>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1923444409"/>
        <w:placeholder>
          <w:docPart w:val="GBC22222222222222222222222222222"/>
        </w:placeholder>
      </w:sdtPr>
      <w:sdtContent>
        <w:p>
          <w:pPr>
            <w:pStyle w:val="affffffff"/>
          </w:pPr>
          <w:r>
            <w:rPr>
              <w:szCs w:val="21"/>
            </w:rPr>
            <w:fldChar w:fldCharType="begin"/>
          </w:r>
          <w:r>
            <w:rPr>
              <w:rFonts w:hint="eastAsia"/>
              <w:szCs w:val="21"/>
            </w:rPr>
            <w:instrText xml:space="preserve"> MACROBUTTON  SnrToggleCheckbox □已达到 </w:instrText>
          </w:r>
          <w:r>
            <w:rPr>
              <w:szCs w:val="21"/>
            </w:rPr>
            <w:fldChar w:fldCharType="end"/>
          </w:r>
          <w:r>
            <w:rPr>
              <w:szCs w:val="21"/>
            </w:rPr>
            <w:fldChar w:fldCharType="begin"/>
          </w:r>
          <w:r>
            <w:rPr>
              <w:rFonts w:hint="eastAsia"/>
              <w:szCs w:val="21"/>
            </w:rPr>
            <w:instrText xml:space="preserve"> MACROBUTTON  SnrToggleCheckbox □未达到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1"/>
        <w:numPr>
          <w:ilvl w:val="1"/>
          <w:numId w:val="58"/>
        </w:numPr>
        <w:rPr>
          <w:szCs w:val="21"/>
        </w:rPr>
      </w:pPr>
      <w:bookmarkStart w:id="170" w:name="_Hlk533667679"/>
      <w:bookmarkStart w:id="171" w:name="_Hlk533667690"/>
      <w:bookmarkEnd w:id="170"/>
      <w:r>
        <w:rPr>
          <w:rFonts w:hint="eastAsia"/>
          <w:szCs w:val="21"/>
        </w:rPr>
        <w:t>业绩承诺的完成情况及其对商誉减值测试的影响</w:t>
      </w:r>
    </w:p>
    <w:bookmarkEnd w:id="166"/>
    <w:p>
      <w:pPr>
        <w:pStyle w:val="affffffff"/>
        <w:rPr>
          <w:b/>
          <w:szCs w:val="21"/>
        </w:rPr>
      </w:pPr>
      <w:sdt>
        <w:sdtPr>
          <w:rPr>
            <w:rFonts w:hint="eastAsia"/>
            <w:b/>
            <w:szCs w:val="21"/>
          </w:rPr>
          <w:alias w:val="是否适用：承诺事项-商誉减值测试的影响[双击切换]"/>
          <w:tag w:val="_GBC_659442fc24654f8db642f18c0532cf99"/>
          <w:id w:val="210618386"/>
          <w:placeholder>
            <w:docPart w:val="GBC22222222222222222222222222222"/>
          </w:placeholder>
        </w:sdtPr>
        <w:sdtContent>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bookmarkEnd w:id="171"/>
    </w:p>
    <w:sdt>
      <w:sdtPr>
        <w:alias w:val="承诺事项-商誉减值测试的影响"/>
        <w:tag w:val="_GBC_f964e298607e481bb1f3c203e2cd9e81"/>
        <w:id w:val="-778567906"/>
        <w:placeholder>
          <w:docPart w:val="BBC9C2D7143046AA8631B675D582448B"/>
        </w:placeholder>
      </w:sdtPr>
      <w:sdtContent>
        <w:p>
          <w:pPr>
            <w:ind w:firstLineChars="200" w:firstLine="420"/>
            <w:jc w:val="both"/>
          </w:pPr>
          <w:r>
            <w:rPr>
              <w:rFonts w:hint="eastAsia"/>
            </w:rPr>
            <w:t>物泊科技承诺方就2024年经营业绩作出承诺，2024年物泊科技经审计的扣除非经常性损益的归属于母公司股东的净利润（“净利润”）不低于9,875.37万元。</w:t>
          </w:r>
        </w:p>
        <w:p>
          <w:pPr>
            <w:ind w:firstLineChars="200" w:firstLine="420"/>
            <w:jc w:val="both"/>
          </w:pPr>
          <w:r>
            <w:rPr>
              <w:rFonts w:hint="eastAsia"/>
            </w:rPr>
            <w:t>2024年度，根据天职国际会计师事务所（特殊普通合伙）出具的关于物泊科技有限公司2024年度业绩承诺完成情况的专项审核报告（天职业字[2024]58045号），物泊科技实现净利润15,397.11万元，与2024年业绩承诺数9,875.37万元相比，超额完成5,521.74万元，业绩完成率为155.91%。</w:t>
          </w:r>
        </w:p>
      </w:sdtContent>
    </w:sdt>
    <w:p>
      <w:pPr>
        <w:pStyle w:val="afffffffffffff8"/>
      </w:pPr>
    </w:p>
    <w:p>
      <w:pPr>
        <w:pStyle w:val="afffffffffffff8"/>
      </w:pPr>
    </w:p>
    <w:p>
      <w:pPr>
        <w:sectPr>
          <w:pgSz w:w="11906" w:h="16838"/>
          <w:pgMar w:top="1525" w:right="1276" w:bottom="1440" w:left="1797" w:header="855" w:footer="992" w:gutter="0"/>
          <w:cols w:space="425"/>
          <w:docGrid w:linePitch="312"/>
        </w:sectPr>
      </w:pPr>
    </w:p>
    <w:p>
      <w:pPr>
        <w:pStyle w:val="affffffff"/>
      </w:pPr>
    </w:p>
    <w:p>
      <w:pPr>
        <w:pStyle w:val="afffffff"/>
        <w:numPr>
          <w:ilvl w:val="0"/>
          <w:numId w:val="40"/>
        </w:numPr>
      </w:pPr>
      <w:bookmarkStart w:id="172" w:name="_Hlk89336052"/>
      <w:r>
        <w:rPr>
          <w:rFonts w:hint="eastAsia"/>
        </w:rPr>
        <w:t>报告期内控股股东及其他关联方非经营性占用资金情况</w:t>
      </w:r>
    </w:p>
    <w:sdt>
      <w:sdtPr>
        <w:rPr>
          <w:szCs w:val="21"/>
        </w:rPr>
        <w:alias w:val="是否适用：资金被占用情况及清欠进展情况[双击切换]"/>
        <w:tag w:val="_GBC_a94958949e0846929a78a71186526204"/>
        <w:id w:val="-1731002932"/>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bookmarkStart w:id="173" w:name="_Hlk74646365" w:displacedByCustomXml="next"/>
      </w:sdtContent>
    </w:sdt>
    <w:p>
      <w:pPr>
        <w:rPr>
          <w:szCs w:val="21"/>
        </w:rPr>
      </w:pPr>
    </w:p>
    <w:p>
      <w:pPr>
        <w:pStyle w:val="afffffff"/>
        <w:numPr>
          <w:ilvl w:val="0"/>
          <w:numId w:val="40"/>
        </w:numPr>
      </w:pPr>
      <w:bookmarkStart w:id="174" w:name="_Hlk89337011"/>
      <w:bookmarkEnd w:id="172"/>
      <w:bookmarkEnd w:id="173"/>
      <w:r>
        <w:rPr>
          <w:rFonts w:hint="eastAsia"/>
        </w:rPr>
        <w:t>违规担保情况</w:t>
      </w:r>
    </w:p>
    <w:sdt>
      <w:sdtPr>
        <w:alias w:val="是否适用：违规担保情况[双击切换]"/>
        <w:tag w:val="_GBC_b2d16e23c066427a800b40aaa053bc8e"/>
        <w:id w:val="-191615128"/>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bookmarkStart w:id="175" w:name="_Hlk74646368" w:displacedByCustomXml="next"/>
      </w:sdtContent>
    </w:sdt>
    <w:bookmarkEnd w:id="175"/>
    <w:p>
      <w:pPr>
        <w:sectPr>
          <w:pgSz w:w="16838" w:h="11906" w:orient="landscape"/>
          <w:pgMar w:top="1797" w:right="1525" w:bottom="1276" w:left="1440" w:header="855" w:footer="992" w:gutter="0"/>
          <w:cols w:space="425"/>
          <w:docGrid w:linePitch="312"/>
        </w:sectPr>
      </w:pPr>
    </w:p>
    <w:bookmarkEnd w:id="174"/>
    <w:p>
      <w:pPr>
        <w:pStyle w:val="afffffff"/>
        <w:numPr>
          <w:ilvl w:val="0"/>
          <w:numId w:val="40"/>
        </w:numPr>
      </w:pPr>
      <w:r>
        <w:rPr>
          <w:rFonts w:hint="eastAsia"/>
        </w:rPr>
        <w:lastRenderedPageBreak/>
        <w:t>公司董事会对会计师事务所“非标准意见审计报告”的说明</w:t>
      </w:r>
    </w:p>
    <w:p>
      <w:pPr>
        <w:rPr>
          <w:szCs w:val="21"/>
        </w:rPr>
      </w:pPr>
      <w:sdt>
        <w:sdtPr>
          <w:alias w:val="是否适用：董事会对会计师事务所非标准审计报告的说明[双击切换]"/>
          <w:tag w:val="_GBC_81f7a662b6a641d8aadb05b1cb176ecf"/>
          <w:id w:val="205537969"/>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sdtContent>
      </w:sdt>
    </w:p>
    <w:p>
      <w:pPr>
        <w:pStyle w:val="affffffff"/>
      </w:pPr>
    </w:p>
    <w:p>
      <w:pPr>
        <w:pStyle w:val="afffffff"/>
        <w:numPr>
          <w:ilvl w:val="0"/>
          <w:numId w:val="40"/>
        </w:numPr>
      </w:pPr>
      <w:r>
        <w:rPr>
          <w:rFonts w:hint="eastAsia"/>
        </w:rPr>
        <w:t>公司对会计政策、会计估计变更或重大会计差错更正原因和影响的分析说明</w:t>
      </w:r>
    </w:p>
    <w:p>
      <w:pPr>
        <w:pStyle w:val="afffffff1"/>
        <w:numPr>
          <w:ilvl w:val="0"/>
          <w:numId w:val="41"/>
        </w:numPr>
      </w:pPr>
      <w:bookmarkStart w:id="176" w:name="_Hlk193362976"/>
      <w:r>
        <w:rPr>
          <w:rFonts w:hint="eastAsia"/>
        </w:rPr>
        <w:t>公司对会计政策、会计估计变更原因及影响的分析说明</w:t>
      </w:r>
    </w:p>
    <w:bookmarkEnd w:id="176" w:displacedByCustomXml="next"/>
    <w:sdt>
      <w:sdtPr>
        <w:rPr>
          <w:rFonts w:hint="eastAsia"/>
          <w:szCs w:val="21"/>
        </w:rPr>
        <w:alias w:val="是否适用：公司对会计政策、会计估计更正的原因及影响[双击切换]"/>
        <w:tag w:val="_GBC_af0d7b808dd9452c873bbe81905062f6"/>
        <w:id w:val="-992789905"/>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1"/>
        <w:numPr>
          <w:ilvl w:val="0"/>
          <w:numId w:val="41"/>
        </w:numPr>
      </w:pPr>
      <w:r>
        <w:rPr>
          <w:rFonts w:hint="eastAsia"/>
        </w:rPr>
        <w:t>公司对重大会计差错更正原因及影响的分析说明</w:t>
      </w:r>
    </w:p>
    <w:sdt>
      <w:sdtPr>
        <w:rPr>
          <w:rFonts w:hint="eastAsia"/>
          <w:szCs w:val="21"/>
        </w:rPr>
        <w:alias w:val="是否适用：公司对重大会计差错更正的原因及影响[双击切换]"/>
        <w:tag w:val="_GBC_20433825c59a4e308939a2a08d3b64f5"/>
        <w:id w:val="356165748"/>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1"/>
        <w:numPr>
          <w:ilvl w:val="0"/>
          <w:numId w:val="41"/>
        </w:numPr>
      </w:pPr>
      <w:r>
        <w:rPr>
          <w:rFonts w:hint="eastAsia"/>
        </w:rPr>
        <w:t>与前任会计师事务所进行的沟通情况</w:t>
      </w:r>
    </w:p>
    <w:sdt>
      <w:sdtPr>
        <w:rPr>
          <w:rFonts w:hint="eastAsia"/>
        </w:rPr>
        <w:alias w:val="是否适用：与前任会计师事务所进行的沟通情况[双击切换]"/>
        <w:tag w:val="_GBC_eac5a093c5584c5699f0b1b4b2cc9124"/>
        <w:id w:val="-935590856"/>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0"/>
          <w:numId w:val="41"/>
        </w:numPr>
      </w:pPr>
      <w:r>
        <w:rPr>
          <w:rFonts w:hint="eastAsia"/>
        </w:rPr>
        <w:t>审批程序及其他说明</w:t>
      </w:r>
    </w:p>
    <w:sdt>
      <w:sdtPr>
        <w:rPr>
          <w:rFonts w:hint="eastAsia"/>
        </w:rPr>
        <w:alias w:val="是否适用：审批程序及其他说明[双击切换]"/>
        <w:tag w:val="_GBC_f59e5141b9f74a2badb652a198d25993"/>
        <w:id w:val="352782416"/>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
        <w:numPr>
          <w:ilvl w:val="0"/>
          <w:numId w:val="40"/>
        </w:numPr>
      </w:pPr>
      <w:r>
        <w:rPr>
          <w:rFonts w:hint="eastAsia"/>
        </w:rPr>
        <w:t>聘任、解聘会计师事务所情况</w:t>
      </w:r>
    </w:p>
    <w:p>
      <w:pPr>
        <w:jc w:val="right"/>
        <w:rPr>
          <w:szCs w:val="21"/>
        </w:rPr>
      </w:pPr>
      <w:bookmarkStart w:id="177" w:name="_Hlk40535695"/>
      <w:r>
        <w:rPr>
          <w:rFonts w:hint="eastAsia"/>
          <w:szCs w:val="21"/>
        </w:rPr>
        <w:t>单位：</w:t>
      </w:r>
      <w:sdt>
        <w:sdtPr>
          <w:rPr>
            <w:rFonts w:hint="eastAsia"/>
            <w:szCs w:val="21"/>
          </w:rPr>
          <w:alias w:val="单位：聘任、解聘会计师事务所情况"/>
          <w:tag w:val="_GBC_4195f1a1b90e49b4b90b5a692501ac49"/>
          <w:id w:val="6320598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币种：</w:t>
      </w:r>
      <w:sdt>
        <w:sdtPr>
          <w:rPr>
            <w:rFonts w:hint="eastAsia"/>
            <w:szCs w:val="21"/>
          </w:rPr>
          <w:alias w:val="币种：聘任、解聘会计师事务所情况"/>
          <w:tag w:val="_GBC_27f81bf7b0f5473e85900bf70521ad41"/>
          <w:id w:val="-10925366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3"/>
        <w:gridCol w:w="2905"/>
        <w:gridCol w:w="2915"/>
      </w:tblGrid>
      <w:tr>
        <w:trPr>
          <w:trHeight w:val="195"/>
        </w:trPr>
        <w:tc>
          <w:tcPr>
            <w:tcW w:w="3085" w:type="dxa"/>
          </w:tcPr>
          <w:p>
            <w:pPr>
              <w:rPr>
                <w:szCs w:val="21"/>
              </w:rPr>
            </w:pPr>
          </w:p>
        </w:tc>
        <w:sdt>
          <w:sdtPr>
            <w:tag w:val="_PLD_a79987be70c14f119586c5a69f4628db"/>
            <w:id w:val="171155934"/>
          </w:sdtPr>
          <w:sdtContent>
            <w:tc>
              <w:tcPr>
                <w:tcW w:w="2977" w:type="dxa"/>
                <w:vAlign w:val="center"/>
              </w:tcPr>
              <w:p>
                <w:pPr>
                  <w:jc w:val="center"/>
                  <w:rPr>
                    <w:szCs w:val="21"/>
                  </w:rPr>
                </w:pPr>
                <w:r>
                  <w:rPr>
                    <w:rFonts w:hint="eastAsia"/>
                    <w:szCs w:val="21"/>
                  </w:rPr>
                  <w:t>原聘任</w:t>
                </w:r>
              </w:p>
            </w:tc>
          </w:sdtContent>
        </w:sdt>
        <w:sdt>
          <w:sdtPr>
            <w:tag w:val="_PLD_54fa27dc69c24ce391b848a77e34059a"/>
            <w:id w:val="506640948"/>
          </w:sdtPr>
          <w:sdtContent>
            <w:tc>
              <w:tcPr>
                <w:tcW w:w="2987" w:type="dxa"/>
                <w:vAlign w:val="center"/>
              </w:tcPr>
              <w:p>
                <w:pPr>
                  <w:jc w:val="center"/>
                  <w:rPr>
                    <w:szCs w:val="21"/>
                  </w:rPr>
                </w:pPr>
                <w:r>
                  <w:rPr>
                    <w:rFonts w:hint="eastAsia"/>
                    <w:szCs w:val="21"/>
                  </w:rPr>
                  <w:t>现聘任</w:t>
                </w:r>
              </w:p>
            </w:tc>
          </w:sdtContent>
        </w:sdt>
      </w:tr>
      <w:tr>
        <w:trPr>
          <w:trHeight w:val="117"/>
        </w:trPr>
        <w:tc>
          <w:tcPr>
            <w:tcW w:w="3085" w:type="dxa"/>
            <w:vAlign w:val="center"/>
          </w:tcPr>
          <w:p>
            <w:pPr>
              <w:jc w:val="both"/>
              <w:rPr>
                <w:szCs w:val="21"/>
              </w:rPr>
            </w:pPr>
            <w:r>
              <w:rPr>
                <w:rFonts w:hint="eastAsia"/>
                <w:szCs w:val="21"/>
              </w:rPr>
              <w:t>境内会计师事务所名称</w:t>
            </w:r>
          </w:p>
        </w:tc>
        <w:tc>
          <w:tcPr>
            <w:tcW w:w="2977" w:type="dxa"/>
            <w:vAlign w:val="center"/>
          </w:tcPr>
          <w:p>
            <w:pPr>
              <w:rPr>
                <w:szCs w:val="21"/>
              </w:rPr>
            </w:pPr>
            <w:r>
              <w:rPr>
                <w:rFonts w:asciiTheme="minorEastAsia" w:eastAsiaTheme="minorEastAsia" w:hAnsiTheme="minorEastAsia" w:hint="eastAsia"/>
              </w:rPr>
              <w:t>信永中和会计师事务所（特殊普通合伙）</w:t>
            </w:r>
          </w:p>
        </w:tc>
        <w:tc>
          <w:tcPr>
            <w:tcW w:w="2987" w:type="dxa"/>
            <w:vAlign w:val="center"/>
          </w:tcPr>
          <w:p>
            <w:pPr>
              <w:jc w:val="both"/>
              <w:rPr>
                <w:szCs w:val="21"/>
              </w:rPr>
            </w:pPr>
            <w:r>
              <w:rPr>
                <w:rFonts w:hint="eastAsia"/>
                <w:szCs w:val="21"/>
              </w:rPr>
              <w:t>天职国际会计师事务所（特</w:t>
            </w:r>
          </w:p>
          <w:p>
            <w:pPr>
              <w:jc w:val="both"/>
              <w:rPr>
                <w:szCs w:val="21"/>
              </w:rPr>
            </w:pPr>
            <w:r>
              <w:rPr>
                <w:rFonts w:hint="eastAsia"/>
                <w:szCs w:val="21"/>
              </w:rPr>
              <w:t>殊普通合伙）</w:t>
            </w:r>
          </w:p>
        </w:tc>
      </w:tr>
      <w:tr>
        <w:trPr>
          <w:trHeight w:val="165"/>
        </w:trPr>
        <w:tc>
          <w:tcPr>
            <w:tcW w:w="3085" w:type="dxa"/>
            <w:vAlign w:val="center"/>
          </w:tcPr>
          <w:p>
            <w:pPr>
              <w:jc w:val="both"/>
              <w:rPr>
                <w:szCs w:val="21"/>
              </w:rPr>
            </w:pPr>
            <w:r>
              <w:rPr>
                <w:rFonts w:hint="eastAsia"/>
                <w:szCs w:val="21"/>
              </w:rPr>
              <w:t>境内会计师事务所报酬</w:t>
            </w:r>
          </w:p>
        </w:tc>
        <w:tc>
          <w:tcPr>
            <w:tcW w:w="2977" w:type="dxa"/>
            <w:vAlign w:val="center"/>
          </w:tcPr>
          <w:p>
            <w:pPr>
              <w:rPr>
                <w:szCs w:val="21"/>
              </w:rPr>
            </w:pPr>
            <w:r>
              <w:rPr>
                <w:rFonts w:asciiTheme="minorEastAsia" w:eastAsiaTheme="minorEastAsia" w:hAnsiTheme="minorEastAsia" w:hint="eastAsia"/>
              </w:rPr>
              <w:t>9</w:t>
            </w:r>
            <w:r>
              <w:rPr>
                <w:rFonts w:asciiTheme="minorEastAsia" w:eastAsiaTheme="minorEastAsia" w:hAnsiTheme="minorEastAsia"/>
              </w:rPr>
              <w:t>80（含内控报酬）</w:t>
            </w:r>
          </w:p>
        </w:tc>
        <w:tc>
          <w:tcPr>
            <w:tcW w:w="2987" w:type="dxa"/>
            <w:vAlign w:val="center"/>
          </w:tcPr>
          <w:p>
            <w:pPr>
              <w:jc w:val="both"/>
              <w:rPr>
                <w:szCs w:val="21"/>
              </w:rPr>
            </w:pPr>
            <w:r>
              <w:rPr>
                <w:rFonts w:hint="eastAsia"/>
                <w:szCs w:val="21"/>
              </w:rPr>
              <w:t>840（含内控报酬）</w:t>
            </w:r>
          </w:p>
        </w:tc>
      </w:tr>
      <w:tr>
        <w:trPr>
          <w:trHeight w:val="150"/>
        </w:trPr>
        <w:tc>
          <w:tcPr>
            <w:tcW w:w="3085" w:type="dxa"/>
            <w:vAlign w:val="center"/>
          </w:tcPr>
          <w:p>
            <w:pPr>
              <w:jc w:val="both"/>
              <w:rPr>
                <w:szCs w:val="21"/>
              </w:rPr>
            </w:pPr>
            <w:r>
              <w:rPr>
                <w:rFonts w:hint="eastAsia"/>
                <w:szCs w:val="21"/>
              </w:rPr>
              <w:t>境内会计师事务所审计年限</w:t>
            </w:r>
          </w:p>
        </w:tc>
        <w:tc>
          <w:tcPr>
            <w:tcW w:w="2977" w:type="dxa"/>
            <w:vAlign w:val="center"/>
          </w:tcPr>
          <w:p>
            <w:pPr>
              <w:rPr>
                <w:rFonts w:eastAsiaTheme="minorEastAsia"/>
                <w:szCs w:val="21"/>
              </w:rPr>
            </w:pPr>
            <w:r>
              <w:rPr>
                <w:rFonts w:asciiTheme="minorEastAsia" w:eastAsiaTheme="minorEastAsia" w:hAnsiTheme="minorEastAsia" w:hint="eastAsia"/>
              </w:rPr>
              <w:t>2008年6月-2024年6月</w:t>
            </w:r>
          </w:p>
        </w:tc>
        <w:tc>
          <w:tcPr>
            <w:tcW w:w="2987" w:type="dxa"/>
            <w:vAlign w:val="center"/>
          </w:tcPr>
          <w:p>
            <w:pPr>
              <w:jc w:val="both"/>
              <w:rPr>
                <w:szCs w:val="21"/>
              </w:rPr>
            </w:pPr>
            <w:r>
              <w:rPr>
                <w:rFonts w:hint="eastAsia"/>
                <w:szCs w:val="21"/>
              </w:rPr>
              <w:t>2024年6月至今</w:t>
            </w:r>
          </w:p>
        </w:tc>
      </w:tr>
      <w:tr>
        <w:trPr>
          <w:trHeight w:val="150"/>
        </w:trPr>
        <w:tc>
          <w:tcPr>
            <w:tcW w:w="3085" w:type="dxa"/>
            <w:vAlign w:val="center"/>
          </w:tcPr>
          <w:p>
            <w:pPr>
              <w:jc w:val="both"/>
            </w:pPr>
            <w:r>
              <w:rPr>
                <w:rFonts w:hint="eastAsia"/>
              </w:rPr>
              <w:t>境内会计师事务所注册会计师姓名</w:t>
            </w:r>
          </w:p>
        </w:tc>
        <w:tc>
          <w:tcPr>
            <w:tcW w:w="2977" w:type="dxa"/>
            <w:vAlign w:val="center"/>
          </w:tcPr>
          <w:p>
            <w:pPr>
              <w:jc w:val="center"/>
              <w:rPr>
                <w:szCs w:val="21"/>
              </w:rPr>
            </w:pPr>
            <w:r>
              <w:rPr>
                <w:rFonts w:hint="eastAsia"/>
                <w:szCs w:val="21"/>
              </w:rPr>
              <w:t>/</w:t>
            </w:r>
          </w:p>
        </w:tc>
        <w:tc>
          <w:tcPr>
            <w:tcW w:w="2987" w:type="dxa"/>
            <w:vAlign w:val="center"/>
          </w:tcPr>
          <w:p>
            <w:pPr>
              <w:jc w:val="both"/>
              <w:rPr>
                <w:szCs w:val="21"/>
              </w:rPr>
            </w:pPr>
            <w:r>
              <w:rPr>
                <w:rFonts w:hint="eastAsia"/>
                <w:szCs w:val="21"/>
              </w:rPr>
              <w:t>付志成、周春阳、卯建强</w:t>
            </w:r>
          </w:p>
        </w:tc>
      </w:tr>
      <w:tr>
        <w:trPr>
          <w:trHeight w:val="150"/>
        </w:trPr>
        <w:tc>
          <w:tcPr>
            <w:tcW w:w="3085" w:type="dxa"/>
            <w:vAlign w:val="center"/>
          </w:tcPr>
          <w:p>
            <w:pPr>
              <w:jc w:val="both"/>
            </w:pPr>
            <w:r>
              <w:rPr>
                <w:rFonts w:hint="eastAsia"/>
              </w:rPr>
              <w:t>境内会计师事务所注册会计师审计服务的累计年限</w:t>
            </w:r>
          </w:p>
        </w:tc>
        <w:tc>
          <w:tcPr>
            <w:tcW w:w="2977" w:type="dxa"/>
            <w:vAlign w:val="center"/>
          </w:tcPr>
          <w:p>
            <w:pPr>
              <w:jc w:val="center"/>
              <w:rPr>
                <w:szCs w:val="21"/>
              </w:rPr>
            </w:pPr>
            <w:r>
              <w:rPr>
                <w:rFonts w:hint="eastAsia"/>
                <w:szCs w:val="21"/>
              </w:rPr>
              <w:t>/</w:t>
            </w:r>
          </w:p>
        </w:tc>
        <w:tc>
          <w:tcPr>
            <w:tcW w:w="2987" w:type="dxa"/>
            <w:vAlign w:val="center"/>
          </w:tcPr>
          <w:p>
            <w:pPr>
              <w:jc w:val="both"/>
              <w:rPr>
                <w:szCs w:val="21"/>
              </w:rPr>
            </w:pPr>
            <w:r>
              <w:rPr>
                <w:rFonts w:hint="eastAsia"/>
                <w:szCs w:val="21"/>
              </w:rPr>
              <w:t>1年、1年、1年</w:t>
            </w:r>
          </w:p>
        </w:tc>
      </w:tr>
      <w:tr>
        <w:trPr>
          <w:trHeight w:val="147"/>
        </w:trPr>
        <w:tc>
          <w:tcPr>
            <w:tcW w:w="3085" w:type="dxa"/>
            <w:vAlign w:val="center"/>
          </w:tcPr>
          <w:p>
            <w:pPr>
              <w:jc w:val="both"/>
              <w:rPr>
                <w:szCs w:val="21"/>
              </w:rPr>
            </w:pPr>
            <w:r>
              <w:rPr>
                <w:rFonts w:hint="eastAsia"/>
                <w:szCs w:val="21"/>
              </w:rPr>
              <w:t>境外会计师事务所名称</w:t>
            </w:r>
          </w:p>
        </w:tc>
        <w:tc>
          <w:tcPr>
            <w:tcW w:w="2977" w:type="dxa"/>
            <w:vAlign w:val="center"/>
          </w:tcPr>
          <w:p>
            <w:pPr>
              <w:rPr>
                <w:rFonts w:eastAsiaTheme="minorEastAsia"/>
                <w:szCs w:val="21"/>
              </w:rPr>
            </w:pPr>
            <w:r>
              <w:rPr>
                <w:rFonts w:asciiTheme="minorEastAsia" w:eastAsiaTheme="minorEastAsia" w:hAnsiTheme="minorEastAsia" w:hint="eastAsia"/>
              </w:rPr>
              <w:t>信永中和（香港）会计师事务所有限公司</w:t>
            </w:r>
          </w:p>
        </w:tc>
        <w:tc>
          <w:tcPr>
            <w:tcW w:w="2987" w:type="dxa"/>
            <w:vAlign w:val="center"/>
          </w:tcPr>
          <w:p>
            <w:pPr>
              <w:jc w:val="both"/>
              <w:rPr>
                <w:szCs w:val="21"/>
              </w:rPr>
            </w:pPr>
            <w:r>
              <w:rPr>
                <w:rFonts w:hint="eastAsia"/>
                <w:szCs w:val="21"/>
              </w:rPr>
              <w:t>天职香港会计师事务所有限公司</w:t>
            </w:r>
          </w:p>
        </w:tc>
      </w:tr>
      <w:tr>
        <w:trPr>
          <w:trHeight w:val="147"/>
        </w:trPr>
        <w:tc>
          <w:tcPr>
            <w:tcW w:w="3085" w:type="dxa"/>
            <w:vAlign w:val="center"/>
          </w:tcPr>
          <w:p>
            <w:pPr>
              <w:jc w:val="both"/>
              <w:rPr>
                <w:szCs w:val="21"/>
              </w:rPr>
            </w:pPr>
            <w:r>
              <w:rPr>
                <w:rFonts w:hint="eastAsia"/>
                <w:szCs w:val="21"/>
              </w:rPr>
              <w:t>境外会计师事务所报酬</w:t>
            </w:r>
          </w:p>
        </w:tc>
        <w:tc>
          <w:tcPr>
            <w:tcW w:w="2977" w:type="dxa"/>
            <w:vAlign w:val="center"/>
          </w:tcPr>
          <w:p>
            <w:pPr>
              <w:rPr>
                <w:szCs w:val="21"/>
              </w:rPr>
            </w:pPr>
            <w:r>
              <w:rPr>
                <w:rFonts w:asciiTheme="minorEastAsia" w:eastAsiaTheme="minorEastAsia" w:hAnsiTheme="minorEastAsia" w:hint="eastAsia"/>
              </w:rPr>
              <w:t>200</w:t>
            </w:r>
          </w:p>
        </w:tc>
        <w:tc>
          <w:tcPr>
            <w:tcW w:w="2987" w:type="dxa"/>
            <w:vAlign w:val="center"/>
          </w:tcPr>
          <w:p>
            <w:pPr>
              <w:jc w:val="both"/>
              <w:rPr>
                <w:szCs w:val="21"/>
              </w:rPr>
            </w:pPr>
            <w:r>
              <w:rPr>
                <w:rFonts w:hint="eastAsia"/>
                <w:szCs w:val="21"/>
              </w:rPr>
              <w:t>-</w:t>
            </w:r>
          </w:p>
        </w:tc>
      </w:tr>
      <w:tr>
        <w:trPr>
          <w:trHeight w:val="150"/>
        </w:trPr>
        <w:tc>
          <w:tcPr>
            <w:tcW w:w="3085" w:type="dxa"/>
            <w:vAlign w:val="center"/>
          </w:tcPr>
          <w:p>
            <w:pPr>
              <w:jc w:val="both"/>
              <w:rPr>
                <w:szCs w:val="21"/>
              </w:rPr>
            </w:pPr>
            <w:r>
              <w:rPr>
                <w:rFonts w:hint="eastAsia"/>
                <w:szCs w:val="21"/>
              </w:rPr>
              <w:t>境外会计师事务所审计年限</w:t>
            </w:r>
          </w:p>
        </w:tc>
        <w:tc>
          <w:tcPr>
            <w:tcW w:w="2977" w:type="dxa"/>
            <w:vAlign w:val="center"/>
          </w:tcPr>
          <w:p>
            <w:pPr>
              <w:rPr>
                <w:rFonts w:eastAsiaTheme="minorEastAsia"/>
                <w:szCs w:val="21"/>
              </w:rPr>
            </w:pPr>
            <w:r>
              <w:rPr>
                <w:rFonts w:asciiTheme="minorEastAsia" w:eastAsiaTheme="minorEastAsia" w:hAnsiTheme="minorEastAsia" w:hint="eastAsia"/>
              </w:rPr>
              <w:t>2017年6月-2024年6月</w:t>
            </w:r>
          </w:p>
        </w:tc>
        <w:tc>
          <w:tcPr>
            <w:tcW w:w="2987" w:type="dxa"/>
            <w:vAlign w:val="center"/>
          </w:tcPr>
          <w:p>
            <w:pPr>
              <w:jc w:val="both"/>
              <w:rPr>
                <w:szCs w:val="21"/>
              </w:rPr>
            </w:pPr>
            <w:r>
              <w:rPr>
                <w:rFonts w:hint="eastAsia"/>
                <w:szCs w:val="21"/>
              </w:rPr>
              <w:t>2024年6月至今</w:t>
            </w:r>
          </w:p>
        </w:tc>
      </w:tr>
    </w:tbl>
    <w:p>
      <w:pPr>
        <w:rPr>
          <w:szCs w:val="21"/>
        </w:rPr>
      </w:pPr>
    </w:p>
    <w:tbl>
      <w:tblPr>
        <w:tblStyle w:val="g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2906"/>
        <w:gridCol w:w="2913"/>
      </w:tblGrid>
      <w:tr>
        <w:trPr>
          <w:trHeight w:val="90"/>
        </w:trPr>
        <w:tc>
          <w:tcPr>
            <w:tcW w:w="3085" w:type="dxa"/>
          </w:tcPr>
          <w:p>
            <w:pPr>
              <w:rPr>
                <w:szCs w:val="21"/>
              </w:rPr>
            </w:pPr>
          </w:p>
        </w:tc>
        <w:sdt>
          <w:sdtPr>
            <w:tag w:val="_PLD_cad1edc3279a4f7b8f226d4accf99ff9"/>
            <w:id w:val="-1157754996"/>
          </w:sdtPr>
          <w:sdtContent>
            <w:tc>
              <w:tcPr>
                <w:tcW w:w="2977" w:type="dxa"/>
                <w:vAlign w:val="center"/>
              </w:tcPr>
              <w:p>
                <w:pPr>
                  <w:jc w:val="center"/>
                  <w:rPr>
                    <w:szCs w:val="21"/>
                  </w:rPr>
                </w:pPr>
                <w:r>
                  <w:rPr>
                    <w:rFonts w:hint="eastAsia"/>
                    <w:szCs w:val="21"/>
                  </w:rPr>
                  <w:t>名称</w:t>
                </w:r>
              </w:p>
            </w:tc>
          </w:sdtContent>
        </w:sdt>
        <w:sdt>
          <w:sdtPr>
            <w:tag w:val="_PLD_a4933dcd45ca4109b3b952ece3e2fb08"/>
            <w:id w:val="-1189291686"/>
          </w:sdtPr>
          <w:sdtContent>
            <w:tc>
              <w:tcPr>
                <w:tcW w:w="2987" w:type="dxa"/>
                <w:vAlign w:val="center"/>
              </w:tcPr>
              <w:p>
                <w:pPr>
                  <w:jc w:val="center"/>
                  <w:rPr>
                    <w:szCs w:val="21"/>
                  </w:rPr>
                </w:pPr>
                <w:r>
                  <w:rPr>
                    <w:rFonts w:hint="eastAsia"/>
                    <w:szCs w:val="21"/>
                  </w:rPr>
                  <w:t>报酬</w:t>
                </w:r>
              </w:p>
            </w:tc>
          </w:sdtContent>
        </w:sdt>
      </w:tr>
      <w:tr>
        <w:trPr>
          <w:trHeight w:val="258"/>
        </w:trPr>
        <w:tc>
          <w:tcPr>
            <w:tcW w:w="3085" w:type="dxa"/>
            <w:vAlign w:val="center"/>
          </w:tcPr>
          <w:p>
            <w:pPr>
              <w:jc w:val="both"/>
              <w:rPr>
                <w:szCs w:val="21"/>
              </w:rPr>
            </w:pPr>
            <w:r>
              <w:rPr>
                <w:rFonts w:hint="eastAsia"/>
                <w:szCs w:val="21"/>
              </w:rPr>
              <w:t>内部控制审计会计师事务所</w:t>
            </w:r>
          </w:p>
        </w:tc>
        <w:tc>
          <w:tcPr>
            <w:tcW w:w="2977" w:type="dxa"/>
          </w:tcPr>
          <w:p>
            <w:pPr>
              <w:jc w:val="both"/>
              <w:rPr>
                <w:szCs w:val="21"/>
              </w:rPr>
            </w:pPr>
            <w:r>
              <w:rPr>
                <w:rFonts w:hint="eastAsia"/>
                <w:szCs w:val="21"/>
              </w:rPr>
              <w:t>天职国际会计师事务所（特</w:t>
            </w:r>
          </w:p>
          <w:p>
            <w:pPr>
              <w:rPr>
                <w:szCs w:val="21"/>
              </w:rPr>
            </w:pPr>
            <w:r>
              <w:rPr>
                <w:rFonts w:hint="eastAsia"/>
                <w:szCs w:val="21"/>
              </w:rPr>
              <w:t>殊普通合伙）</w:t>
            </w:r>
          </w:p>
        </w:tc>
        <w:tc>
          <w:tcPr>
            <w:tcW w:w="2987" w:type="dxa"/>
            <w:vAlign w:val="center"/>
          </w:tcPr>
          <w:p>
            <w:pPr>
              <w:jc w:val="both"/>
              <w:rPr>
                <w:szCs w:val="21"/>
              </w:rPr>
            </w:pPr>
            <w:r>
              <w:rPr>
                <w:rFonts w:hint="eastAsia"/>
                <w:szCs w:val="21"/>
              </w:rPr>
              <w:t>220</w:t>
            </w:r>
          </w:p>
        </w:tc>
      </w:tr>
    </w:tbl>
    <w:p>
      <w:pPr>
        <w:pStyle w:val="affffffff"/>
      </w:pPr>
    </w:p>
    <w:bookmarkEnd w:id="177"/>
    <w:p>
      <w:pPr>
        <w:pStyle w:val="affffffff"/>
      </w:pPr>
      <w:r>
        <w:t>聘任、解聘会计师事务所的情况说明</w:t>
      </w:r>
    </w:p>
    <w:sdt>
      <w:sdtPr>
        <w:alias w:val="是否适用：聘任、解聘会计师事务所情况[双击切换]"/>
        <w:tag w:val="_GBC_376f0811302240c0a118add2061458b6"/>
        <w:id w:val="-1061632365"/>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34155795"/>
        <w:placeholder>
          <w:docPart w:val="GBC22222222222222222222222222222"/>
        </w:placeholder>
      </w:sdtPr>
      <w:sdtContent>
        <w:p>
          <w:pPr>
            <w:ind w:firstLineChars="200" w:firstLine="420"/>
            <w:jc w:val="both"/>
            <w:rPr>
              <w:szCs w:val="21"/>
            </w:rPr>
          </w:pPr>
          <w:r>
            <w:rPr>
              <w:rFonts w:hint="eastAsia"/>
              <w:szCs w:val="21"/>
            </w:rPr>
            <w:t>经2024年6月21日召开的公司2023年度股东周年大会审议批准，聘任天职国际会计师事务所（特殊普通合伙）、天职香港会计师事务所有限公司分别为公司2024年度A股、H股会计师，负责公司财务报告审计、审核及内部控制审计评估，任期自2023年度股东周年大会结束之日起至下次股东周年大会结束之日止。</w:t>
          </w:r>
        </w:p>
        <w:p>
          <w:pPr>
            <w:ind w:firstLineChars="200" w:firstLine="420"/>
            <w:jc w:val="both"/>
            <w:rPr>
              <w:szCs w:val="21"/>
            </w:rPr>
          </w:pPr>
          <w:r>
            <w:rPr>
              <w:rFonts w:hint="eastAsia"/>
              <w:szCs w:val="21"/>
            </w:rPr>
            <w:t>除以上所披露者外，本公司并无在过去三年内更换会计师事务所。</w:t>
          </w:r>
        </w:p>
        <w:p>
          <w:pPr>
            <w:ind w:firstLineChars="200" w:firstLine="420"/>
            <w:jc w:val="both"/>
            <w:rPr>
              <w:szCs w:val="21"/>
            </w:rPr>
          </w:pPr>
          <w:r>
            <w:rPr>
              <w:rFonts w:hint="eastAsia"/>
              <w:szCs w:val="21"/>
            </w:rPr>
            <w:lastRenderedPageBreak/>
            <w:t>公司2024年度应支付境内外业务的审计服务费用为人民币840万元，公司承担会计师在公司现场审计期间的食宿费用，不承担差旅费及其他费用。授权公司董事会决定并支付由于公司新增子公司或监管规定发生变化，导致增加后续审计、内部控制审核等其他服务费用。</w:t>
          </w:r>
        </w:p>
        <w:p>
          <w:pPr>
            <w:ind w:firstLineChars="200" w:firstLine="420"/>
            <w:jc w:val="both"/>
            <w:rPr>
              <w:szCs w:val="21"/>
            </w:rPr>
          </w:pPr>
          <w:r>
            <w:rPr>
              <w:rFonts w:hint="eastAsia"/>
              <w:szCs w:val="21"/>
            </w:rPr>
            <w:t xml:space="preserve">公司董事会认为除常年业务的审计服务费用外，本公司支付给会计师的其他服务费用不会影响会计师的审计独立性意见。 </w:t>
          </w:r>
        </w:p>
        <w:p>
          <w:pPr>
            <w:ind w:firstLineChars="200" w:firstLine="420"/>
            <w:jc w:val="both"/>
            <w:rPr>
              <w:szCs w:val="21"/>
            </w:rPr>
          </w:pPr>
          <w:r>
            <w:rPr>
              <w:rFonts w:hint="eastAsia"/>
              <w:szCs w:val="21"/>
            </w:rPr>
            <w:t>根据香港法例第588章《会计及财务汇报局条例》（经不时修订、补充或以其他方式修改），公司2024年度会计师天职香港会计师事务所有限公司为获注册的公众利益实体核数师。</w:t>
          </w:r>
        </w:p>
      </w:sdtContent>
    </w:sdt>
    <w:p>
      <w:pPr>
        <w:rPr>
          <w:szCs w:val="21"/>
        </w:rPr>
      </w:pPr>
    </w:p>
    <w:p>
      <w:pPr>
        <w:pStyle w:val="affffffff"/>
      </w:pPr>
      <w:r>
        <w:t>审计期间改聘会计师事务所的情况说明</w:t>
      </w:r>
    </w:p>
    <w:sdt>
      <w:sdtPr>
        <w:rPr>
          <w:rFonts w:hint="eastAsia"/>
        </w:rPr>
        <w:alias w:val="是否适用：审计期间改聘会计师事务所的情况说明[双击切换]"/>
        <w:tag w:val="_GBC_34c57619e2904c83a8840614e4e5d5d0"/>
        <w:id w:val="-1417170552"/>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rPr>
          <w:highlight w:val="yellow"/>
        </w:rPr>
      </w:pPr>
      <w:r>
        <w:rPr>
          <w:rFonts w:hint="eastAsia"/>
        </w:rPr>
        <w:t>审计费用较上一年度下降20%以上（含20%）的情况说明</w:t>
      </w:r>
    </w:p>
    <w:sdt>
      <w:sdtPr>
        <w:rPr>
          <w:rFonts w:hint="eastAsia"/>
        </w:rPr>
        <w:alias w:val="是否适用：审计费用较上一年度下降20%以上（含20%）的情况说明[双击切换]"/>
        <w:tag w:val="_GBC_1b0fa24aa1d645e2aa2ab2a0fe7c67ab"/>
        <w:id w:val="285164081"/>
        <w:placeholder>
          <w:docPart w:val="GBC22222222222222222222222222222"/>
        </w:placeholder>
      </w:sdtPr>
      <w:sdtContent>
        <w:p>
          <w:pPr>
            <w:pStyle w:val="affffffff"/>
          </w:pPr>
          <w:r>
            <w:fldChar w:fldCharType="begin"/>
          </w:r>
          <w:r>
            <w:instrText xml:space="preserve"> </w:instrText>
          </w:r>
          <w:r>
            <w:rPr>
              <w:rFonts w:hint="eastAsia"/>
            </w:rPr>
            <w:instrText>MACROBUTTON  SnrToggleCheckbox √适用</w:instrText>
          </w:r>
          <w:r>
            <w:instrText xml:space="preserve"> </w:instrText>
          </w:r>
          <w:r>
            <w:fldChar w:fldCharType="end"/>
          </w:r>
          <w:r>
            <w:fldChar w:fldCharType="begin"/>
          </w:r>
          <w:r>
            <w:instrText xml:space="preserve"> MACROBUTTON  SnrToggleCheckbox □不适用 </w:instrText>
          </w:r>
          <w:r>
            <w:fldChar w:fldCharType="end"/>
          </w:r>
        </w:p>
      </w:sdtContent>
    </w:sdt>
    <w:sdt>
      <w:sdtPr>
        <w:rPr>
          <w:rFonts w:hint="eastAsia"/>
        </w:rPr>
        <w:alias w:val="审计费用较上一年度下降20%以上（含20%）的情况说明"/>
        <w:tag w:val="_GBC_1e9359a26dc84466b3153942927fd095"/>
        <w:id w:val="-1455177307"/>
        <w:placeholder>
          <w:docPart w:val="GBC22222222222222222222222222222"/>
        </w:placeholder>
      </w:sdtPr>
      <w:sdtContent>
        <w:p>
          <w:pPr>
            <w:ind w:firstLineChars="200" w:firstLine="420"/>
            <w:jc w:val="both"/>
          </w:pPr>
          <w:r>
            <w:rPr>
              <w:rFonts w:hint="eastAsia"/>
            </w:rPr>
            <w:t>经2023年6月30日召开的2022年度股东周年大会审议批准，续聘信永中和会计师事务所（特殊普通合伙）和信永中和（香港）会计师事务所有限公司分别为公司2023年度A股及H股会计师，2023年度应支付境内外业务的审计服务费用为人民币990万元。同时</w:t>
          </w:r>
          <w:r>
            <w:rPr>
              <w:rFonts w:hint="eastAsia"/>
              <w:szCs w:val="21"/>
            </w:rPr>
            <w:t>授权公司董事会决定并支付由于公司新增子公司或监管规定发生变化，导致增加后续审计、内部控制审核等其他服务费用。</w:t>
          </w:r>
        </w:p>
        <w:p>
          <w:pPr>
            <w:ind w:firstLineChars="200" w:firstLine="420"/>
            <w:jc w:val="both"/>
          </w:pPr>
          <w:r>
            <w:rPr>
              <w:rFonts w:hint="eastAsia"/>
            </w:rPr>
            <w:t>因公司2023年度审计范围发生变化，经公司第九届董事会第六次会议审议批准，增加审计服务费用190万元，公司2023年度应支付境内和境外业务的审计服务费用调整为1,180万元。</w:t>
          </w:r>
        </w:p>
        <w:p>
          <w:pPr>
            <w:ind w:firstLineChars="200" w:firstLine="420"/>
            <w:jc w:val="both"/>
          </w:pPr>
          <w:r>
            <w:rPr>
              <w:rFonts w:hint="eastAsia"/>
            </w:rPr>
            <w:t>根据《国有企业、上市公司选聘会计师事务所管理办法》规定，公司连续聘任同一会计师事务所原则上不得超过8年，公司2024年不再续聘上述两家会计师事务所。</w:t>
          </w:r>
        </w:p>
        <w:p>
          <w:pPr>
            <w:ind w:firstLineChars="200" w:firstLine="420"/>
            <w:jc w:val="both"/>
          </w:pPr>
          <w:r>
            <w:rPr>
              <w:rFonts w:hint="eastAsia"/>
            </w:rPr>
            <w:t>经2024年6月21日召开的2023年度股东周年大会审议批准，聘任经公开招标确认的天职国际会计师事务所（特殊普通合伙）、天职香港会计师事务所有限公司分别为公司2024年度A股、H股会计师，审计服务费用为840万元。</w:t>
          </w:r>
        </w:p>
        <w:p>
          <w:pPr>
            <w:ind w:firstLineChars="200" w:firstLine="420"/>
            <w:jc w:val="both"/>
          </w:pPr>
          <w:r>
            <w:rPr>
              <w:rFonts w:hint="eastAsia"/>
            </w:rPr>
            <w:t>综上，2024年度审计费用840万元较2023年度最初批准的审计费用990万元下降15%，较2023年度调整后的审计费用1,180万元下降29%。</w:t>
          </w:r>
        </w:p>
      </w:sdtContent>
    </w:sdt>
    <w:p>
      <w:pPr>
        <w:pStyle w:val="affffffff"/>
      </w:pPr>
    </w:p>
    <w:p>
      <w:pPr>
        <w:pStyle w:val="afffffff"/>
        <w:numPr>
          <w:ilvl w:val="0"/>
          <w:numId w:val="40"/>
        </w:numPr>
      </w:pPr>
      <w:r>
        <w:rPr>
          <w:rFonts w:hint="eastAsia"/>
        </w:rPr>
        <w:t>面临退市风险的情况</w:t>
      </w:r>
    </w:p>
    <w:p>
      <w:pPr>
        <w:pStyle w:val="afffffff1"/>
        <w:numPr>
          <w:ilvl w:val="0"/>
          <w:numId w:val="42"/>
        </w:numPr>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是否适用：导致暂停上市的原因[双击切换]"/>
        <w:tag w:val="_GBC_5be6e6fabf4849c7b63c5d08ac7706e1"/>
        <w:id w:val="1317225594"/>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1"/>
        <w:numPr>
          <w:ilvl w:val="0"/>
          <w:numId w:val="42"/>
        </w:numPr>
        <w:jc w:val="left"/>
      </w:pPr>
      <w:r>
        <w:rPr>
          <w:rFonts w:hint="eastAsia"/>
        </w:rPr>
        <w:t>公司拟采取的应对措施</w:t>
      </w:r>
    </w:p>
    <w:sdt>
      <w:sdtPr>
        <w:rPr>
          <w:szCs w:val="21"/>
        </w:rPr>
        <w:alias w:val="是否适用：公司拟采取的措施[双击切换]"/>
        <w:tag w:val="_GBC_8656f473b4d943fe8fa1477037f607c5"/>
        <w:id w:val="1340891251"/>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1"/>
        <w:numPr>
          <w:ilvl w:val="0"/>
          <w:numId w:val="42"/>
        </w:numPr>
        <w:jc w:val="left"/>
      </w:pPr>
      <w:bookmarkStart w:id="178" w:name="_Hlk89346186"/>
      <w:r>
        <w:rPr>
          <w:rFonts w:hint="eastAsia"/>
        </w:rPr>
        <w:t>面临终止上市的情况和原因</w:t>
      </w:r>
    </w:p>
    <w:sdt>
      <w:sdtPr>
        <w:rPr>
          <w:rFonts w:hint="eastAsia"/>
          <w:szCs w:val="21"/>
        </w:rPr>
        <w:alias w:val="是否适用：面临终止上市的情况和原因 [双击切换]"/>
        <w:tag w:val="_GBC_36002fff87954035b149cfd20b1790d5"/>
        <w:id w:val="2085944733"/>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bookmarkEnd w:id="178"/>
    <w:p>
      <w:pPr>
        <w:pStyle w:val="afffffff"/>
        <w:numPr>
          <w:ilvl w:val="0"/>
          <w:numId w:val="40"/>
        </w:numPr>
      </w:pPr>
      <w:r>
        <w:rPr>
          <w:rFonts w:hint="eastAsia"/>
        </w:rPr>
        <w:t>破产重整相关事项</w:t>
      </w:r>
    </w:p>
    <w:sdt>
      <w:sdtPr>
        <w:alias w:val="是否适用：破产重整相关事项[双击切换]"/>
        <w:tag w:val="_GBC_5840a694c2a04f98893394e6da3bc9cc"/>
        <w:id w:val="-593784553"/>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sectPr>
          <w:pgSz w:w="11906" w:h="16838"/>
          <w:pgMar w:top="1525" w:right="1276" w:bottom="1440" w:left="1797" w:header="855" w:footer="992" w:gutter="0"/>
          <w:cols w:space="425"/>
          <w:docGrid w:linePitch="312"/>
        </w:sectPr>
      </w:pPr>
    </w:p>
    <w:p>
      <w:pPr>
        <w:pStyle w:val="affffffff"/>
      </w:pPr>
    </w:p>
    <w:p>
      <w:pPr>
        <w:pStyle w:val="afffffff"/>
        <w:numPr>
          <w:ilvl w:val="0"/>
          <w:numId w:val="40"/>
        </w:numPr>
      </w:pPr>
      <w:bookmarkStart w:id="179" w:name="OLE_LINK19"/>
      <w:r>
        <w:rPr>
          <w:rFonts w:hint="eastAsia"/>
        </w:rPr>
        <w:t>重大诉讼、仲裁事项</w:t>
      </w:r>
    </w:p>
    <w:sdt>
      <w:sdtPr>
        <w:alias w:val="本年度公司有无重大诉讼、仲裁事项"/>
        <w:tag w:val="_GBC_b7d97a978491465ca563fa610688ebef"/>
        <w:id w:val="-2007349394"/>
        <w:placeholder>
          <w:docPart w:val="GBC22222222222222222222222222222"/>
        </w:placeholder>
      </w:sdtPr>
      <w:sdtContent>
        <w:p>
          <w:pPr>
            <w:pStyle w:val="affffffff"/>
          </w:pPr>
          <w:r>
            <w:fldChar w:fldCharType="begin"/>
          </w:r>
          <w:r>
            <w:rPr>
              <w:rFonts w:hint="eastAsia"/>
            </w:rPr>
            <w:instrText xml:space="preserve"> MACROBUTTON  SnrToggleCheckbox √本年度公司有重大诉讼、仲裁事项 </w:instrText>
          </w:r>
          <w:r>
            <w:fldChar w:fldCharType="end"/>
          </w:r>
          <w:r>
            <w:fldChar w:fldCharType="begin"/>
          </w:r>
          <w:r>
            <w:rPr>
              <w:rFonts w:hint="eastAsia"/>
            </w:rPr>
            <w:instrText xml:space="preserve"> MACROBUTTON  SnrToggleCheckbox □本年度公司无重大诉讼、仲裁事项 </w:instrText>
          </w:r>
          <w:r>
            <w:fldChar w:fldCharType="end"/>
          </w:r>
        </w:p>
      </w:sdtContent>
    </w:sdt>
    <w:p>
      <w:pPr>
        <w:pStyle w:val="afffffff1"/>
        <w:numPr>
          <w:ilvl w:val="0"/>
          <w:numId w:val="43"/>
        </w:numPr>
      </w:pPr>
      <w:r>
        <w:t>诉讼、仲裁事项已在临时公告披露且无后续进展的</w:t>
      </w:r>
    </w:p>
    <w:sdt>
      <w:sdtPr>
        <w:alias w:val="是否适用：诉讼、仲裁事项已在临时公告披露且无后续进展的[双击切换]"/>
        <w:tag w:val="_GBC_df9c575188dd424d8b37483a3f491cca"/>
        <w:id w:val="-1408682216"/>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0"/>
          <w:numId w:val="43"/>
        </w:numPr>
      </w:pPr>
      <w:r>
        <w:t>临时公告未披露或有后续进展的诉讼、仲裁情况</w:t>
      </w:r>
    </w:p>
    <w:sdt>
      <w:sdtPr>
        <w:alias w:val="是否适用：临时公告未披露或有后续进展的诉讼、仲裁情况[双击切换]"/>
        <w:tag w:val="_GBC_35f7d90461484a06aaa4de37b11de834"/>
        <w:id w:val="-481150334"/>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重大诉讼仲裁事项"/>
          <w:tag w:val="_GBC_9d97246aa01d4ad08e6284cc246abd9f"/>
          <w:id w:val="-4476314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重大诉讼仲裁事项"/>
          <w:tag w:val="_GBC_a18222a537f349d088118dcd5db0706a"/>
          <w:id w:val="11188012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g18"/>
        <w:tblW w:w="1388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276"/>
        <w:gridCol w:w="850"/>
        <w:gridCol w:w="709"/>
        <w:gridCol w:w="3402"/>
        <w:gridCol w:w="1276"/>
        <w:gridCol w:w="833"/>
        <w:gridCol w:w="1293"/>
        <w:gridCol w:w="2126"/>
        <w:gridCol w:w="851"/>
      </w:tblGrid>
      <w:tr>
        <w:sdt>
          <w:sdtPr>
            <w:rPr>
              <w:color w:val="000000" w:themeColor="text1"/>
            </w:rPr>
            <w:tag w:val="_PLD_542ec69aa4ef4bfab0931fd1db76a6ba"/>
            <w:id w:val="1678851893"/>
          </w:sdtPr>
          <w:sdtContent>
            <w:tc>
              <w:tcPr>
                <w:tcW w:w="13887" w:type="dxa"/>
                <w:gridSpan w:val="10"/>
              </w:tcPr>
              <w:p>
                <w:pPr>
                  <w:rPr>
                    <w:color w:val="000000" w:themeColor="text1"/>
                  </w:rPr>
                </w:pPr>
                <w:r>
                  <w:rPr>
                    <w:rFonts w:hint="eastAsia"/>
                    <w:color w:val="000000" w:themeColor="text1"/>
                  </w:rPr>
                  <w:t>报告期内：</w:t>
                </w:r>
              </w:p>
            </w:tc>
          </w:sdtContent>
        </w:sdt>
      </w:tr>
      <w:tr>
        <w:sdt>
          <w:sdtPr>
            <w:rPr>
              <w:color w:val="000000" w:themeColor="text1"/>
            </w:rPr>
            <w:tag w:val="_PLD_65530f9e2c974c4caf9f0a8143274a84"/>
            <w:id w:val="845223736"/>
          </w:sdtPr>
          <w:sdtContent>
            <w:tc>
              <w:tcPr>
                <w:tcW w:w="1271" w:type="dxa"/>
                <w:vAlign w:val="center"/>
              </w:tcPr>
              <w:p>
                <w:pPr>
                  <w:jc w:val="center"/>
                  <w:rPr>
                    <w:color w:val="000000" w:themeColor="text1"/>
                  </w:rPr>
                </w:pPr>
                <w:r>
                  <w:rPr>
                    <w:color w:val="000000" w:themeColor="text1"/>
                  </w:rPr>
                  <w:t>起诉(申请)方</w:t>
                </w:r>
              </w:p>
            </w:tc>
          </w:sdtContent>
        </w:sdt>
        <w:sdt>
          <w:sdtPr>
            <w:rPr>
              <w:color w:val="000000" w:themeColor="text1"/>
            </w:rPr>
            <w:tag w:val="_PLD_199b4615ac594ea49e4ae790f9604175"/>
            <w:id w:val="217794143"/>
          </w:sdtPr>
          <w:sdtContent>
            <w:tc>
              <w:tcPr>
                <w:tcW w:w="1276" w:type="dxa"/>
                <w:vAlign w:val="center"/>
              </w:tcPr>
              <w:p>
                <w:pPr>
                  <w:jc w:val="center"/>
                  <w:rPr>
                    <w:color w:val="000000" w:themeColor="text1"/>
                  </w:rPr>
                </w:pPr>
                <w:r>
                  <w:rPr>
                    <w:color w:val="000000" w:themeColor="text1"/>
                  </w:rPr>
                  <w:t>应诉（被申请</w:t>
                </w:r>
                <w:r>
                  <w:rPr>
                    <w:rFonts w:hint="eastAsia"/>
                    <w:color w:val="000000" w:themeColor="text1"/>
                  </w:rPr>
                  <w:t>）</w:t>
                </w:r>
                <w:r>
                  <w:rPr>
                    <w:color w:val="000000" w:themeColor="text1"/>
                  </w:rPr>
                  <w:t>方</w:t>
                </w:r>
              </w:p>
            </w:tc>
          </w:sdtContent>
        </w:sdt>
        <w:sdt>
          <w:sdtPr>
            <w:rPr>
              <w:color w:val="000000" w:themeColor="text1"/>
            </w:rPr>
            <w:tag w:val="_PLD_40e0da63dc8243ccadfed7bf52b93f8b"/>
            <w:id w:val="-162855470"/>
          </w:sdtPr>
          <w:sdtContent>
            <w:tc>
              <w:tcPr>
                <w:tcW w:w="850" w:type="dxa"/>
                <w:vAlign w:val="center"/>
              </w:tcPr>
              <w:p>
                <w:pPr>
                  <w:jc w:val="center"/>
                  <w:rPr>
                    <w:color w:val="000000" w:themeColor="text1"/>
                  </w:rPr>
                </w:pPr>
                <w:r>
                  <w:rPr>
                    <w:color w:val="000000" w:themeColor="text1"/>
                  </w:rPr>
                  <w:t>承担连带责任方</w:t>
                </w:r>
              </w:p>
            </w:tc>
          </w:sdtContent>
        </w:sdt>
        <w:sdt>
          <w:sdtPr>
            <w:rPr>
              <w:color w:val="000000" w:themeColor="text1"/>
            </w:rPr>
            <w:tag w:val="_PLD_46f93380e03f45adbc91c2ab3774798c"/>
            <w:id w:val="-1777403453"/>
          </w:sdtPr>
          <w:sdtContent>
            <w:tc>
              <w:tcPr>
                <w:tcW w:w="709" w:type="dxa"/>
                <w:vAlign w:val="center"/>
              </w:tcPr>
              <w:p>
                <w:pPr>
                  <w:jc w:val="center"/>
                  <w:rPr>
                    <w:color w:val="000000" w:themeColor="text1"/>
                  </w:rPr>
                </w:pPr>
                <w:r>
                  <w:rPr>
                    <w:color w:val="000000" w:themeColor="text1"/>
                  </w:rPr>
                  <w:t>诉讼仲裁类型</w:t>
                </w:r>
              </w:p>
            </w:tc>
          </w:sdtContent>
        </w:sdt>
        <w:sdt>
          <w:sdtPr>
            <w:rPr>
              <w:color w:val="000000" w:themeColor="text1"/>
            </w:rPr>
            <w:tag w:val="_PLD_29743bdc16de45d8a3449747b5605f16"/>
            <w:id w:val="169917166"/>
          </w:sdtPr>
          <w:sdtContent>
            <w:tc>
              <w:tcPr>
                <w:tcW w:w="3402" w:type="dxa"/>
                <w:vAlign w:val="center"/>
              </w:tcPr>
              <w:p>
                <w:pPr>
                  <w:jc w:val="center"/>
                  <w:rPr>
                    <w:color w:val="000000" w:themeColor="text1"/>
                  </w:rPr>
                </w:pPr>
                <w:r>
                  <w:rPr>
                    <w:color w:val="000000" w:themeColor="text1"/>
                  </w:rPr>
                  <w:t>诉讼(仲裁)基本情况</w:t>
                </w:r>
              </w:p>
            </w:tc>
          </w:sdtContent>
        </w:sdt>
        <w:sdt>
          <w:sdtPr>
            <w:rPr>
              <w:color w:val="000000" w:themeColor="text1"/>
            </w:rPr>
            <w:tag w:val="_PLD_cc4909272128469b9b9eb68f21f24563"/>
            <w:id w:val="-1518612432"/>
          </w:sdtPr>
          <w:sdtContent>
            <w:tc>
              <w:tcPr>
                <w:tcW w:w="1276" w:type="dxa"/>
                <w:vAlign w:val="center"/>
              </w:tcPr>
              <w:p>
                <w:pPr>
                  <w:jc w:val="center"/>
                  <w:rPr>
                    <w:color w:val="000000" w:themeColor="text1"/>
                  </w:rPr>
                </w:pPr>
                <w:r>
                  <w:rPr>
                    <w:color w:val="000000" w:themeColor="text1"/>
                  </w:rPr>
                  <w:t>诉讼(仲裁)涉及金额</w:t>
                </w:r>
              </w:p>
            </w:tc>
          </w:sdtContent>
        </w:sdt>
        <w:sdt>
          <w:sdtPr>
            <w:rPr>
              <w:color w:val="000000" w:themeColor="text1"/>
            </w:rPr>
            <w:tag w:val="_PLD_314be9ce30c646b1a34851dbc8c947ff"/>
            <w:id w:val="822855453"/>
          </w:sdtPr>
          <w:sdtContent>
            <w:tc>
              <w:tcPr>
                <w:tcW w:w="833" w:type="dxa"/>
                <w:vAlign w:val="center"/>
              </w:tcPr>
              <w:p>
                <w:pPr>
                  <w:jc w:val="center"/>
                  <w:rPr>
                    <w:color w:val="000000" w:themeColor="text1"/>
                  </w:rPr>
                </w:pPr>
                <w:r>
                  <w:rPr>
                    <w:color w:val="000000" w:themeColor="text1"/>
                  </w:rPr>
                  <w:t>诉讼(仲裁)是否形成预计负债及金额</w:t>
                </w:r>
              </w:p>
            </w:tc>
          </w:sdtContent>
        </w:sdt>
        <w:sdt>
          <w:sdtPr>
            <w:rPr>
              <w:color w:val="000000" w:themeColor="text1"/>
            </w:rPr>
            <w:tag w:val="_PLD_27f3a3c3699f4caaa599fe2ff85e043a"/>
            <w:id w:val="159668003"/>
          </w:sdtPr>
          <w:sdtContent>
            <w:tc>
              <w:tcPr>
                <w:tcW w:w="1293" w:type="dxa"/>
                <w:vAlign w:val="center"/>
              </w:tcPr>
              <w:p>
                <w:pPr>
                  <w:jc w:val="center"/>
                  <w:rPr>
                    <w:color w:val="000000" w:themeColor="text1"/>
                  </w:rPr>
                </w:pPr>
                <w:r>
                  <w:rPr>
                    <w:color w:val="000000" w:themeColor="text1"/>
                  </w:rPr>
                  <w:t>诉讼(仲裁)进展情况</w:t>
                </w:r>
              </w:p>
            </w:tc>
          </w:sdtContent>
        </w:sdt>
        <w:sdt>
          <w:sdtPr>
            <w:rPr>
              <w:color w:val="000000" w:themeColor="text1"/>
            </w:rPr>
            <w:tag w:val="_PLD_670326cb24854b3a8bee381fa766735a"/>
            <w:id w:val="939566129"/>
          </w:sdtPr>
          <w:sdtContent>
            <w:tc>
              <w:tcPr>
                <w:tcW w:w="2126" w:type="dxa"/>
                <w:vAlign w:val="center"/>
              </w:tcPr>
              <w:p>
                <w:pPr>
                  <w:jc w:val="center"/>
                  <w:rPr>
                    <w:color w:val="000000" w:themeColor="text1"/>
                  </w:rPr>
                </w:pPr>
                <w:r>
                  <w:rPr>
                    <w:color w:val="000000" w:themeColor="text1"/>
                  </w:rPr>
                  <w:t>诉讼(仲裁)审理结果及影响</w:t>
                </w:r>
              </w:p>
            </w:tc>
          </w:sdtContent>
        </w:sdt>
        <w:sdt>
          <w:sdtPr>
            <w:rPr>
              <w:color w:val="000000" w:themeColor="text1"/>
            </w:rPr>
            <w:tag w:val="_PLD_4b3c312c6ff54512a58be0ff5dc57e46"/>
            <w:id w:val="998766075"/>
          </w:sdtPr>
          <w:sdtContent>
            <w:tc>
              <w:tcPr>
                <w:tcW w:w="851" w:type="dxa"/>
                <w:vAlign w:val="center"/>
              </w:tcPr>
              <w:p>
                <w:pPr>
                  <w:jc w:val="center"/>
                  <w:rPr>
                    <w:color w:val="000000" w:themeColor="text1"/>
                  </w:rPr>
                </w:pPr>
                <w:r>
                  <w:rPr>
                    <w:color w:val="000000" w:themeColor="text1"/>
                  </w:rPr>
                  <w:t>诉讼(仲裁)判决执行情况</w:t>
                </w:r>
              </w:p>
            </w:tc>
          </w:sdtContent>
        </w:sdt>
      </w:tr>
      <w:tr>
        <w:tc>
          <w:tcPr>
            <w:tcW w:w="1271" w:type="dxa"/>
            <w:vAlign w:val="center"/>
          </w:tcPr>
          <w:p>
            <w:pPr>
              <w:jc w:val="center"/>
              <w:rPr>
                <w:color w:val="000000" w:themeColor="text1"/>
              </w:rPr>
            </w:pPr>
            <w:r>
              <w:rPr>
                <w:rFonts w:hint="eastAsia"/>
                <w:color w:val="000000" w:themeColor="text1"/>
              </w:rPr>
              <w:t>鄂尔多斯市金诚泰化工有限责任公司（“金诚泰”）</w:t>
            </w:r>
          </w:p>
        </w:tc>
        <w:tc>
          <w:tcPr>
            <w:tcW w:w="1276" w:type="dxa"/>
            <w:vAlign w:val="center"/>
          </w:tcPr>
          <w:p>
            <w:pPr>
              <w:jc w:val="center"/>
              <w:rPr>
                <w:color w:val="000000" w:themeColor="text1"/>
              </w:rPr>
            </w:pPr>
            <w:r>
              <w:rPr>
                <w:rFonts w:hint="eastAsia"/>
                <w:color w:val="000000" w:themeColor="text1"/>
              </w:rPr>
              <w:t>兖矿能源</w:t>
            </w:r>
          </w:p>
        </w:tc>
        <w:tc>
          <w:tcPr>
            <w:tcW w:w="850" w:type="dxa"/>
            <w:vAlign w:val="center"/>
          </w:tcPr>
          <w:p>
            <w:pPr>
              <w:jc w:val="center"/>
              <w:rPr>
                <w:color w:val="000000" w:themeColor="text1"/>
              </w:rPr>
            </w:pPr>
            <w:r>
              <w:rPr>
                <w:rFonts w:hint="eastAsia"/>
                <w:color w:val="000000" w:themeColor="text1"/>
              </w:rPr>
              <w:t>无</w:t>
            </w:r>
          </w:p>
        </w:tc>
        <w:tc>
          <w:tcPr>
            <w:tcW w:w="709" w:type="dxa"/>
            <w:vAlign w:val="center"/>
          </w:tcPr>
          <w:p>
            <w:pPr>
              <w:jc w:val="center"/>
              <w:rPr>
                <w:color w:val="000000" w:themeColor="text1"/>
              </w:rPr>
            </w:pPr>
            <w:r>
              <w:rPr>
                <w:rFonts w:hint="eastAsia"/>
                <w:color w:val="000000" w:themeColor="text1"/>
              </w:rPr>
              <w:t>仲裁</w:t>
            </w:r>
          </w:p>
        </w:tc>
        <w:tc>
          <w:tcPr>
            <w:tcW w:w="3402" w:type="dxa"/>
            <w:vAlign w:val="center"/>
          </w:tcPr>
          <w:p>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2022年7月5日，金诚泰以股权转让合同纠纷为由，向中国国际贸易仲裁委员会（“中国贸仲”）提出仲裁申请，要求兖矿能源给付金诚泰股权转让费及滞纳金101,590.15万元。</w:t>
            </w:r>
          </w:p>
          <w:p>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公司以金诚泰应承担矿业权出让收益价款为由，要求金诚泰退还煤矿股权转让费61,515.28万元。</w:t>
            </w:r>
          </w:p>
          <w:p>
            <w:pPr>
              <w:jc w:val="both"/>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t>2024年3月14日，公司收到中国贸仲裁决书，裁决金诚泰向公司退</w:t>
            </w:r>
            <w:r>
              <w:rPr>
                <w:rFonts w:asciiTheme="minorEastAsia" w:eastAsiaTheme="minorEastAsia" w:hAnsiTheme="minorEastAsia" w:hint="eastAsia"/>
                <w:color w:val="000000" w:themeColor="text1"/>
              </w:rPr>
              <w:lastRenderedPageBreak/>
              <w:t>还煤矿股权转让费11,521.12万元。</w:t>
            </w:r>
          </w:p>
          <w:p>
            <w:pPr>
              <w:jc w:val="both"/>
              <w:rPr>
                <w:rFonts w:asciiTheme="minorEastAsia" w:eastAsiaTheme="minorEastAsia" w:hAnsiTheme="minorEastAsia"/>
                <w:color w:val="000000" w:themeColor="text1"/>
              </w:rPr>
            </w:pPr>
          </w:p>
        </w:tc>
        <w:tc>
          <w:tcPr>
            <w:tcW w:w="1276" w:type="dxa"/>
            <w:vAlign w:val="center"/>
          </w:tcPr>
          <w:p>
            <w:pPr>
              <w:jc w:val="center"/>
              <w:rPr>
                <w:rFonts w:asciiTheme="minorEastAsia" w:eastAsiaTheme="minorEastAsia" w:hAnsiTheme="minorEastAsia"/>
                <w:color w:val="000000" w:themeColor="text1"/>
              </w:rPr>
            </w:pPr>
            <w:r>
              <w:rPr>
                <w:rFonts w:asciiTheme="minorEastAsia" w:eastAsiaTheme="minorEastAsia" w:hAnsiTheme="minorEastAsia" w:hint="eastAsia"/>
                <w:color w:val="000000" w:themeColor="text1"/>
              </w:rPr>
              <w:lastRenderedPageBreak/>
              <w:t>101,590.15</w:t>
            </w:r>
          </w:p>
        </w:tc>
        <w:tc>
          <w:tcPr>
            <w:tcW w:w="833" w:type="dxa"/>
            <w:vAlign w:val="center"/>
          </w:tcPr>
          <w:p>
            <w:pPr>
              <w:jc w:val="center"/>
              <w:rPr>
                <w:color w:val="000000" w:themeColor="text1"/>
              </w:rPr>
            </w:pPr>
            <w:r>
              <w:rPr>
                <w:rFonts w:hint="eastAsia"/>
                <w:color w:val="000000" w:themeColor="text1"/>
              </w:rPr>
              <w:t>否</w:t>
            </w:r>
          </w:p>
        </w:tc>
        <w:tc>
          <w:tcPr>
            <w:tcW w:w="1293" w:type="dxa"/>
            <w:vAlign w:val="center"/>
          </w:tcPr>
          <w:p>
            <w:pPr>
              <w:jc w:val="center"/>
              <w:rPr>
                <w:color w:val="000000" w:themeColor="text1"/>
              </w:rPr>
            </w:pPr>
            <w:r>
              <w:rPr>
                <w:rFonts w:hint="eastAsia"/>
                <w:color w:val="000000" w:themeColor="text1"/>
              </w:rPr>
              <w:t>结案</w:t>
            </w:r>
          </w:p>
        </w:tc>
        <w:tc>
          <w:tcPr>
            <w:tcW w:w="2126" w:type="dxa"/>
            <w:vAlign w:val="center"/>
          </w:tcPr>
          <w:p>
            <w:pPr>
              <w:jc w:val="both"/>
              <w:rPr>
                <w:color w:val="000000" w:themeColor="text1"/>
              </w:rPr>
            </w:pPr>
            <w:r>
              <w:rPr>
                <w:rFonts w:hint="eastAsia"/>
                <w:color w:val="000000" w:themeColor="text1"/>
              </w:rPr>
              <w:t>本案目前已结案，金诚泰应向公司支付11,521.12万元。</w:t>
            </w:r>
          </w:p>
        </w:tc>
        <w:tc>
          <w:tcPr>
            <w:tcW w:w="851" w:type="dxa"/>
            <w:vAlign w:val="center"/>
          </w:tcPr>
          <w:p>
            <w:pPr>
              <w:jc w:val="center"/>
              <w:rPr>
                <w:color w:val="000000" w:themeColor="text1"/>
              </w:rPr>
            </w:pPr>
            <w:r>
              <w:rPr>
                <w:rFonts w:hint="eastAsia"/>
                <w:color w:val="000000" w:themeColor="text1"/>
              </w:rPr>
              <w:t>-</w:t>
            </w:r>
          </w:p>
        </w:tc>
      </w:tr>
      <w:tr>
        <w:tc>
          <w:tcPr>
            <w:tcW w:w="1271" w:type="dxa"/>
            <w:vAlign w:val="center"/>
          </w:tcPr>
          <w:p>
            <w:pPr>
              <w:pStyle w:val="afffffffd"/>
            </w:pPr>
            <w:r>
              <w:rPr>
                <w:rFonts w:hint="eastAsia"/>
              </w:rPr>
              <w:t>青岛中兖贸易有限公司（“青岛中兖”）</w:t>
            </w:r>
          </w:p>
        </w:tc>
        <w:tc>
          <w:tcPr>
            <w:tcW w:w="1276" w:type="dxa"/>
            <w:vAlign w:val="center"/>
          </w:tcPr>
          <w:p>
            <w:pPr>
              <w:pStyle w:val="afffffffd"/>
            </w:pPr>
            <w:r>
              <w:rPr>
                <w:rFonts w:hint="eastAsia"/>
              </w:rPr>
              <w:t>大连集装箱码头物流有限公司（“大连码头”）</w:t>
            </w:r>
          </w:p>
        </w:tc>
        <w:tc>
          <w:tcPr>
            <w:tcW w:w="850" w:type="dxa"/>
            <w:vAlign w:val="center"/>
          </w:tcPr>
          <w:p>
            <w:pPr>
              <w:jc w:val="center"/>
            </w:pPr>
            <w:r>
              <w:rPr>
                <w:rFonts w:hint="eastAsia"/>
              </w:rPr>
              <w:t>无</w:t>
            </w:r>
          </w:p>
        </w:tc>
        <w:tc>
          <w:tcPr>
            <w:tcW w:w="709" w:type="dxa"/>
            <w:vAlign w:val="center"/>
          </w:tcPr>
          <w:p>
            <w:pPr>
              <w:pStyle w:val="afffffffd"/>
            </w:pPr>
            <w:r>
              <w:rPr>
                <w:rFonts w:hint="eastAsia"/>
              </w:rPr>
              <w:t>诉讼</w:t>
            </w:r>
          </w:p>
        </w:tc>
        <w:tc>
          <w:tcPr>
            <w:tcW w:w="3402" w:type="dxa"/>
            <w:vAlign w:val="center"/>
          </w:tcPr>
          <w:p>
            <w:pPr>
              <w:jc w:val="both"/>
            </w:pPr>
            <w:r>
              <w:rPr>
                <w:rFonts w:hint="eastAsia"/>
              </w:rPr>
              <w:t>2021年4月，兖矿能源全资子公司青岛中兖以仓储合同纠纷为由，将大连码头诉至大连海事法院，要求其赔偿货物损失16,924.64万元。</w:t>
            </w:r>
          </w:p>
          <w:p>
            <w:pPr>
              <w:jc w:val="both"/>
            </w:pPr>
            <w:r>
              <w:rPr>
                <w:rFonts w:hint="eastAsia"/>
              </w:rPr>
              <w:t>2023年6月，青岛中兖收到一审胜诉判决。大连码头向辽宁省高级人民法院提起上诉。</w:t>
            </w:r>
          </w:p>
          <w:p>
            <w:pPr>
              <w:jc w:val="both"/>
            </w:pPr>
            <w:r>
              <w:rPr>
                <w:rFonts w:hint="eastAsia"/>
              </w:rPr>
              <w:t>2024年12月，青岛中兖收到辽宁省高级人民院二审判决书，驳回大连码头上诉请求，维持原判。</w:t>
            </w:r>
          </w:p>
        </w:tc>
        <w:tc>
          <w:tcPr>
            <w:tcW w:w="1276" w:type="dxa"/>
            <w:vAlign w:val="center"/>
          </w:tcPr>
          <w:p>
            <w:pPr>
              <w:jc w:val="center"/>
            </w:pPr>
            <w:r>
              <w:rPr>
                <w:rFonts w:hint="eastAsia"/>
              </w:rPr>
              <w:t>16,924.64</w:t>
            </w:r>
          </w:p>
        </w:tc>
        <w:tc>
          <w:tcPr>
            <w:tcW w:w="833" w:type="dxa"/>
            <w:vAlign w:val="center"/>
          </w:tcPr>
          <w:p>
            <w:pPr>
              <w:jc w:val="center"/>
            </w:pPr>
            <w:r>
              <w:rPr>
                <w:rFonts w:hint="eastAsia"/>
              </w:rPr>
              <w:t>否</w:t>
            </w:r>
          </w:p>
        </w:tc>
        <w:tc>
          <w:tcPr>
            <w:tcW w:w="1293" w:type="dxa"/>
            <w:vAlign w:val="center"/>
          </w:tcPr>
          <w:p>
            <w:pPr>
              <w:pStyle w:val="afffffffd"/>
              <w:jc w:val="center"/>
            </w:pPr>
            <w:r>
              <w:rPr>
                <w:rFonts w:hint="eastAsia"/>
              </w:rPr>
              <w:t>结案</w:t>
            </w:r>
          </w:p>
        </w:tc>
        <w:tc>
          <w:tcPr>
            <w:tcW w:w="2126" w:type="dxa"/>
            <w:vAlign w:val="center"/>
          </w:tcPr>
          <w:p>
            <w:pPr>
              <w:jc w:val="both"/>
            </w:pPr>
            <w:r>
              <w:rPr>
                <w:rFonts w:hint="eastAsia"/>
              </w:rPr>
              <w:t>本案目前已经结案，大连码头赔偿青岛中兖货物损失16,924.64万元并以该数额为基数支付利息，另大连码头承担本案诉讼保全责任险费用、案件受理费、保全费等。</w:t>
            </w:r>
          </w:p>
        </w:tc>
        <w:tc>
          <w:tcPr>
            <w:tcW w:w="851" w:type="dxa"/>
            <w:vAlign w:val="center"/>
          </w:tcPr>
          <w:p>
            <w:pPr>
              <w:jc w:val="center"/>
            </w:pPr>
            <w:r>
              <w:rPr>
                <w:rFonts w:cs="Times New Roman" w:hint="eastAsia"/>
              </w:rPr>
              <w:t>-</w:t>
            </w:r>
          </w:p>
        </w:tc>
      </w:tr>
      <w:tr>
        <w:tc>
          <w:tcPr>
            <w:tcW w:w="1271" w:type="dxa"/>
            <w:vAlign w:val="center"/>
          </w:tcPr>
          <w:p>
            <w:pPr>
              <w:pStyle w:val="afffffffd"/>
            </w:pPr>
            <w:r>
              <w:rPr>
                <w:rFonts w:hint="eastAsia"/>
              </w:rPr>
              <w:t>端信供应链（深圳）有限公司（“端信供应链”）</w:t>
            </w:r>
          </w:p>
        </w:tc>
        <w:tc>
          <w:tcPr>
            <w:tcW w:w="1276" w:type="dxa"/>
            <w:vAlign w:val="center"/>
          </w:tcPr>
          <w:p>
            <w:pPr>
              <w:jc w:val="both"/>
            </w:pPr>
            <w:r>
              <w:rPr>
                <w:rFonts w:hint="eastAsia"/>
              </w:rPr>
              <w:t>沙钢（北京）国际投资有限公司（“沙钢北京”）</w:t>
            </w:r>
          </w:p>
        </w:tc>
        <w:tc>
          <w:tcPr>
            <w:tcW w:w="850" w:type="dxa"/>
            <w:vAlign w:val="center"/>
          </w:tcPr>
          <w:p>
            <w:pPr>
              <w:jc w:val="both"/>
            </w:pPr>
            <w:r>
              <w:rPr>
                <w:rFonts w:hint="eastAsia"/>
              </w:rPr>
              <w:t>江苏沙钢集团有限公司（“沙钢集团”）</w:t>
            </w:r>
          </w:p>
          <w:p>
            <w:pPr>
              <w:pStyle w:val="afffffffd"/>
            </w:pPr>
          </w:p>
        </w:tc>
        <w:tc>
          <w:tcPr>
            <w:tcW w:w="709" w:type="dxa"/>
            <w:vAlign w:val="center"/>
          </w:tcPr>
          <w:p>
            <w:pPr>
              <w:pStyle w:val="afffffffd"/>
            </w:pPr>
            <w:r>
              <w:rPr>
                <w:rFonts w:hint="eastAsia"/>
              </w:rPr>
              <w:t>诉讼</w:t>
            </w:r>
          </w:p>
        </w:tc>
        <w:tc>
          <w:tcPr>
            <w:tcW w:w="3402" w:type="dxa"/>
            <w:vAlign w:val="center"/>
          </w:tcPr>
          <w:p>
            <w:pPr>
              <w:jc w:val="both"/>
            </w:pPr>
            <w:r>
              <w:rPr>
                <w:rFonts w:hint="eastAsia"/>
              </w:rPr>
              <w:t>2021年4月，兖矿能源全资子公司端信供应链以煤炭买卖合同纠纷为由，将沙钢北京诉至深圳市中级人民法院（“深圳中院”），要求其返还货款本金12,160.57万元及相应逾期付款违约金，李磊、沙钢集团对上述款项承担连带责任。一审审理过程中，端信供应链变更诉讼请求，请求沙钢集团单独承担连带责任。</w:t>
            </w:r>
          </w:p>
          <w:p>
            <w:pPr>
              <w:jc w:val="both"/>
            </w:pPr>
            <w:r>
              <w:rPr>
                <w:rFonts w:hint="eastAsia"/>
              </w:rPr>
              <w:t>2023年3月，端信供应链收到一审胜诉判决。沙钢北京向广东省高级人民法院提起上诉。</w:t>
            </w:r>
          </w:p>
          <w:p>
            <w:pPr>
              <w:jc w:val="both"/>
              <w:rPr>
                <w:color w:val="FF0000"/>
              </w:rPr>
            </w:pPr>
            <w:r>
              <w:rPr>
                <w:rFonts w:hint="eastAsia"/>
              </w:rPr>
              <w:t>2025年3月,端信供应链收到二审判决，沙钢北京承担债务清偿责任，驳回端信供应链其他诉讼请求。</w:t>
            </w:r>
          </w:p>
        </w:tc>
        <w:tc>
          <w:tcPr>
            <w:tcW w:w="1276" w:type="dxa"/>
            <w:vAlign w:val="center"/>
          </w:tcPr>
          <w:p>
            <w:pPr>
              <w:jc w:val="center"/>
            </w:pPr>
            <w:r>
              <w:rPr>
                <w:rFonts w:hint="eastAsia"/>
              </w:rPr>
              <w:t>12,160.57</w:t>
            </w:r>
          </w:p>
        </w:tc>
        <w:tc>
          <w:tcPr>
            <w:tcW w:w="833" w:type="dxa"/>
            <w:vAlign w:val="center"/>
          </w:tcPr>
          <w:p>
            <w:pPr>
              <w:jc w:val="center"/>
            </w:pPr>
            <w:r>
              <w:rPr>
                <w:rFonts w:hint="eastAsia"/>
              </w:rPr>
              <w:t>否</w:t>
            </w:r>
          </w:p>
        </w:tc>
        <w:tc>
          <w:tcPr>
            <w:tcW w:w="1293" w:type="dxa"/>
            <w:vAlign w:val="center"/>
          </w:tcPr>
          <w:p>
            <w:pPr>
              <w:pStyle w:val="afffffffd"/>
              <w:jc w:val="center"/>
            </w:pPr>
            <w:r>
              <w:rPr>
                <w:rFonts w:hint="eastAsia"/>
              </w:rPr>
              <w:t>结案</w:t>
            </w:r>
          </w:p>
        </w:tc>
        <w:tc>
          <w:tcPr>
            <w:tcW w:w="2126" w:type="dxa"/>
            <w:vAlign w:val="center"/>
          </w:tcPr>
          <w:p>
            <w:pPr>
              <w:jc w:val="both"/>
            </w:pPr>
            <w:r>
              <w:rPr>
                <w:rFonts w:hint="eastAsia"/>
              </w:rPr>
              <w:t>截至本报告期末，公司对本案涉及账面款项计提了减值准备，本次诉讼事项不会对公司期后利润产生不利影响。</w:t>
            </w:r>
          </w:p>
        </w:tc>
        <w:tc>
          <w:tcPr>
            <w:tcW w:w="851" w:type="dxa"/>
            <w:vAlign w:val="center"/>
          </w:tcPr>
          <w:p>
            <w:pPr>
              <w:jc w:val="center"/>
            </w:pPr>
            <w:r>
              <w:rPr>
                <w:rFonts w:cs="Times New Roman" w:hint="eastAsia"/>
              </w:rPr>
              <w:t>-</w:t>
            </w:r>
          </w:p>
        </w:tc>
      </w:tr>
      <w:tr>
        <w:tc>
          <w:tcPr>
            <w:tcW w:w="1271" w:type="dxa"/>
            <w:vAlign w:val="center"/>
          </w:tcPr>
          <w:p>
            <w:pPr>
              <w:rPr>
                <w:rFonts w:cs="Times New Roman"/>
                <w:kern w:val="2"/>
              </w:rPr>
            </w:pPr>
            <w:r>
              <w:rPr>
                <w:rFonts w:hint="eastAsia"/>
              </w:rPr>
              <w:lastRenderedPageBreak/>
              <w:t>端信供应链</w:t>
            </w:r>
          </w:p>
        </w:tc>
        <w:tc>
          <w:tcPr>
            <w:tcW w:w="1276" w:type="dxa"/>
            <w:vAlign w:val="center"/>
          </w:tcPr>
          <w:p>
            <w:pPr>
              <w:jc w:val="both"/>
              <w:rPr>
                <w:rFonts w:cs="Times New Roman"/>
              </w:rPr>
            </w:pPr>
            <w:r>
              <w:rPr>
                <w:rFonts w:hint="eastAsia"/>
              </w:rPr>
              <w:t>深圳市麦凯莱科技有限公司（“麦凯莱公司”）</w:t>
            </w:r>
          </w:p>
        </w:tc>
        <w:tc>
          <w:tcPr>
            <w:tcW w:w="850" w:type="dxa"/>
            <w:vAlign w:val="center"/>
          </w:tcPr>
          <w:p>
            <w:pPr>
              <w:jc w:val="both"/>
              <w:rPr>
                <w:rFonts w:cs="Times New Roman"/>
              </w:rPr>
            </w:pPr>
            <w:r>
              <w:rPr>
                <w:rFonts w:hint="eastAsia"/>
              </w:rPr>
              <w:t>李冠玮、戴丽香等</w:t>
            </w:r>
          </w:p>
        </w:tc>
        <w:tc>
          <w:tcPr>
            <w:tcW w:w="709" w:type="dxa"/>
            <w:vAlign w:val="center"/>
          </w:tcPr>
          <w:p>
            <w:pPr>
              <w:rPr>
                <w:rFonts w:cs="Times New Roman"/>
              </w:rPr>
            </w:pPr>
            <w:r>
              <w:rPr>
                <w:rFonts w:hint="eastAsia"/>
              </w:rPr>
              <w:t>诉讼</w:t>
            </w:r>
          </w:p>
        </w:tc>
        <w:tc>
          <w:tcPr>
            <w:tcW w:w="3402" w:type="dxa"/>
            <w:vAlign w:val="center"/>
          </w:tcPr>
          <w:p>
            <w:pPr>
              <w:wordWrap w:val="0"/>
              <w:jc w:val="both"/>
            </w:pPr>
            <w:r>
              <w:rPr>
                <w:rFonts w:hint="eastAsia"/>
              </w:rPr>
              <w:t>2023年2月，端信供应链以债权债务纠纷为由，将麦凯莱公司及相关担保人起诉至深圳中院，要求其清偿到期债务、利息及违约金共计</w:t>
            </w:r>
          </w:p>
          <w:p>
            <w:pPr>
              <w:wordWrap w:val="0"/>
              <w:jc w:val="both"/>
            </w:pPr>
            <w:r>
              <w:rPr>
                <w:rFonts w:asciiTheme="minorEastAsia" w:eastAsiaTheme="minorEastAsia" w:hAnsiTheme="minorEastAsia" w:hint="eastAsia"/>
              </w:rPr>
              <w:t>39,618.85</w:t>
            </w:r>
            <w:r>
              <w:rPr>
                <w:rFonts w:hint="eastAsia"/>
              </w:rPr>
              <w:t>万元。</w:t>
            </w:r>
          </w:p>
          <w:p>
            <w:pPr>
              <w:jc w:val="both"/>
            </w:pPr>
            <w:r>
              <w:rPr>
                <w:rFonts w:hint="eastAsia"/>
              </w:rPr>
              <w:t>2024年6月，深圳中院裁定麦凯莱公司破产清算。</w:t>
            </w:r>
          </w:p>
          <w:p>
            <w:pPr>
              <w:jc w:val="both"/>
            </w:pPr>
            <w:r>
              <w:rPr>
                <w:rFonts w:hint="eastAsia"/>
              </w:rPr>
              <w:t>2024年8月，端信供应链向麦凯莱公司破产管理人申报债权50,988.21万元。</w:t>
            </w:r>
          </w:p>
          <w:p>
            <w:pPr>
              <w:jc w:val="both"/>
            </w:pPr>
            <w:r>
              <w:rPr>
                <w:rFonts w:hint="eastAsia"/>
              </w:rPr>
              <w:t>2024年12月，端信供应链收到一审判决书，深圳中院判决支持端信供应链的诉讼请求，被告麦凯莱公司已向广东省高级人民法院提交上诉状。</w:t>
            </w:r>
          </w:p>
          <w:p>
            <w:pPr>
              <w:jc w:val="both"/>
            </w:pPr>
            <w:r>
              <w:rPr>
                <w:rFonts w:hint="eastAsia"/>
              </w:rPr>
              <w:t>截至本报告披露日，广东省高级人民法院尚未作出裁决。</w:t>
            </w:r>
          </w:p>
        </w:tc>
        <w:tc>
          <w:tcPr>
            <w:tcW w:w="1276" w:type="dxa"/>
            <w:vAlign w:val="center"/>
          </w:tcPr>
          <w:p>
            <w:pPr>
              <w:jc w:val="center"/>
              <w:rPr>
                <w:rFonts w:asciiTheme="minorEastAsia" w:eastAsiaTheme="minorEastAsia" w:hAnsiTheme="minorEastAsia"/>
              </w:rPr>
            </w:pPr>
            <w:r>
              <w:rPr>
                <w:rFonts w:asciiTheme="minorEastAsia" w:eastAsiaTheme="minorEastAsia" w:hAnsiTheme="minorEastAsia" w:hint="eastAsia"/>
              </w:rPr>
              <w:t>39,618.85</w:t>
            </w:r>
          </w:p>
        </w:tc>
        <w:tc>
          <w:tcPr>
            <w:tcW w:w="833" w:type="dxa"/>
            <w:vAlign w:val="center"/>
          </w:tcPr>
          <w:p>
            <w:pPr>
              <w:jc w:val="center"/>
              <w:rPr>
                <w:rFonts w:cs="Times New Roman"/>
              </w:rPr>
            </w:pPr>
            <w:r>
              <w:rPr>
                <w:rFonts w:hint="eastAsia"/>
              </w:rPr>
              <w:t>否</w:t>
            </w:r>
          </w:p>
        </w:tc>
        <w:tc>
          <w:tcPr>
            <w:tcW w:w="1293" w:type="dxa"/>
            <w:vAlign w:val="center"/>
          </w:tcPr>
          <w:p>
            <w:pPr>
              <w:jc w:val="center"/>
              <w:rPr>
                <w:rFonts w:cs="Times New Roman"/>
              </w:rPr>
            </w:pPr>
            <w:r>
              <w:rPr>
                <w:rFonts w:hint="eastAsia"/>
              </w:rPr>
              <w:t>二审程序</w:t>
            </w:r>
          </w:p>
        </w:tc>
        <w:tc>
          <w:tcPr>
            <w:tcW w:w="2126" w:type="dxa"/>
            <w:vAlign w:val="center"/>
          </w:tcPr>
          <w:p>
            <w:pPr>
              <w:jc w:val="both"/>
              <w:rPr>
                <w:rFonts w:cs="Times New Roman"/>
              </w:rPr>
            </w:pPr>
            <w:r>
              <w:rPr>
                <w:rFonts w:hint="eastAsia"/>
              </w:rPr>
              <w:t>截至本报告期末，公司对本案涉及账面款项计提了减值准备，本次诉讼事项不会对公司期后利润产生不利影响。</w:t>
            </w:r>
          </w:p>
        </w:tc>
        <w:tc>
          <w:tcPr>
            <w:tcW w:w="851" w:type="dxa"/>
            <w:vAlign w:val="center"/>
          </w:tcPr>
          <w:p>
            <w:pPr>
              <w:jc w:val="center"/>
              <w:rPr>
                <w:rFonts w:cs="Times New Roman"/>
                <w:kern w:val="2"/>
              </w:rPr>
            </w:pPr>
            <w:r>
              <w:rPr>
                <w:rFonts w:cs="Times New Roman" w:hint="eastAsia"/>
                <w:kern w:val="2"/>
              </w:rPr>
              <w:t>-</w:t>
            </w:r>
          </w:p>
        </w:tc>
      </w:tr>
      <w:tr>
        <w:tc>
          <w:tcPr>
            <w:tcW w:w="1271" w:type="dxa"/>
            <w:vAlign w:val="center"/>
          </w:tcPr>
          <w:p>
            <w:pPr>
              <w:rPr>
                <w:rFonts w:cs="Times New Roman"/>
                <w:kern w:val="2"/>
              </w:rPr>
            </w:pPr>
            <w:r>
              <w:rPr>
                <w:rFonts w:hint="eastAsia"/>
              </w:rPr>
              <w:t>端信供应链</w:t>
            </w:r>
          </w:p>
        </w:tc>
        <w:tc>
          <w:tcPr>
            <w:tcW w:w="1276" w:type="dxa"/>
            <w:vAlign w:val="center"/>
          </w:tcPr>
          <w:p>
            <w:pPr>
              <w:jc w:val="both"/>
              <w:rPr>
                <w:rFonts w:cs="Times New Roman"/>
              </w:rPr>
            </w:pPr>
            <w:r>
              <w:rPr>
                <w:rFonts w:hint="eastAsia"/>
              </w:rPr>
              <w:t>苏宁易购集团股份有限公司（“苏宁易购”）</w:t>
            </w:r>
          </w:p>
        </w:tc>
        <w:tc>
          <w:tcPr>
            <w:tcW w:w="850" w:type="dxa"/>
            <w:vAlign w:val="center"/>
          </w:tcPr>
          <w:p>
            <w:pPr>
              <w:jc w:val="center"/>
              <w:rPr>
                <w:rFonts w:cs="Times New Roman"/>
              </w:rPr>
            </w:pPr>
            <w:r>
              <w:rPr>
                <w:rFonts w:hint="eastAsia"/>
              </w:rPr>
              <w:t>无</w:t>
            </w:r>
          </w:p>
        </w:tc>
        <w:tc>
          <w:tcPr>
            <w:tcW w:w="709" w:type="dxa"/>
            <w:vAlign w:val="center"/>
          </w:tcPr>
          <w:p>
            <w:pPr>
              <w:rPr>
                <w:rFonts w:cs="Times New Roman"/>
              </w:rPr>
            </w:pPr>
            <w:r>
              <w:rPr>
                <w:rFonts w:hint="eastAsia"/>
              </w:rPr>
              <w:t>诉讼</w:t>
            </w:r>
          </w:p>
        </w:tc>
        <w:tc>
          <w:tcPr>
            <w:tcW w:w="3402" w:type="dxa"/>
            <w:vAlign w:val="center"/>
          </w:tcPr>
          <w:p>
            <w:pPr>
              <w:jc w:val="both"/>
            </w:pPr>
            <w:r>
              <w:rPr>
                <w:rFonts w:hint="eastAsia"/>
              </w:rPr>
              <w:t>2023年2月，端信供应链以买卖合同纠纷为由，将苏宁易购起诉至南京市中级人民法院，要求其偿付货款、利息及违约金共计67,090.00万元。</w:t>
            </w:r>
          </w:p>
          <w:p>
            <w:pPr>
              <w:jc w:val="both"/>
            </w:pPr>
            <w:r>
              <w:rPr>
                <w:rFonts w:hint="eastAsia"/>
              </w:rPr>
              <w:t>2025年1月，端信供应链收到南京市中级人民法院裁定书，以涉嫌经济犯罪为由，裁定驳回起诉，将案件转交公安机关。</w:t>
            </w:r>
          </w:p>
        </w:tc>
        <w:tc>
          <w:tcPr>
            <w:tcW w:w="1276" w:type="dxa"/>
            <w:vAlign w:val="center"/>
          </w:tcPr>
          <w:p>
            <w:pPr>
              <w:jc w:val="center"/>
              <w:rPr>
                <w:rFonts w:cs="Times New Roman"/>
              </w:rPr>
            </w:pPr>
            <w:r>
              <w:rPr>
                <w:rFonts w:hint="eastAsia"/>
              </w:rPr>
              <w:t>67,090.00</w:t>
            </w:r>
          </w:p>
        </w:tc>
        <w:tc>
          <w:tcPr>
            <w:tcW w:w="833" w:type="dxa"/>
            <w:vAlign w:val="center"/>
          </w:tcPr>
          <w:p>
            <w:pPr>
              <w:jc w:val="center"/>
              <w:rPr>
                <w:rFonts w:cs="Times New Roman"/>
              </w:rPr>
            </w:pPr>
            <w:r>
              <w:rPr>
                <w:rFonts w:hint="eastAsia"/>
              </w:rPr>
              <w:t>否</w:t>
            </w:r>
          </w:p>
        </w:tc>
        <w:tc>
          <w:tcPr>
            <w:tcW w:w="1293" w:type="dxa"/>
            <w:vAlign w:val="center"/>
          </w:tcPr>
          <w:p>
            <w:pPr>
              <w:jc w:val="center"/>
              <w:rPr>
                <w:rFonts w:cs="Times New Roman"/>
              </w:rPr>
            </w:pPr>
            <w:r>
              <w:rPr>
                <w:rFonts w:cs="Times New Roman" w:hint="eastAsia"/>
              </w:rPr>
              <w:t>转刑事侦查，诉讼程序终结</w:t>
            </w:r>
          </w:p>
        </w:tc>
        <w:tc>
          <w:tcPr>
            <w:tcW w:w="2126" w:type="dxa"/>
            <w:vAlign w:val="center"/>
          </w:tcPr>
          <w:p>
            <w:pPr>
              <w:jc w:val="both"/>
              <w:rPr>
                <w:rFonts w:cs="Times New Roman"/>
              </w:rPr>
            </w:pPr>
            <w:r>
              <w:rPr>
                <w:rFonts w:hint="eastAsia"/>
              </w:rPr>
              <w:t>截至本报告期末，公司对本案涉及账面款项计提了减值准备，本次诉讼事项不会对公司期后利润产生不利影响。</w:t>
            </w:r>
          </w:p>
        </w:tc>
        <w:tc>
          <w:tcPr>
            <w:tcW w:w="851" w:type="dxa"/>
            <w:vAlign w:val="center"/>
          </w:tcPr>
          <w:p>
            <w:pPr>
              <w:jc w:val="center"/>
              <w:rPr>
                <w:rFonts w:cs="Times New Roman"/>
                <w:kern w:val="2"/>
              </w:rPr>
            </w:pPr>
            <w:r>
              <w:rPr>
                <w:rFonts w:cs="Times New Roman" w:hint="eastAsia"/>
                <w:kern w:val="2"/>
              </w:rPr>
              <w:t>-</w:t>
            </w:r>
          </w:p>
        </w:tc>
      </w:tr>
      <w:tr>
        <w:tc>
          <w:tcPr>
            <w:tcW w:w="1271" w:type="dxa"/>
            <w:vAlign w:val="center"/>
          </w:tcPr>
          <w:p>
            <w:pPr>
              <w:rPr>
                <w:rFonts w:cs="Times New Roman"/>
                <w:kern w:val="2"/>
              </w:rPr>
            </w:pPr>
            <w:r>
              <w:rPr>
                <w:rFonts w:hint="eastAsia"/>
              </w:rPr>
              <w:t>内蒙古金控融资租赁有限公司（“内蒙古金控”）</w:t>
            </w:r>
          </w:p>
        </w:tc>
        <w:tc>
          <w:tcPr>
            <w:tcW w:w="1276" w:type="dxa"/>
            <w:vAlign w:val="center"/>
          </w:tcPr>
          <w:p>
            <w:pPr>
              <w:jc w:val="both"/>
              <w:rPr>
                <w:rFonts w:cs="Times New Roman"/>
              </w:rPr>
            </w:pPr>
            <w:r>
              <w:rPr>
                <w:rFonts w:hint="eastAsia"/>
              </w:rPr>
              <w:t>中融盛国际融资租赁（天津）有限公司（“中融盛”）、韩</w:t>
            </w:r>
            <w:r>
              <w:rPr>
                <w:rFonts w:hint="eastAsia"/>
              </w:rPr>
              <w:lastRenderedPageBreak/>
              <w:t>艳杰、天津凯泰盛世资产管理有限公司</w:t>
            </w:r>
          </w:p>
        </w:tc>
        <w:tc>
          <w:tcPr>
            <w:tcW w:w="850" w:type="dxa"/>
            <w:vAlign w:val="center"/>
          </w:tcPr>
          <w:p>
            <w:pPr>
              <w:jc w:val="both"/>
              <w:rPr>
                <w:rFonts w:cs="Times New Roman"/>
              </w:rPr>
            </w:pPr>
            <w:r>
              <w:rPr>
                <w:rFonts w:hint="eastAsia"/>
              </w:rPr>
              <w:lastRenderedPageBreak/>
              <w:t>大唐国际发展集团有限公司（“大</w:t>
            </w:r>
            <w:r>
              <w:rPr>
                <w:rFonts w:hint="eastAsia"/>
              </w:rPr>
              <w:lastRenderedPageBreak/>
              <w:t>唐国际”）</w:t>
            </w:r>
          </w:p>
        </w:tc>
        <w:tc>
          <w:tcPr>
            <w:tcW w:w="709" w:type="dxa"/>
            <w:vAlign w:val="center"/>
          </w:tcPr>
          <w:p>
            <w:pPr>
              <w:rPr>
                <w:rFonts w:cs="Times New Roman"/>
              </w:rPr>
            </w:pPr>
            <w:r>
              <w:rPr>
                <w:rFonts w:hint="eastAsia"/>
              </w:rPr>
              <w:lastRenderedPageBreak/>
              <w:t>诉讼</w:t>
            </w:r>
          </w:p>
        </w:tc>
        <w:tc>
          <w:tcPr>
            <w:tcW w:w="3402" w:type="dxa"/>
            <w:shd w:val="clear" w:color="auto" w:fill="auto"/>
            <w:vAlign w:val="center"/>
          </w:tcPr>
          <w:p>
            <w:pPr>
              <w:jc w:val="both"/>
            </w:pPr>
            <w:r>
              <w:rPr>
                <w:rFonts w:hint="eastAsia"/>
              </w:rPr>
              <w:t>2023年11月，内蒙古金控以违反保理及融资租赁合同为由，将中融盛等被告诉至呼和浩特市中级人民法院，要求中融盛等被告支付保理及融资租赁款本金24,609.28万元</w:t>
            </w:r>
            <w:r>
              <w:rPr>
                <w:rFonts w:hint="eastAsia"/>
              </w:rPr>
              <w:lastRenderedPageBreak/>
              <w:t>及相应利息和违约金，并要求大唐国际承担连带责任。</w:t>
            </w:r>
          </w:p>
          <w:p>
            <w:pPr>
              <w:jc w:val="both"/>
              <w:rPr>
                <w:rFonts w:cs="Times New Roman"/>
                <w:color w:val="FF0000"/>
              </w:rPr>
            </w:pPr>
            <w:r>
              <w:rPr>
                <w:rFonts w:hint="eastAsia"/>
              </w:rPr>
              <w:t>截至本报告披露日，呼和浩特市中级人民法院尚未作出裁决。</w:t>
            </w:r>
          </w:p>
        </w:tc>
        <w:tc>
          <w:tcPr>
            <w:tcW w:w="1276" w:type="dxa"/>
            <w:vAlign w:val="center"/>
          </w:tcPr>
          <w:p>
            <w:pPr>
              <w:jc w:val="center"/>
              <w:rPr>
                <w:rFonts w:cs="Times New Roman"/>
              </w:rPr>
            </w:pPr>
            <w:r>
              <w:rPr>
                <w:rFonts w:hint="eastAsia"/>
              </w:rPr>
              <w:lastRenderedPageBreak/>
              <w:t>24,609.28</w:t>
            </w:r>
          </w:p>
        </w:tc>
        <w:tc>
          <w:tcPr>
            <w:tcW w:w="833" w:type="dxa"/>
            <w:vAlign w:val="center"/>
          </w:tcPr>
          <w:p>
            <w:pPr>
              <w:jc w:val="center"/>
              <w:rPr>
                <w:rFonts w:cs="Times New Roman"/>
              </w:rPr>
            </w:pPr>
            <w:r>
              <w:rPr>
                <w:rFonts w:hint="eastAsia"/>
              </w:rPr>
              <w:t>否</w:t>
            </w:r>
          </w:p>
        </w:tc>
        <w:tc>
          <w:tcPr>
            <w:tcW w:w="1293" w:type="dxa"/>
            <w:vAlign w:val="center"/>
          </w:tcPr>
          <w:p>
            <w:pPr>
              <w:jc w:val="center"/>
              <w:rPr>
                <w:rFonts w:cs="Times New Roman"/>
              </w:rPr>
            </w:pPr>
            <w:r>
              <w:rPr>
                <w:rFonts w:hint="eastAsia"/>
              </w:rPr>
              <w:t>一审程序</w:t>
            </w:r>
          </w:p>
        </w:tc>
        <w:tc>
          <w:tcPr>
            <w:tcW w:w="2126" w:type="dxa"/>
            <w:vAlign w:val="center"/>
          </w:tcPr>
          <w:p>
            <w:pPr>
              <w:jc w:val="both"/>
              <w:rPr>
                <w:rFonts w:cs="Times New Roman"/>
              </w:rPr>
            </w:pPr>
            <w:r>
              <w:rPr>
                <w:rFonts w:hint="eastAsia"/>
              </w:rPr>
              <w:t>本案目前正在履行一审程序，尚无法判断本次诉讼事项对公司期后利润的影响。</w:t>
            </w:r>
          </w:p>
        </w:tc>
        <w:tc>
          <w:tcPr>
            <w:tcW w:w="851" w:type="dxa"/>
            <w:vAlign w:val="center"/>
          </w:tcPr>
          <w:p>
            <w:pPr>
              <w:jc w:val="center"/>
              <w:rPr>
                <w:rFonts w:cs="Times New Roman"/>
                <w:kern w:val="2"/>
              </w:rPr>
            </w:pPr>
            <w:r>
              <w:rPr>
                <w:rFonts w:cs="Times New Roman" w:hint="eastAsia"/>
                <w:kern w:val="2"/>
              </w:rPr>
              <w:t>-</w:t>
            </w:r>
          </w:p>
        </w:tc>
      </w:tr>
      <w:tr>
        <w:tc>
          <w:tcPr>
            <w:tcW w:w="1271" w:type="dxa"/>
            <w:shd w:val="clear" w:color="auto" w:fill="auto"/>
            <w:vAlign w:val="center"/>
          </w:tcPr>
          <w:p>
            <w:pPr>
              <w:jc w:val="center"/>
            </w:pPr>
            <w:r>
              <w:rPr>
                <w:rFonts w:hint="eastAsia"/>
              </w:rPr>
              <w:t>兖矿能源</w:t>
            </w:r>
          </w:p>
        </w:tc>
        <w:tc>
          <w:tcPr>
            <w:tcW w:w="1276" w:type="dxa"/>
            <w:shd w:val="clear" w:color="auto" w:fill="auto"/>
            <w:vAlign w:val="center"/>
          </w:tcPr>
          <w:p>
            <w:pPr>
              <w:jc w:val="both"/>
            </w:pPr>
            <w:r>
              <w:rPr>
                <w:rFonts w:hint="eastAsia"/>
              </w:rPr>
              <w:t>内蒙古久泰新材料科技股份有限公司（“久泰公司”）</w:t>
            </w:r>
          </w:p>
        </w:tc>
        <w:tc>
          <w:tcPr>
            <w:tcW w:w="850" w:type="dxa"/>
            <w:shd w:val="clear" w:color="auto" w:fill="auto"/>
            <w:vAlign w:val="center"/>
          </w:tcPr>
          <w:p>
            <w:pPr>
              <w:jc w:val="both"/>
            </w:pPr>
            <w:r>
              <w:rPr>
                <w:rFonts w:hint="eastAsia"/>
              </w:rPr>
              <w:t>山东久泰化工科技有限责任公司、鄂尔多斯市满来商务有限公司</w:t>
            </w:r>
          </w:p>
        </w:tc>
        <w:tc>
          <w:tcPr>
            <w:tcW w:w="709" w:type="dxa"/>
            <w:shd w:val="clear" w:color="auto" w:fill="auto"/>
            <w:vAlign w:val="center"/>
          </w:tcPr>
          <w:p>
            <w:pPr>
              <w:jc w:val="center"/>
            </w:pPr>
            <w:r>
              <w:rPr>
                <w:rFonts w:hint="eastAsia"/>
              </w:rPr>
              <w:t>仲裁</w:t>
            </w:r>
          </w:p>
        </w:tc>
        <w:tc>
          <w:tcPr>
            <w:tcW w:w="3402" w:type="dxa"/>
            <w:shd w:val="clear" w:color="auto" w:fill="auto"/>
            <w:vAlign w:val="center"/>
          </w:tcPr>
          <w:p>
            <w:pPr>
              <w:jc w:val="both"/>
            </w:pPr>
            <w:r>
              <w:rPr>
                <w:rFonts w:hint="eastAsia"/>
              </w:rPr>
              <w:t>2024年8月，公司向中国贸仲提出仲裁申请，要求久泰公司退还股权转让款、违约金、垫付款等共计约14.38亿元，同时承担本案仲裁费、保全费、保险费、律师费及其他实现债权的费用，要求三名被申请人承担连带责任。</w:t>
            </w:r>
          </w:p>
          <w:p>
            <w:pPr>
              <w:jc w:val="both"/>
            </w:pPr>
            <w:r>
              <w:rPr>
                <w:rFonts w:hint="eastAsia"/>
              </w:rPr>
              <w:t>截至本报告披露日，中国贸仲尚未作出裁决。</w:t>
            </w:r>
          </w:p>
        </w:tc>
        <w:tc>
          <w:tcPr>
            <w:tcW w:w="1276" w:type="dxa"/>
            <w:shd w:val="clear" w:color="auto" w:fill="auto"/>
            <w:vAlign w:val="center"/>
          </w:tcPr>
          <w:p>
            <w:pPr>
              <w:jc w:val="center"/>
            </w:pPr>
            <w:r>
              <w:rPr>
                <w:rFonts w:hint="eastAsia"/>
              </w:rPr>
              <w:t>143,816.02</w:t>
            </w:r>
          </w:p>
        </w:tc>
        <w:tc>
          <w:tcPr>
            <w:tcW w:w="833" w:type="dxa"/>
            <w:shd w:val="clear" w:color="auto" w:fill="auto"/>
            <w:vAlign w:val="center"/>
          </w:tcPr>
          <w:p>
            <w:pPr>
              <w:jc w:val="center"/>
            </w:pPr>
            <w:r>
              <w:rPr>
                <w:rFonts w:hint="eastAsia"/>
              </w:rPr>
              <w:t>否</w:t>
            </w:r>
          </w:p>
        </w:tc>
        <w:tc>
          <w:tcPr>
            <w:tcW w:w="1293" w:type="dxa"/>
            <w:shd w:val="clear" w:color="auto" w:fill="auto"/>
            <w:vAlign w:val="center"/>
          </w:tcPr>
          <w:p>
            <w:pPr>
              <w:jc w:val="center"/>
            </w:pPr>
            <w:r>
              <w:rPr>
                <w:rFonts w:hint="eastAsia"/>
              </w:rPr>
              <w:t>仲裁中</w:t>
            </w:r>
          </w:p>
        </w:tc>
        <w:tc>
          <w:tcPr>
            <w:tcW w:w="2126" w:type="dxa"/>
            <w:shd w:val="clear" w:color="auto" w:fill="auto"/>
            <w:vAlign w:val="center"/>
          </w:tcPr>
          <w:p>
            <w:pPr>
              <w:jc w:val="both"/>
            </w:pPr>
            <w:r>
              <w:rPr>
                <w:rFonts w:hint="eastAsia"/>
              </w:rPr>
              <w:t>本案目前正在履行仲裁程序，尚无法判断本次仲裁事项对公司期后利润的影响。</w:t>
            </w:r>
          </w:p>
        </w:tc>
        <w:tc>
          <w:tcPr>
            <w:tcW w:w="851" w:type="dxa"/>
            <w:shd w:val="clear" w:color="auto" w:fill="auto"/>
            <w:vAlign w:val="center"/>
          </w:tcPr>
          <w:p>
            <w:pPr>
              <w:jc w:val="center"/>
              <w:rPr>
                <w:rFonts w:cs="Times New Roman"/>
                <w:kern w:val="2"/>
              </w:rPr>
            </w:pPr>
            <w:r>
              <w:rPr>
                <w:rFonts w:cs="Times New Roman" w:hint="eastAsia"/>
                <w:kern w:val="2"/>
              </w:rPr>
              <w:t>-</w:t>
            </w:r>
          </w:p>
        </w:tc>
      </w:tr>
      <w:tr>
        <w:tc>
          <w:tcPr>
            <w:tcW w:w="1271" w:type="dxa"/>
            <w:shd w:val="clear" w:color="auto" w:fill="auto"/>
            <w:vAlign w:val="center"/>
          </w:tcPr>
          <w:p>
            <w:pPr>
              <w:jc w:val="center"/>
            </w:pPr>
            <w:r>
              <w:rPr>
                <w:rFonts w:hint="eastAsia"/>
              </w:rPr>
              <w:t>昊盛煤业</w:t>
            </w:r>
          </w:p>
        </w:tc>
        <w:tc>
          <w:tcPr>
            <w:tcW w:w="1276" w:type="dxa"/>
            <w:shd w:val="clear" w:color="auto" w:fill="auto"/>
            <w:vAlign w:val="center"/>
          </w:tcPr>
          <w:p>
            <w:pPr>
              <w:jc w:val="both"/>
            </w:pPr>
            <w:r>
              <w:rPr>
                <w:rFonts w:hint="eastAsia"/>
              </w:rPr>
              <w:t>西部新时代投资股份有限公司（“西部新时代”）</w:t>
            </w:r>
          </w:p>
        </w:tc>
        <w:tc>
          <w:tcPr>
            <w:tcW w:w="850" w:type="dxa"/>
            <w:shd w:val="clear" w:color="auto" w:fill="auto"/>
            <w:vAlign w:val="center"/>
          </w:tcPr>
          <w:p>
            <w:pPr>
              <w:jc w:val="center"/>
            </w:pPr>
            <w:r>
              <w:rPr>
                <w:rFonts w:hint="eastAsia"/>
              </w:rPr>
              <w:t>无</w:t>
            </w:r>
          </w:p>
        </w:tc>
        <w:tc>
          <w:tcPr>
            <w:tcW w:w="709" w:type="dxa"/>
            <w:shd w:val="clear" w:color="auto" w:fill="auto"/>
            <w:vAlign w:val="center"/>
          </w:tcPr>
          <w:p>
            <w:pPr>
              <w:jc w:val="both"/>
            </w:pPr>
            <w:r>
              <w:rPr>
                <w:rFonts w:hint="eastAsia"/>
              </w:rPr>
              <w:t>仲裁</w:t>
            </w:r>
          </w:p>
        </w:tc>
        <w:tc>
          <w:tcPr>
            <w:tcW w:w="3402" w:type="dxa"/>
            <w:shd w:val="clear" w:color="auto" w:fill="auto"/>
            <w:vAlign w:val="center"/>
          </w:tcPr>
          <w:p>
            <w:pPr>
              <w:jc w:val="both"/>
            </w:pPr>
            <w:r>
              <w:rPr>
                <w:rFonts w:hint="eastAsia"/>
              </w:rPr>
              <w:t>2024年12月，昊盛煤业向济南仲裁委员会提出仲裁申请，要求西部新时代根据《增资协议》的约定履行增资义务，并承担相应违约责任等共计约12.09亿元。</w:t>
            </w:r>
          </w:p>
          <w:p>
            <w:pPr>
              <w:jc w:val="both"/>
            </w:pPr>
            <w:r>
              <w:rPr>
                <w:rFonts w:hint="eastAsia"/>
              </w:rPr>
              <w:t>截至本报告披露日，济南仲裁委员会尚未作出裁决。</w:t>
            </w:r>
          </w:p>
        </w:tc>
        <w:tc>
          <w:tcPr>
            <w:tcW w:w="1276" w:type="dxa"/>
            <w:shd w:val="clear" w:color="auto" w:fill="auto"/>
            <w:vAlign w:val="center"/>
          </w:tcPr>
          <w:p>
            <w:pPr>
              <w:jc w:val="center"/>
            </w:pPr>
            <w:r>
              <w:rPr>
                <w:rFonts w:hint="eastAsia"/>
              </w:rPr>
              <w:t>120,866.6</w:t>
            </w:r>
          </w:p>
        </w:tc>
        <w:tc>
          <w:tcPr>
            <w:tcW w:w="833" w:type="dxa"/>
            <w:shd w:val="clear" w:color="auto" w:fill="auto"/>
            <w:vAlign w:val="center"/>
          </w:tcPr>
          <w:p>
            <w:pPr>
              <w:jc w:val="center"/>
            </w:pPr>
            <w:r>
              <w:rPr>
                <w:rFonts w:hint="eastAsia"/>
              </w:rPr>
              <w:t>否</w:t>
            </w:r>
          </w:p>
        </w:tc>
        <w:tc>
          <w:tcPr>
            <w:tcW w:w="1293" w:type="dxa"/>
            <w:shd w:val="clear" w:color="auto" w:fill="auto"/>
            <w:vAlign w:val="center"/>
          </w:tcPr>
          <w:p>
            <w:pPr>
              <w:jc w:val="center"/>
            </w:pPr>
            <w:r>
              <w:rPr>
                <w:rFonts w:hint="eastAsia"/>
              </w:rPr>
              <w:t>仲裁中</w:t>
            </w:r>
          </w:p>
        </w:tc>
        <w:tc>
          <w:tcPr>
            <w:tcW w:w="2126" w:type="dxa"/>
            <w:shd w:val="clear" w:color="auto" w:fill="auto"/>
            <w:vAlign w:val="center"/>
          </w:tcPr>
          <w:p>
            <w:pPr>
              <w:jc w:val="both"/>
            </w:pPr>
            <w:r>
              <w:rPr>
                <w:rFonts w:hint="eastAsia"/>
              </w:rPr>
              <w:t>本案目前正在履行仲裁程序，尚无法判断本次仲裁事项对公司期后利润的影响。</w:t>
            </w:r>
          </w:p>
        </w:tc>
        <w:tc>
          <w:tcPr>
            <w:tcW w:w="851" w:type="dxa"/>
            <w:shd w:val="clear" w:color="auto" w:fill="auto"/>
            <w:vAlign w:val="center"/>
          </w:tcPr>
          <w:p>
            <w:pPr>
              <w:jc w:val="center"/>
              <w:rPr>
                <w:rFonts w:cs="Times New Roman"/>
                <w:kern w:val="2"/>
              </w:rPr>
            </w:pPr>
            <w:r>
              <w:rPr>
                <w:rFonts w:cs="Times New Roman" w:hint="eastAsia"/>
                <w:kern w:val="2"/>
              </w:rPr>
              <w:t>-</w:t>
            </w:r>
          </w:p>
        </w:tc>
      </w:tr>
      <w:tr>
        <w:tc>
          <w:tcPr>
            <w:tcW w:w="1271" w:type="dxa"/>
            <w:shd w:val="clear" w:color="auto" w:fill="auto"/>
            <w:vAlign w:val="center"/>
          </w:tcPr>
          <w:p>
            <w:pPr>
              <w:jc w:val="center"/>
            </w:pPr>
            <w:r>
              <w:rPr>
                <w:rFonts w:hint="eastAsia"/>
              </w:rPr>
              <w:t>昊盛煤业</w:t>
            </w:r>
          </w:p>
        </w:tc>
        <w:tc>
          <w:tcPr>
            <w:tcW w:w="1276" w:type="dxa"/>
            <w:shd w:val="clear" w:color="auto" w:fill="auto"/>
            <w:vAlign w:val="center"/>
          </w:tcPr>
          <w:p>
            <w:pPr>
              <w:jc w:val="both"/>
            </w:pPr>
            <w:r>
              <w:rPr>
                <w:rFonts w:hint="eastAsia"/>
              </w:rPr>
              <w:t>中国金谷国际信托有限责任公司（“金谷信托”）</w:t>
            </w:r>
          </w:p>
        </w:tc>
        <w:tc>
          <w:tcPr>
            <w:tcW w:w="850" w:type="dxa"/>
            <w:shd w:val="clear" w:color="auto" w:fill="auto"/>
            <w:vAlign w:val="center"/>
          </w:tcPr>
          <w:p>
            <w:pPr>
              <w:jc w:val="center"/>
            </w:pPr>
            <w:r>
              <w:rPr>
                <w:rFonts w:hint="eastAsia"/>
              </w:rPr>
              <w:t>无</w:t>
            </w:r>
          </w:p>
        </w:tc>
        <w:tc>
          <w:tcPr>
            <w:tcW w:w="709" w:type="dxa"/>
            <w:shd w:val="clear" w:color="auto" w:fill="auto"/>
            <w:vAlign w:val="center"/>
          </w:tcPr>
          <w:p>
            <w:pPr>
              <w:jc w:val="both"/>
            </w:pPr>
            <w:r>
              <w:rPr>
                <w:rFonts w:hint="eastAsia"/>
              </w:rPr>
              <w:t>诉讼</w:t>
            </w:r>
          </w:p>
        </w:tc>
        <w:tc>
          <w:tcPr>
            <w:tcW w:w="3402" w:type="dxa"/>
            <w:shd w:val="clear" w:color="auto" w:fill="auto"/>
            <w:vAlign w:val="center"/>
          </w:tcPr>
          <w:p>
            <w:pPr>
              <w:jc w:val="both"/>
            </w:pPr>
            <w:r>
              <w:rPr>
                <w:rFonts w:hint="eastAsia"/>
              </w:rPr>
              <w:t>2025年1月，昊盛煤业向鄂尔多斯市中级人民法院提出诉讼，要求金谷信托承担其继受西部新时代取得的昊盛煤业股权对应的增资义务、违约金等共计约12.09亿元。</w:t>
            </w:r>
          </w:p>
          <w:p>
            <w:pPr>
              <w:jc w:val="both"/>
            </w:pPr>
            <w:r>
              <w:rPr>
                <w:rFonts w:hint="eastAsia"/>
              </w:rPr>
              <w:t>截至本报告披露日，鄂尔多斯市中级人民法院尚未作出裁决。</w:t>
            </w:r>
          </w:p>
        </w:tc>
        <w:tc>
          <w:tcPr>
            <w:tcW w:w="1276" w:type="dxa"/>
            <w:shd w:val="clear" w:color="auto" w:fill="auto"/>
            <w:vAlign w:val="center"/>
          </w:tcPr>
          <w:p>
            <w:pPr>
              <w:jc w:val="center"/>
            </w:pPr>
            <w:r>
              <w:rPr>
                <w:rFonts w:hint="eastAsia"/>
              </w:rPr>
              <w:t>120,866.6</w:t>
            </w:r>
          </w:p>
        </w:tc>
        <w:tc>
          <w:tcPr>
            <w:tcW w:w="833" w:type="dxa"/>
            <w:shd w:val="clear" w:color="auto" w:fill="auto"/>
            <w:vAlign w:val="center"/>
          </w:tcPr>
          <w:p>
            <w:pPr>
              <w:jc w:val="center"/>
            </w:pPr>
            <w:r>
              <w:rPr>
                <w:rFonts w:hint="eastAsia"/>
              </w:rPr>
              <w:t>否</w:t>
            </w:r>
          </w:p>
        </w:tc>
        <w:tc>
          <w:tcPr>
            <w:tcW w:w="1293" w:type="dxa"/>
            <w:shd w:val="clear" w:color="auto" w:fill="auto"/>
            <w:vAlign w:val="center"/>
          </w:tcPr>
          <w:p>
            <w:pPr>
              <w:jc w:val="center"/>
            </w:pPr>
            <w:r>
              <w:rPr>
                <w:rFonts w:hint="eastAsia"/>
              </w:rPr>
              <w:t>一审程序</w:t>
            </w:r>
          </w:p>
        </w:tc>
        <w:tc>
          <w:tcPr>
            <w:tcW w:w="2126" w:type="dxa"/>
            <w:shd w:val="clear" w:color="auto" w:fill="auto"/>
            <w:vAlign w:val="center"/>
          </w:tcPr>
          <w:p>
            <w:pPr>
              <w:jc w:val="both"/>
            </w:pPr>
            <w:r>
              <w:rPr>
                <w:rFonts w:hint="eastAsia"/>
              </w:rPr>
              <w:t>本案目前正在履行一审程序，尚无法判断本次诉讼事项对公司期后利润的影响。</w:t>
            </w:r>
          </w:p>
        </w:tc>
        <w:tc>
          <w:tcPr>
            <w:tcW w:w="851" w:type="dxa"/>
            <w:shd w:val="clear" w:color="auto" w:fill="auto"/>
            <w:vAlign w:val="center"/>
          </w:tcPr>
          <w:p>
            <w:pPr>
              <w:jc w:val="center"/>
              <w:rPr>
                <w:rFonts w:cs="Times New Roman"/>
                <w:kern w:val="2"/>
              </w:rPr>
            </w:pPr>
            <w:r>
              <w:rPr>
                <w:rFonts w:cs="Times New Roman" w:hint="eastAsia"/>
                <w:kern w:val="2"/>
              </w:rPr>
              <w:t>-</w:t>
            </w:r>
          </w:p>
        </w:tc>
      </w:tr>
      <w:tr>
        <w:tc>
          <w:tcPr>
            <w:tcW w:w="1271" w:type="dxa"/>
            <w:shd w:val="clear" w:color="auto" w:fill="auto"/>
            <w:vAlign w:val="center"/>
          </w:tcPr>
          <w:p>
            <w:pPr>
              <w:jc w:val="both"/>
            </w:pPr>
            <w:r>
              <w:rPr>
                <w:rFonts w:hint="eastAsia"/>
              </w:rPr>
              <w:t>内蒙古矿业</w:t>
            </w:r>
          </w:p>
        </w:tc>
        <w:tc>
          <w:tcPr>
            <w:tcW w:w="1276" w:type="dxa"/>
            <w:shd w:val="clear" w:color="auto" w:fill="auto"/>
            <w:vAlign w:val="center"/>
          </w:tcPr>
          <w:p>
            <w:pPr>
              <w:jc w:val="both"/>
            </w:pPr>
            <w:r>
              <w:rPr>
                <w:rFonts w:hint="eastAsia"/>
              </w:rPr>
              <w:t>鄂尔多斯文化产业投资有限公司、</w:t>
            </w:r>
            <w:r>
              <w:rPr>
                <w:rFonts w:hint="eastAsia"/>
              </w:rPr>
              <w:lastRenderedPageBreak/>
              <w:t>百年树人（集团）有限公司</w:t>
            </w:r>
          </w:p>
        </w:tc>
        <w:tc>
          <w:tcPr>
            <w:tcW w:w="850" w:type="dxa"/>
            <w:shd w:val="clear" w:color="auto" w:fill="auto"/>
            <w:vAlign w:val="center"/>
          </w:tcPr>
          <w:p>
            <w:pPr>
              <w:jc w:val="center"/>
            </w:pPr>
            <w:r>
              <w:rPr>
                <w:rFonts w:hint="eastAsia"/>
              </w:rPr>
              <w:lastRenderedPageBreak/>
              <w:t>无</w:t>
            </w:r>
          </w:p>
        </w:tc>
        <w:tc>
          <w:tcPr>
            <w:tcW w:w="709" w:type="dxa"/>
            <w:shd w:val="clear" w:color="auto" w:fill="auto"/>
            <w:vAlign w:val="center"/>
          </w:tcPr>
          <w:p>
            <w:pPr>
              <w:jc w:val="both"/>
            </w:pPr>
            <w:r>
              <w:rPr>
                <w:rFonts w:hint="eastAsia"/>
              </w:rPr>
              <w:t>仲裁</w:t>
            </w:r>
          </w:p>
        </w:tc>
        <w:tc>
          <w:tcPr>
            <w:tcW w:w="3402" w:type="dxa"/>
            <w:shd w:val="clear" w:color="auto" w:fill="auto"/>
            <w:vAlign w:val="center"/>
          </w:tcPr>
          <w:p>
            <w:pPr>
              <w:jc w:val="both"/>
            </w:pPr>
            <w:r>
              <w:rPr>
                <w:rFonts w:hint="eastAsia"/>
              </w:rPr>
              <w:t>2024年10月，内蒙古矿业依据签署的《鄂尔多斯文化产业园文化教育有限公司增资协议》，向呼和浩</w:t>
            </w:r>
            <w:r>
              <w:rPr>
                <w:rFonts w:hint="eastAsia"/>
              </w:rPr>
              <w:lastRenderedPageBreak/>
              <w:t>特仲裁委员会申请仲裁。要求鄂尔多斯文化产业投资有限公司、百年树人（集团）有限公司履行回购义务，向内蒙古矿业支付股权转让款、资金占用费、违约金共计34,292.19万元。</w:t>
            </w:r>
          </w:p>
          <w:p>
            <w:pPr>
              <w:jc w:val="both"/>
            </w:pPr>
            <w:r>
              <w:rPr>
                <w:rFonts w:hint="eastAsia"/>
              </w:rPr>
              <w:t>截至本报告披露日，呼和浩特仲裁委员会尚未作出裁决。</w:t>
            </w:r>
          </w:p>
        </w:tc>
        <w:tc>
          <w:tcPr>
            <w:tcW w:w="1276" w:type="dxa"/>
            <w:shd w:val="clear" w:color="auto" w:fill="auto"/>
            <w:vAlign w:val="center"/>
          </w:tcPr>
          <w:p>
            <w:pPr>
              <w:jc w:val="center"/>
            </w:pPr>
            <w:r>
              <w:rPr>
                <w:rFonts w:hint="eastAsia"/>
              </w:rPr>
              <w:lastRenderedPageBreak/>
              <w:t>34,292.19</w:t>
            </w:r>
          </w:p>
        </w:tc>
        <w:tc>
          <w:tcPr>
            <w:tcW w:w="833" w:type="dxa"/>
            <w:shd w:val="clear" w:color="auto" w:fill="auto"/>
            <w:vAlign w:val="center"/>
          </w:tcPr>
          <w:p>
            <w:pPr>
              <w:jc w:val="center"/>
            </w:pPr>
            <w:r>
              <w:rPr>
                <w:rFonts w:hint="eastAsia"/>
              </w:rPr>
              <w:t>否</w:t>
            </w:r>
          </w:p>
        </w:tc>
        <w:tc>
          <w:tcPr>
            <w:tcW w:w="1293" w:type="dxa"/>
            <w:shd w:val="clear" w:color="auto" w:fill="auto"/>
            <w:vAlign w:val="center"/>
          </w:tcPr>
          <w:p>
            <w:pPr>
              <w:jc w:val="center"/>
            </w:pPr>
            <w:r>
              <w:rPr>
                <w:rFonts w:hint="eastAsia"/>
              </w:rPr>
              <w:t>仲裁中</w:t>
            </w:r>
          </w:p>
        </w:tc>
        <w:tc>
          <w:tcPr>
            <w:tcW w:w="2126" w:type="dxa"/>
            <w:shd w:val="clear" w:color="auto" w:fill="auto"/>
            <w:vAlign w:val="center"/>
          </w:tcPr>
          <w:p>
            <w:pPr>
              <w:jc w:val="both"/>
            </w:pPr>
            <w:r>
              <w:rPr>
                <w:rFonts w:hint="eastAsia"/>
              </w:rPr>
              <w:t>本案目前正在履行仲裁程序，尚无法判断</w:t>
            </w:r>
            <w:r>
              <w:rPr>
                <w:rFonts w:hint="eastAsia"/>
              </w:rPr>
              <w:lastRenderedPageBreak/>
              <w:t>本次仲裁事项对公司期后利润的影响。</w:t>
            </w:r>
          </w:p>
        </w:tc>
        <w:tc>
          <w:tcPr>
            <w:tcW w:w="851" w:type="dxa"/>
            <w:shd w:val="clear" w:color="auto" w:fill="auto"/>
            <w:vAlign w:val="center"/>
          </w:tcPr>
          <w:p>
            <w:pPr>
              <w:jc w:val="center"/>
              <w:rPr>
                <w:rFonts w:cs="Times New Roman"/>
                <w:kern w:val="2"/>
              </w:rPr>
            </w:pPr>
            <w:r>
              <w:rPr>
                <w:rFonts w:cs="Times New Roman" w:hint="eastAsia"/>
                <w:kern w:val="2"/>
              </w:rPr>
              <w:lastRenderedPageBreak/>
              <w:t>-</w:t>
            </w:r>
          </w:p>
        </w:tc>
      </w:tr>
      <w:bookmarkEnd w:id="179"/>
    </w:tbl>
    <w:p>
      <w:pPr>
        <w:pStyle w:val="affffffff"/>
      </w:pPr>
    </w:p>
    <w:p>
      <w:pPr>
        <w:pStyle w:val="afffffff1"/>
        <w:numPr>
          <w:ilvl w:val="0"/>
          <w:numId w:val="43"/>
        </w:numPr>
      </w:pPr>
      <w:r>
        <w:rPr>
          <w:szCs w:val="21"/>
        </w:rPr>
        <w:t>其他说明</w:t>
      </w:r>
    </w:p>
    <w:sdt>
      <w:sdtPr>
        <w:rPr>
          <w:rFonts w:hint="eastAsia"/>
          <w:szCs w:val="21"/>
        </w:rPr>
        <w:alias w:val="是否适用：重大诉讼、仲裁事项其他说明[双击切换]"/>
        <w:tag w:val="_GBC_08b4ed5586904b67b0e5328f25166753"/>
        <w:id w:val="-113061340"/>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rPr>
          <w:szCs w:val="21"/>
        </w:rPr>
        <w:sectPr>
          <w:pgSz w:w="16838" w:h="11906" w:orient="landscape"/>
          <w:pgMar w:top="1797" w:right="1525" w:bottom="1276" w:left="1440" w:header="855" w:footer="992" w:gutter="0"/>
          <w:cols w:space="425"/>
          <w:docGrid w:linePitch="312"/>
        </w:sectPr>
      </w:pPr>
    </w:p>
    <w:p>
      <w:pPr>
        <w:rPr>
          <w:szCs w:val="21"/>
        </w:rPr>
      </w:pPr>
    </w:p>
    <w:p>
      <w:pPr>
        <w:pStyle w:val="afffffff"/>
        <w:numPr>
          <w:ilvl w:val="0"/>
          <w:numId w:val="40"/>
        </w:numPr>
      </w:pPr>
      <w:r>
        <w:rPr>
          <w:rFonts w:hint="eastAsia"/>
        </w:rPr>
        <w:t>上市公司及其董事、监事、高级管理人员、控股股东、实际控制人涉嫌违法违规、受到处罚及整改情况</w:t>
      </w:r>
    </w:p>
    <w:sdt>
      <w:sdtPr>
        <w:alias w:val="是否适用：上市公司及其董事、监事、高级管理人员、持有5%以上股份的股东、实际控制人、收购人处罚及整改情况[双击切换]"/>
        <w:tag w:val="_GBC_123762bb7717485a933e24f7a072833b"/>
        <w:id w:val="459236392"/>
        <w:placeholder>
          <w:docPart w:val="GBC22222222222222222222222222222"/>
        </w:placeholder>
      </w:sdtPr>
      <w:sdtContent>
        <w:p>
          <w:pPr>
            <w:rPr>
              <w:szCs w:val="21"/>
            </w:rPr>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
        <w:numPr>
          <w:ilvl w:val="0"/>
          <w:numId w:val="40"/>
        </w:numPr>
      </w:pPr>
      <w:r>
        <w:rPr>
          <w:rFonts w:hint="eastAsia"/>
        </w:rPr>
        <w:t>报告期内公司及其控股股东、实际控制人诚信状况的说明</w:t>
      </w:r>
    </w:p>
    <w:sdt>
      <w:sdtPr>
        <w:rPr>
          <w:rFonts w:hint="eastAsia"/>
          <w:szCs w:val="21"/>
        </w:rPr>
        <w:alias w:val="是否适用：报告期内公司及其控股股东、实际控制人诚信状况的说明[双击切换]"/>
        <w:tag w:val="_GBC_c52f51ce49eb4245a9df7baca2947656"/>
        <w:id w:val="-1398662480"/>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p>
          <w:pPr>
            <w:rPr>
              <w:szCs w:val="21"/>
            </w:rPr>
          </w:pPr>
        </w:p>
      </w:sdtContent>
    </w:sdt>
    <w:p>
      <w:pPr>
        <w:ind w:firstLineChars="200" w:firstLine="420"/>
        <w:rPr>
          <w:szCs w:val="21"/>
        </w:rPr>
      </w:pPr>
      <w:r>
        <w:rPr>
          <w:rFonts w:hint="eastAsia"/>
          <w:szCs w:val="21"/>
        </w:rPr>
        <w:t>报告期内公司及其控股股东、实际控制人不存在未履行法院生效判决、所负数额较大的债务到期未清偿等不诚信的情况。</w:t>
      </w:r>
    </w:p>
    <w:p>
      <w:pPr>
        <w:rPr>
          <w:szCs w:val="21"/>
        </w:rPr>
      </w:pPr>
    </w:p>
    <w:p>
      <w:pPr>
        <w:pStyle w:val="afffffff"/>
        <w:numPr>
          <w:ilvl w:val="0"/>
          <w:numId w:val="40"/>
        </w:numPr>
      </w:pPr>
      <w:r>
        <w:rPr>
          <w:rFonts w:hint="eastAsia"/>
        </w:rPr>
        <w:t>重大关联</w:t>
      </w:r>
      <w:r>
        <w:rPr>
          <w:rFonts w:hint="eastAsia"/>
        </w:rPr>
        <w:t>/</w:t>
      </w:r>
      <w:r>
        <w:rPr>
          <w:rFonts w:hint="eastAsia"/>
        </w:rPr>
        <w:t>关连交易</w:t>
      </w:r>
    </w:p>
    <w:p>
      <w:pPr>
        <w:pStyle w:val="afffffff1"/>
        <w:numPr>
          <w:ilvl w:val="2"/>
          <w:numId w:val="44"/>
        </w:numPr>
        <w:rPr>
          <w:szCs w:val="21"/>
        </w:rPr>
      </w:pPr>
      <w:bookmarkStart w:id="180" w:name="_Toc342565953"/>
      <w:bookmarkStart w:id="181" w:name="_Toc342491961"/>
      <w:r>
        <w:rPr>
          <w:rFonts w:hint="eastAsia"/>
          <w:szCs w:val="21"/>
        </w:rPr>
        <w:t>与日常经营相关的关联</w:t>
      </w:r>
      <w:r>
        <w:rPr>
          <w:rFonts w:hint="eastAsia"/>
          <w:szCs w:val="21"/>
        </w:rPr>
        <w:t>/</w:t>
      </w:r>
      <w:r>
        <w:rPr>
          <w:rFonts w:hint="eastAsia"/>
          <w:szCs w:val="21"/>
        </w:rPr>
        <w:t>关连交易</w:t>
      </w:r>
      <w:bookmarkEnd w:id="180"/>
      <w:bookmarkEnd w:id="181"/>
    </w:p>
    <w:p>
      <w:pPr>
        <w:ind w:firstLineChars="200" w:firstLine="420"/>
      </w:pPr>
      <w:r>
        <w:rPr>
          <w:rFonts w:hint="eastAsia"/>
        </w:rPr>
        <w:t>本集团的关联/关连交易主要是本集团与控股股东山东能源及其附属公司（本集团除外）（“山东能源集团”）之间的关联/关连交易。</w:t>
      </w:r>
    </w:p>
    <w:p>
      <w:pPr>
        <w:ind w:firstLineChars="200" w:firstLine="420"/>
        <w:jc w:val="both"/>
      </w:pPr>
      <w:r>
        <w:rPr>
          <w:rFonts w:hint="eastAsia"/>
        </w:rPr>
        <w:t>在香港联交所监管规则项下，除上述关联/关连交易，还包括本集团与Glencore Coal Pty Ltd（“嘉能可”）及其附属公司（“嘉能可集团”）、瑞钢联集团有限公司（“瑞钢联”）(嘉能可、瑞钢联均为本公司重要附属公司之主要股东，因此均是本公司附属公司层面的关联/关连人士)以及关连附属公司山能财司、鲁西矿业、新疆能化及其各自的附属公司（视情况而定）之间的关联/关连交易。</w:t>
      </w:r>
    </w:p>
    <w:p>
      <w:pPr>
        <w:ind w:firstLineChars="200" w:firstLine="420"/>
      </w:pPr>
      <w:r>
        <w:rPr>
          <w:rFonts w:hint="eastAsia"/>
        </w:rPr>
        <w:t>本公司开展上述关联/关连交易的目的是为更好地实现公司与关联/关连方的资源共享和协同效应，降低交易成本和风险，提高公司盈利能力和核心竞争力。</w:t>
      </w:r>
    </w:p>
    <w:p>
      <w:pPr>
        <w:pStyle w:val="afffffffffffff8"/>
        <w:numPr>
          <w:ilvl w:val="2"/>
          <w:numId w:val="45"/>
        </w:num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414910550"/>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p>
          <w:pPr>
            <w:pStyle w:val="affffffff"/>
          </w:pPr>
        </w:p>
      </w:sdtContent>
    </w:sdt>
    <w:tbl>
      <w:tblPr>
        <w:tblStyle w:val="g12"/>
        <w:tblW w:w="0" w:type="auto"/>
        <w:tblInd w:w="0" w:type="dxa"/>
        <w:tblCellMar>
          <w:left w:w="108" w:type="dxa"/>
          <w:right w:w="108" w:type="dxa"/>
        </w:tblCellMar>
        <w:tblLook w:val="04A0" w:firstRow="1" w:lastRow="0" w:firstColumn="1" w:lastColumn="0" w:noHBand="0" w:noVBand="1"/>
      </w:tblPr>
      <w:tblGrid>
        <w:gridCol w:w="4408"/>
        <w:gridCol w:w="4415"/>
      </w:tblGrid>
      <w:tr>
        <w:sdt>
          <w:sdtPr>
            <w:tag w:val="_PLD_19f4a4c0936a4abcb8bcf98faa2411bf"/>
            <w:id w:val="109091850"/>
          </w:sdtPr>
          <w:sdtContent>
            <w:tc>
              <w:tcPr>
                <w:tcW w:w="4524" w:type="dxa"/>
                <w:vAlign w:val="center"/>
              </w:tcPr>
              <w:p>
                <w:pPr>
                  <w:jc w:val="center"/>
                  <w:rPr>
                    <w:szCs w:val="21"/>
                  </w:rPr>
                </w:pPr>
                <w:r>
                  <w:rPr>
                    <w:szCs w:val="21"/>
                  </w:rPr>
                  <w:t>事项概述</w:t>
                </w:r>
              </w:p>
            </w:tc>
          </w:sdtContent>
        </w:sdt>
        <w:sdt>
          <w:sdtPr>
            <w:tag w:val="_PLD_ee8e2b9af7fa4faa8b872d9bd167f00f"/>
            <w:id w:val="-2019916376"/>
          </w:sdtPr>
          <w:sdtContent>
            <w:tc>
              <w:tcPr>
                <w:tcW w:w="4524" w:type="dxa"/>
                <w:vAlign w:val="center"/>
              </w:tcPr>
              <w:p>
                <w:pPr>
                  <w:jc w:val="center"/>
                  <w:rPr>
                    <w:szCs w:val="21"/>
                  </w:rPr>
                </w:pPr>
                <w:r>
                  <w:rPr>
                    <w:szCs w:val="21"/>
                  </w:rPr>
                  <w:t>查询索引</w:t>
                </w:r>
              </w:p>
            </w:tc>
          </w:sdtContent>
        </w:sdt>
      </w:tr>
      <w:tr>
        <w:tc>
          <w:tcPr>
            <w:tcW w:w="4524" w:type="dxa"/>
          </w:tcPr>
          <w:p>
            <w:pPr>
              <w:rPr>
                <w:szCs w:val="21"/>
              </w:rPr>
            </w:pPr>
            <w:r>
              <w:rPr>
                <w:rFonts w:hint="eastAsia"/>
                <w:szCs w:val="21"/>
              </w:rPr>
              <w:t>与控股股东签署持续性关联/关连交易协议</w:t>
            </w:r>
          </w:p>
          <w:p>
            <w:pPr>
              <w:rPr>
                <w:szCs w:val="21"/>
              </w:rPr>
            </w:pPr>
          </w:p>
          <w:p>
            <w:pPr>
              <w:rPr>
                <w:szCs w:val="21"/>
              </w:rPr>
            </w:pPr>
            <w:r>
              <w:rPr>
                <w:rFonts w:hint="eastAsia"/>
                <w:szCs w:val="21"/>
              </w:rPr>
              <w:t>经公司2023年10月27日召开的2023年度第一次临时股东大会审议批准，公司与山东能源签署新《委托管理服务框架协议》及其所限定交易于2025年度的交易上限金额。</w:t>
            </w:r>
          </w:p>
        </w:tc>
        <w:tc>
          <w:tcPr>
            <w:tcW w:w="4524" w:type="dxa"/>
          </w:tcPr>
          <w:p>
            <w:pPr>
              <w:rPr>
                <w:szCs w:val="21"/>
              </w:rPr>
            </w:pPr>
            <w:r>
              <w:rPr>
                <w:rFonts w:hint="eastAsia"/>
                <w:szCs w:val="21"/>
              </w:rPr>
              <w:t>有关详情请见公司日期为2023年8月25日的第九届董事会第二次会议决议公告、持续性关联/关连交易的公告，以及日期为2023年10月27日的2023年度第一次临时股东大会决议公告。该等资料载于上交所网站、香港联交所网站、公司网站及\或《中国证券报》《上海证券报》《证券时报》《证券日报》。</w:t>
            </w:r>
          </w:p>
        </w:tc>
      </w:tr>
    </w:tbl>
    <w:p>
      <w:pPr>
        <w:pStyle w:val="affffffff"/>
      </w:pPr>
    </w:p>
    <w:p>
      <w:pPr>
        <w:pStyle w:val="afffffffffffff8"/>
        <w:numPr>
          <w:ilvl w:val="2"/>
          <w:numId w:val="45"/>
        </w:numPr>
      </w:pPr>
      <w:r>
        <w:t>已在临时公告披露，但有后续实施的进展或变化的事项</w:t>
      </w:r>
    </w:p>
    <w:sdt>
      <w:sdtPr>
        <w:rPr>
          <w:rFonts w:hint="eastAsia"/>
          <w:szCs w:val="21"/>
        </w:rPr>
        <w:alias w:val="是否适用：已在临时公告披露，但有后续实施的进展或变化的事项_与日常经营相关的关联交易[双击切换]"/>
        <w:tag w:val="_GBC_19ed12f3e7b5456b8509a0a5457f26b3"/>
        <w:id w:val="-359127735"/>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4"/>
        </w:rPr>
        <w:alias w:val="与日常经营相关的关联交易事项已在临时报告披露，后续实施的进展或变化"/>
        <w:tag w:val="_GBC_5fbfc287aede44a486960ae219233887"/>
        <w:id w:val="-713803014"/>
        <w:placeholder>
          <w:docPart w:val="GBC22222222222222222222222222222"/>
        </w:placeholder>
      </w:sdtPr>
      <w:sdtEndPr>
        <w:rPr>
          <w:szCs w:val="21"/>
        </w:rPr>
      </w:sdtEndPr>
      <w:sdtContent>
        <w:sdt>
          <w:sdtPr>
            <w:rPr>
              <w:rFonts w:hint="eastAsia"/>
              <w:color w:val="000000" w:themeColor="text1"/>
              <w:szCs w:val="24"/>
            </w:rPr>
            <w:alias w:val="与日常经营相关的关联交易事项已在临时报告披露，后续实施的进展或变化"/>
            <w:tag w:val="_GBC_0a4da36928c04bc784d8c97bc6a4a9d9"/>
            <w:id w:val="-1467426383"/>
          </w:sdtPr>
          <w:sdtContent>
            <w:p>
              <w:pPr>
                <w:pStyle w:val="afffffffd"/>
              </w:pPr>
              <w:r>
                <w:rPr>
                  <w:rFonts w:hint="eastAsia"/>
                </w:rPr>
                <w:t>（1）报告期内与山东能源集团持续性关联/关连交易协议审批及执行情况</w:t>
              </w:r>
            </w:p>
            <w:p>
              <w:pPr>
                <w:ind w:firstLineChars="200" w:firstLine="420"/>
              </w:pPr>
              <w:r>
                <w:rPr>
                  <w:rFonts w:hint="eastAsia"/>
                </w:rPr>
                <w:t>①商品和服务供应及保险金持续性关联/关连交易</w:t>
              </w:r>
            </w:p>
            <w:p>
              <w:pPr>
                <w:ind w:firstLineChars="200" w:firstLine="420"/>
                <w:jc w:val="both"/>
              </w:pPr>
              <w:r>
                <w:rPr>
                  <w:rFonts w:hint="eastAsia"/>
                </w:rPr>
                <w:t>公司2023年6月30日召开的2022年度股东周年大会，审议批准公司与山东能源签署《材料物资供应协议》《劳务及服务互供协议》《保险金管理协议》以及《产品、材料物资供应及资产租赁协议》，及其所限定交易于2023-2025年度交易上限金额。上述持续性关联/关连交易协议生效后追溯至2023年1月1日起生效。有关详情请见公司日期为2023年4月28日及2023年6月30日的公告以及日期为2023年6月9日的通函。</w:t>
              </w:r>
            </w:p>
            <w:p>
              <w:pPr>
                <w:ind w:firstLineChars="200" w:firstLine="420"/>
                <w:jc w:val="both"/>
              </w:pPr>
              <w:r>
                <w:rPr>
                  <w:rFonts w:hint="eastAsia"/>
                </w:rPr>
                <w:t>公司2023年10月27日召开的2023年度第一次临时股东大会，审议批准公司与山东能源签署《大宗商品购销协议》及其所限定交易于2024-2025年度的交易上限金额。有关详情请见公司日期为2023年8月25日及2023年10月27日的公告以及日期为2023年9月28日的通函。</w:t>
              </w:r>
            </w:p>
            <w:p>
              <w:pPr>
                <w:ind w:firstLineChars="200" w:firstLine="420"/>
                <w:jc w:val="both"/>
                <w:rPr>
                  <w:rFonts w:asciiTheme="minorEastAsia" w:eastAsiaTheme="minorEastAsia" w:hAnsiTheme="minorEastAsia"/>
                </w:rPr>
              </w:pPr>
              <w:r>
                <w:rPr>
                  <w:rFonts w:hint="eastAsia"/>
                  <w:szCs w:val="21"/>
                </w:rPr>
                <w:lastRenderedPageBreak/>
                <w:t>经公司2024年10月25日召开的2024年度第一次临时股东大会审议批准，公司与山东能源签署调整后的《劳务及服务互供协议》《保险金管理协议》，重新厘定《劳务及服务互供协议》《保险金管理协议》《大宗商品购销协议》所限定交易于2024-2025年度交易上限金额。</w:t>
              </w:r>
              <w:r>
                <w:rPr>
                  <w:rFonts w:asciiTheme="minorEastAsia" w:eastAsiaTheme="minorEastAsia" w:hAnsiTheme="minorEastAsia" w:hint="eastAsia"/>
                </w:rPr>
                <w:t>调整后的《劳务及服务互供协议》《保险金管理协议》追溯至2024年1月1日起生效。有关详情请见公司日期为2024年8月30日及2024年10月25日的公告以及日期为2024年9月30日的通函。</w:t>
              </w:r>
            </w:p>
            <w:p>
              <w:pPr>
                <w:ind w:firstLineChars="200" w:firstLine="420"/>
                <w:rPr>
                  <w:rFonts w:asciiTheme="minorEastAsia" w:eastAsiaTheme="minorEastAsia" w:hAnsiTheme="minorEastAsia"/>
                </w:rPr>
              </w:pPr>
              <w:r>
                <w:rPr>
                  <w:rFonts w:asciiTheme="minorEastAsia" w:eastAsiaTheme="minorEastAsia" w:hAnsiTheme="minorEastAsia" w:hint="eastAsia"/>
                </w:rPr>
                <w:t>本次调整基于公司及附属公司正常的日常经营需要，体现公平合理原则，符合公司及全体股东利益；本次调整不会对公司现在及将来的财务状况、经营成果产生不利影响；本次调整不会对公司独立性产生影响，公司业务没有因本次调整而对控股股东形成依赖。</w:t>
              </w:r>
            </w:p>
            <w:p>
              <w:pPr>
                <w:ind w:firstLineChars="200" w:firstLine="420"/>
                <w:jc w:val="both"/>
              </w:pPr>
              <w:r>
                <w:rPr>
                  <w:rFonts w:hint="eastAsia"/>
                </w:rPr>
                <w:t>除《保险金管理协议》外，确定价格的主要方式有：国家规定的价格；市场价格；以实际成本为基础厘定交易价格。交易费用可一次性或分期支付。每个公历月的最后一个营业日就当月到期应支付给另一方或应向另一方收取的有关持续性关联/关连交易款项登记入账。每个公历月发生的持续性关联/关连交易款项应于紧随下一个月度内结算完毕，但不包括当时尚未完成交易所涉及款项和仍有争议的款项。</w:t>
              </w:r>
            </w:p>
            <w:p>
              <w:pPr>
                <w:ind w:firstLineChars="200" w:firstLine="420"/>
                <w:jc w:val="both"/>
              </w:pPr>
              <w:r>
                <w:rPr>
                  <w:rFonts w:hint="eastAsia"/>
                </w:rPr>
                <w:t>2024年，本集团向山东能源集团销售商品、提供服务收取的费用总金额为136.46亿元；山东能源集团向本集团销售商品、提供服务收取的费用总金额为101.72亿元。</w:t>
              </w:r>
            </w:p>
            <w:p>
              <w:pPr>
                <w:ind w:firstLineChars="200" w:firstLine="420"/>
              </w:pPr>
              <w:r>
                <w:rPr>
                  <w:rFonts w:hint="eastAsia"/>
                </w:rPr>
                <w:t>2024年，本集团与山东能源集团购销商品、提供服务发生的持续性关联/关连交易如下表：</w:t>
              </w:r>
            </w:p>
            <w:tbl>
              <w:tblPr>
                <w:tblStyle w:val="g18"/>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701"/>
                <w:gridCol w:w="1418"/>
                <w:gridCol w:w="1701"/>
                <w:gridCol w:w="1276"/>
                <w:gridCol w:w="1031"/>
              </w:tblGrid>
              <w:tr>
                <w:trPr>
                  <w:cantSplit/>
                  <w:trHeight w:val="135"/>
                  <w:jc w:val="center"/>
                </w:trPr>
                <w:tc>
                  <w:tcPr>
                    <w:tcW w:w="1696" w:type="dxa"/>
                    <w:vMerge w:val="restart"/>
                    <w:tcBorders>
                      <w:top w:val="single" w:sz="4" w:space="0" w:color="auto"/>
                      <w:left w:val="single" w:sz="4" w:space="0" w:color="auto"/>
                      <w:bottom w:val="single" w:sz="4" w:space="0" w:color="auto"/>
                      <w:right w:val="single" w:sz="4" w:space="0" w:color="auto"/>
                    </w:tcBorders>
                    <w:vAlign w:val="center"/>
                  </w:tcPr>
                  <w:p>
                    <w:pPr>
                      <w:jc w:val="center"/>
                    </w:pPr>
                  </w:p>
                </w:tc>
                <w:tc>
                  <w:tcPr>
                    <w:tcW w:w="3119" w:type="dxa"/>
                    <w:gridSpan w:val="2"/>
                    <w:tcBorders>
                      <w:top w:val="single" w:sz="4" w:space="0" w:color="auto"/>
                      <w:left w:val="nil"/>
                      <w:bottom w:val="single" w:sz="4" w:space="0" w:color="auto"/>
                      <w:right w:val="single" w:sz="4" w:space="0" w:color="auto"/>
                    </w:tcBorders>
                    <w:vAlign w:val="center"/>
                  </w:tcPr>
                  <w:p>
                    <w:pPr>
                      <w:jc w:val="center"/>
                    </w:pPr>
                    <w:r>
                      <w:rPr>
                        <w:rFonts w:hint="eastAsia"/>
                      </w:rPr>
                      <w:t>2024年</w:t>
                    </w:r>
                  </w:p>
                </w:tc>
                <w:tc>
                  <w:tcPr>
                    <w:tcW w:w="2977" w:type="dxa"/>
                    <w:gridSpan w:val="2"/>
                    <w:tcBorders>
                      <w:top w:val="single" w:sz="4" w:space="0" w:color="auto"/>
                      <w:left w:val="nil"/>
                      <w:bottom w:val="single" w:sz="4" w:space="0" w:color="auto"/>
                      <w:right w:val="single" w:sz="4" w:space="0" w:color="auto"/>
                    </w:tcBorders>
                    <w:vAlign w:val="center"/>
                  </w:tcPr>
                  <w:p>
                    <w:pPr>
                      <w:jc w:val="center"/>
                    </w:pPr>
                    <w:r>
                      <w:rPr>
                        <w:rFonts w:hint="eastAsia"/>
                      </w:rPr>
                      <w:t>2023年</w:t>
                    </w:r>
                  </w:p>
                </w:tc>
                <w:tc>
                  <w:tcPr>
                    <w:tcW w:w="1031" w:type="dxa"/>
                    <w:vMerge w:val="restart"/>
                    <w:tcBorders>
                      <w:top w:val="single" w:sz="4" w:space="0" w:color="auto"/>
                      <w:left w:val="nil"/>
                      <w:bottom w:val="single" w:sz="4" w:space="0" w:color="auto"/>
                      <w:right w:val="single" w:sz="4" w:space="0" w:color="auto"/>
                    </w:tcBorders>
                    <w:vAlign w:val="center"/>
                  </w:tcPr>
                  <w:p>
                    <w:pPr>
                      <w:jc w:val="center"/>
                    </w:pPr>
                    <w:r>
                      <w:rPr>
                        <w:rFonts w:hint="eastAsia"/>
                      </w:rPr>
                      <w:t>关联/关连交易额增减（%）</w:t>
                    </w:r>
                  </w:p>
                </w:tc>
              </w:tr>
              <w:tr>
                <w:trPr>
                  <w:cantSplit/>
                  <w:jc w:val="center"/>
                </w:trPr>
                <w:tc>
                  <w:tcPr>
                    <w:tcW w:w="1696" w:type="dxa"/>
                    <w:vMerge/>
                    <w:tcBorders>
                      <w:top w:val="single" w:sz="4" w:space="0" w:color="auto"/>
                      <w:left w:val="single" w:sz="4" w:space="0" w:color="auto"/>
                      <w:bottom w:val="single" w:sz="4" w:space="0" w:color="auto"/>
                      <w:right w:val="single" w:sz="4" w:space="0" w:color="auto"/>
                    </w:tcBorders>
                    <w:vAlign w:val="center"/>
                  </w:tcPr>
                  <w:p>
                    <w:pPr>
                      <w:jc w:val="center"/>
                    </w:pP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金额（千元）</w:t>
                    </w:r>
                  </w:p>
                </w:tc>
                <w:tc>
                  <w:tcPr>
                    <w:tcW w:w="1418" w:type="dxa"/>
                    <w:tcBorders>
                      <w:top w:val="single" w:sz="4" w:space="0" w:color="auto"/>
                      <w:left w:val="nil"/>
                      <w:bottom w:val="single" w:sz="4" w:space="0" w:color="auto"/>
                      <w:right w:val="single" w:sz="4" w:space="0" w:color="auto"/>
                    </w:tcBorders>
                    <w:vAlign w:val="center"/>
                  </w:tcPr>
                  <w:p>
                    <w:pPr>
                      <w:jc w:val="center"/>
                    </w:pPr>
                    <w:r>
                      <w:rPr>
                        <w:rFonts w:hint="eastAsia"/>
                      </w:rPr>
                      <w:t>占营业收入比例（%）</w:t>
                    </w: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金额（千元）</w:t>
                    </w:r>
                  </w:p>
                </w:tc>
                <w:tc>
                  <w:tcPr>
                    <w:tcW w:w="1276" w:type="dxa"/>
                    <w:tcBorders>
                      <w:top w:val="single" w:sz="4" w:space="0" w:color="auto"/>
                      <w:left w:val="nil"/>
                      <w:bottom w:val="single" w:sz="4" w:space="0" w:color="auto"/>
                      <w:right w:val="single" w:sz="4" w:space="0" w:color="auto"/>
                    </w:tcBorders>
                    <w:vAlign w:val="center"/>
                  </w:tcPr>
                  <w:p>
                    <w:pPr>
                      <w:jc w:val="center"/>
                    </w:pPr>
                    <w:r>
                      <w:rPr>
                        <w:rFonts w:hint="eastAsia"/>
                      </w:rPr>
                      <w:t>占营业收入比例（%）</w:t>
                    </w:r>
                  </w:p>
                </w:tc>
                <w:tc>
                  <w:tcPr>
                    <w:tcW w:w="1031" w:type="dxa"/>
                    <w:vMerge/>
                    <w:tcBorders>
                      <w:top w:val="single" w:sz="4" w:space="0" w:color="auto"/>
                      <w:left w:val="nil"/>
                      <w:bottom w:val="single" w:sz="4" w:space="0" w:color="auto"/>
                      <w:right w:val="single" w:sz="4" w:space="0" w:color="auto"/>
                    </w:tcBorders>
                    <w:vAlign w:val="center"/>
                  </w:tcPr>
                  <w:p>
                    <w:pPr>
                      <w:jc w:val="center"/>
                    </w:pPr>
                  </w:p>
                </w:tc>
              </w:tr>
              <w:tr>
                <w:trPr>
                  <w:jc w:val="center"/>
                </w:trPr>
                <w:tc>
                  <w:tcPr>
                    <w:tcW w:w="169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本集团向山东能源集团销售商品、提供服务</w:t>
                    </w: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13,645,710</w:t>
                    </w:r>
                  </w:p>
                </w:tc>
                <w:tc>
                  <w:tcPr>
                    <w:tcW w:w="1418" w:type="dxa"/>
                    <w:tcBorders>
                      <w:top w:val="single" w:sz="4" w:space="0" w:color="auto"/>
                      <w:left w:val="nil"/>
                      <w:bottom w:val="single" w:sz="4" w:space="0" w:color="auto"/>
                      <w:right w:val="single" w:sz="4" w:space="0" w:color="auto"/>
                    </w:tcBorders>
                    <w:vAlign w:val="center"/>
                  </w:tcPr>
                  <w:p>
                    <w:pPr>
                      <w:jc w:val="center"/>
                    </w:pPr>
                    <w:r>
                      <w:rPr>
                        <w:rFonts w:hint="eastAsia"/>
                      </w:rPr>
                      <w:t>9.81</w:t>
                    </w: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11,563,971</w:t>
                    </w:r>
                  </w:p>
                </w:tc>
                <w:tc>
                  <w:tcPr>
                    <w:tcW w:w="1276" w:type="dxa"/>
                    <w:tcBorders>
                      <w:top w:val="single" w:sz="4" w:space="0" w:color="auto"/>
                      <w:left w:val="nil"/>
                      <w:bottom w:val="single" w:sz="4" w:space="0" w:color="auto"/>
                      <w:right w:val="single" w:sz="4" w:space="0" w:color="auto"/>
                    </w:tcBorders>
                    <w:vAlign w:val="center"/>
                  </w:tcPr>
                  <w:p>
                    <w:pPr>
                      <w:jc w:val="center"/>
                    </w:pPr>
                    <w:r>
                      <w:rPr>
                        <w:rFonts w:hint="eastAsia"/>
                      </w:rPr>
                      <w:t>7.73</w:t>
                    </w:r>
                  </w:p>
                </w:tc>
                <w:tc>
                  <w:tcPr>
                    <w:tcW w:w="1031" w:type="dxa"/>
                    <w:tcBorders>
                      <w:top w:val="single" w:sz="4" w:space="0" w:color="auto"/>
                      <w:left w:val="nil"/>
                      <w:bottom w:val="single" w:sz="4" w:space="0" w:color="auto"/>
                      <w:right w:val="single" w:sz="4" w:space="0" w:color="auto"/>
                    </w:tcBorders>
                    <w:vAlign w:val="center"/>
                  </w:tcPr>
                  <w:p>
                    <w:pPr>
                      <w:jc w:val="center"/>
                    </w:pPr>
                    <w:r>
                      <w:rPr>
                        <w:rFonts w:hint="eastAsia"/>
                      </w:rPr>
                      <w:t>18.00</w:t>
                    </w:r>
                  </w:p>
                </w:tc>
              </w:tr>
              <w:tr>
                <w:trPr>
                  <w:jc w:val="center"/>
                </w:trPr>
                <w:tc>
                  <w:tcPr>
                    <w:tcW w:w="1696" w:type="dxa"/>
                    <w:tcBorders>
                      <w:top w:val="single" w:sz="4" w:space="0" w:color="auto"/>
                      <w:left w:val="single" w:sz="4" w:space="0" w:color="auto"/>
                      <w:bottom w:val="single" w:sz="4" w:space="0" w:color="auto"/>
                      <w:right w:val="single" w:sz="4" w:space="0" w:color="auto"/>
                    </w:tcBorders>
                    <w:vAlign w:val="center"/>
                  </w:tcPr>
                  <w:p>
                    <w:pPr>
                      <w:jc w:val="center"/>
                    </w:pPr>
                    <w:r>
                      <w:rPr>
                        <w:rFonts w:hint="eastAsia"/>
                      </w:rPr>
                      <w:t>山东能源集团向本集团销售商品、提供服务</w:t>
                    </w: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10,171,660</w:t>
                    </w:r>
                  </w:p>
                </w:tc>
                <w:tc>
                  <w:tcPr>
                    <w:tcW w:w="1418" w:type="dxa"/>
                    <w:tcBorders>
                      <w:top w:val="single" w:sz="4" w:space="0" w:color="auto"/>
                      <w:left w:val="nil"/>
                      <w:bottom w:val="single" w:sz="4" w:space="0" w:color="auto"/>
                      <w:right w:val="single" w:sz="4" w:space="0" w:color="auto"/>
                    </w:tcBorders>
                    <w:vAlign w:val="center"/>
                  </w:tcPr>
                  <w:p>
                    <w:pPr>
                      <w:jc w:val="center"/>
                    </w:pPr>
                    <w:r>
                      <w:rPr>
                        <w:rFonts w:hint="eastAsia"/>
                      </w:rPr>
                      <w:t>7.31</w:t>
                    </w:r>
                  </w:p>
                </w:tc>
                <w:tc>
                  <w:tcPr>
                    <w:tcW w:w="1701" w:type="dxa"/>
                    <w:tcBorders>
                      <w:top w:val="single" w:sz="4" w:space="0" w:color="auto"/>
                      <w:left w:val="nil"/>
                      <w:bottom w:val="single" w:sz="4" w:space="0" w:color="auto"/>
                      <w:right w:val="single" w:sz="4" w:space="0" w:color="auto"/>
                    </w:tcBorders>
                    <w:vAlign w:val="center"/>
                  </w:tcPr>
                  <w:p>
                    <w:pPr>
                      <w:jc w:val="center"/>
                    </w:pPr>
                    <w:r>
                      <w:rPr>
                        <w:rFonts w:hint="eastAsia"/>
                      </w:rPr>
                      <w:t>7,335,209</w:t>
                    </w:r>
                  </w:p>
                </w:tc>
                <w:tc>
                  <w:tcPr>
                    <w:tcW w:w="1276" w:type="dxa"/>
                    <w:tcBorders>
                      <w:top w:val="single" w:sz="4" w:space="0" w:color="auto"/>
                      <w:left w:val="nil"/>
                      <w:bottom w:val="single" w:sz="4" w:space="0" w:color="auto"/>
                      <w:right w:val="single" w:sz="4" w:space="0" w:color="auto"/>
                    </w:tcBorders>
                    <w:vAlign w:val="center"/>
                  </w:tcPr>
                  <w:p>
                    <w:pPr>
                      <w:jc w:val="center"/>
                    </w:pPr>
                    <w:r>
                      <w:rPr>
                        <w:rFonts w:hint="eastAsia"/>
                      </w:rPr>
                      <w:t>4.89</w:t>
                    </w:r>
                  </w:p>
                </w:tc>
                <w:tc>
                  <w:tcPr>
                    <w:tcW w:w="1031" w:type="dxa"/>
                    <w:tcBorders>
                      <w:top w:val="single" w:sz="4" w:space="0" w:color="auto"/>
                      <w:left w:val="nil"/>
                      <w:bottom w:val="single" w:sz="4" w:space="0" w:color="auto"/>
                      <w:right w:val="single" w:sz="4" w:space="0" w:color="auto"/>
                    </w:tcBorders>
                    <w:vAlign w:val="center"/>
                  </w:tcPr>
                  <w:p>
                    <w:pPr>
                      <w:jc w:val="center"/>
                    </w:pPr>
                    <w:r>
                      <w:rPr>
                        <w:rFonts w:hint="eastAsia"/>
                      </w:rPr>
                      <w:t>38.67</w:t>
                    </w:r>
                  </w:p>
                </w:tc>
              </w:tr>
            </w:tbl>
            <w:p>
              <w:pPr>
                <w:ind w:firstLineChars="200" w:firstLine="420"/>
                <w:rPr>
                  <w:rFonts w:cs="Times New Roman"/>
                  <w:kern w:val="2"/>
                </w:rPr>
              </w:pPr>
              <w:r>
                <w:rPr>
                  <w:rFonts w:hint="eastAsia"/>
                </w:rPr>
                <w:t>注：上表关联/关连交易金额及所占营业收入比例，按照鲁西矿业、新疆能化实际并表日（2023年9月30日）列示，未同口径追溯调整。</w:t>
              </w:r>
            </w:p>
            <w:p>
              <w:pPr>
                <w:pStyle w:val="afffffffd"/>
              </w:pPr>
            </w:p>
            <w:p>
              <w:pPr>
                <w:ind w:firstLineChars="200" w:firstLine="420"/>
              </w:pPr>
              <w:r>
                <w:rPr>
                  <w:rFonts w:hint="eastAsia"/>
                </w:rPr>
                <w:t>2024年，本集团向山东能源集团销售煤炭对本集团利润的影响如下表：</w:t>
              </w:r>
            </w:p>
            <w:tbl>
              <w:tblPr>
                <w:tblStyle w:val="g18"/>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984"/>
                <w:gridCol w:w="1896"/>
                <w:gridCol w:w="1687"/>
              </w:tblGrid>
              <w:tr>
                <w:trPr>
                  <w:jc w:val="center"/>
                </w:trPr>
                <w:tc>
                  <w:tcPr>
                    <w:tcW w:w="3256" w:type="dxa"/>
                    <w:tcBorders>
                      <w:top w:val="single" w:sz="4" w:space="0" w:color="auto"/>
                      <w:left w:val="single" w:sz="4" w:space="0" w:color="auto"/>
                      <w:bottom w:val="single" w:sz="4" w:space="0" w:color="auto"/>
                      <w:right w:val="single" w:sz="4" w:space="0" w:color="auto"/>
                    </w:tcBorders>
                    <w:vAlign w:val="center"/>
                  </w:tcPr>
                  <w:p>
                    <w:pPr>
                      <w:pStyle w:val="afffffffd"/>
                    </w:pPr>
                  </w:p>
                </w:tc>
                <w:tc>
                  <w:tcPr>
                    <w:tcW w:w="1984" w:type="dxa"/>
                    <w:tcBorders>
                      <w:top w:val="single" w:sz="4" w:space="0" w:color="auto"/>
                      <w:left w:val="nil"/>
                      <w:bottom w:val="single" w:sz="4" w:space="0" w:color="auto"/>
                      <w:right w:val="single" w:sz="4" w:space="0" w:color="auto"/>
                    </w:tcBorders>
                    <w:vAlign w:val="center"/>
                  </w:tcPr>
                  <w:p>
                    <w:pPr>
                      <w:jc w:val="center"/>
                    </w:pPr>
                    <w:r>
                      <w:rPr>
                        <w:rFonts w:hint="eastAsia"/>
                      </w:rPr>
                      <w:t>营业收入（千元）</w:t>
                    </w:r>
                  </w:p>
                </w:tc>
                <w:tc>
                  <w:tcPr>
                    <w:tcW w:w="1896" w:type="dxa"/>
                    <w:tcBorders>
                      <w:top w:val="single" w:sz="4" w:space="0" w:color="auto"/>
                      <w:left w:val="nil"/>
                      <w:bottom w:val="single" w:sz="4" w:space="0" w:color="auto"/>
                      <w:right w:val="single" w:sz="4" w:space="0" w:color="auto"/>
                    </w:tcBorders>
                    <w:vAlign w:val="center"/>
                  </w:tcPr>
                  <w:p>
                    <w:pPr>
                      <w:jc w:val="center"/>
                    </w:pPr>
                    <w:r>
                      <w:rPr>
                        <w:rFonts w:hint="eastAsia"/>
                      </w:rPr>
                      <w:t>营业成本（千元）</w:t>
                    </w:r>
                  </w:p>
                </w:tc>
                <w:tc>
                  <w:tcPr>
                    <w:tcW w:w="1687" w:type="dxa"/>
                    <w:tcBorders>
                      <w:top w:val="single" w:sz="4" w:space="0" w:color="auto"/>
                      <w:left w:val="nil"/>
                      <w:bottom w:val="single" w:sz="4" w:space="0" w:color="auto"/>
                      <w:right w:val="single" w:sz="4" w:space="0" w:color="auto"/>
                    </w:tcBorders>
                    <w:vAlign w:val="center"/>
                  </w:tcPr>
                  <w:p>
                    <w:pPr>
                      <w:jc w:val="center"/>
                    </w:pPr>
                    <w:r>
                      <w:rPr>
                        <w:rFonts w:hint="eastAsia"/>
                      </w:rPr>
                      <w:t>毛利（千元）</w:t>
                    </w:r>
                  </w:p>
                </w:tc>
              </w:tr>
              <w:tr>
                <w:trPr>
                  <w:trHeight w:val="387"/>
                  <w:jc w:val="center"/>
                </w:trPr>
                <w:tc>
                  <w:tcPr>
                    <w:tcW w:w="3256" w:type="dxa"/>
                    <w:tcBorders>
                      <w:top w:val="single" w:sz="4" w:space="0" w:color="auto"/>
                      <w:left w:val="single" w:sz="4" w:space="0" w:color="auto"/>
                      <w:bottom w:val="single" w:sz="4" w:space="0" w:color="auto"/>
                      <w:right w:val="single" w:sz="4" w:space="0" w:color="auto"/>
                    </w:tcBorders>
                    <w:vAlign w:val="center"/>
                  </w:tcPr>
                  <w:p>
                    <w:pPr>
                      <w:pStyle w:val="afffffffd"/>
                    </w:pPr>
                    <w:r>
                      <w:rPr>
                        <w:rFonts w:hint="eastAsia"/>
                      </w:rPr>
                      <w:t>向山东能源集团销售煤炭</w:t>
                    </w:r>
                  </w:p>
                </w:tc>
                <w:tc>
                  <w:tcPr>
                    <w:tcW w:w="1984" w:type="dxa"/>
                    <w:tcBorders>
                      <w:top w:val="single" w:sz="4" w:space="0" w:color="auto"/>
                      <w:left w:val="nil"/>
                      <w:bottom w:val="single" w:sz="4" w:space="0" w:color="auto"/>
                      <w:right w:val="single" w:sz="4" w:space="0" w:color="auto"/>
                    </w:tcBorders>
                    <w:vAlign w:val="center"/>
                  </w:tcPr>
                  <w:p>
                    <w:pPr>
                      <w:jc w:val="center"/>
                    </w:pPr>
                    <w:r>
                      <w:rPr>
                        <w:rFonts w:hint="eastAsia"/>
                      </w:rPr>
                      <w:t>9,832,951</w:t>
                    </w:r>
                  </w:p>
                </w:tc>
                <w:tc>
                  <w:tcPr>
                    <w:tcW w:w="1896" w:type="dxa"/>
                    <w:tcBorders>
                      <w:top w:val="single" w:sz="4" w:space="0" w:color="auto"/>
                      <w:left w:val="nil"/>
                      <w:bottom w:val="single" w:sz="4" w:space="0" w:color="auto"/>
                      <w:right w:val="single" w:sz="4" w:space="0" w:color="auto"/>
                    </w:tcBorders>
                    <w:vAlign w:val="center"/>
                  </w:tcPr>
                  <w:p>
                    <w:pPr>
                      <w:jc w:val="center"/>
                    </w:pPr>
                    <w:r>
                      <w:rPr>
                        <w:rFonts w:hint="eastAsia"/>
                      </w:rPr>
                      <w:t>5,014,805</w:t>
                    </w:r>
                  </w:p>
                </w:tc>
                <w:tc>
                  <w:tcPr>
                    <w:tcW w:w="1687" w:type="dxa"/>
                    <w:tcBorders>
                      <w:top w:val="single" w:sz="4" w:space="0" w:color="auto"/>
                      <w:left w:val="nil"/>
                      <w:bottom w:val="single" w:sz="4" w:space="0" w:color="auto"/>
                      <w:right w:val="single" w:sz="4" w:space="0" w:color="auto"/>
                    </w:tcBorders>
                    <w:vAlign w:val="center"/>
                  </w:tcPr>
                  <w:p>
                    <w:pPr>
                      <w:jc w:val="center"/>
                    </w:pPr>
                    <w:r>
                      <w:rPr>
                        <w:rFonts w:hint="eastAsia"/>
                      </w:rPr>
                      <w:t>4,818,146</w:t>
                    </w:r>
                  </w:p>
                </w:tc>
              </w:tr>
            </w:tbl>
            <w:p>
              <w:pPr>
                <w:rPr>
                  <w:rFonts w:cs="Times New Roman"/>
                  <w:kern w:val="2"/>
                </w:rPr>
              </w:pPr>
            </w:p>
            <w:p>
              <w:pPr>
                <w:ind w:firstLineChars="200" w:firstLine="420"/>
              </w:pPr>
              <w:r>
                <w:rPr>
                  <w:rFonts w:hint="eastAsia"/>
                </w:rPr>
                <w:t>根据《保险金管理协议》，山东能源集团和兖矿能源相互为对方无偿提供社会保险、住房公积金、企业年金（“保险金”）管理和费用转缴服务。</w:t>
              </w:r>
            </w:p>
            <w:p>
              <w:pPr>
                <w:ind w:firstLineChars="200" w:firstLine="420"/>
                <w:rPr>
                  <w:shd w:val="clear" w:color="auto" w:fill="FFFFFF"/>
                </w:rPr>
              </w:pPr>
              <w:r>
                <w:rPr>
                  <w:rFonts w:hint="eastAsia"/>
                </w:rPr>
                <w:t>②金融服务持续性关联/关连交易</w:t>
              </w:r>
            </w:p>
            <w:p>
              <w:pPr>
                <w:ind w:firstLineChars="200" w:firstLine="420"/>
              </w:pPr>
              <w:r>
                <w:rPr>
                  <w:rFonts w:hint="eastAsia"/>
                </w:rPr>
                <w:t>公司2022年10月28日召开的2022年度第二次临时股东大会，审议批准山能财司与山东能源签署《金融服务协议》（“山东能源集团《金融服务协议》”），约定山能财司向山东能源集团提供存款、综合授信以及其他金融服务及其所限定交易在2023-2025年每年的交易上限金额。相关存款利率、贷款利率及服务费均按照中国人民银行或金融监管机构的有关规定，参照正常商业条款厘定。有关详情请见公司日期为2022年8月26日及2022年10月28日的公告以及日期为2022年10月12日的通函。</w:t>
              </w:r>
            </w:p>
            <w:p>
              <w:pPr>
                <w:ind w:firstLineChars="200" w:firstLine="420"/>
              </w:pPr>
              <w:r>
                <w:rPr>
                  <w:rFonts w:hint="eastAsia"/>
                </w:rPr>
                <w:t>2024年12月31日山东能源集团在山能财司的存款为225.25亿元，综合授信余额为160.51亿元，2024年，发生的金融服务费用为144.00万元。</w:t>
              </w:r>
            </w:p>
            <w:p>
              <w:pPr>
                <w:ind w:firstLineChars="200" w:firstLine="420"/>
              </w:pPr>
              <w:r>
                <w:rPr>
                  <w:rFonts w:hint="eastAsia"/>
                </w:rPr>
                <w:t>公司2022年10月28日召开的2022年度第二次临时股东大会，审议批准山能财司与兖矿能源签署《金融服务协议》（“兖矿能源《金融服务协议》”），约定山能财司向本集团提供存款、综合授信以及其他金融服务及其所限定交易在2023-2025年每年的交易上限金额。相关存款利率、贷款利率及服务费均按照中国人民银行或金融监管机构的有关规定，参照正常商业条款厘定。有关详情请见公司日期为2022年8月26日及2022年10月28日的公告以及日期为2022年10月12日的通函。</w:t>
              </w:r>
            </w:p>
            <w:p>
              <w:pPr>
                <w:ind w:firstLineChars="200" w:firstLine="420"/>
              </w:pPr>
              <w:r>
                <w:rPr>
                  <w:rFonts w:hint="eastAsia"/>
                </w:rPr>
                <w:lastRenderedPageBreak/>
                <w:t>经公司总经理办公会审议批准，公司在不改变兖矿能源《金融服务协议》其他条款的前提下上调了山能财司于截至</w:t>
              </w:r>
              <w:r>
                <w:t>2024年12月31日及2025年12月31日止两个年度各年向本集团提供综合授信的每日最高余额（含累计利息）分别至人民币260亿元及人民币300亿元，及本集团于截至2024年12月31日及2025年12月31日止两个年度各年就其他金融服务应付的最高年度费用分别至人民币800万元及人民币1000万元。</w:t>
              </w:r>
            </w:p>
            <w:p>
              <w:pPr>
                <w:ind w:firstLineChars="200" w:firstLine="420"/>
              </w:pPr>
              <w:r>
                <w:rPr>
                  <w:rFonts w:hint="eastAsia"/>
                </w:rPr>
                <w:t>2024年12月31日本集团在山能财司的存款为51.43亿元，综合授信余额为163.03亿元，2024年，发生的金融服务费用为370.00万元。</w:t>
              </w:r>
            </w:p>
            <w:p>
              <w:pPr>
                <w:ind w:firstLineChars="200" w:firstLine="420"/>
              </w:pPr>
              <w:r>
                <w:rPr>
                  <w:rFonts w:hint="eastAsia"/>
                </w:rPr>
                <w:t>③融资租赁持续性关联/关连交易</w:t>
              </w:r>
            </w:p>
            <w:p>
              <w:pPr>
                <w:ind w:firstLineChars="200" w:firstLine="420"/>
                <w:jc w:val="both"/>
                <w:rPr>
                  <w:shd w:val="clear" w:color="auto" w:fill="FFFFFF"/>
                </w:rPr>
              </w:pPr>
              <w:r>
                <w:rPr>
                  <w:rFonts w:hint="eastAsia"/>
                </w:rPr>
                <w:t>公司2023年10月27日召开的2023年度第一次临时股东大会，</w:t>
              </w:r>
              <w:r>
                <w:rPr>
                  <w:rFonts w:hint="eastAsia"/>
                  <w:shd w:val="clear" w:color="auto" w:fill="FFFFFF"/>
                </w:rPr>
                <w:t>审议批准公司与</w:t>
              </w:r>
              <w:r>
                <w:rPr>
                  <w:rFonts w:hint="eastAsia"/>
                </w:rPr>
                <w:t>山东能源集团</w:t>
              </w:r>
              <w:r>
                <w:rPr>
                  <w:rFonts w:hint="eastAsia"/>
                  <w:shd w:val="clear" w:color="auto" w:fill="FFFFFF"/>
                </w:rPr>
                <w:t>签署《融资租赁协议》及其所限定交易于</w:t>
              </w:r>
              <w:r>
                <w:rPr>
                  <w:rFonts w:hint="eastAsia"/>
                </w:rPr>
                <w:t>2024-2025年每年</w:t>
              </w:r>
              <w:r>
                <w:rPr>
                  <w:rFonts w:hint="eastAsia"/>
                  <w:shd w:val="clear" w:color="auto" w:fill="FFFFFF"/>
                </w:rPr>
                <w:t>的交易上限金额。确定租赁利率的方式为在全国银行间同业拆借中心公布的同期贷款市场报价利率的基础上上浮不低于5%，最高利率不超过7.5%。有关详情请见公司日期为2023年8月25日及2023年10月27日的公告以及日期为2023年9月28日的通函。</w:t>
              </w:r>
            </w:p>
            <w:p>
              <w:pPr>
                <w:ind w:firstLineChars="200" w:firstLine="420"/>
                <w:jc w:val="both"/>
                <w:rPr>
                  <w:shd w:val="clear" w:color="auto" w:fill="FFFFFF"/>
                </w:rPr>
              </w:pPr>
              <w:r>
                <w:rPr>
                  <w:rFonts w:hint="eastAsia"/>
                  <w:shd w:val="clear" w:color="auto" w:fill="FFFFFF"/>
                </w:rPr>
                <w:t>根据《融资租赁协议》，本公司向</w:t>
              </w:r>
              <w:r>
                <w:rPr>
                  <w:rFonts w:hint="eastAsia"/>
                </w:rPr>
                <w:t>山东能源集团</w:t>
              </w:r>
              <w:r>
                <w:rPr>
                  <w:rFonts w:hint="eastAsia"/>
                  <w:shd w:val="clear" w:color="auto" w:fill="FFFFFF"/>
                </w:rPr>
                <w:t>提供融资租赁服务，在本公司支付租赁资产转让价款当日或之前一次性收取手续费或咨询费，按季度收取租金。</w:t>
              </w:r>
            </w:p>
            <w:p>
              <w:pPr>
                <w:ind w:firstLineChars="200" w:firstLine="420"/>
                <w:jc w:val="both"/>
                <w:rPr>
                  <w:rFonts w:cs="Arial"/>
                  <w:color w:val="333333"/>
                </w:rPr>
              </w:pPr>
              <w:r>
                <w:rPr>
                  <w:rFonts w:cs="Arial" w:hint="eastAsia"/>
                  <w:color w:val="333333"/>
                </w:rPr>
                <w:t>2024年，发生融资租赁本金余额、租赁利息、手续费和咨询费共计100,189万元。</w:t>
              </w:r>
            </w:p>
            <w:p>
              <w:pPr>
                <w:ind w:firstLine="420"/>
                <w:jc w:val="both"/>
                <w:rPr>
                  <w:rFonts w:cs="Times New Roman"/>
                </w:rPr>
              </w:pPr>
              <w:r>
                <w:rPr>
                  <w:rFonts w:cs="Arial" w:hint="eastAsia"/>
                  <w:color w:val="333333"/>
                </w:rPr>
                <w:t>④</w:t>
              </w:r>
              <w:r>
                <w:rPr>
                  <w:rFonts w:hint="eastAsia"/>
                </w:rPr>
                <w:t xml:space="preserve">委托管理持续性关联/关连交易 </w:t>
              </w:r>
            </w:p>
            <w:p>
              <w:pPr>
                <w:ind w:firstLineChars="200" w:firstLine="420"/>
                <w:jc w:val="both"/>
              </w:pPr>
              <w:r>
                <w:rPr>
                  <w:rFonts w:hint="eastAsia"/>
                </w:rPr>
                <w:t>公司2022年1月27日召开的第八届董事会第二十次会议，审议批准公司与山东能源集团签订《委托管理服务框架协议》及其所限定交易于2022-2024年每年的年度交易上限金额。委托管理费用由双方根据具体标的资产的状况、兖矿能源进行委托管理的成本及标的资产的盈利情况确定。协议有效期内，兖矿能源收取的委托管理费用年度上限金额为人民币6,000万元。有关详情请见公司日期为2022年1月27日的公告。</w:t>
              </w:r>
            </w:p>
            <w:p>
              <w:pPr>
                <w:ind w:firstLineChars="200" w:firstLine="420"/>
                <w:jc w:val="both"/>
              </w:pPr>
              <w:r>
                <w:rPr>
                  <w:rFonts w:hint="eastAsia"/>
                </w:rPr>
                <w:t>2024年，山东能源集团向公司支付委托管理费用4,170万元。</w:t>
              </w:r>
            </w:p>
            <w:p>
              <w:pPr>
                <w:ind w:firstLineChars="200" w:firstLine="420"/>
                <w:jc w:val="both"/>
              </w:pPr>
              <w:r>
                <w:rPr>
                  <w:rFonts w:hint="eastAsia"/>
                </w:rPr>
                <w:t>上述持续性关联/关连交易协议限定的2024年交易上限金额及2024年实际交易情况如下：</w:t>
              </w:r>
            </w:p>
            <w:p>
              <w:pPr>
                <w:pStyle w:val="afffffffd"/>
              </w:pPr>
            </w:p>
            <w:tbl>
              <w:tblPr>
                <w:tblStyle w:val="g18"/>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518"/>
                <w:gridCol w:w="1579"/>
                <w:gridCol w:w="2410"/>
                <w:gridCol w:w="1368"/>
                <w:gridCol w:w="1315"/>
              </w:tblGrid>
              <w:tr>
                <w:trPr>
                  <w:jc w:val="center"/>
                </w:trPr>
                <w:tc>
                  <w:tcPr>
                    <w:tcW w:w="359" w:type="pct"/>
                    <w:tcBorders>
                      <w:top w:val="single" w:sz="4" w:space="0" w:color="auto"/>
                      <w:left w:val="single" w:sz="4" w:space="0" w:color="auto"/>
                      <w:bottom w:val="single" w:sz="4" w:space="0" w:color="auto"/>
                      <w:right w:val="single" w:sz="4" w:space="0" w:color="auto"/>
                    </w:tcBorders>
                    <w:vAlign w:val="center"/>
                  </w:tcPr>
                  <w:p>
                    <w:pPr>
                      <w:jc w:val="center"/>
                    </w:pPr>
                    <w:bookmarkStart w:id="182" w:name="_Hlk156830398"/>
                    <w:r>
                      <w:rPr>
                        <w:rFonts w:hint="eastAsia"/>
                      </w:rPr>
                      <w:t>序号</w:t>
                    </w:r>
                    <w:bookmarkEnd w:id="182"/>
                  </w:p>
                </w:tc>
                <w:tc>
                  <w:tcPr>
                    <w:tcW w:w="1755" w:type="pct"/>
                    <w:gridSpan w:val="2"/>
                    <w:tcBorders>
                      <w:top w:val="single" w:sz="4" w:space="0" w:color="auto"/>
                      <w:left w:val="nil"/>
                      <w:bottom w:val="single" w:sz="4" w:space="0" w:color="auto"/>
                      <w:right w:val="single" w:sz="4" w:space="0" w:color="auto"/>
                    </w:tcBorders>
                    <w:vAlign w:val="center"/>
                  </w:tcPr>
                  <w:p>
                    <w:pPr>
                      <w:jc w:val="center"/>
                    </w:pPr>
                    <w:r>
                      <w:rPr>
                        <w:rFonts w:hint="eastAsia"/>
                      </w:rPr>
                      <w:t>关联/关连交易类别</w:t>
                    </w:r>
                  </w:p>
                </w:tc>
                <w:tc>
                  <w:tcPr>
                    <w:tcW w:w="1366" w:type="pct"/>
                    <w:tcBorders>
                      <w:top w:val="single" w:sz="4" w:space="0" w:color="auto"/>
                      <w:left w:val="nil"/>
                      <w:bottom w:val="single" w:sz="4" w:space="0" w:color="auto"/>
                      <w:right w:val="single" w:sz="4" w:space="0" w:color="auto"/>
                    </w:tcBorders>
                    <w:vAlign w:val="center"/>
                  </w:tcPr>
                  <w:p>
                    <w:pPr>
                      <w:jc w:val="center"/>
                    </w:pPr>
                    <w:r>
                      <w:rPr>
                        <w:rFonts w:hint="eastAsia"/>
                      </w:rPr>
                      <w:t>执行依据</w:t>
                    </w:r>
                  </w:p>
                </w:tc>
                <w:tc>
                  <w:tcPr>
                    <w:tcW w:w="775" w:type="pct"/>
                    <w:tcBorders>
                      <w:top w:val="single" w:sz="4" w:space="0" w:color="auto"/>
                      <w:left w:val="nil"/>
                      <w:bottom w:val="single" w:sz="4" w:space="0" w:color="auto"/>
                      <w:right w:val="single" w:sz="4" w:space="0" w:color="auto"/>
                    </w:tcBorders>
                    <w:vAlign w:val="center"/>
                  </w:tcPr>
                  <w:p>
                    <w:pPr>
                      <w:jc w:val="center"/>
                    </w:pPr>
                    <w:r>
                      <w:rPr>
                        <w:rFonts w:hint="eastAsia"/>
                      </w:rPr>
                      <w:t>2024年交易上限金额（千元）</w:t>
                    </w:r>
                  </w:p>
                </w:tc>
                <w:tc>
                  <w:tcPr>
                    <w:tcW w:w="745" w:type="pct"/>
                    <w:tcBorders>
                      <w:top w:val="single" w:sz="4" w:space="0" w:color="auto"/>
                      <w:left w:val="nil"/>
                      <w:bottom w:val="single" w:sz="4" w:space="0" w:color="auto"/>
                      <w:right w:val="single" w:sz="4" w:space="0" w:color="auto"/>
                    </w:tcBorders>
                    <w:vAlign w:val="center"/>
                  </w:tcPr>
                  <w:p>
                    <w:pPr>
                      <w:jc w:val="center"/>
                    </w:pPr>
                    <w:r>
                      <w:rPr>
                        <w:rFonts w:hint="eastAsia"/>
                      </w:rPr>
                      <w:t>2024年实际执行额（千元）</w:t>
                    </w:r>
                  </w:p>
                </w:tc>
              </w:tr>
              <w:tr>
                <w:trPr>
                  <w:jc w:val="center"/>
                </w:trPr>
                <w:tc>
                  <w:tcPr>
                    <w:tcW w:w="359" w:type="pc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1</w:t>
                    </w: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从山东能源集团采购材料物资和设备</w:t>
                    </w:r>
                  </w:p>
                </w:tc>
                <w:tc>
                  <w:tcPr>
                    <w:tcW w:w="1366" w:type="pct"/>
                    <w:tcBorders>
                      <w:top w:val="single" w:sz="4" w:space="0" w:color="auto"/>
                      <w:left w:val="nil"/>
                      <w:bottom w:val="single" w:sz="4" w:space="0" w:color="auto"/>
                      <w:right w:val="single" w:sz="4" w:space="0" w:color="auto"/>
                    </w:tcBorders>
                    <w:vAlign w:val="center"/>
                  </w:tcPr>
                  <w:p>
                    <w:pPr>
                      <w:jc w:val="center"/>
                    </w:pPr>
                    <w:r>
                      <w:rPr>
                        <w:rFonts w:hint="eastAsia"/>
                      </w:rPr>
                      <w:t>《材料物资供应协议》</w:t>
                    </w:r>
                  </w:p>
                </w:tc>
                <w:tc>
                  <w:tcPr>
                    <w:tcW w:w="775" w:type="pct"/>
                    <w:tcBorders>
                      <w:top w:val="single" w:sz="4" w:space="0" w:color="auto"/>
                      <w:left w:val="nil"/>
                      <w:bottom w:val="single" w:sz="4" w:space="0" w:color="auto"/>
                      <w:right w:val="single" w:sz="4" w:space="0" w:color="auto"/>
                    </w:tcBorders>
                    <w:vAlign w:val="center"/>
                  </w:tcPr>
                  <w:p>
                    <w:pPr>
                      <w:jc w:val="right"/>
                    </w:pPr>
                    <w:r>
                      <w:t>5,370,000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3,192,930</w:t>
                    </w:r>
                  </w:p>
                </w:tc>
              </w:tr>
              <w:tr>
                <w:trPr>
                  <w:jc w:val="center"/>
                </w:trPr>
                <w:tc>
                  <w:tcPr>
                    <w:tcW w:w="359" w:type="pct"/>
                    <w:vMerge w:val="restart"/>
                    <w:tcBorders>
                      <w:top w:val="nil"/>
                      <w:left w:val="single" w:sz="4" w:space="0" w:color="auto"/>
                      <w:bottom w:val="single" w:sz="4" w:space="0" w:color="auto"/>
                      <w:right w:val="single" w:sz="4" w:space="0" w:color="auto"/>
                    </w:tcBorders>
                    <w:vAlign w:val="center"/>
                  </w:tcPr>
                  <w:p>
                    <w:pPr>
                      <w:jc w:val="center"/>
                    </w:pPr>
                    <w:r>
                      <w:rPr>
                        <w:rFonts w:hint="eastAsia"/>
                      </w:rPr>
                      <w:t>2</w:t>
                    </w: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接受山东能源集团劳务及服务</w:t>
                    </w:r>
                  </w:p>
                </w:tc>
                <w:tc>
                  <w:tcPr>
                    <w:tcW w:w="1366" w:type="pct"/>
                    <w:vMerge w:val="restart"/>
                    <w:tcBorders>
                      <w:top w:val="nil"/>
                      <w:left w:val="nil"/>
                      <w:bottom w:val="single" w:sz="4" w:space="0" w:color="auto"/>
                      <w:right w:val="single" w:sz="4" w:space="0" w:color="auto"/>
                    </w:tcBorders>
                    <w:vAlign w:val="center"/>
                  </w:tcPr>
                  <w:p>
                    <w:pPr>
                      <w:jc w:val="center"/>
                    </w:pPr>
                    <w:r>
                      <w:rPr>
                        <w:rFonts w:hint="eastAsia"/>
                      </w:rPr>
                      <w:t>《劳务及服务互供协议》</w:t>
                    </w: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5</w:t>
                    </w:r>
                    <w:r>
                      <w:t>,</w:t>
                    </w:r>
                    <w:r>
                      <w:rPr>
                        <w:rFonts w:hint="eastAsia"/>
                      </w:rPr>
                      <w:t>662</w:t>
                    </w:r>
                    <w:r>
                      <w:t>,000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3,868,450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1755" w:type="pct"/>
                    <w:gridSpan w:val="2"/>
                    <w:tcBorders>
                      <w:top w:val="single" w:sz="4" w:space="0" w:color="auto"/>
                      <w:left w:val="nil"/>
                      <w:bottom w:val="single" w:sz="4" w:space="0" w:color="auto"/>
                      <w:right w:val="single" w:sz="4" w:space="0" w:color="auto"/>
                    </w:tcBorders>
                    <w:vAlign w:val="center"/>
                  </w:tcPr>
                  <w:p>
                    <w:pPr>
                      <w:pStyle w:val="afffffffd"/>
                    </w:pPr>
                    <w:r>
                      <w:rPr>
                        <w:rFonts w:hint="eastAsia"/>
                      </w:rPr>
                      <w:t>向山东能源集团提供劳务及服务</w:t>
                    </w:r>
                  </w:p>
                </w:tc>
                <w:tc>
                  <w:tcPr>
                    <w:tcW w:w="0" w:type="auto"/>
                    <w:vMerge/>
                    <w:tcBorders>
                      <w:top w:val="nil"/>
                      <w:left w:val="nil"/>
                      <w:bottom w:val="single" w:sz="4" w:space="0" w:color="auto"/>
                      <w:right w:val="single" w:sz="4" w:space="0" w:color="auto"/>
                    </w:tcBorders>
                    <w:vAlign w:val="center"/>
                  </w:tcPr>
                  <w:p>
                    <w:pPr>
                      <w:pStyle w:val="afffffffd"/>
                    </w:pPr>
                  </w:p>
                </w:tc>
                <w:tc>
                  <w:tcPr>
                    <w:tcW w:w="775" w:type="pct"/>
                    <w:tcBorders>
                      <w:top w:val="single" w:sz="4" w:space="0" w:color="auto"/>
                      <w:left w:val="nil"/>
                      <w:bottom w:val="single" w:sz="4" w:space="0" w:color="auto"/>
                      <w:right w:val="single" w:sz="4" w:space="0" w:color="auto"/>
                    </w:tcBorders>
                    <w:vAlign w:val="center"/>
                  </w:tcPr>
                  <w:p>
                    <w:pPr>
                      <w:jc w:val="right"/>
                    </w:pPr>
                    <w:r>
                      <w:t>1</w:t>
                    </w:r>
                    <w:r>
                      <w:rPr>
                        <w:rFonts w:hint="eastAsia"/>
                      </w:rPr>
                      <w:t>,360</w:t>
                    </w:r>
                    <w:r>
                      <w:t>,000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988,610</w:t>
                    </w:r>
                  </w:p>
                </w:tc>
              </w:tr>
              <w:tr>
                <w:trPr>
                  <w:jc w:val="center"/>
                </w:trPr>
                <w:tc>
                  <w:tcPr>
                    <w:tcW w:w="359" w:type="pct"/>
                    <w:vMerge w:val="restart"/>
                    <w:tcBorders>
                      <w:top w:val="single" w:sz="4" w:space="0" w:color="auto"/>
                      <w:left w:val="single" w:sz="4" w:space="0" w:color="auto"/>
                      <w:right w:val="single" w:sz="4" w:space="0" w:color="auto"/>
                    </w:tcBorders>
                    <w:vAlign w:val="center"/>
                  </w:tcPr>
                  <w:p>
                    <w:pPr>
                      <w:jc w:val="center"/>
                    </w:pPr>
                    <w:r>
                      <w:rPr>
                        <w:rFonts w:hint="eastAsia"/>
                      </w:rPr>
                      <w:t>3</w:t>
                    </w: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山东能源集团无偿向本集团提供保险金管理和费用转缴服务</w:t>
                    </w:r>
                  </w:p>
                </w:tc>
                <w:tc>
                  <w:tcPr>
                    <w:tcW w:w="1366" w:type="pct"/>
                    <w:vMerge w:val="restart"/>
                    <w:tcBorders>
                      <w:top w:val="single" w:sz="4" w:space="0" w:color="auto"/>
                      <w:left w:val="nil"/>
                      <w:right w:val="single" w:sz="4" w:space="0" w:color="auto"/>
                    </w:tcBorders>
                    <w:vAlign w:val="center"/>
                  </w:tcPr>
                  <w:p>
                    <w:pPr>
                      <w:jc w:val="center"/>
                    </w:pPr>
                    <w:r>
                      <w:rPr>
                        <w:rFonts w:hint="eastAsia"/>
                      </w:rPr>
                      <w:t>《保险金管理协议》</w:t>
                    </w: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648</w:t>
                    </w:r>
                    <w:r>
                      <w:t>,000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454,790</w:t>
                    </w:r>
                  </w:p>
                </w:tc>
              </w:tr>
              <w:tr>
                <w:trPr>
                  <w:jc w:val="center"/>
                </w:trPr>
                <w:tc>
                  <w:tcPr>
                    <w:tcW w:w="359" w:type="pct"/>
                    <w:vMerge/>
                    <w:tcBorders>
                      <w:left w:val="single" w:sz="4" w:space="0" w:color="auto"/>
                      <w:bottom w:val="single" w:sz="4" w:space="0" w:color="auto"/>
                      <w:right w:val="single" w:sz="4" w:space="0" w:color="auto"/>
                    </w:tcBorders>
                    <w:vAlign w:val="center"/>
                  </w:tcPr>
                  <w:p>
                    <w:pPr>
                      <w:jc w:val="center"/>
                    </w:pP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本集团无偿向山东能源集团提供保险金管理和费用转缴服务</w:t>
                    </w:r>
                  </w:p>
                </w:tc>
                <w:tc>
                  <w:tcPr>
                    <w:tcW w:w="1366" w:type="pct"/>
                    <w:vMerge/>
                    <w:tcBorders>
                      <w:left w:val="nil"/>
                      <w:bottom w:val="single" w:sz="4" w:space="0" w:color="auto"/>
                      <w:right w:val="single" w:sz="4" w:space="0" w:color="auto"/>
                    </w:tcBorders>
                    <w:vAlign w:val="center"/>
                  </w:tcPr>
                  <w:p>
                    <w:pPr>
                      <w:jc w:val="center"/>
                    </w:pP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296,000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261,840</w:t>
                    </w:r>
                  </w:p>
                </w:tc>
              </w:tr>
              <w:tr>
                <w:trPr>
                  <w:jc w:val="center"/>
                </w:trPr>
                <w:tc>
                  <w:tcPr>
                    <w:tcW w:w="359" w:type="pc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4</w:t>
                    </w: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向山东能源集团销售产品、材料物资及资产租赁</w:t>
                    </w:r>
                  </w:p>
                </w:tc>
                <w:tc>
                  <w:tcPr>
                    <w:tcW w:w="1366" w:type="pct"/>
                    <w:tcBorders>
                      <w:top w:val="single" w:sz="4" w:space="0" w:color="auto"/>
                      <w:left w:val="nil"/>
                      <w:bottom w:val="single" w:sz="4" w:space="0" w:color="auto"/>
                      <w:right w:val="single" w:sz="4" w:space="0" w:color="auto"/>
                    </w:tcBorders>
                    <w:vAlign w:val="center"/>
                  </w:tcPr>
                  <w:p>
                    <w:pPr>
                      <w:jc w:val="center"/>
                    </w:pPr>
                    <w:r>
                      <w:rPr>
                        <w:rFonts w:hint="eastAsia"/>
                      </w:rPr>
                      <w:t>《产品、材料物资供应及资产租赁协议》</w:t>
                    </w:r>
                  </w:p>
                </w:tc>
                <w:tc>
                  <w:tcPr>
                    <w:tcW w:w="775" w:type="pct"/>
                    <w:tcBorders>
                      <w:top w:val="single" w:sz="4" w:space="0" w:color="auto"/>
                      <w:left w:val="nil"/>
                      <w:bottom w:val="single" w:sz="4" w:space="0" w:color="auto"/>
                      <w:right w:val="single" w:sz="4" w:space="0" w:color="auto"/>
                    </w:tcBorders>
                    <w:vAlign w:val="center"/>
                  </w:tcPr>
                  <w:p>
                    <w:pPr>
                      <w:jc w:val="right"/>
                    </w:pPr>
                    <w:r>
                      <w:t>14,532,000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8,696,270</w:t>
                    </w:r>
                  </w:p>
                </w:tc>
              </w:tr>
              <w:tr>
                <w:trPr>
                  <w:jc w:val="center"/>
                </w:trPr>
                <w:tc>
                  <w:tcPr>
                    <w:tcW w:w="359" w:type="pct"/>
                    <w:vMerge w:val="restart"/>
                    <w:tcBorders>
                      <w:top w:val="nil"/>
                      <w:left w:val="single" w:sz="4" w:space="0" w:color="auto"/>
                      <w:bottom w:val="single" w:sz="4" w:space="0" w:color="auto"/>
                      <w:right w:val="single" w:sz="4" w:space="0" w:color="auto"/>
                    </w:tcBorders>
                    <w:vAlign w:val="center"/>
                  </w:tcPr>
                  <w:p>
                    <w:pPr>
                      <w:jc w:val="center"/>
                    </w:pPr>
                    <w:r>
                      <w:rPr>
                        <w:rFonts w:hint="eastAsia"/>
                      </w:rPr>
                      <w:t>5</w:t>
                    </w: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向山东能源集团采购大宗商品</w:t>
                    </w:r>
                  </w:p>
                </w:tc>
                <w:tc>
                  <w:tcPr>
                    <w:tcW w:w="1366" w:type="pct"/>
                    <w:vMerge w:val="restart"/>
                    <w:tcBorders>
                      <w:top w:val="nil"/>
                      <w:left w:val="nil"/>
                      <w:bottom w:val="single" w:sz="4" w:space="0" w:color="auto"/>
                      <w:right w:val="single" w:sz="4" w:space="0" w:color="auto"/>
                    </w:tcBorders>
                    <w:vAlign w:val="center"/>
                  </w:tcPr>
                  <w:p>
                    <w:pPr>
                      <w:jc w:val="center"/>
                    </w:pPr>
                    <w:r>
                      <w:rPr>
                        <w:rFonts w:hint="eastAsia"/>
                      </w:rPr>
                      <w:t>《大宗商品购销协议》</w:t>
                    </w: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4</w:t>
                    </w:r>
                    <w:r>
                      <w:t>,</w:t>
                    </w:r>
                    <w:r>
                      <w:rPr>
                        <w:rFonts w:hint="eastAsia"/>
                      </w:rPr>
                      <w:t>439</w:t>
                    </w:r>
                    <w:r>
                      <w:t>,000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2</w:t>
                    </w:r>
                    <w:r>
                      <w:t>,</w:t>
                    </w:r>
                    <w:r>
                      <w:rPr>
                        <w:rFonts w:hint="eastAsia"/>
                      </w:rPr>
                      <w:t>651</w:t>
                    </w:r>
                    <w:r>
                      <w:t>,</w:t>
                    </w:r>
                    <w:r>
                      <w:rPr>
                        <w:rFonts w:hint="eastAsia"/>
                      </w:rPr>
                      <w:t>78</w:t>
                    </w:r>
                    <w:r>
                      <w:t>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1755" w:type="pct"/>
                    <w:gridSpan w:val="2"/>
                    <w:tcBorders>
                      <w:top w:val="single" w:sz="4" w:space="0" w:color="auto"/>
                      <w:left w:val="nil"/>
                      <w:bottom w:val="single" w:sz="4" w:space="0" w:color="auto"/>
                      <w:right w:val="single" w:sz="4" w:space="0" w:color="auto"/>
                    </w:tcBorders>
                  </w:tcPr>
                  <w:p>
                    <w:pPr>
                      <w:pStyle w:val="afffffffd"/>
                    </w:pPr>
                    <w:r>
                      <w:rPr>
                        <w:rFonts w:hint="eastAsia"/>
                      </w:rPr>
                      <w:t>向山东能源集团销售大宗商品</w:t>
                    </w:r>
                  </w:p>
                </w:tc>
                <w:tc>
                  <w:tcPr>
                    <w:tcW w:w="0" w:type="auto"/>
                    <w:vMerge/>
                    <w:tcBorders>
                      <w:top w:val="nil"/>
                      <w:left w:val="nil"/>
                      <w:bottom w:val="single" w:sz="4" w:space="0" w:color="auto"/>
                      <w:right w:val="single" w:sz="4" w:space="0" w:color="auto"/>
                    </w:tcBorders>
                    <w:vAlign w:val="center"/>
                  </w:tcPr>
                  <w:p>
                    <w:pPr>
                      <w:pStyle w:val="afffffffd"/>
                    </w:pPr>
                  </w:p>
                </w:tc>
                <w:tc>
                  <w:tcPr>
                    <w:tcW w:w="775" w:type="pct"/>
                    <w:tcBorders>
                      <w:top w:val="single" w:sz="4" w:space="0" w:color="auto"/>
                      <w:left w:val="nil"/>
                      <w:bottom w:val="single" w:sz="4" w:space="0" w:color="auto"/>
                      <w:right w:val="single" w:sz="4" w:space="0" w:color="auto"/>
                    </w:tcBorders>
                    <w:vAlign w:val="center"/>
                  </w:tcPr>
                  <w:p>
                    <w:pPr>
                      <w:jc w:val="right"/>
                    </w:pPr>
                    <w:r>
                      <w:t>8,000,000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3</w:t>
                    </w:r>
                    <w:r>
                      <w:t>,</w:t>
                    </w:r>
                    <w:r>
                      <w:rPr>
                        <w:rFonts w:hint="eastAsia"/>
                      </w:rPr>
                      <w:t>653</w:t>
                    </w:r>
                    <w:r>
                      <w:t>,</w:t>
                    </w:r>
                    <w:r>
                      <w:rPr>
                        <w:rFonts w:hint="eastAsia"/>
                      </w:rPr>
                      <w:t>97</w:t>
                    </w:r>
                    <w:r>
                      <w:t>0</w:t>
                    </w:r>
                  </w:p>
                </w:tc>
              </w:tr>
              <w:tr>
                <w:trPr>
                  <w:trHeight w:val="335"/>
                  <w:jc w:val="center"/>
                </w:trPr>
                <w:tc>
                  <w:tcPr>
                    <w:tcW w:w="359" w:type="pct"/>
                    <w:vMerge w:val="restart"/>
                    <w:tcBorders>
                      <w:top w:val="nil"/>
                      <w:left w:val="single" w:sz="4" w:space="0" w:color="auto"/>
                      <w:bottom w:val="single" w:sz="4" w:space="0" w:color="auto"/>
                      <w:right w:val="single" w:sz="4" w:space="0" w:color="auto"/>
                    </w:tcBorders>
                    <w:vAlign w:val="center"/>
                  </w:tcPr>
                  <w:p>
                    <w:pPr>
                      <w:jc w:val="center"/>
                    </w:pPr>
                    <w:r>
                      <w:rPr>
                        <w:rFonts w:hint="eastAsia"/>
                      </w:rPr>
                      <w:t>6</w:t>
                    </w:r>
                  </w:p>
                </w:tc>
                <w:tc>
                  <w:tcPr>
                    <w:tcW w:w="860" w:type="pct"/>
                    <w:vMerge w:val="restart"/>
                    <w:tcBorders>
                      <w:top w:val="nil"/>
                      <w:left w:val="nil"/>
                      <w:bottom w:val="single" w:sz="4" w:space="0" w:color="auto"/>
                      <w:right w:val="single" w:sz="4" w:space="0" w:color="auto"/>
                    </w:tcBorders>
                    <w:vAlign w:val="center"/>
                  </w:tcPr>
                  <w:p>
                    <w:pPr>
                      <w:pStyle w:val="afffffffd"/>
                    </w:pPr>
                    <w:r>
                      <w:rPr>
                        <w:rFonts w:hint="eastAsia"/>
                      </w:rPr>
                      <w:t>向山东能源集团提供金融服务</w:t>
                    </w:r>
                  </w:p>
                </w:tc>
                <w:tc>
                  <w:tcPr>
                    <w:tcW w:w="895" w:type="pct"/>
                    <w:tcBorders>
                      <w:top w:val="single" w:sz="4" w:space="0" w:color="auto"/>
                      <w:left w:val="nil"/>
                      <w:bottom w:val="single" w:sz="4" w:space="0" w:color="auto"/>
                      <w:right w:val="single" w:sz="4" w:space="0" w:color="auto"/>
                    </w:tcBorders>
                  </w:tcPr>
                  <w:p>
                    <w:pPr>
                      <w:pStyle w:val="afffffffd"/>
                    </w:pPr>
                    <w:r>
                      <w:rPr>
                        <w:rFonts w:hint="eastAsia"/>
                      </w:rPr>
                      <w:t>存款</w:t>
                    </w:r>
                  </w:p>
                </w:tc>
                <w:tc>
                  <w:tcPr>
                    <w:tcW w:w="1366" w:type="pct"/>
                    <w:vMerge w:val="restart"/>
                    <w:tcBorders>
                      <w:top w:val="nil"/>
                      <w:left w:val="nil"/>
                      <w:bottom w:val="single" w:sz="4" w:space="0" w:color="auto"/>
                      <w:right w:val="single" w:sz="4" w:space="0" w:color="auto"/>
                    </w:tcBorders>
                    <w:vAlign w:val="center"/>
                  </w:tcPr>
                  <w:p>
                    <w:pPr>
                      <w:jc w:val="center"/>
                    </w:pPr>
                    <w:r>
                      <w:rPr>
                        <w:rFonts w:hint="eastAsia"/>
                      </w:rPr>
                      <w:t>山东能源集团《金融服务协议》</w:t>
                    </w: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62,5</w:t>
                    </w:r>
                    <w:r>
                      <w:t>00</w:t>
                    </w:r>
                    <w:r>
                      <w:rPr>
                        <w:rFonts w:hint="eastAsia"/>
                      </w:rPr>
                      <w:t>,</w:t>
                    </w:r>
                    <w:r>
                      <w:t>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22,525,080</w:t>
                    </w:r>
                  </w:p>
                </w:tc>
              </w:tr>
              <w:tr>
                <w:trPr>
                  <w:trHeight w:val="335"/>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0" w:type="auto"/>
                    <w:vMerge/>
                    <w:tcBorders>
                      <w:top w:val="nil"/>
                      <w:left w:val="nil"/>
                      <w:bottom w:val="single" w:sz="4" w:space="0" w:color="auto"/>
                      <w:right w:val="single" w:sz="4" w:space="0" w:color="auto"/>
                    </w:tcBorders>
                    <w:vAlign w:val="center"/>
                  </w:tcPr>
                  <w:p>
                    <w:pPr>
                      <w:pStyle w:val="afffffffd"/>
                    </w:pPr>
                  </w:p>
                </w:tc>
                <w:tc>
                  <w:tcPr>
                    <w:tcW w:w="895" w:type="pct"/>
                    <w:tcBorders>
                      <w:top w:val="single" w:sz="4" w:space="0" w:color="auto"/>
                      <w:left w:val="nil"/>
                      <w:bottom w:val="single" w:sz="4" w:space="0" w:color="auto"/>
                      <w:right w:val="single" w:sz="4" w:space="0" w:color="auto"/>
                    </w:tcBorders>
                  </w:tcPr>
                  <w:p>
                    <w:pPr>
                      <w:pStyle w:val="afffffffd"/>
                    </w:pPr>
                    <w:r>
                      <w:rPr>
                        <w:rFonts w:hint="eastAsia"/>
                      </w:rPr>
                      <w:t>综合授信</w:t>
                    </w:r>
                  </w:p>
                </w:tc>
                <w:tc>
                  <w:tcPr>
                    <w:tcW w:w="0" w:type="auto"/>
                    <w:vMerge/>
                    <w:tcBorders>
                      <w:top w:val="nil"/>
                      <w:left w:val="nil"/>
                      <w:bottom w:val="single" w:sz="4" w:space="0" w:color="auto"/>
                      <w:right w:val="single" w:sz="4" w:space="0" w:color="auto"/>
                    </w:tcBorders>
                    <w:vAlign w:val="center"/>
                  </w:tcPr>
                  <w:p>
                    <w:pPr>
                      <w:pStyle w:val="afffffffd"/>
                    </w:pP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30</w:t>
                    </w:r>
                    <w:r>
                      <w:t>,000,000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16,050,700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0" w:type="auto"/>
                    <w:vMerge/>
                    <w:tcBorders>
                      <w:top w:val="nil"/>
                      <w:left w:val="nil"/>
                      <w:bottom w:val="single" w:sz="4" w:space="0" w:color="auto"/>
                      <w:right w:val="single" w:sz="4" w:space="0" w:color="auto"/>
                    </w:tcBorders>
                    <w:vAlign w:val="center"/>
                  </w:tcPr>
                  <w:p>
                    <w:pPr>
                      <w:pStyle w:val="afffffffd"/>
                    </w:pPr>
                  </w:p>
                </w:tc>
                <w:tc>
                  <w:tcPr>
                    <w:tcW w:w="895" w:type="pct"/>
                    <w:tcBorders>
                      <w:top w:val="single" w:sz="4" w:space="0" w:color="auto"/>
                      <w:left w:val="nil"/>
                      <w:bottom w:val="single" w:sz="4" w:space="0" w:color="auto"/>
                      <w:right w:val="single" w:sz="4" w:space="0" w:color="auto"/>
                    </w:tcBorders>
                  </w:tcPr>
                  <w:p>
                    <w:pPr>
                      <w:pStyle w:val="afffffffd"/>
                    </w:pPr>
                    <w:r>
                      <w:rPr>
                        <w:rFonts w:hint="eastAsia"/>
                      </w:rPr>
                      <w:t>金融服务费用</w:t>
                    </w:r>
                  </w:p>
                </w:tc>
                <w:tc>
                  <w:tcPr>
                    <w:tcW w:w="0" w:type="auto"/>
                    <w:vMerge/>
                    <w:tcBorders>
                      <w:top w:val="nil"/>
                      <w:left w:val="nil"/>
                      <w:bottom w:val="single" w:sz="4" w:space="0" w:color="auto"/>
                      <w:right w:val="single" w:sz="4" w:space="0" w:color="auto"/>
                    </w:tcBorders>
                    <w:vAlign w:val="center"/>
                  </w:tcPr>
                  <w:p>
                    <w:pPr>
                      <w:pStyle w:val="afffffffd"/>
                    </w:pP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6,000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1,440</w:t>
                    </w:r>
                  </w:p>
                </w:tc>
              </w:tr>
              <w:tr>
                <w:trPr>
                  <w:jc w:val="center"/>
                </w:trPr>
                <w:tc>
                  <w:tcPr>
                    <w:tcW w:w="359" w:type="pct"/>
                    <w:vMerge w:val="restart"/>
                    <w:tcBorders>
                      <w:top w:val="nil"/>
                      <w:left w:val="single" w:sz="4" w:space="0" w:color="auto"/>
                      <w:bottom w:val="single" w:sz="4" w:space="0" w:color="auto"/>
                      <w:right w:val="single" w:sz="4" w:space="0" w:color="auto"/>
                    </w:tcBorders>
                    <w:vAlign w:val="center"/>
                  </w:tcPr>
                  <w:p>
                    <w:pPr>
                      <w:jc w:val="center"/>
                    </w:pPr>
                    <w:r>
                      <w:rPr>
                        <w:rFonts w:hint="eastAsia"/>
                      </w:rPr>
                      <w:t>7</w:t>
                    </w:r>
                  </w:p>
                </w:tc>
                <w:tc>
                  <w:tcPr>
                    <w:tcW w:w="860" w:type="pct"/>
                    <w:vMerge w:val="restart"/>
                    <w:tcBorders>
                      <w:top w:val="nil"/>
                      <w:left w:val="nil"/>
                      <w:bottom w:val="single" w:sz="4" w:space="0" w:color="auto"/>
                      <w:right w:val="single" w:sz="4" w:space="0" w:color="auto"/>
                    </w:tcBorders>
                    <w:vAlign w:val="center"/>
                  </w:tcPr>
                  <w:p>
                    <w:pPr>
                      <w:pStyle w:val="afffffffd"/>
                    </w:pPr>
                    <w:r>
                      <w:rPr>
                        <w:rFonts w:hint="eastAsia"/>
                      </w:rPr>
                      <w:t>向兖矿能源提供金融服务</w:t>
                    </w:r>
                  </w:p>
                </w:tc>
                <w:tc>
                  <w:tcPr>
                    <w:tcW w:w="895" w:type="pct"/>
                    <w:tcBorders>
                      <w:top w:val="single" w:sz="4" w:space="0" w:color="auto"/>
                      <w:left w:val="nil"/>
                      <w:bottom w:val="single" w:sz="4" w:space="0" w:color="auto"/>
                      <w:right w:val="single" w:sz="4" w:space="0" w:color="auto"/>
                    </w:tcBorders>
                  </w:tcPr>
                  <w:p>
                    <w:pPr>
                      <w:pStyle w:val="afffffffd"/>
                    </w:pPr>
                    <w:r>
                      <w:rPr>
                        <w:rFonts w:hint="eastAsia"/>
                      </w:rPr>
                      <w:t>存款</w:t>
                    </w:r>
                  </w:p>
                </w:tc>
                <w:tc>
                  <w:tcPr>
                    <w:tcW w:w="1366" w:type="pct"/>
                    <w:vMerge w:val="restart"/>
                    <w:tcBorders>
                      <w:top w:val="nil"/>
                      <w:left w:val="nil"/>
                      <w:bottom w:val="single" w:sz="4" w:space="0" w:color="auto"/>
                      <w:right w:val="single" w:sz="4" w:space="0" w:color="auto"/>
                    </w:tcBorders>
                    <w:vAlign w:val="center"/>
                  </w:tcPr>
                  <w:p>
                    <w:pPr>
                      <w:jc w:val="center"/>
                      <w:rPr>
                        <w:shd w:val="clear" w:color="auto" w:fill="FFFFFF"/>
                      </w:rPr>
                    </w:pPr>
                    <w:r>
                      <w:rPr>
                        <w:rFonts w:hint="eastAsia"/>
                      </w:rPr>
                      <w:t>兖矿能源《金融服务协议》</w:t>
                    </w: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27,000,000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5,142,980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0" w:type="auto"/>
                    <w:vMerge/>
                    <w:tcBorders>
                      <w:top w:val="nil"/>
                      <w:left w:val="nil"/>
                      <w:bottom w:val="single" w:sz="4" w:space="0" w:color="auto"/>
                      <w:right w:val="single" w:sz="4" w:space="0" w:color="auto"/>
                    </w:tcBorders>
                    <w:vAlign w:val="center"/>
                  </w:tcPr>
                  <w:p>
                    <w:pPr>
                      <w:pStyle w:val="afffffffd"/>
                    </w:pPr>
                  </w:p>
                </w:tc>
                <w:tc>
                  <w:tcPr>
                    <w:tcW w:w="895" w:type="pct"/>
                    <w:tcBorders>
                      <w:top w:val="single" w:sz="4" w:space="0" w:color="auto"/>
                      <w:left w:val="nil"/>
                      <w:bottom w:val="single" w:sz="4" w:space="0" w:color="auto"/>
                      <w:right w:val="single" w:sz="4" w:space="0" w:color="auto"/>
                    </w:tcBorders>
                  </w:tcPr>
                  <w:p>
                    <w:pPr>
                      <w:pStyle w:val="afffffffd"/>
                    </w:pPr>
                    <w:r>
                      <w:rPr>
                        <w:rFonts w:hint="eastAsia"/>
                      </w:rPr>
                      <w:t>综合授信</w:t>
                    </w:r>
                  </w:p>
                </w:tc>
                <w:tc>
                  <w:tcPr>
                    <w:tcW w:w="0" w:type="auto"/>
                    <w:vMerge/>
                    <w:tcBorders>
                      <w:top w:val="nil"/>
                      <w:left w:val="nil"/>
                      <w:bottom w:val="single" w:sz="4" w:space="0" w:color="auto"/>
                      <w:right w:val="single" w:sz="4" w:space="0" w:color="auto"/>
                    </w:tcBorders>
                    <w:vAlign w:val="center"/>
                  </w:tcPr>
                  <w:p>
                    <w:pPr>
                      <w:rPr>
                        <w:shd w:val="clear" w:color="auto" w:fill="FFFFFF"/>
                      </w:rPr>
                    </w:pP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26,000,000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16</w:t>
                    </w:r>
                    <w:r>
                      <w:t>,</w:t>
                    </w:r>
                    <w:r>
                      <w:rPr>
                        <w:rFonts w:hint="eastAsia"/>
                      </w:rPr>
                      <w:t>303</w:t>
                    </w:r>
                    <w:r>
                      <w:t>,</w:t>
                    </w:r>
                    <w:r>
                      <w:rPr>
                        <w:rFonts w:hint="eastAsia"/>
                      </w:rPr>
                      <w:t>24</w:t>
                    </w:r>
                    <w:r>
                      <w:t>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0" w:type="auto"/>
                    <w:vMerge/>
                    <w:tcBorders>
                      <w:top w:val="nil"/>
                      <w:left w:val="nil"/>
                      <w:bottom w:val="single" w:sz="4" w:space="0" w:color="auto"/>
                      <w:right w:val="single" w:sz="4" w:space="0" w:color="auto"/>
                    </w:tcBorders>
                    <w:vAlign w:val="center"/>
                  </w:tcPr>
                  <w:p>
                    <w:pPr>
                      <w:pStyle w:val="afffffffd"/>
                    </w:pPr>
                  </w:p>
                </w:tc>
                <w:tc>
                  <w:tcPr>
                    <w:tcW w:w="895" w:type="pct"/>
                    <w:tcBorders>
                      <w:top w:val="single" w:sz="4" w:space="0" w:color="auto"/>
                      <w:left w:val="nil"/>
                      <w:bottom w:val="single" w:sz="4" w:space="0" w:color="auto"/>
                      <w:right w:val="single" w:sz="4" w:space="0" w:color="auto"/>
                    </w:tcBorders>
                  </w:tcPr>
                  <w:p>
                    <w:pPr>
                      <w:pStyle w:val="afffffffd"/>
                    </w:pPr>
                    <w:r>
                      <w:rPr>
                        <w:rFonts w:hint="eastAsia"/>
                      </w:rPr>
                      <w:t>金融服务费用</w:t>
                    </w:r>
                  </w:p>
                </w:tc>
                <w:tc>
                  <w:tcPr>
                    <w:tcW w:w="0" w:type="auto"/>
                    <w:vMerge/>
                    <w:tcBorders>
                      <w:top w:val="nil"/>
                      <w:left w:val="nil"/>
                      <w:bottom w:val="single" w:sz="4" w:space="0" w:color="auto"/>
                      <w:right w:val="single" w:sz="4" w:space="0" w:color="auto"/>
                    </w:tcBorders>
                    <w:vAlign w:val="center"/>
                  </w:tcPr>
                  <w:p>
                    <w:pPr>
                      <w:rPr>
                        <w:shd w:val="clear" w:color="auto" w:fill="FFFFFF"/>
                      </w:rPr>
                    </w:pPr>
                  </w:p>
                </w:tc>
                <w:tc>
                  <w:tcPr>
                    <w:tcW w:w="775" w:type="pct"/>
                    <w:tcBorders>
                      <w:top w:val="single" w:sz="4" w:space="0" w:color="auto"/>
                      <w:left w:val="nil"/>
                      <w:bottom w:val="single" w:sz="4" w:space="0" w:color="auto"/>
                      <w:right w:val="single" w:sz="4" w:space="0" w:color="auto"/>
                    </w:tcBorders>
                    <w:vAlign w:val="center"/>
                  </w:tcPr>
                  <w:p>
                    <w:pPr>
                      <w:jc w:val="right"/>
                    </w:pPr>
                    <w:r>
                      <w:rPr>
                        <w:rFonts w:hint="eastAsia"/>
                      </w:rPr>
                      <w:t>8,000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3,700</w:t>
                    </w:r>
                  </w:p>
                </w:tc>
              </w:tr>
              <w:tr>
                <w:trPr>
                  <w:jc w:val="center"/>
                </w:trPr>
                <w:tc>
                  <w:tcPr>
                    <w:tcW w:w="359" w:type="pct"/>
                    <w:vMerge w:val="restart"/>
                    <w:tcBorders>
                      <w:top w:val="nil"/>
                      <w:left w:val="single" w:sz="4" w:space="0" w:color="auto"/>
                      <w:bottom w:val="single" w:sz="4" w:space="0" w:color="auto"/>
                      <w:right w:val="single" w:sz="4" w:space="0" w:color="auto"/>
                    </w:tcBorders>
                    <w:vAlign w:val="center"/>
                  </w:tcPr>
                  <w:p>
                    <w:pPr>
                      <w:jc w:val="center"/>
                    </w:pPr>
                    <w:r>
                      <w:rPr>
                        <w:rFonts w:hint="eastAsia"/>
                      </w:rPr>
                      <w:t>8</w:t>
                    </w:r>
                  </w:p>
                </w:tc>
                <w:tc>
                  <w:tcPr>
                    <w:tcW w:w="860" w:type="pct"/>
                    <w:vMerge w:val="restart"/>
                    <w:tcBorders>
                      <w:top w:val="nil"/>
                      <w:left w:val="nil"/>
                      <w:bottom w:val="single" w:sz="4" w:space="0" w:color="auto"/>
                      <w:right w:val="single" w:sz="4" w:space="0" w:color="auto"/>
                    </w:tcBorders>
                    <w:vAlign w:val="center"/>
                  </w:tcPr>
                  <w:p>
                    <w:pPr>
                      <w:pStyle w:val="afffffffd"/>
                    </w:pPr>
                    <w:r>
                      <w:rPr>
                        <w:rFonts w:hint="eastAsia"/>
                      </w:rPr>
                      <w:t>向山东能源集团提供融资租赁服务</w:t>
                    </w:r>
                  </w:p>
                </w:tc>
                <w:tc>
                  <w:tcPr>
                    <w:tcW w:w="895" w:type="pct"/>
                    <w:tcBorders>
                      <w:top w:val="single" w:sz="4" w:space="0" w:color="auto"/>
                      <w:left w:val="nil"/>
                      <w:bottom w:val="single" w:sz="4" w:space="0" w:color="auto"/>
                      <w:right w:val="single" w:sz="4" w:space="0" w:color="auto"/>
                    </w:tcBorders>
                    <w:vAlign w:val="center"/>
                  </w:tcPr>
                  <w:p>
                    <w:pPr>
                      <w:pStyle w:val="afffffffd"/>
                    </w:pPr>
                    <w:r>
                      <w:rPr>
                        <w:rFonts w:hint="eastAsia"/>
                      </w:rPr>
                      <w:t>融资总额</w:t>
                    </w:r>
                  </w:p>
                </w:tc>
                <w:tc>
                  <w:tcPr>
                    <w:tcW w:w="1366" w:type="pct"/>
                    <w:vMerge w:val="restart"/>
                    <w:tcBorders>
                      <w:top w:val="nil"/>
                      <w:left w:val="nil"/>
                      <w:bottom w:val="single" w:sz="4" w:space="0" w:color="auto"/>
                      <w:right w:val="single" w:sz="4" w:space="0" w:color="auto"/>
                    </w:tcBorders>
                    <w:vAlign w:val="center"/>
                  </w:tcPr>
                  <w:p>
                    <w:pPr>
                      <w:jc w:val="center"/>
                      <w:rPr>
                        <w:shd w:val="clear" w:color="auto" w:fill="FFFFFF"/>
                      </w:rPr>
                    </w:pPr>
                    <w:r>
                      <w:rPr>
                        <w:rFonts w:hint="eastAsia"/>
                        <w:shd w:val="clear" w:color="auto" w:fill="FFFFFF"/>
                      </w:rPr>
                      <w:t>《融资租赁协议》</w:t>
                    </w:r>
                  </w:p>
                </w:tc>
                <w:tc>
                  <w:tcPr>
                    <w:tcW w:w="775" w:type="pct"/>
                    <w:tcBorders>
                      <w:top w:val="single" w:sz="4" w:space="0" w:color="auto"/>
                      <w:left w:val="nil"/>
                      <w:bottom w:val="single" w:sz="4" w:space="0" w:color="auto"/>
                      <w:right w:val="single" w:sz="4" w:space="0" w:color="auto"/>
                    </w:tcBorders>
                    <w:vAlign w:val="center"/>
                  </w:tcPr>
                  <w:p>
                    <w:pPr>
                      <w:jc w:val="right"/>
                    </w:pPr>
                    <w:r>
                      <w:t>1,000,000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1,000,000</w:t>
                    </w:r>
                  </w:p>
                </w:tc>
              </w:tr>
              <w:tr>
                <w:trPr>
                  <w:jc w:val="center"/>
                </w:trPr>
                <w:tc>
                  <w:tcPr>
                    <w:tcW w:w="0" w:type="auto"/>
                    <w:vMerge/>
                    <w:tcBorders>
                      <w:top w:val="nil"/>
                      <w:left w:val="single" w:sz="4" w:space="0" w:color="auto"/>
                      <w:bottom w:val="single" w:sz="4" w:space="0" w:color="auto"/>
                      <w:right w:val="single" w:sz="4" w:space="0" w:color="auto"/>
                    </w:tcBorders>
                    <w:vAlign w:val="center"/>
                  </w:tcPr>
                  <w:p>
                    <w:pPr>
                      <w:pStyle w:val="afffffffd"/>
                    </w:pPr>
                  </w:p>
                </w:tc>
                <w:tc>
                  <w:tcPr>
                    <w:tcW w:w="0" w:type="auto"/>
                    <w:vMerge/>
                    <w:tcBorders>
                      <w:top w:val="nil"/>
                      <w:left w:val="nil"/>
                      <w:bottom w:val="single" w:sz="4" w:space="0" w:color="auto"/>
                      <w:right w:val="single" w:sz="4" w:space="0" w:color="auto"/>
                    </w:tcBorders>
                    <w:vAlign w:val="center"/>
                  </w:tcPr>
                  <w:p>
                    <w:pPr>
                      <w:pStyle w:val="afffffffd"/>
                    </w:pPr>
                  </w:p>
                </w:tc>
                <w:tc>
                  <w:tcPr>
                    <w:tcW w:w="895" w:type="pct"/>
                    <w:tcBorders>
                      <w:top w:val="single" w:sz="4" w:space="0" w:color="auto"/>
                      <w:left w:val="nil"/>
                      <w:bottom w:val="single" w:sz="4" w:space="0" w:color="auto"/>
                      <w:right w:val="single" w:sz="4" w:space="0" w:color="auto"/>
                    </w:tcBorders>
                    <w:vAlign w:val="center"/>
                  </w:tcPr>
                  <w:p>
                    <w:pPr>
                      <w:pStyle w:val="afffffffd"/>
                    </w:pPr>
                    <w:r>
                      <w:rPr>
                        <w:rFonts w:hint="eastAsia"/>
                      </w:rPr>
                      <w:t>利息及费用</w:t>
                    </w:r>
                  </w:p>
                </w:tc>
                <w:tc>
                  <w:tcPr>
                    <w:tcW w:w="0" w:type="auto"/>
                    <w:vMerge/>
                    <w:tcBorders>
                      <w:top w:val="nil"/>
                      <w:left w:val="nil"/>
                      <w:bottom w:val="single" w:sz="4" w:space="0" w:color="auto"/>
                      <w:right w:val="single" w:sz="4" w:space="0" w:color="auto"/>
                    </w:tcBorders>
                    <w:vAlign w:val="center"/>
                  </w:tcPr>
                  <w:p>
                    <w:pPr>
                      <w:rPr>
                        <w:shd w:val="clear" w:color="auto" w:fill="FFFFFF"/>
                      </w:rPr>
                    </w:pPr>
                  </w:p>
                </w:tc>
                <w:tc>
                  <w:tcPr>
                    <w:tcW w:w="775" w:type="pct"/>
                    <w:tcBorders>
                      <w:top w:val="single" w:sz="4" w:space="0" w:color="auto"/>
                      <w:left w:val="nil"/>
                      <w:bottom w:val="single" w:sz="4" w:space="0" w:color="auto"/>
                      <w:right w:val="single" w:sz="4" w:space="0" w:color="auto"/>
                    </w:tcBorders>
                    <w:vAlign w:val="center"/>
                  </w:tcPr>
                  <w:p>
                    <w:pPr>
                      <w:jc w:val="right"/>
                    </w:pPr>
                    <w:r>
                      <w:t>85,000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1,890</w:t>
                    </w:r>
                  </w:p>
                </w:tc>
              </w:tr>
              <w:tr>
                <w:trPr>
                  <w:jc w:val="center"/>
                </w:trPr>
                <w:tc>
                  <w:tcPr>
                    <w:tcW w:w="359" w:type="pc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9</w:t>
                    </w:r>
                  </w:p>
                </w:tc>
                <w:tc>
                  <w:tcPr>
                    <w:tcW w:w="1755" w:type="pct"/>
                    <w:gridSpan w:val="2"/>
                    <w:tcBorders>
                      <w:top w:val="single" w:sz="4" w:space="0" w:color="auto"/>
                      <w:left w:val="nil"/>
                      <w:bottom w:val="single" w:sz="4" w:space="0" w:color="auto"/>
                      <w:right w:val="single" w:sz="4" w:space="0" w:color="auto"/>
                    </w:tcBorders>
                    <w:vAlign w:val="center"/>
                  </w:tcPr>
                  <w:p>
                    <w:pPr>
                      <w:pStyle w:val="afffffffd"/>
                    </w:pPr>
                    <w:r>
                      <w:rPr>
                        <w:rFonts w:hint="eastAsia"/>
                      </w:rPr>
                      <w:t>向山东能源集团提供委托管理服务</w:t>
                    </w:r>
                  </w:p>
                </w:tc>
                <w:tc>
                  <w:tcPr>
                    <w:tcW w:w="1366" w:type="pct"/>
                    <w:tcBorders>
                      <w:top w:val="single" w:sz="4" w:space="0" w:color="auto"/>
                      <w:left w:val="nil"/>
                      <w:bottom w:val="single" w:sz="4" w:space="0" w:color="auto"/>
                      <w:right w:val="single" w:sz="4" w:space="0" w:color="auto"/>
                    </w:tcBorders>
                    <w:vAlign w:val="center"/>
                  </w:tcPr>
                  <w:p>
                    <w:pPr>
                      <w:jc w:val="center"/>
                    </w:pPr>
                    <w:r>
                      <w:rPr>
                        <w:rFonts w:hint="eastAsia"/>
                      </w:rPr>
                      <w:t>《委托管理服务框架协议》</w:t>
                    </w:r>
                  </w:p>
                </w:tc>
                <w:tc>
                  <w:tcPr>
                    <w:tcW w:w="775" w:type="pct"/>
                    <w:tcBorders>
                      <w:top w:val="single" w:sz="4" w:space="0" w:color="auto"/>
                      <w:left w:val="nil"/>
                      <w:bottom w:val="single" w:sz="4" w:space="0" w:color="auto"/>
                      <w:right w:val="single" w:sz="4" w:space="0" w:color="auto"/>
                    </w:tcBorders>
                    <w:vAlign w:val="center"/>
                  </w:tcPr>
                  <w:p>
                    <w:pPr>
                      <w:jc w:val="right"/>
                    </w:pPr>
                    <w:r>
                      <w:t>60,000</w:t>
                    </w:r>
                  </w:p>
                </w:tc>
                <w:tc>
                  <w:tcPr>
                    <w:tcW w:w="745" w:type="pct"/>
                    <w:tcBorders>
                      <w:top w:val="single" w:sz="4" w:space="0" w:color="auto"/>
                      <w:left w:val="nil"/>
                      <w:bottom w:val="single" w:sz="4" w:space="0" w:color="auto"/>
                      <w:right w:val="single" w:sz="4" w:space="0" w:color="auto"/>
                    </w:tcBorders>
                    <w:vAlign w:val="center"/>
                  </w:tcPr>
                  <w:p>
                    <w:pPr>
                      <w:jc w:val="right"/>
                    </w:pPr>
                    <w:r>
                      <w:rPr>
                        <w:rFonts w:hint="eastAsia"/>
                      </w:rPr>
                      <w:t>41,700</w:t>
                    </w:r>
                  </w:p>
                </w:tc>
              </w:tr>
            </w:tbl>
            <w:p>
              <w:pPr>
                <w:rPr>
                  <w:rFonts w:cs="Times New Roman"/>
                  <w:kern w:val="2"/>
                </w:rPr>
              </w:pPr>
              <w:r>
                <w:rPr>
                  <w:rFonts w:hint="eastAsia"/>
                </w:rPr>
                <w:t xml:space="preserve"> </w:t>
              </w:r>
            </w:p>
            <w:p>
              <w:pPr>
                <w:ind w:firstLineChars="200" w:firstLine="420"/>
              </w:pPr>
              <w:r>
                <w:rPr>
                  <w:rFonts w:hint="eastAsia"/>
                </w:rPr>
                <w:t>（2）报告期内与嘉能可集团持续性关联/关连交易协议审批与执行情况</w:t>
              </w:r>
            </w:p>
            <w:p>
              <w:pPr>
                <w:ind w:firstLineChars="200" w:firstLine="420"/>
              </w:pPr>
              <w:r>
                <w:rPr>
                  <w:rFonts w:hint="eastAsia"/>
                </w:rPr>
                <w:t>①煤炭销售持续性关联/关连交易</w:t>
              </w:r>
            </w:p>
            <w:p>
              <w:pPr>
                <w:ind w:firstLineChars="200" w:firstLine="420"/>
              </w:pPr>
              <w:r>
                <w:rPr>
                  <w:rFonts w:hint="eastAsia"/>
                </w:rPr>
                <w:t>公司2024年1月15日召开的第九届董事会第四次会议，审议批准兖煤澳洲与嘉能可续期《煤炭销售框架协议》及其所限定交易在2024-2026年每年的交易上限金额。确定价格的主要方式是：以市场价格为基础，并考虑相关行业基准和指数进行调整。交易款项支付时间由双方根据国际惯例及本协议所适用的法律法规来确定，在具体煤炭买卖协议中详细约定。有关详情请见公司日期为2024年1月15日的公告。</w:t>
              </w:r>
            </w:p>
            <w:p>
              <w:pPr>
                <w:ind w:firstLineChars="200" w:firstLine="420"/>
                <w:jc w:val="both"/>
              </w:pPr>
              <w:r>
                <w:rPr>
                  <w:rFonts w:hint="eastAsia"/>
                </w:rPr>
                <w:t>2024年本集团向嘉能可集团销售煤炭的年度上限金额为3.5亿美元。2024年，此项关联/关连交易发生金额约2.13亿美元。</w:t>
              </w:r>
            </w:p>
            <w:p>
              <w:pPr>
                <w:ind w:firstLineChars="200" w:firstLine="420"/>
                <w:jc w:val="both"/>
              </w:pPr>
              <w:r>
                <w:rPr>
                  <w:rFonts w:hint="eastAsia"/>
                </w:rPr>
                <w:t>②煤炭购买持续性关联/关连交易</w:t>
              </w:r>
            </w:p>
            <w:p>
              <w:pPr>
                <w:ind w:firstLineChars="200" w:firstLine="420"/>
                <w:jc w:val="both"/>
              </w:pPr>
              <w:r>
                <w:rPr>
                  <w:rFonts w:hint="eastAsia"/>
                </w:rPr>
                <w:t>公司2024年1月15日召开的第九届董事会第四次会议，审议批准兖煤澳洲与嘉能可续期《HVO销售合约》及其所限定交易在2024-2026年每年的交易上限金额。《HVO销售合约》约定：兖煤澳洲附属公司亨特谷煤炭销售公司根据其与客户订立的每份销售协议收取的总金额及相应的产品配额，分别支付给兖煤澳洲及嘉能可相应的交易款项。亨特谷煤炭销售公司应不迟于在收到客户付款后的三个营业日内，向兖煤澳洲及嘉能可支付交易价款。有关详情请见公司日期为2024年1月15日的公告。</w:t>
              </w:r>
            </w:p>
            <w:p>
              <w:pPr>
                <w:ind w:firstLineChars="200" w:firstLine="420"/>
                <w:jc w:val="both"/>
              </w:pPr>
              <w:r>
                <w:rPr>
                  <w:rFonts w:hint="eastAsia"/>
                </w:rPr>
                <w:t>2024年本集团向嘉能可购买《HVO销售合约》项下权益煤炭额度的交易上限金额为13亿美元。2024年，此项关联/关连交易发生金额约7.27亿美元。</w:t>
              </w:r>
            </w:p>
            <w:p>
              <w:pPr>
                <w:ind w:firstLineChars="200" w:firstLine="420"/>
                <w:jc w:val="both"/>
              </w:pPr>
              <w:r>
                <w:rPr>
                  <w:rFonts w:hint="eastAsia"/>
                </w:rPr>
                <w:t>公司2024年1月15日召开的第九届董事会第四次会议，审议批准兖煤澳洲与嘉能可续期《煤炭购买框架协议》及其所限定交易在2024-2026年每年的交易上限金额。《煤炭购买框架协议》项下采用的最终交易价格，是在公平磋商的基础上，按照正常商业条款，参照相关类型煤炭当时的市场价格而最终确定。交易款项支付时间由双方根据国际惯例及本协议所适用的法律法规来确定，在具体煤炭买卖协议中详细约定。有关详情请见公司日期为2024年1月15日的公告。</w:t>
              </w:r>
            </w:p>
            <w:p>
              <w:pPr>
                <w:ind w:firstLineChars="200" w:firstLine="420"/>
                <w:jc w:val="both"/>
              </w:pPr>
              <w:r>
                <w:rPr>
                  <w:rFonts w:hint="eastAsia"/>
                </w:rPr>
                <w:t>2024年本集团向嘉能可集团购买《煤炭购买框架协议》项下的煤炭的年度上限金额为2.5亿美元。</w:t>
              </w:r>
              <w:bookmarkStart w:id="183" w:name="OLE_LINK8"/>
              <w:r>
                <w:rPr>
                  <w:rFonts w:hint="eastAsia"/>
                </w:rPr>
                <w:t>2024年，此项关联/关连交易发生金额约0.82亿美元。</w:t>
              </w:r>
              <w:bookmarkEnd w:id="183"/>
            </w:p>
            <w:p>
              <w:pPr>
                <w:ind w:firstLineChars="200" w:firstLine="420"/>
              </w:pPr>
              <w:r>
                <w:rPr>
                  <w:rFonts w:hint="eastAsia"/>
                </w:rPr>
                <w:t>③柴油燃料供应持续性关联/关连交易</w:t>
              </w:r>
            </w:p>
            <w:p>
              <w:pPr>
                <w:ind w:firstLineChars="200" w:firstLine="420"/>
                <w:jc w:val="both"/>
              </w:pPr>
              <w:bookmarkStart w:id="184" w:name="OLE_LINK9"/>
              <w:r>
                <w:rPr>
                  <w:rFonts w:hint="eastAsia"/>
                </w:rPr>
                <w:t>经公司2023年11月6日召开的总经理办公会批准，</w:t>
              </w:r>
              <w:bookmarkEnd w:id="184"/>
              <w:r>
                <w:rPr>
                  <w:rFonts w:hint="eastAsia"/>
                </w:rPr>
                <w:t>亨特谷运营公司与嘉能可附属公司嘉能可澳大利亚石油有限公司（“嘉能可澳洲石油公司”）于2023年12月8日签署《柴油燃料供应协议》及其所限定交易在2024-2026年每年的交易上限金额。《柴油燃料供应协议》约定：（i）亨特谷运营公司将在交货月份之前生成采购订单；（ii）嘉能可澳洲石油公司将在采购订单中指定的日期之前交付采购订单中规定的燃料量，而亨特谷运营公司将在燃料交付后付款；（iii）计算付款的依据是，基于交付量及参考标准普尔全球普氏石油价格报告中公布的新加坡10ppm低硫柴油离岸价格的价格评估，及根据2024年柴油燃料供应协议厘定的价格。有关详情请见公司日期为2023年12月8日的公告。</w:t>
              </w:r>
            </w:p>
            <w:p>
              <w:pPr>
                <w:ind w:firstLineChars="200" w:firstLine="420"/>
                <w:jc w:val="both"/>
                <w:rPr>
                  <w:color w:val="000000" w:themeColor="text1"/>
                </w:rPr>
              </w:pPr>
              <w:r>
                <w:rPr>
                  <w:rFonts w:hint="eastAsia"/>
                </w:rPr>
                <w:t>2024年本集团向嘉能可澳洲石油公司采购柴油燃料的交易上限金额为2.2亿美元。2024年，此项关联/关连交易发生金额约1.48亿美元。</w:t>
              </w:r>
            </w:p>
          </w:sdtContent>
        </w:sdt>
        <w:p>
          <w:pPr>
            <w:ind w:firstLineChars="200" w:firstLine="420"/>
            <w:rPr>
              <w:rFonts w:asciiTheme="minorEastAsia" w:eastAsiaTheme="minorEastAsia" w:hAnsiTheme="minorEastAsia"/>
            </w:rPr>
          </w:pPr>
          <w:r>
            <w:rPr>
              <w:rFonts w:asciiTheme="minorEastAsia" w:eastAsiaTheme="minorEastAsia" w:hAnsiTheme="minorEastAsia" w:hint="eastAsia"/>
            </w:rPr>
            <w:t>（3）独立非执行董事的意见</w:t>
          </w:r>
        </w:p>
        <w:p>
          <w:pPr>
            <w:ind w:firstLineChars="200" w:firstLine="420"/>
            <w:rPr>
              <w:rFonts w:asciiTheme="minorEastAsia" w:eastAsiaTheme="minorEastAsia" w:hAnsiTheme="minorEastAsia"/>
            </w:rPr>
          </w:pPr>
          <w:r>
            <w:rPr>
              <w:rFonts w:asciiTheme="minorEastAsia" w:eastAsiaTheme="minorEastAsia" w:hAnsiTheme="minorEastAsia" w:hint="eastAsia"/>
            </w:rPr>
            <w:t>本公司的相关业务部门审核了上述非豁免持续性关联/关连交易及相关内部监控程序并将结果呈交予本公司的独立非执行董事。本公司亦有向独立非执行董事提供主要资料以便开展审核。</w:t>
          </w:r>
        </w:p>
        <w:p>
          <w:pPr>
            <w:ind w:firstLineChars="200" w:firstLine="420"/>
            <w:rPr>
              <w:rFonts w:asciiTheme="minorEastAsia" w:eastAsiaTheme="minorEastAsia" w:hAnsiTheme="minorEastAsia"/>
            </w:rPr>
          </w:pPr>
          <w:r>
            <w:rPr>
              <w:rFonts w:asciiTheme="minorEastAsia" w:eastAsiaTheme="minorEastAsia" w:hAnsiTheme="minorEastAsia" w:hint="eastAsia"/>
            </w:rPr>
            <w:t>公司独立非执行董事确认本集团2024年度发生的持续性关联/关连交易：①各项交易（i）属本集团日常业务；（ii）是按一般商业条款进行，如可供比较的交易不足以判断该等交易的条款是否属一般商业条款，则对本集团而言，该等交易的条款不逊于独立第三方可取得或提供的条款；（iii）是根据有关交易的协议条款进行，而交易条款公平合理，并且符合公司股东的整体</w:t>
          </w:r>
          <w:r>
            <w:rPr>
              <w:rFonts w:asciiTheme="minorEastAsia" w:eastAsiaTheme="minorEastAsia" w:hAnsiTheme="minorEastAsia" w:hint="eastAsia"/>
            </w:rPr>
            <w:lastRenderedPageBreak/>
            <w:t>利益。②上述“与日常经营相关的关联/关连交易执行情况”所述的关联/关连交易金额均不超过独立股东及董事会批准的年度上限交易金额。</w:t>
          </w:r>
        </w:p>
        <w:p>
          <w:pPr>
            <w:ind w:firstLineChars="200" w:firstLine="420"/>
            <w:rPr>
              <w:rFonts w:asciiTheme="minorEastAsia" w:eastAsiaTheme="minorEastAsia" w:hAnsiTheme="minorEastAsia"/>
            </w:rPr>
          </w:pPr>
          <w:r>
            <w:rPr>
              <w:rFonts w:asciiTheme="minorEastAsia" w:eastAsiaTheme="minorEastAsia" w:hAnsiTheme="minorEastAsia" w:hint="eastAsia"/>
            </w:rPr>
            <w:t>（4）核数师的意见</w:t>
          </w:r>
        </w:p>
        <w:p>
          <w:pPr>
            <w:ind w:firstLineChars="200" w:firstLine="420"/>
            <w:rPr>
              <w:rFonts w:asciiTheme="minorEastAsia" w:eastAsiaTheme="minorEastAsia" w:hAnsiTheme="minorEastAsia"/>
            </w:rPr>
          </w:pPr>
          <w:r>
            <w:rPr>
              <w:rFonts w:asciiTheme="minorEastAsia" w:eastAsiaTheme="minorEastAsia" w:hAnsiTheme="minorEastAsia" w:hint="eastAsia"/>
            </w:rPr>
            <w:t>根据香港上市规则规定，本公司聘用常年H股核数师就公司持续性关联/关连交易是否履行香港上市规则规定的义务向董事会作出报告。</w:t>
          </w:r>
        </w:p>
        <w:p>
          <w:pPr>
            <w:ind w:firstLineChars="200" w:firstLine="420"/>
            <w:jc w:val="both"/>
          </w:pPr>
          <w:r>
            <w:rPr>
              <w:rFonts w:asciiTheme="minorEastAsia" w:eastAsiaTheme="minorEastAsia" w:hAnsiTheme="minorEastAsia" w:hint="eastAsia"/>
            </w:rPr>
            <w:t>核数师就上述持续性关联/关连交易向董事会报告：①已获本公司董事会批准；②是按照本公司的定价政策而进行；③是根据该等交易协议的有关条款进行；及④并无超出有关年度上限交易金额。</w:t>
          </w:r>
        </w:p>
        <w:p>
          <w:pPr>
            <w:ind w:firstLineChars="200" w:firstLine="420"/>
            <w:jc w:val="both"/>
            <w:rPr>
              <w:szCs w:val="21"/>
            </w:rPr>
          </w:pPr>
          <w:r>
            <w:rPr>
              <w:rFonts w:hint="eastAsia"/>
              <w:szCs w:val="21"/>
            </w:rPr>
            <w:t>（5）与瑞钢联持续性关联/关连交易协议审批与执行情况</w:t>
          </w:r>
        </w:p>
      </w:sdtContent>
    </w:sdt>
    <w:p>
      <w:pPr>
        <w:ind w:firstLineChars="200" w:firstLine="420"/>
        <w:rPr>
          <w:szCs w:val="21"/>
        </w:rPr>
      </w:pPr>
      <w:r>
        <w:rPr>
          <w:rFonts w:hint="eastAsia"/>
          <w:szCs w:val="21"/>
        </w:rPr>
        <w:t>①运输及货物代理持续性关联/关连交易</w:t>
      </w:r>
    </w:p>
    <w:p>
      <w:pPr>
        <w:ind w:firstLineChars="200" w:firstLine="420"/>
        <w:jc w:val="both"/>
        <w:rPr>
          <w:szCs w:val="21"/>
        </w:rPr>
      </w:pPr>
      <w:r>
        <w:rPr>
          <w:rFonts w:hint="eastAsia"/>
          <w:szCs w:val="21"/>
        </w:rPr>
        <w:t>为高效利用本公司的现有专业服务经验、拓展本公司物流板块业务规模、提高市场占有率并提升附属公司盈利能力。公司2025年3月28日召开的第九届董事会第十四次会议，审议批准公司与瑞钢联签署《运输及货物代理服务协议》，约定本集团向瑞钢联及其附属公司(</w:t>
      </w:r>
      <w:r>
        <w:rPr>
          <w:szCs w:val="21"/>
        </w:rPr>
        <w:t>“</w:t>
      </w:r>
      <w:r>
        <w:rPr>
          <w:rFonts w:hint="eastAsia"/>
          <w:szCs w:val="21"/>
        </w:rPr>
        <w:t>瑞钢联集团</w:t>
      </w:r>
      <w:r>
        <w:rPr>
          <w:szCs w:val="21"/>
        </w:rPr>
        <w:t>”</w:t>
      </w:r>
      <w:r>
        <w:rPr>
          <w:rFonts w:hint="eastAsia"/>
          <w:szCs w:val="21"/>
        </w:rPr>
        <w:t>)及/或其联系人提供运输、货物代理(包括预报、港口卸货、通关报验等)等相关服务及其所限定交易在2025-2027年每年的交易上限金额，其中2025年、2026年及2027年三个财政年度的运输服务及货物代理服务费用金额上限分别为20.1亿元、22.2亿元及24.3亿元。货物运输服务及港口代理服务的价格为市场价格。为厘定市场价格，本公司的销售部门及其指定人员主要负责核查其他独立第三方通过获得报价所通常提供的价格，报价是通过电邮、传真或电话问询至少两名独立第三方或通过各种媒体资源（如当地的报刊）发布招标公告而从标书上获得。本公司的销售部门会基于购买要求不定期更新相关信息并将持续监控市场价格以确保运输服务及货物代理服务交易依照上文所载的定价政策进行。税费、港口费用中的政策性收费（港口建设费等）由瑞钢联集团及/或其联系人自行承担，具体金额以实际发生为准。</w:t>
      </w:r>
    </w:p>
    <w:p>
      <w:pPr>
        <w:ind w:firstLineChars="200" w:firstLine="420"/>
        <w:jc w:val="both"/>
        <w:rPr>
          <w:szCs w:val="21"/>
        </w:rPr>
      </w:pPr>
      <w:r>
        <w:rPr>
          <w:rFonts w:hint="eastAsia"/>
          <w:szCs w:val="21"/>
        </w:rPr>
        <w:t>该持续性关联/关连交易协议生效后追湖至2025年1月1日起生效。有关详情请见公司日期为2025年3月28日的公告。</w:t>
      </w:r>
    </w:p>
    <w:p>
      <w:pPr>
        <w:ind w:firstLineChars="200" w:firstLine="420"/>
        <w:jc w:val="both"/>
        <w:rPr>
          <w:szCs w:val="21"/>
        </w:rPr>
      </w:pPr>
      <w:r>
        <w:rPr>
          <w:rFonts w:hint="eastAsia"/>
          <w:szCs w:val="21"/>
        </w:rPr>
        <w:t>②大宗商品购销持续性关联/关连交易</w:t>
      </w:r>
    </w:p>
    <w:p>
      <w:pPr>
        <w:ind w:firstLineChars="200" w:firstLine="420"/>
        <w:jc w:val="both"/>
        <w:rPr>
          <w:szCs w:val="21"/>
        </w:rPr>
      </w:pPr>
      <w:r>
        <w:rPr>
          <w:rFonts w:hint="eastAsia"/>
          <w:szCs w:val="21"/>
        </w:rPr>
        <w:t>为充分利用货源及客户资源，促进物流业务的发展，拓展定制化供应链物流配套服务。公司2025年3月28日召开的第九届董事会第十四次会议，审议批准公司与瑞钢联签署《大宗商品购销协议》，约定本集团与瑞钢联及/或其联系人根据业务需要互相购买及/或销售煤炭、铁矿石及其他大宗商品及其所限定交易在2025年3月28日至2025年12月31日期间、及2026年及2027年两个财政年度的交易上限金额。其中，2025年3月28日至2025年12月31日期间、及2026年及2027年两个财政年度，本集团根据大宗商品购销协议向瑞钢联集团及/或其联系人购买铁矿石及其他大宗商品应支付的交易金额上限分别为15亿元、15亿元及15亿元；本集团根据大宗商品购销协议向瑞钢联集团及/或其联系人销售煤炭及其他大宗商品应收取的交易金额上限分别为人民币10.1亿元、人民币11.1亿元及人民币12.2亿元。</w:t>
      </w:r>
    </w:p>
    <w:p>
      <w:pPr>
        <w:ind w:firstLineChars="200" w:firstLine="420"/>
        <w:jc w:val="both"/>
        <w:rPr>
          <w:szCs w:val="21"/>
        </w:rPr>
      </w:pPr>
      <w:r>
        <w:rPr>
          <w:rFonts w:hint="eastAsia"/>
          <w:szCs w:val="21"/>
        </w:rPr>
        <w:t>《大宗商品购销协议》的定价方式是在一般商务条款的基础上，按照以下基准确定:(i)在同类或类似产品的提供地或其附近地区的独立第三方，按照一般商务条款，在其日常业务过程中进行同类或类似协定购销当时收取的价格；或(ii)若以上第(i)项不适用时，在中国境内的独立第三方，按照一般商务条款，在其日常业务过程中，进行同类或类似协定购销当时收取的价格。为厘定市场价格，本公司的销售部门及/或采购部门及其指定人员主要负责核查其他独立第三方通过获得报价所通常提供的价格，报价是通过电邮、传真或电话问询至少两名独立第三方或通过各种媒体资源（如当地的报刊）发布招标公告而从标书上获得。本公司的销售部门及/或采购部门会基于购买要求不定期更新相关信息并将持续监控市场价格以确保协定购销交易依照上文所载的定价政策进行。如果在任何时候，国家定价生效并适用于某项协定购销，本集团与瑞钢联集团及/或其联系人同意该项协定购销价格应按国家定价确定。该国家定价是指根据中国境内有关政府机构制定的法律、法规、决定、命令或定价政策对该等协定购销规定的价格（根据具体情况而定）。</w:t>
      </w:r>
    </w:p>
    <w:p>
      <w:pPr>
        <w:ind w:firstLineChars="200" w:firstLine="420"/>
        <w:jc w:val="both"/>
        <w:rPr>
          <w:szCs w:val="21"/>
        </w:rPr>
      </w:pPr>
      <w:r>
        <w:rPr>
          <w:rFonts w:hint="eastAsia"/>
          <w:szCs w:val="21"/>
        </w:rPr>
        <w:t>大宗商品购销协议有效期自2025年3月28日起至2027年12月31日止。有关详情请见公司日期为2025年3月28日的公告。</w:t>
      </w:r>
    </w:p>
    <w:p>
      <w:pPr>
        <w:ind w:firstLineChars="200" w:firstLine="420"/>
        <w:rPr>
          <w:szCs w:val="21"/>
        </w:rPr>
      </w:pPr>
    </w:p>
    <w:p>
      <w:pPr>
        <w:pStyle w:val="afffffffffffff8"/>
        <w:numPr>
          <w:ilvl w:val="2"/>
          <w:numId w:val="45"/>
        </w:numPr>
      </w:pPr>
      <w:bookmarkStart w:id="185" w:name="_Toc342565956"/>
      <w:bookmarkStart w:id="186" w:name="_Toc342491964"/>
      <w:r>
        <w:rPr>
          <w:rFonts w:hint="eastAsia"/>
        </w:rPr>
        <w:t>临时公告未披露的事</w:t>
      </w:r>
      <w:bookmarkEnd w:id="185"/>
      <w:bookmarkEnd w:id="186"/>
      <w:r>
        <w:rPr>
          <w:rFonts w:hint="eastAsia"/>
        </w:rPr>
        <w:t>项</w:t>
      </w:r>
    </w:p>
    <w:sdt>
      <w:sdtPr>
        <w:alias w:val="是否适用：与日常经营相关的关联交易_临时公告未披露的事项[双击切换]"/>
        <w:tag w:val="_GBC_3f1135e0d6d440e6a4af283441bd65d2"/>
        <w:id w:val="-316798131"/>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2"/>
          <w:numId w:val="44"/>
        </w:numPr>
        <w:rPr>
          <w:szCs w:val="21"/>
        </w:rPr>
      </w:pPr>
      <w:r>
        <w:rPr>
          <w:rFonts w:hint="eastAsia"/>
          <w:szCs w:val="21"/>
        </w:rPr>
        <w:t>资产或股权收购、出售发生的关联</w:t>
      </w:r>
      <w:r>
        <w:rPr>
          <w:rFonts w:hint="eastAsia"/>
          <w:szCs w:val="21"/>
        </w:rPr>
        <w:t>/</w:t>
      </w:r>
      <w:r>
        <w:rPr>
          <w:rFonts w:hint="eastAsia"/>
          <w:szCs w:val="21"/>
        </w:rPr>
        <w:t>关连交易</w:t>
      </w:r>
    </w:p>
    <w:p>
      <w:pPr>
        <w:pStyle w:val="afffffffffffff8"/>
        <w:numPr>
          <w:ilvl w:val="0"/>
          <w:numId w:val="59"/>
        </w:num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1068100941"/>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tbl>
      <w:tblPr>
        <w:tblStyle w:val="afffff7"/>
        <w:tblW w:w="5000" w:type="pct"/>
        <w:tblLook w:val="04A0" w:firstRow="1" w:lastRow="0" w:firstColumn="1" w:lastColumn="0" w:noHBand="0" w:noVBand="1"/>
      </w:tblPr>
      <w:tblGrid>
        <w:gridCol w:w="4673"/>
        <w:gridCol w:w="4150"/>
      </w:tblGrid>
      <w:tr>
        <w:sdt>
          <w:sdtPr>
            <w:tag w:val="_PLD_1188ee45227d45f381d6f25e86478458"/>
            <w:id w:val="-1417389564"/>
          </w:sdtPr>
          <w:sdtContent>
            <w:tc>
              <w:tcPr>
                <w:tcW w:w="2648" w:type="pct"/>
                <w:vAlign w:val="center"/>
              </w:tcPr>
              <w:p>
                <w:pPr>
                  <w:jc w:val="center"/>
                  <w:rPr>
                    <w:szCs w:val="21"/>
                  </w:rPr>
                </w:pPr>
                <w:r>
                  <w:rPr>
                    <w:szCs w:val="21"/>
                  </w:rPr>
                  <w:t>事项概述</w:t>
                </w:r>
              </w:p>
            </w:tc>
          </w:sdtContent>
        </w:sdt>
        <w:sdt>
          <w:sdtPr>
            <w:tag w:val="_PLD_0c44a61d6566427086931bb8189dad89"/>
            <w:id w:val="-1738936993"/>
          </w:sdtPr>
          <w:sdtContent>
            <w:tc>
              <w:tcPr>
                <w:tcW w:w="2352" w:type="pct"/>
                <w:vAlign w:val="center"/>
              </w:tcPr>
              <w:p>
                <w:pPr>
                  <w:jc w:val="center"/>
                  <w:rPr>
                    <w:szCs w:val="21"/>
                  </w:rPr>
                </w:pPr>
                <w:r>
                  <w:rPr>
                    <w:szCs w:val="21"/>
                  </w:rPr>
                  <w:t>查询索引</w:t>
                </w:r>
              </w:p>
            </w:tc>
          </w:sdtContent>
        </w:sdt>
      </w:tr>
      <w:tr>
        <w:tc>
          <w:tcPr>
            <w:tcW w:w="2648" w:type="pct"/>
          </w:tcPr>
          <w:p>
            <w:pPr>
              <w:pStyle w:val="afffffffffffff8"/>
            </w:pPr>
            <w:r>
              <w:rPr>
                <w:rFonts w:hint="eastAsia"/>
              </w:rPr>
              <w:t>山东能源非全资附属公司新风光电子科技股份有限公司（“新风光科技”）增资控股东华重工非全资附属公司兖州东方机电有限公司（“东方机电”）</w:t>
            </w:r>
          </w:p>
          <w:p>
            <w:pPr>
              <w:rPr>
                <w:szCs w:val="21"/>
              </w:rPr>
            </w:pPr>
          </w:p>
          <w:p>
            <w:pPr>
              <w:rPr>
                <w:szCs w:val="21"/>
              </w:rPr>
            </w:pPr>
            <w:r>
              <w:rPr>
                <w:rFonts w:hint="eastAsia"/>
                <w:szCs w:val="21"/>
              </w:rPr>
              <w:t>为将新风光科技的先进电力电子控制技术引入东方机电，经公司总经理办公会审议批准，2025年2月14日公司全资附属公司东华重工与新风光科技及东方机电签署增资协议。新风光科技以现金方式出资人民币约5,592.57万元认缴东方机电新增注册资本，增资完成后，新风光科技持有东方机电50%的股权，东华重工持有东方机电47.168%的股权。</w:t>
            </w:r>
          </w:p>
          <w:p>
            <w:pPr>
              <w:rPr>
                <w:szCs w:val="21"/>
              </w:rPr>
            </w:pPr>
            <w:r>
              <w:rPr>
                <w:rFonts w:hint="eastAsia"/>
                <w:szCs w:val="21"/>
              </w:rPr>
              <w:t>截至本报告披露日，上述交易正在推进股权交割及工商变更程序。</w:t>
            </w:r>
          </w:p>
        </w:tc>
        <w:tc>
          <w:tcPr>
            <w:tcW w:w="2352" w:type="pct"/>
          </w:tcPr>
          <w:p>
            <w:pPr>
              <w:rPr>
                <w:szCs w:val="21"/>
              </w:rPr>
            </w:pPr>
            <w:r>
              <w:rPr>
                <w:rFonts w:hint="eastAsia"/>
                <w:szCs w:val="21"/>
              </w:rPr>
              <w:t>有关详情请见日期为2025年2月14日的关联交易公告，该等资料刊载于上交所网站、香港联交所网站、公司网站及/或《中国证券报》《上海证券报》《证券时报》《证券日报》。</w:t>
            </w:r>
          </w:p>
        </w:tc>
      </w:tr>
    </w:tbl>
    <w:p>
      <w:pPr>
        <w:pStyle w:val="affffffff"/>
      </w:pPr>
    </w:p>
    <w:p>
      <w:pPr>
        <w:pStyle w:val="afffffffffffff8"/>
        <w:numPr>
          <w:ilvl w:val="0"/>
          <w:numId w:val="59"/>
        </w:numPr>
      </w:pPr>
      <w:bookmarkStart w:id="187" w:name="_Hlk90309315"/>
      <w:r>
        <w:t>已在临时公告披露，但有后续实施的进展或变化的事项</w:t>
      </w:r>
    </w:p>
    <w:sdt>
      <w:sdtPr>
        <w:rPr>
          <w:rFonts w:hint="eastAsia"/>
          <w:szCs w:val="21"/>
        </w:rPr>
        <w:alias w:val="是否适用：已在临时公告披露，但有后续实施的进展或变化的事项_资产或股权收购、出售发生的关联交易[双击切换]"/>
        <w:tag w:val="_GBC_f85ce314be044952b84cb0c7825e3be3"/>
        <w:id w:val="-1179586480"/>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bookmarkEnd w:id="187" w:displacedByCustomXml="next"/>
    <w:sdt>
      <w:sdtPr>
        <w:rPr>
          <w:rFonts w:hint="eastAsia"/>
          <w:szCs w:val="21"/>
        </w:rPr>
        <w:alias w:val="资产收购、出售发生的关联交易事项已在临时报告披露，后续实施的进展或变化"/>
        <w:tag w:val="_GBC_8be6819282404c72b37e6b124c015b6a"/>
        <w:id w:val="-1386329778"/>
      </w:sdtPr>
      <w:sdtContent>
        <w:p>
          <w:pPr>
            <w:widowControl w:val="0"/>
            <w:ind w:firstLineChars="200" w:firstLine="420"/>
            <w:jc w:val="both"/>
            <w:rPr>
              <w:szCs w:val="21"/>
            </w:rPr>
          </w:pPr>
          <w:r>
            <w:rPr>
              <w:rFonts w:hint="eastAsia"/>
              <w:szCs w:val="21"/>
            </w:rPr>
            <w:t>收购山东淄矿铁路运输有限公司（“淄矿铁路”）</w:t>
          </w:r>
        </w:p>
        <w:p>
          <w:pPr>
            <w:ind w:firstLineChars="200" w:firstLine="420"/>
            <w:rPr>
              <w:szCs w:val="21"/>
            </w:rPr>
          </w:pPr>
          <w:r>
            <w:rPr>
              <w:rFonts w:hint="eastAsia"/>
              <w:szCs w:val="21"/>
            </w:rPr>
            <w:t>为对铁路物流产业单位实施一体化管理，经公司总经理办公会审议批准，2024年11月18日，公司全资子公司兖矿物流科技有限公司（“兖矿物流”）与鲁西矿业（本公司的关连附属公司）及淄矿铁路（鲁西矿业的全资附属公司）签署股权转让协议，兖矿物流以人民币约5.22亿元收购鲁西矿业所持有的淄矿铁路100%股权。</w:t>
          </w:r>
        </w:p>
        <w:p>
          <w:pPr>
            <w:ind w:firstLineChars="200" w:firstLine="420"/>
            <w:rPr>
              <w:szCs w:val="21"/>
            </w:rPr>
          </w:pPr>
          <w:r>
            <w:rPr>
              <w:rFonts w:hint="eastAsia"/>
              <w:szCs w:val="21"/>
            </w:rPr>
            <w:t>截至本报告披露日，上述交易已完成股权交割及工商变更程序。</w:t>
          </w:r>
        </w:p>
        <w:p>
          <w:pPr>
            <w:ind w:firstLineChars="200" w:firstLine="420"/>
            <w:rPr>
              <w:szCs w:val="21"/>
            </w:rPr>
          </w:pPr>
          <w:r>
            <w:rPr>
              <w:rFonts w:hint="eastAsia"/>
              <w:szCs w:val="21"/>
            </w:rPr>
            <w:t xml:space="preserve">有关详情请见日期为2024年11月18日的收购淄矿铁路100%股权的公告，该等资料刊载于上交所网站、香港联交所网站、公司网站及/或《中国证券报》《上海证券报》《证券时报》《证券日报》。 </w:t>
          </w:r>
        </w:p>
        <w:p>
          <w:pPr>
            <w:pStyle w:val="afffffffffffff8"/>
          </w:pPr>
        </w:p>
      </w:sdtContent>
    </w:sdt>
    <w:p>
      <w:pPr>
        <w:pStyle w:val="afffffffffffff8"/>
        <w:numPr>
          <w:ilvl w:val="0"/>
          <w:numId w:val="59"/>
        </w:numPr>
      </w:pPr>
      <w:r>
        <w:t>临时公告未披露的事项</w:t>
      </w:r>
    </w:p>
    <w:sdt>
      <w:sdtPr>
        <w:alias w:val="是否适用：资产收购、出售发生的关联交易_临时公告未披露的事项[双击切换]"/>
        <w:tag w:val="_GBC_c2403e21caad4498842c2f1cf3384c0d"/>
        <w:id w:val="2025582216"/>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资产收购、出售发生的关联交易"/>
          <w:tag w:val="_GBC_4959b4d2286b47189fc00e2dd63da871"/>
          <w:id w:val="13345613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币种：</w:t>
      </w:r>
      <w:sdt>
        <w:sdtPr>
          <w:rPr>
            <w:rFonts w:hint="eastAsia"/>
            <w:szCs w:val="21"/>
          </w:rPr>
          <w:alias w:val="币种：资产收购、出售发生的关联交易"/>
          <w:tag w:val="_GBC_d9c7bbc5908b43f289b233365e46f854"/>
          <w:id w:val="13119059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8"/>
        <w:tblpPr w:leftFromText="180" w:rightFromText="180" w:vertAnchor="text" w:horzAnchor="page" w:tblpX="1792" w:tblpY="253"/>
        <w:tblOverlap w:val="never"/>
        <w:tblW w:w="90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537"/>
        <w:gridCol w:w="567"/>
        <w:gridCol w:w="851"/>
        <w:gridCol w:w="850"/>
        <w:gridCol w:w="992"/>
        <w:gridCol w:w="993"/>
        <w:gridCol w:w="992"/>
        <w:gridCol w:w="567"/>
        <w:gridCol w:w="567"/>
        <w:gridCol w:w="709"/>
        <w:gridCol w:w="688"/>
      </w:tblGrid>
      <w:tr>
        <w:sdt>
          <w:sdtPr>
            <w:rPr>
              <w:color w:val="000000" w:themeColor="text1"/>
            </w:rPr>
            <w:tag w:val="_PLD_fe6d6ddcfb964766a6be63b7a5d2a94a"/>
            <w:id w:val="906726392"/>
          </w:sdtPr>
          <w:sdtContent>
            <w:tc>
              <w:tcPr>
                <w:tcW w:w="734"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方</w:t>
                </w:r>
              </w:p>
            </w:tc>
          </w:sdtContent>
        </w:sdt>
        <w:sdt>
          <w:sdtPr>
            <w:rPr>
              <w:color w:val="000000" w:themeColor="text1"/>
            </w:rPr>
            <w:tag w:val="_PLD_0312dca871f1486d8aba292d201f8728"/>
            <w:id w:val="-152066241"/>
          </w:sdtPr>
          <w:sdtContent>
            <w:tc>
              <w:tcPr>
                <w:tcW w:w="537"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关系</w:t>
                </w:r>
              </w:p>
            </w:tc>
          </w:sdtContent>
        </w:sdt>
        <w:sdt>
          <w:sdtPr>
            <w:rPr>
              <w:color w:val="000000" w:themeColor="text1"/>
            </w:rPr>
            <w:tag w:val="_PLD_6bea793eaf16421d9dadb6b12376a4aa"/>
            <w:id w:val="-1877995085"/>
          </w:sdtPr>
          <w:sdtContent>
            <w:tc>
              <w:tcPr>
                <w:tcW w:w="567"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交易类型</w:t>
                </w:r>
              </w:p>
            </w:tc>
          </w:sdtContent>
        </w:sdt>
        <w:sdt>
          <w:sdtPr>
            <w:rPr>
              <w:color w:val="000000" w:themeColor="text1"/>
            </w:rPr>
            <w:tag w:val="_PLD_06a949e7889b4565b904b1198a2dd23a"/>
            <w:id w:val="1058828891"/>
          </w:sdtPr>
          <w:sdtContent>
            <w:tc>
              <w:tcPr>
                <w:tcW w:w="851"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交易内容</w:t>
                </w:r>
              </w:p>
            </w:tc>
          </w:sdtContent>
        </w:sdt>
        <w:sdt>
          <w:sdtPr>
            <w:rPr>
              <w:color w:val="000000" w:themeColor="text1"/>
            </w:rPr>
            <w:tag w:val="_PLD_03f2a75eb6b4455d8e599a839fa1e8df"/>
            <w:id w:val="2030370027"/>
          </w:sdtPr>
          <w:sdtContent>
            <w:tc>
              <w:tcPr>
                <w:tcW w:w="850"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交易定价原则</w:t>
                </w:r>
              </w:p>
            </w:tc>
          </w:sdtContent>
        </w:sdt>
        <w:sdt>
          <w:sdtPr>
            <w:rPr>
              <w:color w:val="000000" w:themeColor="text1"/>
            </w:rPr>
            <w:tag w:val="_PLD_4159a86884e94b14b5ba91efedefea5a"/>
            <w:id w:val="1108386385"/>
          </w:sdtPr>
          <w:sdtContent>
            <w:tc>
              <w:tcPr>
                <w:tcW w:w="992" w:type="dxa"/>
                <w:vAlign w:val="center"/>
              </w:tcPr>
              <w:p>
                <w:pPr>
                  <w:jc w:val="center"/>
                  <w:rPr>
                    <w:color w:val="000000" w:themeColor="text1"/>
                  </w:rPr>
                </w:pPr>
                <w:r>
                  <w:rPr>
                    <w:color w:val="000000" w:themeColor="text1"/>
                  </w:rPr>
                  <w:t>转让资产的账面价值</w:t>
                </w:r>
                <w:r>
                  <w:rPr>
                    <w:rFonts w:hint="eastAsia"/>
                    <w:color w:val="000000" w:themeColor="text1"/>
                  </w:rPr>
                  <w:t>（100%权益）</w:t>
                </w:r>
              </w:p>
            </w:tc>
          </w:sdtContent>
        </w:sdt>
        <w:sdt>
          <w:sdtPr>
            <w:rPr>
              <w:color w:val="000000" w:themeColor="text1"/>
            </w:rPr>
            <w:tag w:val="_PLD_bb5bb5d356694ecf8cc5dc1b9f182ce2"/>
            <w:id w:val="1828087484"/>
          </w:sdtPr>
          <w:sdtContent>
            <w:tc>
              <w:tcPr>
                <w:tcW w:w="993" w:type="dxa"/>
                <w:vAlign w:val="center"/>
              </w:tcPr>
              <w:p>
                <w:pPr>
                  <w:jc w:val="center"/>
                  <w:rPr>
                    <w:color w:val="000000" w:themeColor="text1"/>
                  </w:rPr>
                </w:pPr>
                <w:r>
                  <w:rPr>
                    <w:color w:val="000000" w:themeColor="text1"/>
                  </w:rPr>
                  <w:t>转让资产的评估价值</w:t>
                </w:r>
                <w:r>
                  <w:rPr>
                    <w:rFonts w:hint="eastAsia"/>
                    <w:color w:val="000000" w:themeColor="text1"/>
                  </w:rPr>
                  <w:t>（100%权益）</w:t>
                </w:r>
              </w:p>
            </w:tc>
          </w:sdtContent>
        </w:sdt>
        <w:sdt>
          <w:sdtPr>
            <w:rPr>
              <w:color w:val="000000" w:themeColor="text1"/>
            </w:rPr>
            <w:tag w:val="_PLD_b522453c929a4e8d8ebd116ea926c842"/>
            <w:id w:val="-1688592603"/>
          </w:sdtPr>
          <w:sdtContent>
            <w:tc>
              <w:tcPr>
                <w:tcW w:w="992" w:type="dxa"/>
                <w:vAlign w:val="center"/>
              </w:tcPr>
              <w:p>
                <w:pPr>
                  <w:jc w:val="center"/>
                  <w:rPr>
                    <w:color w:val="000000" w:themeColor="text1"/>
                  </w:rPr>
                </w:pPr>
                <w:r>
                  <w:rPr>
                    <w:color w:val="000000" w:themeColor="text1"/>
                  </w:rPr>
                  <w:t>转让价格</w:t>
                </w:r>
                <w:r>
                  <w:rPr>
                    <w:rFonts w:hint="eastAsia"/>
                    <w:color w:val="000000" w:themeColor="text1"/>
                  </w:rPr>
                  <w:t>（90%权益）</w:t>
                </w:r>
              </w:p>
            </w:tc>
          </w:sdtContent>
        </w:sdt>
        <w:sdt>
          <w:sdtPr>
            <w:rPr>
              <w:color w:val="000000" w:themeColor="text1"/>
            </w:rPr>
            <w:tag w:val="_PLD_b63b339e15724f3b9126d1691efe0063"/>
            <w:id w:val="469332748"/>
          </w:sdtPr>
          <w:sdtContent>
            <w:tc>
              <w:tcPr>
                <w:tcW w:w="567" w:type="dxa"/>
                <w:vAlign w:val="center"/>
              </w:tcPr>
              <w:p>
                <w:pPr>
                  <w:jc w:val="center"/>
                  <w:rPr>
                    <w:color w:val="000000" w:themeColor="text1"/>
                  </w:rPr>
                </w:pPr>
                <w:r>
                  <w:rPr>
                    <w:color w:val="000000" w:themeColor="text1"/>
                  </w:rPr>
                  <w:t>关联</w:t>
                </w:r>
                <w:r>
                  <w:rPr>
                    <w:rFonts w:hint="eastAsia"/>
                    <w:color w:val="000000" w:themeColor="text1"/>
                  </w:rPr>
                  <w:t>/关连</w:t>
                </w:r>
                <w:r>
                  <w:rPr>
                    <w:color w:val="000000" w:themeColor="text1"/>
                  </w:rPr>
                  <w:t>交易结算方式</w:t>
                </w:r>
              </w:p>
            </w:tc>
          </w:sdtContent>
        </w:sdt>
        <w:sdt>
          <w:sdtPr>
            <w:rPr>
              <w:color w:val="000000" w:themeColor="text1"/>
            </w:rPr>
            <w:tag w:val="_PLD_65c8b03234654e4689bdd8db8b725c6e"/>
            <w:id w:val="-510149068"/>
          </w:sdtPr>
          <w:sdtContent>
            <w:tc>
              <w:tcPr>
                <w:tcW w:w="567" w:type="dxa"/>
                <w:vAlign w:val="center"/>
              </w:tcPr>
              <w:p>
                <w:pPr>
                  <w:jc w:val="center"/>
                  <w:rPr>
                    <w:color w:val="000000" w:themeColor="text1"/>
                  </w:rPr>
                </w:pPr>
                <w:r>
                  <w:rPr>
                    <w:color w:val="000000" w:themeColor="text1"/>
                  </w:rPr>
                  <w:t>转让资产获得的收益</w:t>
                </w:r>
              </w:p>
            </w:tc>
          </w:sdtContent>
        </w:sdt>
        <w:sdt>
          <w:sdtPr>
            <w:rPr>
              <w:color w:val="000000" w:themeColor="text1"/>
            </w:rPr>
            <w:tag w:val="_PLD_bd88c493e15f40418bf0a6177d297076"/>
            <w:id w:val="1148244566"/>
          </w:sdtPr>
          <w:sdtContent>
            <w:tc>
              <w:tcPr>
                <w:tcW w:w="709" w:type="dxa"/>
                <w:vAlign w:val="center"/>
              </w:tcPr>
              <w:p>
                <w:pPr>
                  <w:jc w:val="center"/>
                  <w:rPr>
                    <w:color w:val="000000" w:themeColor="text1"/>
                  </w:rPr>
                </w:pPr>
                <w:r>
                  <w:rPr>
                    <w:color w:val="000000" w:themeColor="text1"/>
                  </w:rPr>
                  <w:t>交易对公司经营成果和财务状况的影响情况</w:t>
                </w:r>
              </w:p>
            </w:tc>
          </w:sdtContent>
        </w:sdt>
        <w:sdt>
          <w:sdtPr>
            <w:rPr>
              <w:color w:val="000000" w:themeColor="text1"/>
            </w:rPr>
            <w:tag w:val="_PLD_14c7cc1add744c2698ca799af8e26c21"/>
            <w:id w:val="-2048988715"/>
          </w:sdtPr>
          <w:sdtContent>
            <w:tc>
              <w:tcPr>
                <w:tcW w:w="688" w:type="dxa"/>
                <w:vAlign w:val="center"/>
              </w:tcPr>
              <w:p>
                <w:pPr>
                  <w:jc w:val="center"/>
                  <w:rPr>
                    <w:color w:val="000000" w:themeColor="text1"/>
                  </w:rPr>
                </w:pPr>
                <w:r>
                  <w:rPr>
                    <w:color w:val="000000" w:themeColor="text1"/>
                  </w:rPr>
                  <w:t>交易价格与账面价值或评估价值、市场公允价值差异较大</w:t>
                </w:r>
                <w:r>
                  <w:rPr>
                    <w:color w:val="000000" w:themeColor="text1"/>
                  </w:rPr>
                  <w:lastRenderedPageBreak/>
                  <w:t>的原因</w:t>
                </w:r>
              </w:p>
            </w:tc>
          </w:sdtContent>
        </w:sdt>
      </w:tr>
      <w:tr>
        <w:tc>
          <w:tcPr>
            <w:tcW w:w="734" w:type="dxa"/>
            <w:vAlign w:val="center"/>
          </w:tcPr>
          <w:p>
            <w:pPr>
              <w:rPr>
                <w:rFonts w:cstheme="minorBidi"/>
                <w:kern w:val="2"/>
                <w:szCs w:val="22"/>
              </w:rPr>
            </w:pPr>
            <w:r>
              <w:rPr>
                <w:rFonts w:cstheme="minorBidi" w:hint="eastAsia"/>
                <w:kern w:val="2"/>
                <w:szCs w:val="22"/>
              </w:rPr>
              <w:lastRenderedPageBreak/>
              <w:t>云鼎科技股份有限公司</w:t>
            </w:r>
            <w:r>
              <w:rPr>
                <w:rFonts w:cstheme="minorBidi"/>
                <w:kern w:val="2"/>
                <w:szCs w:val="22"/>
              </w:rPr>
              <w:t>(“</w:t>
            </w:r>
            <w:r>
              <w:rPr>
                <w:rFonts w:cstheme="minorBidi" w:hint="eastAsia"/>
                <w:kern w:val="2"/>
                <w:szCs w:val="22"/>
              </w:rPr>
              <w:t>云鼎科技”</w:t>
            </w:r>
            <w:r>
              <w:rPr>
                <w:rFonts w:cstheme="minorBidi"/>
                <w:kern w:val="2"/>
                <w:szCs w:val="22"/>
              </w:rPr>
              <w:t>)</w:t>
            </w:r>
          </w:p>
        </w:tc>
        <w:sdt>
          <w:sdtPr>
            <w:rPr>
              <w:rFonts w:hint="eastAsia"/>
              <w:color w:val="000000" w:themeColor="text1"/>
            </w:rPr>
            <w:alias w:val="资产股权转让的重大关联交易的关联方关系"/>
            <w:tag w:val="_GBC_0c02378ba6354ac3ac45bc7cdceb866e"/>
            <w:id w:val="-304940580"/>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537" w:type="dxa"/>
                <w:vAlign w:val="center"/>
              </w:tcPr>
              <w:p>
                <w:pPr>
                  <w:rPr>
                    <w:color w:val="000000" w:themeColor="text1"/>
                  </w:rPr>
                </w:pPr>
                <w:r>
                  <w:rPr>
                    <w:rFonts w:hint="eastAsia"/>
                    <w:color w:val="000000" w:themeColor="text1"/>
                  </w:rPr>
                  <w:t>集团兄弟公司</w:t>
                </w:r>
              </w:p>
            </w:tc>
          </w:sdtContent>
        </w:sdt>
        <w:sdt>
          <w:sdtPr>
            <w:rPr>
              <w:rFonts w:hint="eastAsia"/>
              <w:color w:val="000000" w:themeColor="text1"/>
            </w:rPr>
            <w:alias w:val="资产股权转让的重大关联交易的类型"/>
            <w:tag w:val="_GBC_8cac743ec6a74d9b9c227f5d25804f73"/>
            <w:id w:val="-622451013"/>
            <w:comboBox>
              <w:listItem w:displayText="购买除商品以外的资产" w:value="购买除商品以外的资产"/>
              <w:listItem w:displayText="收购股权" w:value="收购股权"/>
              <w:listItem w:displayText="销售除商品以外的资产" w:value="销售除商品以外的资产"/>
              <w:listItem w:displayText="股权转让" w:value="股权转让"/>
            </w:comboBox>
          </w:sdtPr>
          <w:sdtContent>
            <w:tc>
              <w:tcPr>
                <w:tcW w:w="567" w:type="dxa"/>
                <w:vAlign w:val="center"/>
              </w:tcPr>
              <w:p>
                <w:pPr>
                  <w:jc w:val="center"/>
                  <w:rPr>
                    <w:color w:val="000000" w:themeColor="text1"/>
                  </w:rPr>
                </w:pPr>
                <w:r>
                  <w:rPr>
                    <w:rFonts w:hint="eastAsia"/>
                    <w:color w:val="000000" w:themeColor="text1"/>
                  </w:rPr>
                  <w:t>收购股权</w:t>
                </w:r>
              </w:p>
            </w:tc>
          </w:sdtContent>
        </w:sdt>
        <w:tc>
          <w:tcPr>
            <w:tcW w:w="851" w:type="dxa"/>
            <w:vAlign w:val="center"/>
          </w:tcPr>
          <w:p>
            <w:pPr>
              <w:pStyle w:val="afffffffd"/>
            </w:pPr>
            <w:r>
              <w:rPr>
                <w:rFonts w:hint="eastAsia"/>
              </w:rPr>
              <w:t>公司收购云鼎科技所持国拓科技 90%股权</w:t>
            </w:r>
          </w:p>
        </w:tc>
        <w:tc>
          <w:tcPr>
            <w:tcW w:w="850" w:type="dxa"/>
            <w:vAlign w:val="center"/>
          </w:tcPr>
          <w:p>
            <w:pPr>
              <w:pStyle w:val="afffffffd"/>
            </w:pPr>
            <w:r>
              <w:rPr>
                <w:rFonts w:hint="eastAsia"/>
              </w:rPr>
              <w:t>按照股权转让比例对应的评估值确定最终标的股权转让价格</w:t>
            </w:r>
          </w:p>
        </w:tc>
        <w:tc>
          <w:tcPr>
            <w:tcW w:w="992" w:type="dxa"/>
            <w:vAlign w:val="center"/>
          </w:tcPr>
          <w:p>
            <w:pPr>
              <w:jc w:val="both"/>
              <w:rPr>
                <w:rFonts w:asciiTheme="minorEastAsia" w:eastAsiaTheme="minorEastAsia" w:hAnsiTheme="minorEastAsia"/>
              </w:rPr>
            </w:pPr>
            <w:r>
              <w:rPr>
                <w:rFonts w:asciiTheme="minorEastAsia" w:eastAsiaTheme="minorEastAsia" w:hAnsiTheme="minorEastAsia"/>
              </w:rPr>
              <w:t>14,818.82</w:t>
            </w:r>
          </w:p>
        </w:tc>
        <w:tc>
          <w:tcPr>
            <w:tcW w:w="993" w:type="dxa"/>
            <w:vAlign w:val="center"/>
          </w:tcPr>
          <w:p>
            <w:pPr>
              <w:jc w:val="both"/>
              <w:rPr>
                <w:rFonts w:asciiTheme="minorEastAsia" w:eastAsiaTheme="minorEastAsia" w:hAnsiTheme="minorEastAsia"/>
              </w:rPr>
            </w:pPr>
            <w:r>
              <w:rPr>
                <w:rFonts w:asciiTheme="minorEastAsia" w:eastAsiaTheme="minorEastAsia" w:hAnsiTheme="minorEastAsia"/>
              </w:rPr>
              <w:t>15,858.72</w:t>
            </w:r>
          </w:p>
        </w:tc>
        <w:tc>
          <w:tcPr>
            <w:tcW w:w="992" w:type="dxa"/>
            <w:vAlign w:val="center"/>
          </w:tcPr>
          <w:p>
            <w:pPr>
              <w:jc w:val="both"/>
              <w:rPr>
                <w:rFonts w:asciiTheme="minorEastAsia" w:eastAsiaTheme="minorEastAsia" w:hAnsiTheme="minorEastAsia"/>
              </w:rPr>
            </w:pPr>
            <w:r>
              <w:rPr>
                <w:rFonts w:asciiTheme="minorEastAsia" w:eastAsiaTheme="minorEastAsia" w:hAnsiTheme="minorEastAsia"/>
              </w:rPr>
              <w:t>1</w:t>
            </w:r>
            <w:r>
              <w:rPr>
                <w:rFonts w:asciiTheme="minorEastAsia" w:eastAsiaTheme="minorEastAsia" w:hAnsiTheme="minorEastAsia" w:hint="eastAsia"/>
              </w:rPr>
              <w:t>4,272.84</w:t>
            </w:r>
          </w:p>
        </w:tc>
        <w:tc>
          <w:tcPr>
            <w:tcW w:w="567" w:type="dxa"/>
            <w:vAlign w:val="center"/>
          </w:tcPr>
          <w:p>
            <w:pPr>
              <w:jc w:val="center"/>
            </w:pPr>
            <w:r>
              <w:rPr>
                <w:rFonts w:hint="eastAsia"/>
              </w:rPr>
              <w:t>以现金形式一次性支付</w:t>
            </w:r>
          </w:p>
        </w:tc>
        <w:tc>
          <w:tcPr>
            <w:tcW w:w="567" w:type="dxa"/>
            <w:vAlign w:val="center"/>
          </w:tcPr>
          <w:p>
            <w:pPr>
              <w:jc w:val="center"/>
            </w:pPr>
            <w:r>
              <w:rPr>
                <w:rFonts w:hint="eastAsia"/>
              </w:rPr>
              <w:t>/</w:t>
            </w:r>
          </w:p>
        </w:tc>
        <w:tc>
          <w:tcPr>
            <w:tcW w:w="709" w:type="dxa"/>
            <w:vAlign w:val="center"/>
          </w:tcPr>
          <w:p>
            <w:pPr>
              <w:jc w:val="center"/>
            </w:pPr>
            <w:r>
              <w:rPr>
                <w:rFonts w:hint="eastAsia"/>
              </w:rPr>
              <w:t>无重大影响</w:t>
            </w:r>
          </w:p>
        </w:tc>
        <w:tc>
          <w:tcPr>
            <w:tcW w:w="688" w:type="dxa"/>
            <w:vAlign w:val="center"/>
          </w:tcPr>
          <w:p>
            <w:pPr>
              <w:jc w:val="center"/>
            </w:pPr>
            <w:r>
              <w:rPr>
                <w:rFonts w:hint="eastAsia"/>
              </w:rPr>
              <w:t>/</w:t>
            </w:r>
          </w:p>
        </w:tc>
      </w:tr>
    </w:tbl>
    <w:p>
      <w:pPr>
        <w:rPr>
          <w:szCs w:val="21"/>
        </w:rPr>
      </w:pPr>
      <w:r>
        <w:rPr>
          <w:szCs w:val="21"/>
        </w:rPr>
        <w:t>资产收购、出售发生的关联</w:t>
      </w:r>
      <w:r>
        <w:rPr>
          <w:rFonts w:hint="eastAsia"/>
          <w:szCs w:val="21"/>
        </w:rPr>
        <w:t>/关连</w:t>
      </w:r>
      <w:r>
        <w:rPr>
          <w:szCs w:val="21"/>
        </w:rPr>
        <w:t>交易说明</w:t>
      </w:r>
    </w:p>
    <w:sdt>
      <w:sdtPr>
        <w:rPr>
          <w:rFonts w:hint="eastAsia"/>
          <w:szCs w:val="21"/>
        </w:rPr>
        <w:alias w:val="资产股权转让的重大关联交易的说明"/>
        <w:tag w:val="_GBC_1e10a20357df4bad8f80411b7ca6bbff"/>
        <w:id w:val="420384017"/>
        <w:placeholder>
          <w:docPart w:val="GBC22222222222222222222222222222"/>
        </w:placeholder>
      </w:sdtPr>
      <w:sdtContent>
        <w:p>
          <w:pPr>
            <w:ind w:firstLineChars="200" w:firstLine="420"/>
            <w:jc w:val="both"/>
            <w:rPr>
              <w:color w:val="000000" w:themeColor="text1"/>
            </w:rPr>
          </w:pPr>
          <w:r>
            <w:rPr>
              <w:rFonts w:hint="eastAsia"/>
            </w:rPr>
            <w:t>经公司总经理办公会批准，公司以14,272.84万元收购云鼎科技所持国拓科技90%股权。</w:t>
          </w:r>
          <w:r>
            <w:rPr>
              <w:rFonts w:hint="eastAsia"/>
              <w:color w:val="000000" w:themeColor="text1"/>
            </w:rPr>
            <w:t xml:space="preserve"> </w:t>
          </w:r>
        </w:p>
        <w:p>
          <w:pPr>
            <w:ind w:firstLineChars="200" w:firstLine="420"/>
            <w:jc w:val="both"/>
            <w:rPr>
              <w:color w:val="000000" w:themeColor="text1"/>
            </w:rPr>
          </w:pPr>
          <w:r>
            <w:rPr>
              <w:rFonts w:hint="eastAsia"/>
            </w:rPr>
            <w:t>按照境内上市监管规则，该关联交易未达到需要披露临时公告的标准。</w:t>
          </w:r>
        </w:p>
        <w:p>
          <w:pPr>
            <w:ind w:firstLineChars="200" w:firstLine="420"/>
            <w:jc w:val="both"/>
          </w:pPr>
          <w:r>
            <w:rPr>
              <w:rFonts w:hint="eastAsia"/>
            </w:rPr>
            <w:t>按照香港上市监管规则，由于该关连交易按照一般商务条款或更佳条款进行，且最高适用百分比率（定义见香港上市规则第14.07条）低于0.1%，因此根据香港上市规则第14A.76（1）（a）条，该关连交易可获得全面豁免。</w:t>
          </w:r>
        </w:p>
        <w:p>
          <w:pPr>
            <w:ind w:firstLineChars="200" w:firstLine="420"/>
          </w:pPr>
          <w:bookmarkStart w:id="188" w:name="OLE_LINK13"/>
          <w:r>
            <w:rPr>
              <w:rFonts w:hint="eastAsia"/>
            </w:rPr>
            <w:t>截至本报告披露日，上述交易已完成股权交割及工商变更程序。</w:t>
          </w:r>
          <w:bookmarkEnd w:id="188"/>
        </w:p>
        <w:p>
          <w:pPr>
            <w:rPr>
              <w:szCs w:val="21"/>
            </w:rPr>
          </w:pPr>
        </w:p>
      </w:sdtContent>
    </w:sdt>
    <w:p>
      <w:pPr>
        <w:pStyle w:val="affffffff"/>
      </w:pPr>
    </w:p>
    <w:p>
      <w:pPr>
        <w:pStyle w:val="afffffffffffff8"/>
        <w:numPr>
          <w:ilvl w:val="0"/>
          <w:numId w:val="59"/>
        </w:num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522211603"/>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2"/>
          <w:numId w:val="44"/>
        </w:numPr>
        <w:rPr>
          <w:szCs w:val="21"/>
        </w:rPr>
      </w:pPr>
      <w:r>
        <w:rPr>
          <w:rFonts w:hint="eastAsia"/>
          <w:szCs w:val="21"/>
        </w:rPr>
        <w:t>共同对外投资的重大关联</w:t>
      </w:r>
      <w:r>
        <w:rPr>
          <w:rFonts w:hint="eastAsia"/>
          <w:szCs w:val="21"/>
        </w:rPr>
        <w:t>/</w:t>
      </w:r>
      <w:r>
        <w:rPr>
          <w:rFonts w:hint="eastAsia"/>
          <w:szCs w:val="21"/>
        </w:rPr>
        <w:t>关连交易</w:t>
      </w:r>
    </w:p>
    <w:p>
      <w:pPr>
        <w:pStyle w:val="afffffffffffff8"/>
        <w:numPr>
          <w:ilvl w:val="0"/>
          <w:numId w:val="46"/>
        </w:num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1756824344"/>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d"/>
      </w:pPr>
    </w:p>
    <w:p>
      <w:pPr>
        <w:pStyle w:val="afffffffffffff8"/>
        <w:numPr>
          <w:ilvl w:val="0"/>
          <w:numId w:val="46"/>
        </w:numPr>
      </w:pPr>
      <w:r>
        <w:t>已在临时公告披露，但有后续实施的进展或变化的事项</w:t>
      </w:r>
    </w:p>
    <w:sdt>
      <w:sdtPr>
        <w:rPr>
          <w:rFonts w:hint="eastAsia"/>
          <w:szCs w:val="21"/>
        </w:rPr>
        <w:alias w:val="是否适用：已在临时公告披露，但有后续实施的进展或变化的事项_共同对外投资的重大关联交易[双击切换]"/>
        <w:tag w:val="_GBC_5d21c9b653cf41df993294ab4dfbca74"/>
        <w:id w:val="-1341159631"/>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ffffff8"/>
        <w:numPr>
          <w:ilvl w:val="0"/>
          <w:numId w:val="46"/>
        </w:numPr>
      </w:pPr>
      <w:r>
        <w:t>临时公告未披露的事项</w:t>
      </w:r>
    </w:p>
    <w:sdt>
      <w:sdtPr>
        <w:alias w:val="是否适用：共同对外投资的重大关联交易_临时公告未披露的事项[双击切换]"/>
        <w:tag w:val="_GBC_0a8e93fe81464e209d3619d1be6a3349"/>
        <w:id w:val="-1363734254"/>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共同对外投资的重大关联交易"/>
          <w:tag w:val="_GBC_74eb25e9a3e54efdaaff92d0e15dbd4f"/>
          <w:id w:val="6696837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sdtContent>
      </w:sdt>
      <w:r>
        <w:rPr>
          <w:rFonts w:hint="eastAsia"/>
          <w:szCs w:val="21"/>
        </w:rPr>
        <w:t xml:space="preserve">  币种：</w:t>
      </w:r>
      <w:sdt>
        <w:sdtPr>
          <w:rPr>
            <w:rFonts w:hint="eastAsia"/>
            <w:szCs w:val="21"/>
          </w:rPr>
          <w:alias w:val="币种：共同对外投资的重大关联交易"/>
          <w:tag w:val="_GBC_036929fcdf59420985b80cf0a6896a7d"/>
          <w:id w:val="-21372444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18"/>
        <w:tblpPr w:leftFromText="180" w:rightFromText="180" w:vertAnchor="text" w:horzAnchor="page" w:tblpX="1792" w:tblpY="258"/>
        <w:tblOverlap w:val="neve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49"/>
        <w:gridCol w:w="832"/>
        <w:gridCol w:w="1369"/>
        <w:gridCol w:w="846"/>
        <w:gridCol w:w="972"/>
        <w:gridCol w:w="973"/>
        <w:gridCol w:w="951"/>
        <w:gridCol w:w="951"/>
      </w:tblGrid>
      <w:tr>
        <w:trPr>
          <w:tblHeader/>
        </w:trPr>
        <w:sdt>
          <w:sdtPr>
            <w:rPr>
              <w:color w:val="000000" w:themeColor="text1"/>
            </w:rPr>
            <w:tag w:val="_PLD_459124f21fc74aebb0e85a37501bcca7"/>
            <w:id w:val="1077864075"/>
          </w:sdtPr>
          <w:sdtContent>
            <w:tc>
              <w:tcPr>
                <w:tcW w:w="985" w:type="dxa"/>
                <w:vAlign w:val="center"/>
              </w:tcPr>
              <w:p>
                <w:pPr>
                  <w:jc w:val="center"/>
                  <w:rPr>
                    <w:color w:val="000000" w:themeColor="text1"/>
                  </w:rPr>
                </w:pPr>
                <w:r>
                  <w:rPr>
                    <w:color w:val="000000" w:themeColor="text1"/>
                  </w:rPr>
                  <w:t>共同投资方</w:t>
                </w:r>
              </w:p>
            </w:tc>
          </w:sdtContent>
        </w:sdt>
        <w:sdt>
          <w:sdtPr>
            <w:rPr>
              <w:color w:val="000000" w:themeColor="text1"/>
            </w:rPr>
            <w:tag w:val="_PLD_87bec2ffe6694b2eab702e82869db544"/>
            <w:id w:val="-785814472"/>
          </w:sdtPr>
          <w:sdtContent>
            <w:tc>
              <w:tcPr>
                <w:tcW w:w="968" w:type="dxa"/>
                <w:vAlign w:val="center"/>
              </w:tcPr>
              <w:p>
                <w:pPr>
                  <w:jc w:val="center"/>
                  <w:rPr>
                    <w:color w:val="000000" w:themeColor="text1"/>
                  </w:rPr>
                </w:pPr>
                <w:r>
                  <w:rPr>
                    <w:color w:val="000000" w:themeColor="text1"/>
                  </w:rPr>
                  <w:t>关联</w:t>
                </w:r>
                <w:r>
                  <w:rPr>
                    <w:rFonts w:hint="eastAsia"/>
                    <w:color w:val="000000" w:themeColor="text1"/>
                  </w:rPr>
                  <w:t>/关连</w:t>
                </w:r>
              </w:p>
              <w:p>
                <w:pPr>
                  <w:jc w:val="center"/>
                  <w:rPr>
                    <w:color w:val="000000" w:themeColor="text1"/>
                  </w:rPr>
                </w:pPr>
                <w:r>
                  <w:rPr>
                    <w:color w:val="000000" w:themeColor="text1"/>
                  </w:rPr>
                  <w:t>关系</w:t>
                </w:r>
              </w:p>
            </w:tc>
          </w:sdtContent>
        </w:sdt>
        <w:sdt>
          <w:sdtPr>
            <w:rPr>
              <w:color w:val="000000" w:themeColor="text1"/>
            </w:rPr>
            <w:tag w:val="_PLD_07c7848292c04394b811bac68c91987f"/>
            <w:id w:val="-96253329"/>
          </w:sdtPr>
          <w:sdtContent>
            <w:tc>
              <w:tcPr>
                <w:tcW w:w="846" w:type="dxa"/>
                <w:vAlign w:val="center"/>
              </w:tcPr>
              <w:p>
                <w:pPr>
                  <w:jc w:val="center"/>
                  <w:rPr>
                    <w:color w:val="000000" w:themeColor="text1"/>
                  </w:rPr>
                </w:pPr>
                <w:r>
                  <w:rPr>
                    <w:color w:val="000000" w:themeColor="text1"/>
                  </w:rPr>
                  <w:t>被投资企业的名称</w:t>
                </w:r>
              </w:p>
            </w:tc>
          </w:sdtContent>
        </w:sdt>
        <w:sdt>
          <w:sdtPr>
            <w:rPr>
              <w:color w:val="000000" w:themeColor="text1"/>
            </w:rPr>
            <w:tag w:val="_PLD_32700ca20d6445949b48e99916faac5e"/>
            <w:id w:val="-970601077"/>
          </w:sdtPr>
          <w:sdtContent>
            <w:tc>
              <w:tcPr>
                <w:tcW w:w="1395" w:type="dxa"/>
                <w:vAlign w:val="center"/>
              </w:tcPr>
              <w:p>
                <w:pPr>
                  <w:jc w:val="center"/>
                  <w:rPr>
                    <w:color w:val="000000" w:themeColor="text1"/>
                  </w:rPr>
                </w:pPr>
                <w:r>
                  <w:rPr>
                    <w:color w:val="000000" w:themeColor="text1"/>
                  </w:rPr>
                  <w:t>被投资企业的主营业务</w:t>
                </w:r>
              </w:p>
            </w:tc>
          </w:sdtContent>
        </w:sdt>
        <w:sdt>
          <w:sdtPr>
            <w:rPr>
              <w:color w:val="000000" w:themeColor="text1"/>
            </w:rPr>
            <w:tag w:val="_PLD_e9be4e02e8694fedac4fc0beef498147"/>
            <w:id w:val="-1192607003"/>
          </w:sdtPr>
          <w:sdtContent>
            <w:tc>
              <w:tcPr>
                <w:tcW w:w="846" w:type="dxa"/>
                <w:vAlign w:val="center"/>
              </w:tcPr>
              <w:p>
                <w:pPr>
                  <w:jc w:val="center"/>
                  <w:rPr>
                    <w:color w:val="000000" w:themeColor="text1"/>
                  </w:rPr>
                </w:pPr>
                <w:r>
                  <w:rPr>
                    <w:color w:val="000000" w:themeColor="text1"/>
                  </w:rPr>
                  <w:t>被投资企业的注册资本</w:t>
                </w:r>
              </w:p>
            </w:tc>
          </w:sdtContent>
        </w:sdt>
        <w:sdt>
          <w:sdtPr>
            <w:rPr>
              <w:color w:val="000000" w:themeColor="text1"/>
            </w:rPr>
            <w:tag w:val="_PLD_b7cad56e5b40416b8e78bb4ddd0c032d"/>
            <w:id w:val="-1800374479"/>
          </w:sdtPr>
          <w:sdtContent>
            <w:tc>
              <w:tcPr>
                <w:tcW w:w="976" w:type="dxa"/>
                <w:vAlign w:val="center"/>
              </w:tcPr>
              <w:p>
                <w:pPr>
                  <w:jc w:val="center"/>
                  <w:rPr>
                    <w:color w:val="000000" w:themeColor="text1"/>
                  </w:rPr>
                </w:pPr>
                <w:r>
                  <w:rPr>
                    <w:color w:val="000000" w:themeColor="text1"/>
                  </w:rPr>
                  <w:t>被投资企业的总资产</w:t>
                </w:r>
              </w:p>
            </w:tc>
          </w:sdtContent>
        </w:sdt>
        <w:sdt>
          <w:sdtPr>
            <w:rPr>
              <w:color w:val="000000" w:themeColor="text1"/>
            </w:rPr>
            <w:tag w:val="_PLD_9a5992e56398496dbb27250544806868"/>
            <w:id w:val="-379092833"/>
          </w:sdtPr>
          <w:sdtContent>
            <w:tc>
              <w:tcPr>
                <w:tcW w:w="977" w:type="dxa"/>
                <w:vAlign w:val="center"/>
              </w:tcPr>
              <w:p>
                <w:pPr>
                  <w:jc w:val="center"/>
                  <w:rPr>
                    <w:color w:val="000000" w:themeColor="text1"/>
                  </w:rPr>
                </w:pPr>
                <w:r>
                  <w:rPr>
                    <w:color w:val="000000" w:themeColor="text1"/>
                  </w:rPr>
                  <w:t>被投资企业的净资产</w:t>
                </w:r>
              </w:p>
            </w:tc>
          </w:sdtContent>
        </w:sdt>
        <w:sdt>
          <w:sdtPr>
            <w:rPr>
              <w:color w:val="000000" w:themeColor="text1"/>
            </w:rPr>
            <w:tag w:val="_PLD_b62aba7377f1446ba6d83b57a1d44749"/>
            <w:id w:val="-1653436319"/>
          </w:sdtPr>
          <w:sdtContent>
            <w:tc>
              <w:tcPr>
                <w:tcW w:w="970" w:type="dxa"/>
                <w:vAlign w:val="center"/>
              </w:tcPr>
              <w:p>
                <w:pPr>
                  <w:jc w:val="center"/>
                  <w:rPr>
                    <w:color w:val="000000" w:themeColor="text1"/>
                  </w:rPr>
                </w:pPr>
                <w:r>
                  <w:rPr>
                    <w:color w:val="000000" w:themeColor="text1"/>
                  </w:rPr>
                  <w:t>被投资企业的净利润</w:t>
                </w:r>
              </w:p>
            </w:tc>
          </w:sdtContent>
        </w:sdt>
        <w:sdt>
          <w:sdtPr>
            <w:rPr>
              <w:color w:val="000000" w:themeColor="text1"/>
            </w:rPr>
            <w:tag w:val="_PLD_3973b238758e47dd89d7fb6df4d1b30a"/>
            <w:id w:val="976799252"/>
          </w:sdtPr>
          <w:sdtContent>
            <w:tc>
              <w:tcPr>
                <w:tcW w:w="970" w:type="dxa"/>
                <w:vAlign w:val="center"/>
              </w:tcPr>
              <w:p>
                <w:pPr>
                  <w:jc w:val="center"/>
                  <w:rPr>
                    <w:color w:val="000000" w:themeColor="text1"/>
                  </w:rPr>
                </w:pPr>
                <w:r>
                  <w:rPr>
                    <w:color w:val="000000" w:themeColor="text1"/>
                  </w:rPr>
                  <w:t>被投资企业的重大在建项目的进展情况</w:t>
                </w:r>
              </w:p>
            </w:tc>
          </w:sdtContent>
        </w:sdt>
      </w:tr>
      <w:tr>
        <w:tc>
          <w:tcPr>
            <w:tcW w:w="985" w:type="dxa"/>
            <w:vAlign w:val="center"/>
          </w:tcPr>
          <w:p>
            <w:pPr>
              <w:pStyle w:val="afffffffd"/>
            </w:pPr>
            <w:r>
              <w:rPr>
                <w:rFonts w:hint="eastAsia"/>
              </w:rPr>
              <w:t>山东能源集团装备制造（集团）有限公司</w:t>
            </w:r>
          </w:p>
          <w:p>
            <w:pPr>
              <w:pStyle w:val="afffffffd"/>
            </w:pPr>
            <w:r>
              <w:rPr>
                <w:rFonts w:hint="eastAsia"/>
              </w:rPr>
              <w:t>（“山能装备”）</w:t>
            </w:r>
          </w:p>
        </w:tc>
        <w:sdt>
          <w:sdtPr>
            <w:rPr>
              <w:rFonts w:hint="eastAsia"/>
              <w:color w:val="000000" w:themeColor="text1"/>
            </w:rPr>
            <w:alias w:val="共同对外投资的重大关联交易的关联方关系"/>
            <w:tag w:val="_GBC_97c85dd4cd204e8ea5f1b6a9150b0a29"/>
            <w:id w:val="1444037120"/>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68" w:type="dxa"/>
                <w:vAlign w:val="center"/>
              </w:tcPr>
              <w:p>
                <w:pPr>
                  <w:rPr>
                    <w:color w:val="000000" w:themeColor="text1"/>
                  </w:rPr>
                </w:pPr>
                <w:r>
                  <w:rPr>
                    <w:rFonts w:hint="eastAsia"/>
                    <w:color w:val="000000" w:themeColor="text1"/>
                  </w:rPr>
                  <w:t>集团兄弟公司</w:t>
                </w:r>
              </w:p>
            </w:tc>
          </w:sdtContent>
        </w:sdt>
        <w:tc>
          <w:tcPr>
            <w:tcW w:w="846" w:type="dxa"/>
            <w:vAlign w:val="center"/>
          </w:tcPr>
          <w:p>
            <w:pPr>
              <w:pStyle w:val="afffffffd"/>
            </w:pPr>
            <w:r>
              <w:rPr>
                <w:rFonts w:hint="eastAsia"/>
              </w:rPr>
              <w:t>天玛智控</w:t>
            </w:r>
          </w:p>
        </w:tc>
        <w:tc>
          <w:tcPr>
            <w:tcW w:w="1395" w:type="dxa"/>
            <w:vAlign w:val="center"/>
          </w:tcPr>
          <w:p>
            <w:pPr>
              <w:jc w:val="both"/>
            </w:pPr>
            <w:r>
              <w:rPr>
                <w:rFonts w:hint="eastAsia"/>
              </w:rPr>
              <w:t>液压支架电液控制系统、综采自动化控制系统和智能集成供液系统（含泵站）的生产制造、维修、服</w:t>
            </w:r>
            <w:r>
              <w:rPr>
                <w:rFonts w:hint="eastAsia"/>
              </w:rPr>
              <w:lastRenderedPageBreak/>
              <w:t>务、仓储物流及配送业务</w:t>
            </w:r>
          </w:p>
        </w:tc>
        <w:tc>
          <w:tcPr>
            <w:tcW w:w="846" w:type="dxa"/>
            <w:vAlign w:val="center"/>
          </w:tcPr>
          <w:p>
            <w:pPr>
              <w:jc w:val="center"/>
              <w:rPr>
                <w:rFonts w:asciiTheme="minorEastAsia" w:eastAsiaTheme="minorEastAsia" w:hAnsiTheme="minorEastAsia"/>
              </w:rPr>
            </w:pPr>
            <w:r>
              <w:rPr>
                <w:rFonts w:asciiTheme="minorEastAsia" w:eastAsiaTheme="minorEastAsia" w:hAnsiTheme="minorEastAsia"/>
              </w:rPr>
              <w:lastRenderedPageBreak/>
              <w:t>10,000</w:t>
            </w:r>
          </w:p>
        </w:tc>
        <w:tc>
          <w:tcPr>
            <w:tcW w:w="976" w:type="dxa"/>
            <w:vAlign w:val="center"/>
          </w:tcPr>
          <w:p>
            <w:pPr>
              <w:jc w:val="center"/>
              <w:rPr>
                <w:rFonts w:asciiTheme="minorEastAsia" w:eastAsiaTheme="minorEastAsia" w:hAnsiTheme="minorEastAsia"/>
              </w:rPr>
            </w:pPr>
            <w:r>
              <w:rPr>
                <w:rFonts w:asciiTheme="minorEastAsia" w:eastAsiaTheme="minorEastAsia" w:hAnsiTheme="minorEastAsia"/>
              </w:rPr>
              <w:t>10,000</w:t>
            </w:r>
          </w:p>
        </w:tc>
        <w:tc>
          <w:tcPr>
            <w:tcW w:w="977" w:type="dxa"/>
            <w:vAlign w:val="center"/>
          </w:tcPr>
          <w:p>
            <w:pPr>
              <w:jc w:val="center"/>
              <w:rPr>
                <w:rFonts w:asciiTheme="minorEastAsia" w:eastAsiaTheme="minorEastAsia" w:hAnsiTheme="minorEastAsia"/>
              </w:rPr>
            </w:pPr>
            <w:bookmarkStart w:id="189" w:name="OLE_LINK25"/>
            <w:r>
              <w:rPr>
                <w:rFonts w:asciiTheme="minorEastAsia" w:eastAsiaTheme="minorEastAsia" w:hAnsiTheme="minorEastAsia" w:hint="eastAsia"/>
              </w:rPr>
              <w:t>10,000</w:t>
            </w:r>
            <w:bookmarkEnd w:id="189"/>
          </w:p>
        </w:tc>
        <w:tc>
          <w:tcPr>
            <w:tcW w:w="970" w:type="dxa"/>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c>
          <w:tcPr>
            <w:tcW w:w="970" w:type="dxa"/>
            <w:vAlign w:val="center"/>
          </w:tcPr>
          <w:p>
            <w:pPr>
              <w:jc w:val="center"/>
              <w:rPr>
                <w:rFonts w:asciiTheme="minorEastAsia" w:eastAsiaTheme="minorEastAsia" w:hAnsiTheme="minorEastAsia"/>
              </w:rPr>
            </w:pPr>
            <w:r>
              <w:rPr>
                <w:rFonts w:asciiTheme="minorEastAsia" w:eastAsiaTheme="minorEastAsia" w:hAnsiTheme="minorEastAsia" w:hint="eastAsia"/>
              </w:rPr>
              <w:t>/</w:t>
            </w:r>
          </w:p>
        </w:tc>
      </w:tr>
    </w:tbl>
    <w:p>
      <w:pPr>
        <w:rPr>
          <w:szCs w:val="21"/>
        </w:rPr>
      </w:pPr>
    </w:p>
    <w:p>
      <w:pPr>
        <w:rPr>
          <w:szCs w:val="21"/>
        </w:rPr>
      </w:pPr>
      <w:r>
        <w:rPr>
          <w:rFonts w:hint="eastAsia"/>
          <w:color w:val="000000" w:themeColor="text1"/>
        </w:rPr>
        <w:t>注：天玛智控于2024年6月注册成立，被投资时尚未开展生产经营活动，无净利润和重大在建项目。</w:t>
      </w:r>
    </w:p>
    <w:p>
      <w:pPr>
        <w:rPr>
          <w:szCs w:val="21"/>
        </w:rPr>
      </w:pPr>
    </w:p>
    <w:p>
      <w:pPr>
        <w:rPr>
          <w:szCs w:val="21"/>
        </w:rPr>
      </w:pPr>
      <w:r>
        <w:rPr>
          <w:szCs w:val="21"/>
        </w:rPr>
        <w:t>共同对外投资的重大关联</w:t>
      </w:r>
      <w:r>
        <w:rPr>
          <w:rFonts w:hint="eastAsia"/>
          <w:szCs w:val="21"/>
        </w:rPr>
        <w:t>/关连</w:t>
      </w:r>
      <w:r>
        <w:rPr>
          <w:szCs w:val="21"/>
        </w:rPr>
        <w:t>交易情况说明</w:t>
      </w:r>
    </w:p>
    <w:bookmarkStart w:id="190" w:name="_Hlk173847965" w:displacedByCustomXml="next"/>
    <w:sdt>
      <w:sdtPr>
        <w:rPr>
          <w:rFonts w:hint="eastAsia"/>
          <w:szCs w:val="21"/>
        </w:rPr>
        <w:alias w:val="共同对外投资的重大关联交易的说明"/>
        <w:tag w:val="_GBC_6bd310e8ea56497592070c4e862ba3a7"/>
        <w:id w:val="1196660203"/>
        <w:placeholder>
          <w:docPart w:val="GBC22222222222222222222222222222"/>
        </w:placeholder>
      </w:sdtPr>
      <w:sdtContent>
        <w:sdt>
          <w:sdtPr>
            <w:rPr>
              <w:rFonts w:hint="eastAsia"/>
              <w:color w:val="000000" w:themeColor="text1"/>
            </w:rPr>
            <w:alias w:val="共同对外投资的重大关联交易的说明"/>
            <w:tag w:val="_GBC_57879614d5864886be398fa462180f23"/>
            <w:id w:val="1177460801"/>
          </w:sdtPr>
          <w:sdtContent>
            <w:p>
              <w:pPr>
                <w:ind w:firstLineChars="200" w:firstLine="420"/>
                <w:jc w:val="both"/>
              </w:pPr>
              <w:r>
                <w:rPr>
                  <w:rFonts w:hint="eastAsia"/>
                </w:rPr>
                <w:t>经公司总经理办公会审议批准，公司以现金出资4,733万元，与北京天玛智控科技股份有限公司、山能装备合资成立天玛智控，注册资本为1亿元，公司持股比例为47.34%。山能装备持股3.66%，公司与山能装备为一致行动人，由公司合并天玛智控财务报表。</w:t>
              </w:r>
            </w:p>
            <w:p>
              <w:pPr>
                <w:ind w:firstLineChars="200" w:firstLine="420"/>
                <w:jc w:val="both"/>
              </w:pPr>
              <w:r>
                <w:rPr>
                  <w:rFonts w:hint="eastAsia"/>
                </w:rPr>
                <w:t>按照境内上市监管规则，该关联交易未达到需要披露临时公告的标准。</w:t>
              </w:r>
            </w:p>
            <w:p>
              <w:pPr>
                <w:ind w:firstLineChars="200" w:firstLine="420"/>
                <w:jc w:val="both"/>
              </w:pPr>
              <w:r>
                <w:rPr>
                  <w:rFonts w:hint="eastAsia"/>
                </w:rPr>
                <w:t>按照香港上市监管规则，由于该关联/关连交易按照一般商务条款或更佳条款进行，且最高适用百分比率（定义见香港上市规则第14.07条）低于0.1%，因此根据香港上市规则第14A.76（1）（a）条，该关连交易可获得全面豁免。</w:t>
              </w:r>
            </w:p>
            <w:p>
              <w:pPr>
                <w:wordWrap w:val="0"/>
                <w:ind w:firstLineChars="200" w:firstLine="420"/>
              </w:pPr>
              <w:r>
                <w:rPr>
                  <w:rFonts w:hint="eastAsia"/>
                </w:rPr>
                <w:t>截至本报告披露日，天玛智控已设立并完成工商登记手续。</w:t>
              </w:r>
            </w:p>
          </w:sdtContent>
        </w:sdt>
        <w:p>
          <w:pPr>
            <w:rPr>
              <w:szCs w:val="21"/>
            </w:rPr>
          </w:pPr>
        </w:p>
        <w:bookmarkEnd w:id="190" w:displacedByCustomXml="next"/>
      </w:sdtContent>
    </w:sdt>
    <w:p>
      <w:pPr>
        <w:rPr>
          <w:szCs w:val="21"/>
        </w:rPr>
      </w:pPr>
    </w:p>
    <w:p>
      <w:pPr>
        <w:pStyle w:val="afffffff1"/>
        <w:numPr>
          <w:ilvl w:val="2"/>
          <w:numId w:val="44"/>
        </w:numPr>
        <w:rPr>
          <w:szCs w:val="21"/>
        </w:rPr>
      </w:pPr>
      <w:r>
        <w:rPr>
          <w:rFonts w:hint="eastAsia"/>
          <w:szCs w:val="21"/>
        </w:rPr>
        <w:t>关联债权债务往来</w:t>
      </w:r>
    </w:p>
    <w:p>
      <w:pPr>
        <w:pStyle w:val="afffffffffffff8"/>
        <w:numPr>
          <w:ilvl w:val="0"/>
          <w:numId w:val="47"/>
        </w:num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437439635"/>
        <w:placeholder>
          <w:docPart w:val="GBC22222222222222222222222222222"/>
        </w:placeholder>
      </w:sdtPr>
      <w:sdtContent>
        <w:p>
          <w:pPr>
            <w:pStyle w:val="affffffd"/>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ffffff8"/>
        <w:numPr>
          <w:ilvl w:val="0"/>
          <w:numId w:val="47"/>
        </w:numPr>
      </w:pPr>
      <w:r>
        <w:t>已在临时公告披露，但有后续实施的进展或变化的事项</w:t>
      </w:r>
    </w:p>
    <w:sdt>
      <w:sdtPr>
        <w:rPr>
          <w:rFonts w:hint="eastAsia"/>
          <w:szCs w:val="21"/>
        </w:rPr>
        <w:alias w:val="是否适用：已在临时公告披露，但有后续实施的进展或变化的事项_关联债权债务往来[双击切换]"/>
        <w:tag w:val="_GBC_fe8fc12ee5c547d690bcc3fb3f1f4e32"/>
        <w:id w:val="-476916078"/>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pStyle w:val="affffffff"/>
      </w:pPr>
    </w:p>
    <w:p>
      <w:pPr>
        <w:pStyle w:val="afffffffffffff8"/>
        <w:numPr>
          <w:ilvl w:val="0"/>
          <w:numId w:val="47"/>
        </w:numPr>
      </w:pPr>
      <w:r>
        <w:rPr>
          <w:rFonts w:hint="eastAsia"/>
        </w:rPr>
        <w:t>临时公告未披露的事项</w:t>
      </w:r>
    </w:p>
    <w:sdt>
      <w:sdtPr>
        <w:alias w:val="是否适用：关联债权债务往来_临时公告未披露的事项[双击切换]"/>
        <w:tag w:val="_GBC_d9a88c6705ef48d49848c2b93cb503f2"/>
        <w:id w:val="136854123"/>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关联债权债务往来"/>
          <w:tag w:val="_GBC_8d4c1abff8924972accec0d4fd37892b"/>
          <w:id w:val="16078450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亿元</w:t>
          </w:r>
        </w:sdtContent>
      </w:sdt>
      <w:r>
        <w:rPr>
          <w:rFonts w:hint="eastAsia"/>
          <w:szCs w:val="21"/>
        </w:rPr>
        <w:t xml:space="preserve">  币种：</w:t>
      </w:r>
      <w:sdt>
        <w:sdtPr>
          <w:rPr>
            <w:rFonts w:hint="eastAsia"/>
            <w:szCs w:val="21"/>
          </w:rPr>
          <w:alias w:val="币种：关联债权债务往来"/>
          <w:tag w:val="_GBC_382a3dde730d43ff96e279b4ce31f369"/>
          <w:id w:val="-15684923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83"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393"/>
        <w:gridCol w:w="1512"/>
        <w:gridCol w:w="985"/>
        <w:gridCol w:w="987"/>
        <w:gridCol w:w="1069"/>
        <w:gridCol w:w="985"/>
        <w:gridCol w:w="1001"/>
        <w:gridCol w:w="1037"/>
      </w:tblGrid>
      <w:tr>
        <w:sdt>
          <w:sdtPr>
            <w:tag w:val="_PLD_95f2c84adc8441e0ac219e05d6e8d5ba"/>
            <w:id w:val="1814058131"/>
          </w:sdtPr>
          <w:sdtContent>
            <w:tc>
              <w:tcPr>
                <w:tcW w:w="777" w:type="pct"/>
                <w:vMerge w:val="restart"/>
                <w:shd w:val="clear" w:color="auto" w:fill="auto"/>
                <w:vAlign w:val="center"/>
              </w:tcPr>
              <w:p>
                <w:pPr>
                  <w:autoSpaceDE w:val="0"/>
                  <w:autoSpaceDN w:val="0"/>
                  <w:adjustRightInd w:val="0"/>
                  <w:jc w:val="center"/>
                  <w:rPr>
                    <w:szCs w:val="21"/>
                  </w:rPr>
                </w:pPr>
                <w:r>
                  <w:rPr>
                    <w:rFonts w:hint="eastAsia"/>
                    <w:szCs w:val="21"/>
                  </w:rPr>
                  <w:t>关联方</w:t>
                </w:r>
              </w:p>
            </w:tc>
          </w:sdtContent>
        </w:sdt>
        <w:sdt>
          <w:sdtPr>
            <w:tag w:val="_PLD_09ca5e393bc34d4785c49c7cee6066f5"/>
            <w:id w:val="-683513141"/>
          </w:sdtPr>
          <w:sdtContent>
            <w:tc>
              <w:tcPr>
                <w:tcW w:w="843" w:type="pct"/>
                <w:vMerge w:val="restart"/>
                <w:shd w:val="clear" w:color="auto" w:fill="auto"/>
                <w:vAlign w:val="center"/>
              </w:tcPr>
              <w:p>
                <w:pPr>
                  <w:autoSpaceDE w:val="0"/>
                  <w:autoSpaceDN w:val="0"/>
                  <w:adjustRightInd w:val="0"/>
                  <w:jc w:val="center"/>
                  <w:rPr>
                    <w:szCs w:val="21"/>
                  </w:rPr>
                </w:pPr>
                <w:r>
                  <w:rPr>
                    <w:rFonts w:hint="eastAsia"/>
                    <w:szCs w:val="21"/>
                  </w:rPr>
                  <w:t>关联关系</w:t>
                </w:r>
              </w:p>
            </w:tc>
          </w:sdtContent>
        </w:sdt>
        <w:sdt>
          <w:sdtPr>
            <w:tag w:val="_PLD_3e4df3fd6b7247e1a1a853fd2fd19d58"/>
            <w:id w:val="917519454"/>
          </w:sdtPr>
          <w:sdtContent>
            <w:tc>
              <w:tcPr>
                <w:tcW w:w="1695" w:type="pct"/>
                <w:gridSpan w:val="3"/>
                <w:shd w:val="clear" w:color="auto" w:fill="auto"/>
                <w:vAlign w:val="center"/>
              </w:tcPr>
              <w:p>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648566708"/>
          </w:sdtPr>
          <w:sdtContent>
            <w:tc>
              <w:tcPr>
                <w:tcW w:w="1686" w:type="pct"/>
                <w:gridSpan w:val="3"/>
                <w:shd w:val="clear" w:color="auto" w:fill="auto"/>
                <w:vAlign w:val="center"/>
              </w:tcPr>
              <w:p>
                <w:pPr>
                  <w:autoSpaceDE w:val="0"/>
                  <w:autoSpaceDN w:val="0"/>
                  <w:adjustRightInd w:val="0"/>
                  <w:jc w:val="center"/>
                  <w:rPr>
                    <w:szCs w:val="21"/>
                  </w:rPr>
                </w:pPr>
                <w:r>
                  <w:rPr>
                    <w:rFonts w:hint="eastAsia"/>
                    <w:szCs w:val="21"/>
                  </w:rPr>
                  <w:t>关联方向上市公司</w:t>
                </w:r>
              </w:p>
              <w:p>
                <w:pPr>
                  <w:autoSpaceDE w:val="0"/>
                  <w:autoSpaceDN w:val="0"/>
                  <w:adjustRightInd w:val="0"/>
                  <w:jc w:val="center"/>
                  <w:rPr>
                    <w:szCs w:val="21"/>
                  </w:rPr>
                </w:pPr>
                <w:r>
                  <w:rPr>
                    <w:rFonts w:hint="eastAsia"/>
                    <w:szCs w:val="21"/>
                  </w:rPr>
                  <w:t>提供资金</w:t>
                </w:r>
              </w:p>
            </w:tc>
          </w:sdtContent>
        </w:sdt>
      </w:tr>
      <w:tr>
        <w:tc>
          <w:tcPr>
            <w:tcW w:w="777" w:type="pct"/>
            <w:vMerge/>
            <w:shd w:val="clear" w:color="auto" w:fill="auto"/>
          </w:tcPr>
          <w:p>
            <w:pPr>
              <w:autoSpaceDE w:val="0"/>
              <w:autoSpaceDN w:val="0"/>
              <w:adjustRightInd w:val="0"/>
              <w:jc w:val="center"/>
              <w:rPr>
                <w:szCs w:val="21"/>
              </w:rPr>
            </w:pPr>
          </w:p>
        </w:tc>
        <w:tc>
          <w:tcPr>
            <w:tcW w:w="843" w:type="pct"/>
            <w:vMerge/>
            <w:shd w:val="clear" w:color="auto" w:fill="auto"/>
          </w:tcPr>
          <w:p>
            <w:pPr>
              <w:autoSpaceDE w:val="0"/>
              <w:autoSpaceDN w:val="0"/>
              <w:adjustRightInd w:val="0"/>
              <w:jc w:val="center"/>
              <w:rPr>
                <w:szCs w:val="21"/>
              </w:rPr>
            </w:pPr>
          </w:p>
        </w:tc>
        <w:sdt>
          <w:sdtPr>
            <w:tag w:val="_PLD_bc90d01618414b799fa4cad9c98b74a6"/>
            <w:id w:val="-563328830"/>
          </w:sdtPr>
          <w:sdtContent>
            <w:tc>
              <w:tcPr>
                <w:tcW w:w="549" w:type="pct"/>
                <w:shd w:val="clear" w:color="auto" w:fill="auto"/>
                <w:vAlign w:val="center"/>
              </w:tcPr>
              <w:p>
                <w:pPr>
                  <w:autoSpaceDE w:val="0"/>
                  <w:autoSpaceDN w:val="0"/>
                  <w:adjustRightInd w:val="0"/>
                  <w:jc w:val="center"/>
                  <w:rPr>
                    <w:szCs w:val="21"/>
                  </w:rPr>
                </w:pPr>
                <w:r>
                  <w:rPr>
                    <w:rFonts w:hint="eastAsia"/>
                    <w:szCs w:val="21"/>
                  </w:rPr>
                  <w:t>期初余额</w:t>
                </w:r>
              </w:p>
            </w:tc>
          </w:sdtContent>
        </w:sdt>
        <w:sdt>
          <w:sdtPr>
            <w:tag w:val="_PLD_e16dc40d23d64bebbedef23ef5c9d0c1"/>
            <w:id w:val="-2126833742"/>
          </w:sdtPr>
          <w:sdtContent>
            <w:tc>
              <w:tcPr>
                <w:tcW w:w="550" w:type="pct"/>
                <w:shd w:val="clear" w:color="auto" w:fill="auto"/>
                <w:vAlign w:val="center"/>
              </w:tcPr>
              <w:p>
                <w:pPr>
                  <w:autoSpaceDE w:val="0"/>
                  <w:autoSpaceDN w:val="0"/>
                  <w:adjustRightInd w:val="0"/>
                  <w:jc w:val="center"/>
                  <w:rPr>
                    <w:szCs w:val="21"/>
                  </w:rPr>
                </w:pPr>
                <w:r>
                  <w:rPr>
                    <w:rFonts w:hint="eastAsia"/>
                    <w:szCs w:val="21"/>
                  </w:rPr>
                  <w:t>发生额</w:t>
                </w:r>
              </w:p>
            </w:tc>
          </w:sdtContent>
        </w:sdt>
        <w:sdt>
          <w:sdtPr>
            <w:tag w:val="_PLD_dc98a14d0d3f4efcbab28c24fdffba08"/>
            <w:id w:val="1213845985"/>
          </w:sdtPr>
          <w:sdtContent>
            <w:tc>
              <w:tcPr>
                <w:tcW w:w="596" w:type="pct"/>
                <w:shd w:val="clear" w:color="auto" w:fill="auto"/>
                <w:vAlign w:val="center"/>
              </w:tcPr>
              <w:p>
                <w:pPr>
                  <w:autoSpaceDE w:val="0"/>
                  <w:autoSpaceDN w:val="0"/>
                  <w:adjustRightInd w:val="0"/>
                  <w:jc w:val="center"/>
                  <w:rPr>
                    <w:szCs w:val="21"/>
                  </w:rPr>
                </w:pPr>
                <w:r>
                  <w:rPr>
                    <w:rFonts w:hint="eastAsia"/>
                    <w:szCs w:val="21"/>
                  </w:rPr>
                  <w:t>期末余额</w:t>
                </w:r>
              </w:p>
            </w:tc>
          </w:sdtContent>
        </w:sdt>
        <w:sdt>
          <w:sdtPr>
            <w:tag w:val="_PLD_b79e4e4eaa1b414ab5065d2b3095a515"/>
            <w:id w:val="457460204"/>
          </w:sdtPr>
          <w:sdtContent>
            <w:tc>
              <w:tcPr>
                <w:tcW w:w="549" w:type="pct"/>
                <w:shd w:val="clear" w:color="auto" w:fill="auto"/>
                <w:vAlign w:val="center"/>
              </w:tcPr>
              <w:p>
                <w:pPr>
                  <w:autoSpaceDE w:val="0"/>
                  <w:autoSpaceDN w:val="0"/>
                  <w:adjustRightInd w:val="0"/>
                  <w:jc w:val="center"/>
                  <w:rPr>
                    <w:szCs w:val="21"/>
                  </w:rPr>
                </w:pPr>
                <w:r>
                  <w:rPr>
                    <w:rFonts w:hint="eastAsia"/>
                    <w:szCs w:val="21"/>
                  </w:rPr>
                  <w:t>期初余额</w:t>
                </w:r>
              </w:p>
            </w:tc>
          </w:sdtContent>
        </w:sdt>
        <w:sdt>
          <w:sdtPr>
            <w:tag w:val="_PLD_5a0b8d29aa6b43eba1f17db944949c32"/>
            <w:id w:val="725499194"/>
          </w:sdtPr>
          <w:sdtContent>
            <w:tc>
              <w:tcPr>
                <w:tcW w:w="558" w:type="pct"/>
                <w:shd w:val="clear" w:color="auto" w:fill="auto"/>
                <w:vAlign w:val="center"/>
              </w:tcPr>
              <w:p>
                <w:pPr>
                  <w:autoSpaceDE w:val="0"/>
                  <w:autoSpaceDN w:val="0"/>
                  <w:adjustRightInd w:val="0"/>
                  <w:jc w:val="center"/>
                  <w:rPr>
                    <w:szCs w:val="21"/>
                  </w:rPr>
                </w:pPr>
                <w:r>
                  <w:rPr>
                    <w:rFonts w:hint="eastAsia"/>
                    <w:szCs w:val="21"/>
                  </w:rPr>
                  <w:t>发生额</w:t>
                </w:r>
              </w:p>
            </w:tc>
          </w:sdtContent>
        </w:sdt>
        <w:sdt>
          <w:sdtPr>
            <w:tag w:val="_PLD_703f2ac3dbfc48e986849e07e3e11448"/>
            <w:id w:val="595678633"/>
          </w:sdtPr>
          <w:sdtContent>
            <w:tc>
              <w:tcPr>
                <w:tcW w:w="579" w:type="pct"/>
                <w:shd w:val="clear" w:color="auto" w:fill="auto"/>
                <w:vAlign w:val="center"/>
              </w:tcPr>
              <w:p>
                <w:pPr>
                  <w:autoSpaceDE w:val="0"/>
                  <w:autoSpaceDN w:val="0"/>
                  <w:adjustRightInd w:val="0"/>
                  <w:jc w:val="center"/>
                  <w:rPr>
                    <w:szCs w:val="21"/>
                  </w:rPr>
                </w:pPr>
                <w:r>
                  <w:rPr>
                    <w:rFonts w:hint="eastAsia"/>
                    <w:szCs w:val="21"/>
                  </w:rPr>
                  <w:t>期末余额</w:t>
                </w:r>
              </w:p>
            </w:tc>
          </w:sdtContent>
        </w:sdt>
      </w:tr>
      <w:tr>
        <w:tc>
          <w:tcPr>
            <w:tcW w:w="777" w:type="pct"/>
            <w:shd w:val="clear" w:color="auto" w:fill="auto"/>
            <w:vAlign w:val="center"/>
          </w:tcPr>
          <w:p>
            <w:pPr>
              <w:autoSpaceDE w:val="0"/>
              <w:autoSpaceDN w:val="0"/>
              <w:adjustRightInd w:val="0"/>
              <w:rPr>
                <w:szCs w:val="21"/>
              </w:rPr>
            </w:pPr>
            <w:r>
              <w:rPr>
                <w:rFonts w:hint="eastAsia"/>
                <w:szCs w:val="21"/>
              </w:rPr>
              <w:t>山东能源集团</w:t>
            </w:r>
          </w:p>
        </w:tc>
        <w:sdt>
          <w:sdtPr>
            <w:rPr>
              <w:szCs w:val="21"/>
            </w:rPr>
            <w:alias w:val="关联债权债务往来的关联方关系"/>
            <w:tag w:val="_GBC_8f67ef005f224f5caa48a28757043bc8"/>
            <w:id w:val="2036921381"/>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843" w:type="pct"/>
                <w:shd w:val="clear" w:color="auto" w:fill="auto"/>
                <w:vAlign w:val="center"/>
              </w:tcPr>
              <w:p>
                <w:pPr>
                  <w:autoSpaceDE w:val="0"/>
                  <w:autoSpaceDN w:val="0"/>
                  <w:adjustRightInd w:val="0"/>
                  <w:rPr>
                    <w:color w:val="FFC000"/>
                    <w:szCs w:val="21"/>
                  </w:rPr>
                </w:pPr>
                <w:r>
                  <w:rPr>
                    <w:szCs w:val="21"/>
                  </w:rPr>
                  <w:t>控股股东</w:t>
                </w:r>
              </w:p>
            </w:tc>
          </w:sdtContent>
        </w:sdt>
        <w:tc>
          <w:tcPr>
            <w:tcW w:w="549" w:type="pct"/>
            <w:shd w:val="clear" w:color="auto" w:fill="auto"/>
            <w:vAlign w:val="center"/>
          </w:tcPr>
          <w:p>
            <w:pPr>
              <w:jc w:val="right"/>
            </w:pPr>
            <w:r>
              <w:t>170.57</w:t>
            </w:r>
          </w:p>
        </w:tc>
        <w:tc>
          <w:tcPr>
            <w:tcW w:w="550" w:type="pct"/>
            <w:shd w:val="clear" w:color="auto" w:fill="auto"/>
            <w:vAlign w:val="center"/>
          </w:tcPr>
          <w:p>
            <w:pPr>
              <w:jc w:val="right"/>
            </w:pPr>
            <w:r>
              <w:t>8.98</w:t>
            </w:r>
          </w:p>
        </w:tc>
        <w:tc>
          <w:tcPr>
            <w:tcW w:w="596" w:type="pct"/>
            <w:shd w:val="clear" w:color="auto" w:fill="auto"/>
            <w:vAlign w:val="center"/>
          </w:tcPr>
          <w:p>
            <w:pPr>
              <w:jc w:val="right"/>
            </w:pPr>
            <w:r>
              <w:t>179.55</w:t>
            </w:r>
          </w:p>
        </w:tc>
        <w:tc>
          <w:tcPr>
            <w:tcW w:w="549" w:type="pct"/>
            <w:shd w:val="clear" w:color="auto" w:fill="auto"/>
            <w:vAlign w:val="center"/>
          </w:tcPr>
          <w:p>
            <w:pPr>
              <w:jc w:val="right"/>
            </w:pPr>
            <w:r>
              <w:t>464.7</w:t>
            </w:r>
          </w:p>
        </w:tc>
        <w:tc>
          <w:tcPr>
            <w:tcW w:w="558" w:type="pct"/>
            <w:shd w:val="clear" w:color="auto" w:fill="auto"/>
            <w:vAlign w:val="center"/>
          </w:tcPr>
          <w:p>
            <w:pPr>
              <w:jc w:val="right"/>
            </w:pPr>
            <w:r>
              <w:t>-147.7</w:t>
            </w:r>
          </w:p>
        </w:tc>
        <w:tc>
          <w:tcPr>
            <w:tcW w:w="579" w:type="pct"/>
            <w:shd w:val="clear" w:color="auto" w:fill="auto"/>
            <w:vAlign w:val="center"/>
          </w:tcPr>
          <w:p>
            <w:pPr>
              <w:jc w:val="right"/>
            </w:pPr>
            <w:r>
              <w:t>317</w:t>
            </w:r>
          </w:p>
        </w:tc>
      </w:tr>
      <w:tr>
        <w:tc>
          <w:tcPr>
            <w:tcW w:w="1620" w:type="pct"/>
            <w:gridSpan w:val="2"/>
            <w:shd w:val="clear" w:color="auto" w:fill="auto"/>
            <w:vAlign w:val="center"/>
          </w:tcPr>
          <w:p>
            <w:pPr>
              <w:pStyle w:val="affffffc"/>
              <w:autoSpaceDE w:val="0"/>
              <w:autoSpaceDN w:val="0"/>
              <w:adjustRightInd w:val="0"/>
              <w:jc w:val="center"/>
              <w:rPr>
                <w:rFonts w:ascii="宋体" w:hAnsi="宋体"/>
              </w:rPr>
            </w:pPr>
            <w:r>
              <w:rPr>
                <w:rFonts w:ascii="宋体" w:hAnsi="宋体" w:hint="eastAsia"/>
              </w:rPr>
              <w:t>合计</w:t>
            </w:r>
          </w:p>
        </w:tc>
        <w:tc>
          <w:tcPr>
            <w:tcW w:w="549" w:type="pct"/>
            <w:tcBorders>
              <w:bottom w:val="nil"/>
            </w:tcBorders>
            <w:shd w:val="clear" w:color="auto" w:fill="auto"/>
            <w:vAlign w:val="center"/>
          </w:tcPr>
          <w:p>
            <w:pPr>
              <w:jc w:val="right"/>
            </w:pPr>
            <w:r>
              <w:t>170.57</w:t>
            </w:r>
          </w:p>
        </w:tc>
        <w:tc>
          <w:tcPr>
            <w:tcW w:w="550" w:type="pct"/>
            <w:tcBorders>
              <w:bottom w:val="nil"/>
            </w:tcBorders>
            <w:shd w:val="clear" w:color="auto" w:fill="auto"/>
            <w:vAlign w:val="center"/>
          </w:tcPr>
          <w:p>
            <w:pPr>
              <w:jc w:val="right"/>
            </w:pPr>
            <w:r>
              <w:t>8.98</w:t>
            </w:r>
          </w:p>
        </w:tc>
        <w:tc>
          <w:tcPr>
            <w:tcW w:w="596" w:type="pct"/>
            <w:tcBorders>
              <w:bottom w:val="nil"/>
            </w:tcBorders>
            <w:shd w:val="clear" w:color="auto" w:fill="auto"/>
            <w:vAlign w:val="center"/>
          </w:tcPr>
          <w:p>
            <w:pPr>
              <w:jc w:val="right"/>
            </w:pPr>
            <w:r>
              <w:t>179.55</w:t>
            </w:r>
          </w:p>
        </w:tc>
        <w:tc>
          <w:tcPr>
            <w:tcW w:w="549" w:type="pct"/>
            <w:tcBorders>
              <w:bottom w:val="nil"/>
            </w:tcBorders>
            <w:shd w:val="clear" w:color="auto" w:fill="auto"/>
            <w:vAlign w:val="center"/>
          </w:tcPr>
          <w:p>
            <w:pPr>
              <w:jc w:val="right"/>
            </w:pPr>
            <w:r>
              <w:t>464.7</w:t>
            </w:r>
          </w:p>
        </w:tc>
        <w:tc>
          <w:tcPr>
            <w:tcW w:w="558" w:type="pct"/>
            <w:tcBorders>
              <w:bottom w:val="nil"/>
            </w:tcBorders>
            <w:shd w:val="clear" w:color="auto" w:fill="auto"/>
            <w:vAlign w:val="center"/>
          </w:tcPr>
          <w:p>
            <w:pPr>
              <w:jc w:val="right"/>
            </w:pPr>
            <w:r>
              <w:t>-147.7</w:t>
            </w:r>
          </w:p>
        </w:tc>
        <w:tc>
          <w:tcPr>
            <w:tcW w:w="579" w:type="pct"/>
            <w:tcBorders>
              <w:bottom w:val="nil"/>
            </w:tcBorders>
            <w:shd w:val="clear" w:color="auto" w:fill="auto"/>
            <w:vAlign w:val="center"/>
          </w:tcPr>
          <w:p>
            <w:pPr>
              <w:jc w:val="right"/>
            </w:pPr>
            <w:r>
              <w:t>317</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20" w:type="pct"/>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关联债权债务形成原因</w:t>
            </w:r>
          </w:p>
        </w:tc>
        <w:tc>
          <w:tcPr>
            <w:tcW w:w="3380" w:type="pct"/>
            <w:gridSpan w:val="6"/>
            <w:tcBorders>
              <w:top w:val="single" w:sz="4" w:space="0" w:color="auto"/>
              <w:left w:val="single" w:sz="4" w:space="0" w:color="auto"/>
              <w:bottom w:val="single" w:sz="4" w:space="0" w:color="auto"/>
              <w:right w:val="single" w:sz="4" w:space="0" w:color="auto"/>
            </w:tcBorders>
            <w:shd w:val="clear" w:color="auto" w:fill="auto"/>
          </w:tcPr>
          <w:p>
            <w:pPr>
              <w:pStyle w:val="afffffffffffff8"/>
            </w:pPr>
            <w:r>
              <w:rPr>
                <w:rFonts w:hint="eastAsia"/>
              </w:rPr>
              <w:t>双方互相销售商品、提供服务等。</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620" w:type="pct"/>
            <w:gridSpan w:val="2"/>
            <w:tcBorders>
              <w:top w:val="single" w:sz="4" w:space="0" w:color="auto"/>
              <w:left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关联债权债务对公司的影响</w:t>
            </w:r>
          </w:p>
        </w:tc>
        <w:tc>
          <w:tcPr>
            <w:tcW w:w="3380" w:type="pct"/>
            <w:gridSpan w:val="6"/>
            <w:tcBorders>
              <w:top w:val="single" w:sz="4" w:space="0" w:color="auto"/>
              <w:left w:val="single" w:sz="4" w:space="0" w:color="auto"/>
              <w:bottom w:val="single" w:sz="4" w:space="0" w:color="auto"/>
              <w:right w:val="single" w:sz="4" w:space="0" w:color="auto"/>
            </w:tcBorders>
            <w:shd w:val="clear" w:color="auto" w:fill="auto"/>
          </w:tcPr>
          <w:p>
            <w:pPr>
              <w:pStyle w:val="afffffffffffff8"/>
            </w:pPr>
            <w:r>
              <w:rPr>
                <w:rFonts w:hint="eastAsia"/>
              </w:rPr>
              <w:t>无重大影响</w:t>
            </w:r>
          </w:p>
        </w:tc>
      </w:tr>
    </w:tbl>
    <w:p>
      <w:pPr>
        <w:rPr>
          <w:rFonts w:asciiTheme="minorEastAsia" w:hAnsiTheme="minorEastAsia"/>
          <w:szCs w:val="21"/>
        </w:rPr>
      </w:pPr>
    </w:p>
    <w:p>
      <w:pPr>
        <w:pStyle w:val="afffffff1"/>
        <w:numPr>
          <w:ilvl w:val="2"/>
          <w:numId w:val="44"/>
        </w:numPr>
        <w:rPr>
          <w:szCs w:val="21"/>
        </w:rPr>
      </w:pPr>
      <w:bookmarkStart w:id="191" w:name="_Hlk89953756"/>
      <w:bookmarkStart w:id="192" w:name="_Hlk89346519"/>
      <w:r>
        <w:rPr>
          <w:rFonts w:hint="eastAsia"/>
          <w:szCs w:val="21"/>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1757817473"/>
        <w:lock w:val="contentLocked"/>
        <w:placeholder>
          <w:docPart w:val="GBC22222222222222222222222222222"/>
        </w:placeholder>
      </w:sdtPr>
      <w:sdtContent>
        <w:p>
          <w:pPr>
            <w:pStyle w:val="affffffff"/>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8"/>
        <w:numPr>
          <w:ilvl w:val="0"/>
          <w:numId w:val="48"/>
        </w:numPr>
        <w:ind w:left="425" w:hanging="425"/>
      </w:pPr>
      <w:r>
        <w:rPr>
          <w:rFonts w:hint="eastAsia"/>
        </w:rPr>
        <w:t>存款业务</w:t>
      </w:r>
    </w:p>
    <w:sdt>
      <w:sdtPr>
        <w:alias w:val="是否适用：存款业务[双击切换]"/>
        <w:tag w:val="_GBC_f91d5ba8911645af92109a1b977343e2"/>
        <w:id w:val="-708027902"/>
        <w:placeholder>
          <w:docPart w:val="GBC22222222222222222222222222222"/>
        </w:placeholder>
      </w:sdtPr>
      <w:sdtContent>
        <w:p>
          <w:pPr>
            <w:pStyle w:val="affffffff"/>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款业务情况"/>
          <w:tag w:val="_GBC_3c39941625c0404dacda9210d5f10426"/>
          <w:id w:val="17252605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亿元</w:t>
          </w:r>
        </w:sdtContent>
      </w:sdt>
      <w:r>
        <w:rPr>
          <w:rFonts w:hint="eastAsia"/>
          <w:szCs w:val="21"/>
        </w:rPr>
        <w:t xml:space="preserve">  币种：</w:t>
      </w:r>
      <w:sdt>
        <w:sdtPr>
          <w:rPr>
            <w:rFonts w:hint="eastAsia"/>
            <w:szCs w:val="21"/>
          </w:rPr>
          <w:alias w:val="币种：存款业务情况"/>
          <w:tag w:val="_GBC_f9cda9c00cdf40b5a544fdcc0e086854"/>
          <w:id w:val="7192494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121"/>
        <w:gridCol w:w="1105"/>
        <w:gridCol w:w="909"/>
        <w:gridCol w:w="1059"/>
        <w:gridCol w:w="1105"/>
        <w:gridCol w:w="1124"/>
        <w:gridCol w:w="846"/>
      </w:tblGrid>
      <w:tr>
        <w:sdt>
          <w:sdtPr>
            <w:tag w:val="_PLD_e6f8a0bf4fa44cc6a5830ca60560c631"/>
            <w:id w:val="275847735"/>
          </w:sdtPr>
          <w:sdtContent>
            <w:tc>
              <w:tcPr>
                <w:tcW w:w="881" w:type="pct"/>
                <w:vMerge w:val="restart"/>
                <w:shd w:val="clear" w:color="auto" w:fill="auto"/>
                <w:vAlign w:val="center"/>
              </w:tcPr>
              <w:p>
                <w:pPr>
                  <w:widowControl w:val="0"/>
                  <w:autoSpaceDE w:val="0"/>
                  <w:autoSpaceDN w:val="0"/>
                  <w:adjustRightInd w:val="0"/>
                  <w:jc w:val="center"/>
                  <w:rPr>
                    <w:szCs w:val="21"/>
                  </w:rPr>
                </w:pPr>
                <w:r>
                  <w:rPr>
                    <w:rFonts w:hint="eastAsia"/>
                    <w:szCs w:val="21"/>
                  </w:rPr>
                  <w:t>关联方</w:t>
                </w:r>
              </w:p>
            </w:tc>
          </w:sdtContent>
        </w:sdt>
        <w:sdt>
          <w:sdtPr>
            <w:tag w:val="_PLD_8aebf5d34bff4522b47150e7ac619932"/>
            <w:id w:val="85350001"/>
          </w:sdtPr>
          <w:sdtContent>
            <w:tc>
              <w:tcPr>
                <w:tcW w:w="635" w:type="pct"/>
                <w:vMerge w:val="restart"/>
                <w:shd w:val="clear" w:color="auto" w:fill="auto"/>
                <w:vAlign w:val="center"/>
              </w:tcPr>
              <w:p>
                <w:pPr>
                  <w:widowControl w:val="0"/>
                  <w:autoSpaceDE w:val="0"/>
                  <w:autoSpaceDN w:val="0"/>
                  <w:adjustRightInd w:val="0"/>
                  <w:jc w:val="center"/>
                  <w:rPr>
                    <w:szCs w:val="21"/>
                  </w:rPr>
                </w:pPr>
                <w:r>
                  <w:rPr>
                    <w:rFonts w:hint="eastAsia"/>
                    <w:szCs w:val="21"/>
                  </w:rPr>
                  <w:t>关联关系</w:t>
                </w:r>
              </w:p>
            </w:tc>
          </w:sdtContent>
        </w:sdt>
        <w:sdt>
          <w:sdtPr>
            <w:tag w:val="_PLD_6926102d22164a98841f060797e60bdf"/>
            <w:id w:val="2049797443"/>
          </w:sdtPr>
          <w:sdtContent>
            <w:tc>
              <w:tcPr>
                <w:tcW w:w="626" w:type="pct"/>
                <w:vMerge w:val="restart"/>
                <w:shd w:val="clear" w:color="auto" w:fill="auto"/>
                <w:vAlign w:val="center"/>
              </w:tcPr>
              <w:p>
                <w:pPr>
                  <w:widowControl w:val="0"/>
                  <w:autoSpaceDE w:val="0"/>
                  <w:autoSpaceDN w:val="0"/>
                  <w:adjustRightInd w:val="0"/>
                  <w:jc w:val="center"/>
                  <w:rPr>
                    <w:szCs w:val="21"/>
                  </w:rPr>
                </w:pPr>
                <w:r>
                  <w:t>每日最高存款限额</w:t>
                </w:r>
              </w:p>
            </w:tc>
          </w:sdtContent>
        </w:sdt>
        <w:sdt>
          <w:sdtPr>
            <w:tag w:val="_PLD_35120e1d137a49a58b458aa55e4b9d03"/>
            <w:id w:val="-72357555"/>
          </w:sdtPr>
          <w:sdtContent>
            <w:tc>
              <w:tcPr>
                <w:tcW w:w="515" w:type="pct"/>
                <w:vMerge w:val="restart"/>
                <w:shd w:val="clear" w:color="auto" w:fill="auto"/>
                <w:vAlign w:val="center"/>
              </w:tcPr>
              <w:p>
                <w:pPr>
                  <w:widowControl w:val="0"/>
                  <w:autoSpaceDE w:val="0"/>
                  <w:autoSpaceDN w:val="0"/>
                  <w:adjustRightInd w:val="0"/>
                  <w:jc w:val="center"/>
                  <w:rPr>
                    <w:szCs w:val="21"/>
                  </w:rPr>
                </w:pPr>
                <w:r>
                  <w:t>存款利率范围</w:t>
                </w:r>
              </w:p>
            </w:tc>
          </w:sdtContent>
        </w:sdt>
        <w:sdt>
          <w:sdtPr>
            <w:tag w:val="_PLD_3f62fc64d6bc4210a25dd2bd7c73a3b2"/>
            <w:id w:val="-1445152733"/>
          </w:sdtPr>
          <w:sdtContent>
            <w:tc>
              <w:tcPr>
                <w:tcW w:w="600" w:type="pct"/>
                <w:vMerge w:val="restart"/>
                <w:shd w:val="clear" w:color="auto" w:fill="auto"/>
                <w:vAlign w:val="center"/>
              </w:tcPr>
              <w:p>
                <w:pPr>
                  <w:widowControl w:val="0"/>
                  <w:autoSpaceDE w:val="0"/>
                  <w:autoSpaceDN w:val="0"/>
                  <w:adjustRightInd w:val="0"/>
                  <w:jc w:val="center"/>
                  <w:rPr>
                    <w:szCs w:val="21"/>
                  </w:rPr>
                </w:pPr>
                <w:r>
                  <w:t>期初余额</w:t>
                </w:r>
              </w:p>
            </w:tc>
          </w:sdtContent>
        </w:sdt>
        <w:sdt>
          <w:sdtPr>
            <w:tag w:val="_PLD_2c020463045344b1a08898f249b93e22"/>
            <w:id w:val="-2037654292"/>
          </w:sdtPr>
          <w:sdtContent>
            <w:tc>
              <w:tcPr>
                <w:tcW w:w="1263" w:type="pct"/>
                <w:gridSpan w:val="2"/>
                <w:shd w:val="clear" w:color="auto" w:fill="auto"/>
                <w:vAlign w:val="center"/>
              </w:tcPr>
              <w:p>
                <w:pPr>
                  <w:widowControl w:val="0"/>
                  <w:autoSpaceDE w:val="0"/>
                  <w:autoSpaceDN w:val="0"/>
                  <w:adjustRightInd w:val="0"/>
                  <w:jc w:val="center"/>
                </w:pPr>
                <w:r>
                  <w:t>本期发生额</w:t>
                </w:r>
              </w:p>
            </w:tc>
          </w:sdtContent>
        </w:sdt>
        <w:sdt>
          <w:sdtPr>
            <w:tag w:val="_PLD_7256a341c00d4ea9bfda5df6a6c75070"/>
            <w:id w:val="-1453479270"/>
          </w:sdtPr>
          <w:sdtContent>
            <w:tc>
              <w:tcPr>
                <w:tcW w:w="479" w:type="pct"/>
                <w:vMerge w:val="restart"/>
                <w:shd w:val="clear" w:color="auto" w:fill="auto"/>
                <w:vAlign w:val="center"/>
              </w:tcPr>
              <w:p>
                <w:pPr>
                  <w:widowControl w:val="0"/>
                  <w:autoSpaceDE w:val="0"/>
                  <w:autoSpaceDN w:val="0"/>
                  <w:adjustRightInd w:val="0"/>
                  <w:jc w:val="center"/>
                  <w:rPr>
                    <w:szCs w:val="21"/>
                  </w:rPr>
                </w:pPr>
                <w:r>
                  <w:t>期末余额</w:t>
                </w:r>
              </w:p>
            </w:tc>
          </w:sdtContent>
        </w:sdt>
      </w:tr>
      <w:tr>
        <w:tc>
          <w:tcPr>
            <w:tcW w:w="881" w:type="pct"/>
            <w:vMerge/>
            <w:shd w:val="clear" w:color="auto" w:fill="auto"/>
            <w:vAlign w:val="center"/>
          </w:tcPr>
          <w:p>
            <w:pPr>
              <w:widowControl w:val="0"/>
              <w:autoSpaceDE w:val="0"/>
              <w:autoSpaceDN w:val="0"/>
              <w:adjustRightInd w:val="0"/>
              <w:jc w:val="center"/>
              <w:rPr>
                <w:szCs w:val="21"/>
              </w:rPr>
            </w:pPr>
          </w:p>
        </w:tc>
        <w:tc>
          <w:tcPr>
            <w:tcW w:w="635" w:type="pct"/>
            <w:vMerge/>
            <w:shd w:val="clear" w:color="auto" w:fill="auto"/>
            <w:vAlign w:val="center"/>
          </w:tcPr>
          <w:p>
            <w:pPr>
              <w:widowControl w:val="0"/>
              <w:autoSpaceDE w:val="0"/>
              <w:autoSpaceDN w:val="0"/>
              <w:adjustRightInd w:val="0"/>
              <w:jc w:val="center"/>
              <w:rPr>
                <w:szCs w:val="21"/>
              </w:rPr>
            </w:pPr>
          </w:p>
        </w:tc>
        <w:tc>
          <w:tcPr>
            <w:tcW w:w="626" w:type="pct"/>
            <w:vMerge/>
            <w:shd w:val="clear" w:color="auto" w:fill="auto"/>
            <w:vAlign w:val="center"/>
          </w:tcPr>
          <w:p>
            <w:pPr>
              <w:widowControl w:val="0"/>
              <w:autoSpaceDE w:val="0"/>
              <w:autoSpaceDN w:val="0"/>
              <w:adjustRightInd w:val="0"/>
              <w:jc w:val="center"/>
            </w:pPr>
          </w:p>
        </w:tc>
        <w:tc>
          <w:tcPr>
            <w:tcW w:w="515" w:type="pct"/>
            <w:vMerge/>
            <w:shd w:val="clear" w:color="auto" w:fill="auto"/>
            <w:vAlign w:val="center"/>
          </w:tcPr>
          <w:p>
            <w:pPr>
              <w:widowControl w:val="0"/>
              <w:autoSpaceDE w:val="0"/>
              <w:autoSpaceDN w:val="0"/>
              <w:adjustRightInd w:val="0"/>
              <w:jc w:val="center"/>
            </w:pPr>
          </w:p>
        </w:tc>
        <w:tc>
          <w:tcPr>
            <w:tcW w:w="600" w:type="pct"/>
            <w:vMerge/>
            <w:shd w:val="clear" w:color="auto" w:fill="auto"/>
            <w:vAlign w:val="center"/>
          </w:tcPr>
          <w:p>
            <w:pPr>
              <w:widowControl w:val="0"/>
              <w:autoSpaceDE w:val="0"/>
              <w:autoSpaceDN w:val="0"/>
              <w:adjustRightInd w:val="0"/>
              <w:jc w:val="center"/>
            </w:pPr>
          </w:p>
        </w:tc>
        <w:sdt>
          <w:sdtPr>
            <w:tag w:val="_PLD_a7c089b9b9c848cda9c2d0d39ffd15d1"/>
            <w:id w:val="1162730584"/>
          </w:sdtPr>
          <w:sdtContent>
            <w:tc>
              <w:tcPr>
                <w:tcW w:w="626" w:type="pct"/>
                <w:shd w:val="clear" w:color="auto" w:fill="auto"/>
                <w:vAlign w:val="center"/>
              </w:tcPr>
              <w:p>
                <w:pPr>
                  <w:widowControl w:val="0"/>
                  <w:autoSpaceDE w:val="0"/>
                  <w:autoSpaceDN w:val="0"/>
                  <w:adjustRightInd w:val="0"/>
                  <w:jc w:val="center"/>
                </w:pPr>
                <w:r>
                  <w:rPr>
                    <w:rFonts w:hint="eastAsia"/>
                  </w:rPr>
                  <w:t>本期合计</w:t>
                </w:r>
                <w:r>
                  <w:rPr>
                    <w:rFonts w:hint="eastAsia"/>
                  </w:rPr>
                  <w:lastRenderedPageBreak/>
                  <w:t>存入金额</w:t>
                </w:r>
              </w:p>
            </w:tc>
          </w:sdtContent>
        </w:sdt>
        <w:sdt>
          <w:sdtPr>
            <w:tag w:val="_PLD_d5c42deb4e87457db7957c53e44d1d9b"/>
            <w:id w:val="2056042745"/>
          </w:sdtPr>
          <w:sdtContent>
            <w:tc>
              <w:tcPr>
                <w:tcW w:w="637" w:type="pct"/>
              </w:tcPr>
              <w:p>
                <w:pPr>
                  <w:widowControl w:val="0"/>
                  <w:autoSpaceDE w:val="0"/>
                  <w:autoSpaceDN w:val="0"/>
                  <w:adjustRightInd w:val="0"/>
                  <w:jc w:val="center"/>
                </w:pPr>
                <w:r>
                  <w:rPr>
                    <w:rFonts w:hint="eastAsia"/>
                  </w:rPr>
                  <w:t>本期合计</w:t>
                </w:r>
                <w:r>
                  <w:rPr>
                    <w:rFonts w:hint="eastAsia"/>
                  </w:rPr>
                  <w:lastRenderedPageBreak/>
                  <w:t>取出金额</w:t>
                </w:r>
              </w:p>
            </w:tc>
          </w:sdtContent>
        </w:sdt>
        <w:tc>
          <w:tcPr>
            <w:tcW w:w="479" w:type="pct"/>
            <w:vMerge/>
            <w:shd w:val="clear" w:color="auto" w:fill="auto"/>
            <w:vAlign w:val="center"/>
          </w:tcPr>
          <w:p>
            <w:pPr>
              <w:widowControl w:val="0"/>
              <w:autoSpaceDE w:val="0"/>
              <w:autoSpaceDN w:val="0"/>
              <w:adjustRightInd w:val="0"/>
              <w:jc w:val="center"/>
            </w:pPr>
          </w:p>
        </w:tc>
      </w:tr>
      <w:tr>
        <w:trPr>
          <w:trHeight w:val="693"/>
        </w:trPr>
        <w:tc>
          <w:tcPr>
            <w:tcW w:w="881" w:type="pct"/>
            <w:shd w:val="clear" w:color="auto" w:fill="auto"/>
            <w:vAlign w:val="center"/>
          </w:tcPr>
          <w:p>
            <w:pPr>
              <w:widowControl w:val="0"/>
              <w:autoSpaceDE w:val="0"/>
              <w:autoSpaceDN w:val="0"/>
              <w:adjustRightInd w:val="0"/>
              <w:jc w:val="center"/>
              <w:rPr>
                <w:szCs w:val="21"/>
              </w:rPr>
            </w:pPr>
            <w:r>
              <w:rPr>
                <w:rFonts w:hint="eastAsia"/>
                <w:szCs w:val="21"/>
              </w:rPr>
              <w:t>山东能源集团</w:t>
            </w:r>
          </w:p>
        </w:tc>
        <w:tc>
          <w:tcPr>
            <w:tcW w:w="635" w:type="pct"/>
            <w:shd w:val="clear" w:color="auto" w:fill="auto"/>
            <w:vAlign w:val="center"/>
          </w:tcPr>
          <w:p>
            <w:pPr>
              <w:widowControl w:val="0"/>
              <w:autoSpaceDE w:val="0"/>
              <w:autoSpaceDN w:val="0"/>
              <w:adjustRightInd w:val="0"/>
              <w:jc w:val="center"/>
              <w:rPr>
                <w:szCs w:val="21"/>
              </w:rPr>
            </w:pPr>
            <w:r>
              <w:rPr>
                <w:rFonts w:hint="eastAsia"/>
                <w:szCs w:val="21"/>
              </w:rPr>
              <w:t>控股股东</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625</w:t>
            </w:r>
          </w:p>
        </w:tc>
        <w:tc>
          <w:tcPr>
            <w:tcW w:w="515" w:type="pct"/>
            <w:shd w:val="clear" w:color="auto" w:fill="auto"/>
            <w:vAlign w:val="center"/>
          </w:tcPr>
          <w:p>
            <w:pPr>
              <w:widowControl w:val="0"/>
              <w:autoSpaceDE w:val="0"/>
              <w:autoSpaceDN w:val="0"/>
              <w:adjustRightInd w:val="0"/>
              <w:spacing w:line="200" w:lineRule="exact"/>
              <w:jc w:val="center"/>
              <w:rPr>
                <w:szCs w:val="21"/>
              </w:rPr>
            </w:pPr>
            <w:r>
              <w:rPr>
                <w:rFonts w:hint="eastAsia"/>
                <w:szCs w:val="21"/>
              </w:rPr>
              <w:t>0.385%</w:t>
            </w:r>
          </w:p>
          <w:p>
            <w:pPr>
              <w:widowControl w:val="0"/>
              <w:autoSpaceDE w:val="0"/>
              <w:autoSpaceDN w:val="0"/>
              <w:adjustRightInd w:val="0"/>
              <w:spacing w:line="200" w:lineRule="exact"/>
              <w:jc w:val="center"/>
              <w:rPr>
                <w:szCs w:val="21"/>
              </w:rPr>
            </w:pPr>
            <w:r>
              <w:rPr>
                <w:rFonts w:hint="eastAsia"/>
                <w:szCs w:val="21"/>
              </w:rPr>
              <w:t>-</w:t>
            </w:r>
          </w:p>
          <w:p>
            <w:pPr>
              <w:widowControl w:val="0"/>
              <w:autoSpaceDE w:val="0"/>
              <w:autoSpaceDN w:val="0"/>
              <w:adjustRightInd w:val="0"/>
              <w:spacing w:line="200" w:lineRule="exact"/>
              <w:jc w:val="center"/>
              <w:rPr>
                <w:szCs w:val="21"/>
              </w:rPr>
            </w:pPr>
            <w:r>
              <w:rPr>
                <w:rFonts w:hint="eastAsia"/>
                <w:szCs w:val="21"/>
              </w:rPr>
              <w:t>1.35%</w:t>
            </w:r>
          </w:p>
        </w:tc>
        <w:tc>
          <w:tcPr>
            <w:tcW w:w="600" w:type="pct"/>
            <w:shd w:val="clear" w:color="auto" w:fill="auto"/>
            <w:vAlign w:val="center"/>
          </w:tcPr>
          <w:p>
            <w:pPr>
              <w:widowControl w:val="0"/>
              <w:autoSpaceDE w:val="0"/>
              <w:autoSpaceDN w:val="0"/>
              <w:adjustRightInd w:val="0"/>
              <w:jc w:val="center"/>
              <w:rPr>
                <w:szCs w:val="21"/>
              </w:rPr>
            </w:pPr>
            <w:r>
              <w:rPr>
                <w:rFonts w:hint="eastAsia"/>
                <w:szCs w:val="21"/>
              </w:rPr>
              <w:t>251.81</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9,819.01</w:t>
            </w:r>
          </w:p>
        </w:tc>
        <w:tc>
          <w:tcPr>
            <w:tcW w:w="637" w:type="pct"/>
            <w:vAlign w:val="center"/>
          </w:tcPr>
          <w:p>
            <w:pPr>
              <w:widowControl w:val="0"/>
              <w:autoSpaceDE w:val="0"/>
              <w:autoSpaceDN w:val="0"/>
              <w:adjustRightInd w:val="0"/>
              <w:jc w:val="center"/>
              <w:rPr>
                <w:szCs w:val="21"/>
              </w:rPr>
            </w:pPr>
            <w:r>
              <w:rPr>
                <w:rFonts w:hint="eastAsia"/>
                <w:szCs w:val="21"/>
              </w:rPr>
              <w:t>9,845.57</w:t>
            </w:r>
          </w:p>
        </w:tc>
        <w:tc>
          <w:tcPr>
            <w:tcW w:w="479" w:type="pct"/>
            <w:shd w:val="clear" w:color="auto" w:fill="auto"/>
            <w:vAlign w:val="center"/>
          </w:tcPr>
          <w:p>
            <w:pPr>
              <w:widowControl w:val="0"/>
              <w:autoSpaceDE w:val="0"/>
              <w:autoSpaceDN w:val="0"/>
              <w:adjustRightInd w:val="0"/>
              <w:jc w:val="center"/>
              <w:rPr>
                <w:szCs w:val="21"/>
              </w:rPr>
            </w:pPr>
            <w:r>
              <w:rPr>
                <w:rFonts w:hint="eastAsia"/>
                <w:szCs w:val="21"/>
              </w:rPr>
              <w:t>225.25</w:t>
            </w:r>
          </w:p>
        </w:tc>
      </w:tr>
      <w:tr>
        <w:tc>
          <w:tcPr>
            <w:tcW w:w="881" w:type="pct"/>
            <w:shd w:val="clear" w:color="auto" w:fill="auto"/>
            <w:vAlign w:val="center"/>
          </w:tcPr>
          <w:p>
            <w:pPr>
              <w:widowControl w:val="0"/>
              <w:autoSpaceDE w:val="0"/>
              <w:autoSpaceDN w:val="0"/>
              <w:adjustRightInd w:val="0"/>
              <w:jc w:val="center"/>
              <w:rPr>
                <w:szCs w:val="21"/>
              </w:rPr>
            </w:pPr>
            <w:r>
              <w:rPr>
                <w:szCs w:val="21"/>
              </w:rPr>
              <w:t>合计</w:t>
            </w:r>
          </w:p>
        </w:tc>
        <w:tc>
          <w:tcPr>
            <w:tcW w:w="635" w:type="pct"/>
            <w:shd w:val="clear" w:color="auto" w:fill="auto"/>
            <w:vAlign w:val="center"/>
          </w:tcPr>
          <w:p>
            <w:pPr>
              <w:widowControl w:val="0"/>
              <w:autoSpaceDE w:val="0"/>
              <w:autoSpaceDN w:val="0"/>
              <w:adjustRightInd w:val="0"/>
              <w:jc w:val="center"/>
              <w:rPr>
                <w:szCs w:val="21"/>
              </w:rPr>
            </w:pPr>
            <w:r>
              <w:rPr>
                <w:rFonts w:hint="eastAsia"/>
                <w:szCs w:val="21"/>
              </w:rPr>
              <w:t>/</w:t>
            </w:r>
          </w:p>
        </w:tc>
        <w:tc>
          <w:tcPr>
            <w:tcW w:w="626" w:type="pct"/>
            <w:shd w:val="clear" w:color="auto" w:fill="auto"/>
            <w:vAlign w:val="center"/>
          </w:tcPr>
          <w:p>
            <w:pPr>
              <w:widowControl w:val="0"/>
              <w:autoSpaceDE w:val="0"/>
              <w:autoSpaceDN w:val="0"/>
              <w:adjustRightInd w:val="0"/>
              <w:jc w:val="right"/>
              <w:rPr>
                <w:szCs w:val="21"/>
              </w:rPr>
            </w:pPr>
            <w:r>
              <w:rPr>
                <w:rFonts w:hint="eastAsia"/>
                <w:szCs w:val="21"/>
              </w:rPr>
              <w:t>/</w:t>
            </w:r>
          </w:p>
        </w:tc>
        <w:tc>
          <w:tcPr>
            <w:tcW w:w="515" w:type="pct"/>
            <w:shd w:val="clear" w:color="auto" w:fill="auto"/>
            <w:vAlign w:val="center"/>
          </w:tcPr>
          <w:p>
            <w:pPr>
              <w:widowControl w:val="0"/>
              <w:autoSpaceDE w:val="0"/>
              <w:autoSpaceDN w:val="0"/>
              <w:adjustRightInd w:val="0"/>
              <w:jc w:val="right"/>
              <w:rPr>
                <w:szCs w:val="21"/>
              </w:rPr>
            </w:pPr>
            <w:r>
              <w:rPr>
                <w:rFonts w:hint="eastAsia"/>
                <w:szCs w:val="21"/>
              </w:rPr>
              <w:t>/</w:t>
            </w:r>
          </w:p>
        </w:tc>
        <w:tc>
          <w:tcPr>
            <w:tcW w:w="600" w:type="pct"/>
            <w:shd w:val="clear" w:color="auto" w:fill="auto"/>
            <w:vAlign w:val="center"/>
          </w:tcPr>
          <w:p>
            <w:pPr>
              <w:widowControl w:val="0"/>
              <w:autoSpaceDE w:val="0"/>
              <w:autoSpaceDN w:val="0"/>
              <w:adjustRightInd w:val="0"/>
              <w:jc w:val="center"/>
              <w:rPr>
                <w:szCs w:val="21"/>
              </w:rPr>
            </w:pPr>
            <w:r>
              <w:rPr>
                <w:rFonts w:hint="eastAsia"/>
                <w:szCs w:val="21"/>
              </w:rPr>
              <w:t>251.81</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9,819.01</w:t>
            </w:r>
          </w:p>
        </w:tc>
        <w:tc>
          <w:tcPr>
            <w:tcW w:w="637" w:type="pct"/>
            <w:vAlign w:val="center"/>
          </w:tcPr>
          <w:p>
            <w:pPr>
              <w:widowControl w:val="0"/>
              <w:autoSpaceDE w:val="0"/>
              <w:autoSpaceDN w:val="0"/>
              <w:adjustRightInd w:val="0"/>
              <w:jc w:val="center"/>
              <w:rPr>
                <w:szCs w:val="21"/>
              </w:rPr>
            </w:pPr>
            <w:r>
              <w:rPr>
                <w:rFonts w:hint="eastAsia"/>
                <w:szCs w:val="21"/>
              </w:rPr>
              <w:t>9,845.57</w:t>
            </w:r>
          </w:p>
        </w:tc>
        <w:tc>
          <w:tcPr>
            <w:tcW w:w="479" w:type="pct"/>
            <w:shd w:val="clear" w:color="auto" w:fill="auto"/>
            <w:vAlign w:val="center"/>
          </w:tcPr>
          <w:p>
            <w:pPr>
              <w:widowControl w:val="0"/>
              <w:autoSpaceDE w:val="0"/>
              <w:autoSpaceDN w:val="0"/>
              <w:adjustRightInd w:val="0"/>
              <w:jc w:val="center"/>
              <w:rPr>
                <w:szCs w:val="21"/>
              </w:rPr>
            </w:pPr>
            <w:r>
              <w:rPr>
                <w:rFonts w:hint="eastAsia"/>
                <w:szCs w:val="21"/>
              </w:rPr>
              <w:t>225.25</w:t>
            </w:r>
          </w:p>
        </w:tc>
      </w:tr>
    </w:tbl>
    <w:p>
      <w:pPr>
        <w:rPr>
          <w:szCs w:val="21"/>
        </w:rPr>
      </w:pPr>
    </w:p>
    <w:p>
      <w:pPr>
        <w:pStyle w:val="afffffffffffff8"/>
        <w:numPr>
          <w:ilvl w:val="0"/>
          <w:numId w:val="48"/>
        </w:numPr>
        <w:ind w:left="425" w:hanging="425"/>
      </w:pPr>
      <w:r>
        <w:rPr>
          <w:rFonts w:hint="eastAsia"/>
        </w:rPr>
        <w:t>贷款业务</w:t>
      </w:r>
    </w:p>
    <w:sdt>
      <w:sdtPr>
        <w:alias w:val="是否适用：贷款业务[双击切换]"/>
        <w:tag w:val="_GBC_c6196556cf0343eb8e53770deb1ab020"/>
        <w:id w:val="2089872146"/>
        <w:placeholder>
          <w:docPart w:val="GBC22222222222222222222222222222"/>
        </w:placeholder>
      </w:sdtPr>
      <w:sdtContent>
        <w:p>
          <w:pPr>
            <w:pStyle w:val="affffffff"/>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贷款业务情况"/>
          <w:tag w:val="_GBC_059b0d773c3540e0abdacc61557d8505"/>
          <w:id w:val="19589804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亿元</w:t>
          </w:r>
        </w:sdtContent>
      </w:sdt>
      <w:r>
        <w:rPr>
          <w:rFonts w:hint="eastAsia"/>
          <w:szCs w:val="21"/>
        </w:rPr>
        <w:t xml:space="preserve">  币种：</w:t>
      </w:r>
      <w:sdt>
        <w:sdtPr>
          <w:rPr>
            <w:rFonts w:hint="eastAsia"/>
            <w:szCs w:val="21"/>
          </w:rPr>
          <w:alias w:val="币种：贷款业务情况"/>
          <w:tag w:val="_GBC_5b5266ae817f40d4806dbf08530678d1"/>
          <w:id w:val="4803489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1121"/>
        <w:gridCol w:w="1105"/>
        <w:gridCol w:w="909"/>
        <w:gridCol w:w="1059"/>
        <w:gridCol w:w="1105"/>
        <w:gridCol w:w="1124"/>
        <w:gridCol w:w="846"/>
      </w:tblGrid>
      <w:tr>
        <w:sdt>
          <w:sdtPr>
            <w:tag w:val="_PLD_8e0965e43d7c4fd298089615ced0e338"/>
            <w:id w:val="355477474"/>
          </w:sdtPr>
          <w:sdtContent>
            <w:tc>
              <w:tcPr>
                <w:tcW w:w="881" w:type="pct"/>
                <w:vMerge w:val="restart"/>
                <w:shd w:val="clear" w:color="auto" w:fill="auto"/>
                <w:vAlign w:val="center"/>
              </w:tcPr>
              <w:p>
                <w:pPr>
                  <w:widowControl w:val="0"/>
                  <w:autoSpaceDE w:val="0"/>
                  <w:autoSpaceDN w:val="0"/>
                  <w:adjustRightInd w:val="0"/>
                  <w:jc w:val="center"/>
                  <w:rPr>
                    <w:szCs w:val="21"/>
                  </w:rPr>
                </w:pPr>
                <w:r>
                  <w:rPr>
                    <w:rFonts w:hint="eastAsia"/>
                    <w:szCs w:val="21"/>
                  </w:rPr>
                  <w:t>关联方</w:t>
                </w:r>
              </w:p>
            </w:tc>
          </w:sdtContent>
        </w:sdt>
        <w:sdt>
          <w:sdtPr>
            <w:tag w:val="_PLD_eac1c86765c94374a80d2720ad60bec4"/>
            <w:id w:val="1513258556"/>
          </w:sdtPr>
          <w:sdtContent>
            <w:tc>
              <w:tcPr>
                <w:tcW w:w="635" w:type="pct"/>
                <w:vMerge w:val="restart"/>
                <w:shd w:val="clear" w:color="auto" w:fill="auto"/>
                <w:vAlign w:val="center"/>
              </w:tcPr>
              <w:p>
                <w:pPr>
                  <w:widowControl w:val="0"/>
                  <w:autoSpaceDE w:val="0"/>
                  <w:autoSpaceDN w:val="0"/>
                  <w:adjustRightInd w:val="0"/>
                  <w:jc w:val="center"/>
                  <w:rPr>
                    <w:szCs w:val="21"/>
                  </w:rPr>
                </w:pPr>
                <w:r>
                  <w:rPr>
                    <w:rFonts w:hint="eastAsia"/>
                    <w:szCs w:val="21"/>
                  </w:rPr>
                  <w:t>关联关系</w:t>
                </w:r>
              </w:p>
            </w:tc>
          </w:sdtContent>
        </w:sdt>
        <w:sdt>
          <w:sdtPr>
            <w:tag w:val="_PLD_a268114f151e4f0ab213565705be616c"/>
            <w:id w:val="393009870"/>
          </w:sdtPr>
          <w:sdtContent>
            <w:tc>
              <w:tcPr>
                <w:tcW w:w="626" w:type="pct"/>
                <w:vMerge w:val="restart"/>
                <w:shd w:val="clear" w:color="auto" w:fill="auto"/>
                <w:vAlign w:val="center"/>
              </w:tcPr>
              <w:p>
                <w:pPr>
                  <w:widowControl w:val="0"/>
                  <w:autoSpaceDE w:val="0"/>
                  <w:autoSpaceDN w:val="0"/>
                  <w:adjustRightInd w:val="0"/>
                  <w:jc w:val="center"/>
                  <w:rPr>
                    <w:szCs w:val="21"/>
                  </w:rPr>
                </w:pPr>
                <w:r>
                  <w:t>贷款额度</w:t>
                </w:r>
              </w:p>
            </w:tc>
          </w:sdtContent>
        </w:sdt>
        <w:sdt>
          <w:sdtPr>
            <w:tag w:val="_PLD_3132c7cff09d4f0aa6ead8932727bb98"/>
            <w:id w:val="-2002958162"/>
          </w:sdtPr>
          <w:sdtContent>
            <w:tc>
              <w:tcPr>
                <w:tcW w:w="515" w:type="pct"/>
                <w:vMerge w:val="restart"/>
                <w:shd w:val="clear" w:color="auto" w:fill="auto"/>
                <w:vAlign w:val="center"/>
              </w:tcPr>
              <w:p>
                <w:pPr>
                  <w:widowControl w:val="0"/>
                  <w:autoSpaceDE w:val="0"/>
                  <w:autoSpaceDN w:val="0"/>
                  <w:adjustRightInd w:val="0"/>
                  <w:jc w:val="center"/>
                  <w:rPr>
                    <w:szCs w:val="21"/>
                  </w:rPr>
                </w:pPr>
                <w:r>
                  <w:t>贷款利率范围</w:t>
                </w:r>
              </w:p>
            </w:tc>
          </w:sdtContent>
        </w:sdt>
        <w:sdt>
          <w:sdtPr>
            <w:tag w:val="_PLD_aafcde0121d84987a5a4dbade5f61506"/>
            <w:id w:val="-1931499164"/>
          </w:sdtPr>
          <w:sdtContent>
            <w:tc>
              <w:tcPr>
                <w:tcW w:w="600" w:type="pct"/>
                <w:vMerge w:val="restart"/>
                <w:shd w:val="clear" w:color="auto" w:fill="auto"/>
                <w:vAlign w:val="center"/>
              </w:tcPr>
              <w:p>
                <w:pPr>
                  <w:widowControl w:val="0"/>
                  <w:autoSpaceDE w:val="0"/>
                  <w:autoSpaceDN w:val="0"/>
                  <w:adjustRightInd w:val="0"/>
                  <w:jc w:val="center"/>
                  <w:rPr>
                    <w:szCs w:val="21"/>
                  </w:rPr>
                </w:pPr>
                <w:r>
                  <w:t>期初余额</w:t>
                </w:r>
              </w:p>
            </w:tc>
          </w:sdtContent>
        </w:sdt>
        <w:sdt>
          <w:sdtPr>
            <w:tag w:val="_PLD_b166840bc9fd4c459f0e2b8d5ffc812f"/>
            <w:id w:val="-733318951"/>
          </w:sdtPr>
          <w:sdtContent>
            <w:tc>
              <w:tcPr>
                <w:tcW w:w="1263" w:type="pct"/>
                <w:gridSpan w:val="2"/>
                <w:shd w:val="clear" w:color="auto" w:fill="auto"/>
                <w:vAlign w:val="center"/>
              </w:tcPr>
              <w:p>
                <w:pPr>
                  <w:widowControl w:val="0"/>
                  <w:autoSpaceDE w:val="0"/>
                  <w:autoSpaceDN w:val="0"/>
                  <w:adjustRightInd w:val="0"/>
                  <w:jc w:val="center"/>
                </w:pPr>
                <w:r>
                  <w:t>本期发生额</w:t>
                </w:r>
              </w:p>
            </w:tc>
          </w:sdtContent>
        </w:sdt>
        <w:sdt>
          <w:sdtPr>
            <w:tag w:val="_PLD_8c8a0cecf8874d8e910b7f608531fd2a"/>
            <w:id w:val="2138379703"/>
          </w:sdtPr>
          <w:sdtContent>
            <w:tc>
              <w:tcPr>
                <w:tcW w:w="479" w:type="pct"/>
                <w:vMerge w:val="restart"/>
                <w:shd w:val="clear" w:color="auto" w:fill="auto"/>
                <w:vAlign w:val="center"/>
              </w:tcPr>
              <w:p>
                <w:pPr>
                  <w:widowControl w:val="0"/>
                  <w:autoSpaceDE w:val="0"/>
                  <w:autoSpaceDN w:val="0"/>
                  <w:adjustRightInd w:val="0"/>
                  <w:jc w:val="center"/>
                  <w:rPr>
                    <w:szCs w:val="21"/>
                  </w:rPr>
                </w:pPr>
                <w:r>
                  <w:t>期末余额</w:t>
                </w:r>
              </w:p>
            </w:tc>
          </w:sdtContent>
        </w:sdt>
      </w:tr>
      <w:tr>
        <w:tc>
          <w:tcPr>
            <w:tcW w:w="881" w:type="pct"/>
            <w:vMerge/>
            <w:shd w:val="clear" w:color="auto" w:fill="auto"/>
            <w:vAlign w:val="center"/>
          </w:tcPr>
          <w:p>
            <w:pPr>
              <w:widowControl w:val="0"/>
              <w:autoSpaceDE w:val="0"/>
              <w:autoSpaceDN w:val="0"/>
              <w:adjustRightInd w:val="0"/>
              <w:jc w:val="center"/>
              <w:rPr>
                <w:szCs w:val="21"/>
              </w:rPr>
            </w:pPr>
          </w:p>
        </w:tc>
        <w:tc>
          <w:tcPr>
            <w:tcW w:w="635" w:type="pct"/>
            <w:vMerge/>
            <w:shd w:val="clear" w:color="auto" w:fill="auto"/>
            <w:vAlign w:val="center"/>
          </w:tcPr>
          <w:p>
            <w:pPr>
              <w:widowControl w:val="0"/>
              <w:autoSpaceDE w:val="0"/>
              <w:autoSpaceDN w:val="0"/>
              <w:adjustRightInd w:val="0"/>
              <w:jc w:val="center"/>
              <w:rPr>
                <w:szCs w:val="21"/>
              </w:rPr>
            </w:pPr>
          </w:p>
        </w:tc>
        <w:tc>
          <w:tcPr>
            <w:tcW w:w="626" w:type="pct"/>
            <w:vMerge/>
            <w:shd w:val="clear" w:color="auto" w:fill="auto"/>
            <w:vAlign w:val="center"/>
          </w:tcPr>
          <w:p>
            <w:pPr>
              <w:widowControl w:val="0"/>
              <w:autoSpaceDE w:val="0"/>
              <w:autoSpaceDN w:val="0"/>
              <w:adjustRightInd w:val="0"/>
              <w:jc w:val="center"/>
            </w:pPr>
          </w:p>
        </w:tc>
        <w:tc>
          <w:tcPr>
            <w:tcW w:w="515" w:type="pct"/>
            <w:vMerge/>
            <w:shd w:val="clear" w:color="auto" w:fill="auto"/>
            <w:vAlign w:val="center"/>
          </w:tcPr>
          <w:p>
            <w:pPr>
              <w:widowControl w:val="0"/>
              <w:autoSpaceDE w:val="0"/>
              <w:autoSpaceDN w:val="0"/>
              <w:adjustRightInd w:val="0"/>
              <w:jc w:val="center"/>
            </w:pPr>
          </w:p>
        </w:tc>
        <w:tc>
          <w:tcPr>
            <w:tcW w:w="600" w:type="pct"/>
            <w:vMerge/>
            <w:shd w:val="clear" w:color="auto" w:fill="auto"/>
            <w:vAlign w:val="center"/>
          </w:tcPr>
          <w:p>
            <w:pPr>
              <w:widowControl w:val="0"/>
              <w:autoSpaceDE w:val="0"/>
              <w:autoSpaceDN w:val="0"/>
              <w:adjustRightInd w:val="0"/>
              <w:jc w:val="center"/>
            </w:pPr>
          </w:p>
        </w:tc>
        <w:sdt>
          <w:sdtPr>
            <w:tag w:val="_PLD_613437c37275454bac9cd4fef8554e83"/>
            <w:id w:val="1617714763"/>
          </w:sdtPr>
          <w:sdtContent>
            <w:tc>
              <w:tcPr>
                <w:tcW w:w="626" w:type="pct"/>
                <w:shd w:val="clear" w:color="auto" w:fill="auto"/>
                <w:vAlign w:val="center"/>
              </w:tcPr>
              <w:p>
                <w:pPr>
                  <w:widowControl w:val="0"/>
                  <w:autoSpaceDE w:val="0"/>
                  <w:autoSpaceDN w:val="0"/>
                  <w:adjustRightInd w:val="0"/>
                  <w:jc w:val="center"/>
                </w:pPr>
                <w:r>
                  <w:rPr>
                    <w:rFonts w:hint="eastAsia"/>
                  </w:rPr>
                  <w:t>本期合计贷款金额</w:t>
                </w:r>
              </w:p>
            </w:tc>
          </w:sdtContent>
        </w:sdt>
        <w:sdt>
          <w:sdtPr>
            <w:tag w:val="_PLD_44007c6914b54d34922841d5153c0b52"/>
            <w:id w:val="-1188444649"/>
          </w:sdtPr>
          <w:sdtContent>
            <w:tc>
              <w:tcPr>
                <w:tcW w:w="637" w:type="pct"/>
              </w:tcPr>
              <w:p>
                <w:pPr>
                  <w:widowControl w:val="0"/>
                  <w:autoSpaceDE w:val="0"/>
                  <w:autoSpaceDN w:val="0"/>
                  <w:adjustRightInd w:val="0"/>
                  <w:jc w:val="center"/>
                </w:pPr>
                <w:r>
                  <w:rPr>
                    <w:rFonts w:hint="eastAsia"/>
                  </w:rPr>
                  <w:t>本期合计还款金额</w:t>
                </w:r>
              </w:p>
            </w:tc>
          </w:sdtContent>
        </w:sdt>
        <w:tc>
          <w:tcPr>
            <w:tcW w:w="479" w:type="pct"/>
            <w:vMerge/>
            <w:shd w:val="clear" w:color="auto" w:fill="auto"/>
            <w:vAlign w:val="center"/>
          </w:tcPr>
          <w:p>
            <w:pPr>
              <w:widowControl w:val="0"/>
              <w:autoSpaceDE w:val="0"/>
              <w:autoSpaceDN w:val="0"/>
              <w:adjustRightInd w:val="0"/>
              <w:jc w:val="center"/>
            </w:pPr>
          </w:p>
        </w:tc>
      </w:tr>
      <w:tr>
        <w:tc>
          <w:tcPr>
            <w:tcW w:w="881" w:type="pct"/>
            <w:shd w:val="clear" w:color="auto" w:fill="auto"/>
            <w:vAlign w:val="center"/>
          </w:tcPr>
          <w:p>
            <w:pPr>
              <w:widowControl w:val="0"/>
              <w:autoSpaceDE w:val="0"/>
              <w:autoSpaceDN w:val="0"/>
              <w:adjustRightInd w:val="0"/>
              <w:jc w:val="center"/>
              <w:rPr>
                <w:szCs w:val="21"/>
              </w:rPr>
            </w:pPr>
            <w:r>
              <w:rPr>
                <w:rFonts w:hint="eastAsia"/>
                <w:szCs w:val="21"/>
              </w:rPr>
              <w:t>山东能源集团</w:t>
            </w:r>
          </w:p>
        </w:tc>
        <w:tc>
          <w:tcPr>
            <w:tcW w:w="635" w:type="pct"/>
            <w:shd w:val="clear" w:color="auto" w:fill="auto"/>
            <w:vAlign w:val="center"/>
          </w:tcPr>
          <w:p>
            <w:pPr>
              <w:widowControl w:val="0"/>
              <w:autoSpaceDE w:val="0"/>
              <w:autoSpaceDN w:val="0"/>
              <w:adjustRightInd w:val="0"/>
              <w:jc w:val="center"/>
              <w:rPr>
                <w:szCs w:val="21"/>
              </w:rPr>
            </w:pPr>
            <w:r>
              <w:rPr>
                <w:rFonts w:hint="eastAsia"/>
                <w:szCs w:val="21"/>
              </w:rPr>
              <w:t>控股股东</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200</w:t>
            </w:r>
          </w:p>
        </w:tc>
        <w:tc>
          <w:tcPr>
            <w:tcW w:w="515" w:type="pct"/>
            <w:shd w:val="clear" w:color="auto" w:fill="auto"/>
            <w:vAlign w:val="center"/>
          </w:tcPr>
          <w:p>
            <w:pPr>
              <w:widowControl w:val="0"/>
              <w:autoSpaceDE w:val="0"/>
              <w:autoSpaceDN w:val="0"/>
              <w:adjustRightInd w:val="0"/>
              <w:spacing w:line="200" w:lineRule="exact"/>
              <w:jc w:val="center"/>
              <w:rPr>
                <w:szCs w:val="21"/>
              </w:rPr>
            </w:pPr>
            <w:r>
              <w:rPr>
                <w:rFonts w:hint="eastAsia"/>
                <w:szCs w:val="21"/>
              </w:rPr>
              <w:t>2.6%</w:t>
            </w:r>
          </w:p>
          <w:p>
            <w:pPr>
              <w:widowControl w:val="0"/>
              <w:autoSpaceDE w:val="0"/>
              <w:autoSpaceDN w:val="0"/>
              <w:adjustRightInd w:val="0"/>
              <w:spacing w:line="200" w:lineRule="exact"/>
              <w:jc w:val="center"/>
              <w:rPr>
                <w:szCs w:val="21"/>
              </w:rPr>
            </w:pPr>
            <w:r>
              <w:rPr>
                <w:rFonts w:hint="eastAsia"/>
                <w:szCs w:val="21"/>
              </w:rPr>
              <w:t>-</w:t>
            </w:r>
          </w:p>
          <w:p>
            <w:pPr>
              <w:widowControl w:val="0"/>
              <w:autoSpaceDE w:val="0"/>
              <w:autoSpaceDN w:val="0"/>
              <w:adjustRightInd w:val="0"/>
              <w:spacing w:line="200" w:lineRule="exact"/>
              <w:jc w:val="center"/>
              <w:rPr>
                <w:szCs w:val="21"/>
              </w:rPr>
            </w:pPr>
            <w:r>
              <w:rPr>
                <w:rFonts w:hint="eastAsia"/>
                <w:szCs w:val="21"/>
              </w:rPr>
              <w:t>3.6%</w:t>
            </w:r>
          </w:p>
        </w:tc>
        <w:tc>
          <w:tcPr>
            <w:tcW w:w="600" w:type="pct"/>
            <w:shd w:val="clear" w:color="auto" w:fill="auto"/>
            <w:vAlign w:val="center"/>
          </w:tcPr>
          <w:p>
            <w:pPr>
              <w:widowControl w:val="0"/>
              <w:autoSpaceDE w:val="0"/>
              <w:autoSpaceDN w:val="0"/>
              <w:adjustRightInd w:val="0"/>
              <w:jc w:val="center"/>
              <w:rPr>
                <w:szCs w:val="21"/>
              </w:rPr>
            </w:pPr>
            <w:r>
              <w:rPr>
                <w:rFonts w:hint="eastAsia"/>
                <w:szCs w:val="21"/>
              </w:rPr>
              <w:t>141.84</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137.51</w:t>
            </w:r>
          </w:p>
        </w:tc>
        <w:tc>
          <w:tcPr>
            <w:tcW w:w="637" w:type="pct"/>
            <w:vAlign w:val="center"/>
          </w:tcPr>
          <w:p>
            <w:pPr>
              <w:widowControl w:val="0"/>
              <w:autoSpaceDE w:val="0"/>
              <w:autoSpaceDN w:val="0"/>
              <w:adjustRightInd w:val="0"/>
              <w:jc w:val="center"/>
              <w:rPr>
                <w:szCs w:val="21"/>
              </w:rPr>
            </w:pPr>
            <w:r>
              <w:rPr>
                <w:rFonts w:hint="eastAsia"/>
                <w:szCs w:val="21"/>
              </w:rPr>
              <w:t>138.5</w:t>
            </w:r>
          </w:p>
        </w:tc>
        <w:tc>
          <w:tcPr>
            <w:tcW w:w="479" w:type="pct"/>
            <w:shd w:val="clear" w:color="auto" w:fill="auto"/>
            <w:vAlign w:val="center"/>
          </w:tcPr>
          <w:p>
            <w:pPr>
              <w:widowControl w:val="0"/>
              <w:autoSpaceDE w:val="0"/>
              <w:autoSpaceDN w:val="0"/>
              <w:adjustRightInd w:val="0"/>
              <w:jc w:val="center"/>
              <w:rPr>
                <w:szCs w:val="21"/>
              </w:rPr>
            </w:pPr>
            <w:r>
              <w:rPr>
                <w:rFonts w:hint="eastAsia"/>
                <w:szCs w:val="21"/>
              </w:rPr>
              <w:t>140.85</w:t>
            </w:r>
          </w:p>
        </w:tc>
      </w:tr>
      <w:tr>
        <w:tc>
          <w:tcPr>
            <w:tcW w:w="881" w:type="pct"/>
            <w:shd w:val="clear" w:color="auto" w:fill="auto"/>
            <w:vAlign w:val="center"/>
          </w:tcPr>
          <w:p>
            <w:pPr>
              <w:widowControl w:val="0"/>
              <w:autoSpaceDE w:val="0"/>
              <w:autoSpaceDN w:val="0"/>
              <w:adjustRightInd w:val="0"/>
              <w:jc w:val="center"/>
              <w:rPr>
                <w:szCs w:val="21"/>
              </w:rPr>
            </w:pPr>
            <w:r>
              <w:rPr>
                <w:szCs w:val="21"/>
              </w:rPr>
              <w:t>合计</w:t>
            </w:r>
          </w:p>
        </w:tc>
        <w:tc>
          <w:tcPr>
            <w:tcW w:w="635" w:type="pct"/>
            <w:shd w:val="clear" w:color="auto" w:fill="auto"/>
            <w:vAlign w:val="center"/>
          </w:tcPr>
          <w:p>
            <w:pPr>
              <w:widowControl w:val="0"/>
              <w:autoSpaceDE w:val="0"/>
              <w:autoSpaceDN w:val="0"/>
              <w:adjustRightInd w:val="0"/>
              <w:jc w:val="center"/>
              <w:rPr>
                <w:szCs w:val="21"/>
              </w:rPr>
            </w:pPr>
            <w:r>
              <w:rPr>
                <w:rFonts w:hint="eastAsia"/>
                <w:szCs w:val="21"/>
              </w:rPr>
              <w:t>/</w:t>
            </w:r>
          </w:p>
        </w:tc>
        <w:tc>
          <w:tcPr>
            <w:tcW w:w="626" w:type="pct"/>
            <w:shd w:val="clear" w:color="auto" w:fill="auto"/>
            <w:vAlign w:val="center"/>
          </w:tcPr>
          <w:p>
            <w:pPr>
              <w:widowControl w:val="0"/>
              <w:autoSpaceDE w:val="0"/>
              <w:autoSpaceDN w:val="0"/>
              <w:adjustRightInd w:val="0"/>
              <w:jc w:val="right"/>
              <w:rPr>
                <w:szCs w:val="21"/>
              </w:rPr>
            </w:pPr>
            <w:r>
              <w:rPr>
                <w:rFonts w:hint="eastAsia"/>
                <w:szCs w:val="21"/>
              </w:rPr>
              <w:t>/</w:t>
            </w:r>
          </w:p>
        </w:tc>
        <w:tc>
          <w:tcPr>
            <w:tcW w:w="515" w:type="pct"/>
            <w:shd w:val="clear" w:color="auto" w:fill="auto"/>
            <w:vAlign w:val="center"/>
          </w:tcPr>
          <w:p>
            <w:pPr>
              <w:widowControl w:val="0"/>
              <w:autoSpaceDE w:val="0"/>
              <w:autoSpaceDN w:val="0"/>
              <w:adjustRightInd w:val="0"/>
              <w:jc w:val="right"/>
              <w:rPr>
                <w:szCs w:val="21"/>
              </w:rPr>
            </w:pPr>
            <w:r>
              <w:rPr>
                <w:rFonts w:hint="eastAsia"/>
                <w:szCs w:val="21"/>
              </w:rPr>
              <w:t>/</w:t>
            </w:r>
          </w:p>
        </w:tc>
        <w:tc>
          <w:tcPr>
            <w:tcW w:w="600" w:type="pct"/>
            <w:shd w:val="clear" w:color="auto" w:fill="auto"/>
            <w:vAlign w:val="center"/>
          </w:tcPr>
          <w:p>
            <w:pPr>
              <w:widowControl w:val="0"/>
              <w:autoSpaceDE w:val="0"/>
              <w:autoSpaceDN w:val="0"/>
              <w:adjustRightInd w:val="0"/>
              <w:jc w:val="center"/>
              <w:rPr>
                <w:szCs w:val="21"/>
              </w:rPr>
            </w:pPr>
            <w:r>
              <w:rPr>
                <w:rFonts w:hint="eastAsia"/>
                <w:szCs w:val="21"/>
              </w:rPr>
              <w:t>141.84</w:t>
            </w:r>
          </w:p>
        </w:tc>
        <w:tc>
          <w:tcPr>
            <w:tcW w:w="626" w:type="pct"/>
            <w:shd w:val="clear" w:color="auto" w:fill="auto"/>
            <w:vAlign w:val="center"/>
          </w:tcPr>
          <w:p>
            <w:pPr>
              <w:widowControl w:val="0"/>
              <w:autoSpaceDE w:val="0"/>
              <w:autoSpaceDN w:val="0"/>
              <w:adjustRightInd w:val="0"/>
              <w:jc w:val="center"/>
              <w:rPr>
                <w:szCs w:val="21"/>
              </w:rPr>
            </w:pPr>
            <w:r>
              <w:rPr>
                <w:rFonts w:hint="eastAsia"/>
                <w:szCs w:val="21"/>
              </w:rPr>
              <w:t>137.51</w:t>
            </w:r>
          </w:p>
        </w:tc>
        <w:tc>
          <w:tcPr>
            <w:tcW w:w="637" w:type="pct"/>
            <w:vAlign w:val="center"/>
          </w:tcPr>
          <w:p>
            <w:pPr>
              <w:widowControl w:val="0"/>
              <w:autoSpaceDE w:val="0"/>
              <w:autoSpaceDN w:val="0"/>
              <w:adjustRightInd w:val="0"/>
              <w:jc w:val="center"/>
              <w:rPr>
                <w:szCs w:val="21"/>
              </w:rPr>
            </w:pPr>
            <w:r>
              <w:rPr>
                <w:rFonts w:hint="eastAsia"/>
                <w:szCs w:val="21"/>
              </w:rPr>
              <w:t>138.5</w:t>
            </w:r>
          </w:p>
        </w:tc>
        <w:tc>
          <w:tcPr>
            <w:tcW w:w="479" w:type="pct"/>
            <w:shd w:val="clear" w:color="auto" w:fill="auto"/>
            <w:vAlign w:val="center"/>
          </w:tcPr>
          <w:p>
            <w:pPr>
              <w:widowControl w:val="0"/>
              <w:autoSpaceDE w:val="0"/>
              <w:autoSpaceDN w:val="0"/>
              <w:adjustRightInd w:val="0"/>
              <w:jc w:val="center"/>
              <w:rPr>
                <w:szCs w:val="21"/>
              </w:rPr>
            </w:pPr>
            <w:r>
              <w:rPr>
                <w:rFonts w:hint="eastAsia"/>
                <w:szCs w:val="21"/>
              </w:rPr>
              <w:t>140.85</w:t>
            </w:r>
          </w:p>
        </w:tc>
      </w:tr>
    </w:tbl>
    <w:p>
      <w:pPr>
        <w:rPr>
          <w:szCs w:val="21"/>
        </w:rPr>
      </w:pPr>
    </w:p>
    <w:p>
      <w:pPr>
        <w:pStyle w:val="afffffffffffff8"/>
        <w:numPr>
          <w:ilvl w:val="0"/>
          <w:numId w:val="48"/>
        </w:numPr>
        <w:ind w:left="425" w:hanging="425"/>
      </w:pPr>
      <w:bookmarkStart w:id="193" w:name="_Hlk41316014"/>
      <w:r>
        <w:rPr>
          <w:rFonts w:hint="eastAsia"/>
        </w:rPr>
        <w:t>授信业务或其他金融业务</w:t>
      </w:r>
    </w:p>
    <w:sdt>
      <w:sdtPr>
        <w:rPr>
          <w:rFonts w:hint="eastAsia"/>
          <w:szCs w:val="21"/>
        </w:rPr>
        <w:alias w:val="是否适用：授信业务或其他金融业务[双击切换]"/>
        <w:tag w:val="_GBC_2f9c3833f7e34ead9932532e40fbb1b9"/>
        <w:id w:val="-782188750"/>
        <w:placeholder>
          <w:docPart w:val="GBC22222222222222222222222222222"/>
        </w:placeholder>
      </w:sdtPr>
      <w:sdtContent>
        <w:p>
          <w:pPr>
            <w:rPr>
              <w:szCs w:val="21"/>
            </w:rPr>
          </w:pPr>
          <w:r>
            <w:rPr>
              <w:szCs w:val="21"/>
            </w:rPr>
            <w:fldChar w:fldCharType="begin"/>
          </w:r>
          <w:r>
            <w:rPr>
              <w:szCs w:val="21"/>
            </w:rPr>
            <w:instrText xml:space="preserve"> </w:instrText>
          </w:r>
          <w:r>
            <w:rPr>
              <w:rFonts w:hint="eastAsia"/>
              <w:szCs w:val="21"/>
            </w:rPr>
            <w:instrText>MACROBUTTON  SnrToggleCheckbox √适用</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授信业务或其他金融业务"/>
          <w:tag w:val="_GBC_bd084ea580fc4d9d9e4958d6be5b126d"/>
          <w:id w:val="117160737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亿元</w:t>
          </w:r>
        </w:sdtContent>
      </w:sdt>
      <w:r>
        <w:rPr>
          <w:rFonts w:hint="eastAsia"/>
          <w:szCs w:val="21"/>
        </w:rPr>
        <w:t xml:space="preserve">  币种：</w:t>
      </w:r>
      <w:sdt>
        <w:sdtPr>
          <w:rPr>
            <w:rFonts w:hint="eastAsia"/>
            <w:szCs w:val="21"/>
          </w:rPr>
          <w:alias w:val="币种：授信业务或其他金融业务"/>
          <w:tag w:val="_GBC_57fcdc4bec904580bf2207f3850b4bfc"/>
          <w:id w:val="1666057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5"/>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1935"/>
        <w:gridCol w:w="2236"/>
        <w:gridCol w:w="1394"/>
        <w:gridCol w:w="1620"/>
      </w:tblGrid>
      <w:tr>
        <w:sdt>
          <w:sdtPr>
            <w:tag w:val="_PLD_da5529c13904408187ba2be3414cbaec"/>
            <w:id w:val="1358245208"/>
          </w:sdtPr>
          <w:sdtContent>
            <w:tc>
              <w:tcPr>
                <w:tcW w:w="923" w:type="pct"/>
                <w:shd w:val="clear" w:color="auto" w:fill="auto"/>
                <w:vAlign w:val="center"/>
              </w:tcPr>
              <w:p>
                <w:pPr>
                  <w:jc w:val="center"/>
                  <w:rPr>
                    <w:szCs w:val="21"/>
                  </w:rPr>
                </w:pPr>
                <w:r>
                  <w:rPr>
                    <w:rFonts w:hint="eastAsia"/>
                    <w:szCs w:val="21"/>
                  </w:rPr>
                  <w:t>关联方</w:t>
                </w:r>
              </w:p>
            </w:tc>
          </w:sdtContent>
        </w:sdt>
        <w:sdt>
          <w:sdtPr>
            <w:tag w:val="_PLD_07e3bda8d1ae484d9c9d6729c395dea4"/>
            <w:id w:val="-782798721"/>
          </w:sdtPr>
          <w:sdtContent>
            <w:tc>
              <w:tcPr>
                <w:tcW w:w="1098" w:type="pct"/>
                <w:shd w:val="clear" w:color="auto" w:fill="auto"/>
                <w:vAlign w:val="center"/>
              </w:tcPr>
              <w:p>
                <w:pPr>
                  <w:jc w:val="center"/>
                  <w:rPr>
                    <w:szCs w:val="21"/>
                  </w:rPr>
                </w:pPr>
                <w:r>
                  <w:rPr>
                    <w:rFonts w:hint="eastAsia"/>
                    <w:szCs w:val="21"/>
                  </w:rPr>
                  <w:t>关联关系</w:t>
                </w:r>
              </w:p>
            </w:tc>
          </w:sdtContent>
        </w:sdt>
        <w:sdt>
          <w:sdtPr>
            <w:tag w:val="_PLD_6646e1edc0584c58b833d3c8a2c0c141"/>
            <w:id w:val="149794742"/>
          </w:sdtPr>
          <w:sdtContent>
            <w:tc>
              <w:tcPr>
                <w:tcW w:w="1269" w:type="pct"/>
                <w:shd w:val="clear" w:color="auto" w:fill="auto"/>
                <w:vAlign w:val="center"/>
              </w:tcPr>
              <w:p>
                <w:pPr>
                  <w:jc w:val="center"/>
                  <w:rPr>
                    <w:szCs w:val="21"/>
                  </w:rPr>
                </w:pPr>
                <w:r>
                  <w:rPr>
                    <w:rFonts w:hint="eastAsia"/>
                    <w:szCs w:val="21"/>
                  </w:rPr>
                  <w:t>业务类型</w:t>
                </w:r>
              </w:p>
            </w:tc>
          </w:sdtContent>
        </w:sdt>
        <w:sdt>
          <w:sdtPr>
            <w:tag w:val="_PLD_4f2f5ad60a7546ccbfd337b0becc5f0e"/>
            <w:id w:val="974651550"/>
          </w:sdtPr>
          <w:sdtContent>
            <w:tc>
              <w:tcPr>
                <w:tcW w:w="791" w:type="pct"/>
                <w:shd w:val="clear" w:color="auto" w:fill="auto"/>
                <w:vAlign w:val="center"/>
              </w:tcPr>
              <w:p>
                <w:pPr>
                  <w:jc w:val="center"/>
                  <w:rPr>
                    <w:szCs w:val="21"/>
                  </w:rPr>
                </w:pPr>
                <w:r>
                  <w:rPr>
                    <w:rFonts w:hint="eastAsia"/>
                    <w:szCs w:val="21"/>
                  </w:rPr>
                  <w:t>总额</w:t>
                </w:r>
              </w:p>
            </w:tc>
          </w:sdtContent>
        </w:sdt>
        <w:sdt>
          <w:sdtPr>
            <w:tag w:val="_PLD_e085245bbfaf447fa9513040555f64e9"/>
            <w:id w:val="-304081294"/>
          </w:sdtPr>
          <w:sdtContent>
            <w:tc>
              <w:tcPr>
                <w:tcW w:w="919" w:type="pct"/>
                <w:shd w:val="clear" w:color="auto" w:fill="auto"/>
                <w:vAlign w:val="center"/>
              </w:tcPr>
              <w:p>
                <w:pPr>
                  <w:jc w:val="center"/>
                  <w:rPr>
                    <w:szCs w:val="21"/>
                  </w:rPr>
                </w:pPr>
                <w:r>
                  <w:rPr>
                    <w:rFonts w:hint="eastAsia"/>
                    <w:szCs w:val="21"/>
                  </w:rPr>
                  <w:t>实际发生额</w:t>
                </w:r>
              </w:p>
            </w:tc>
          </w:sdtContent>
        </w:sdt>
      </w:tr>
      <w:tr>
        <w:tc>
          <w:tcPr>
            <w:tcW w:w="923" w:type="pct"/>
            <w:shd w:val="clear" w:color="auto" w:fill="auto"/>
            <w:vAlign w:val="center"/>
          </w:tcPr>
          <w:p>
            <w:pPr>
              <w:widowControl w:val="0"/>
              <w:autoSpaceDE w:val="0"/>
              <w:autoSpaceDN w:val="0"/>
              <w:adjustRightInd w:val="0"/>
              <w:jc w:val="center"/>
              <w:rPr>
                <w:szCs w:val="21"/>
              </w:rPr>
            </w:pPr>
            <w:r>
              <w:rPr>
                <w:rFonts w:hint="eastAsia"/>
                <w:szCs w:val="21"/>
              </w:rPr>
              <w:t>山东能源集团</w:t>
            </w:r>
          </w:p>
        </w:tc>
        <w:tc>
          <w:tcPr>
            <w:tcW w:w="1098" w:type="pct"/>
            <w:shd w:val="clear" w:color="auto" w:fill="auto"/>
            <w:vAlign w:val="center"/>
          </w:tcPr>
          <w:p>
            <w:pPr>
              <w:widowControl w:val="0"/>
              <w:autoSpaceDE w:val="0"/>
              <w:autoSpaceDN w:val="0"/>
              <w:adjustRightInd w:val="0"/>
              <w:jc w:val="center"/>
              <w:rPr>
                <w:szCs w:val="21"/>
              </w:rPr>
            </w:pPr>
            <w:r>
              <w:rPr>
                <w:rFonts w:hint="eastAsia"/>
                <w:szCs w:val="21"/>
              </w:rPr>
              <w:t>控股股东</w:t>
            </w:r>
          </w:p>
        </w:tc>
        <w:tc>
          <w:tcPr>
            <w:tcW w:w="1269" w:type="pct"/>
            <w:shd w:val="clear" w:color="auto" w:fill="auto"/>
            <w:vAlign w:val="center"/>
          </w:tcPr>
          <w:p>
            <w:pPr>
              <w:widowControl w:val="0"/>
              <w:autoSpaceDE w:val="0"/>
              <w:autoSpaceDN w:val="0"/>
              <w:adjustRightInd w:val="0"/>
              <w:jc w:val="center"/>
              <w:rPr>
                <w:szCs w:val="21"/>
              </w:rPr>
            </w:pPr>
            <w:r>
              <w:rPr>
                <w:rFonts w:hint="eastAsia"/>
                <w:szCs w:val="21"/>
              </w:rPr>
              <w:t>承兑、保函</w:t>
            </w:r>
          </w:p>
        </w:tc>
        <w:tc>
          <w:tcPr>
            <w:tcW w:w="791" w:type="pct"/>
            <w:shd w:val="clear" w:color="auto" w:fill="auto"/>
            <w:vAlign w:val="center"/>
          </w:tcPr>
          <w:p>
            <w:pPr>
              <w:widowControl w:val="0"/>
              <w:autoSpaceDE w:val="0"/>
              <w:autoSpaceDN w:val="0"/>
              <w:adjustRightInd w:val="0"/>
              <w:jc w:val="center"/>
              <w:rPr>
                <w:szCs w:val="21"/>
              </w:rPr>
            </w:pPr>
            <w:r>
              <w:rPr>
                <w:rFonts w:hint="eastAsia"/>
                <w:szCs w:val="21"/>
              </w:rPr>
              <w:t>100</w:t>
            </w:r>
          </w:p>
        </w:tc>
        <w:tc>
          <w:tcPr>
            <w:tcW w:w="919" w:type="pct"/>
            <w:shd w:val="clear" w:color="auto" w:fill="auto"/>
            <w:vAlign w:val="center"/>
          </w:tcPr>
          <w:p>
            <w:pPr>
              <w:widowControl w:val="0"/>
              <w:autoSpaceDE w:val="0"/>
              <w:autoSpaceDN w:val="0"/>
              <w:adjustRightInd w:val="0"/>
              <w:jc w:val="center"/>
              <w:rPr>
                <w:szCs w:val="21"/>
              </w:rPr>
            </w:pPr>
            <w:r>
              <w:rPr>
                <w:rFonts w:hint="eastAsia"/>
                <w:szCs w:val="21"/>
              </w:rPr>
              <w:t>19.91</w:t>
            </w:r>
          </w:p>
        </w:tc>
      </w:tr>
    </w:tbl>
    <w:p>
      <w:pPr>
        <w:rPr>
          <w:szCs w:val="21"/>
        </w:rPr>
      </w:pPr>
    </w:p>
    <w:p>
      <w:pPr>
        <w:pStyle w:val="afffffffffffff8"/>
        <w:numPr>
          <w:ilvl w:val="0"/>
          <w:numId w:val="48"/>
        </w:numPr>
        <w:ind w:left="425" w:hanging="425"/>
      </w:pPr>
      <w:bookmarkStart w:id="194" w:name="_Hlk41316022"/>
      <w:bookmarkEnd w:id="193"/>
      <w:r>
        <w:rPr>
          <w:rFonts w:hint="eastAsia"/>
        </w:rPr>
        <w:t>其他说明</w:t>
      </w:r>
    </w:p>
    <w:sdt>
      <w:sdtPr>
        <w:rPr>
          <w:color w:val="000000" w:themeColor="text1"/>
          <w:szCs w:val="21"/>
        </w:rPr>
        <w:alias w:val="是否适用：公司与存在关联关系的财务公司、公司控股财务公司与关联方之间的金融业务的其他说明[双击切换]"/>
        <w:tag w:val="_GBC_ff93404f5d40495f9fc89732d74edc89"/>
        <w:id w:val="1911728696"/>
        <w:placeholder>
          <w:docPart w:val="GBC22222222222222222222222222222"/>
        </w:placeholder>
      </w:sdtPr>
      <w:sdtContent>
        <w:p>
          <w:pPr>
            <w:rPr>
              <w:color w:val="000000" w:themeColor="text1"/>
              <w:szCs w:val="21"/>
            </w:rPr>
          </w:pPr>
          <w:r>
            <w:rPr>
              <w:color w:val="000000" w:themeColor="text1"/>
              <w:szCs w:val="21"/>
            </w:rPr>
            <w:fldChar w:fldCharType="begin"/>
          </w:r>
          <w:r>
            <w:rPr>
              <w:color w:val="000000" w:themeColor="text1"/>
              <w:szCs w:val="21"/>
            </w:rPr>
            <w:instrText xml:space="preserve"> 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
      <w:sdtPr>
        <w:rPr>
          <w:color w:val="000000" w:themeColor="text1"/>
          <w:szCs w:val="21"/>
        </w:rPr>
        <w:alias w:val="公司与存在关联关系的财务公司、公司控股财务公司与关联方之间的金融业务的其他说明"/>
        <w:tag w:val="_GBC_4d44517eb6c34963a20f2b2224aa1fa3"/>
        <w:id w:val="1868091712"/>
        <w:placeholder>
          <w:docPart w:val="GBC22222222222222222222222222222"/>
        </w:placeholder>
      </w:sdtPr>
      <w:sdtContent>
        <w:sdt>
          <w:sdtPr>
            <w:rPr>
              <w:color w:val="000000" w:themeColor="text1"/>
            </w:rPr>
            <w:alias w:val="公司与存在关联关系的财务公司、公司控股财务公司与关联方之间的金融业务的其他说明"/>
            <w:tag w:val="_GBC_0c4c9c24d52140d9986c80246a5f6f0f"/>
            <w:id w:val="-1720579781"/>
          </w:sdtPr>
          <w:sdtEndPr>
            <w:rPr>
              <w:color w:val="auto"/>
            </w:rPr>
          </w:sdtEndPr>
          <w:sdtContent>
            <w:p>
              <w:pPr>
                <w:ind w:firstLineChars="200" w:firstLine="420"/>
                <w:rPr>
                  <w:color w:val="000000"/>
                </w:rPr>
              </w:pPr>
              <w:r>
                <w:rPr>
                  <w:rFonts w:hint="eastAsia"/>
                  <w:color w:val="000000"/>
                </w:rPr>
                <w:t>截至本报告期末，山能财司为关联方提供的金融服务收取的保证金余额为</w:t>
              </w:r>
              <w:r>
                <w:rPr>
                  <w:rFonts w:hint="eastAsia"/>
                </w:rPr>
                <w:t>0.47</w:t>
              </w:r>
              <w:r>
                <w:rPr>
                  <w:rFonts w:hint="eastAsia"/>
                  <w:color w:val="000000"/>
                </w:rPr>
                <w:t>亿元，保证金部分不占授信额度。</w:t>
              </w:r>
            </w:p>
            <w:p>
              <w:pPr>
                <w:ind w:firstLineChars="200" w:firstLine="420"/>
                <w:rPr>
                  <w:rFonts w:ascii="Calibri" w:hAnsi="Calibri"/>
                </w:rPr>
              </w:pPr>
              <w:r>
                <w:rPr>
                  <w:rFonts w:hint="eastAsia"/>
                  <w:color w:val="000000"/>
                </w:rPr>
                <w:t>根据上交所《上市公司自律监管指引第5号——交易与关联交易》，公司出具了关于山能财司的风险评估报告</w:t>
              </w:r>
              <w:r>
                <w:rPr>
                  <w:rFonts w:hint="eastAsia"/>
                </w:rPr>
                <w:t>。</w:t>
              </w:r>
              <w:r>
                <w:rPr>
                  <w:rFonts w:asciiTheme="minorEastAsia" w:eastAsiaTheme="minorEastAsia" w:hAnsiTheme="minorEastAsia"/>
                  <w:color w:val="000000"/>
                </w:rPr>
                <w:t>A股审计师出具了关于兖矿能源202</w:t>
              </w:r>
              <w:r>
                <w:rPr>
                  <w:rFonts w:asciiTheme="minorEastAsia" w:eastAsiaTheme="minorEastAsia" w:hAnsiTheme="minorEastAsia" w:hint="eastAsia"/>
                  <w:color w:val="000000"/>
                </w:rPr>
                <w:t>4</w:t>
              </w:r>
              <w:r>
                <w:rPr>
                  <w:rFonts w:asciiTheme="minorEastAsia" w:eastAsiaTheme="minorEastAsia" w:hAnsiTheme="minorEastAsia"/>
                  <w:color w:val="000000"/>
                </w:rPr>
                <w:t>年度涉及</w:t>
              </w:r>
              <w:r>
                <w:rPr>
                  <w:rFonts w:asciiTheme="minorEastAsia" w:eastAsiaTheme="minorEastAsia" w:hAnsiTheme="minorEastAsia" w:hint="eastAsia"/>
                  <w:color w:val="000000"/>
                </w:rPr>
                <w:t>山能</w:t>
              </w:r>
              <w:r>
                <w:rPr>
                  <w:rFonts w:asciiTheme="minorEastAsia" w:eastAsiaTheme="minorEastAsia" w:hAnsiTheme="minorEastAsia"/>
                  <w:color w:val="000000"/>
                </w:rPr>
                <w:t>财司关联交易的存款、贷款等金融服务的专项说明。</w:t>
              </w:r>
            </w:p>
          </w:sdtContent>
        </w:sdt>
        <w:p>
          <w:pPr>
            <w:rPr>
              <w:color w:val="000000" w:themeColor="text1"/>
              <w:szCs w:val="21"/>
            </w:rPr>
          </w:pPr>
        </w:p>
      </w:sdtContent>
    </w:sdt>
    <w:p>
      <w:pPr>
        <w:rPr>
          <w:color w:val="000000" w:themeColor="text1"/>
          <w:szCs w:val="21"/>
        </w:rPr>
      </w:pPr>
    </w:p>
    <w:bookmarkEnd w:id="191"/>
    <w:bookmarkEnd w:id="192"/>
    <w:bookmarkEnd w:id="194"/>
    <w:p>
      <w:pPr>
        <w:pStyle w:val="afffffff1"/>
        <w:numPr>
          <w:ilvl w:val="2"/>
          <w:numId w:val="44"/>
        </w:numPr>
        <w:rPr>
          <w:szCs w:val="21"/>
        </w:rPr>
      </w:pPr>
      <w:r>
        <w:rPr>
          <w:rFonts w:hint="eastAsia"/>
          <w:szCs w:val="21"/>
        </w:rPr>
        <w:t>其他</w:t>
      </w:r>
    </w:p>
    <w:p>
      <w:pPr>
        <w:rPr>
          <w:rFonts w:asciiTheme="minorEastAsia" w:eastAsiaTheme="minorEastAsia" w:hAnsiTheme="minorEastAsia"/>
          <w:szCs w:val="21"/>
        </w:rPr>
      </w:pPr>
      <w:sdt>
        <w:sdtPr>
          <w:rPr>
            <w:rFonts w:asciiTheme="minorEastAsia" w:eastAsiaTheme="minorEastAsia" w:hAnsiTheme="minorEastAsia" w:hint="eastAsia"/>
            <w:szCs w:val="21"/>
          </w:rPr>
          <w:alias w:val="是否适用：重大关联交易其他说明[双击切换]"/>
          <w:tag w:val="_GBC_49b04883b7a84a83b6a8bfec05cbb445"/>
          <w:id w:val="-574903717"/>
          <w:placeholder>
            <w:docPart w:val="GBC22222222222222222222222222222"/>
          </w:placeholder>
        </w:sdtPr>
        <w:sdtContent>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sdtContent>
      </w:sdt>
    </w:p>
    <w:sdt>
      <w:sdtPr>
        <w:rPr>
          <w:rFonts w:asciiTheme="minorEastAsia" w:eastAsiaTheme="minorEastAsia" w:hAnsiTheme="minorEastAsia"/>
          <w:szCs w:val="21"/>
        </w:rPr>
        <w:alias w:val="其他重要关联交易"/>
        <w:tag w:val="_GBC_f3502a4ed252419e89a26cbe8fb3bee4"/>
        <w:id w:val="-1236847327"/>
      </w:sdtPr>
      <w:sdtEndPr>
        <w:rPr>
          <w:rFonts w:ascii="宋体" w:eastAsia="宋体" w:hAnsi="宋体"/>
        </w:rPr>
      </w:sdtEndPr>
      <w:sdtContent>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向新疆能化提供内部借款</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为满足新疆能化生产经营的资金需求，于2024年8月30日，本公司与新疆能化（本公司的关连附属公司）订立借款合同，经公司2024年10月25日召开的2024年度第一次临时股东大会审议批准，公司向新疆能化提供50亿元内部借款。</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有关详情请见日期为2024年8月30日的向控股子公司提供财务资助的公告以及向关连附属公司提供财务资助的公告，日期为2024年10月25日的2024年度第一次临时股东大会决议公告，该等资料刊载于上交所网站、香港联交所网站、公司网站及/或《中国证券报》《上海证券报》《证券时报》《证券日报》。 </w:t>
          </w:r>
        </w:p>
        <w:p>
          <w:pPr>
            <w:ind w:firstLineChars="200" w:firstLine="420"/>
            <w:rPr>
              <w:rFonts w:asciiTheme="minorEastAsia" w:eastAsiaTheme="minorEastAsia" w:hAnsiTheme="minorEastAsia"/>
              <w:szCs w:val="21"/>
            </w:rPr>
          </w:pPr>
        </w:p>
        <w:p>
          <w:pPr>
            <w:ind w:firstLineChars="200" w:firstLine="420"/>
            <w:jc w:val="both"/>
            <w:rPr>
              <w:rFonts w:asciiTheme="minorEastAsia" w:eastAsiaTheme="minorEastAsia" w:hAnsiTheme="minorEastAsia"/>
              <w:szCs w:val="21"/>
            </w:rPr>
          </w:pPr>
          <w:r>
            <w:rPr>
              <w:rFonts w:asciiTheme="minorEastAsia" w:eastAsiaTheme="minorEastAsia" w:hAnsiTheme="minorEastAsia" w:hint="eastAsia"/>
              <w:szCs w:val="21"/>
            </w:rPr>
            <w:t>鲁西矿业附属公司统筹外费用相关安排</w:t>
          </w:r>
        </w:p>
        <w:p>
          <w:pPr>
            <w:ind w:firstLineChars="200" w:firstLine="420"/>
            <w:jc w:val="both"/>
            <w:rPr>
              <w:rFonts w:asciiTheme="minorEastAsia" w:eastAsiaTheme="minorEastAsia" w:hAnsiTheme="minorEastAsia"/>
              <w:szCs w:val="21"/>
            </w:rPr>
          </w:pPr>
          <w:r>
            <w:rPr>
              <w:rFonts w:asciiTheme="minorEastAsia" w:eastAsiaTheme="minorEastAsia" w:hAnsiTheme="minorEastAsia" w:hint="eastAsia"/>
              <w:szCs w:val="21"/>
            </w:rPr>
            <w:t>为进一步优化现有离退休、工病亡遗属等人员统筹外费用安排，经公司2025年3月28日召开的第九届董事会第十四次会议审议批准，鲁西矿业及其权属单位--肥城矿业集团梁宝寺能源有限责任公司（“梁宝寺能源”）、山东新巨龙能源有限责任公司（“新巨龙能源”）、临沂矿业集团菏泽煤电有限公司郭屯煤矿（“菏泽煤电郭屯煤矿”）(合称“鲁西矿业权属单位”)分别与公司关联/关连方临矿集团签订《离退休人员、遗属等各类统筹外费用发放安排协议》。根据该协议，现由鲁西矿业权属单位分别各自全额承担的统筹外费用，将自协议生效日起调整为由鲁西矿业、临矿集团按比例共同承担。根据梁宝寺能源安排协议，鲁西矿业及临矿集团同意按照85%（即</w:t>
          </w:r>
          <w:r>
            <w:rPr>
              <w:rFonts w:asciiTheme="minorEastAsia" w:eastAsiaTheme="minorEastAsia" w:hAnsiTheme="minorEastAsia" w:hint="eastAsia"/>
              <w:szCs w:val="21"/>
            </w:rPr>
            <w:lastRenderedPageBreak/>
            <w:t>合共人民币8.63亿元）及15%（即合共人民币1.52亿元）的比例承担原由梁宝寺能源承担的统筹外费用；根据新巨龙能源安排协议，鲁西矿业及临矿集团同意按照60%（即合共人民币10.73亿元）及40%（即合共人民币7.16亿元）的比例承担原由新巨龙能源承担的统筹外费用；根据菏泽煤电安排协议，鲁西矿业及临矿集团同意按照83.5931%（即合共人民币8.64亿元）及16.4069%（即合共人民币1.69亿元）的比例承担原由菏泽煤电郭屯煤矿承担的统筹外费用。本次交易不涉及统筹外费用金额的调整，仅涉及对于统筹外费用分担和支付相关安排，对公司财务状况、经营成果不产生负面影响，不存在损害公司及中小股东合法权益的情形。</w:t>
          </w:r>
        </w:p>
        <w:p>
          <w:pPr>
            <w:ind w:firstLineChars="200" w:firstLine="420"/>
            <w:jc w:val="both"/>
            <w:rPr>
              <w:rFonts w:asciiTheme="minorEastAsia" w:eastAsiaTheme="minorEastAsia" w:hAnsiTheme="minorEastAsia"/>
              <w:szCs w:val="21"/>
            </w:rPr>
          </w:pPr>
          <w:r>
            <w:rPr>
              <w:rFonts w:asciiTheme="minorEastAsia" w:eastAsiaTheme="minorEastAsia" w:hAnsiTheme="minorEastAsia" w:hint="eastAsia"/>
              <w:szCs w:val="21"/>
            </w:rPr>
            <w:t>有关详情请见日期为2025年3月28日的关联/关连交易公告，该等资料刊载于上交所网站、香港联交所网站、公司网站及/或《中国证券报》《上海证券报》《证券时报》《证券日报》。</w:t>
          </w:r>
        </w:p>
        <w:p>
          <w:pPr>
            <w:rPr>
              <w:rFonts w:asciiTheme="minorEastAsia" w:eastAsiaTheme="minorEastAsia" w:hAnsiTheme="minorEastAsia"/>
              <w:szCs w:val="21"/>
            </w:rPr>
          </w:pPr>
        </w:p>
        <w:p>
          <w:pPr>
            <w:ind w:firstLineChars="200" w:firstLine="420"/>
            <w:jc w:val="both"/>
            <w:rPr>
              <w:szCs w:val="21"/>
            </w:rPr>
          </w:pPr>
          <w:r>
            <w:rPr>
              <w:rFonts w:hint="eastAsia"/>
              <w:szCs w:val="21"/>
            </w:rPr>
            <w:t>根据香港上市规则，载于按国际财务报告准则编制的财务报表附注“关联公司结余及交易”的若干关联方交易亦构成香港上市规则第14A章定义的持续关连交易，且本公司确认该等交易已遵守香港上市规则第14A章下的披露规定。</w:t>
          </w:r>
        </w:p>
        <w:p>
          <w:pPr>
            <w:ind w:firstLineChars="200" w:firstLine="420"/>
            <w:rPr>
              <w:szCs w:val="21"/>
            </w:rPr>
          </w:pPr>
        </w:p>
        <w:p>
          <w:pPr>
            <w:ind w:firstLineChars="200" w:firstLine="420"/>
            <w:rPr>
              <w:szCs w:val="21"/>
            </w:rPr>
          </w:pPr>
          <w:r>
            <w:rPr>
              <w:rFonts w:hint="eastAsia"/>
              <w:szCs w:val="21"/>
            </w:rPr>
            <w:t>除本节所披露重大关连交易事项外，报告期内本集团概无其他根据香港上市规则须于本报告中披露之重大关连交易。</w:t>
          </w:r>
        </w:p>
        <w:p>
          <w:pPr>
            <w:pStyle w:val="affffffd"/>
          </w:pPr>
        </w:p>
      </w:sdtContent>
    </w:sdt>
    <w:p>
      <w:pPr>
        <w:rPr>
          <w:szCs w:val="21"/>
        </w:rPr>
      </w:pPr>
    </w:p>
    <w:p>
      <w:pPr>
        <w:pStyle w:val="afffffff"/>
        <w:numPr>
          <w:ilvl w:val="0"/>
          <w:numId w:val="40"/>
        </w:numPr>
      </w:pPr>
      <w:bookmarkStart w:id="195" w:name="OLE_LINK1"/>
      <w:r>
        <w:rPr>
          <w:rFonts w:hint="eastAsia"/>
        </w:rPr>
        <w:t>重大合同及其履行情况</w:t>
      </w:r>
    </w:p>
    <w:p>
      <w:pPr>
        <w:pStyle w:val="afffffff1"/>
        <w:numPr>
          <w:ilvl w:val="0"/>
          <w:numId w:val="49"/>
        </w:numPr>
        <w:rPr>
          <w:szCs w:val="21"/>
        </w:rPr>
      </w:pPr>
      <w:r>
        <w:rPr>
          <w:szCs w:val="21"/>
        </w:rPr>
        <w:t>托管、承包、租赁事项</w:t>
      </w:r>
    </w:p>
    <w:p>
      <w:pPr>
        <w:pStyle w:val="afffffffffffff8"/>
        <w:numPr>
          <w:ilvl w:val="0"/>
          <w:numId w:val="60"/>
        </w:numPr>
      </w:pPr>
      <w:r>
        <w:rPr>
          <w:rFonts w:hint="eastAsia"/>
        </w:rPr>
        <w:t>托管情况</w:t>
      </w:r>
    </w:p>
    <w:sdt>
      <w:sdtPr>
        <w:alias w:val="是否适用：托管情况[双击切换]"/>
        <w:tag w:val="_GBC_f528f5eedb9346f6b0fbdbe3967882e7"/>
        <w:id w:val="-2138482324"/>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szCs w:val="21"/>
        </w:rPr>
      </w:pPr>
    </w:p>
    <w:p>
      <w:pPr>
        <w:pStyle w:val="afffffffffffff8"/>
        <w:numPr>
          <w:ilvl w:val="0"/>
          <w:numId w:val="60"/>
        </w:numPr>
      </w:pPr>
      <w:r>
        <w:rPr>
          <w:rFonts w:hint="eastAsia"/>
        </w:rPr>
        <w:t>承包情况</w:t>
      </w:r>
    </w:p>
    <w:sdt>
      <w:sdtPr>
        <w:alias w:val="是否适用：承包情况[双击切换]"/>
        <w:tag w:val="_GBC_ef45025eb2d84c78907511abec2bd222"/>
        <w:id w:val="-485167748"/>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szCs w:val="21"/>
        </w:rPr>
      </w:pPr>
    </w:p>
    <w:p>
      <w:pPr>
        <w:pStyle w:val="afffffffffffff8"/>
        <w:numPr>
          <w:ilvl w:val="0"/>
          <w:numId w:val="60"/>
        </w:numPr>
      </w:pPr>
      <w:r>
        <w:rPr>
          <w:rFonts w:hint="eastAsia"/>
        </w:rPr>
        <w:t>租赁情况</w:t>
      </w:r>
    </w:p>
    <w:sdt>
      <w:sdtPr>
        <w:alias w:val="是否适用：租赁情况[双击切换]"/>
        <w:tag w:val="_GBC_c1d0d78a63af4d48a7427277c2db3ac5"/>
        <w:id w:val="282457666"/>
        <w:placeholder>
          <w:docPart w:val="GBC22222222222222222222222222222"/>
        </w:placeholder>
      </w:sdtPr>
      <w:sdtContent>
        <w:p>
          <w:pPr>
            <w:pStyle w:val="affffffff"/>
          </w:pPr>
          <w:r>
            <w:fldChar w:fldCharType="begin"/>
          </w:r>
          <w:r>
            <w:rPr>
              <w:rFonts w:hint="eastAsia"/>
            </w:rPr>
            <w:instrText xml:space="preserve">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rPr>
          <w:szCs w:val="21"/>
        </w:rPr>
      </w:pPr>
    </w:p>
    <w:bookmarkEnd w:id="195"/>
    <w:p>
      <w:pPr>
        <w:rPr>
          <w:szCs w:val="21"/>
        </w:rPr>
      </w:pPr>
    </w:p>
    <w:p>
      <w:pPr>
        <w:rPr>
          <w:szCs w:val="21"/>
        </w:rPr>
        <w:sectPr>
          <w:pgSz w:w="11906" w:h="16838"/>
          <w:pgMar w:top="1525" w:right="1276" w:bottom="1440" w:left="1797" w:header="855" w:footer="992" w:gutter="0"/>
          <w:cols w:space="425"/>
          <w:docGrid w:linePitch="312"/>
        </w:sectPr>
      </w:pPr>
    </w:p>
    <w:p>
      <w:pPr>
        <w:pStyle w:val="afffffff1"/>
        <w:numPr>
          <w:ilvl w:val="0"/>
          <w:numId w:val="49"/>
        </w:numPr>
        <w:rPr>
          <w:szCs w:val="21"/>
        </w:rPr>
      </w:pPr>
      <w:bookmarkStart w:id="196" w:name="_Toc342565974"/>
      <w:bookmarkStart w:id="197" w:name="_Toc342491982"/>
      <w:bookmarkStart w:id="198" w:name="OLE_LINK3"/>
      <w:bookmarkStart w:id="199" w:name="OLE_LINK2"/>
      <w:r>
        <w:rPr>
          <w:szCs w:val="21"/>
        </w:rPr>
        <w:lastRenderedPageBreak/>
        <w:t>担保情况</w:t>
      </w:r>
      <w:bookmarkEnd w:id="196"/>
      <w:bookmarkEnd w:id="197"/>
    </w:p>
    <w:bookmarkEnd w:id="199" w:displacedByCustomXml="next"/>
    <w:bookmarkEnd w:id="198" w:displacedByCustomXml="next"/>
    <w:sdt>
      <w:sdtPr>
        <w:rPr>
          <w:szCs w:val="21"/>
        </w:rPr>
        <w:alias w:val="是否适用：担保情况[双击切换]"/>
        <w:tag w:val="_GBC_b799a3ac65f846e088fcfb2dd2591ede"/>
        <w:id w:val="-1411003205"/>
        <w:lock w:val="contentLocked"/>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r>
        <w:rPr>
          <w:szCs w:val="21"/>
        </w:rPr>
        <w:t>：</w:t>
      </w:r>
      <w:sdt>
        <w:sdtPr>
          <w:rPr>
            <w:szCs w:val="21"/>
          </w:rPr>
          <w:alias w:val="单位：担保情况"/>
          <w:tag w:val="_GBC_c5b429695c6d4556a9d11f55a5e736d3"/>
          <w:id w:val="-19043662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szCs w:val="21"/>
            </w:rPr>
            <w:t>亿元</w:t>
          </w:r>
        </w:sdtContent>
      </w:sdt>
      <w:r>
        <w:rPr>
          <w:rFonts w:hint="eastAsia"/>
          <w:szCs w:val="21"/>
        </w:rPr>
        <w:t xml:space="preserve">  币种</w:t>
      </w:r>
      <w:r>
        <w:rPr>
          <w:szCs w:val="21"/>
        </w:rPr>
        <w:t>：</w:t>
      </w:r>
      <w:sdt>
        <w:sdtPr>
          <w:rPr>
            <w:szCs w:val="21"/>
          </w:rPr>
          <w:alias w:val="币种：担保情况"/>
          <w:tag w:val="_GBC_bbefcb25022447d5a0413d1c31ffdf65"/>
          <w:id w:val="-2469618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g5"/>
        <w:tblW w:w="5000" w:type="pct"/>
        <w:tblInd w:w="0" w:type="dxa"/>
        <w:tblBorders>
          <w:top w:val="single" w:sz="4" w:space="0" w:color="auto"/>
          <w:left w:val="single" w:sz="4" w:space="0" w:color="auto"/>
          <w:bottom w:val="single" w:sz="4" w:space="0" w:color="auto"/>
          <w:right w:val="single" w:sz="4" w:space="0" w:color="auto"/>
        </w:tblBorders>
        <w:tblCellMar>
          <w:left w:w="30" w:type="dxa"/>
          <w:right w:w="30" w:type="dxa"/>
        </w:tblCellMar>
        <w:tblLook w:val="04A0" w:firstRow="1" w:lastRow="0" w:firstColumn="1" w:lastColumn="0" w:noHBand="0" w:noVBand="1"/>
      </w:tblPr>
      <w:tblGrid>
        <w:gridCol w:w="876"/>
        <w:gridCol w:w="915"/>
        <w:gridCol w:w="909"/>
        <w:gridCol w:w="1018"/>
        <w:gridCol w:w="915"/>
        <w:gridCol w:w="915"/>
        <w:gridCol w:w="396"/>
        <w:gridCol w:w="510"/>
        <w:gridCol w:w="915"/>
        <w:gridCol w:w="915"/>
        <w:gridCol w:w="915"/>
        <w:gridCol w:w="912"/>
        <w:gridCol w:w="1018"/>
        <w:gridCol w:w="912"/>
        <w:gridCol w:w="915"/>
        <w:gridCol w:w="907"/>
      </w:tblGrid>
      <w:tr>
        <w:trPr>
          <w:trHeight w:val="293"/>
        </w:trPr>
        <w:bookmarkStart w:id="200" w:name="_Hlk89953992" w:displacedByCustomXml="next"/>
        <w:sdt>
          <w:sdtPr>
            <w:tag w:val="_PLD_47382e1239d84f6f9f6c6d4b5423c108"/>
            <w:id w:val="647255838"/>
          </w:sdtPr>
          <w:sdtContent>
            <w:tc>
              <w:tcPr>
                <w:tcW w:w="5000" w:type="pct"/>
                <w:gridSpan w:val="16"/>
                <w:tcBorders>
                  <w:top w:val="single" w:sz="4" w:space="0" w:color="auto"/>
                  <w:bottom w:val="single" w:sz="4" w:space="0" w:color="auto"/>
                </w:tcBorders>
                <w:shd w:val="clear" w:color="auto" w:fill="auto"/>
                <w:vAlign w:val="center"/>
              </w:tcPr>
              <w:p>
                <w:pPr>
                  <w:autoSpaceDE w:val="0"/>
                  <w:autoSpaceDN w:val="0"/>
                  <w:adjustRightInd w:val="0"/>
                  <w:jc w:val="center"/>
                  <w:rPr>
                    <w:szCs w:val="21"/>
                  </w:rPr>
                </w:pPr>
                <w:r>
                  <w:rPr>
                    <w:rFonts w:hint="eastAsia"/>
                    <w:szCs w:val="21"/>
                  </w:rPr>
                  <w:t>公司对外担保情况（不包括对子公司的担保）</w:t>
                </w:r>
              </w:p>
            </w:tc>
          </w:sdtContent>
        </w:sdt>
      </w:tr>
      <w:tr>
        <w:trPr>
          <w:trHeight w:val="293"/>
        </w:trPr>
        <w:sdt>
          <w:sdtPr>
            <w:tag w:val="_PLD_09b2f27e560e48058fd68a7522d4a21e"/>
            <w:id w:val="2122492130"/>
          </w:sdtPr>
          <w:sdtContent>
            <w:tc>
              <w:tcPr>
                <w:tcW w:w="316" w:type="pct"/>
                <w:tcBorders>
                  <w:top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担保方</w:t>
                </w:r>
              </w:p>
            </w:tc>
          </w:sdtContent>
        </w:sdt>
        <w:sdt>
          <w:sdtPr>
            <w:tag w:val="_PLD_3052f673b3b345d3a7af649302ea170a"/>
            <w:id w:val="985435236"/>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735599960"/>
          </w:sdtPr>
          <w:sdtConten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被担保方</w:t>
                </w:r>
              </w:p>
            </w:tc>
          </w:sdtContent>
        </w:sdt>
        <w:sdt>
          <w:sdtPr>
            <w:tag w:val="_PLD_f9cf7e1836e34488ac32b6e51fd66dc5"/>
            <w:id w:val="1498547718"/>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担保金额</w:t>
                </w:r>
              </w:p>
            </w:tc>
          </w:sdtContent>
        </w:sdt>
        <w:sdt>
          <w:sdtPr>
            <w:tag w:val="_PLD_2605894e64924e1c948143543497b30d"/>
            <w:id w:val="1664433273"/>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1116400652"/>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起始日</w:t>
                </w:r>
              </w:p>
            </w:tc>
          </w:sdtContent>
        </w:sdt>
        <w:sdt>
          <w:sdtPr>
            <w:tag w:val="_PLD_6e343c1dd4c74b69b0e199f26aa0fc9a"/>
            <w:id w:val="131446832"/>
          </w:sdtPr>
          <w:sdtContent>
            <w:tc>
              <w:tcPr>
                <w:tcW w:w="3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到期日</w:t>
                </w:r>
              </w:p>
            </w:tc>
          </w:sdtContent>
        </w:sdt>
        <w:sdt>
          <w:sdtPr>
            <w:tag w:val="_PLD_85aaff970e8f4025937e66f170fc0506"/>
            <w:id w:val="1760401284"/>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担保类型</w:t>
                </w:r>
              </w:p>
            </w:tc>
          </w:sdtContent>
        </w:sdt>
        <w:tc>
          <w:tcPr>
            <w:tcW w:w="330" w:type="pct"/>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269635261"/>
            </w:sdtPr>
            <w:sdtContent>
              <w:p>
                <w:pPr>
                  <w:autoSpaceDE w:val="0"/>
                  <w:autoSpaceDN w:val="0"/>
                  <w:adjustRightInd w:val="0"/>
                  <w:jc w:val="center"/>
                </w:pPr>
                <w:r>
                  <w:rPr>
                    <w:rFonts w:hint="eastAsia"/>
                  </w:rPr>
                  <w:t>担保物（如有）</w:t>
                </w:r>
              </w:p>
            </w:sdtContent>
          </w:sdt>
        </w:tc>
        <w:sdt>
          <w:sdtPr>
            <w:tag w:val="_PLD_fad806f6aed64969a9f500fc55be69bf"/>
            <w:id w:val="-859741145"/>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2026354502"/>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担保是否逾期</w:t>
                </w:r>
              </w:p>
            </w:tc>
          </w:sdtContent>
        </w:sdt>
        <w:sdt>
          <w:sdtPr>
            <w:tag w:val="_PLD_e8056176e7db49139234d1df564f5c3a"/>
            <w:id w:val="1753242402"/>
          </w:sdtPr>
          <w:sdtConten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担保逾期金额</w:t>
                </w:r>
              </w:p>
            </w:tc>
          </w:sdtContent>
        </w:sdt>
        <w:sdt>
          <w:sdtPr>
            <w:tag w:val="_PLD_5c3b131124fe44f69e4b80cf09f7c755"/>
            <w:id w:val="1800718878"/>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反担保情况</w:t>
                </w:r>
              </w:p>
            </w:tc>
          </w:sdtContent>
        </w:sdt>
        <w:sdt>
          <w:sdtPr>
            <w:tag w:val="_PLD_5a6bd2cf94e8411b88105a2190c5b4fb"/>
            <w:id w:val="1427225279"/>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2024460689"/>
          </w:sdtPr>
          <w:sdtContent>
            <w:tc>
              <w:tcPr>
                <w:tcW w:w="327" w:type="pct"/>
                <w:tcBorders>
                  <w:top w:val="single" w:sz="4" w:space="0" w:color="auto"/>
                  <w:left w:val="single" w:sz="4" w:space="0" w:color="auto"/>
                  <w:bottom w:val="single" w:sz="4" w:space="0" w:color="auto"/>
                </w:tcBorders>
                <w:shd w:val="clear" w:color="auto" w:fill="auto"/>
                <w:vAlign w:val="center"/>
              </w:tcPr>
              <w:p>
                <w:pPr>
                  <w:autoSpaceDE w:val="0"/>
                  <w:autoSpaceDN w:val="0"/>
                  <w:adjustRightInd w:val="0"/>
                  <w:jc w:val="center"/>
                  <w:rPr>
                    <w:szCs w:val="21"/>
                  </w:rPr>
                </w:pPr>
                <w:r>
                  <w:rPr>
                    <w:rFonts w:hint="eastAsia"/>
                    <w:szCs w:val="21"/>
                  </w:rPr>
                  <w:t>关联</w:t>
                </w:r>
              </w:p>
              <w:p>
                <w:pPr>
                  <w:autoSpaceDE w:val="0"/>
                  <w:autoSpaceDN w:val="0"/>
                  <w:adjustRightInd w:val="0"/>
                  <w:jc w:val="center"/>
                  <w:rPr>
                    <w:szCs w:val="21"/>
                  </w:rPr>
                </w:pPr>
                <w:r>
                  <w:rPr>
                    <w:rFonts w:hint="eastAsia"/>
                    <w:szCs w:val="21"/>
                  </w:rPr>
                  <w:t>关系</w:t>
                </w:r>
              </w:p>
            </w:tc>
          </w:sdtContent>
        </w:sdt>
      </w:tr>
      <w:tr>
        <w:trPr>
          <w:trHeight w:val="293"/>
        </w:trPr>
        <w:tc>
          <w:tcPr>
            <w:tcW w:w="316" w:type="pct"/>
            <w:tcBorders>
              <w:top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兖矿能源集团股份有限公司</w:t>
            </w:r>
          </w:p>
        </w:tc>
        <w:sdt>
          <w:sdtPr>
            <w:rPr>
              <w:rFonts w:hint="eastAsia"/>
              <w:bCs/>
              <w:szCs w:val="21"/>
            </w:rPr>
            <w:alias w:val="担保方与上市公司的关联关系"/>
            <w:tag w:val="_GBC_2e446bc7579a4b2db650f2a8defc57b7"/>
            <w:id w:val="-1756197404"/>
            <w:comboBox>
              <w:listItem w:displayText="公司本部" w:value="公司本部"/>
              <w:listItem w:displayText="控股子公司" w:value="控股子公司"/>
              <w:listItem w:displayText="全资子公司" w:value="全资子公司"/>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rPr>
                    <w:color w:val="FFC000"/>
                    <w:szCs w:val="21"/>
                  </w:rPr>
                </w:pPr>
                <w:r>
                  <w:rPr>
                    <w:rFonts w:hint="eastAsia"/>
                    <w:bCs/>
                    <w:szCs w:val="21"/>
                  </w:rPr>
                  <w:t>公司本部</w:t>
                </w:r>
              </w:p>
            </w:tc>
          </w:sdtContent>
        </w:sdt>
        <w:tc>
          <w:tcPr>
            <w:tcW w:w="328"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rPr>
                <w:szCs w:val="21"/>
              </w:rPr>
            </w:pPr>
            <w:r>
              <w:rPr>
                <w:rFonts w:hint="eastAsia"/>
                <w:szCs w:val="21"/>
              </w:rPr>
              <w:t>烟台金正环保科技有限公司</w:t>
            </w:r>
          </w:p>
        </w:tc>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ind w:rightChars="40" w:right="84"/>
              <w:jc w:val="center"/>
              <w:rPr>
                <w:szCs w:val="21"/>
              </w:rPr>
            </w:pPr>
            <w:r>
              <w:rPr>
                <w:rFonts w:hint="eastAsia"/>
                <w:szCs w:val="21"/>
              </w:rPr>
              <w:t>1.37</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rPr>
              <w:t>2023年3月10日</w:t>
            </w:r>
          </w:p>
        </w:tc>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rPr>
              <w:t>2023年3月10日</w:t>
            </w:r>
          </w:p>
        </w:tc>
        <w:tc>
          <w:tcPr>
            <w:tcW w:w="32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rPr>
              <w:t>2026年5月9日</w:t>
            </w:r>
          </w:p>
        </w:tc>
        <w:sdt>
          <w:sdtPr>
            <w:rPr>
              <w:szCs w:val="21"/>
            </w:rPr>
            <w:alias w:val="担保类型"/>
            <w:tag w:val="_GBC_affd72f534db4dbea735ffb69233d55c"/>
            <w:id w:val="-1172020200"/>
            <w:comboBox>
              <w:listItem w:displayText="一般担保" w:value="一般担保"/>
              <w:listItem w:displayText="连带责任担保" w:value="连带责任担保"/>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color w:val="FFC000"/>
                    <w:szCs w:val="21"/>
                  </w:rPr>
                </w:pPr>
                <w:r>
                  <w:rPr>
                    <w:szCs w:val="21"/>
                  </w:rPr>
                  <w:t>连带责任担保</w:t>
                </w:r>
              </w:p>
            </w:tc>
          </w:sdtContent>
        </w:sdt>
        <w:tc>
          <w:tcPr>
            <w:tcW w:w="33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bCs/>
                <w:szCs w:val="21"/>
              </w:rPr>
            </w:pPr>
            <w:r>
              <w:rPr>
                <w:rFonts w:hint="eastAsia"/>
                <w:bCs/>
                <w:szCs w:val="21"/>
              </w:rPr>
              <w:t>/</w:t>
            </w:r>
          </w:p>
        </w:tc>
        <w:sdt>
          <w:sdtPr>
            <w:rPr>
              <w:rFonts w:hint="eastAsia"/>
              <w:bCs/>
              <w:szCs w:val="21"/>
            </w:rPr>
            <w:alias w:val="担保是否已经履行完毕"/>
            <w:tag w:val="_GBC_61f81248895641f4b3a03b6d7bf72a1b"/>
            <w:id w:val="1033228086"/>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sdt>
          <w:sdtPr>
            <w:rPr>
              <w:rFonts w:hint="eastAsia"/>
              <w:bCs/>
              <w:szCs w:val="21"/>
            </w:rPr>
            <w:alias w:val="担保是否逾期"/>
            <w:tag w:val="_GBC_c6b9d1f792064d3f8a852d307386846b"/>
            <w:id w:val="-1380623652"/>
            <w:comboBox>
              <w:listItem w:displayText="是" w:value="true"/>
              <w:listItem w:displayText="否" w:value="false"/>
            </w:comboBox>
          </w:sdtPr>
          <w:sdtContent>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tc>
          <w:tcPr>
            <w:tcW w:w="367"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ind w:rightChars="40" w:right="84"/>
              <w:jc w:val="center"/>
              <w:rPr>
                <w:bCs/>
                <w:szCs w:val="21"/>
              </w:rPr>
            </w:pPr>
            <w:r>
              <w:rPr>
                <w:rFonts w:hint="eastAsia"/>
                <w:bCs/>
                <w:szCs w:val="21"/>
              </w:rPr>
              <w:t>/</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szCs w:val="21"/>
              </w:rPr>
            </w:pPr>
            <w:r>
              <w:rPr>
                <w:rFonts w:hint="eastAsia"/>
                <w:szCs w:val="21"/>
              </w:rPr>
              <w:t>其他股东提供连带责任保证</w:t>
            </w:r>
          </w:p>
        </w:tc>
        <w:sdt>
          <w:sdtPr>
            <w:rPr>
              <w:rFonts w:hint="eastAsia"/>
              <w:bCs/>
              <w:szCs w:val="21"/>
            </w:rPr>
            <w:alias w:val="是否为关联方担保"/>
            <w:tag w:val="_GBC_44554d74636543a7b143039de86b7494"/>
            <w:id w:val="-241869278"/>
            <w:comboBox>
              <w:listItem w:displayText="是" w:value="true"/>
              <w:listItem w:displayText="否" w:value="false"/>
            </w:comboBox>
          </w:sdtPr>
          <w:sdtContent>
            <w:tc>
              <w:tcPr>
                <w:tcW w:w="330" w:type="pct"/>
                <w:tcBorders>
                  <w:top w:val="single" w:sz="4" w:space="0" w:color="auto"/>
                  <w:left w:val="single" w:sz="4" w:space="0" w:color="auto"/>
                  <w:bottom w:val="single" w:sz="4" w:space="0" w:color="auto"/>
                  <w:right w:val="single" w:sz="4" w:space="0" w:color="auto"/>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sdt>
          <w:sdtPr>
            <w:rPr>
              <w:szCs w:val="21"/>
            </w:rPr>
            <w:alias w:val="担保中关联方与本公司关系"/>
            <w:tag w:val="_GBC_e5957983376e4a2f82b346d338d10f40"/>
            <w:id w:val="-1899201791"/>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327" w:type="pct"/>
                <w:tcBorders>
                  <w:top w:val="single" w:sz="4" w:space="0" w:color="auto"/>
                  <w:left w:val="single" w:sz="4" w:space="0" w:color="auto"/>
                  <w:bottom w:val="single" w:sz="4" w:space="0" w:color="auto"/>
                </w:tcBorders>
                <w:shd w:val="clear" w:color="auto" w:fill="auto"/>
                <w:vAlign w:val="center"/>
              </w:tcPr>
              <w:p>
                <w:pPr>
                  <w:autoSpaceDE w:val="0"/>
                  <w:autoSpaceDN w:val="0"/>
                  <w:adjustRightInd w:val="0"/>
                  <w:jc w:val="center"/>
                  <w:rPr>
                    <w:color w:val="FFC000"/>
                    <w:szCs w:val="21"/>
                  </w:rPr>
                </w:pPr>
                <w:r>
                  <w:rPr>
                    <w:rFonts w:hint="eastAsia"/>
                  </w:rPr>
                  <w:t>/</w:t>
                </w:r>
              </w:p>
            </w:tc>
          </w:sdtContent>
        </w:sdt>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报告期内担保发生额合计（不包括对子公司的担保）</w:t>
            </w:r>
          </w:p>
        </w:tc>
        <w:tc>
          <w:tcPr>
            <w:tcW w:w="2856" w:type="pct"/>
            <w:gridSpan w:val="9"/>
            <w:tcBorders>
              <w:top w:val="single" w:sz="4" w:space="0" w:color="auto"/>
              <w:left w:val="single" w:sz="4" w:space="0" w:color="auto"/>
              <w:bottom w:val="single" w:sz="4" w:space="0" w:color="auto"/>
            </w:tcBorders>
            <w:shd w:val="clear" w:color="auto" w:fill="auto"/>
          </w:tcPr>
          <w:p>
            <w:pPr>
              <w:ind w:rightChars="40" w:right="84"/>
              <w:jc w:val="right"/>
              <w:rPr>
                <w:szCs w:val="21"/>
              </w:rPr>
            </w:pPr>
            <w:r>
              <w:rPr>
                <w:rFonts w:hint="eastAsia"/>
                <w:szCs w:val="21"/>
              </w:rPr>
              <w:t>0</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tc>
          <w:tcPr>
            <w:tcW w:w="2856" w:type="pct"/>
            <w:gridSpan w:val="9"/>
            <w:tcBorders>
              <w:top w:val="single" w:sz="4" w:space="0" w:color="auto"/>
              <w:left w:val="single" w:sz="4" w:space="0" w:color="auto"/>
              <w:bottom w:val="single" w:sz="4" w:space="0" w:color="auto"/>
            </w:tcBorders>
            <w:shd w:val="clear" w:color="auto" w:fill="auto"/>
          </w:tcPr>
          <w:p>
            <w:pPr>
              <w:autoSpaceDE w:val="0"/>
              <w:autoSpaceDN w:val="0"/>
              <w:adjustRightInd w:val="0"/>
              <w:ind w:rightChars="40" w:right="84"/>
              <w:jc w:val="right"/>
              <w:rPr>
                <w:szCs w:val="21"/>
              </w:rPr>
            </w:pPr>
            <w:r>
              <w:rPr>
                <w:rFonts w:hint="eastAsia"/>
                <w:szCs w:val="21"/>
              </w:rPr>
              <w:t>1.16</w:t>
            </w:r>
          </w:p>
        </w:tc>
      </w:tr>
      <w:tr>
        <w:trPr>
          <w:trHeight w:val="308"/>
        </w:trPr>
        <w:sdt>
          <w:sdtPr>
            <w:tag w:val="_PLD_0209e1df4d9c45da9415f0566332a134"/>
            <w:id w:val="718710456"/>
          </w:sdtPr>
          <w:sdtContent>
            <w:tc>
              <w:tcPr>
                <w:tcW w:w="5000" w:type="pct"/>
                <w:gridSpan w:val="16"/>
                <w:tcBorders>
                  <w:top w:val="single" w:sz="4" w:space="0" w:color="auto"/>
                  <w:bottom w:val="single" w:sz="4" w:space="0" w:color="auto"/>
                </w:tcBorders>
                <w:shd w:val="clear" w:color="auto" w:fill="auto"/>
                <w:vAlign w:val="center"/>
              </w:tcPr>
              <w:p>
                <w:pPr>
                  <w:autoSpaceDE w:val="0"/>
                  <w:autoSpaceDN w:val="0"/>
                  <w:adjustRightInd w:val="0"/>
                  <w:ind w:rightChars="40" w:right="84"/>
                  <w:jc w:val="center"/>
                  <w:rPr>
                    <w:szCs w:val="21"/>
                  </w:rPr>
                </w:pPr>
                <w:r>
                  <w:rPr>
                    <w:rFonts w:hint="eastAsia"/>
                    <w:szCs w:val="21"/>
                  </w:rPr>
                  <w:t>公司及其子公司对子公司的担保情况</w:t>
                </w:r>
              </w:p>
            </w:tc>
          </w:sdtContent>
        </w:sdt>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ind w:rightChars="40" w:right="84"/>
              <w:rPr>
                <w:color w:val="FF0000"/>
                <w:szCs w:val="21"/>
              </w:rPr>
            </w:pPr>
            <w:r>
              <w:rPr>
                <w:rFonts w:hint="eastAsia"/>
                <w:szCs w:val="21"/>
              </w:rPr>
              <w:t>报告期内对子公司担保发生额合计</w:t>
            </w:r>
          </w:p>
        </w:tc>
        <w:tc>
          <w:tcPr>
            <w:tcW w:w="2856" w:type="pct"/>
            <w:gridSpan w:val="9"/>
            <w:tcBorders>
              <w:top w:val="single" w:sz="4" w:space="0" w:color="auto"/>
              <w:left w:val="single" w:sz="4" w:space="0" w:color="auto"/>
              <w:bottom w:val="single" w:sz="4" w:space="0" w:color="auto"/>
            </w:tcBorders>
            <w:shd w:val="clear" w:color="auto" w:fill="auto"/>
            <w:vAlign w:val="center"/>
          </w:tcPr>
          <w:p>
            <w:pPr>
              <w:ind w:rightChars="40" w:right="84"/>
              <w:jc w:val="right"/>
              <w:rPr>
                <w:szCs w:val="21"/>
              </w:rPr>
            </w:pPr>
            <w:r>
              <w:rPr>
                <w:rFonts w:hint="eastAsia"/>
                <w:szCs w:val="21"/>
              </w:rPr>
              <w:t>41.68</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ind w:rightChars="40" w:right="84"/>
              <w:rPr>
                <w:color w:val="FF0000"/>
                <w:szCs w:val="21"/>
              </w:rPr>
            </w:pPr>
            <w:r>
              <w:rPr>
                <w:rFonts w:hint="eastAsia"/>
                <w:szCs w:val="21"/>
              </w:rPr>
              <w:t>报告期末对子公司担保余额合计（</w:t>
            </w:r>
            <w:r>
              <w:rPr>
                <w:szCs w:val="21"/>
              </w:rPr>
              <w:t>B</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autoSpaceDE w:val="0"/>
              <w:autoSpaceDN w:val="0"/>
              <w:adjustRightInd w:val="0"/>
              <w:ind w:rightChars="40" w:right="84"/>
              <w:jc w:val="right"/>
              <w:rPr>
                <w:szCs w:val="21"/>
              </w:rPr>
            </w:pPr>
            <w:r>
              <w:rPr>
                <w:rFonts w:hint="eastAsia"/>
                <w:szCs w:val="21"/>
              </w:rPr>
              <w:t>130.98</w:t>
            </w:r>
          </w:p>
        </w:tc>
      </w:tr>
      <w:tr>
        <w:trPr>
          <w:trHeight w:val="308"/>
        </w:trPr>
        <w:sdt>
          <w:sdtPr>
            <w:tag w:val="_PLD_b5d1fceb6fbd4fadb84d698d3eb35967"/>
            <w:id w:val="1001624950"/>
          </w:sdtPr>
          <w:sdtContent>
            <w:tc>
              <w:tcPr>
                <w:tcW w:w="5000" w:type="pct"/>
                <w:gridSpan w:val="16"/>
                <w:tcBorders>
                  <w:top w:val="single" w:sz="4" w:space="0" w:color="auto"/>
                  <w:bottom w:val="single" w:sz="4" w:space="0" w:color="auto"/>
                </w:tcBorders>
                <w:shd w:val="clear" w:color="auto" w:fill="auto"/>
                <w:vAlign w:val="center"/>
              </w:tcPr>
              <w:p>
                <w:pPr>
                  <w:autoSpaceDE w:val="0"/>
                  <w:autoSpaceDN w:val="0"/>
                  <w:adjustRightInd w:val="0"/>
                  <w:ind w:rightChars="40" w:right="84"/>
                  <w:jc w:val="center"/>
                  <w:rPr>
                    <w:szCs w:val="21"/>
                  </w:rPr>
                </w:pPr>
                <w:r>
                  <w:rPr>
                    <w:rFonts w:hint="eastAsia"/>
                    <w:szCs w:val="21"/>
                  </w:rPr>
                  <w:t>公司担保总额情况（包括对子公司的担保）</w:t>
                </w:r>
              </w:p>
            </w:tc>
          </w:sdtContent>
        </w:sdt>
      </w:tr>
      <w:tr>
        <w:trPr>
          <w:trHeight w:val="470"/>
        </w:trPr>
        <w:tc>
          <w:tcPr>
            <w:tcW w:w="2144" w:type="pct"/>
            <w:gridSpan w:val="7"/>
            <w:tcBorders>
              <w:top w:val="single" w:sz="4" w:space="0" w:color="auto"/>
              <w:bottom w:val="single" w:sz="4" w:space="0" w:color="auto"/>
              <w:right w:val="single" w:sz="4" w:space="0" w:color="auto"/>
            </w:tcBorders>
            <w:shd w:val="clear" w:color="auto" w:fill="auto"/>
            <w:vAlign w:val="center"/>
          </w:tcPr>
          <w:p>
            <w:pPr>
              <w:autoSpaceDE w:val="0"/>
              <w:autoSpaceDN w:val="0"/>
              <w:adjustRightInd w:val="0"/>
              <w:ind w:rightChars="40" w:right="84"/>
              <w:jc w:val="both"/>
              <w:rPr>
                <w:szCs w:val="21"/>
              </w:rPr>
            </w:pPr>
            <w:r>
              <w:rPr>
                <w:rFonts w:hint="eastAsia"/>
                <w:szCs w:val="21"/>
              </w:rPr>
              <w:t>担保总额（</w:t>
            </w:r>
            <w:r>
              <w:rPr>
                <w:szCs w:val="21"/>
              </w:rPr>
              <w:t>A+B</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autoSpaceDE w:val="0"/>
              <w:autoSpaceDN w:val="0"/>
              <w:adjustRightInd w:val="0"/>
              <w:ind w:rightChars="40" w:right="84"/>
              <w:jc w:val="right"/>
              <w:rPr>
                <w:szCs w:val="21"/>
              </w:rPr>
            </w:pPr>
            <w:r>
              <w:rPr>
                <w:rFonts w:hint="eastAsia"/>
                <w:szCs w:val="21"/>
              </w:rPr>
              <w:t>132.14</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ind w:rightChars="40" w:right="84"/>
              <w:rPr>
                <w:szCs w:val="21"/>
              </w:rPr>
            </w:pPr>
            <w:r>
              <w:rPr>
                <w:rFonts w:hint="eastAsia"/>
                <w:szCs w:val="21"/>
              </w:rPr>
              <w:t>担保总额占公司净资产的比例</w:t>
            </w:r>
            <w:r>
              <w:rPr>
                <w:szCs w:val="21"/>
              </w:rPr>
              <w:t>(%)</w:t>
            </w:r>
          </w:p>
        </w:tc>
        <w:tc>
          <w:tcPr>
            <w:tcW w:w="2856" w:type="pct"/>
            <w:gridSpan w:val="9"/>
            <w:tcBorders>
              <w:top w:val="single" w:sz="4" w:space="0" w:color="auto"/>
              <w:left w:val="single" w:sz="4" w:space="0" w:color="auto"/>
              <w:bottom w:val="single" w:sz="4" w:space="0" w:color="auto"/>
            </w:tcBorders>
            <w:shd w:val="clear" w:color="auto" w:fill="auto"/>
          </w:tcPr>
          <w:p>
            <w:pPr>
              <w:autoSpaceDE w:val="0"/>
              <w:autoSpaceDN w:val="0"/>
              <w:adjustRightInd w:val="0"/>
              <w:ind w:rightChars="40" w:right="84"/>
              <w:jc w:val="right"/>
              <w:rPr>
                <w:szCs w:val="21"/>
              </w:rPr>
            </w:pPr>
            <w:r>
              <w:rPr>
                <w:rFonts w:hint="eastAsia"/>
                <w:szCs w:val="21"/>
              </w:rPr>
              <w:t>16.00</w:t>
            </w:r>
          </w:p>
        </w:tc>
      </w:tr>
      <w:tr>
        <w:trPr>
          <w:trHeight w:val="308"/>
        </w:trPr>
        <w:sdt>
          <w:sdtPr>
            <w:tag w:val="_PLD_5975855d5ef9445cb4cf0cccb044de3a"/>
            <w:id w:val="754089620"/>
          </w:sdtPr>
          <w:sdtContent>
            <w:tc>
              <w:tcPr>
                <w:tcW w:w="5000" w:type="pct"/>
                <w:gridSpan w:val="16"/>
                <w:tcBorders>
                  <w:top w:val="single" w:sz="4" w:space="0" w:color="auto"/>
                  <w:bottom w:val="single" w:sz="4" w:space="0" w:color="auto"/>
                </w:tcBorders>
                <w:shd w:val="clear" w:color="auto" w:fill="auto"/>
              </w:tcPr>
              <w:p>
                <w:pPr>
                  <w:pStyle w:val="affffffc"/>
                  <w:autoSpaceDE w:val="0"/>
                  <w:autoSpaceDN w:val="0"/>
                  <w:adjustRightInd w:val="0"/>
                  <w:ind w:rightChars="40" w:right="84"/>
                  <w:rPr>
                    <w:rFonts w:ascii="宋体" w:hAnsi="宋体"/>
                  </w:rPr>
                </w:pPr>
                <w:r>
                  <w:rPr>
                    <w:rFonts w:ascii="宋体" w:hAnsi="宋体" w:hint="eastAsia"/>
                  </w:rPr>
                  <w:t>其中：</w:t>
                </w:r>
              </w:p>
            </w:tc>
          </w:sdtContent>
        </w:sdt>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ind w:rightChars="40" w:right="84"/>
              <w:jc w:val="right"/>
              <w:rPr>
                <w:szCs w:val="21"/>
              </w:rPr>
            </w:pPr>
            <w:r>
              <w:rPr>
                <w:rFonts w:hint="eastAsia"/>
                <w:szCs w:val="21"/>
              </w:rPr>
              <w:t>0</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autoSpaceDE w:val="0"/>
              <w:autoSpaceDN w:val="0"/>
              <w:adjustRightInd w:val="0"/>
              <w:ind w:rightChars="40" w:right="84"/>
              <w:jc w:val="right"/>
              <w:rPr>
                <w:szCs w:val="21"/>
              </w:rPr>
            </w:pPr>
            <w:r>
              <w:rPr>
                <w:rFonts w:hint="eastAsia"/>
                <w:szCs w:val="21"/>
              </w:rPr>
              <w:t>72.42</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tcPr>
          <w:p>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ind w:rightChars="40" w:right="84"/>
              <w:jc w:val="right"/>
              <w:rPr>
                <w:szCs w:val="21"/>
              </w:rPr>
            </w:pPr>
            <w:r>
              <w:rPr>
                <w:rFonts w:hint="eastAsia"/>
                <w:szCs w:val="21"/>
              </w:rPr>
              <w:t>0</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vAlign w:val="center"/>
          </w:tcPr>
          <w:p>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tc>
          <w:tcPr>
            <w:tcW w:w="2856" w:type="pct"/>
            <w:gridSpan w:val="9"/>
            <w:tcBorders>
              <w:top w:val="single" w:sz="4" w:space="0" w:color="auto"/>
              <w:left w:val="single" w:sz="4" w:space="0" w:color="auto"/>
              <w:bottom w:val="single" w:sz="4" w:space="0" w:color="auto"/>
            </w:tcBorders>
            <w:shd w:val="clear" w:color="auto" w:fill="auto"/>
            <w:vAlign w:val="center"/>
          </w:tcPr>
          <w:p>
            <w:pPr>
              <w:autoSpaceDE w:val="0"/>
              <w:autoSpaceDN w:val="0"/>
              <w:adjustRightInd w:val="0"/>
              <w:ind w:rightChars="40" w:right="84"/>
              <w:jc w:val="right"/>
              <w:rPr>
                <w:szCs w:val="21"/>
              </w:rPr>
            </w:pPr>
            <w:r>
              <w:rPr>
                <w:rFonts w:hint="eastAsia"/>
                <w:szCs w:val="21"/>
              </w:rPr>
              <w:t>72.42</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vAlign w:val="center"/>
          </w:tcPr>
          <w:p>
            <w:pPr>
              <w:pStyle w:val="affffffc"/>
              <w:autoSpaceDE w:val="0"/>
              <w:autoSpaceDN w:val="0"/>
              <w:adjustRightInd w:val="0"/>
              <w:rPr>
                <w:rFonts w:ascii="宋体" w:hAnsi="宋体"/>
              </w:rPr>
            </w:pPr>
            <w:r>
              <w:rPr>
                <w:rFonts w:ascii="宋体" w:hAnsi="宋体" w:hint="eastAsia"/>
              </w:rPr>
              <w:t>未到期担保可能承担连带清偿责任说明</w:t>
            </w:r>
          </w:p>
        </w:tc>
        <w:tc>
          <w:tcPr>
            <w:tcW w:w="2856" w:type="pct"/>
            <w:gridSpan w:val="9"/>
            <w:tcBorders>
              <w:top w:val="single" w:sz="4" w:space="0" w:color="auto"/>
              <w:left w:val="single" w:sz="4" w:space="0" w:color="auto"/>
              <w:bottom w:val="single" w:sz="4" w:space="0" w:color="auto"/>
            </w:tcBorders>
            <w:shd w:val="clear" w:color="auto" w:fill="auto"/>
            <w:vAlign w:val="center"/>
          </w:tcPr>
          <w:p>
            <w:pPr>
              <w:autoSpaceDE w:val="0"/>
              <w:autoSpaceDN w:val="0"/>
              <w:adjustRightInd w:val="0"/>
              <w:jc w:val="right"/>
              <w:rPr>
                <w:szCs w:val="21"/>
              </w:rPr>
            </w:pPr>
            <w:r>
              <w:rPr>
                <w:rFonts w:hint="eastAsia"/>
                <w:szCs w:val="21"/>
              </w:rPr>
              <w:t>无</w:t>
            </w:r>
          </w:p>
        </w:tc>
      </w:tr>
      <w:tr>
        <w:trPr>
          <w:trHeight w:val="308"/>
        </w:trPr>
        <w:tc>
          <w:tcPr>
            <w:tcW w:w="2144" w:type="pct"/>
            <w:gridSpan w:val="7"/>
            <w:tcBorders>
              <w:top w:val="single" w:sz="4" w:space="0" w:color="auto"/>
              <w:bottom w:val="single" w:sz="4" w:space="0" w:color="auto"/>
              <w:right w:val="single" w:sz="4" w:space="0" w:color="auto"/>
            </w:tcBorders>
            <w:shd w:val="clear" w:color="auto" w:fill="auto"/>
            <w:vAlign w:val="center"/>
          </w:tcPr>
          <w:p>
            <w:pPr>
              <w:autoSpaceDE w:val="0"/>
              <w:autoSpaceDN w:val="0"/>
              <w:adjustRightInd w:val="0"/>
              <w:jc w:val="both"/>
              <w:rPr>
                <w:szCs w:val="21"/>
              </w:rPr>
            </w:pPr>
            <w:r>
              <w:rPr>
                <w:rFonts w:hint="eastAsia"/>
                <w:szCs w:val="21"/>
              </w:rPr>
              <w:lastRenderedPageBreak/>
              <w:t>担保情况说明</w:t>
            </w:r>
          </w:p>
        </w:tc>
        <w:tc>
          <w:tcPr>
            <w:tcW w:w="2856" w:type="pct"/>
            <w:gridSpan w:val="9"/>
            <w:tcBorders>
              <w:top w:val="single" w:sz="4" w:space="0" w:color="auto"/>
              <w:left w:val="single" w:sz="4" w:space="0" w:color="auto"/>
              <w:bottom w:val="single" w:sz="4" w:space="0" w:color="auto"/>
            </w:tcBorders>
            <w:shd w:val="clear" w:color="auto" w:fill="auto"/>
          </w:tcPr>
          <w:p>
            <w:pPr>
              <w:autoSpaceDE w:val="0"/>
              <w:autoSpaceDN w:val="0"/>
              <w:adjustRightInd w:val="0"/>
              <w:jc w:val="both"/>
              <w:rPr>
                <w:szCs w:val="21"/>
              </w:rPr>
            </w:pPr>
            <w:r>
              <w:rPr>
                <w:rFonts w:hint="eastAsia"/>
                <w:szCs w:val="21"/>
              </w:rPr>
              <w:t>1.以前期间发生并延续至本报告期的对外担保情况</w:t>
            </w:r>
          </w:p>
          <w:p>
            <w:pPr>
              <w:autoSpaceDE w:val="0"/>
              <w:autoSpaceDN w:val="0"/>
              <w:adjustRightInd w:val="0"/>
              <w:jc w:val="both"/>
              <w:rPr>
                <w:szCs w:val="21"/>
              </w:rPr>
            </w:pPr>
            <w:r>
              <w:rPr>
                <w:rFonts w:hint="eastAsia"/>
                <w:szCs w:val="21"/>
              </w:rPr>
              <w:t>经2019年度股东周年大会审议批准，公司为内蒙古荣信化工有限公司提供13.8亿元担保。截至2024年12月31日，上述担保余额为6.22亿元。</w:t>
            </w:r>
          </w:p>
          <w:p>
            <w:pPr>
              <w:autoSpaceDE w:val="0"/>
              <w:autoSpaceDN w:val="0"/>
              <w:adjustRightInd w:val="0"/>
              <w:jc w:val="both"/>
              <w:rPr>
                <w:szCs w:val="21"/>
              </w:rPr>
            </w:pPr>
            <w:r>
              <w:rPr>
                <w:rFonts w:hint="eastAsia"/>
                <w:szCs w:val="21"/>
              </w:rPr>
              <w:t>经2019年度股东周年大会审议批准，公司为榆林能化提供13亿元担保。截至2024年12月31日，上述担保余额为5.78亿元。</w:t>
            </w:r>
          </w:p>
          <w:p>
            <w:pPr>
              <w:autoSpaceDE w:val="0"/>
              <w:autoSpaceDN w:val="0"/>
              <w:adjustRightInd w:val="0"/>
              <w:jc w:val="both"/>
              <w:rPr>
                <w:szCs w:val="21"/>
              </w:rPr>
            </w:pPr>
            <w:r>
              <w:rPr>
                <w:rFonts w:hint="eastAsia"/>
                <w:szCs w:val="21"/>
              </w:rPr>
              <w:t>经2019年度股东周年大会审议批准，公司为鲁南化工提供10亿元担保。截至2024年12月31日，上述担保余额为7亿元。</w:t>
            </w:r>
          </w:p>
          <w:p>
            <w:pPr>
              <w:autoSpaceDE w:val="0"/>
              <w:autoSpaceDN w:val="0"/>
              <w:adjustRightInd w:val="0"/>
              <w:jc w:val="both"/>
              <w:rPr>
                <w:szCs w:val="21"/>
              </w:rPr>
            </w:pPr>
            <w:r>
              <w:rPr>
                <w:rFonts w:hint="eastAsia"/>
                <w:szCs w:val="21"/>
              </w:rPr>
              <w:t>经2020年度股东周年大会审议批准，公司为兖煤国际提供1亿美元担保。截至2024年12月31日，上述担保余额为1亿美元。</w:t>
            </w:r>
          </w:p>
          <w:p>
            <w:pPr>
              <w:autoSpaceDE w:val="0"/>
              <w:autoSpaceDN w:val="0"/>
              <w:adjustRightInd w:val="0"/>
              <w:jc w:val="both"/>
              <w:rPr>
                <w:szCs w:val="21"/>
              </w:rPr>
            </w:pPr>
            <w:r>
              <w:rPr>
                <w:rFonts w:hint="eastAsia"/>
                <w:szCs w:val="21"/>
              </w:rPr>
              <w:t>经2020年度股东周年大会审议批准，内蒙古矿业为乌兰察布市宏大实业有限公司提供14.29亿元担保；为鄂尔多斯市锋威光电有限公司提供6.99亿元担保。截至2024年12月31日，上述担保余额分别为11.79亿元、5.55亿元。</w:t>
            </w:r>
          </w:p>
          <w:p>
            <w:pPr>
              <w:autoSpaceDE w:val="0"/>
              <w:autoSpaceDN w:val="0"/>
              <w:adjustRightInd w:val="0"/>
              <w:jc w:val="both"/>
              <w:rPr>
                <w:szCs w:val="21"/>
              </w:rPr>
            </w:pPr>
            <w:r>
              <w:rPr>
                <w:rFonts w:hint="eastAsia"/>
                <w:szCs w:val="21"/>
              </w:rPr>
              <w:t>截至2024年12月31日，兖煤澳洲及其子公司因经营必需共有履约押金和保函10.38亿澳元。</w:t>
            </w:r>
          </w:p>
          <w:p>
            <w:pPr>
              <w:autoSpaceDE w:val="0"/>
              <w:autoSpaceDN w:val="0"/>
              <w:adjustRightInd w:val="0"/>
              <w:jc w:val="both"/>
              <w:rPr>
                <w:szCs w:val="21"/>
              </w:rPr>
            </w:pPr>
            <w:r>
              <w:rPr>
                <w:rFonts w:hint="eastAsia"/>
                <w:szCs w:val="21"/>
              </w:rPr>
              <w:t>经2021年度第一次临时股东大会审议批准，内蒙古矿业为内蒙古锦联铝材有限公司提供2.7亿元担保，未来能源为陕西靖神铁路有限责任公司提供4亿元担保。截至2024年12月31日，上述担保余额分别为0.45亿元和2.94亿元。</w:t>
            </w:r>
          </w:p>
          <w:p>
            <w:pPr>
              <w:autoSpaceDE w:val="0"/>
              <w:autoSpaceDN w:val="0"/>
              <w:adjustRightInd w:val="0"/>
              <w:jc w:val="both"/>
              <w:rPr>
                <w:szCs w:val="21"/>
              </w:rPr>
            </w:pPr>
            <w:r>
              <w:rPr>
                <w:rFonts w:hint="eastAsia"/>
                <w:szCs w:val="21"/>
              </w:rPr>
              <w:t>经2024年度第一次临时股东大会审议批准，公司延续为金正环保提供因转让其股权而被动形成的对外担保1.37亿元。截至2024年12月31日，上述担保余额为1.16亿元。</w:t>
            </w:r>
          </w:p>
          <w:p>
            <w:pPr>
              <w:autoSpaceDE w:val="0"/>
              <w:autoSpaceDN w:val="0"/>
              <w:adjustRightInd w:val="0"/>
              <w:jc w:val="both"/>
              <w:rPr>
                <w:szCs w:val="21"/>
              </w:rPr>
            </w:pPr>
            <w:r>
              <w:rPr>
                <w:rFonts w:hint="eastAsia"/>
                <w:szCs w:val="21"/>
              </w:rPr>
              <w:t>2.报告期内发生的担保情况</w:t>
            </w:r>
          </w:p>
          <w:p>
            <w:pPr>
              <w:autoSpaceDE w:val="0"/>
              <w:autoSpaceDN w:val="0"/>
              <w:adjustRightInd w:val="0"/>
              <w:jc w:val="both"/>
              <w:rPr>
                <w:szCs w:val="21"/>
              </w:rPr>
            </w:pPr>
            <w:r>
              <w:rPr>
                <w:rFonts w:hint="eastAsia"/>
                <w:szCs w:val="21"/>
              </w:rPr>
              <w:t>经2022年度股东周年大会审议批准，报告期内，公司为兖矿瑞丰提供17.5亿元担保，为青岛中兖贸易有限公司提供2.4亿元担保，为榆林能化提供1.42亿元担保，鄂尔多斯市锋威光电有限公司为内蒙古矿业提供4.59亿元担保。</w:t>
            </w:r>
          </w:p>
          <w:p>
            <w:pPr>
              <w:autoSpaceDE w:val="0"/>
              <w:autoSpaceDN w:val="0"/>
              <w:adjustRightInd w:val="0"/>
              <w:jc w:val="both"/>
              <w:rPr>
                <w:szCs w:val="21"/>
              </w:rPr>
            </w:pPr>
            <w:r>
              <w:rPr>
                <w:rFonts w:hint="eastAsia"/>
                <w:szCs w:val="21"/>
              </w:rPr>
              <w:t>经2023年度股东周年大会审议批准，鲁西矿业为全资子公司山东李楼煤业有限公司提供2亿元担保。截至2024年12月31日，上述担保余额分别为1.38亿元。</w:t>
            </w:r>
          </w:p>
          <w:p>
            <w:pPr>
              <w:autoSpaceDE w:val="0"/>
              <w:autoSpaceDN w:val="0"/>
              <w:adjustRightInd w:val="0"/>
              <w:jc w:val="both"/>
              <w:rPr>
                <w:szCs w:val="21"/>
              </w:rPr>
            </w:pPr>
            <w:r>
              <w:rPr>
                <w:rFonts w:hint="eastAsia"/>
                <w:szCs w:val="21"/>
              </w:rPr>
              <w:t>经2023年度股东周年大会审议批准，兖煤澳洲及其子公司每年向兖矿能源澳洲附属公司提供不超过15亿澳元日常经营担保额度。报告期内，兖煤澳洲及其子公司因经营必需共发生履约押金和保函3.50亿澳元。</w:t>
            </w:r>
          </w:p>
        </w:tc>
      </w:tr>
    </w:tbl>
    <w:bookmarkEnd w:id="200"/>
    <w:p>
      <w:pPr>
        <w:pStyle w:val="afffffffffffff8"/>
      </w:pPr>
      <w:r>
        <w:rPr>
          <w:rFonts w:hint="eastAsia"/>
        </w:rPr>
        <w:t>注：上表乃按中国会计准则编制，并按照1美元=7.1884元人民币、1澳元=4.5070元人民币汇率进行计算。除上述披露外，公司不存在报告期内履行的及尚未履行完毕的担保合同</w:t>
      </w:r>
    </w:p>
    <w:p>
      <w:pPr>
        <w:pStyle w:val="afffffffffffff8"/>
      </w:pPr>
    </w:p>
    <w:p>
      <w:pPr>
        <w:sectPr>
          <w:pgSz w:w="16838" w:h="11906" w:orient="landscape"/>
          <w:pgMar w:top="1797" w:right="1525" w:bottom="1276" w:left="1440" w:header="855" w:footer="992" w:gutter="0"/>
          <w:cols w:space="425"/>
          <w:docGrid w:linePitch="312"/>
        </w:sectPr>
      </w:pPr>
    </w:p>
    <w:p>
      <w:pPr>
        <w:rPr>
          <w:rFonts w:asciiTheme="minorEastAsia" w:eastAsiaTheme="minorEastAsia" w:hAnsiTheme="minorEastAsia"/>
          <w:szCs w:val="21"/>
        </w:rPr>
      </w:pPr>
    </w:p>
    <w:p>
      <w:pPr>
        <w:pStyle w:val="afffffff1"/>
        <w:numPr>
          <w:ilvl w:val="0"/>
          <w:numId w:val="49"/>
        </w:numPr>
        <w:rPr>
          <w:szCs w:val="21"/>
        </w:rPr>
      </w:pPr>
      <w:r>
        <w:rPr>
          <w:szCs w:val="21"/>
        </w:rPr>
        <w:t>委托他人进行现金资产管理的情况</w:t>
      </w:r>
    </w:p>
    <w:p>
      <w:pPr>
        <w:pStyle w:val="afffffffffffff8"/>
        <w:numPr>
          <w:ilvl w:val="0"/>
          <w:numId w:val="61"/>
        </w:numPr>
      </w:pPr>
      <w:r>
        <w:rPr>
          <w:rFonts w:hint="eastAsia"/>
        </w:rPr>
        <w:t>委托理财情况</w:t>
      </w:r>
    </w:p>
    <w:p>
      <w:pPr>
        <w:pStyle w:val="afffffff5"/>
        <w:numPr>
          <w:ilvl w:val="0"/>
          <w:numId w:val="50"/>
        </w:numPr>
        <w:ind w:leftChars="0" w:left="357" w:hanging="357"/>
      </w:pPr>
      <w:r>
        <w:t>委托理财总体情况</w:t>
      </w:r>
    </w:p>
    <w:sdt>
      <w:sdtPr>
        <w:rPr>
          <w:rFonts w:hint="eastAsia"/>
        </w:rPr>
        <w:alias w:val="是否适用：委托理财总体情况[双击切换]"/>
        <w:tag w:val="_GBC_939edce711f74cc3bede852019388a3e"/>
        <w:id w:val="1577094141"/>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rPr>
          <w:bCs/>
        </w:rPr>
      </w:pPr>
      <w:r>
        <w:rPr>
          <w:rFonts w:hint="eastAsia"/>
          <w:bCs/>
        </w:rPr>
        <w:t>其他情况</w:t>
      </w:r>
    </w:p>
    <w:sdt>
      <w:sdtPr>
        <w:rPr>
          <w:rFonts w:hint="eastAsia"/>
        </w:rPr>
        <w:alias w:val="是否适用：委托理财总体其他情况[双击切换]"/>
        <w:tag w:val="_GBC_4fb72032e5bd4642bf5eb2d83d5ca874"/>
        <w:id w:val="-1023709422"/>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5"/>
        <w:numPr>
          <w:ilvl w:val="0"/>
          <w:numId w:val="50"/>
        </w:numPr>
        <w:ind w:leftChars="0" w:left="357" w:hanging="357"/>
      </w:pPr>
      <w:r>
        <w:t>单项委托理财情况</w:t>
      </w:r>
    </w:p>
    <w:sdt>
      <w:sdtPr>
        <w:rPr>
          <w:rFonts w:hint="eastAsia"/>
        </w:rPr>
        <w:alias w:val="是否适用：单项委托理财情况[双击切换]"/>
        <w:tag w:val="_GBC_049960b74e79480d8781c2d7d6a997dc"/>
        <w:id w:val="1799105993"/>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rPr>
          <w:bCs/>
        </w:rPr>
      </w:pPr>
      <w:r>
        <w:rPr>
          <w:rFonts w:hint="eastAsia"/>
          <w:bCs/>
        </w:rPr>
        <w:t>其他情况</w:t>
      </w:r>
    </w:p>
    <w:sdt>
      <w:sdtPr>
        <w:rPr>
          <w:rFonts w:hint="eastAsia"/>
        </w:rPr>
        <w:alias w:val="是否适用：单项委托理财其他情况[双击切换]"/>
        <w:tag w:val="_GBC_627c77e5ab674442a3b768741f653602"/>
        <w:id w:val="-1058935952"/>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5"/>
        <w:numPr>
          <w:ilvl w:val="0"/>
          <w:numId w:val="50"/>
        </w:numPr>
        <w:ind w:leftChars="0" w:left="357" w:hanging="357"/>
      </w:pPr>
      <w:r>
        <w:t>委托理财减值准备</w:t>
      </w:r>
    </w:p>
    <w:sdt>
      <w:sdtPr>
        <w:rPr>
          <w:rFonts w:hint="eastAsia"/>
        </w:rPr>
        <w:alias w:val="是否适用：委托理财减值准备[双击切换]"/>
        <w:tag w:val="_GBC_8db4f6600a6746739610ffaaa34abeac"/>
        <w:id w:val="-1611431614"/>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ffffff8"/>
        <w:numPr>
          <w:ilvl w:val="0"/>
          <w:numId w:val="61"/>
        </w:numPr>
      </w:pPr>
      <w:r>
        <w:rPr>
          <w:rFonts w:hint="eastAsia"/>
        </w:rPr>
        <w:t>委托贷款情况</w:t>
      </w:r>
    </w:p>
    <w:p>
      <w:pPr>
        <w:pStyle w:val="afffffff5"/>
        <w:numPr>
          <w:ilvl w:val="0"/>
          <w:numId w:val="51"/>
        </w:numPr>
        <w:ind w:leftChars="0" w:left="357" w:hanging="357"/>
      </w:pPr>
      <w:r>
        <w:t>委托贷款总体情况</w:t>
      </w:r>
    </w:p>
    <w:sdt>
      <w:sdtPr>
        <w:rPr>
          <w:rFonts w:hint="eastAsia"/>
        </w:rPr>
        <w:alias w:val="是否适用：委托贷款总体情况[双击切换]"/>
        <w:tag w:val="_GBC_6f663504a9e74d5c978e23554b4b84e4"/>
        <w:id w:val="300360397"/>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rPr>
          <w:bCs/>
        </w:rPr>
      </w:pPr>
      <w:r>
        <w:rPr>
          <w:rFonts w:hint="eastAsia"/>
          <w:bCs/>
        </w:rPr>
        <w:t>其他情况</w:t>
      </w:r>
    </w:p>
    <w:sdt>
      <w:sdtPr>
        <w:rPr>
          <w:rFonts w:hint="eastAsia"/>
        </w:rPr>
        <w:alias w:val="是否适用：委托贷款总体其他情况[双击切换]"/>
        <w:tag w:val="_GBC_a071e3ce40374c6bb1b2f2dc2158413e"/>
        <w:id w:val="1569061845"/>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5"/>
        <w:numPr>
          <w:ilvl w:val="0"/>
          <w:numId w:val="51"/>
        </w:numPr>
        <w:ind w:leftChars="0" w:left="357" w:hanging="357"/>
      </w:pPr>
      <w:r>
        <w:t>单项委托贷款情况</w:t>
      </w:r>
    </w:p>
    <w:sdt>
      <w:sdtPr>
        <w:rPr>
          <w:rFonts w:hint="eastAsia"/>
        </w:rPr>
        <w:alias w:val="是否适用：单项委托贷款情况[双击切换]"/>
        <w:tag w:val="_GBC_30b7c4837f704dff80c05190f23d6f3e"/>
        <w:id w:val="-1953471962"/>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rPr>
          <w:bCs/>
        </w:rPr>
      </w:pPr>
      <w:r>
        <w:rPr>
          <w:rFonts w:hint="eastAsia"/>
          <w:bCs/>
        </w:rPr>
        <w:t>其他情况</w:t>
      </w:r>
    </w:p>
    <w:sdt>
      <w:sdtPr>
        <w:rPr>
          <w:rFonts w:hint="eastAsia"/>
        </w:rPr>
        <w:alias w:val="是否适用：单项委托贷款其他情况[双击切换]"/>
        <w:tag w:val="_GBC_7fbd63dcaf8a4899bcd830951796a261"/>
        <w:id w:val="-1674721179"/>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5"/>
        <w:numPr>
          <w:ilvl w:val="0"/>
          <w:numId w:val="51"/>
        </w:numPr>
        <w:ind w:leftChars="0" w:left="357" w:hanging="357"/>
      </w:pPr>
      <w:r>
        <w:t>委托贷款减值</w:t>
      </w:r>
      <w:r>
        <w:rPr>
          <w:rFonts w:hint="eastAsia"/>
        </w:rPr>
        <w:t>准备</w:t>
      </w:r>
    </w:p>
    <w:sdt>
      <w:sdtPr>
        <w:rPr>
          <w:rFonts w:hint="eastAsia"/>
        </w:rPr>
        <w:alias w:val="是否适用：委托贷款减值准备[双击切换]"/>
        <w:tag w:val="_GBC_72dc10eff44f4851bd80447a1199a033"/>
        <w:id w:val="888538346"/>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ffffff8"/>
        <w:numPr>
          <w:ilvl w:val="0"/>
          <w:numId w:val="61"/>
        </w:numPr>
      </w:pPr>
      <w:r>
        <w:rPr>
          <w:rFonts w:hint="eastAsia"/>
        </w:rPr>
        <w:t>其他情况</w:t>
      </w:r>
    </w:p>
    <w:sdt>
      <w:sdtPr>
        <w:rPr>
          <w:rFonts w:hint="eastAsia"/>
        </w:rPr>
        <w:alias w:val="是否适用：委托他人进行现金资产管理的其他情况[双击切换]"/>
        <w:tag w:val="_GBC_c408f1ecbaff4ed08e4dcfbbac8e0ccd"/>
        <w:id w:val="-703173716"/>
        <w:placeholder>
          <w:docPart w:val="GBC22222222222222222222222222222"/>
        </w:placeholder>
      </w:sdtPr>
      <w:sdtContent>
        <w:p>
          <w:pPr>
            <w:pStyle w:val="affffffff"/>
          </w:pPr>
          <w:r>
            <w:fldChar w:fldCharType="begin"/>
          </w:r>
          <w:r>
            <w:rPr>
              <w:rFonts w:hint="eastAsia"/>
            </w:rPr>
            <w:instrText xml:space="preserve"> MACROBUTTON  SnrToggleCheckbox □适用  </w:instrText>
          </w:r>
          <w:r>
            <w:fldChar w:fldCharType="end"/>
          </w:r>
          <w:r>
            <w:fldChar w:fldCharType="begin"/>
          </w:r>
          <w:r>
            <w:rPr>
              <w:rFonts w:hint="eastAsia"/>
            </w:rPr>
            <w:instrText xml:space="preserve"> MACROBUTTON  SnrToggleCheckbox √不适用 </w:instrText>
          </w:r>
          <w:r>
            <w:fldChar w:fldCharType="end"/>
          </w:r>
        </w:p>
      </w:sdtContent>
    </w:sdt>
    <w:p>
      <w:pPr>
        <w:pStyle w:val="affffffff"/>
      </w:pPr>
    </w:p>
    <w:p>
      <w:pPr>
        <w:pStyle w:val="afffffff1"/>
        <w:numPr>
          <w:ilvl w:val="0"/>
          <w:numId w:val="49"/>
        </w:numPr>
        <w:rPr>
          <w:szCs w:val="21"/>
        </w:rPr>
      </w:pPr>
      <w:r>
        <w:rPr>
          <w:szCs w:val="21"/>
        </w:rPr>
        <w:t>其他重大合同</w:t>
      </w:r>
    </w:p>
    <w:sdt>
      <w:sdtPr>
        <w:rPr>
          <w:rFonts w:hint="eastAsia"/>
          <w:szCs w:val="21"/>
        </w:rPr>
        <w:alias w:val="是否适用：其他重大合同[双击切换]"/>
        <w:tag w:val="_GBC_541dd80939ae4bafb641675f942c4c14"/>
        <w:id w:val="-101581851"/>
        <w:placeholder>
          <w:docPart w:val="GBC22222222222222222222222222222"/>
        </w:placeholder>
      </w:sdtPr>
      <w:sdtContent>
        <w:p>
          <w:pPr>
            <w:rPr>
              <w:szCs w:val="21"/>
            </w:rPr>
          </w:pPr>
          <w:r>
            <w:rPr>
              <w:szCs w:val="21"/>
            </w:rPr>
            <w:fldChar w:fldCharType="begin"/>
          </w:r>
          <w:r>
            <w:rPr>
              <w:rFonts w:hint="eastAsia"/>
              <w:szCs w:val="21"/>
            </w:rPr>
            <w:instrText xml:space="preserve"> MACROBUTTON  SnrToggleCheckbox □适用  </w:instrText>
          </w:r>
          <w:r>
            <w:rPr>
              <w:szCs w:val="21"/>
            </w:rPr>
            <w:fldChar w:fldCharType="end"/>
          </w:r>
          <w:r>
            <w:rPr>
              <w:szCs w:val="21"/>
            </w:rPr>
            <w:fldChar w:fldCharType="begin"/>
          </w:r>
          <w:r>
            <w:rPr>
              <w:rFonts w:hint="eastAsia"/>
              <w:szCs w:val="21"/>
            </w:rPr>
            <w:instrText xml:space="preserve"> MACROBUTTON  SnrToggleCheckbox √不适用 </w:instrText>
          </w:r>
          <w:r>
            <w:rPr>
              <w:szCs w:val="21"/>
            </w:rPr>
            <w:fldChar w:fldCharType="end"/>
          </w:r>
        </w:p>
      </w:sdtContent>
    </w:sdt>
    <w:p>
      <w:pPr>
        <w:rPr>
          <w:szCs w:val="21"/>
        </w:rPr>
      </w:pPr>
    </w:p>
    <w:p>
      <w:pPr>
        <w:pStyle w:val="afffffff1"/>
        <w:numPr>
          <w:ilvl w:val="0"/>
          <w:numId w:val="49"/>
        </w:numPr>
        <w:rPr>
          <w:szCs w:val="21"/>
        </w:rPr>
      </w:pPr>
      <w:bookmarkStart w:id="201" w:name="_Hlk72846301"/>
      <w:bookmarkStart w:id="202" w:name="_Hlk182989663"/>
      <w:bookmarkStart w:id="203" w:name="_Hlk170215658"/>
      <w:bookmarkStart w:id="204" w:name="_Hlk170206295"/>
      <w:r>
        <w:rPr>
          <w:szCs w:val="21"/>
        </w:rPr>
        <w:t>其他重大事项</w:t>
      </w:r>
    </w:p>
    <w:p>
      <w:pPr>
        <w:pStyle w:val="afffffffb"/>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控股股东完成增持公司股份计划</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山东能源计划自2023年11月29日起12个月内，通过上交所及香港联交所交易系统，以集</w:t>
      </w:r>
      <w:r>
        <w:rPr>
          <w:rFonts w:asciiTheme="minorEastAsia" w:eastAsiaTheme="minorEastAsia" w:hAnsiTheme="minorEastAsia" w:hint="eastAsia"/>
          <w:szCs w:val="21"/>
        </w:rPr>
        <w:lastRenderedPageBreak/>
        <w:t>中竞价、大宗交易或场内交易等方式增持公司A股和H股股份，累计增持金额不低于3亿元，不超过6亿元,其中：A股股份累计增持金额不低于1亿元，不超过2亿元；H股股份累计增持金额不低于2亿元，不超过4亿元。</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2024年1月22日-2024年11月28日，山东能源通过上交所交易系统及香港联交所交易系统，以集中竞价方式增持公司A股和H股股份共计27,715,380股，增持金额300,202,748.73元（H股股份以港币增持，其中港币兑人民币汇率按增持当日中国人民银行公布的港币兑人民币汇率中间价计算），其中：</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增持公司A股股份6,187,380股，增持金额为100,086,567.70元；</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增持公司H股股份21,528,000股，增持金额为200,116,181.03元。</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截至2024年11月28日，山东能源累计增持公司股份总金额、A股股份金额及H股股份金额均已超过增持计划金额区间下限，本次增持计划已实施完毕。</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2023年11月29日的关于控股股东增持公司股份计划的公告，日期为2024年1月22日的关于控股股东增持计划进展暨首次增持公司股份的公告，日期为2024年1月31日和2024年5月28日的关于控股股东增持计划进展的公告，日期为2024年7月19日的关于控股股东增持计划实施进展暨权益变动的提示性公告，日期为2024年7月26日的关于控股股东增持计划实施进展的公告，以及日期为2024年11月28日的关于控股股东增持计划实施结果的公告。该等资料刊载于上交所网站、香港联交所网站、公司网站及/或《中国证券报》《上海证券报》《证券时报》《证券日报》。</w:t>
      </w:r>
    </w:p>
    <w:p>
      <w:pPr>
        <w:pStyle w:val="afffffffb"/>
        <w:ind w:firstLineChars="200" w:firstLine="420"/>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调整公司部分机构设置</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经公司2024年10月25日召开的第九届董事第十一次会议审议批准，公司调整部分机构设置：主要涉及更改公司部分机构名称、对部分机构进行合并或撤销、成立有关运营公司。</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有关详情请见日期为2024年10月25日的公司《</w:t>
      </w:r>
      <w:r>
        <w:rPr>
          <w:rFonts w:asciiTheme="minorEastAsia" w:eastAsiaTheme="minorEastAsia" w:hAnsiTheme="minorEastAsia"/>
          <w:szCs w:val="21"/>
        </w:rPr>
        <w:t>2024</w:t>
      </w:r>
      <w:r>
        <w:rPr>
          <w:rFonts w:asciiTheme="minorEastAsia" w:eastAsiaTheme="minorEastAsia" w:hAnsiTheme="minorEastAsia" w:hint="eastAsia"/>
          <w:szCs w:val="21"/>
        </w:rPr>
        <w:t>年第三季度报告》，该等资料刊载于上交所网站、香港联交所网站、公司网站及/或《中国证券报》《上海证券报》《证券时报》《证券日报》。</w:t>
      </w:r>
    </w:p>
    <w:p>
      <w:pPr>
        <w:pStyle w:val="afffffffb"/>
        <w:ind w:firstLineChars="200" w:firstLine="420"/>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控股股东发行可交换债券</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2024年9月25日，公司收到控股股东山东能源通知，2024年9月24日，山东能源全资子公司兖矿集团（开曼）有限公司作为发行人，山东能源作为担保人，以山东能源全资子公司兖矿香港公司持有的公司282,697,893股H股股票作为标的股票，在香港联交所定价发行可交换公司债券（“本次可交换债券发行”）,2024年10月3日，本次可交换债券发行已完成。</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9月25日的关于控股股东发行可交换公司债券的提示性公告，日期为2024年10月3日及10月7日的关于控股股东可交换公司债券发行完成的H股/A股公告，该等资料刊载于上交所网站、香港联交所网站、公司网站及/或《中国证券报》《上海证券报》《证券时报》《证券日报》。</w:t>
      </w:r>
    </w:p>
    <w:p>
      <w:pPr>
        <w:pStyle w:val="afffffffb"/>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荣信化工80万吨烯烃项目</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经公司2024年10月25日召开的第九届董事会第十一次会议审议批准，内蒙古荣信化工有限公司按照《年产80万吨烯烃项目基础工程设计》要求，实施80万吨烯烃项目。</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有关详情请见日期为2024年10月25日的关于对外投资的公告，该等资料刊载于上交所网站、香港联交所网站、公司网站及/或《中国证券报》《上海证券报》《证券时报》《证券日报》。</w:t>
      </w:r>
    </w:p>
    <w:p>
      <w:pPr>
        <w:pStyle w:val="afffffffb"/>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收购沙尔夫公司</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经公司总经理办公会审议批准，2024年3月1日，公司与Shareholder Value Management Aktiengesellschaft等10方签署了《股份购买协议-关于出售及购买SMT Scharf AG特定股份》；与Famous Holding GmbH签署了《股份购买协议（Famous）-关于出售及购买SMT Scharf AG特定</w:t>
      </w:r>
      <w:r>
        <w:rPr>
          <w:rFonts w:asciiTheme="minorEastAsia" w:eastAsiaTheme="minorEastAsia" w:hAnsiTheme="minorEastAsia" w:hint="eastAsia"/>
          <w:szCs w:val="21"/>
        </w:rPr>
        <w:lastRenderedPageBreak/>
        <w:t>股份》。公司实际支付转让价款约3,216.95万欧元，取得沙尔夫公司52.66%的股权。</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2024年9月19日，标的股份已完成交割并转让至公司。2024年9月24日，经德国法兰克福证券交易所批准，沙尔夫公司股票正式转换上市板块至法兰克福证券交易所受监管高级市场上市交易，同时在德国法兰克福证券交易所受监管高级市场和慕尼黑证券交易所M：accsess分部上市交易，股票代码均为S188。</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3月1日的关于收购境外公司股权的公告,日期为2024年9月20日的关于收购境外公司股权事项完成交割的公告，日期为2024年9月24日的关于境外控股子公司转换上市板块的公告，该等资料刊载于上交所网站、香港联交所网站、公司网站及/或《中国证券报》《上海证券报》《证券时报》《证券日报》。</w:t>
      </w:r>
    </w:p>
    <w:p>
      <w:pPr>
        <w:pStyle w:val="afffffffb"/>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并购物泊科技</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公司2024年5月31日召开的第九届董事会第八次会议审议批准，公司以现金方式出资约15.5亿元，取得物泊科技45%的股权,同时，福建东沃投资中心（有限合伙）及福建东创投资中心（有限合伙）分别将其所持有的全部物泊科技股权（合计6.32%）所对应的全部表决权独家、无条件且不可撤销地全权授予公司，使得本次交易完成后公司可行使的表决权占物泊科技全部实缴出资的51.32%。本次交易完成后，物泊科技将成为公司的控股子公司，并纳入合并财务报表范围。</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截至本报告披露日，上述交易已完成股权交割及工商变更等程序。</w:t>
      </w:r>
    </w:p>
    <w:p>
      <w:pPr>
        <w:pStyle w:val="afffffffb"/>
        <w:ind w:firstLineChars="200" w:firstLine="420"/>
        <w:rPr>
          <w:rFonts w:asciiTheme="minorEastAsia" w:eastAsiaTheme="minorEastAsia" w:hAnsiTheme="minorEastAsia"/>
          <w:szCs w:val="21"/>
        </w:rPr>
      </w:pP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有关详情请见日期为2024年5月31日的关于并购物泊科技有限公司的公告及2024年7月9日关于并购交易的进一步公告，日期为2024年10月2</w:t>
      </w:r>
      <w:r>
        <w:rPr>
          <w:rFonts w:asciiTheme="minorEastAsia" w:eastAsiaTheme="minorEastAsia" w:hAnsiTheme="minorEastAsia"/>
          <w:szCs w:val="21"/>
        </w:rPr>
        <w:t>4</w:t>
      </w:r>
      <w:r>
        <w:rPr>
          <w:rFonts w:asciiTheme="minorEastAsia" w:eastAsiaTheme="minorEastAsia" w:hAnsiTheme="minorEastAsia" w:hint="eastAsia"/>
          <w:szCs w:val="21"/>
        </w:rPr>
        <w:t>日的关于并购物泊科技有限公司交易进展的公告，该等资料刊载于上交所网站、香港联交所网站、公司网站及/或《中国证券报》《上海证券报》《证券时报》《证券日报》。</w:t>
      </w:r>
    </w:p>
    <w:p>
      <w:pPr>
        <w:pStyle w:val="afffffffb"/>
        <w:ind w:firstLineChars="200" w:firstLine="420"/>
        <w:rPr>
          <w:rFonts w:asciiTheme="minorEastAsia" w:eastAsiaTheme="minorEastAsia" w:hAnsiTheme="minorEastAsia"/>
          <w:szCs w:val="21"/>
        </w:rPr>
      </w:pPr>
    </w:p>
    <w:p>
      <w:pPr>
        <w:pStyle w:val="afffffffb"/>
        <w:ind w:firstLineChars="200" w:firstLine="422"/>
        <w:rPr>
          <w:rFonts w:asciiTheme="minorEastAsia" w:eastAsiaTheme="minorEastAsia" w:hAnsiTheme="minorEastAsia"/>
          <w:b/>
          <w:bCs/>
          <w:szCs w:val="21"/>
        </w:rPr>
      </w:pPr>
      <w:r>
        <w:rPr>
          <w:rFonts w:asciiTheme="minorEastAsia" w:eastAsiaTheme="minorEastAsia" w:hAnsiTheme="minorEastAsia" w:hint="eastAsia"/>
          <w:b/>
          <w:bCs/>
          <w:szCs w:val="21"/>
        </w:rPr>
        <w:t>并购Highfield Resources Limited（“高地资源”）</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经公司总经理办公会审议批准，2024年9月23日，公司与高地资源（一家于澳大利亚证券交易所上市的公司，股份代码：HFR.ASX）签署“Implementation Agreement”（“《实施协议》”）及“Equity Subscription Agreement”（“《股份认购协议》”）。公司通过资产注入和现金认购方式获得高地资源新增发股份，成为交易后高地资源的第一大股东并取得控制权。</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2025年1月15日，公司收到澳大利亚外国投资审查委员会（FIRB）的无异议声明。</w:t>
      </w:r>
    </w:p>
    <w:p>
      <w:pPr>
        <w:ind w:firstLineChars="200" w:firstLine="420"/>
        <w:jc w:val="both"/>
        <w:rPr>
          <w:rFonts w:asciiTheme="minorEastAsia" w:eastAsiaTheme="minorEastAsia" w:hAnsiTheme="minorEastAsia"/>
          <w:szCs w:val="21"/>
        </w:rPr>
      </w:pPr>
      <w:r>
        <w:rPr>
          <w:rFonts w:asciiTheme="minorEastAsia" w:eastAsiaTheme="minorEastAsia" w:hAnsiTheme="minorEastAsia" w:hint="eastAsia"/>
          <w:szCs w:val="21"/>
        </w:rPr>
        <w:t>2025年2月20日，高地资源在期限届满后未收到《加拿大投资法》（“ICA”）适用条款的通知，公司向高地资源转让所持有的兖煤加拿大资源有限公司100%股权事项所需的ICA批准条件已经满足。</w:t>
      </w:r>
    </w:p>
    <w:p>
      <w:pPr>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截至本报告披露日，上述交易仍在推进中，公司将根据相关监管规定适时履行信息披露义务。</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 xml:space="preserve"> </w:t>
      </w:r>
    </w:p>
    <w:p>
      <w:pPr>
        <w:pStyle w:val="afffffffb"/>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有关详情请见日期为2024年7月19日的关于筹划与高地资源战略合作的公告，2024年9月23日的关于并购高地资源的公告，该等资料刊载于上交所网站、香港联交所网站、公司网站及/或《中国证券报》《上海证券报》《证券时报》《证券日报》。</w:t>
      </w:r>
    </w:p>
    <w:p>
      <w:pPr>
        <w:pStyle w:val="afffffffb"/>
        <w:ind w:firstLineChars="200" w:firstLine="420"/>
        <w:rPr>
          <w:rFonts w:asciiTheme="minorEastAsia" w:eastAsiaTheme="minorEastAsia" w:hAnsiTheme="minorEastAsia"/>
          <w:szCs w:val="21"/>
        </w:rPr>
      </w:pPr>
    </w:p>
    <w:p>
      <w:pPr>
        <w:pStyle w:val="afffffffb"/>
        <w:ind w:firstLineChars="200" w:firstLine="422"/>
        <w:rPr>
          <w:rFonts w:ascii="宋体" w:hAnsi="宋体"/>
          <w:b/>
          <w:bCs/>
          <w:color w:val="000000"/>
          <w:kern w:val="0"/>
          <w:szCs w:val="21"/>
        </w:rPr>
      </w:pPr>
      <w:r>
        <w:rPr>
          <w:rFonts w:ascii="宋体" w:hAnsi="宋体" w:hint="eastAsia"/>
          <w:b/>
          <w:bCs/>
          <w:color w:val="000000"/>
          <w:kern w:val="0"/>
          <w:szCs w:val="21"/>
        </w:rPr>
        <w:t>因出售子公司股权被动形成对外担保</w:t>
      </w:r>
    </w:p>
    <w:p>
      <w:pPr>
        <w:pStyle w:val="afffffffb"/>
        <w:ind w:firstLineChars="200" w:firstLine="420"/>
        <w:rPr>
          <w:rFonts w:ascii="宋体" w:hAnsi="宋体"/>
          <w:color w:val="000000"/>
          <w:kern w:val="0"/>
          <w:szCs w:val="21"/>
        </w:rPr>
      </w:pPr>
      <w:r>
        <w:rPr>
          <w:rFonts w:ascii="宋体" w:hAnsi="宋体" w:hint="eastAsia"/>
          <w:color w:val="000000"/>
          <w:kern w:val="0"/>
          <w:szCs w:val="21"/>
        </w:rPr>
        <w:t>经公司总经理办公会审议批准，兖煤国际转让其通过境外子公司Crouching Tiger Holding Limited所间接持有的烟台金正环保科技有限公司（“金正环保”）45%股权。股权转让完成后，公司不再与金正环保存在股权关系。由于公司为金正环保提供的银行借款担保尚未到期，公司延续为金正环保提供该等被动形成的对外担保。</w:t>
      </w:r>
    </w:p>
    <w:p>
      <w:pPr>
        <w:pStyle w:val="afffffffb"/>
        <w:ind w:firstLineChars="200" w:firstLine="420"/>
        <w:rPr>
          <w:rFonts w:ascii="宋体" w:hAnsi="宋体"/>
          <w:color w:val="000000"/>
          <w:kern w:val="0"/>
          <w:szCs w:val="21"/>
        </w:rPr>
      </w:pPr>
      <w:r>
        <w:rPr>
          <w:rFonts w:ascii="宋体" w:hAnsi="宋体" w:hint="eastAsia"/>
          <w:color w:val="000000"/>
          <w:kern w:val="0"/>
          <w:szCs w:val="21"/>
        </w:rPr>
        <w:t>经公司2024年10月25日召开的2024年度第一次临时股东大会审议批准，同意公司出售金正环保股权被动形成对外担保。</w:t>
      </w:r>
    </w:p>
    <w:p>
      <w:pPr>
        <w:pStyle w:val="afffffffb"/>
        <w:ind w:firstLineChars="200" w:firstLine="420"/>
        <w:rPr>
          <w:rFonts w:ascii="宋体" w:hAnsi="宋体"/>
          <w:color w:val="000000"/>
          <w:kern w:val="0"/>
          <w:szCs w:val="21"/>
        </w:rPr>
      </w:pPr>
      <w:r>
        <w:rPr>
          <w:rFonts w:ascii="宋体" w:hAnsi="宋体" w:hint="eastAsia"/>
          <w:color w:val="000000"/>
          <w:kern w:val="0"/>
          <w:szCs w:val="21"/>
        </w:rPr>
        <w:t xml:space="preserve"> </w:t>
      </w:r>
    </w:p>
    <w:p>
      <w:pPr>
        <w:pStyle w:val="afffffffb"/>
        <w:ind w:firstLineChars="200" w:firstLine="420"/>
        <w:rPr>
          <w:rFonts w:ascii="宋体" w:hAnsi="宋体"/>
          <w:color w:val="000000"/>
          <w:kern w:val="0"/>
          <w:szCs w:val="21"/>
        </w:rPr>
      </w:pPr>
      <w:r>
        <w:rPr>
          <w:rFonts w:ascii="宋体" w:hAnsi="宋体" w:hint="eastAsia"/>
          <w:color w:val="000000"/>
          <w:kern w:val="0"/>
          <w:szCs w:val="21"/>
        </w:rPr>
        <w:t>有关详情请见日期为2024年8月30日的关于出售子公司股权被动形成对外担保的公告，日期为2024年10月25日的2024年度第一次临时股东大会决议公告，该等资料刊载于上交所网站、</w:t>
      </w:r>
      <w:r>
        <w:rPr>
          <w:rFonts w:ascii="宋体" w:hAnsi="宋体" w:hint="eastAsia"/>
          <w:color w:val="000000"/>
          <w:kern w:val="0"/>
          <w:szCs w:val="21"/>
        </w:rPr>
        <w:lastRenderedPageBreak/>
        <w:t>香港联交所网站、公司网站及/或《中国证券报》《上海证券报》《证券时报》《证券日报》。</w:t>
      </w:r>
    </w:p>
    <w:p>
      <w:pPr>
        <w:rPr>
          <w:szCs w:val="21"/>
        </w:rPr>
      </w:pPr>
    </w:p>
    <w:p>
      <w:pPr>
        <w:rPr>
          <w:szCs w:val="21"/>
        </w:rPr>
      </w:pPr>
    </w:p>
    <w:p>
      <w:pPr>
        <w:rPr>
          <w:szCs w:val="21"/>
        </w:rPr>
        <w:sectPr>
          <w:pgSz w:w="11906" w:h="16838"/>
          <w:pgMar w:top="1525" w:right="1276" w:bottom="1440" w:left="1797" w:header="855" w:footer="992" w:gutter="0"/>
          <w:cols w:space="425"/>
          <w:docGrid w:linePitch="312"/>
        </w:sectPr>
      </w:pPr>
    </w:p>
    <w:p>
      <w:pPr>
        <w:rPr>
          <w:szCs w:val="21"/>
        </w:rPr>
      </w:pPr>
    </w:p>
    <w:p>
      <w:pPr>
        <w:pStyle w:val="afffffff"/>
        <w:numPr>
          <w:ilvl w:val="0"/>
          <w:numId w:val="40"/>
        </w:numPr>
      </w:pPr>
      <w:r>
        <w:rPr>
          <w:rFonts w:hint="eastAsia"/>
        </w:rPr>
        <w:t>募集资金使用进展说明</w:t>
      </w:r>
    </w:p>
    <w:sdt>
      <w:sdtPr>
        <w:rPr>
          <w:color w:val="000000" w:themeColor="text1"/>
        </w:rPr>
        <w:alias w:val="是否适用：募集资金使用进展说明[双击切换]"/>
        <w:tag w:val="_GBC_4a9b3f05f0c443b28b4863d3686af0a7"/>
        <w:id w:val="-457560577"/>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afffffff1"/>
        <w:numPr>
          <w:ilvl w:val="0"/>
          <w:numId w:val="52"/>
        </w:numPr>
        <w:tabs>
          <w:tab w:val="left" w:pos="360"/>
        </w:tabs>
        <w:ind w:left="450" w:hanging="450"/>
        <w:rPr>
          <w:rFonts w:ascii="宋体" w:hAnsi="宋体"/>
          <w:color w:val="000000" w:themeColor="text1"/>
        </w:rPr>
      </w:pPr>
      <w:bookmarkStart w:id="205" w:name="_Hlk90391863"/>
      <w:bookmarkStart w:id="206" w:name="_Hlk151129531"/>
      <w:bookmarkStart w:id="207" w:name="_Hlk168575638"/>
      <w:bookmarkStart w:id="208" w:name="_Hlk106290436"/>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819185800"/>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总体使用情况"/>
          <w:tag w:val="_GBC_ad688d771b5e424385610c20e582648e"/>
          <w:id w:val="107185184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p>
    <w:tbl>
      <w:tblPr>
        <w:tblStyle w:val="g5"/>
        <w:tblW w:w="5000" w:type="pct"/>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666"/>
        <w:gridCol w:w="1581"/>
        <w:gridCol w:w="1581"/>
        <w:gridCol w:w="1581"/>
        <w:gridCol w:w="741"/>
        <w:gridCol w:w="1581"/>
        <w:gridCol w:w="741"/>
        <w:gridCol w:w="951"/>
        <w:gridCol w:w="951"/>
        <w:gridCol w:w="1581"/>
        <w:gridCol w:w="1056"/>
        <w:gridCol w:w="426"/>
      </w:tblGrid>
      <w:tr>
        <w:trPr>
          <w:trHeight w:val="996"/>
          <w:jc w:val="center"/>
        </w:trPr>
        <w:sdt>
          <w:sdtPr>
            <w:tag w:val="_PLD_f6f1d998ccd247978de3bf98d3ec7d14"/>
            <w:id w:val="441807247"/>
          </w:sdtPr>
          <w:sdtContent>
            <w:tc>
              <w:tcPr>
                <w:tcW w:w="164" w:type="pct"/>
                <w:shd w:val="clear" w:color="auto" w:fill="auto"/>
                <w:vAlign w:val="center"/>
              </w:tcPr>
              <w:p>
                <w:pPr>
                  <w:jc w:val="center"/>
                  <w:rPr>
                    <w:bCs/>
                    <w:color w:val="000000" w:themeColor="text1"/>
                  </w:rPr>
                </w:pPr>
                <w:r>
                  <w:rPr>
                    <w:rFonts w:hint="eastAsia"/>
                    <w:color w:val="000000" w:themeColor="text1"/>
                  </w:rPr>
                  <w:t>募集资金</w:t>
                </w:r>
                <w:r>
                  <w:rPr>
                    <w:color w:val="000000" w:themeColor="text1"/>
                  </w:rPr>
                  <w:t>来源</w:t>
                </w:r>
              </w:p>
            </w:tc>
          </w:sdtContent>
        </w:sdt>
        <w:tc>
          <w:tcPr>
            <w:tcW w:w="294" w:type="pct"/>
            <w:vAlign w:val="center"/>
          </w:tcPr>
          <w:sdt>
            <w:sdtPr>
              <w:tag w:val="_PLD_d475cde67d434322b3926f8ee6cb6efe"/>
              <w:id w:val="-963199654"/>
            </w:sdtPr>
            <w:sdtContent>
              <w:p>
                <w:pPr>
                  <w:jc w:val="center"/>
                  <w:rPr>
                    <w:bCs/>
                    <w:color w:val="000000" w:themeColor="text1"/>
                  </w:rPr>
                </w:pPr>
                <w:r>
                  <w:rPr>
                    <w:rFonts w:hint="eastAsia"/>
                    <w:color w:val="000000" w:themeColor="text1"/>
                  </w:rPr>
                  <w:t>募集资金到位时间</w:t>
                </w:r>
              </w:p>
            </w:sdtContent>
          </w:sdt>
        </w:tc>
        <w:sdt>
          <w:sdtPr>
            <w:tag w:val="_PLD_252fbd39a9aa4efb883074d613e0a1e1"/>
            <w:id w:val="2138375046"/>
          </w:sdtPr>
          <w:sdtContent>
            <w:tc>
              <w:tcPr>
                <w:tcW w:w="506" w:type="pct"/>
                <w:vAlign w:val="center"/>
              </w:tcPr>
              <w:p>
                <w:pPr>
                  <w:jc w:val="center"/>
                  <w:rPr>
                    <w:bCs/>
                    <w:color w:val="000000" w:themeColor="text1"/>
                  </w:rPr>
                </w:pPr>
                <w:r>
                  <w:rPr>
                    <w:rFonts w:hint="eastAsia"/>
                    <w:color w:val="000000" w:themeColor="text1"/>
                  </w:rPr>
                  <w:t>募集资金总额</w:t>
                </w:r>
              </w:p>
            </w:tc>
          </w:sdtContent>
        </w:sdt>
        <w:sdt>
          <w:sdtPr>
            <w:tag w:val="_PLD_a851d7026a994562b874effec1349b64"/>
            <w:id w:val="1697495256"/>
          </w:sdtPr>
          <w:sdtContent>
            <w:tc>
              <w:tcPr>
                <w:tcW w:w="570" w:type="pct"/>
                <w:shd w:val="clear" w:color="auto" w:fill="auto"/>
                <w:vAlign w:val="center"/>
              </w:tcPr>
              <w:p>
                <w:pPr>
                  <w:jc w:val="center"/>
                  <w:rPr>
                    <w:bCs/>
                    <w:color w:val="000000" w:themeColor="text1"/>
                  </w:rPr>
                </w:pPr>
                <w:r>
                  <w:rPr>
                    <w:rFonts w:hint="eastAsia"/>
                    <w:color w:val="000000" w:themeColor="text1"/>
                  </w:rPr>
                  <w:t>募集资金净额（1）</w:t>
                </w:r>
              </w:p>
            </w:tc>
          </w:sdtContent>
        </w:sdt>
        <w:sdt>
          <w:sdtPr>
            <w:tag w:val="_PLD_6daf672bf88347618659de27fe421de3"/>
            <w:id w:val="-1853567337"/>
          </w:sdtPr>
          <w:sdtContent>
            <w:tc>
              <w:tcPr>
                <w:tcW w:w="570" w:type="pct"/>
                <w:shd w:val="clear" w:color="auto" w:fill="auto"/>
                <w:vAlign w:val="center"/>
              </w:tcPr>
              <w:p>
                <w:pPr>
                  <w:jc w:val="center"/>
                  <w:rPr>
                    <w:bCs/>
                    <w:color w:val="000000" w:themeColor="text1"/>
                  </w:rPr>
                </w:pPr>
                <w:r>
                  <w:rPr>
                    <w:rFonts w:hint="eastAsia"/>
                    <w:color w:val="000000" w:themeColor="text1"/>
                  </w:rPr>
                  <w:t>招股书或募集说明书中募集资金承诺投资总额（2</w:t>
                </w:r>
                <w:r>
                  <w:rPr>
                    <w:color w:val="000000" w:themeColor="text1"/>
                  </w:rPr>
                  <w:t>）</w:t>
                </w:r>
              </w:p>
            </w:tc>
          </w:sdtContent>
        </w:sdt>
        <w:sdt>
          <w:sdtPr>
            <w:tag w:val="_PLD_4457c04ac0cd4c058c1d86573213f47c"/>
            <w:id w:val="-483779797"/>
          </w:sdtPr>
          <w:sdtContent>
            <w:tc>
              <w:tcPr>
                <w:tcW w:w="267" w:type="pct"/>
                <w:vAlign w:val="center"/>
              </w:tcPr>
              <w:p>
                <w:pPr>
                  <w:jc w:val="center"/>
                  <w:rPr>
                    <w:bCs/>
                    <w:color w:val="000000" w:themeColor="text1"/>
                  </w:rPr>
                </w:pPr>
                <w:r>
                  <w:rPr>
                    <w:rFonts w:hint="eastAsia"/>
                    <w:color w:val="000000" w:themeColor="text1"/>
                  </w:rPr>
                  <w:t>超募资金总额（</w:t>
                </w:r>
                <w:r>
                  <w:rPr>
                    <w:color w:val="000000" w:themeColor="text1"/>
                  </w:rPr>
                  <w:t>3）=（1）-（2）</w:t>
                </w:r>
              </w:p>
            </w:tc>
          </w:sdtContent>
        </w:sdt>
        <w:sdt>
          <w:sdtPr>
            <w:tag w:val="_PLD_2001aaa3bce24644967289df40b3ceb9"/>
            <w:id w:val="-1805920111"/>
          </w:sdtPr>
          <w:sdtContent>
            <w:tc>
              <w:tcPr>
                <w:tcW w:w="570" w:type="pct"/>
                <w:shd w:val="clear" w:color="auto" w:fill="auto"/>
                <w:vAlign w:val="center"/>
              </w:tcPr>
              <w:p>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累计投入募集资金总额（4）</w:t>
                </w:r>
              </w:p>
            </w:tc>
          </w:sdtContent>
        </w:sdt>
        <w:sdt>
          <w:sdtPr>
            <w:tag w:val="_PLD_287b63bde2f94d56bd75a4879a66d85a"/>
            <w:id w:val="-1795435842"/>
          </w:sdtPr>
          <w:sdtContent>
            <w:tc>
              <w:tcPr>
                <w:tcW w:w="267" w:type="pct"/>
                <w:vAlign w:val="center"/>
              </w:tcPr>
              <w:p>
                <w:pPr>
                  <w:jc w:val="center"/>
                  <w:rPr>
                    <w:bCs/>
                    <w:color w:val="000000" w:themeColor="text1"/>
                  </w:rPr>
                </w:pPr>
                <w:r>
                  <w:rPr>
                    <w:rFonts w:hint="eastAsia"/>
                    <w:color w:val="000000" w:themeColor="text1"/>
                  </w:rPr>
                  <w:t>其中：截至报告期末超募资金累计投入总额</w:t>
                </w:r>
                <w:r>
                  <w:rPr>
                    <w:color w:val="000000" w:themeColor="text1"/>
                  </w:rPr>
                  <w:t xml:space="preserve"> （5）</w:t>
                </w:r>
              </w:p>
            </w:tc>
          </w:sdtContent>
        </w:sdt>
        <w:sdt>
          <w:sdtPr>
            <w:tag w:val="_PLD_893378377fcf4f1b98058ddbe54894ac"/>
            <w:id w:val="971168251"/>
          </w:sdtPr>
          <w:sdtContent>
            <w:tc>
              <w:tcPr>
                <w:tcW w:w="343" w:type="pct"/>
                <w:shd w:val="clear" w:color="auto" w:fill="auto"/>
                <w:vAlign w:val="center"/>
              </w:tcPr>
              <w:p>
                <w:pPr>
                  <w:jc w:val="center"/>
                  <w:rPr>
                    <w:bCs/>
                    <w:color w:val="000000" w:themeColor="text1"/>
                  </w:rPr>
                </w:pPr>
                <w:r>
                  <w:rPr>
                    <w:rFonts w:hint="eastAsia"/>
                    <w:color w:val="000000" w:themeColor="text1"/>
                  </w:rPr>
                  <w:t>截至报告期末募集资金累计投入进度（</w:t>
                </w:r>
                <w:r>
                  <w:rPr>
                    <w:color w:val="000000" w:themeColor="text1"/>
                  </w:rPr>
                  <w:t>%）(6)＝(4)/(1)</w:t>
                </w:r>
              </w:p>
            </w:tc>
          </w:sdtContent>
        </w:sdt>
        <w:sdt>
          <w:sdtPr>
            <w:tag w:val="_PLD_18e3fddd7206486287c3bd864b934e3a"/>
            <w:id w:val="-396593847"/>
          </w:sdtPr>
          <w:sdtContent>
            <w:tc>
              <w:tcPr>
                <w:tcW w:w="343" w:type="pct"/>
                <w:vAlign w:val="center"/>
              </w:tcPr>
              <w:p>
                <w:pPr>
                  <w:jc w:val="center"/>
                  <w:rPr>
                    <w:bCs/>
                    <w:color w:val="000000" w:themeColor="text1"/>
                  </w:rPr>
                </w:pPr>
                <w:r>
                  <w:rPr>
                    <w:rFonts w:hint="eastAsia"/>
                    <w:color w:val="000000" w:themeColor="text1"/>
                  </w:rPr>
                  <w:t>截至报告期末超募资金累计投入进度（</w:t>
                </w:r>
                <w:r>
                  <w:rPr>
                    <w:color w:val="000000" w:themeColor="text1"/>
                  </w:rPr>
                  <w:t>%）(7)＝(5)/(3)</w:t>
                </w:r>
              </w:p>
            </w:tc>
          </w:sdtContent>
        </w:sdt>
        <w:sdt>
          <w:sdtPr>
            <w:tag w:val="_PLD_5a5a62f015214297bbf828465bfbc8f4"/>
            <w:id w:val="-892734249"/>
          </w:sdtPr>
          <w:sdtContent>
            <w:tc>
              <w:tcPr>
                <w:tcW w:w="570" w:type="pct"/>
                <w:shd w:val="clear" w:color="auto" w:fill="auto"/>
                <w:vAlign w:val="center"/>
              </w:tcPr>
              <w:p>
                <w:pPr>
                  <w:jc w:val="center"/>
                  <w:rPr>
                    <w:bCs/>
                    <w:color w:val="000000" w:themeColor="text1"/>
                  </w:rPr>
                </w:pPr>
                <w:r>
                  <w:rPr>
                    <w:rFonts w:hint="eastAsia"/>
                    <w:color w:val="000000" w:themeColor="text1"/>
                  </w:rPr>
                  <w:t>本年度投入金额（8）</w:t>
                </w:r>
              </w:p>
            </w:tc>
          </w:sdtContent>
        </w:sdt>
        <w:sdt>
          <w:sdtPr>
            <w:tag w:val="_PLD_36978a8c17d4468c9ed997ff6b3b41b7"/>
            <w:id w:val="974181018"/>
          </w:sdtPr>
          <w:sdtContent>
            <w:tc>
              <w:tcPr>
                <w:tcW w:w="381" w:type="pct"/>
                <w:shd w:val="clear" w:color="auto" w:fill="auto"/>
                <w:vAlign w:val="center"/>
              </w:tcPr>
              <w:p>
                <w:pPr>
                  <w:jc w:val="center"/>
                  <w:rPr>
                    <w:bCs/>
                    <w:color w:val="000000" w:themeColor="text1"/>
                  </w:rPr>
                </w:pPr>
                <w:r>
                  <w:rPr>
                    <w:rFonts w:hint="eastAsia"/>
                    <w:color w:val="000000" w:themeColor="text1"/>
                  </w:rPr>
                  <w:t>本年度投入金额占比（%）（</w:t>
                </w:r>
                <w:r>
                  <w:rPr>
                    <w:color w:val="000000" w:themeColor="text1"/>
                  </w:rPr>
                  <w:t>9）=(</w:t>
                </w:r>
                <w:r>
                  <w:rPr>
                    <w:rFonts w:hint="eastAsia"/>
                    <w:color w:val="000000" w:themeColor="text1"/>
                  </w:rPr>
                  <w:t>8</w:t>
                </w:r>
                <w:r>
                  <w:rPr>
                    <w:color w:val="000000" w:themeColor="text1"/>
                  </w:rPr>
                  <w:t>)/(1)</w:t>
                </w:r>
              </w:p>
            </w:tc>
          </w:sdtContent>
        </w:sdt>
        <w:tc>
          <w:tcPr>
            <w:tcW w:w="154" w:type="pct"/>
            <w:vAlign w:val="center"/>
          </w:tcPr>
          <w:sdt>
            <w:sdtPr>
              <w:tag w:val="_PLD_387eaf1380e44b8ab68c14cd62262945"/>
              <w:id w:val="-687909006"/>
            </w:sdtPr>
            <w:sdtContent>
              <w:p>
                <w:pPr>
                  <w:jc w:val="center"/>
                  <w:rPr>
                    <w:bCs/>
                    <w:color w:val="000000" w:themeColor="text1"/>
                  </w:rPr>
                </w:pPr>
                <w:r>
                  <w:rPr>
                    <w:rFonts w:hint="eastAsia"/>
                    <w:color w:val="000000" w:themeColor="text1"/>
                  </w:rPr>
                  <w:t>变更用途的募集资金总额</w:t>
                </w:r>
              </w:p>
            </w:sdtContent>
          </w:sdt>
        </w:tc>
      </w:tr>
      <w:tr>
        <w:trPr>
          <w:trHeight w:val="194"/>
          <w:jc w:val="center"/>
        </w:trPr>
        <w:bookmarkStart w:id="209" w:name="_Hlk169881517" w:displacedByCustomXml="next"/>
        <w:sdt>
          <w:sdtPr>
            <w:rPr>
              <w:bCs/>
              <w:color w:val="000000" w:themeColor="text1"/>
            </w:rPr>
            <w:alias w:val="募集资金整体使用情况_募集资金来源"/>
            <w:tag w:val="_GBC_c7eb32810fc5438a8c61d8f1cff9aaf5"/>
            <w:id w:val="300043041"/>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164" w:type="pct"/>
                <w:shd w:val="clear" w:color="auto" w:fill="auto"/>
                <w:vAlign w:val="center"/>
              </w:tcPr>
              <w:p>
                <w:pPr>
                  <w:rPr>
                    <w:bCs/>
                    <w:color w:val="000000" w:themeColor="text1"/>
                  </w:rPr>
                </w:pPr>
                <w:r>
                  <w:rPr>
                    <w:bCs/>
                    <w:color w:val="000000" w:themeColor="text1"/>
                  </w:rPr>
                  <w:t>向特定对象发行股票</w:t>
                </w:r>
              </w:p>
            </w:tc>
          </w:sdtContent>
        </w:sdt>
        <w:tc>
          <w:tcPr>
            <w:tcW w:w="294" w:type="pct"/>
            <w:vAlign w:val="center"/>
          </w:tcPr>
          <w:p>
            <w:pPr>
              <w:jc w:val="center"/>
              <w:rPr>
                <w:bCs/>
                <w:color w:val="000000" w:themeColor="text1"/>
                <w:spacing w:val="-20"/>
              </w:rPr>
            </w:pPr>
            <w:r>
              <w:rPr>
                <w:rFonts w:hint="eastAsia"/>
                <w:bCs/>
                <w:color w:val="000000" w:themeColor="text1"/>
                <w:spacing w:val="-20"/>
              </w:rPr>
              <w:t>2024年6月12日</w:t>
            </w:r>
          </w:p>
        </w:tc>
        <w:tc>
          <w:tcPr>
            <w:tcW w:w="506" w:type="pct"/>
            <w:vAlign w:val="center"/>
          </w:tcPr>
          <w:p>
            <w:pPr>
              <w:jc w:val="right"/>
              <w:rPr>
                <w:bCs/>
              </w:rPr>
            </w:pPr>
            <w:r>
              <w:rPr>
                <w:rFonts w:hint="eastAsia"/>
                <w:bCs/>
              </w:rPr>
              <w:t>4,514,111,000</w:t>
            </w:r>
          </w:p>
        </w:tc>
        <w:tc>
          <w:tcPr>
            <w:tcW w:w="570" w:type="pct"/>
            <w:shd w:val="clear" w:color="auto" w:fill="auto"/>
            <w:vAlign w:val="center"/>
          </w:tcPr>
          <w:p>
            <w:pPr>
              <w:jc w:val="right"/>
              <w:rPr>
                <w:bCs/>
              </w:rPr>
            </w:pPr>
            <w:r>
              <w:rPr>
                <w:rFonts w:hint="eastAsia"/>
                <w:bCs/>
              </w:rPr>
              <w:t>4,489,739,100</w:t>
            </w:r>
          </w:p>
        </w:tc>
        <w:tc>
          <w:tcPr>
            <w:tcW w:w="570" w:type="pct"/>
            <w:shd w:val="clear" w:color="auto" w:fill="auto"/>
            <w:vAlign w:val="center"/>
          </w:tcPr>
          <w:p>
            <w:pPr>
              <w:jc w:val="right"/>
              <w:rPr>
                <w:bCs/>
              </w:rPr>
            </w:pPr>
            <w:r>
              <w:rPr>
                <w:rFonts w:hint="eastAsia"/>
                <w:bCs/>
              </w:rPr>
              <w:t>4,489,739,100</w:t>
            </w:r>
          </w:p>
        </w:tc>
        <w:tc>
          <w:tcPr>
            <w:tcW w:w="267" w:type="pct"/>
            <w:vAlign w:val="center"/>
          </w:tcPr>
          <w:p>
            <w:pPr>
              <w:jc w:val="right"/>
              <w:rPr>
                <w:bCs/>
              </w:rPr>
            </w:pPr>
            <w:r>
              <w:rPr>
                <w:rFonts w:hint="eastAsia"/>
                <w:bCs/>
              </w:rPr>
              <w:t>0</w:t>
            </w:r>
          </w:p>
        </w:tc>
        <w:tc>
          <w:tcPr>
            <w:tcW w:w="570" w:type="pct"/>
            <w:shd w:val="clear" w:color="auto" w:fill="auto"/>
            <w:vAlign w:val="center"/>
          </w:tcPr>
          <w:p>
            <w:pPr>
              <w:jc w:val="right"/>
              <w:rPr>
                <w:bCs/>
              </w:rPr>
            </w:pPr>
            <w:r>
              <w:rPr>
                <w:rFonts w:hint="eastAsia"/>
                <w:bCs/>
              </w:rPr>
              <w:t>4,489,739,100</w:t>
            </w:r>
          </w:p>
        </w:tc>
        <w:tc>
          <w:tcPr>
            <w:tcW w:w="267" w:type="pct"/>
            <w:vAlign w:val="center"/>
          </w:tcPr>
          <w:p>
            <w:pPr>
              <w:jc w:val="right"/>
              <w:rPr>
                <w:bCs/>
              </w:rPr>
            </w:pPr>
            <w:r>
              <w:rPr>
                <w:rFonts w:hint="eastAsia"/>
                <w:bCs/>
              </w:rPr>
              <w:t>0</w:t>
            </w:r>
          </w:p>
        </w:tc>
        <w:tc>
          <w:tcPr>
            <w:tcW w:w="343" w:type="pct"/>
            <w:shd w:val="clear" w:color="auto" w:fill="auto"/>
            <w:vAlign w:val="center"/>
          </w:tcPr>
          <w:p>
            <w:pPr>
              <w:jc w:val="right"/>
              <w:rPr>
                <w:bCs/>
              </w:rPr>
            </w:pPr>
            <w:r>
              <w:rPr>
                <w:rFonts w:hint="eastAsia"/>
                <w:bCs/>
              </w:rPr>
              <w:t>100</w:t>
            </w:r>
          </w:p>
        </w:tc>
        <w:tc>
          <w:tcPr>
            <w:tcW w:w="343" w:type="pct"/>
            <w:vAlign w:val="center"/>
          </w:tcPr>
          <w:p>
            <w:pPr>
              <w:jc w:val="right"/>
              <w:rPr>
                <w:bCs/>
              </w:rPr>
            </w:pPr>
            <w:r>
              <w:rPr>
                <w:rFonts w:hint="eastAsia"/>
                <w:bCs/>
              </w:rPr>
              <w:t>0</w:t>
            </w:r>
          </w:p>
        </w:tc>
        <w:tc>
          <w:tcPr>
            <w:tcW w:w="570" w:type="pct"/>
            <w:shd w:val="clear" w:color="auto" w:fill="auto"/>
            <w:vAlign w:val="center"/>
          </w:tcPr>
          <w:p>
            <w:pPr>
              <w:jc w:val="right"/>
              <w:rPr>
                <w:bCs/>
              </w:rPr>
            </w:pPr>
            <w:r>
              <w:rPr>
                <w:rFonts w:hint="eastAsia"/>
                <w:bCs/>
              </w:rPr>
              <w:t>4,489,739,100</w:t>
            </w:r>
          </w:p>
        </w:tc>
        <w:tc>
          <w:tcPr>
            <w:tcW w:w="381" w:type="pct"/>
            <w:shd w:val="clear" w:color="auto" w:fill="auto"/>
            <w:vAlign w:val="center"/>
          </w:tcPr>
          <w:p>
            <w:pPr>
              <w:jc w:val="right"/>
              <w:rPr>
                <w:bCs/>
              </w:rPr>
            </w:pPr>
            <w:r>
              <w:rPr>
                <w:rFonts w:hint="eastAsia"/>
                <w:bCs/>
              </w:rPr>
              <w:t>100</w:t>
            </w:r>
          </w:p>
        </w:tc>
        <w:tc>
          <w:tcPr>
            <w:tcW w:w="154" w:type="pct"/>
            <w:vAlign w:val="center"/>
          </w:tcPr>
          <w:p>
            <w:pPr>
              <w:jc w:val="right"/>
              <w:rPr>
                <w:bCs/>
              </w:rPr>
            </w:pPr>
            <w:r>
              <w:rPr>
                <w:rFonts w:hint="eastAsia"/>
                <w:bCs/>
              </w:rPr>
              <w:t>0</w:t>
            </w:r>
          </w:p>
        </w:tc>
      </w:tr>
      <w:bookmarkEnd w:id="209"/>
      <w:tr>
        <w:trPr>
          <w:trHeight w:val="194"/>
          <w:jc w:val="center"/>
        </w:trPr>
        <w:tc>
          <w:tcPr>
            <w:tcW w:w="164" w:type="pct"/>
            <w:shd w:val="clear" w:color="auto" w:fill="auto"/>
            <w:vAlign w:val="center"/>
          </w:tcPr>
          <w:p>
            <w:pPr>
              <w:jc w:val="center"/>
              <w:rPr>
                <w:bCs/>
                <w:color w:val="000000" w:themeColor="text1"/>
              </w:rPr>
            </w:pPr>
            <w:r>
              <w:rPr>
                <w:rFonts w:hint="eastAsia"/>
                <w:color w:val="000000" w:themeColor="text1"/>
              </w:rPr>
              <w:t>合计</w:t>
            </w:r>
          </w:p>
        </w:tc>
        <w:tc>
          <w:tcPr>
            <w:tcW w:w="294" w:type="pct"/>
            <w:vAlign w:val="center"/>
          </w:tcPr>
          <w:p>
            <w:pPr>
              <w:jc w:val="right"/>
              <w:rPr>
                <w:bCs/>
                <w:color w:val="000000" w:themeColor="text1"/>
              </w:rPr>
            </w:pPr>
            <w:r>
              <w:rPr>
                <w:color w:val="000000" w:themeColor="text1"/>
              </w:rPr>
              <w:t>/</w:t>
            </w:r>
          </w:p>
        </w:tc>
        <w:tc>
          <w:tcPr>
            <w:tcW w:w="506" w:type="pct"/>
            <w:vAlign w:val="center"/>
          </w:tcPr>
          <w:p>
            <w:pPr>
              <w:jc w:val="right"/>
              <w:rPr>
                <w:bCs/>
              </w:rPr>
            </w:pPr>
            <w:r>
              <w:rPr>
                <w:rFonts w:hint="eastAsia"/>
                <w:bCs/>
              </w:rPr>
              <w:t>4,514,111,000</w:t>
            </w:r>
          </w:p>
        </w:tc>
        <w:tc>
          <w:tcPr>
            <w:tcW w:w="570" w:type="pct"/>
            <w:shd w:val="clear" w:color="auto" w:fill="auto"/>
            <w:vAlign w:val="center"/>
          </w:tcPr>
          <w:p>
            <w:pPr>
              <w:jc w:val="right"/>
              <w:rPr>
                <w:bCs/>
              </w:rPr>
            </w:pPr>
            <w:r>
              <w:rPr>
                <w:rFonts w:hint="eastAsia"/>
                <w:bCs/>
              </w:rPr>
              <w:t>4,489,739,100</w:t>
            </w:r>
          </w:p>
        </w:tc>
        <w:tc>
          <w:tcPr>
            <w:tcW w:w="570" w:type="pct"/>
            <w:shd w:val="clear" w:color="auto" w:fill="auto"/>
            <w:vAlign w:val="center"/>
          </w:tcPr>
          <w:p>
            <w:pPr>
              <w:jc w:val="right"/>
              <w:rPr>
                <w:bCs/>
              </w:rPr>
            </w:pPr>
            <w:r>
              <w:rPr>
                <w:rFonts w:hint="eastAsia"/>
                <w:bCs/>
              </w:rPr>
              <w:t>4,489,739,100</w:t>
            </w:r>
          </w:p>
        </w:tc>
        <w:tc>
          <w:tcPr>
            <w:tcW w:w="267" w:type="pct"/>
            <w:vAlign w:val="center"/>
          </w:tcPr>
          <w:p>
            <w:pPr>
              <w:jc w:val="right"/>
              <w:rPr>
                <w:bCs/>
              </w:rPr>
            </w:pPr>
            <w:r>
              <w:rPr>
                <w:rFonts w:hint="eastAsia"/>
                <w:bCs/>
              </w:rPr>
              <w:t>0</w:t>
            </w:r>
          </w:p>
        </w:tc>
        <w:tc>
          <w:tcPr>
            <w:tcW w:w="570" w:type="pct"/>
            <w:shd w:val="clear" w:color="auto" w:fill="auto"/>
            <w:vAlign w:val="center"/>
          </w:tcPr>
          <w:p>
            <w:pPr>
              <w:jc w:val="right"/>
              <w:rPr>
                <w:bCs/>
              </w:rPr>
            </w:pPr>
            <w:r>
              <w:rPr>
                <w:rFonts w:hint="eastAsia"/>
                <w:bCs/>
              </w:rPr>
              <w:t>4,489,739,100</w:t>
            </w:r>
          </w:p>
        </w:tc>
        <w:tc>
          <w:tcPr>
            <w:tcW w:w="267" w:type="pct"/>
            <w:vAlign w:val="center"/>
          </w:tcPr>
          <w:p>
            <w:pPr>
              <w:jc w:val="right"/>
              <w:rPr>
                <w:bCs/>
              </w:rPr>
            </w:pPr>
            <w:r>
              <w:rPr>
                <w:rFonts w:hint="eastAsia"/>
                <w:bCs/>
              </w:rPr>
              <w:t>0</w:t>
            </w:r>
          </w:p>
        </w:tc>
        <w:tc>
          <w:tcPr>
            <w:tcW w:w="343" w:type="pct"/>
            <w:shd w:val="clear" w:color="auto" w:fill="auto"/>
            <w:vAlign w:val="center"/>
          </w:tcPr>
          <w:p>
            <w:pPr>
              <w:jc w:val="right"/>
              <w:rPr>
                <w:bCs/>
                <w:color w:val="000000" w:themeColor="text1"/>
              </w:rPr>
            </w:pPr>
            <w:r>
              <w:rPr>
                <w:color w:val="000000" w:themeColor="text1"/>
              </w:rPr>
              <w:t>/</w:t>
            </w:r>
          </w:p>
        </w:tc>
        <w:tc>
          <w:tcPr>
            <w:tcW w:w="343" w:type="pct"/>
            <w:vAlign w:val="center"/>
          </w:tcPr>
          <w:p>
            <w:pPr>
              <w:jc w:val="right"/>
              <w:rPr>
                <w:bCs/>
                <w:color w:val="000000" w:themeColor="text1"/>
              </w:rPr>
            </w:pPr>
            <w:r>
              <w:rPr>
                <w:color w:val="000000" w:themeColor="text1"/>
              </w:rPr>
              <w:t>/</w:t>
            </w:r>
          </w:p>
        </w:tc>
        <w:tc>
          <w:tcPr>
            <w:tcW w:w="570" w:type="pct"/>
            <w:shd w:val="clear" w:color="auto" w:fill="auto"/>
            <w:vAlign w:val="center"/>
          </w:tcPr>
          <w:p>
            <w:pPr>
              <w:jc w:val="right"/>
              <w:rPr>
                <w:bCs/>
              </w:rPr>
            </w:pPr>
            <w:r>
              <w:rPr>
                <w:rFonts w:hint="eastAsia"/>
                <w:bCs/>
              </w:rPr>
              <w:t>4,489,739,100</w:t>
            </w:r>
          </w:p>
        </w:tc>
        <w:tc>
          <w:tcPr>
            <w:tcW w:w="381" w:type="pct"/>
            <w:shd w:val="clear" w:color="auto" w:fill="auto"/>
            <w:vAlign w:val="center"/>
          </w:tcPr>
          <w:p>
            <w:pPr>
              <w:jc w:val="right"/>
              <w:rPr>
                <w:bCs/>
                <w:color w:val="000000" w:themeColor="text1"/>
              </w:rPr>
            </w:pPr>
            <w:r>
              <w:rPr>
                <w:color w:val="000000" w:themeColor="text1"/>
              </w:rPr>
              <w:t>/</w:t>
            </w:r>
          </w:p>
        </w:tc>
        <w:tc>
          <w:tcPr>
            <w:tcW w:w="154" w:type="pct"/>
            <w:vAlign w:val="center"/>
          </w:tcPr>
          <w:p>
            <w:pPr>
              <w:jc w:val="right"/>
              <w:rPr>
                <w:bCs/>
              </w:rPr>
            </w:pPr>
            <w:r>
              <w:rPr>
                <w:rFonts w:hint="eastAsia"/>
                <w:bCs/>
              </w:rPr>
              <w:t>0</w:t>
            </w:r>
          </w:p>
        </w:tc>
      </w:tr>
    </w:tbl>
    <w:p>
      <w:pPr>
        <w:rPr>
          <w:color w:val="000000" w:themeColor="text1"/>
        </w:rPr>
      </w:pPr>
    </w:p>
    <w:p>
      <w:pPr>
        <w:pStyle w:val="affffffff"/>
      </w:pPr>
      <w:bookmarkStart w:id="210" w:name="_Hlk184400120"/>
      <w:bookmarkEnd w:id="205"/>
      <w:r>
        <w:rPr>
          <w:rFonts w:hint="eastAsia"/>
        </w:rPr>
        <w:t>其他说明</w:t>
      </w:r>
    </w:p>
    <w:sdt>
      <w:sdtPr>
        <w:rPr>
          <w:rFonts w:hint="eastAsia"/>
          <w:szCs w:val="21"/>
        </w:rPr>
        <w:alias w:val="是否适用：募集资金整体使用情况的其他说明[双击切换]"/>
        <w:tag w:val="_GBC_43d5b01093724b4eaae8b06c3d8b68ca"/>
        <w:id w:val="-2064011423"/>
        <w:placeholder>
          <w:docPart w:val="GBC22222222222222222222222222222"/>
        </w:placeholder>
      </w:sdtPr>
      <w:sdtContent>
        <w:p>
          <w:pPr>
            <w:rPr>
              <w:szCs w:val="21"/>
            </w:rPr>
          </w:pPr>
          <w:r>
            <w:rPr>
              <w:rFonts w:hint="eastAsia"/>
              <w:szCs w:val="21"/>
            </w:rPr>
            <w:fldChar w:fldCharType="begin"/>
          </w:r>
          <w:r>
            <w:rPr>
              <w:rFonts w:hint="eastAsia"/>
              <w:szCs w:val="21"/>
            </w:rPr>
            <w:instrText xml:space="preserve"> MACROBUTTON  SnrToggleCheckbox √适用 </w:instrText>
          </w:r>
          <w:r>
            <w:rPr>
              <w:rFonts w:hint="eastAsia"/>
              <w:szCs w:val="21"/>
            </w:rPr>
            <w:fldChar w:fldCharType="end"/>
          </w:r>
          <w:r>
            <w:rPr>
              <w:rFonts w:hint="eastAsia"/>
              <w:szCs w:val="21"/>
            </w:rPr>
            <w:fldChar w:fldCharType="begin"/>
          </w:r>
          <w:r>
            <w:rPr>
              <w:rFonts w:hint="eastAsia"/>
              <w:szCs w:val="21"/>
            </w:rPr>
            <w:instrText xml:space="preserve"> MACROBUTTON  SnrToggleCheckbox □不适用 </w:instrText>
          </w:r>
          <w:r>
            <w:rPr>
              <w:rFonts w:hint="eastAsia"/>
              <w:szCs w:val="21"/>
            </w:rPr>
            <w:fldChar w:fldCharType="end"/>
          </w:r>
        </w:p>
      </w:sdtContent>
    </w:sdt>
    <w:sdt>
      <w:sdtPr>
        <w:rPr>
          <w:rFonts w:hint="eastAsia"/>
          <w:szCs w:val="21"/>
        </w:rPr>
        <w:alias w:val="募集资金整体使用情况的其他说明"/>
        <w:tag w:val="_GBC_aaa1ea5727b048a788e51caab5e4e137"/>
        <w:id w:val="-1957857082"/>
        <w:placeholder>
          <w:docPart w:val="GBC22222222222222222222222222222"/>
        </w:placeholder>
      </w:sdtPr>
      <w:sdtContent>
        <w:p>
          <w:pPr>
            <w:ind w:firstLineChars="200" w:firstLine="420"/>
            <w:rPr>
              <w:szCs w:val="21"/>
            </w:rPr>
          </w:pPr>
          <w:r>
            <w:rPr>
              <w:rFonts w:hint="eastAsia"/>
              <w:szCs w:val="21"/>
            </w:rPr>
            <w:t>2024年6月，公司根据一般性授权发行2.85亿股H股股份，每股定价17.39港元，募集资金总额为495,615.00万港元，按2024年6月12日的汇率计算，约为人民币451,411.10万元，扣减发行费用后，募集资金净额约为492,939万港元，按2024年6月12日的汇率计算，约为人民币448,973.91万元。该等募集资金净额已按照计划用于偿还公司及附属公司的债务及补充一般营运资金。</w:t>
          </w:r>
        </w:p>
      </w:sdtContent>
    </w:sdt>
    <w:p>
      <w:pPr>
        <w:rPr>
          <w:szCs w:val="21"/>
        </w:rPr>
      </w:pPr>
    </w:p>
    <w:p>
      <w:pPr>
        <w:pStyle w:val="afffffff1"/>
        <w:numPr>
          <w:ilvl w:val="0"/>
          <w:numId w:val="52"/>
        </w:numPr>
        <w:tabs>
          <w:tab w:val="left" w:pos="360"/>
        </w:tabs>
        <w:ind w:left="450" w:hanging="450"/>
        <w:rPr>
          <w:rFonts w:ascii="宋体" w:hAnsi="宋体"/>
          <w:color w:val="000000" w:themeColor="text1"/>
        </w:rPr>
      </w:pPr>
      <w:bookmarkStart w:id="211" w:name="_Hlk170305543"/>
      <w:bookmarkEnd w:id="210"/>
      <w:r>
        <w:rPr>
          <w:rFonts w:ascii="宋体" w:hAnsi="宋体" w:hint="eastAsia"/>
          <w:color w:val="000000" w:themeColor="text1"/>
        </w:rPr>
        <w:t>募投项目明细</w:t>
      </w:r>
    </w:p>
    <w:sdt>
      <w:sdtPr>
        <w:rPr>
          <w:color w:val="000000" w:themeColor="text1"/>
        </w:rPr>
        <w:alias w:val="是否适用：募投项目明细[双击切换]"/>
        <w:tag w:val="_GBC_abbead06593244249f87dc857fe5bf23"/>
        <w:id w:val="-1497189184"/>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afffffff9"/>
        <w:numPr>
          <w:ilvl w:val="0"/>
          <w:numId w:val="53"/>
        </w:numPr>
        <w:ind w:firstLineChars="0"/>
        <w:rPr>
          <w:rFonts w:ascii="宋体" w:hAnsi="宋体" w:cs="宋体"/>
          <w:color w:val="000000" w:themeColor="text1"/>
          <w:kern w:val="0"/>
          <w:szCs w:val="21"/>
        </w:rPr>
      </w:pPr>
      <w:bookmarkStart w:id="212" w:name="_Hlk90391869"/>
      <w:bookmarkEnd w:id="211"/>
      <w:r>
        <w:rPr>
          <w:rFonts w:ascii="宋体" w:hAnsi="宋体" w:cs="宋体" w:hint="eastAsia"/>
          <w:color w:val="000000" w:themeColor="text1"/>
          <w:kern w:val="0"/>
          <w:szCs w:val="21"/>
        </w:rPr>
        <w:t>募集资金明细使用情况</w:t>
      </w:r>
    </w:p>
    <w:p>
      <w:pPr>
        <w:rPr>
          <w:color w:val="000000" w:themeColor="text1"/>
        </w:rPr>
      </w:pPr>
      <w:sdt>
        <w:sdtPr>
          <w:rPr>
            <w:color w:val="000000" w:themeColor="text1"/>
          </w:rPr>
          <w:alias w:val="是否适用：募集资金明细使用情况[双击切换]"/>
          <w:tag w:val="_GBC_839f16b9626e4da581dbceef0e7a9f03"/>
          <w:id w:val="2072690443"/>
          <w:placeholder>
            <w:docPart w:val="GBC22222222222222222222222222222"/>
          </w:placeholder>
        </w:sdtPr>
        <w:sdtContent>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sdtContent>
      </w:sdt>
    </w:p>
    <w:p>
      <w:pPr>
        <w:ind w:right="105"/>
        <w:jc w:val="right"/>
        <w:rPr>
          <w:color w:val="000000" w:themeColor="text1"/>
        </w:rPr>
      </w:pPr>
      <w:r>
        <w:rPr>
          <w:rFonts w:hint="eastAsia"/>
          <w:color w:val="000000" w:themeColor="text1"/>
        </w:rPr>
        <w:t>单位</w:t>
      </w:r>
      <w:r>
        <w:rPr>
          <w:color w:val="000000" w:themeColor="text1"/>
        </w:rPr>
        <w:t>：</w:t>
      </w:r>
      <w:sdt>
        <w:sdtPr>
          <w:rPr>
            <w:color w:val="000000" w:themeColor="text1"/>
          </w:rPr>
          <w:alias w:val="单位：募集资金承诺项目情况"/>
          <w:tag w:val="_GBC_3e32cc36abc7448ab307b3c31209b85f"/>
          <w:id w:val="195952155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color w:val="000000" w:themeColor="text1"/>
            </w:rPr>
            <w:t>元</w:t>
          </w:r>
        </w:sdtContent>
      </w:sdt>
    </w:p>
    <w:tbl>
      <w:tblPr>
        <w:tblStyle w:val="g5"/>
        <w:tblW w:w="5000" w:type="pct"/>
        <w:jc w:val="center"/>
        <w:tblInd w:w="0" w:type="dxa"/>
        <w:tblLook w:val="04A0" w:firstRow="1" w:lastRow="0" w:firstColumn="1" w:lastColumn="0" w:noHBand="0" w:noVBand="1"/>
      </w:tblPr>
      <w:tblGrid>
        <w:gridCol w:w="559"/>
        <w:gridCol w:w="548"/>
        <w:gridCol w:w="426"/>
        <w:gridCol w:w="663"/>
        <w:gridCol w:w="427"/>
        <w:gridCol w:w="1581"/>
        <w:gridCol w:w="1581"/>
        <w:gridCol w:w="1581"/>
        <w:gridCol w:w="951"/>
        <w:gridCol w:w="427"/>
        <w:gridCol w:w="516"/>
        <w:gridCol w:w="657"/>
        <w:gridCol w:w="760"/>
        <w:gridCol w:w="427"/>
        <w:gridCol w:w="1223"/>
        <w:gridCol w:w="857"/>
        <w:gridCol w:w="679"/>
      </w:tblGrid>
      <w:tr>
        <w:trPr>
          <w:trHeight w:val="800"/>
          <w:jc w:val="center"/>
        </w:trPr>
        <w:sdt>
          <w:sdtPr>
            <w:tag w:val="_PLD_9b7af6ea34414343987ed059a3cec563"/>
            <w:id w:val="-339627819"/>
          </w:sdtPr>
          <w:sdtContent>
            <w:tc>
              <w:tcPr>
                <w:tcW w:w="202"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募集资金来源</w:t>
                </w:r>
              </w:p>
            </w:tc>
          </w:sdtContent>
        </w:sdt>
        <w:sdt>
          <w:sdtPr>
            <w:tag w:val="_PLD_ecf366bee20d4650acb64a3a8375f8df"/>
            <w:id w:val="831106416"/>
          </w:sdtPr>
          <w:sdtContent>
            <w:tc>
              <w:tcPr>
                <w:tcW w:w="198"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项目</w:t>
                </w:r>
                <w:r>
                  <w:rPr>
                    <w:color w:val="000000" w:themeColor="text1"/>
                  </w:rPr>
                  <w:t>名称</w:t>
                </w:r>
              </w:p>
            </w:tc>
          </w:sdtContent>
        </w:sdt>
        <w:tc>
          <w:tcPr>
            <w:tcW w:w="154" w:type="pct"/>
            <w:tcBorders>
              <w:top w:val="single" w:sz="4" w:space="0" w:color="auto"/>
              <w:left w:val="single" w:sz="4" w:space="0" w:color="auto"/>
              <w:bottom w:val="single" w:sz="4" w:space="0" w:color="auto"/>
              <w:right w:val="single" w:sz="4" w:space="0" w:color="auto"/>
            </w:tcBorders>
            <w:vAlign w:val="center"/>
          </w:tcPr>
          <w:sdt>
            <w:sdtPr>
              <w:tag w:val="_PLD_f98cac7bcf78466c85ecb218f09ac39c"/>
              <w:id w:val="67389808"/>
            </w:sdtPr>
            <w:sdtContent>
              <w:p>
                <w:pPr>
                  <w:jc w:val="center"/>
                  <w:rPr>
                    <w:bCs/>
                    <w:color w:val="000000" w:themeColor="text1"/>
                  </w:rPr>
                </w:pPr>
                <w:r>
                  <w:rPr>
                    <w:rFonts w:hint="eastAsia"/>
                    <w:color w:val="000000" w:themeColor="text1"/>
                  </w:rPr>
                  <w:t>项目性质</w:t>
                </w:r>
              </w:p>
            </w:sdtContent>
          </w:sdt>
        </w:tc>
        <w:tc>
          <w:tcPr>
            <w:tcW w:w="239" w:type="pct"/>
            <w:tcBorders>
              <w:top w:val="single" w:sz="4" w:space="0" w:color="auto"/>
              <w:left w:val="single" w:sz="4" w:space="0" w:color="auto"/>
              <w:bottom w:val="single" w:sz="4" w:space="0" w:color="auto"/>
              <w:right w:val="single" w:sz="4" w:space="0" w:color="auto"/>
            </w:tcBorders>
            <w:vAlign w:val="center"/>
          </w:tcPr>
          <w:sdt>
            <w:sdtPr>
              <w:tag w:val="_PLD_e944350c269141a09d74509d4f1092a5"/>
              <w:id w:val="-1606409986"/>
            </w:sdtPr>
            <w:sdtContent>
              <w:p>
                <w:pPr>
                  <w:jc w:val="center"/>
                  <w:rPr>
                    <w:bCs/>
                    <w:color w:val="000000" w:themeColor="text1"/>
                  </w:rPr>
                </w:pPr>
                <w:r>
                  <w:rPr>
                    <w:rFonts w:hint="eastAsia"/>
                    <w:color w:val="000000" w:themeColor="text1"/>
                  </w:rPr>
                  <w:t>是否为招股书或者募集说明书中的承诺投资项目</w:t>
                </w:r>
              </w:p>
            </w:sdtContent>
          </w:sdt>
        </w:tc>
        <w:sdt>
          <w:sdtPr>
            <w:tag w:val="_PLD_3ee434ecffb542048a232e9d2b4d6b3b"/>
            <w:id w:val="-120854178"/>
          </w:sdtPr>
          <w:sdtContent>
            <w:tc>
              <w:tcPr>
                <w:tcW w:w="154"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是否涉及变更投向</w:t>
                </w:r>
              </w:p>
            </w:tc>
          </w:sdtContent>
        </w:sdt>
        <w:tc>
          <w:tcPr>
            <w:tcW w:w="570" w:type="pct"/>
            <w:tcBorders>
              <w:top w:val="single" w:sz="4" w:space="0" w:color="auto"/>
              <w:left w:val="nil"/>
              <w:bottom w:val="single" w:sz="4" w:space="0" w:color="auto"/>
              <w:right w:val="single" w:sz="4" w:space="0" w:color="auto"/>
            </w:tcBorders>
            <w:vAlign w:val="center"/>
          </w:tcPr>
          <w:sdt>
            <w:sdtPr>
              <w:tag w:val="_PLD_c79d561be6464936b713d5683391a4c8"/>
              <w:id w:val="891537063"/>
            </w:sdtPr>
            <w:sdtContent>
              <w:p>
                <w:pPr>
                  <w:jc w:val="center"/>
                  <w:rPr>
                    <w:bCs/>
                    <w:color w:val="000000" w:themeColor="text1"/>
                  </w:rPr>
                </w:pPr>
                <w:r>
                  <w:rPr>
                    <w:rFonts w:hint="eastAsia"/>
                    <w:color w:val="000000" w:themeColor="text1"/>
                  </w:rPr>
                  <w:t>募集资金计划投资总额</w:t>
                </w:r>
                <w:r>
                  <w:rPr>
                    <w:color w:val="000000" w:themeColor="text1"/>
                  </w:rPr>
                  <w:t xml:space="preserve">  (1)</w:t>
                </w:r>
              </w:p>
            </w:sdtContent>
          </w:sdt>
        </w:tc>
        <w:sdt>
          <w:sdtPr>
            <w:tag w:val="_PLD_8dc6ececb3c7439c897a8b394096aa2f"/>
            <w:id w:val="1616094217"/>
          </w:sdtPr>
          <w:sdtContent>
            <w:tc>
              <w:tcPr>
                <w:tcW w:w="570"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本年投入金额</w:t>
                </w:r>
              </w:p>
            </w:tc>
          </w:sdtContent>
        </w:sdt>
        <w:sdt>
          <w:sdtPr>
            <w:tag w:val="_PLD_f16e87a767cc4d1f9a4b73758a01d1c7"/>
            <w:id w:val="1069694268"/>
          </w:sdtPr>
          <w:sdtContent>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截至</w:t>
                </w:r>
                <w:r>
                  <w:rPr>
                    <w:color w:val="000000" w:themeColor="text1"/>
                  </w:rPr>
                  <w:t>报告期末</w:t>
                </w:r>
                <w:r>
                  <w:rPr>
                    <w:rFonts w:hint="eastAsia"/>
                    <w:color w:val="000000" w:themeColor="text1"/>
                  </w:rPr>
                  <w:t>累计投入募集资金总额（2）</w:t>
                </w:r>
              </w:p>
            </w:tc>
          </w:sdtContent>
        </w:sdt>
        <w:sdt>
          <w:sdtPr>
            <w:tag w:val="_PLD_b986d7b889874c9dbd5510b848cca604"/>
            <w:id w:val="1798873848"/>
          </w:sdtPr>
          <w:sdtContent>
            <w:tc>
              <w:tcPr>
                <w:tcW w:w="343"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截至报告期末累计投入进度（%）</w:t>
                </w:r>
              </w:p>
              <w:p>
                <w:pPr>
                  <w:jc w:val="center"/>
                  <w:rPr>
                    <w:bCs/>
                    <w:color w:val="000000" w:themeColor="text1"/>
                  </w:rPr>
                </w:pPr>
                <w:r>
                  <w:rPr>
                    <w:rFonts w:hint="eastAsia"/>
                    <w:color w:val="000000" w:themeColor="text1"/>
                  </w:rPr>
                  <w:t>(3)＝(2)/(1)</w:t>
                </w:r>
              </w:p>
            </w:tc>
          </w:sdtContent>
        </w:sdt>
        <w:sdt>
          <w:sdtPr>
            <w:tag w:val="_PLD_39fcb47f6a914e0ab943c799f14760aa"/>
            <w:id w:val="1689867725"/>
          </w:sdtPr>
          <w:sdtContent>
            <w:tc>
              <w:tcPr>
                <w:tcW w:w="154"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项目达到预定可使用状态日期</w:t>
                </w:r>
              </w:p>
            </w:tc>
          </w:sdtContent>
        </w:sdt>
        <w:sdt>
          <w:sdtPr>
            <w:tag w:val="_PLD_9381d6c6fe2941a49b34cec3bd1be56f"/>
            <w:id w:val="-19170024"/>
          </w:sdtPr>
          <w:sdtContent>
            <w:tc>
              <w:tcPr>
                <w:tcW w:w="186"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是否已结项</w:t>
                </w:r>
              </w:p>
            </w:tc>
          </w:sdtContent>
        </w:sdt>
        <w:sdt>
          <w:sdtPr>
            <w:tag w:val="_PLD_d4208a32e2114142a41d010c92fb7a18"/>
            <w:id w:val="1512096743"/>
          </w:sdtPr>
          <w:sdtContent>
            <w:tc>
              <w:tcPr>
                <w:tcW w:w="237"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投入进度是否符合计划的进度</w:t>
                </w:r>
              </w:p>
            </w:tc>
          </w:sdtContent>
        </w:sdt>
        <w:sdt>
          <w:sdtPr>
            <w:tag w:val="_PLD_5e06c0a807df4cb9b107804b798d4796"/>
            <w:id w:val="-584610828"/>
          </w:sdtPr>
          <w:sdtContent>
            <w:tc>
              <w:tcPr>
                <w:tcW w:w="274"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投入进度未达计划的具体原因</w:t>
                </w:r>
              </w:p>
            </w:tc>
          </w:sdtContent>
        </w:sdt>
        <w:sdt>
          <w:sdtPr>
            <w:tag w:val="_PLD_42c857d45f4a4ca4bcae54e05ead4c08"/>
            <w:id w:val="2091342909"/>
          </w:sdtPr>
          <w:sdtContent>
            <w:tc>
              <w:tcPr>
                <w:tcW w:w="154"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本年实现的效益</w:t>
                </w:r>
              </w:p>
            </w:tc>
          </w:sdtContent>
        </w:sdt>
        <w:sdt>
          <w:sdtPr>
            <w:tag w:val="_PLD_025d24d144c44f1ba8da65ef3c2fb31a"/>
            <w:id w:val="-303544716"/>
          </w:sdtPr>
          <w:sdtContent>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color w:val="000000" w:themeColor="text1"/>
                  </w:rPr>
                </w:pPr>
                <w:r>
                  <w:rPr>
                    <w:rFonts w:hint="eastAsia"/>
                    <w:color w:val="000000" w:themeColor="text1"/>
                  </w:rPr>
                  <w:t>本项目已实现的效益或者研发成果</w:t>
                </w:r>
              </w:p>
            </w:tc>
          </w:sdtContent>
        </w:sdt>
        <w:sdt>
          <w:sdtPr>
            <w:tag w:val="_PLD_9a999714f8c54bac844f2b200cd4ffa1"/>
            <w:id w:val="298813107"/>
          </w:sdtPr>
          <w:sdtContent>
            <w:tc>
              <w:tcPr>
                <w:tcW w:w="309" w:type="pct"/>
                <w:tcBorders>
                  <w:top w:val="single" w:sz="4" w:space="0" w:color="auto"/>
                  <w:left w:val="nil"/>
                  <w:bottom w:val="single" w:sz="4" w:space="0" w:color="auto"/>
                  <w:right w:val="single" w:sz="4" w:space="0" w:color="auto"/>
                </w:tcBorders>
                <w:vAlign w:val="center"/>
              </w:tcPr>
              <w:p>
                <w:pPr>
                  <w:jc w:val="center"/>
                  <w:rPr>
                    <w:bCs/>
                    <w:color w:val="000000" w:themeColor="text1"/>
                  </w:rPr>
                </w:pPr>
                <w:r>
                  <w:rPr>
                    <w:rFonts w:hint="eastAsia"/>
                    <w:color w:val="000000" w:themeColor="text1"/>
                  </w:rPr>
                  <w:t>项目可行性是否发生重大变化，</w:t>
                </w:r>
                <w:r>
                  <w:rPr>
                    <w:color w:val="000000" w:themeColor="text1"/>
                  </w:rPr>
                  <w:t>如是，请说明具体情况</w:t>
                </w:r>
              </w:p>
            </w:tc>
          </w:sdtContent>
        </w:sdt>
        <w:sdt>
          <w:sdtPr>
            <w:tag w:val="_PLD_f97802568f6e40899f68486ce6661a46"/>
            <w:id w:val="-459418717"/>
          </w:sdtPr>
          <w:sdtContent>
            <w:tc>
              <w:tcPr>
                <w:tcW w:w="245" w:type="pct"/>
                <w:tcBorders>
                  <w:top w:val="single" w:sz="4" w:space="0" w:color="auto"/>
                  <w:left w:val="nil"/>
                  <w:bottom w:val="single" w:sz="4" w:space="0" w:color="auto"/>
                  <w:right w:val="single" w:sz="4" w:space="0" w:color="auto"/>
                </w:tcBorders>
                <w:vAlign w:val="center"/>
              </w:tcPr>
              <w:p>
                <w:pPr>
                  <w:jc w:val="center"/>
                  <w:rPr>
                    <w:bCs/>
                    <w:color w:val="000000" w:themeColor="text1"/>
                  </w:rPr>
                </w:pPr>
                <w:r>
                  <w:rPr>
                    <w:rFonts w:hint="eastAsia"/>
                    <w:color w:val="000000" w:themeColor="text1"/>
                  </w:rPr>
                  <w:t>节余金额</w:t>
                </w:r>
              </w:p>
            </w:tc>
          </w:sdtContent>
        </w:sdt>
      </w:tr>
      <w:tr>
        <w:trPr>
          <w:trHeight w:val="160"/>
          <w:jc w:val="center"/>
        </w:trPr>
        <w:bookmarkStart w:id="213" w:name="_Hlk169882430" w:displacedByCustomXml="next"/>
        <w:sdt>
          <w:sdtPr>
            <w:rPr>
              <w:bCs/>
              <w:color w:val="000000" w:themeColor="text1"/>
            </w:rPr>
            <w:alias w:val="募集资金使用进展明细_募集资金来源"/>
            <w:tag w:val="_GBC_951af72cf70147edb2fff54b7abd30b3"/>
            <w:id w:val="204763315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202"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bCs/>
                    <w:color w:val="000000" w:themeColor="text1"/>
                  </w:rPr>
                  <w:t>向特定对象发行</w:t>
                </w:r>
                <w:r>
                  <w:rPr>
                    <w:bCs/>
                    <w:color w:val="000000" w:themeColor="text1"/>
                  </w:rPr>
                  <w:lastRenderedPageBreak/>
                  <w:t>股票</w:t>
                </w:r>
              </w:p>
            </w:tc>
          </w:sdtContent>
        </w:sdt>
        <w:tc>
          <w:tcPr>
            <w:tcW w:w="198" w:type="pct"/>
            <w:tcBorders>
              <w:top w:val="single" w:sz="4" w:space="0" w:color="auto"/>
              <w:left w:val="single" w:sz="4" w:space="0" w:color="auto"/>
              <w:bottom w:val="single" w:sz="4" w:space="0" w:color="auto"/>
              <w:right w:val="single" w:sz="4" w:space="0" w:color="auto"/>
            </w:tcBorders>
            <w:vAlign w:val="center"/>
          </w:tcPr>
          <w:p>
            <w:pPr>
              <w:rPr>
                <w:bCs/>
              </w:rPr>
            </w:pPr>
            <w:r>
              <w:rPr>
                <w:rFonts w:hint="eastAsia"/>
                <w:bCs/>
              </w:rPr>
              <w:lastRenderedPageBreak/>
              <w:t>附属公司债务还本</w:t>
            </w:r>
            <w:r>
              <w:rPr>
                <w:rFonts w:hint="eastAsia"/>
                <w:bCs/>
              </w:rPr>
              <w:lastRenderedPageBreak/>
              <w:t>付息</w:t>
            </w:r>
          </w:p>
        </w:tc>
        <w:sdt>
          <w:sdtPr>
            <w:rPr>
              <w:bCs/>
              <w:color w:val="000000" w:themeColor="text1"/>
            </w:rPr>
            <w:alias w:val="募集资金使用进展明细_项目性质"/>
            <w:tag w:val="_GBC_7aae89f2426148daa6b4430bf5dcfc93"/>
            <w:id w:val="-1089771807"/>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154"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bCs/>
                    <w:color w:val="000000" w:themeColor="text1"/>
                  </w:rPr>
                  <w:t>补流还贷</w:t>
                </w:r>
              </w:p>
            </w:tc>
          </w:sdtContent>
        </w:sdt>
        <w:sdt>
          <w:sdtPr>
            <w:rPr>
              <w:bCs/>
              <w:color w:val="000000" w:themeColor="text1"/>
            </w:rPr>
            <w:alias w:val="募集资金使用进展明细_是否为招股书或者募集说明书中的承诺投资项目"/>
            <w:tag w:val="_GBC_cc96b791a1c14daba3e65ec5d8b75d5a"/>
            <w:id w:val="800740110"/>
            <w:comboBox>
              <w:listItem w:displayText="是" w:value="是"/>
              <w:listItem w:displayText="否" w:value="否"/>
            </w:comboBox>
          </w:sdtPr>
          <w:sdtContent>
            <w:tc>
              <w:tcPr>
                <w:tcW w:w="239"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bCs/>
                    <w:color w:val="000000" w:themeColor="text1"/>
                  </w:rPr>
                  <w:t>是</w:t>
                </w:r>
              </w:p>
            </w:tc>
          </w:sdtContent>
        </w:sdt>
        <w:sdt>
          <w:sdtPr>
            <w:rPr>
              <w:bCs/>
              <w:color w:val="000000" w:themeColor="text1"/>
            </w:rPr>
            <w:alias w:val="募集资金使用进展明细_是否涉及变更投向"/>
            <w:tag w:val="_GBC_9346d63d6a6c4ec8b0c5165d08fa2bb9"/>
            <w:id w:val="-1718046133"/>
            <w:comboBox>
              <w:listItem w:displayText="是，此项目取消" w:value="是，此项目取消"/>
              <w:listItem w:displayText="是，此项目为新项目" w:value="是，此项目为新项目"/>
              <w:listItem w:displayText="是，此项目未取消，调整募集资金投资总额" w:value="是，此项目未取消，调整募集资金投资总额"/>
              <w:listItem w:displayText="否" w:value="否"/>
            </w:comboBox>
          </w:sdtPr>
          <w:sdtContent>
            <w:tc>
              <w:tcPr>
                <w:tcW w:w="154"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bCs/>
                    <w:color w:val="000000" w:themeColor="text1"/>
                  </w:rPr>
                  <w:t>否</w:t>
                </w:r>
              </w:p>
            </w:tc>
          </w:sdtContent>
        </w:sdt>
        <w:tc>
          <w:tcPr>
            <w:tcW w:w="570" w:type="pct"/>
            <w:tcBorders>
              <w:top w:val="single" w:sz="4" w:space="0" w:color="auto"/>
              <w:left w:val="nil"/>
              <w:bottom w:val="single" w:sz="4" w:space="0" w:color="auto"/>
              <w:right w:val="single" w:sz="4" w:space="0" w:color="auto"/>
            </w:tcBorders>
            <w:vAlign w:val="center"/>
          </w:tcPr>
          <w:p>
            <w:pPr>
              <w:jc w:val="center"/>
              <w:rPr>
                <w:bCs/>
              </w:rPr>
            </w:pPr>
            <w:r>
              <w:rPr>
                <w:rFonts w:hint="eastAsia"/>
                <w:bCs/>
              </w:rPr>
              <w:t>4,489,739,100</w:t>
            </w:r>
          </w:p>
        </w:tc>
        <w:tc>
          <w:tcPr>
            <w:tcW w:w="570" w:type="pct"/>
            <w:tcBorders>
              <w:top w:val="single" w:sz="4" w:space="0" w:color="auto"/>
              <w:left w:val="single" w:sz="4" w:space="0" w:color="auto"/>
              <w:bottom w:val="single" w:sz="4" w:space="0" w:color="auto"/>
              <w:right w:val="single" w:sz="4" w:space="0" w:color="auto"/>
            </w:tcBorders>
            <w:vAlign w:val="center"/>
          </w:tcPr>
          <w:p>
            <w:pPr>
              <w:jc w:val="center"/>
              <w:rPr>
                <w:bCs/>
              </w:rPr>
            </w:pPr>
            <w:r>
              <w:rPr>
                <w:rFonts w:hint="eastAsia"/>
                <w:bCs/>
              </w:rPr>
              <w:t>4,489,739,100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rPr>
            </w:pPr>
            <w:r>
              <w:rPr>
                <w:rFonts w:hint="eastAsia"/>
                <w:bCs/>
              </w:rPr>
              <w:t>4,489,739,100</w:t>
            </w:r>
          </w:p>
        </w:tc>
        <w:tc>
          <w:tcPr>
            <w:tcW w:w="343" w:type="pct"/>
            <w:tcBorders>
              <w:top w:val="single" w:sz="4" w:space="0" w:color="auto"/>
              <w:left w:val="nil"/>
              <w:bottom w:val="single" w:sz="4" w:space="0" w:color="auto"/>
              <w:right w:val="single" w:sz="4" w:space="0" w:color="auto"/>
            </w:tcBorders>
            <w:shd w:val="clear" w:color="auto" w:fill="auto"/>
            <w:vAlign w:val="center"/>
          </w:tcPr>
          <w:p>
            <w:pPr>
              <w:jc w:val="center"/>
              <w:rPr>
                <w:bCs/>
              </w:rPr>
            </w:pPr>
            <w:r>
              <w:rPr>
                <w:rFonts w:hint="eastAsia"/>
                <w:bCs/>
              </w:rPr>
              <w:t>100</w:t>
            </w:r>
          </w:p>
        </w:tc>
        <w:tc>
          <w:tcPr>
            <w:tcW w:w="154" w:type="pct"/>
            <w:tcBorders>
              <w:top w:val="single" w:sz="4" w:space="0" w:color="auto"/>
              <w:left w:val="nil"/>
              <w:bottom w:val="single" w:sz="4" w:space="0" w:color="auto"/>
              <w:right w:val="single" w:sz="4" w:space="0" w:color="auto"/>
            </w:tcBorders>
            <w:shd w:val="clear" w:color="auto" w:fill="auto"/>
            <w:vAlign w:val="center"/>
          </w:tcPr>
          <w:p>
            <w:pPr>
              <w:jc w:val="center"/>
              <w:rPr>
                <w:bCs/>
              </w:rPr>
            </w:pPr>
            <w:r>
              <w:rPr>
                <w:rFonts w:hint="eastAsia"/>
                <w:bCs/>
              </w:rPr>
              <w:t>不适用</w:t>
            </w:r>
          </w:p>
        </w:tc>
        <w:sdt>
          <w:sdtPr>
            <w:rPr>
              <w:bCs/>
              <w:color w:val="000000" w:themeColor="text1"/>
            </w:rPr>
            <w:alias w:val="募集资金使用进展明细_是否已结项"/>
            <w:tag w:val="_GBC_12a69f39e8ab43aca710914c5ba0dfac"/>
            <w:id w:val="1049430975"/>
            <w:comboBox>
              <w:listItem w:displayText="是" w:value="是"/>
              <w:listItem w:displayText="否" w:value="否"/>
            </w:comboBox>
          </w:sdtPr>
          <w:sdtContent>
            <w:tc>
              <w:tcPr>
                <w:tcW w:w="186"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bCs/>
                    <w:color w:val="000000" w:themeColor="text1"/>
                  </w:rPr>
                  <w:t>否</w:t>
                </w:r>
              </w:p>
            </w:tc>
          </w:sdtContent>
        </w:sdt>
        <w:sdt>
          <w:sdtPr>
            <w:rPr>
              <w:bCs/>
              <w:color w:val="000000" w:themeColor="text1"/>
            </w:rPr>
            <w:alias w:val="募集资金使用进展明细_投入进度是否符合计划的进度"/>
            <w:tag w:val="_GBC_4f4276afb0f242da9b0a07c877927465"/>
            <w:id w:val="-616138280"/>
            <w:comboBox>
              <w:listItem w:displayText="是" w:value="是"/>
              <w:listItem w:displayText="否" w:value="否"/>
            </w:comboBox>
          </w:sdtPr>
          <w:sdtContent>
            <w:tc>
              <w:tcPr>
                <w:tcW w:w="237"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bCs/>
                    <w:color w:val="000000" w:themeColor="text1"/>
                  </w:rPr>
                  <w:t>是</w:t>
                </w:r>
              </w:p>
            </w:tc>
          </w:sdtContent>
        </w:sdt>
        <w:tc>
          <w:tcPr>
            <w:tcW w:w="274" w:type="pct"/>
            <w:tcBorders>
              <w:top w:val="single" w:sz="4" w:space="0" w:color="auto"/>
              <w:left w:val="nil"/>
              <w:bottom w:val="single" w:sz="4" w:space="0" w:color="auto"/>
              <w:right w:val="single" w:sz="4" w:space="0" w:color="auto"/>
            </w:tcBorders>
            <w:shd w:val="clear" w:color="auto" w:fill="auto"/>
            <w:vAlign w:val="center"/>
          </w:tcPr>
          <w:p>
            <w:pPr>
              <w:jc w:val="center"/>
              <w:rPr>
                <w:bCs/>
              </w:rPr>
            </w:pPr>
            <w:r>
              <w:rPr>
                <w:rFonts w:hint="eastAsia"/>
                <w:bCs/>
              </w:rPr>
              <w:t>不</w:t>
            </w:r>
          </w:p>
          <w:p>
            <w:pPr>
              <w:jc w:val="center"/>
              <w:rPr>
                <w:bCs/>
              </w:rPr>
            </w:pPr>
            <w:r>
              <w:rPr>
                <w:rFonts w:hint="eastAsia"/>
                <w:bCs/>
              </w:rPr>
              <w:t>适</w:t>
            </w:r>
          </w:p>
          <w:p>
            <w:pPr>
              <w:jc w:val="center"/>
              <w:rPr>
                <w:bCs/>
              </w:rPr>
            </w:pPr>
            <w:r>
              <w:rPr>
                <w:rFonts w:hint="eastAsia"/>
                <w:bCs/>
              </w:rPr>
              <w:t>用</w:t>
            </w:r>
          </w:p>
        </w:tc>
        <w:tc>
          <w:tcPr>
            <w:tcW w:w="154" w:type="pct"/>
            <w:tcBorders>
              <w:top w:val="single" w:sz="4" w:space="0" w:color="auto"/>
              <w:left w:val="single" w:sz="4" w:space="0" w:color="auto"/>
              <w:bottom w:val="single" w:sz="4" w:space="0" w:color="auto"/>
              <w:right w:val="single" w:sz="4" w:space="0" w:color="auto"/>
            </w:tcBorders>
            <w:vAlign w:val="center"/>
          </w:tcPr>
          <w:p>
            <w:pPr>
              <w:jc w:val="center"/>
              <w:rPr>
                <w:bCs/>
              </w:rPr>
            </w:pPr>
            <w:r>
              <w:rPr>
                <w:rFonts w:hint="eastAsia"/>
                <w:bCs/>
              </w:rPr>
              <w:t>不适用</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rPr>
            </w:pPr>
            <w:r>
              <w:rPr>
                <w:rFonts w:hint="eastAsia"/>
                <w:bCs/>
              </w:rPr>
              <w:t>不适用</w:t>
            </w:r>
          </w:p>
        </w:tc>
        <w:tc>
          <w:tcPr>
            <w:tcW w:w="309" w:type="pct"/>
            <w:tcBorders>
              <w:top w:val="single" w:sz="4" w:space="0" w:color="auto"/>
              <w:left w:val="nil"/>
              <w:bottom w:val="single" w:sz="4" w:space="0" w:color="auto"/>
              <w:right w:val="single" w:sz="4" w:space="0" w:color="auto"/>
            </w:tcBorders>
            <w:vAlign w:val="center"/>
          </w:tcPr>
          <w:p>
            <w:pPr>
              <w:jc w:val="center"/>
              <w:rPr>
                <w:bCs/>
              </w:rPr>
            </w:pPr>
            <w:r>
              <w:rPr>
                <w:rFonts w:hint="eastAsia"/>
                <w:bCs/>
              </w:rPr>
              <w:t>不适用</w:t>
            </w:r>
          </w:p>
        </w:tc>
        <w:tc>
          <w:tcPr>
            <w:tcW w:w="245" w:type="pct"/>
            <w:tcBorders>
              <w:top w:val="single" w:sz="4" w:space="0" w:color="auto"/>
              <w:left w:val="nil"/>
              <w:bottom w:val="single" w:sz="4" w:space="0" w:color="auto"/>
              <w:right w:val="single" w:sz="4" w:space="0" w:color="auto"/>
            </w:tcBorders>
            <w:vAlign w:val="center"/>
          </w:tcPr>
          <w:p>
            <w:pPr>
              <w:jc w:val="center"/>
              <w:rPr>
                <w:bCs/>
              </w:rPr>
            </w:pPr>
            <w:r>
              <w:rPr>
                <w:rFonts w:hint="eastAsia"/>
                <w:bCs/>
              </w:rPr>
              <w:t>0</w:t>
            </w:r>
          </w:p>
        </w:tc>
      </w:tr>
      <w:bookmarkEnd w:id="213"/>
      <w:tr>
        <w:trPr>
          <w:trHeight w:val="160"/>
          <w:jc w:val="center"/>
        </w:trPr>
        <w:tc>
          <w:tcPr>
            <w:tcW w:w="202" w:type="pct"/>
            <w:tcBorders>
              <w:top w:val="single" w:sz="4" w:space="0" w:color="auto"/>
              <w:left w:val="single" w:sz="4" w:space="0" w:color="auto"/>
              <w:bottom w:val="single" w:sz="4" w:space="0" w:color="auto"/>
              <w:right w:val="single" w:sz="4" w:space="0" w:color="auto"/>
            </w:tcBorders>
            <w:vAlign w:val="center"/>
          </w:tcPr>
          <w:p>
            <w:pPr>
              <w:jc w:val="center"/>
              <w:rPr>
                <w:bCs/>
                <w:color w:val="000000" w:themeColor="text1"/>
              </w:rPr>
            </w:pPr>
            <w:r>
              <w:rPr>
                <w:rFonts w:hint="eastAsia"/>
                <w:color w:val="000000" w:themeColor="text1"/>
              </w:rPr>
              <w:t>合计</w:t>
            </w:r>
          </w:p>
        </w:tc>
        <w:tc>
          <w:tcPr>
            <w:tcW w:w="198"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color w:val="000000" w:themeColor="text1"/>
              </w:rPr>
              <w:t>/</w:t>
            </w:r>
          </w:p>
        </w:tc>
        <w:tc>
          <w:tcPr>
            <w:tcW w:w="154"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color w:val="000000" w:themeColor="text1"/>
              </w:rPr>
              <w:t>/</w:t>
            </w:r>
          </w:p>
        </w:tc>
        <w:tc>
          <w:tcPr>
            <w:tcW w:w="239"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color w:val="000000" w:themeColor="text1"/>
              </w:rPr>
              <w:t>/</w:t>
            </w:r>
          </w:p>
        </w:tc>
        <w:tc>
          <w:tcPr>
            <w:tcW w:w="154" w:type="pct"/>
            <w:tcBorders>
              <w:top w:val="single" w:sz="4" w:space="0" w:color="auto"/>
              <w:left w:val="single" w:sz="4" w:space="0" w:color="auto"/>
              <w:bottom w:val="single" w:sz="4" w:space="0" w:color="auto"/>
              <w:right w:val="single" w:sz="4" w:space="0" w:color="auto"/>
            </w:tcBorders>
            <w:vAlign w:val="center"/>
          </w:tcPr>
          <w:p>
            <w:pPr>
              <w:rPr>
                <w:bCs/>
                <w:color w:val="000000" w:themeColor="text1"/>
              </w:rPr>
            </w:pPr>
            <w:r>
              <w:rPr>
                <w:color w:val="000000" w:themeColor="text1"/>
              </w:rPr>
              <w:t>/</w:t>
            </w:r>
          </w:p>
        </w:tc>
        <w:tc>
          <w:tcPr>
            <w:tcW w:w="570" w:type="pct"/>
            <w:tcBorders>
              <w:top w:val="single" w:sz="4" w:space="0" w:color="auto"/>
              <w:left w:val="nil"/>
              <w:bottom w:val="single" w:sz="4" w:space="0" w:color="auto"/>
              <w:right w:val="single" w:sz="4" w:space="0" w:color="auto"/>
            </w:tcBorders>
            <w:vAlign w:val="center"/>
          </w:tcPr>
          <w:p>
            <w:pPr>
              <w:jc w:val="right"/>
              <w:rPr>
                <w:bCs/>
              </w:rPr>
            </w:pPr>
            <w:r>
              <w:rPr>
                <w:rFonts w:hint="eastAsia"/>
                <w:bCs/>
              </w:rPr>
              <w:t>4,489,739,100</w:t>
            </w:r>
          </w:p>
        </w:tc>
        <w:tc>
          <w:tcPr>
            <w:tcW w:w="570" w:type="pct"/>
            <w:tcBorders>
              <w:top w:val="single" w:sz="4" w:space="0" w:color="auto"/>
              <w:left w:val="single" w:sz="4" w:space="0" w:color="auto"/>
              <w:bottom w:val="single" w:sz="4" w:space="0" w:color="auto"/>
              <w:right w:val="single" w:sz="4" w:space="0" w:color="auto"/>
            </w:tcBorders>
            <w:vAlign w:val="center"/>
          </w:tcPr>
          <w:p>
            <w:pPr>
              <w:jc w:val="right"/>
              <w:rPr>
                <w:bCs/>
              </w:rPr>
            </w:pPr>
            <w:r>
              <w:rPr>
                <w:rFonts w:hint="eastAsia"/>
                <w:bCs/>
              </w:rPr>
              <w:t>4,489,739,100</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bCs/>
              </w:rPr>
            </w:pPr>
            <w:r>
              <w:rPr>
                <w:rFonts w:hint="eastAsia"/>
                <w:bCs/>
              </w:rPr>
              <w:t>4,489,739,100</w:t>
            </w:r>
          </w:p>
        </w:tc>
        <w:tc>
          <w:tcPr>
            <w:tcW w:w="343"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154"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186"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237"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274" w:type="pct"/>
            <w:tcBorders>
              <w:top w:val="single" w:sz="4" w:space="0" w:color="auto"/>
              <w:left w:val="nil"/>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154" w:type="pct"/>
            <w:tcBorders>
              <w:top w:val="single" w:sz="4" w:space="0" w:color="auto"/>
              <w:left w:val="single" w:sz="4" w:space="0" w:color="auto"/>
              <w:bottom w:val="single" w:sz="4" w:space="0" w:color="auto"/>
              <w:right w:val="single" w:sz="4" w:space="0" w:color="auto"/>
            </w:tcBorders>
            <w:vAlign w:val="center"/>
          </w:tcPr>
          <w:p>
            <w:pPr>
              <w:jc w:val="center"/>
              <w:rPr>
                <w:bCs/>
              </w:rPr>
            </w:pPr>
            <w:r>
              <w:rPr>
                <w:rFonts w:hint="eastAsia"/>
                <w:bCs/>
              </w:rPr>
              <w:t>/</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color w:val="000000" w:themeColor="text1"/>
              </w:rPr>
            </w:pPr>
            <w:r>
              <w:rPr>
                <w:color w:val="000000" w:themeColor="text1"/>
              </w:rPr>
              <w:t>/</w:t>
            </w:r>
          </w:p>
        </w:tc>
        <w:tc>
          <w:tcPr>
            <w:tcW w:w="309" w:type="pct"/>
            <w:tcBorders>
              <w:top w:val="single" w:sz="4" w:space="0" w:color="auto"/>
              <w:left w:val="nil"/>
              <w:bottom w:val="single" w:sz="4" w:space="0" w:color="auto"/>
              <w:right w:val="single" w:sz="4" w:space="0" w:color="auto"/>
            </w:tcBorders>
            <w:vAlign w:val="center"/>
          </w:tcPr>
          <w:p>
            <w:pPr>
              <w:jc w:val="center"/>
              <w:rPr>
                <w:bCs/>
                <w:color w:val="000000" w:themeColor="text1"/>
              </w:rPr>
            </w:pPr>
            <w:r>
              <w:rPr>
                <w:color w:val="000000" w:themeColor="text1"/>
              </w:rPr>
              <w:t>/</w:t>
            </w:r>
          </w:p>
        </w:tc>
        <w:tc>
          <w:tcPr>
            <w:tcW w:w="245" w:type="pct"/>
            <w:tcBorders>
              <w:top w:val="single" w:sz="4" w:space="0" w:color="auto"/>
              <w:left w:val="nil"/>
              <w:bottom w:val="single" w:sz="4" w:space="0" w:color="auto"/>
              <w:right w:val="single" w:sz="4" w:space="0" w:color="auto"/>
            </w:tcBorders>
            <w:vAlign w:val="center"/>
          </w:tcPr>
          <w:p>
            <w:pPr>
              <w:jc w:val="right"/>
              <w:rPr>
                <w:bCs/>
              </w:rPr>
            </w:pPr>
            <w:r>
              <w:rPr>
                <w:rFonts w:hint="eastAsia"/>
                <w:bCs/>
              </w:rPr>
              <w:t>0</w:t>
            </w:r>
          </w:p>
        </w:tc>
      </w:tr>
    </w:tbl>
    <w:p>
      <w:pPr>
        <w:rPr>
          <w:color w:val="000000" w:themeColor="text1"/>
        </w:rPr>
      </w:pPr>
    </w:p>
    <w:p>
      <w:pPr>
        <w:pStyle w:val="afffffff9"/>
        <w:numPr>
          <w:ilvl w:val="0"/>
          <w:numId w:val="53"/>
        </w:numPr>
        <w:ind w:firstLineChars="0"/>
        <w:rPr>
          <w:rFonts w:ascii="宋体" w:hAnsi="宋体" w:cs="宋体"/>
          <w:color w:val="000000" w:themeColor="text1"/>
          <w:kern w:val="0"/>
          <w:szCs w:val="21"/>
        </w:rPr>
      </w:pPr>
      <w:bookmarkStart w:id="214" w:name="_Hlk169882642"/>
      <w:bookmarkEnd w:id="206"/>
      <w:bookmarkEnd w:id="212"/>
      <w:r>
        <w:rPr>
          <w:rFonts w:ascii="宋体" w:hAnsi="宋体" w:cs="宋体" w:hint="eastAsia"/>
          <w:color w:val="000000" w:themeColor="text1"/>
          <w:kern w:val="0"/>
          <w:szCs w:val="21"/>
        </w:rPr>
        <w:t>超募资金明细使用情况</w:t>
      </w:r>
    </w:p>
    <w:sdt>
      <w:sdtPr>
        <w:rPr>
          <w:rFonts w:hint="eastAsia"/>
          <w:color w:val="000000" w:themeColor="text1"/>
          <w:szCs w:val="22"/>
        </w:rPr>
        <w:alias w:val="是否适用：超募资金明细使用情况[双击切换]"/>
        <w:tag w:val="_GBC_d4d5528e8ab14707b1f96f506968e488"/>
        <w:id w:val="-1225446572"/>
        <w:placeholder>
          <w:docPart w:val="GBC22222222222222222222222222222"/>
        </w:placeholder>
      </w:sdtPr>
      <w:sdtContent>
        <w:p>
          <w:pPr>
            <w:rPr>
              <w:color w:val="000000" w:themeColor="text1"/>
              <w:szCs w:val="22"/>
            </w:rPr>
          </w:pPr>
          <w:r>
            <w:rPr>
              <w:color w:val="000000" w:themeColor="text1"/>
              <w:szCs w:val="22"/>
            </w:rPr>
            <w:fldChar w:fldCharType="begin"/>
          </w:r>
          <w:r>
            <w:rPr>
              <w:rFonts w:hint="eastAsia"/>
              <w:color w:val="000000" w:themeColor="text1"/>
              <w:szCs w:val="22"/>
            </w:rPr>
            <w:instrText xml:space="preserve"> MACROBUTTON  SnrToggleCheckbox □适用 </w:instrText>
          </w:r>
          <w:r>
            <w:rPr>
              <w:color w:val="000000" w:themeColor="text1"/>
              <w:szCs w:val="22"/>
            </w:rPr>
            <w:fldChar w:fldCharType="end"/>
          </w:r>
          <w:r>
            <w:rPr>
              <w:color w:val="000000" w:themeColor="text1"/>
              <w:szCs w:val="22"/>
            </w:rPr>
            <w:fldChar w:fldCharType="begin"/>
          </w:r>
          <w:r>
            <w:rPr>
              <w:rFonts w:hint="eastAsia"/>
              <w:color w:val="000000" w:themeColor="text1"/>
              <w:szCs w:val="22"/>
            </w:rPr>
            <w:instrText xml:space="preserve"> MACROBUTTON  SnrToggleCheckbox √不适用 </w:instrText>
          </w:r>
          <w:r>
            <w:rPr>
              <w:color w:val="000000" w:themeColor="text1"/>
              <w:szCs w:val="22"/>
            </w:rPr>
            <w:fldChar w:fldCharType="end"/>
          </w:r>
        </w:p>
      </w:sdtContent>
    </w:sdt>
    <w:p>
      <w:pPr>
        <w:rPr>
          <w:color w:val="000000" w:themeColor="text1"/>
        </w:rPr>
      </w:pPr>
    </w:p>
    <w:p>
      <w:pPr>
        <w:pStyle w:val="afffffff1"/>
        <w:numPr>
          <w:ilvl w:val="0"/>
          <w:numId w:val="52"/>
        </w:numPr>
        <w:tabs>
          <w:tab w:val="left" w:pos="360"/>
        </w:tabs>
        <w:ind w:left="450" w:hanging="450"/>
        <w:rPr>
          <w:rFonts w:ascii="宋体" w:hAnsi="宋体"/>
          <w:color w:val="000000" w:themeColor="text1"/>
        </w:rPr>
      </w:pPr>
      <w:bookmarkStart w:id="215" w:name="_Hlk90391874"/>
      <w:bookmarkEnd w:id="214"/>
      <w:r>
        <w:rPr>
          <w:rFonts w:ascii="宋体" w:hAnsi="宋体" w:hint="eastAsia"/>
          <w:color w:val="000000" w:themeColor="text1"/>
        </w:rPr>
        <w:t>报告期内募投变更或终止情况</w:t>
      </w:r>
    </w:p>
    <w:sdt>
      <w:sdtPr>
        <w:rPr>
          <w:color w:val="000000" w:themeColor="text1"/>
        </w:rPr>
        <w:alias w:val="是否适用：报告期内募投变更情况  [双击切换]"/>
        <w:tag w:val="_GBC_61c6bb17977047c182c97c4ccdd9b239"/>
        <w:id w:val="2086341384"/>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bookmarkEnd w:id="207"/>
    <w:bookmarkEnd w:id="215"/>
    <w:p>
      <w:pPr>
        <w:rPr>
          <w:color w:val="000000" w:themeColor="text1"/>
        </w:rPr>
      </w:pPr>
    </w:p>
    <w:p>
      <w:pPr>
        <w:rPr>
          <w:color w:val="000000" w:themeColor="text1"/>
        </w:rPr>
        <w:sectPr>
          <w:pgSz w:w="16838" w:h="11906" w:orient="landscape"/>
          <w:pgMar w:top="1797" w:right="1525" w:bottom="1276" w:left="1440" w:header="855" w:footer="992" w:gutter="0"/>
          <w:cols w:space="425"/>
          <w:docGrid w:linePitch="312"/>
        </w:sectPr>
      </w:pPr>
    </w:p>
    <w:p>
      <w:pPr>
        <w:pStyle w:val="afffffff1"/>
        <w:numPr>
          <w:ilvl w:val="0"/>
          <w:numId w:val="52"/>
        </w:numPr>
        <w:tabs>
          <w:tab w:val="left" w:pos="360"/>
        </w:tabs>
        <w:ind w:left="450" w:hanging="450"/>
        <w:rPr>
          <w:rFonts w:ascii="宋体" w:hAnsi="宋体"/>
          <w:color w:val="000000" w:themeColor="text1"/>
        </w:rPr>
      </w:pPr>
      <w:bookmarkStart w:id="216" w:name="_Hlk106701941"/>
      <w:bookmarkEnd w:id="201"/>
      <w:bookmarkEnd w:id="208"/>
      <w:r>
        <w:rPr>
          <w:rFonts w:ascii="宋体" w:hAnsi="宋体" w:hint="eastAsia"/>
          <w:color w:val="000000" w:themeColor="text1"/>
        </w:rPr>
        <w:lastRenderedPageBreak/>
        <w:t>报告期内募集资金使用的其他情况</w:t>
      </w:r>
    </w:p>
    <w:p>
      <w:pPr>
        <w:pStyle w:val="afffffffffffff8"/>
        <w:numPr>
          <w:ilvl w:val="0"/>
          <w:numId w:val="54"/>
        </w:numPr>
        <w:tabs>
          <w:tab w:val="left" w:pos="360"/>
        </w:tabs>
        <w:ind w:left="0" w:firstLine="0"/>
        <w:rPr>
          <w:color w:val="000000" w:themeColor="text1"/>
        </w:rPr>
      </w:pPr>
      <w:bookmarkStart w:id="217" w:name="_Hlk90391881"/>
      <w:r>
        <w:rPr>
          <w:rFonts w:hint="eastAsia"/>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1829866037"/>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afffffffffffff8"/>
        <w:numPr>
          <w:ilvl w:val="0"/>
          <w:numId w:val="54"/>
        </w:numPr>
        <w:tabs>
          <w:tab w:val="left" w:pos="360"/>
        </w:tabs>
        <w:ind w:left="0" w:firstLine="0"/>
        <w:rPr>
          <w:color w:val="000000" w:themeColor="text1"/>
        </w:rPr>
      </w:pPr>
      <w:bookmarkStart w:id="218" w:name="_Hlk90391885"/>
      <w:bookmarkEnd w:id="217"/>
      <w:r>
        <w:rPr>
          <w:rFonts w:hint="eastAsia"/>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1842343992"/>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afffffffffffff8"/>
        <w:numPr>
          <w:ilvl w:val="0"/>
          <w:numId w:val="54"/>
        </w:numPr>
        <w:tabs>
          <w:tab w:val="left" w:pos="360"/>
        </w:tabs>
        <w:ind w:left="0" w:firstLine="0"/>
        <w:rPr>
          <w:color w:val="000000" w:themeColor="text1"/>
        </w:rPr>
      </w:pPr>
      <w:bookmarkStart w:id="219" w:name="_Hlk168577344"/>
      <w:bookmarkStart w:id="220" w:name="_Hlk90391888"/>
      <w:bookmarkEnd w:id="218"/>
      <w:r>
        <w:rPr>
          <w:rFonts w:hint="eastAsia"/>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54827478"/>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bookmarkEnd w:id="219"/>
    <w:bookmarkEnd w:id="220"/>
    <w:p>
      <w:pPr>
        <w:pStyle w:val="afffffffffffff8"/>
        <w:numPr>
          <w:ilvl w:val="0"/>
          <w:numId w:val="54"/>
        </w:numPr>
        <w:tabs>
          <w:tab w:val="left" w:pos="360"/>
        </w:tabs>
        <w:ind w:left="0" w:firstLine="0"/>
        <w:rPr>
          <w:color w:val="000000" w:themeColor="text1"/>
        </w:rPr>
      </w:pPr>
      <w:r>
        <w:rPr>
          <w:rFonts w:hint="eastAsia"/>
          <w:color w:val="000000" w:themeColor="text1"/>
        </w:rPr>
        <w:t>其他</w:t>
      </w:r>
    </w:p>
    <w:sdt>
      <w:sdtPr>
        <w:rPr>
          <w:color w:val="000000" w:themeColor="text1"/>
        </w:rPr>
        <w:alias w:val="是否适用：募集资金使用的其他情况?[双击切换]"/>
        <w:tag w:val="_GBC_9e056ad2df86481f90515884d4d4be4c"/>
        <w:id w:val="-179741518"/>
        <w:placeholder>
          <w:docPart w:val="GBC22222222222222222222222222222"/>
        </w:placeholder>
      </w:sdtPr>
      <w:sdtContent>
        <w:p>
          <w:pPr>
            <w:rPr>
              <w:color w:val="000000" w:themeColor="text1"/>
            </w:rPr>
          </w:pPr>
          <w:r>
            <w:rPr>
              <w:color w:val="000000" w:themeColor="text1"/>
            </w:rPr>
            <w:fldChar w:fldCharType="begin"/>
          </w:r>
          <w:r>
            <w:rPr>
              <w:rFonts w:hint="eastAsia"/>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rFonts w:hint="eastAsia"/>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bookmarkEnd w:id="202"/>
    <w:bookmarkEnd w:id="203"/>
    <w:bookmarkEnd w:id="204"/>
    <w:bookmarkEnd w:id="216"/>
    <w:p>
      <w:pPr>
        <w:pStyle w:val="afffffff"/>
        <w:numPr>
          <w:ilvl w:val="0"/>
          <w:numId w:val="40"/>
        </w:numPr>
      </w:pPr>
      <w:r>
        <w:rPr>
          <w:rFonts w:hint="eastAsia"/>
        </w:rPr>
        <w:t>其他对投资者作出价值判断和投资决策有重大影响的重大事项的说明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723487630"/>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对投资者作出价值判断和投资决策有重大影响的重大事项的说明"/>
        <w:tag w:val="_GBC_d3135053067b425697673c629341fac1"/>
        <w:id w:val="-1624369652"/>
        <w:placeholder>
          <w:docPart w:val="GBC22222222222222222222222222222"/>
        </w:placeholder>
      </w:sdtPr>
      <w:sdtEndPr>
        <w:rPr>
          <w:szCs w:val="24"/>
        </w:rPr>
      </w:sdtEndPr>
      <w:sdtContent>
        <w:sdt>
          <w:sdtPr>
            <w:rPr>
              <w:color w:val="000000" w:themeColor="text1"/>
            </w:rPr>
            <w:alias w:val="其它重大事项说明"/>
            <w:tag w:val="_GBC_2c1880a5abc34ba7be18fdf6374ac4c1"/>
            <w:id w:val="2055890600"/>
          </w:sdtPr>
          <w:sdtContent>
            <w:p>
              <w:pPr>
                <w:ind w:firstLineChars="200" w:firstLine="420"/>
              </w:pPr>
              <w:r>
                <w:rPr>
                  <w:rFonts w:hint="eastAsia"/>
                </w:rPr>
                <w:t>（按香港上市监管规定编制）</w:t>
              </w:r>
            </w:p>
            <w:p>
              <w:pPr>
                <w:ind w:firstLineChars="200" w:firstLine="420"/>
                <w:rPr>
                  <w:color w:val="000000" w:themeColor="text1"/>
                </w:rPr>
              </w:pPr>
            </w:p>
            <w:p>
              <w:pPr>
                <w:ind w:firstLineChars="200" w:firstLine="422"/>
                <w:outlineLvl w:val="2"/>
                <w:rPr>
                  <w:b/>
                </w:rPr>
              </w:pPr>
              <w:r>
                <w:rPr>
                  <w:rFonts w:hint="eastAsia"/>
                  <w:b/>
                </w:rPr>
                <w:t>（一）购回、出售或赎回公司之上市证券</w:t>
              </w:r>
            </w:p>
            <w:p>
              <w:pPr>
                <w:ind w:firstLineChars="200" w:firstLine="420"/>
                <w:jc w:val="both"/>
              </w:pPr>
              <w:r>
                <w:rPr>
                  <w:rFonts w:hint="eastAsia"/>
                </w:rPr>
                <w:t>行使2022年度股东周年大会增发H股股份授权</w:t>
              </w:r>
            </w:p>
            <w:p>
              <w:pPr>
                <w:ind w:firstLineChars="200" w:firstLine="420"/>
                <w:jc w:val="both"/>
              </w:pPr>
              <w:r>
                <w:rPr>
                  <w:rFonts w:hint="eastAsia"/>
                </w:rPr>
                <w:t>经2024年5月31日召开的第九届董事会第八次会议审议批准，决定由被授权人士在董事会决议范围内，根据2022年度股东周年大会的一般性授权办理H股发行具体事宜。本次配售股份数量为2.85亿股H股，配售价为每股配售股份17.39港元。承配人为不少于六名的专业机构及/或其他投资者。各承配人及彼等各自之最终实益拥有人（如适用）均为独立第三方，且与本公司及其关联/关连人士概无关联/关连关系。募集资金净额约为492,939万港元。据此，每股配售股份的净发行价约为17.29港元。该等募集资金净额已按照计划用于偿还公司及附属公司的债务及补充一般营运资金。有关募集资金详情请见本年报“第七节重要事项”之“募集资金使用进展说明”。本公司每股H股于2024年6月3日（即配售协议签署日期）在香港联交所收市价为19.30港元。</w:t>
              </w:r>
            </w:p>
            <w:p>
              <w:pPr>
                <w:ind w:firstLineChars="200" w:firstLine="420"/>
                <w:jc w:val="both"/>
              </w:pPr>
              <w:r>
                <w:rPr>
                  <w:rFonts w:hint="eastAsia"/>
                </w:rPr>
                <w:t>配售事项有利于本公司利用资本市场融资功能，改善本公司资本结构，落实战略储备资金，降低本公司资产负债率。</w:t>
              </w:r>
            </w:p>
            <w:p>
              <w:pPr>
                <w:ind w:firstLineChars="200" w:firstLine="420"/>
                <w:jc w:val="both"/>
              </w:pPr>
            </w:p>
            <w:p>
              <w:pPr>
                <w:ind w:firstLineChars="200" w:firstLine="420"/>
                <w:jc w:val="both"/>
              </w:pPr>
              <w:r>
                <w:rPr>
                  <w:rFonts w:hint="eastAsia"/>
                </w:rPr>
                <w:t>有关详情请见日期为</w:t>
              </w:r>
              <w:r>
                <w:t>2024</w:t>
              </w:r>
              <w:r>
                <w:rPr>
                  <w:rFonts w:hint="eastAsia"/>
                </w:rPr>
                <w:t>年6月4日的关于根据一般性授权发行H股的公告，日期为2024年6月12日的关于根据一般性授权发行H股完成交割的公告，该等资料刊载于上交所网站、香港联交所网站、公司网站及/或《中国证券报》《上海证券报》《证券时报》《证券日报》。</w:t>
              </w:r>
            </w:p>
            <w:p>
              <w:pPr>
                <w:ind w:firstLineChars="200" w:firstLine="420"/>
                <w:jc w:val="both"/>
              </w:pPr>
            </w:p>
            <w:p>
              <w:pPr>
                <w:ind w:firstLineChars="200" w:firstLine="420"/>
                <w:jc w:val="both"/>
              </w:pPr>
              <w:r>
                <w:rPr>
                  <w:rFonts w:hint="eastAsia"/>
                </w:rPr>
                <w:t>获得2023年度股东周年大会增发股份及回购H股股份授权</w:t>
              </w:r>
            </w:p>
            <w:p>
              <w:pPr>
                <w:ind w:firstLineChars="200" w:firstLine="420"/>
                <w:jc w:val="both"/>
              </w:pPr>
              <w:r>
                <w:rPr>
                  <w:rFonts w:hint="eastAsia"/>
                </w:rPr>
                <w:t>2024年6月21日召开的2023年度股东周年大会，授予董事会一般性授权，由董事会根据需要和市场情况，在获得有关监管机构批准以及符合法律、行政法规及《公司章程》的情况下，在相关授权期间适时决定是否增发不超过有关决议案通过之日已发行股份总额（不包括任何库存股份）20%的股份。</w:t>
              </w:r>
            </w:p>
            <w:p>
              <w:pPr>
                <w:ind w:firstLineChars="200" w:firstLine="420"/>
                <w:jc w:val="both"/>
              </w:pPr>
              <w:r>
                <w:rPr>
                  <w:rFonts w:hint="eastAsia"/>
                </w:rPr>
                <w:t>2024年6月21日召开的2023年度股东周年大会，授予董事会一般性授权，由董事会根据需要和市场情况，在获得有关监管机构批准以及符合法律、行政法规及《公司章程》的情况下，在相关授权期间适时决定回购不超过有关决议案通过之日已发行H股总额（不包括任何库存股份）10%的H股股份。</w:t>
              </w:r>
            </w:p>
            <w:p>
              <w:pPr>
                <w:ind w:firstLineChars="200" w:firstLine="420"/>
                <w:jc w:val="both"/>
              </w:pPr>
              <w:r>
                <w:rPr>
                  <w:rFonts w:hint="eastAsia"/>
                </w:rPr>
                <w:t>截至本报告披露日，公司董事会尚未行使上述一般性授权。</w:t>
              </w:r>
            </w:p>
            <w:p>
              <w:pPr>
                <w:jc w:val="both"/>
                <w:rPr>
                  <w:b/>
                </w:rPr>
              </w:pPr>
            </w:p>
            <w:p>
              <w:pPr>
                <w:ind w:firstLineChars="200" w:firstLine="422"/>
                <w:jc w:val="both"/>
                <w:outlineLvl w:val="2"/>
                <w:rPr>
                  <w:b/>
                </w:rPr>
              </w:pPr>
              <w:r>
                <w:rPr>
                  <w:rFonts w:hint="eastAsia"/>
                  <w:b/>
                </w:rPr>
                <w:t>（二）薪酬政策</w:t>
              </w:r>
            </w:p>
            <w:p>
              <w:pPr>
                <w:ind w:firstLineChars="200" w:firstLine="420"/>
              </w:pPr>
              <w:r>
                <w:rPr>
                  <w:rFonts w:hint="eastAsia"/>
                </w:rPr>
                <w:t>详情请见“第五节公司治理”之“</w:t>
              </w:r>
              <w:bookmarkStart w:id="221" w:name="_Hlk160364483"/>
              <w:r>
                <w:t>现任及报告期内离任董事</w:t>
              </w:r>
              <w:r>
                <w:rPr>
                  <w:rFonts w:hint="eastAsia"/>
                </w:rPr>
                <w:t>、监事和</w:t>
              </w:r>
              <w:r>
                <w:t>高级管理人员持股变动及报酬情况</w:t>
              </w:r>
              <w:bookmarkEnd w:id="221"/>
              <w:r>
                <w:rPr>
                  <w:rFonts w:hint="eastAsia"/>
                </w:rPr>
                <w:t>”、“薪酬政策”相关内容。</w:t>
              </w:r>
            </w:p>
            <w:p>
              <w:pPr>
                <w:jc w:val="both"/>
                <w:rPr>
                  <w:b/>
                </w:rPr>
              </w:pPr>
            </w:p>
            <w:p>
              <w:pPr>
                <w:numPr>
                  <w:ilvl w:val="0"/>
                  <w:numId w:val="55"/>
                </w:numPr>
                <w:ind w:firstLineChars="200" w:firstLine="422"/>
                <w:jc w:val="both"/>
                <w:outlineLvl w:val="2"/>
                <w:rPr>
                  <w:b/>
                </w:rPr>
              </w:pPr>
              <w:r>
                <w:rPr>
                  <w:rFonts w:hint="eastAsia"/>
                  <w:b/>
                </w:rPr>
                <w:lastRenderedPageBreak/>
                <w:t>核数师</w:t>
              </w:r>
            </w:p>
            <w:p>
              <w:pPr>
                <w:ind w:firstLineChars="200" w:firstLine="420"/>
              </w:pPr>
              <w:r>
                <w:rPr>
                  <w:rFonts w:hint="eastAsia"/>
                </w:rPr>
                <w:t>详情请见“第七节重要事项”之“聘任、解聘会计师事务所情况”相关内容。</w:t>
              </w:r>
            </w:p>
            <w:p>
              <w:pPr>
                <w:jc w:val="both"/>
                <w:outlineLvl w:val="2"/>
                <w:rPr>
                  <w:b/>
                </w:rPr>
              </w:pPr>
            </w:p>
            <w:p>
              <w:pPr>
                <w:rPr>
                  <w:color w:val="000000" w:themeColor="text1"/>
                </w:rPr>
              </w:pPr>
            </w:p>
          </w:sdtContent>
        </w:sdt>
        <w:p>
          <w:pPr>
            <w:rPr>
              <w:szCs w:val="21"/>
            </w:rPr>
            <w:sectPr>
              <w:pgSz w:w="11906" w:h="16838"/>
              <w:pgMar w:top="1525" w:right="1276" w:bottom="1440" w:left="1797" w:header="855" w:footer="992" w:gutter="0"/>
              <w:cols w:space="425"/>
              <w:docGrid w:linePitch="312"/>
            </w:sectPr>
          </w:pPr>
        </w:p>
      </w:sdtContent>
    </w:sdt>
    <w:bookmarkEnd w:id="167"/>
    <w:p>
      <w:pPr>
        <w:pStyle w:val="affffffff"/>
      </w:pPr>
    </w:p>
    <w:p>
      <w:pPr>
        <w:pStyle w:val="1"/>
        <w:numPr>
          <w:ilvl w:val="0"/>
          <w:numId w:val="3"/>
        </w:numPr>
        <w:rPr>
          <w:u w:val="single"/>
        </w:rPr>
      </w:pPr>
      <w:bookmarkStart w:id="222" w:name="_Toc193794895"/>
      <w:bookmarkStart w:id="223" w:name="_Toc409437607"/>
      <w:bookmarkStart w:id="224" w:name="_Toc437440713"/>
      <w:r>
        <w:rPr>
          <w:rFonts w:hint="eastAsia"/>
        </w:rPr>
        <w:t>股份变动及股东情况</w:t>
      </w:r>
      <w:bookmarkEnd w:id="222"/>
    </w:p>
    <w:bookmarkEnd w:id="223"/>
    <w:bookmarkEnd w:id="224"/>
    <w:p>
      <w:pPr>
        <w:pStyle w:val="affffffd"/>
      </w:pPr>
    </w:p>
    <w:p>
      <w:pPr>
        <w:pStyle w:val="2"/>
        <w:numPr>
          <w:ilvl w:val="0"/>
          <w:numId w:val="1"/>
        </w:numPr>
      </w:pPr>
      <w:bookmarkStart w:id="225" w:name="_Toc342059476"/>
      <w:bookmarkStart w:id="226" w:name="_Toc342565989"/>
      <w:r>
        <w:t>股</w:t>
      </w:r>
      <w:r>
        <w:rPr>
          <w:rFonts w:hint="eastAsia"/>
        </w:rPr>
        <w:t>本变动情况</w:t>
      </w:r>
      <w:bookmarkEnd w:id="225"/>
      <w:bookmarkEnd w:id="226"/>
    </w:p>
    <w:p>
      <w:pPr>
        <w:pStyle w:val="3"/>
        <w:numPr>
          <w:ilvl w:val="1"/>
          <w:numId w:val="8"/>
        </w:numPr>
        <w:rPr>
          <w:szCs w:val="21"/>
        </w:rPr>
      </w:pPr>
      <w:bookmarkStart w:id="227" w:name="_Toc342059477"/>
      <w:bookmarkStart w:id="228" w:name="_Toc342565990"/>
      <w:r>
        <w:rPr>
          <w:rFonts w:hint="eastAsia"/>
          <w:szCs w:val="21"/>
        </w:rPr>
        <w:t>股份变动情况表</w:t>
      </w:r>
      <w:bookmarkEnd w:id="227"/>
      <w:bookmarkEnd w:id="228"/>
    </w:p>
    <w:p>
      <w:pPr>
        <w:pStyle w:val="4"/>
        <w:numPr>
          <w:ilvl w:val="2"/>
          <w:numId w:val="9"/>
        </w:numPr>
      </w:pPr>
      <w:r>
        <w:rPr>
          <w:rFonts w:hint="eastAsia"/>
        </w:rPr>
        <w:t>股份变动情况表</w:t>
      </w:r>
    </w:p>
    <w:p>
      <w:pPr>
        <w:jc w:val="right"/>
        <w:rPr>
          <w:szCs w:val="21"/>
        </w:rPr>
      </w:pPr>
      <w:r>
        <w:rPr>
          <w:szCs w:val="21"/>
        </w:rPr>
        <w:t>单位：</w:t>
      </w:r>
      <w:sdt>
        <w:sdtPr>
          <w:rPr>
            <w:rFonts w:hint="eastAsia"/>
            <w:szCs w:val="21"/>
          </w:rPr>
          <w:alias w:val="单位：股份变动情况表"/>
          <w:tag w:val="_GBC_852d31b746dd490d9366194fca5e9598"/>
          <w:id w:val="434336310"/>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ffffffffff7"/>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581"/>
        <w:gridCol w:w="844"/>
        <w:gridCol w:w="1413"/>
        <w:gridCol w:w="1697"/>
        <w:gridCol w:w="1375"/>
        <w:gridCol w:w="1581"/>
        <w:gridCol w:w="1686"/>
        <w:gridCol w:w="742"/>
      </w:tblGrid>
      <w:tr>
        <w:trPr>
          <w:jc w:val="center"/>
        </w:trPr>
        <w:tc>
          <w:tcPr>
            <w:tcW w:w="1029" w:type="pct"/>
            <w:vMerge w:val="restart"/>
            <w:shd w:val="clear" w:color="auto" w:fill="auto"/>
            <w:vAlign w:val="center"/>
          </w:tcPr>
          <w:p>
            <w:pPr>
              <w:jc w:val="center"/>
              <w:rPr>
                <w:szCs w:val="21"/>
              </w:rPr>
            </w:pPr>
          </w:p>
        </w:tc>
        <w:sdt>
          <w:sdtPr>
            <w:tag w:val="_PLD_b9527a064e50418b9212da4d2a1d0df3"/>
            <w:id w:val="-785663426"/>
          </w:sdtPr>
          <w:sdtContent>
            <w:tc>
              <w:tcPr>
                <w:tcW w:w="882" w:type="pct"/>
                <w:gridSpan w:val="2"/>
                <w:shd w:val="clear" w:color="auto" w:fill="auto"/>
                <w:vAlign w:val="center"/>
              </w:tcPr>
              <w:p>
                <w:pPr>
                  <w:pStyle w:val="affffff1"/>
                  <w:jc w:val="center"/>
                  <w:rPr>
                    <w:rFonts w:hAnsi="宋体"/>
                    <w:szCs w:val="21"/>
                  </w:rPr>
                </w:pPr>
                <w:r>
                  <w:rPr>
                    <w:rFonts w:hAnsi="宋体"/>
                    <w:szCs w:val="21"/>
                  </w:rPr>
                  <w:t>本次变动前</w:t>
                </w:r>
              </w:p>
            </w:tc>
          </w:sdtContent>
        </w:sdt>
        <w:sdt>
          <w:sdtPr>
            <w:tag w:val="_PLD_ca58bf210de644a080d50250f302f3c8"/>
            <w:id w:val="1392461280"/>
          </w:sdtPr>
          <w:sdtContent>
            <w:tc>
              <w:tcPr>
                <w:tcW w:w="2206" w:type="pct"/>
                <w:gridSpan w:val="4"/>
                <w:shd w:val="clear" w:color="auto" w:fill="auto"/>
                <w:vAlign w:val="center"/>
              </w:tcPr>
              <w:p>
                <w:pPr>
                  <w:jc w:val="center"/>
                  <w:rPr>
                    <w:szCs w:val="21"/>
                  </w:rPr>
                </w:pPr>
                <w:r>
                  <w:rPr>
                    <w:szCs w:val="21"/>
                  </w:rPr>
                  <w:t>本次变动增减（</w:t>
                </w:r>
                <w:r>
                  <w:rPr>
                    <w:rFonts w:hint="eastAsia"/>
                    <w:szCs w:val="21"/>
                  </w:rPr>
                  <w:t>+，-</w:t>
                </w:r>
                <w:r>
                  <w:rPr>
                    <w:szCs w:val="21"/>
                  </w:rPr>
                  <w:t>）</w:t>
                </w:r>
              </w:p>
            </w:tc>
          </w:sdtContent>
        </w:sdt>
        <w:sdt>
          <w:sdtPr>
            <w:tag w:val="_PLD_257b6e7d34b34e838617d3ec2e88c450"/>
            <w:id w:val="-426350302"/>
          </w:sdtPr>
          <w:sdtContent>
            <w:tc>
              <w:tcPr>
                <w:tcW w:w="883" w:type="pct"/>
                <w:gridSpan w:val="2"/>
                <w:shd w:val="clear" w:color="auto" w:fill="auto"/>
                <w:vAlign w:val="center"/>
              </w:tcPr>
              <w:p>
                <w:pPr>
                  <w:jc w:val="center"/>
                  <w:rPr>
                    <w:szCs w:val="21"/>
                  </w:rPr>
                </w:pPr>
                <w:r>
                  <w:rPr>
                    <w:szCs w:val="21"/>
                  </w:rPr>
                  <w:t>本次变动后</w:t>
                </w:r>
              </w:p>
            </w:tc>
          </w:sdtContent>
        </w:sdt>
      </w:tr>
      <w:tr>
        <w:trPr>
          <w:trHeight w:val="273"/>
          <w:jc w:val="center"/>
        </w:trPr>
        <w:tc>
          <w:tcPr>
            <w:tcW w:w="1029" w:type="pct"/>
            <w:vMerge/>
            <w:shd w:val="clear" w:color="auto" w:fill="auto"/>
          </w:tcPr>
          <w:p>
            <w:pPr>
              <w:jc w:val="center"/>
              <w:rPr>
                <w:szCs w:val="21"/>
              </w:rPr>
            </w:pPr>
          </w:p>
        </w:tc>
        <w:sdt>
          <w:sdtPr>
            <w:tag w:val="_PLD_795b6515b9ff4e1db17e1116ff60e13f"/>
            <w:id w:val="-1703632248"/>
          </w:sdtPr>
          <w:sdtContent>
            <w:tc>
              <w:tcPr>
                <w:tcW w:w="575" w:type="pct"/>
                <w:shd w:val="clear" w:color="auto" w:fill="auto"/>
                <w:vAlign w:val="center"/>
              </w:tcPr>
              <w:p>
                <w:pPr>
                  <w:pStyle w:val="affffff1"/>
                  <w:jc w:val="center"/>
                  <w:rPr>
                    <w:rFonts w:hAnsi="宋体"/>
                    <w:szCs w:val="21"/>
                  </w:rPr>
                </w:pPr>
                <w:r>
                  <w:rPr>
                    <w:rFonts w:hAnsi="宋体"/>
                    <w:szCs w:val="21"/>
                  </w:rPr>
                  <w:t>数量</w:t>
                </w:r>
              </w:p>
            </w:tc>
          </w:sdtContent>
        </w:sdt>
        <w:sdt>
          <w:sdtPr>
            <w:tag w:val="_PLD_73d5343b919442adb141c63d11c2cfe3"/>
            <w:id w:val="-1878543418"/>
          </w:sdtPr>
          <w:sdtContent>
            <w:tc>
              <w:tcPr>
                <w:tcW w:w="307" w:type="pct"/>
                <w:shd w:val="clear" w:color="auto" w:fill="auto"/>
                <w:vAlign w:val="center"/>
              </w:tcPr>
              <w:p>
                <w:pPr>
                  <w:pStyle w:val="affffff1"/>
                  <w:jc w:val="center"/>
                  <w:rPr>
                    <w:rFonts w:hAnsi="宋体"/>
                    <w:szCs w:val="21"/>
                  </w:rPr>
                </w:pPr>
                <w:r>
                  <w:rPr>
                    <w:rFonts w:hAnsi="宋体"/>
                    <w:szCs w:val="21"/>
                  </w:rPr>
                  <w:t>比例(%)</w:t>
                </w:r>
              </w:p>
            </w:tc>
          </w:sdtContent>
        </w:sdt>
        <w:sdt>
          <w:sdtPr>
            <w:tag w:val="_PLD_ed98679a849f41f4aed274ab444cfaf5"/>
            <w:id w:val="279930626"/>
          </w:sdtPr>
          <w:sdtContent>
            <w:tc>
              <w:tcPr>
                <w:tcW w:w="514" w:type="pct"/>
                <w:shd w:val="clear" w:color="auto" w:fill="auto"/>
                <w:vAlign w:val="center"/>
              </w:tcPr>
              <w:p>
                <w:pPr>
                  <w:pStyle w:val="affffff1"/>
                  <w:jc w:val="center"/>
                  <w:rPr>
                    <w:rFonts w:hAnsi="宋体"/>
                    <w:szCs w:val="21"/>
                  </w:rPr>
                </w:pPr>
                <w:r>
                  <w:rPr>
                    <w:rFonts w:hAnsi="宋体"/>
                    <w:szCs w:val="21"/>
                  </w:rPr>
                  <w:t>发行新股</w:t>
                </w:r>
              </w:p>
            </w:tc>
          </w:sdtContent>
        </w:sdt>
        <w:sdt>
          <w:sdtPr>
            <w:tag w:val="_PLD_9a9769412f3c455c9ccdd17bf518a278"/>
            <w:id w:val="259960305"/>
          </w:sdtPr>
          <w:sdtContent>
            <w:tc>
              <w:tcPr>
                <w:tcW w:w="617" w:type="pct"/>
                <w:shd w:val="clear" w:color="auto" w:fill="auto"/>
                <w:vAlign w:val="center"/>
              </w:tcPr>
              <w:p>
                <w:pPr>
                  <w:jc w:val="center"/>
                  <w:rPr>
                    <w:szCs w:val="21"/>
                  </w:rPr>
                </w:pPr>
                <w:r>
                  <w:rPr>
                    <w:szCs w:val="21"/>
                  </w:rPr>
                  <w:t>送股</w:t>
                </w:r>
              </w:p>
            </w:tc>
          </w:sdtContent>
        </w:sdt>
        <w:sdt>
          <w:sdtPr>
            <w:tag w:val="_PLD_8ec878ba584746ca9ce366f5c50b97db"/>
            <w:id w:val="430629459"/>
          </w:sdtPr>
          <w:sdtContent>
            <w:tc>
              <w:tcPr>
                <w:tcW w:w="500" w:type="pct"/>
                <w:shd w:val="clear" w:color="auto" w:fill="auto"/>
                <w:vAlign w:val="center"/>
              </w:tcPr>
              <w:p>
                <w:pPr>
                  <w:pStyle w:val="affffff1"/>
                  <w:jc w:val="center"/>
                  <w:rPr>
                    <w:rFonts w:hAnsi="宋体"/>
                    <w:szCs w:val="21"/>
                  </w:rPr>
                </w:pPr>
                <w:r>
                  <w:rPr>
                    <w:rFonts w:hAnsi="宋体"/>
                    <w:szCs w:val="21"/>
                  </w:rPr>
                  <w:t>其他</w:t>
                </w:r>
              </w:p>
            </w:tc>
          </w:sdtContent>
        </w:sdt>
        <w:sdt>
          <w:sdtPr>
            <w:tag w:val="_PLD_0597d73f82274779afc0a06c1888e731"/>
            <w:id w:val="-316961838"/>
          </w:sdtPr>
          <w:sdtContent>
            <w:tc>
              <w:tcPr>
                <w:tcW w:w="575" w:type="pct"/>
                <w:shd w:val="clear" w:color="auto" w:fill="auto"/>
                <w:vAlign w:val="center"/>
              </w:tcPr>
              <w:p>
                <w:pPr>
                  <w:pStyle w:val="affffff1"/>
                  <w:jc w:val="center"/>
                  <w:rPr>
                    <w:rFonts w:hAnsi="宋体"/>
                    <w:szCs w:val="21"/>
                  </w:rPr>
                </w:pPr>
                <w:r>
                  <w:rPr>
                    <w:rFonts w:hAnsi="宋体"/>
                    <w:szCs w:val="21"/>
                  </w:rPr>
                  <w:t>小计</w:t>
                </w:r>
              </w:p>
            </w:tc>
          </w:sdtContent>
        </w:sdt>
        <w:sdt>
          <w:sdtPr>
            <w:tag w:val="_PLD_95f452be51ff468b8cac4a86637d7617"/>
            <w:id w:val="1178307506"/>
          </w:sdtPr>
          <w:sdtContent>
            <w:tc>
              <w:tcPr>
                <w:tcW w:w="613" w:type="pct"/>
                <w:shd w:val="clear" w:color="auto" w:fill="auto"/>
                <w:vAlign w:val="center"/>
              </w:tcPr>
              <w:p>
                <w:pPr>
                  <w:pStyle w:val="affffff1"/>
                  <w:jc w:val="center"/>
                  <w:rPr>
                    <w:rFonts w:hAnsi="宋体"/>
                    <w:szCs w:val="21"/>
                  </w:rPr>
                </w:pPr>
                <w:r>
                  <w:rPr>
                    <w:rFonts w:hAnsi="宋体"/>
                    <w:szCs w:val="21"/>
                  </w:rPr>
                  <w:t>数量</w:t>
                </w:r>
              </w:p>
            </w:tc>
          </w:sdtContent>
        </w:sdt>
        <w:sdt>
          <w:sdtPr>
            <w:tag w:val="_PLD_27544b89219e425da5c77cd21408a3b6"/>
            <w:id w:val="-1757359214"/>
          </w:sdtPr>
          <w:sdtContent>
            <w:tc>
              <w:tcPr>
                <w:tcW w:w="270" w:type="pct"/>
                <w:shd w:val="clear" w:color="auto" w:fill="auto"/>
                <w:vAlign w:val="center"/>
              </w:tcPr>
              <w:p>
                <w:pPr>
                  <w:pStyle w:val="affffff1"/>
                  <w:jc w:val="center"/>
                  <w:rPr>
                    <w:rFonts w:hAnsi="宋体"/>
                    <w:szCs w:val="21"/>
                  </w:rPr>
                </w:pPr>
                <w:r>
                  <w:rPr>
                    <w:rFonts w:hAnsi="宋体"/>
                    <w:szCs w:val="21"/>
                  </w:rPr>
                  <w:t>比例(%)</w:t>
                </w:r>
              </w:p>
            </w:tc>
          </w:sdtContent>
        </w:sdt>
      </w:tr>
      <w:tr>
        <w:trPr>
          <w:jc w:val="center"/>
        </w:trPr>
        <w:tc>
          <w:tcPr>
            <w:tcW w:w="1029" w:type="pct"/>
            <w:shd w:val="clear" w:color="auto" w:fill="auto"/>
          </w:tcPr>
          <w:p>
            <w:pPr>
              <w:rPr>
                <w:szCs w:val="21"/>
              </w:rPr>
            </w:pPr>
            <w:r>
              <w:rPr>
                <w:szCs w:val="21"/>
              </w:rPr>
              <w:t>一、有限售条件股份</w:t>
            </w:r>
          </w:p>
        </w:tc>
        <w:tc>
          <w:tcPr>
            <w:tcW w:w="575" w:type="pct"/>
            <w:shd w:val="clear" w:color="auto" w:fill="auto"/>
            <w:vAlign w:val="center"/>
          </w:tcPr>
          <w:p>
            <w:pPr>
              <w:jc w:val="right"/>
            </w:pPr>
            <w:r>
              <w:t xml:space="preserve">89,940,000 </w:t>
            </w:r>
          </w:p>
        </w:tc>
        <w:tc>
          <w:tcPr>
            <w:tcW w:w="307" w:type="pct"/>
            <w:shd w:val="clear" w:color="auto" w:fill="auto"/>
            <w:vAlign w:val="center"/>
          </w:tcPr>
          <w:p>
            <w:pPr>
              <w:jc w:val="right"/>
            </w:pPr>
            <w:r>
              <w:t>1.21</w:t>
            </w:r>
          </w:p>
        </w:tc>
        <w:tc>
          <w:tcPr>
            <w:tcW w:w="514" w:type="pct"/>
            <w:shd w:val="clear" w:color="auto" w:fill="auto"/>
            <w:vAlign w:val="center"/>
          </w:tcPr>
          <w:p>
            <w:pPr>
              <w:jc w:val="right"/>
            </w:pPr>
            <w:r>
              <w:t>0</w:t>
            </w:r>
          </w:p>
        </w:tc>
        <w:tc>
          <w:tcPr>
            <w:tcW w:w="617" w:type="pct"/>
            <w:shd w:val="clear" w:color="auto" w:fill="auto"/>
            <w:vAlign w:val="center"/>
          </w:tcPr>
          <w:p>
            <w:pPr>
              <w:jc w:val="right"/>
            </w:pPr>
            <w:r>
              <w:t xml:space="preserve">17,812,620 </w:t>
            </w:r>
          </w:p>
        </w:tc>
        <w:tc>
          <w:tcPr>
            <w:tcW w:w="500" w:type="pct"/>
            <w:shd w:val="clear" w:color="auto" w:fill="auto"/>
            <w:vAlign w:val="center"/>
          </w:tcPr>
          <w:p>
            <w:pPr>
              <w:jc w:val="right"/>
            </w:pPr>
            <w:r>
              <w:t xml:space="preserve">-30,564,600 </w:t>
            </w:r>
          </w:p>
        </w:tc>
        <w:tc>
          <w:tcPr>
            <w:tcW w:w="575" w:type="pct"/>
            <w:shd w:val="clear" w:color="auto" w:fill="auto"/>
            <w:vAlign w:val="center"/>
          </w:tcPr>
          <w:p>
            <w:pPr>
              <w:jc w:val="right"/>
            </w:pPr>
            <w:r>
              <w:t xml:space="preserve">-12,751,980 </w:t>
            </w:r>
          </w:p>
        </w:tc>
        <w:tc>
          <w:tcPr>
            <w:tcW w:w="613" w:type="pct"/>
            <w:shd w:val="clear" w:color="auto" w:fill="auto"/>
            <w:vAlign w:val="center"/>
          </w:tcPr>
          <w:p>
            <w:pPr>
              <w:jc w:val="right"/>
            </w:pPr>
            <w:r>
              <w:t xml:space="preserve">77,188,020 </w:t>
            </w:r>
          </w:p>
        </w:tc>
        <w:tc>
          <w:tcPr>
            <w:tcW w:w="270" w:type="pct"/>
            <w:shd w:val="clear" w:color="auto" w:fill="auto"/>
            <w:vAlign w:val="center"/>
          </w:tcPr>
          <w:p>
            <w:pPr>
              <w:jc w:val="right"/>
            </w:pPr>
            <w:r>
              <w:t xml:space="preserve">0.77 </w:t>
            </w:r>
          </w:p>
        </w:tc>
      </w:tr>
      <w:tr>
        <w:trPr>
          <w:jc w:val="center"/>
        </w:trPr>
        <w:tc>
          <w:tcPr>
            <w:tcW w:w="1029" w:type="pct"/>
            <w:shd w:val="clear" w:color="auto" w:fill="auto"/>
          </w:tcPr>
          <w:p>
            <w:pPr>
              <w:rPr>
                <w:szCs w:val="21"/>
              </w:rPr>
            </w:pPr>
            <w:r>
              <w:rPr>
                <w:szCs w:val="21"/>
              </w:rPr>
              <w:t>1、国家持股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rPr>
                <w:szCs w:val="21"/>
              </w:rPr>
            </w:pPr>
            <w:r>
              <w:rPr>
                <w:szCs w:val="21"/>
              </w:rPr>
              <w:t>2、国有法人持股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rPr>
                <w:szCs w:val="21"/>
              </w:rPr>
            </w:pPr>
            <w:r>
              <w:rPr>
                <w:szCs w:val="21"/>
              </w:rPr>
              <w:t>3、其他内资持股</w:t>
            </w:r>
          </w:p>
        </w:tc>
        <w:tc>
          <w:tcPr>
            <w:tcW w:w="575" w:type="pct"/>
            <w:shd w:val="clear" w:color="auto" w:fill="auto"/>
            <w:vAlign w:val="center"/>
          </w:tcPr>
          <w:p>
            <w:pPr>
              <w:jc w:val="right"/>
            </w:pPr>
            <w:r>
              <w:t xml:space="preserve">89,940,000 </w:t>
            </w:r>
          </w:p>
        </w:tc>
        <w:tc>
          <w:tcPr>
            <w:tcW w:w="307" w:type="pct"/>
            <w:shd w:val="clear" w:color="auto" w:fill="auto"/>
            <w:vAlign w:val="center"/>
          </w:tcPr>
          <w:p>
            <w:pPr>
              <w:jc w:val="right"/>
            </w:pPr>
            <w:r>
              <w:t>1.21</w:t>
            </w:r>
          </w:p>
        </w:tc>
        <w:tc>
          <w:tcPr>
            <w:tcW w:w="514" w:type="pct"/>
            <w:shd w:val="clear" w:color="auto" w:fill="auto"/>
            <w:vAlign w:val="center"/>
          </w:tcPr>
          <w:p>
            <w:pPr>
              <w:jc w:val="right"/>
            </w:pPr>
            <w:r>
              <w:t>0</w:t>
            </w:r>
          </w:p>
        </w:tc>
        <w:tc>
          <w:tcPr>
            <w:tcW w:w="617" w:type="pct"/>
            <w:shd w:val="clear" w:color="auto" w:fill="auto"/>
            <w:vAlign w:val="center"/>
          </w:tcPr>
          <w:p>
            <w:pPr>
              <w:jc w:val="right"/>
            </w:pPr>
            <w:r>
              <w:t xml:space="preserve">17,812,620 </w:t>
            </w:r>
          </w:p>
        </w:tc>
        <w:tc>
          <w:tcPr>
            <w:tcW w:w="500" w:type="pct"/>
            <w:shd w:val="clear" w:color="auto" w:fill="auto"/>
            <w:vAlign w:val="center"/>
          </w:tcPr>
          <w:p>
            <w:pPr>
              <w:jc w:val="right"/>
            </w:pPr>
            <w:r>
              <w:t xml:space="preserve">-30,564,600 </w:t>
            </w:r>
          </w:p>
        </w:tc>
        <w:tc>
          <w:tcPr>
            <w:tcW w:w="575" w:type="pct"/>
            <w:shd w:val="clear" w:color="auto" w:fill="auto"/>
            <w:vAlign w:val="center"/>
          </w:tcPr>
          <w:p>
            <w:pPr>
              <w:jc w:val="right"/>
            </w:pPr>
            <w:r>
              <w:t xml:space="preserve">-12,751,980 </w:t>
            </w:r>
          </w:p>
        </w:tc>
        <w:tc>
          <w:tcPr>
            <w:tcW w:w="613" w:type="pct"/>
            <w:shd w:val="clear" w:color="auto" w:fill="auto"/>
            <w:vAlign w:val="center"/>
          </w:tcPr>
          <w:p>
            <w:pPr>
              <w:jc w:val="right"/>
            </w:pPr>
            <w:r>
              <w:t xml:space="preserve">77,188,020 </w:t>
            </w:r>
          </w:p>
        </w:tc>
        <w:tc>
          <w:tcPr>
            <w:tcW w:w="270" w:type="pct"/>
            <w:shd w:val="clear" w:color="auto" w:fill="auto"/>
            <w:vAlign w:val="center"/>
          </w:tcPr>
          <w:p>
            <w:pPr>
              <w:jc w:val="right"/>
            </w:pPr>
            <w:r>
              <w:t xml:space="preserve">0.77 </w:t>
            </w:r>
          </w:p>
        </w:tc>
      </w:tr>
      <w:tr>
        <w:trPr>
          <w:jc w:val="center"/>
        </w:trPr>
        <w:tc>
          <w:tcPr>
            <w:tcW w:w="1029" w:type="pct"/>
            <w:shd w:val="clear" w:color="auto" w:fill="auto"/>
          </w:tcPr>
          <w:p>
            <w:pPr>
              <w:rPr>
                <w:szCs w:val="21"/>
              </w:rPr>
            </w:pPr>
            <w:r>
              <w:rPr>
                <w:szCs w:val="21"/>
              </w:rPr>
              <w:t>其中：境内非国有法人持股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ind w:firstLineChars="300" w:firstLine="630"/>
              <w:rPr>
                <w:szCs w:val="21"/>
              </w:rPr>
            </w:pPr>
            <w:r>
              <w:rPr>
                <w:szCs w:val="21"/>
              </w:rPr>
              <w:t>境内自然人持股</w:t>
            </w:r>
          </w:p>
        </w:tc>
        <w:tc>
          <w:tcPr>
            <w:tcW w:w="575" w:type="pct"/>
            <w:shd w:val="clear" w:color="auto" w:fill="auto"/>
            <w:vAlign w:val="center"/>
          </w:tcPr>
          <w:p>
            <w:pPr>
              <w:jc w:val="right"/>
            </w:pPr>
            <w:r>
              <w:t xml:space="preserve">89,940,000 </w:t>
            </w:r>
          </w:p>
        </w:tc>
        <w:tc>
          <w:tcPr>
            <w:tcW w:w="307" w:type="pct"/>
            <w:shd w:val="clear" w:color="auto" w:fill="auto"/>
            <w:vAlign w:val="center"/>
          </w:tcPr>
          <w:p>
            <w:pPr>
              <w:jc w:val="right"/>
            </w:pPr>
            <w:r>
              <w:t>1.21</w:t>
            </w:r>
          </w:p>
        </w:tc>
        <w:tc>
          <w:tcPr>
            <w:tcW w:w="514" w:type="pct"/>
            <w:shd w:val="clear" w:color="auto" w:fill="auto"/>
            <w:vAlign w:val="center"/>
          </w:tcPr>
          <w:p>
            <w:pPr>
              <w:jc w:val="right"/>
            </w:pPr>
            <w:r>
              <w:t>0</w:t>
            </w:r>
          </w:p>
        </w:tc>
        <w:tc>
          <w:tcPr>
            <w:tcW w:w="617" w:type="pct"/>
            <w:shd w:val="clear" w:color="auto" w:fill="auto"/>
            <w:vAlign w:val="center"/>
          </w:tcPr>
          <w:p>
            <w:pPr>
              <w:jc w:val="right"/>
            </w:pPr>
            <w:r>
              <w:t xml:space="preserve">17,812,620 </w:t>
            </w:r>
          </w:p>
        </w:tc>
        <w:tc>
          <w:tcPr>
            <w:tcW w:w="500" w:type="pct"/>
            <w:shd w:val="clear" w:color="auto" w:fill="auto"/>
            <w:vAlign w:val="center"/>
          </w:tcPr>
          <w:p>
            <w:pPr>
              <w:jc w:val="right"/>
            </w:pPr>
            <w:r>
              <w:t xml:space="preserve">-30,564,600 </w:t>
            </w:r>
          </w:p>
        </w:tc>
        <w:tc>
          <w:tcPr>
            <w:tcW w:w="575" w:type="pct"/>
            <w:shd w:val="clear" w:color="auto" w:fill="auto"/>
            <w:vAlign w:val="center"/>
          </w:tcPr>
          <w:p>
            <w:pPr>
              <w:jc w:val="right"/>
            </w:pPr>
            <w:r>
              <w:t xml:space="preserve">-12,751,980 </w:t>
            </w:r>
          </w:p>
        </w:tc>
        <w:tc>
          <w:tcPr>
            <w:tcW w:w="613" w:type="pct"/>
            <w:shd w:val="clear" w:color="auto" w:fill="auto"/>
            <w:vAlign w:val="center"/>
          </w:tcPr>
          <w:p>
            <w:pPr>
              <w:jc w:val="right"/>
            </w:pPr>
            <w:r>
              <w:t xml:space="preserve">77,188,020 </w:t>
            </w:r>
          </w:p>
        </w:tc>
        <w:tc>
          <w:tcPr>
            <w:tcW w:w="270" w:type="pct"/>
            <w:shd w:val="clear" w:color="auto" w:fill="auto"/>
            <w:vAlign w:val="center"/>
          </w:tcPr>
          <w:p>
            <w:pPr>
              <w:jc w:val="right"/>
            </w:pPr>
            <w:r>
              <w:t xml:space="preserve">0.77 </w:t>
            </w:r>
          </w:p>
        </w:tc>
      </w:tr>
      <w:tr>
        <w:trPr>
          <w:jc w:val="center"/>
        </w:trPr>
        <w:tc>
          <w:tcPr>
            <w:tcW w:w="1029" w:type="pct"/>
            <w:shd w:val="clear" w:color="auto" w:fill="auto"/>
          </w:tcPr>
          <w:p>
            <w:pPr>
              <w:rPr>
                <w:szCs w:val="21"/>
              </w:rPr>
            </w:pPr>
            <w:r>
              <w:rPr>
                <w:rFonts w:hint="eastAsia"/>
                <w:szCs w:val="21"/>
              </w:rPr>
              <w:t>4、</w:t>
            </w:r>
            <w:r>
              <w:rPr>
                <w:szCs w:val="21"/>
              </w:rPr>
              <w:t>外资持股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rPr>
                <w:szCs w:val="21"/>
              </w:rPr>
            </w:pPr>
            <w:r>
              <w:rPr>
                <w:szCs w:val="21"/>
              </w:rPr>
              <w:t>其中：境外法人持股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ind w:firstLineChars="300" w:firstLine="630"/>
              <w:rPr>
                <w:szCs w:val="21"/>
              </w:rPr>
            </w:pPr>
            <w:r>
              <w:rPr>
                <w:szCs w:val="21"/>
              </w:rPr>
              <w:t>境外自然人持股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pStyle w:val="afffff9"/>
              <w:rPr>
                <w:rFonts w:ascii="宋体" w:hAnsi="宋体"/>
              </w:rPr>
            </w:pPr>
            <w:r>
              <w:rPr>
                <w:rFonts w:ascii="宋体" w:hAnsi="宋体"/>
              </w:rPr>
              <w:t>二、无限售条件流通股份</w:t>
            </w:r>
          </w:p>
        </w:tc>
        <w:tc>
          <w:tcPr>
            <w:tcW w:w="575" w:type="pct"/>
            <w:shd w:val="clear" w:color="auto" w:fill="auto"/>
            <w:vAlign w:val="center"/>
          </w:tcPr>
          <w:p>
            <w:pPr>
              <w:jc w:val="right"/>
            </w:pPr>
            <w:r>
              <w:t xml:space="preserve">7,349,430,720 </w:t>
            </w:r>
          </w:p>
        </w:tc>
        <w:tc>
          <w:tcPr>
            <w:tcW w:w="307" w:type="pct"/>
            <w:shd w:val="clear" w:color="auto" w:fill="auto"/>
            <w:vAlign w:val="center"/>
          </w:tcPr>
          <w:p>
            <w:pPr>
              <w:jc w:val="right"/>
            </w:pPr>
            <w:r>
              <w:t>98.79</w:t>
            </w:r>
          </w:p>
        </w:tc>
        <w:tc>
          <w:tcPr>
            <w:tcW w:w="514" w:type="pct"/>
            <w:shd w:val="clear" w:color="auto" w:fill="auto"/>
            <w:vAlign w:val="center"/>
          </w:tcPr>
          <w:p>
            <w:pPr>
              <w:jc w:val="right"/>
            </w:pPr>
            <w:r>
              <w:t xml:space="preserve">285,000,000 </w:t>
            </w:r>
          </w:p>
        </w:tc>
        <w:tc>
          <w:tcPr>
            <w:tcW w:w="617" w:type="pct"/>
            <w:shd w:val="clear" w:color="auto" w:fill="auto"/>
            <w:vAlign w:val="center"/>
          </w:tcPr>
          <w:p>
            <w:pPr>
              <w:jc w:val="right"/>
            </w:pPr>
            <w:r>
              <w:t xml:space="preserve">2,299,078,242 </w:t>
            </w:r>
          </w:p>
        </w:tc>
        <w:tc>
          <w:tcPr>
            <w:tcW w:w="500" w:type="pct"/>
            <w:shd w:val="clear" w:color="auto" w:fill="auto"/>
            <w:vAlign w:val="center"/>
          </w:tcPr>
          <w:p>
            <w:pPr>
              <w:jc w:val="right"/>
            </w:pPr>
            <w:r>
              <w:t xml:space="preserve">29,163,420 </w:t>
            </w:r>
          </w:p>
        </w:tc>
        <w:tc>
          <w:tcPr>
            <w:tcW w:w="575" w:type="pct"/>
            <w:shd w:val="clear" w:color="auto" w:fill="auto"/>
            <w:vAlign w:val="center"/>
          </w:tcPr>
          <w:p>
            <w:pPr>
              <w:jc w:val="right"/>
            </w:pPr>
            <w:r>
              <w:t xml:space="preserve">2,613,241,662 </w:t>
            </w:r>
          </w:p>
        </w:tc>
        <w:tc>
          <w:tcPr>
            <w:tcW w:w="613" w:type="pct"/>
            <w:shd w:val="clear" w:color="auto" w:fill="auto"/>
            <w:vAlign w:val="center"/>
          </w:tcPr>
          <w:p>
            <w:pPr>
              <w:jc w:val="right"/>
            </w:pPr>
            <w:r>
              <w:t xml:space="preserve">9,962,672,382 </w:t>
            </w:r>
          </w:p>
        </w:tc>
        <w:tc>
          <w:tcPr>
            <w:tcW w:w="270" w:type="pct"/>
            <w:shd w:val="clear" w:color="auto" w:fill="auto"/>
            <w:vAlign w:val="center"/>
          </w:tcPr>
          <w:p>
            <w:pPr>
              <w:jc w:val="right"/>
            </w:pPr>
            <w:r>
              <w:t xml:space="preserve">99.23 </w:t>
            </w:r>
          </w:p>
        </w:tc>
      </w:tr>
      <w:tr>
        <w:trPr>
          <w:jc w:val="center"/>
        </w:trPr>
        <w:tc>
          <w:tcPr>
            <w:tcW w:w="1029" w:type="pct"/>
            <w:shd w:val="clear" w:color="auto" w:fill="auto"/>
          </w:tcPr>
          <w:p>
            <w:pPr>
              <w:rPr>
                <w:szCs w:val="21"/>
              </w:rPr>
            </w:pPr>
            <w:r>
              <w:rPr>
                <w:szCs w:val="21"/>
              </w:rPr>
              <w:t>1、人民币普通股</w:t>
            </w:r>
          </w:p>
        </w:tc>
        <w:tc>
          <w:tcPr>
            <w:tcW w:w="575" w:type="pct"/>
            <w:shd w:val="clear" w:color="auto" w:fill="auto"/>
            <w:vAlign w:val="center"/>
          </w:tcPr>
          <w:p>
            <w:pPr>
              <w:jc w:val="right"/>
            </w:pPr>
            <w:r>
              <w:t xml:space="preserve">4,499,430,720 </w:t>
            </w:r>
          </w:p>
        </w:tc>
        <w:tc>
          <w:tcPr>
            <w:tcW w:w="307" w:type="pct"/>
            <w:shd w:val="clear" w:color="auto" w:fill="auto"/>
            <w:vAlign w:val="center"/>
          </w:tcPr>
          <w:p>
            <w:pPr>
              <w:jc w:val="right"/>
            </w:pPr>
            <w:r>
              <w:t>60.48</w:t>
            </w:r>
          </w:p>
        </w:tc>
        <w:tc>
          <w:tcPr>
            <w:tcW w:w="514" w:type="pct"/>
            <w:shd w:val="clear" w:color="auto" w:fill="auto"/>
            <w:vAlign w:val="center"/>
          </w:tcPr>
          <w:p>
            <w:pPr>
              <w:jc w:val="right"/>
            </w:pPr>
            <w:r>
              <w:t>0</w:t>
            </w:r>
          </w:p>
        </w:tc>
        <w:tc>
          <w:tcPr>
            <w:tcW w:w="617" w:type="pct"/>
            <w:shd w:val="clear" w:color="auto" w:fill="auto"/>
            <w:vAlign w:val="center"/>
          </w:tcPr>
          <w:p>
            <w:pPr>
              <w:jc w:val="right"/>
            </w:pPr>
            <w:r>
              <w:t xml:space="preserve">1,358,578,242 </w:t>
            </w:r>
          </w:p>
        </w:tc>
        <w:tc>
          <w:tcPr>
            <w:tcW w:w="500" w:type="pct"/>
            <w:shd w:val="clear" w:color="auto" w:fill="auto"/>
            <w:vAlign w:val="center"/>
          </w:tcPr>
          <w:p>
            <w:pPr>
              <w:jc w:val="right"/>
            </w:pPr>
            <w:r>
              <w:t xml:space="preserve">29,163,420 </w:t>
            </w:r>
          </w:p>
        </w:tc>
        <w:tc>
          <w:tcPr>
            <w:tcW w:w="575" w:type="pct"/>
            <w:shd w:val="clear" w:color="auto" w:fill="auto"/>
            <w:vAlign w:val="center"/>
          </w:tcPr>
          <w:p>
            <w:pPr>
              <w:jc w:val="right"/>
            </w:pPr>
            <w:r>
              <w:t xml:space="preserve">1,387,741,662 </w:t>
            </w:r>
          </w:p>
        </w:tc>
        <w:tc>
          <w:tcPr>
            <w:tcW w:w="613" w:type="pct"/>
            <w:shd w:val="clear" w:color="auto" w:fill="auto"/>
            <w:vAlign w:val="center"/>
          </w:tcPr>
          <w:p>
            <w:pPr>
              <w:jc w:val="right"/>
            </w:pPr>
            <w:r>
              <w:t xml:space="preserve">5,887,172,382 </w:t>
            </w:r>
          </w:p>
        </w:tc>
        <w:tc>
          <w:tcPr>
            <w:tcW w:w="270" w:type="pct"/>
            <w:shd w:val="clear" w:color="auto" w:fill="auto"/>
            <w:vAlign w:val="center"/>
          </w:tcPr>
          <w:p>
            <w:pPr>
              <w:jc w:val="right"/>
            </w:pPr>
            <w:r>
              <w:t xml:space="preserve">58.64 </w:t>
            </w:r>
          </w:p>
        </w:tc>
      </w:tr>
      <w:tr>
        <w:trPr>
          <w:jc w:val="center"/>
        </w:trPr>
        <w:tc>
          <w:tcPr>
            <w:tcW w:w="1029" w:type="pct"/>
            <w:shd w:val="clear" w:color="auto" w:fill="auto"/>
          </w:tcPr>
          <w:p>
            <w:pPr>
              <w:rPr>
                <w:szCs w:val="21"/>
              </w:rPr>
            </w:pPr>
            <w:r>
              <w:rPr>
                <w:szCs w:val="21"/>
              </w:rPr>
              <w:t>2、境内上市的外资股</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rPr>
                <w:szCs w:val="21"/>
              </w:rPr>
            </w:pPr>
            <w:r>
              <w:rPr>
                <w:szCs w:val="21"/>
              </w:rPr>
              <w:t>3、境外上市的外资股</w:t>
            </w:r>
          </w:p>
        </w:tc>
        <w:tc>
          <w:tcPr>
            <w:tcW w:w="575" w:type="pct"/>
            <w:shd w:val="clear" w:color="auto" w:fill="auto"/>
            <w:vAlign w:val="center"/>
          </w:tcPr>
          <w:p>
            <w:pPr>
              <w:jc w:val="right"/>
            </w:pPr>
            <w:r>
              <w:t xml:space="preserve">2,850,000,000 </w:t>
            </w:r>
          </w:p>
        </w:tc>
        <w:tc>
          <w:tcPr>
            <w:tcW w:w="307" w:type="pct"/>
            <w:shd w:val="clear" w:color="auto" w:fill="auto"/>
            <w:vAlign w:val="center"/>
          </w:tcPr>
          <w:p>
            <w:pPr>
              <w:jc w:val="right"/>
            </w:pPr>
            <w:r>
              <w:t>38.31</w:t>
            </w:r>
          </w:p>
        </w:tc>
        <w:tc>
          <w:tcPr>
            <w:tcW w:w="514" w:type="pct"/>
            <w:shd w:val="clear" w:color="auto" w:fill="auto"/>
            <w:vAlign w:val="center"/>
          </w:tcPr>
          <w:p>
            <w:pPr>
              <w:jc w:val="right"/>
            </w:pPr>
            <w:r>
              <w:t xml:space="preserve">285,000,000 </w:t>
            </w:r>
          </w:p>
        </w:tc>
        <w:tc>
          <w:tcPr>
            <w:tcW w:w="617" w:type="pct"/>
            <w:shd w:val="clear" w:color="auto" w:fill="auto"/>
            <w:vAlign w:val="center"/>
          </w:tcPr>
          <w:p>
            <w:pPr>
              <w:jc w:val="right"/>
            </w:pPr>
            <w:r>
              <w:t xml:space="preserve">940,500,000 </w:t>
            </w:r>
          </w:p>
        </w:tc>
        <w:tc>
          <w:tcPr>
            <w:tcW w:w="500" w:type="pct"/>
            <w:shd w:val="clear" w:color="auto" w:fill="auto"/>
            <w:vAlign w:val="center"/>
          </w:tcPr>
          <w:p>
            <w:pPr>
              <w:jc w:val="right"/>
            </w:pPr>
            <w:r>
              <w:rPr>
                <w:rFonts w:hint="eastAsia"/>
              </w:rPr>
              <w:t>0</w:t>
            </w:r>
          </w:p>
        </w:tc>
        <w:tc>
          <w:tcPr>
            <w:tcW w:w="575" w:type="pct"/>
            <w:shd w:val="clear" w:color="auto" w:fill="auto"/>
            <w:vAlign w:val="center"/>
          </w:tcPr>
          <w:p>
            <w:pPr>
              <w:jc w:val="right"/>
            </w:pPr>
            <w:r>
              <w:t xml:space="preserve">1,225,500,000 </w:t>
            </w:r>
          </w:p>
        </w:tc>
        <w:tc>
          <w:tcPr>
            <w:tcW w:w="613" w:type="pct"/>
            <w:shd w:val="clear" w:color="auto" w:fill="auto"/>
            <w:vAlign w:val="center"/>
          </w:tcPr>
          <w:p>
            <w:pPr>
              <w:jc w:val="right"/>
            </w:pPr>
            <w:r>
              <w:t xml:space="preserve">4,075,500,000 </w:t>
            </w:r>
          </w:p>
        </w:tc>
        <w:tc>
          <w:tcPr>
            <w:tcW w:w="270" w:type="pct"/>
            <w:shd w:val="clear" w:color="auto" w:fill="auto"/>
            <w:vAlign w:val="center"/>
          </w:tcPr>
          <w:p>
            <w:pPr>
              <w:jc w:val="right"/>
            </w:pPr>
            <w:r>
              <w:t xml:space="preserve">40.59 </w:t>
            </w:r>
          </w:p>
        </w:tc>
      </w:tr>
      <w:tr>
        <w:trPr>
          <w:jc w:val="center"/>
        </w:trPr>
        <w:tc>
          <w:tcPr>
            <w:tcW w:w="1029" w:type="pct"/>
            <w:shd w:val="clear" w:color="auto" w:fill="auto"/>
          </w:tcPr>
          <w:p>
            <w:pPr>
              <w:rPr>
                <w:szCs w:val="21"/>
              </w:rPr>
            </w:pPr>
            <w:r>
              <w:rPr>
                <w:szCs w:val="21"/>
              </w:rPr>
              <w:t>4、其他</w:t>
            </w:r>
          </w:p>
        </w:tc>
        <w:tc>
          <w:tcPr>
            <w:tcW w:w="575" w:type="pct"/>
            <w:shd w:val="clear" w:color="auto" w:fill="auto"/>
            <w:vAlign w:val="center"/>
          </w:tcPr>
          <w:p>
            <w:pPr>
              <w:jc w:val="right"/>
            </w:pPr>
            <w:r>
              <w:t xml:space="preserve">0 </w:t>
            </w:r>
          </w:p>
        </w:tc>
        <w:tc>
          <w:tcPr>
            <w:tcW w:w="307" w:type="pct"/>
            <w:shd w:val="clear" w:color="auto" w:fill="auto"/>
            <w:vAlign w:val="center"/>
          </w:tcPr>
          <w:p>
            <w:pPr>
              <w:jc w:val="right"/>
            </w:pPr>
            <w:r>
              <w:t>0</w:t>
            </w:r>
          </w:p>
        </w:tc>
        <w:tc>
          <w:tcPr>
            <w:tcW w:w="514" w:type="pct"/>
            <w:shd w:val="clear" w:color="auto" w:fill="auto"/>
            <w:vAlign w:val="center"/>
          </w:tcPr>
          <w:p>
            <w:pPr>
              <w:jc w:val="right"/>
            </w:pPr>
            <w:r>
              <w:t>0</w:t>
            </w:r>
          </w:p>
        </w:tc>
        <w:tc>
          <w:tcPr>
            <w:tcW w:w="617" w:type="pct"/>
            <w:shd w:val="clear" w:color="auto" w:fill="auto"/>
            <w:vAlign w:val="center"/>
          </w:tcPr>
          <w:p>
            <w:pPr>
              <w:jc w:val="right"/>
            </w:pPr>
            <w:r>
              <w:t>0</w:t>
            </w:r>
          </w:p>
        </w:tc>
        <w:tc>
          <w:tcPr>
            <w:tcW w:w="500" w:type="pct"/>
            <w:shd w:val="clear" w:color="auto" w:fill="auto"/>
            <w:vAlign w:val="center"/>
          </w:tcPr>
          <w:p>
            <w:pPr>
              <w:jc w:val="right"/>
            </w:pPr>
            <w:r>
              <w:t>0</w:t>
            </w:r>
          </w:p>
        </w:tc>
        <w:tc>
          <w:tcPr>
            <w:tcW w:w="575" w:type="pct"/>
            <w:shd w:val="clear" w:color="auto" w:fill="auto"/>
            <w:vAlign w:val="center"/>
          </w:tcPr>
          <w:p>
            <w:pPr>
              <w:jc w:val="right"/>
            </w:pPr>
            <w:r>
              <w:t>0</w:t>
            </w:r>
          </w:p>
        </w:tc>
        <w:tc>
          <w:tcPr>
            <w:tcW w:w="613" w:type="pct"/>
            <w:shd w:val="clear" w:color="auto" w:fill="auto"/>
            <w:vAlign w:val="center"/>
          </w:tcPr>
          <w:p>
            <w:pPr>
              <w:jc w:val="right"/>
            </w:pPr>
            <w:r>
              <w:t>0</w:t>
            </w:r>
          </w:p>
        </w:tc>
        <w:tc>
          <w:tcPr>
            <w:tcW w:w="270" w:type="pct"/>
            <w:shd w:val="clear" w:color="auto" w:fill="auto"/>
            <w:vAlign w:val="center"/>
          </w:tcPr>
          <w:p>
            <w:pPr>
              <w:jc w:val="right"/>
            </w:pPr>
            <w:r>
              <w:t>0</w:t>
            </w:r>
          </w:p>
        </w:tc>
      </w:tr>
      <w:tr>
        <w:trPr>
          <w:jc w:val="center"/>
        </w:trPr>
        <w:tc>
          <w:tcPr>
            <w:tcW w:w="1029" w:type="pct"/>
            <w:shd w:val="clear" w:color="auto" w:fill="auto"/>
          </w:tcPr>
          <w:p>
            <w:pPr>
              <w:rPr>
                <w:szCs w:val="21"/>
              </w:rPr>
            </w:pPr>
            <w:r>
              <w:rPr>
                <w:szCs w:val="21"/>
              </w:rPr>
              <w:t>三、股份</w:t>
            </w:r>
            <w:r>
              <w:rPr>
                <w:rFonts w:hint="eastAsia"/>
                <w:szCs w:val="21"/>
              </w:rPr>
              <w:t>总数</w:t>
            </w:r>
          </w:p>
        </w:tc>
        <w:tc>
          <w:tcPr>
            <w:tcW w:w="575" w:type="pct"/>
            <w:shd w:val="clear" w:color="auto" w:fill="auto"/>
            <w:vAlign w:val="center"/>
          </w:tcPr>
          <w:p>
            <w:pPr>
              <w:jc w:val="right"/>
            </w:pPr>
            <w:r>
              <w:t xml:space="preserve">7,439,370,720 </w:t>
            </w:r>
          </w:p>
        </w:tc>
        <w:tc>
          <w:tcPr>
            <w:tcW w:w="307" w:type="pct"/>
            <w:shd w:val="clear" w:color="auto" w:fill="auto"/>
            <w:vAlign w:val="center"/>
          </w:tcPr>
          <w:p>
            <w:pPr>
              <w:jc w:val="right"/>
            </w:pPr>
            <w:r>
              <w:t>100</w:t>
            </w:r>
          </w:p>
        </w:tc>
        <w:tc>
          <w:tcPr>
            <w:tcW w:w="514" w:type="pct"/>
            <w:shd w:val="clear" w:color="auto" w:fill="auto"/>
            <w:vAlign w:val="center"/>
          </w:tcPr>
          <w:p>
            <w:pPr>
              <w:jc w:val="right"/>
            </w:pPr>
            <w:r>
              <w:t xml:space="preserve">285,000,000 </w:t>
            </w:r>
          </w:p>
        </w:tc>
        <w:tc>
          <w:tcPr>
            <w:tcW w:w="617" w:type="pct"/>
            <w:shd w:val="clear" w:color="auto" w:fill="auto"/>
            <w:vAlign w:val="center"/>
          </w:tcPr>
          <w:p>
            <w:pPr>
              <w:jc w:val="right"/>
            </w:pPr>
            <w:r>
              <w:t xml:space="preserve">2,316,890,862 </w:t>
            </w:r>
          </w:p>
        </w:tc>
        <w:tc>
          <w:tcPr>
            <w:tcW w:w="500" w:type="pct"/>
            <w:shd w:val="clear" w:color="auto" w:fill="auto"/>
            <w:vAlign w:val="center"/>
          </w:tcPr>
          <w:p>
            <w:pPr>
              <w:jc w:val="right"/>
            </w:pPr>
            <w:r>
              <w:t xml:space="preserve">-1,401,180 </w:t>
            </w:r>
          </w:p>
        </w:tc>
        <w:tc>
          <w:tcPr>
            <w:tcW w:w="575" w:type="pct"/>
            <w:shd w:val="clear" w:color="auto" w:fill="auto"/>
            <w:vAlign w:val="center"/>
          </w:tcPr>
          <w:p>
            <w:pPr>
              <w:jc w:val="right"/>
            </w:pPr>
            <w:r>
              <w:t xml:space="preserve">2,600,489,682 </w:t>
            </w:r>
          </w:p>
        </w:tc>
        <w:tc>
          <w:tcPr>
            <w:tcW w:w="613" w:type="pct"/>
            <w:shd w:val="clear" w:color="auto" w:fill="auto"/>
            <w:vAlign w:val="center"/>
          </w:tcPr>
          <w:p>
            <w:pPr>
              <w:jc w:val="right"/>
            </w:pPr>
            <w:r>
              <w:t xml:space="preserve">10,039,860,402 </w:t>
            </w:r>
          </w:p>
        </w:tc>
        <w:tc>
          <w:tcPr>
            <w:tcW w:w="270" w:type="pct"/>
            <w:shd w:val="clear" w:color="auto" w:fill="auto"/>
            <w:vAlign w:val="center"/>
          </w:tcPr>
          <w:p>
            <w:pPr>
              <w:jc w:val="right"/>
            </w:pPr>
            <w:r>
              <w:t>100</w:t>
            </w:r>
          </w:p>
        </w:tc>
      </w:tr>
    </w:tbl>
    <w:p>
      <w:pPr>
        <w:pStyle w:val="affffffd"/>
      </w:pPr>
    </w:p>
    <w:p>
      <w:pPr>
        <w:rPr>
          <w:szCs w:val="21"/>
        </w:rPr>
      </w:pPr>
    </w:p>
    <w:p>
      <w:pPr>
        <w:pStyle w:val="4"/>
        <w:numPr>
          <w:ilvl w:val="2"/>
          <w:numId w:val="9"/>
        </w:numPr>
      </w:pPr>
      <w:r>
        <w:rPr>
          <w:rFonts w:hint="eastAsia"/>
        </w:rPr>
        <w:lastRenderedPageBreak/>
        <w:t>股份变动情况说明</w:t>
      </w:r>
    </w:p>
    <w:sdt>
      <w:sdtPr>
        <w:rPr>
          <w:rFonts w:hint="eastAsia"/>
          <w:szCs w:val="21"/>
        </w:rPr>
        <w:alias w:val="是否适用：普通股股份变动情况说明[双击切换]"/>
        <w:tag w:val="_GBC_b52413c1d37b456ba72aa8b8840cb9d8"/>
        <w:id w:val="-49141190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1753429785"/>
        <w:placeholder>
          <w:docPart w:val="GBC22222222222222222222222222222"/>
        </w:placeholder>
      </w:sdtPr>
      <w:sdtContent>
        <w:p>
          <w:pPr>
            <w:rPr>
              <w:szCs w:val="21"/>
            </w:rPr>
          </w:pPr>
        </w:p>
        <w:p>
          <w:pPr>
            <w:ind w:firstLineChars="200" w:firstLine="420"/>
            <w:rPr>
              <w:color w:val="000000" w:themeColor="text1"/>
              <w:szCs w:val="21"/>
            </w:rPr>
          </w:pPr>
          <w:r>
            <w:rPr>
              <w:color w:val="000000" w:themeColor="text1"/>
              <w:szCs w:val="21"/>
            </w:rPr>
            <w:t>1.</w:t>
          </w:r>
          <w:r>
            <w:rPr>
              <w:rFonts w:hint="eastAsia"/>
              <w:color w:val="000000" w:themeColor="text1"/>
              <w:szCs w:val="21"/>
            </w:rPr>
            <w:t>经</w:t>
          </w:r>
          <w:r>
            <w:rPr>
              <w:color w:val="000000" w:themeColor="text1"/>
              <w:szCs w:val="21"/>
            </w:rPr>
            <w:t>2024年2月23日召开的公司第</w:t>
          </w:r>
          <w:r>
            <w:rPr>
              <w:rFonts w:hint="eastAsia"/>
              <w:color w:val="000000" w:themeColor="text1"/>
              <w:szCs w:val="21"/>
            </w:rPr>
            <w:t>九</w:t>
          </w:r>
          <w:r>
            <w:rPr>
              <w:color w:val="000000" w:themeColor="text1"/>
              <w:szCs w:val="21"/>
            </w:rPr>
            <w:t>届董事会第</w:t>
          </w:r>
          <w:r>
            <w:rPr>
              <w:rFonts w:hint="eastAsia"/>
              <w:color w:val="000000" w:themeColor="text1"/>
              <w:szCs w:val="21"/>
            </w:rPr>
            <w:t>五</w:t>
          </w:r>
          <w:r>
            <w:rPr>
              <w:color w:val="000000" w:themeColor="text1"/>
              <w:szCs w:val="21"/>
            </w:rPr>
            <w:t>次会议审议批准，</w:t>
          </w:r>
          <w:r>
            <w:rPr>
              <w:rFonts w:hint="eastAsia"/>
              <w:color w:val="000000" w:themeColor="text1"/>
              <w:szCs w:val="21"/>
            </w:rPr>
            <w:t>对部分已不符合激励条件的限制性股票进行回购注销，同时</w:t>
          </w:r>
          <w:r>
            <w:rPr>
              <w:color w:val="000000" w:themeColor="text1"/>
              <w:szCs w:val="21"/>
            </w:rPr>
            <w:t>确认公司2021年A股限制性股票激励计划第一个解除限售期条件</w:t>
          </w:r>
          <w:r>
            <w:rPr>
              <w:rFonts w:hint="eastAsia"/>
              <w:color w:val="000000" w:themeColor="text1"/>
              <w:szCs w:val="21"/>
            </w:rPr>
            <w:t>成就。截至报告期末，公司已回购并注销</w:t>
          </w:r>
          <w:r>
            <w:rPr>
              <w:color w:val="000000" w:themeColor="text1"/>
              <w:szCs w:val="21"/>
            </w:rPr>
            <w:t>1</w:t>
          </w:r>
          <w:r>
            <w:rPr>
              <w:rFonts w:hint="eastAsia"/>
              <w:color w:val="000000" w:themeColor="text1"/>
              <w:szCs w:val="21"/>
            </w:rPr>
            <w:t>,</w:t>
          </w:r>
          <w:r>
            <w:rPr>
              <w:color w:val="000000" w:themeColor="text1"/>
              <w:szCs w:val="21"/>
            </w:rPr>
            <w:t>401</w:t>
          </w:r>
          <w:r>
            <w:rPr>
              <w:rFonts w:hint="eastAsia"/>
              <w:color w:val="000000" w:themeColor="text1"/>
              <w:szCs w:val="21"/>
            </w:rPr>
            <w:t>,</w:t>
          </w:r>
          <w:r>
            <w:rPr>
              <w:color w:val="000000" w:themeColor="text1"/>
              <w:szCs w:val="21"/>
            </w:rPr>
            <w:t>180股</w:t>
          </w:r>
          <w:r>
            <w:rPr>
              <w:rFonts w:hint="eastAsia"/>
              <w:color w:val="000000" w:themeColor="text1"/>
              <w:szCs w:val="21"/>
            </w:rPr>
            <w:t>限制性股票，</w:t>
          </w:r>
          <w:r>
            <w:rPr>
              <w:color w:val="000000" w:themeColor="text1"/>
              <w:szCs w:val="21"/>
            </w:rPr>
            <w:t>29,163,420</w:t>
          </w:r>
          <w:r>
            <w:rPr>
              <w:rFonts w:hint="eastAsia"/>
              <w:color w:val="000000" w:themeColor="text1"/>
              <w:szCs w:val="21"/>
            </w:rPr>
            <w:t>股限制性股票已解除限售并上市流通</w:t>
          </w:r>
          <w:r>
            <w:rPr>
              <w:color w:val="000000" w:themeColor="text1"/>
              <w:szCs w:val="21"/>
            </w:rPr>
            <w:t>。</w:t>
          </w:r>
        </w:p>
        <w:p>
          <w:pPr>
            <w:ind w:firstLineChars="200" w:firstLine="420"/>
            <w:rPr>
              <w:color w:val="000000" w:themeColor="text1"/>
              <w:szCs w:val="21"/>
            </w:rPr>
          </w:pPr>
          <w:r>
            <w:rPr>
              <w:rFonts w:hint="eastAsia"/>
              <w:color w:val="000000" w:themeColor="text1"/>
              <w:szCs w:val="21"/>
            </w:rPr>
            <w:t>有关详情请见公司日期为</w:t>
          </w:r>
          <w:r>
            <w:rPr>
              <w:color w:val="000000" w:themeColor="text1"/>
              <w:szCs w:val="21"/>
            </w:rPr>
            <w:t>2024年2月23日</w:t>
          </w:r>
          <w:r>
            <w:rPr>
              <w:rFonts w:hint="eastAsia"/>
              <w:color w:val="000000" w:themeColor="text1"/>
              <w:szCs w:val="21"/>
            </w:rPr>
            <w:t>回购注销部分限制性股票的</w:t>
          </w:r>
          <w:r>
            <w:rPr>
              <w:color w:val="000000" w:themeColor="text1"/>
              <w:szCs w:val="21"/>
            </w:rPr>
            <w:t>公告、</w:t>
          </w:r>
          <w:r>
            <w:rPr>
              <w:rFonts w:hint="eastAsia"/>
              <w:color w:val="000000" w:themeColor="text1"/>
              <w:szCs w:val="21"/>
            </w:rPr>
            <w:t>限售期解除条件成就的公告，</w:t>
          </w:r>
          <w:r>
            <w:rPr>
              <w:color w:val="000000" w:themeColor="text1"/>
              <w:szCs w:val="21"/>
            </w:rPr>
            <w:t>日期为2024年3月4日的</w:t>
          </w:r>
          <w:r>
            <w:rPr>
              <w:rFonts w:hint="eastAsia"/>
              <w:color w:val="000000" w:themeColor="text1"/>
              <w:szCs w:val="21"/>
            </w:rPr>
            <w:t>限制性股票解除限售暨上市的公告，</w:t>
          </w:r>
          <w:r>
            <w:rPr>
              <w:color w:val="000000" w:themeColor="text1"/>
              <w:szCs w:val="21"/>
            </w:rPr>
            <w:t>日期为2024年5月8日的</w:t>
          </w:r>
          <w:r>
            <w:rPr>
              <w:rFonts w:hint="eastAsia"/>
              <w:color w:val="000000" w:themeColor="text1"/>
              <w:szCs w:val="21"/>
            </w:rPr>
            <w:t>部分限制性股票注销完成的</w:t>
          </w:r>
          <w:r>
            <w:rPr>
              <w:color w:val="000000" w:themeColor="text1"/>
              <w:szCs w:val="21"/>
            </w:rPr>
            <w:t>公告</w:t>
          </w:r>
          <w:r>
            <w:rPr>
              <w:rFonts w:hint="eastAsia"/>
              <w:color w:val="000000" w:themeColor="text1"/>
              <w:szCs w:val="21"/>
            </w:rPr>
            <w:t>。</w:t>
          </w:r>
          <w:r>
            <w:rPr>
              <w:color w:val="000000" w:themeColor="text1"/>
              <w:szCs w:val="21"/>
            </w:rPr>
            <w:t>该等资料载于上交所网站、香港联交所网站、公司网站及/或《中国证券报》《上海证券报》《证券时报》《证券日报》。</w:t>
          </w:r>
        </w:p>
        <w:p>
          <w:pPr>
            <w:ind w:firstLineChars="200" w:firstLine="420"/>
            <w:rPr>
              <w:color w:val="000000" w:themeColor="text1"/>
              <w:szCs w:val="21"/>
            </w:rPr>
          </w:pPr>
        </w:p>
        <w:p>
          <w:pPr>
            <w:ind w:firstLineChars="200" w:firstLine="420"/>
            <w:jc w:val="both"/>
            <w:rPr>
              <w:color w:val="000000" w:themeColor="text1"/>
              <w:szCs w:val="21"/>
            </w:rPr>
          </w:pPr>
          <w:r>
            <w:rPr>
              <w:rFonts w:hint="eastAsia"/>
              <w:color w:val="000000" w:themeColor="text1"/>
              <w:szCs w:val="21"/>
            </w:rPr>
            <w:t>2</w:t>
          </w:r>
          <w:r>
            <w:rPr>
              <w:color w:val="000000" w:themeColor="text1"/>
              <w:szCs w:val="21"/>
            </w:rPr>
            <w:t>.</w:t>
          </w:r>
          <w:r>
            <w:rPr>
              <w:rFonts w:hint="eastAsia"/>
              <w:color w:val="000000" w:themeColor="text1"/>
              <w:szCs w:val="21"/>
            </w:rPr>
            <w:t>经</w:t>
          </w:r>
          <w:r>
            <w:rPr>
              <w:color w:val="000000" w:themeColor="text1"/>
              <w:szCs w:val="21"/>
            </w:rPr>
            <w:t>2024年5月31日召开的公司第</w:t>
          </w:r>
          <w:r>
            <w:rPr>
              <w:rFonts w:hint="eastAsia"/>
              <w:color w:val="000000" w:themeColor="text1"/>
              <w:szCs w:val="21"/>
            </w:rPr>
            <w:t>九</w:t>
          </w:r>
          <w:r>
            <w:rPr>
              <w:color w:val="000000" w:themeColor="text1"/>
              <w:szCs w:val="21"/>
            </w:rPr>
            <w:t>届董事会第</w:t>
          </w:r>
          <w:r>
            <w:rPr>
              <w:rFonts w:hint="eastAsia"/>
              <w:color w:val="000000" w:themeColor="text1"/>
              <w:szCs w:val="21"/>
            </w:rPr>
            <w:t>八</w:t>
          </w:r>
          <w:r>
            <w:rPr>
              <w:color w:val="000000" w:themeColor="text1"/>
              <w:szCs w:val="21"/>
            </w:rPr>
            <w:t>次会议审议批准，</w:t>
          </w:r>
          <w:r>
            <w:rPr>
              <w:rFonts w:hint="eastAsia"/>
              <w:color w:val="000000" w:themeColor="text1"/>
              <w:szCs w:val="21"/>
            </w:rPr>
            <w:t>公司向不少于</w:t>
          </w:r>
          <w:r>
            <w:rPr>
              <w:color w:val="000000" w:themeColor="text1"/>
              <w:szCs w:val="21"/>
            </w:rPr>
            <w:t>6名承配人配售</w:t>
          </w:r>
          <w:r>
            <w:rPr>
              <w:rFonts w:hint="eastAsia"/>
              <w:color w:val="000000" w:themeColor="text1"/>
              <w:szCs w:val="21"/>
            </w:rPr>
            <w:t>发行</w:t>
          </w:r>
          <w:r>
            <w:rPr>
              <w:color w:val="000000" w:themeColor="text1"/>
              <w:szCs w:val="21"/>
            </w:rPr>
            <w:t>285,000,000</w:t>
          </w:r>
          <w:r>
            <w:rPr>
              <w:rFonts w:hint="eastAsia"/>
              <w:color w:val="000000" w:themeColor="text1"/>
              <w:szCs w:val="21"/>
            </w:rPr>
            <w:t>股</w:t>
          </w:r>
          <w:r>
            <w:rPr>
              <w:color w:val="000000" w:themeColor="text1"/>
              <w:szCs w:val="21"/>
            </w:rPr>
            <w:t>H股股份</w:t>
          </w:r>
          <w:r>
            <w:rPr>
              <w:rFonts w:hint="eastAsia"/>
              <w:color w:val="000000" w:themeColor="text1"/>
              <w:szCs w:val="21"/>
            </w:rPr>
            <w:t>，截至报告期末，相关配售</w:t>
          </w:r>
          <w:r>
            <w:rPr>
              <w:color w:val="000000" w:themeColor="text1"/>
              <w:szCs w:val="21"/>
            </w:rPr>
            <w:t>H股股份</w:t>
          </w:r>
          <w:r>
            <w:rPr>
              <w:rFonts w:hint="eastAsia"/>
              <w:color w:val="000000" w:themeColor="text1"/>
              <w:szCs w:val="21"/>
            </w:rPr>
            <w:t>已完成交割。</w:t>
          </w:r>
        </w:p>
        <w:p>
          <w:pPr>
            <w:ind w:firstLineChars="200" w:firstLine="420"/>
            <w:rPr>
              <w:color w:val="000000" w:themeColor="text1"/>
              <w:szCs w:val="21"/>
            </w:rPr>
          </w:pPr>
          <w:r>
            <w:rPr>
              <w:rFonts w:hint="eastAsia"/>
              <w:color w:val="000000" w:themeColor="text1"/>
              <w:szCs w:val="21"/>
            </w:rPr>
            <w:t>有关详情请见公司日期为</w:t>
          </w:r>
          <w:r>
            <w:rPr>
              <w:color w:val="000000" w:themeColor="text1"/>
              <w:szCs w:val="21"/>
            </w:rPr>
            <w:t>2024年6月4日的</w:t>
          </w:r>
          <w:r>
            <w:rPr>
              <w:rFonts w:hint="eastAsia"/>
              <w:color w:val="000000" w:themeColor="text1"/>
              <w:szCs w:val="21"/>
            </w:rPr>
            <w:t>关于根据一般性授权发行</w:t>
          </w:r>
          <w:r>
            <w:rPr>
              <w:color w:val="000000" w:themeColor="text1"/>
              <w:szCs w:val="21"/>
            </w:rPr>
            <w:t>H股</w:t>
          </w:r>
          <w:r>
            <w:rPr>
              <w:rFonts w:hint="eastAsia"/>
              <w:color w:val="000000" w:themeColor="text1"/>
              <w:szCs w:val="21"/>
            </w:rPr>
            <w:t>的</w:t>
          </w:r>
          <w:r>
            <w:rPr>
              <w:color w:val="000000" w:themeColor="text1"/>
              <w:szCs w:val="21"/>
            </w:rPr>
            <w:t>公告</w:t>
          </w:r>
          <w:r>
            <w:rPr>
              <w:rFonts w:hint="eastAsia"/>
              <w:color w:val="000000" w:themeColor="text1"/>
              <w:szCs w:val="21"/>
            </w:rPr>
            <w:t>，</w:t>
          </w:r>
          <w:r>
            <w:rPr>
              <w:color w:val="000000" w:themeColor="text1"/>
              <w:szCs w:val="21"/>
            </w:rPr>
            <w:t>日期为2024年6月12日的关于</w:t>
          </w:r>
          <w:r>
            <w:rPr>
              <w:rFonts w:hint="eastAsia"/>
              <w:color w:val="000000" w:themeColor="text1"/>
              <w:szCs w:val="21"/>
            </w:rPr>
            <w:t>根据一般性授权发行</w:t>
          </w:r>
          <w:r>
            <w:rPr>
              <w:color w:val="000000" w:themeColor="text1"/>
              <w:szCs w:val="21"/>
            </w:rPr>
            <w:t>H股完成交割</w:t>
          </w:r>
          <w:r>
            <w:rPr>
              <w:rFonts w:hint="eastAsia"/>
              <w:color w:val="000000" w:themeColor="text1"/>
              <w:szCs w:val="21"/>
            </w:rPr>
            <w:t>的</w:t>
          </w:r>
          <w:r>
            <w:rPr>
              <w:color w:val="000000" w:themeColor="text1"/>
              <w:szCs w:val="21"/>
            </w:rPr>
            <w:t>公告</w:t>
          </w:r>
          <w:r>
            <w:rPr>
              <w:rFonts w:hint="eastAsia"/>
              <w:color w:val="000000" w:themeColor="text1"/>
              <w:szCs w:val="21"/>
            </w:rPr>
            <w:t>。</w:t>
          </w:r>
          <w:r>
            <w:rPr>
              <w:color w:val="000000" w:themeColor="text1"/>
              <w:szCs w:val="21"/>
            </w:rPr>
            <w:t>该等资料载于上交所网站、香港联交所网站、公司网站及/或《中国证券报》《上海证券报》《证券时报》《证券日报》。</w:t>
          </w:r>
        </w:p>
        <w:p>
          <w:pPr>
            <w:ind w:firstLineChars="200" w:firstLine="420"/>
            <w:rPr>
              <w:color w:val="000000" w:themeColor="text1"/>
              <w:szCs w:val="21"/>
            </w:rPr>
          </w:pPr>
        </w:p>
        <w:p>
          <w:pPr>
            <w:ind w:firstLineChars="200" w:firstLine="420"/>
            <w:rPr>
              <w:color w:val="000000" w:themeColor="text1"/>
              <w:szCs w:val="21"/>
            </w:rPr>
          </w:pPr>
          <w:r>
            <w:rPr>
              <w:rFonts w:hint="eastAsia"/>
              <w:color w:val="000000" w:themeColor="text1"/>
              <w:szCs w:val="21"/>
            </w:rPr>
            <w:t>3</w:t>
          </w:r>
          <w:r>
            <w:rPr>
              <w:color w:val="000000" w:themeColor="text1"/>
              <w:szCs w:val="21"/>
            </w:rPr>
            <w:t>.</w:t>
          </w:r>
          <w:r>
            <w:rPr>
              <w:rFonts w:hint="eastAsia"/>
              <w:color w:val="000000" w:themeColor="text1"/>
              <w:szCs w:val="21"/>
            </w:rPr>
            <w:t>经</w:t>
          </w:r>
          <w:r>
            <w:rPr>
              <w:color w:val="000000" w:themeColor="text1"/>
              <w:szCs w:val="21"/>
            </w:rPr>
            <w:t>2024年6月21日召开的公司2023年度股东周年大会审议批准，</w:t>
          </w:r>
          <w:r>
            <w:rPr>
              <w:rFonts w:hint="eastAsia"/>
              <w:color w:val="000000" w:themeColor="text1"/>
              <w:szCs w:val="21"/>
            </w:rPr>
            <w:t>公司</w:t>
          </w:r>
          <w:r>
            <w:rPr>
              <w:color w:val="000000" w:themeColor="text1"/>
              <w:szCs w:val="21"/>
            </w:rPr>
            <w:t>以分红派息股权登记日总股本为基数，向股东每10股派发3股股票股利，截至报告期末，股票股利已全部派发完毕，共派发2,316,890,862股</w:t>
          </w:r>
          <w:r>
            <w:rPr>
              <w:rFonts w:hint="eastAsia"/>
              <w:color w:val="000000" w:themeColor="text1"/>
              <w:szCs w:val="21"/>
            </w:rPr>
            <w:t>。</w:t>
          </w:r>
        </w:p>
        <w:p>
          <w:pPr>
            <w:ind w:firstLineChars="200" w:firstLine="420"/>
            <w:rPr>
              <w:color w:val="000000" w:themeColor="text1"/>
              <w:szCs w:val="21"/>
            </w:rPr>
          </w:pPr>
          <w:r>
            <w:rPr>
              <w:rFonts w:hint="eastAsia"/>
              <w:color w:val="000000" w:themeColor="text1"/>
              <w:szCs w:val="21"/>
            </w:rPr>
            <w:t>有关详情请见公司日期为</w:t>
          </w:r>
          <w:r>
            <w:rPr>
              <w:color w:val="000000" w:themeColor="text1"/>
              <w:szCs w:val="21"/>
            </w:rPr>
            <w:t>2024年6月21日的2023年度股东周年大会决议公告、日期为2024年6月28日的2023</w:t>
          </w:r>
          <w:r>
            <w:rPr>
              <w:rFonts w:hint="eastAsia"/>
              <w:color w:val="000000" w:themeColor="text1"/>
              <w:szCs w:val="21"/>
            </w:rPr>
            <w:t>年</w:t>
          </w:r>
          <w:r>
            <w:rPr>
              <w:color w:val="000000" w:themeColor="text1"/>
              <w:szCs w:val="21"/>
            </w:rPr>
            <w:t>年度权益分派实施公告</w:t>
          </w:r>
          <w:r>
            <w:rPr>
              <w:rFonts w:hint="eastAsia"/>
              <w:color w:val="000000" w:themeColor="text1"/>
              <w:szCs w:val="21"/>
            </w:rPr>
            <w:t>。该等资料载于上交所网站、香港联交所网站、公司网站及</w:t>
          </w:r>
          <w:r>
            <w:rPr>
              <w:color w:val="000000" w:themeColor="text1"/>
              <w:szCs w:val="21"/>
            </w:rPr>
            <w:t>/或《中国证券报》《上海证券报》《证券时报》《证券日报》。</w:t>
          </w:r>
        </w:p>
        <w:p>
          <w:pPr>
            <w:rPr>
              <w:szCs w:val="21"/>
            </w:rPr>
          </w:pPr>
        </w:p>
      </w:sdtContent>
    </w:sdt>
    <w:p>
      <w:pPr>
        <w:pStyle w:val="4"/>
        <w:numPr>
          <w:ilvl w:val="2"/>
          <w:numId w:val="9"/>
        </w:numPr>
      </w:pPr>
      <w:r>
        <w:rPr>
          <w:rFonts w:hint="eastAsia"/>
        </w:rPr>
        <w:t>股份变动对最近一年和最近一期每股收益、每股净资产等财务指标的影响（如有）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58174328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对最近一年和最近一期财务指标的影响"/>
        <w:tag w:val="_GBC_18dc915b15db45f9ad252a23be29055d"/>
        <w:id w:val="-222292228"/>
        <w:placeholder>
          <w:docPart w:val="GBC22222222222222222222222222222"/>
        </w:placeholder>
      </w:sdtPr>
      <w:sdtContent>
        <w:p>
          <w:pPr>
            <w:ind w:firstLineChars="200" w:firstLine="420"/>
            <w:rPr>
              <w:szCs w:val="21"/>
            </w:rPr>
          </w:pPr>
          <w:r>
            <w:rPr>
              <w:rFonts w:hint="eastAsia"/>
              <w:szCs w:val="21"/>
            </w:rPr>
            <w:t>报告期内，公司完成了部分限制性股票回购注销、根据一般性授权发行</w:t>
          </w:r>
          <w:r>
            <w:rPr>
              <w:szCs w:val="21"/>
            </w:rPr>
            <w:t>H股以及2023年度利润分配方案之股票股利派发事宜,公司总股本由7,439,370,720股调整至10,039,860,402股</w:t>
          </w:r>
          <w:r>
            <w:rPr>
              <w:rFonts w:hint="eastAsia"/>
              <w:szCs w:val="21"/>
            </w:rPr>
            <w:t>。按</w:t>
          </w:r>
          <w:bookmarkStart w:id="229" w:name="_Hlk193356096"/>
          <w:r>
            <w:rPr>
              <w:rFonts w:hint="eastAsia"/>
              <w:szCs w:val="21"/>
            </w:rPr>
            <w:t>发行在外的普通股加权平均数</w:t>
          </w:r>
          <w:bookmarkEnd w:id="229"/>
          <w:r>
            <w:rPr>
              <w:rFonts w:hint="eastAsia"/>
              <w:szCs w:val="21"/>
            </w:rPr>
            <w:t>计算，2</w:t>
          </w:r>
          <w:r>
            <w:rPr>
              <w:szCs w:val="21"/>
            </w:rPr>
            <w:t>023</w:t>
          </w:r>
          <w:r>
            <w:rPr>
              <w:rFonts w:hint="eastAsia"/>
              <w:szCs w:val="21"/>
            </w:rPr>
            <w:t>年每股收益为</w:t>
          </w:r>
          <w:r>
            <w:rPr>
              <w:szCs w:val="21"/>
            </w:rPr>
            <w:t>2.11</w:t>
          </w:r>
          <w:r>
            <w:rPr>
              <w:rFonts w:hint="eastAsia"/>
              <w:szCs w:val="21"/>
            </w:rPr>
            <w:t>元，每股净资产为</w:t>
          </w:r>
          <w:r>
            <w:rPr>
              <w:szCs w:val="21"/>
            </w:rPr>
            <w:t>7.63元</w:t>
          </w:r>
          <w:r>
            <w:rPr>
              <w:rFonts w:hint="eastAsia"/>
              <w:szCs w:val="21"/>
            </w:rPr>
            <w:t>。</w:t>
          </w:r>
        </w:p>
      </w:sdtContent>
    </w:sdt>
    <w:p>
      <w:pPr>
        <w:pStyle w:val="4"/>
        <w:numPr>
          <w:ilvl w:val="2"/>
          <w:numId w:val="9"/>
        </w:numPr>
      </w:pPr>
      <w:r>
        <w:rPr>
          <w:rFonts w:hint="eastAsia"/>
        </w:rP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34444402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公司认为必要或证券监管机构要求披露的其他内容"/>
        <w:tag w:val="_GBC_fd25312e52714c36869754949176de99"/>
        <w:id w:val="157344343"/>
        <w:placeholder>
          <w:docPart w:val="GBC22222222222222222222222222222"/>
        </w:placeholder>
      </w:sdtPr>
      <w:sdtContent>
        <w:p>
          <w:pPr>
            <w:ind w:firstLineChars="200" w:firstLine="420"/>
            <w:rPr>
              <w:szCs w:val="21"/>
            </w:rPr>
          </w:pPr>
          <w:r>
            <w:rPr>
              <w:rFonts w:hint="eastAsia"/>
              <w:szCs w:val="21"/>
            </w:rPr>
            <w:t>本公司根据可公开所得的资料以及就董事所知，在本报告披露日，董事相信于报告期内本公司公众持股量占总股本的比例超过</w:t>
          </w:r>
          <w:r>
            <w:rPr>
              <w:szCs w:val="21"/>
            </w:rPr>
            <w:t>25%，符合香港上市规则的规定。</w:t>
          </w:r>
        </w:p>
        <w:p>
          <w:pPr>
            <w:rPr>
              <w:szCs w:val="21"/>
            </w:rPr>
          </w:pPr>
        </w:p>
      </w:sdtContent>
    </w:sdt>
    <w:p>
      <w:pPr>
        <w:pStyle w:val="3"/>
        <w:numPr>
          <w:ilvl w:val="1"/>
          <w:numId w:val="8"/>
        </w:numPr>
        <w:rPr>
          <w:szCs w:val="21"/>
        </w:rPr>
      </w:pPr>
      <w:r>
        <w:rPr>
          <w:rFonts w:hint="eastAsia"/>
          <w:szCs w:val="21"/>
        </w:rPr>
        <w:lastRenderedPageBreak/>
        <w:t>限售股份变动情况</w:t>
      </w:r>
    </w:p>
    <w:sdt>
      <w:sdtPr>
        <w:alias w:val="是否适用：限售股份变动情况表[双击切换]"/>
        <w:tag w:val="_GBC_c7cc39830d364bf68db1ac8777908a9e"/>
        <w:id w:val="-1915701937"/>
        <w:lock w:val="contentLocked"/>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限售股份变动情况表"/>
          <w:tag w:val="_GBC_78c7b80e74ad408295df799b1fb4f5cd"/>
          <w:id w:val="-21412518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Style w:val="afffff7"/>
        <w:tblW w:w="5000" w:type="pct"/>
        <w:tblLook w:val="04A0" w:firstRow="1" w:lastRow="0" w:firstColumn="1" w:lastColumn="0" w:noHBand="0" w:noVBand="1"/>
      </w:tblPr>
      <w:tblGrid>
        <w:gridCol w:w="1764"/>
        <w:gridCol w:w="1764"/>
        <w:gridCol w:w="1763"/>
        <w:gridCol w:w="1766"/>
        <w:gridCol w:w="1730"/>
        <w:gridCol w:w="1766"/>
        <w:gridCol w:w="1766"/>
        <w:gridCol w:w="1544"/>
      </w:tblGrid>
      <w:tr>
        <w:sdt>
          <w:sdtPr>
            <w:rPr>
              <w:szCs w:val="21"/>
            </w:rPr>
            <w:tag w:val="_PLD_c7a1e2914e714458adc9ffc59c440205"/>
            <w:id w:val="-896818206"/>
          </w:sdtPr>
          <w:sdtContent>
            <w:tc>
              <w:tcPr>
                <w:tcW w:w="636" w:type="pct"/>
                <w:vAlign w:val="center"/>
              </w:tcPr>
              <w:p>
                <w:pPr>
                  <w:jc w:val="center"/>
                  <w:rPr>
                    <w:szCs w:val="21"/>
                  </w:rPr>
                </w:pPr>
                <w:r>
                  <w:rPr>
                    <w:szCs w:val="21"/>
                  </w:rPr>
                  <w:t>股东名称</w:t>
                </w:r>
              </w:p>
            </w:tc>
          </w:sdtContent>
        </w:sdt>
        <w:sdt>
          <w:sdtPr>
            <w:rPr>
              <w:szCs w:val="21"/>
            </w:rPr>
            <w:tag w:val="_PLD_bb0180621bd444d18234e236bd4fa08b"/>
            <w:id w:val="1850610061"/>
          </w:sdtPr>
          <w:sdtContent>
            <w:tc>
              <w:tcPr>
                <w:tcW w:w="636" w:type="pct"/>
                <w:vAlign w:val="center"/>
              </w:tcPr>
              <w:p>
                <w:pPr>
                  <w:jc w:val="center"/>
                  <w:rPr>
                    <w:szCs w:val="21"/>
                  </w:rPr>
                </w:pPr>
                <w:r>
                  <w:rPr>
                    <w:rFonts w:hint="eastAsia"/>
                    <w:szCs w:val="21"/>
                  </w:rPr>
                  <w:t>年</w:t>
                </w:r>
                <w:r>
                  <w:rPr>
                    <w:szCs w:val="21"/>
                  </w:rPr>
                  <w:t>初限售股数</w:t>
                </w:r>
              </w:p>
            </w:tc>
          </w:sdtContent>
        </w:sdt>
        <w:sdt>
          <w:sdtPr>
            <w:rPr>
              <w:szCs w:val="21"/>
            </w:rPr>
            <w:tag w:val="_PLD_7b8d307040e34fe88a61e345f5c229e7"/>
            <w:id w:val="-1404286898"/>
          </w:sdtPr>
          <w:sdtContent>
            <w:tc>
              <w:tcPr>
                <w:tcW w:w="636" w:type="pct"/>
                <w:vAlign w:val="center"/>
              </w:tcPr>
              <w:p>
                <w:pPr>
                  <w:jc w:val="center"/>
                  <w:rPr>
                    <w:szCs w:val="21"/>
                  </w:rPr>
                </w:pPr>
                <w:r>
                  <w:rPr>
                    <w:rFonts w:hint="eastAsia"/>
                    <w:szCs w:val="21"/>
                  </w:rPr>
                  <w:t>本年</w:t>
                </w:r>
                <w:r>
                  <w:rPr>
                    <w:szCs w:val="21"/>
                  </w:rPr>
                  <w:t>解除</w:t>
                </w:r>
              </w:p>
              <w:p>
                <w:pPr>
                  <w:jc w:val="center"/>
                  <w:rPr>
                    <w:szCs w:val="21"/>
                  </w:rPr>
                </w:pPr>
                <w:r>
                  <w:rPr>
                    <w:szCs w:val="21"/>
                  </w:rPr>
                  <w:t>限售股数</w:t>
                </w:r>
              </w:p>
            </w:tc>
          </w:sdtContent>
        </w:sdt>
        <w:sdt>
          <w:sdtPr>
            <w:rPr>
              <w:szCs w:val="21"/>
            </w:rPr>
            <w:tag w:val="_PLD_f494b239f14f47d2818db9a79506f1ae"/>
            <w:id w:val="460691727"/>
          </w:sdtPr>
          <w:sdtContent>
            <w:tc>
              <w:tcPr>
                <w:tcW w:w="637" w:type="pct"/>
                <w:vAlign w:val="center"/>
              </w:tcPr>
              <w:p>
                <w:pPr>
                  <w:jc w:val="center"/>
                  <w:rPr>
                    <w:szCs w:val="21"/>
                  </w:rPr>
                </w:pPr>
                <w:r>
                  <w:rPr>
                    <w:rFonts w:hint="eastAsia"/>
                    <w:szCs w:val="21"/>
                  </w:rPr>
                  <w:t>本年</w:t>
                </w:r>
                <w:r>
                  <w:rPr>
                    <w:szCs w:val="21"/>
                  </w:rPr>
                  <w:t>增加</w:t>
                </w:r>
              </w:p>
              <w:p>
                <w:pPr>
                  <w:jc w:val="center"/>
                  <w:rPr>
                    <w:szCs w:val="21"/>
                  </w:rPr>
                </w:pPr>
                <w:r>
                  <w:rPr>
                    <w:szCs w:val="21"/>
                  </w:rPr>
                  <w:t>限售股数</w:t>
                </w:r>
              </w:p>
            </w:tc>
          </w:sdtContent>
        </w:sdt>
        <w:tc>
          <w:tcPr>
            <w:tcW w:w="624" w:type="pct"/>
            <w:vAlign w:val="center"/>
          </w:tcPr>
          <w:p>
            <w:pPr>
              <w:jc w:val="center"/>
              <w:rPr>
                <w:szCs w:val="21"/>
              </w:rPr>
            </w:pPr>
            <w:r>
              <w:rPr>
                <w:rFonts w:hint="eastAsia"/>
                <w:szCs w:val="21"/>
              </w:rPr>
              <w:t>本年减少</w:t>
            </w:r>
          </w:p>
          <w:p>
            <w:pPr>
              <w:jc w:val="center"/>
              <w:rPr>
                <w:szCs w:val="21"/>
              </w:rPr>
            </w:pPr>
            <w:r>
              <w:rPr>
                <w:rFonts w:hint="eastAsia"/>
                <w:szCs w:val="21"/>
              </w:rPr>
              <w:t>限售股数</w:t>
            </w:r>
          </w:p>
        </w:tc>
        <w:sdt>
          <w:sdtPr>
            <w:rPr>
              <w:szCs w:val="21"/>
            </w:rPr>
            <w:tag w:val="_PLD_7f6e541d006347e7a584639c7f427833"/>
            <w:id w:val="800033239"/>
          </w:sdtPr>
          <w:sdtContent>
            <w:tc>
              <w:tcPr>
                <w:tcW w:w="637" w:type="pct"/>
                <w:vAlign w:val="center"/>
              </w:tcPr>
              <w:p>
                <w:pPr>
                  <w:jc w:val="center"/>
                  <w:rPr>
                    <w:szCs w:val="21"/>
                  </w:rPr>
                </w:pPr>
                <w:r>
                  <w:rPr>
                    <w:rFonts w:hint="eastAsia"/>
                    <w:szCs w:val="21"/>
                  </w:rPr>
                  <w:t>年</w:t>
                </w:r>
                <w:r>
                  <w:rPr>
                    <w:szCs w:val="21"/>
                  </w:rPr>
                  <w:t>末</w:t>
                </w:r>
              </w:p>
              <w:p>
                <w:pPr>
                  <w:jc w:val="center"/>
                  <w:rPr>
                    <w:szCs w:val="21"/>
                  </w:rPr>
                </w:pPr>
                <w:r>
                  <w:rPr>
                    <w:szCs w:val="21"/>
                  </w:rPr>
                  <w:t>限售股数</w:t>
                </w:r>
              </w:p>
            </w:tc>
          </w:sdtContent>
        </w:sdt>
        <w:sdt>
          <w:sdtPr>
            <w:rPr>
              <w:szCs w:val="21"/>
            </w:rPr>
            <w:tag w:val="_PLD_d37fee9a3155489fbf6351ef4190eda4"/>
            <w:id w:val="1561823509"/>
          </w:sdtPr>
          <w:sdtContent>
            <w:tc>
              <w:tcPr>
                <w:tcW w:w="637" w:type="pct"/>
                <w:vAlign w:val="center"/>
              </w:tcPr>
              <w:p>
                <w:pPr>
                  <w:jc w:val="center"/>
                  <w:rPr>
                    <w:szCs w:val="21"/>
                  </w:rPr>
                </w:pPr>
                <w:r>
                  <w:rPr>
                    <w:szCs w:val="21"/>
                  </w:rPr>
                  <w:t>限售原因</w:t>
                </w:r>
              </w:p>
            </w:tc>
          </w:sdtContent>
        </w:sdt>
        <w:sdt>
          <w:sdtPr>
            <w:rPr>
              <w:szCs w:val="21"/>
            </w:rPr>
            <w:tag w:val="_PLD_ca5e79dfa7e44389b18b3a663f85094b"/>
            <w:id w:val="1219089015"/>
          </w:sdtPr>
          <w:sdtContent>
            <w:tc>
              <w:tcPr>
                <w:tcW w:w="557" w:type="pct"/>
                <w:vAlign w:val="center"/>
              </w:tcPr>
              <w:p>
                <w:pPr>
                  <w:jc w:val="center"/>
                  <w:rPr>
                    <w:szCs w:val="21"/>
                  </w:rPr>
                </w:pPr>
                <w:r>
                  <w:rPr>
                    <w:szCs w:val="21"/>
                  </w:rPr>
                  <w:t>解除</w:t>
                </w:r>
              </w:p>
              <w:p>
                <w:pPr>
                  <w:jc w:val="center"/>
                  <w:rPr>
                    <w:szCs w:val="21"/>
                  </w:rPr>
                </w:pPr>
                <w:r>
                  <w:rPr>
                    <w:szCs w:val="21"/>
                  </w:rPr>
                  <w:t>限售日期</w:t>
                </w:r>
              </w:p>
            </w:tc>
          </w:sdtContent>
        </w:sdt>
      </w:tr>
      <w:tr>
        <w:tc>
          <w:tcPr>
            <w:tcW w:w="636" w:type="pct"/>
          </w:tcPr>
          <w:p>
            <w:pPr>
              <w:rPr>
                <w:szCs w:val="21"/>
              </w:rPr>
            </w:pPr>
            <w:r>
              <w:rPr>
                <w:rFonts w:hint="eastAsia"/>
                <w:szCs w:val="21"/>
              </w:rPr>
              <w:t>限制性股票激励对象（第一个解除限售期）</w:t>
            </w:r>
          </w:p>
        </w:tc>
        <w:tc>
          <w:tcPr>
            <w:tcW w:w="636" w:type="pct"/>
            <w:vAlign w:val="center"/>
          </w:tcPr>
          <w:p>
            <w:pPr>
              <w:jc w:val="right"/>
              <w:rPr>
                <w:szCs w:val="21"/>
              </w:rPr>
            </w:pPr>
            <w:r>
              <w:rPr>
                <w:szCs w:val="21"/>
              </w:rPr>
              <w:t xml:space="preserve">29,680,200 </w:t>
            </w:r>
          </w:p>
        </w:tc>
        <w:tc>
          <w:tcPr>
            <w:tcW w:w="636" w:type="pct"/>
            <w:vAlign w:val="center"/>
          </w:tcPr>
          <w:p>
            <w:pPr>
              <w:jc w:val="right"/>
              <w:rPr>
                <w:szCs w:val="21"/>
              </w:rPr>
            </w:pPr>
            <w:r>
              <w:rPr>
                <w:szCs w:val="21"/>
              </w:rPr>
              <w:t>29,163,420</w:t>
            </w:r>
          </w:p>
        </w:tc>
        <w:tc>
          <w:tcPr>
            <w:tcW w:w="637" w:type="pct"/>
            <w:vAlign w:val="center"/>
          </w:tcPr>
          <w:p>
            <w:pPr>
              <w:jc w:val="right"/>
              <w:rPr>
                <w:szCs w:val="21"/>
              </w:rPr>
            </w:pPr>
            <w:r>
              <w:rPr>
                <w:szCs w:val="21"/>
              </w:rPr>
              <w:t>0</w:t>
            </w:r>
          </w:p>
        </w:tc>
        <w:tc>
          <w:tcPr>
            <w:tcW w:w="624" w:type="pct"/>
            <w:vAlign w:val="center"/>
          </w:tcPr>
          <w:p>
            <w:pPr>
              <w:jc w:val="right"/>
              <w:rPr>
                <w:szCs w:val="21"/>
              </w:rPr>
            </w:pPr>
            <w:r>
              <w:rPr>
                <w:szCs w:val="21"/>
              </w:rPr>
              <w:t>516,780</w:t>
            </w:r>
          </w:p>
        </w:tc>
        <w:tc>
          <w:tcPr>
            <w:tcW w:w="637" w:type="pct"/>
            <w:vAlign w:val="center"/>
          </w:tcPr>
          <w:p>
            <w:pPr>
              <w:jc w:val="right"/>
              <w:rPr>
                <w:szCs w:val="21"/>
              </w:rPr>
            </w:pPr>
            <w:r>
              <w:rPr>
                <w:szCs w:val="21"/>
              </w:rPr>
              <w:t xml:space="preserve">0 </w:t>
            </w:r>
          </w:p>
        </w:tc>
        <w:tc>
          <w:tcPr>
            <w:tcW w:w="637" w:type="pct"/>
            <w:vAlign w:val="center"/>
          </w:tcPr>
          <w:p>
            <w:pPr>
              <w:rPr>
                <w:szCs w:val="21"/>
              </w:rPr>
            </w:pPr>
            <w:r>
              <w:rPr>
                <w:rFonts w:hint="eastAsia"/>
                <w:szCs w:val="21"/>
              </w:rPr>
              <w:t>-</w:t>
            </w:r>
          </w:p>
        </w:tc>
        <w:tc>
          <w:tcPr>
            <w:tcW w:w="557" w:type="pct"/>
            <w:vMerge w:val="restart"/>
            <w:vAlign w:val="center"/>
          </w:tcPr>
          <w:p>
            <w:pPr>
              <w:rPr>
                <w:szCs w:val="21"/>
              </w:rPr>
            </w:pPr>
            <w:r>
              <w:rPr>
                <w:rFonts w:hint="eastAsia"/>
                <w:szCs w:val="21"/>
              </w:rPr>
              <w:t>股份变动及解除限售日期详见本报告“第五节</w:t>
            </w:r>
            <w:r>
              <w:rPr>
                <w:szCs w:val="21"/>
              </w:rPr>
              <w:t xml:space="preserve"> 公司治理”之股权激励相关内容</w:t>
            </w:r>
          </w:p>
        </w:tc>
      </w:tr>
      <w:tr>
        <w:tc>
          <w:tcPr>
            <w:tcW w:w="636" w:type="pct"/>
          </w:tcPr>
          <w:p>
            <w:pPr>
              <w:rPr>
                <w:szCs w:val="21"/>
              </w:rPr>
            </w:pPr>
            <w:r>
              <w:rPr>
                <w:rFonts w:hint="eastAsia"/>
                <w:szCs w:val="21"/>
              </w:rPr>
              <w:t>限制性股票激励对象（第二个解除限售期）</w:t>
            </w:r>
          </w:p>
        </w:tc>
        <w:tc>
          <w:tcPr>
            <w:tcW w:w="636" w:type="pct"/>
            <w:vAlign w:val="center"/>
          </w:tcPr>
          <w:p>
            <w:pPr>
              <w:jc w:val="right"/>
              <w:rPr>
                <w:szCs w:val="21"/>
              </w:rPr>
            </w:pPr>
            <w:r>
              <w:rPr>
                <w:szCs w:val="21"/>
              </w:rPr>
              <w:t xml:space="preserve">29,680,200 </w:t>
            </w:r>
          </w:p>
        </w:tc>
        <w:tc>
          <w:tcPr>
            <w:tcW w:w="636" w:type="pct"/>
            <w:vAlign w:val="center"/>
          </w:tcPr>
          <w:p>
            <w:pPr>
              <w:jc w:val="right"/>
              <w:rPr>
                <w:szCs w:val="21"/>
              </w:rPr>
            </w:pPr>
            <w:r>
              <w:rPr>
                <w:szCs w:val="21"/>
              </w:rPr>
              <w:t>0</w:t>
            </w:r>
          </w:p>
        </w:tc>
        <w:tc>
          <w:tcPr>
            <w:tcW w:w="637" w:type="pct"/>
            <w:vAlign w:val="center"/>
          </w:tcPr>
          <w:p>
            <w:pPr>
              <w:jc w:val="right"/>
              <w:rPr>
                <w:szCs w:val="21"/>
              </w:rPr>
            </w:pPr>
            <w:r>
              <w:rPr>
                <w:szCs w:val="21"/>
              </w:rPr>
              <w:t xml:space="preserve">8,773,380 </w:t>
            </w:r>
          </w:p>
        </w:tc>
        <w:tc>
          <w:tcPr>
            <w:tcW w:w="624" w:type="pct"/>
            <w:vAlign w:val="center"/>
          </w:tcPr>
          <w:p>
            <w:pPr>
              <w:jc w:val="right"/>
              <w:rPr>
                <w:szCs w:val="21"/>
              </w:rPr>
            </w:pPr>
            <w:r>
              <w:rPr>
                <w:szCs w:val="21"/>
              </w:rPr>
              <w:t>435,600</w:t>
            </w:r>
          </w:p>
        </w:tc>
        <w:tc>
          <w:tcPr>
            <w:tcW w:w="637" w:type="pct"/>
            <w:vAlign w:val="center"/>
          </w:tcPr>
          <w:p>
            <w:pPr>
              <w:jc w:val="right"/>
              <w:rPr>
                <w:szCs w:val="21"/>
              </w:rPr>
            </w:pPr>
            <w:r>
              <w:rPr>
                <w:szCs w:val="21"/>
              </w:rPr>
              <w:t xml:space="preserve">38,017,980 </w:t>
            </w:r>
          </w:p>
        </w:tc>
        <w:tc>
          <w:tcPr>
            <w:tcW w:w="637" w:type="pct"/>
            <w:vAlign w:val="center"/>
          </w:tcPr>
          <w:p>
            <w:pPr>
              <w:rPr>
                <w:color w:val="000000"/>
                <w:szCs w:val="21"/>
              </w:rPr>
            </w:pPr>
            <w:r>
              <w:rPr>
                <w:rFonts w:hint="eastAsia"/>
                <w:color w:val="000000"/>
                <w:szCs w:val="21"/>
              </w:rPr>
              <w:t>股权激励限售</w:t>
            </w:r>
          </w:p>
        </w:tc>
        <w:tc>
          <w:tcPr>
            <w:tcW w:w="557" w:type="pct"/>
            <w:vMerge/>
          </w:tcPr>
          <w:p>
            <w:pPr>
              <w:rPr>
                <w:szCs w:val="21"/>
              </w:rPr>
            </w:pPr>
          </w:p>
        </w:tc>
      </w:tr>
      <w:tr>
        <w:tc>
          <w:tcPr>
            <w:tcW w:w="636" w:type="pct"/>
          </w:tcPr>
          <w:p>
            <w:pPr>
              <w:rPr>
                <w:szCs w:val="21"/>
              </w:rPr>
            </w:pPr>
            <w:r>
              <w:rPr>
                <w:rFonts w:hint="eastAsia"/>
                <w:szCs w:val="21"/>
              </w:rPr>
              <w:t>限制性股票激励对象（第三个解除限售期）</w:t>
            </w:r>
          </w:p>
        </w:tc>
        <w:tc>
          <w:tcPr>
            <w:tcW w:w="636" w:type="pct"/>
            <w:vAlign w:val="center"/>
          </w:tcPr>
          <w:p>
            <w:pPr>
              <w:jc w:val="right"/>
              <w:rPr>
                <w:szCs w:val="21"/>
              </w:rPr>
            </w:pPr>
            <w:r>
              <w:rPr>
                <w:szCs w:val="21"/>
              </w:rPr>
              <w:t xml:space="preserve">30,579,600 </w:t>
            </w:r>
          </w:p>
        </w:tc>
        <w:tc>
          <w:tcPr>
            <w:tcW w:w="636" w:type="pct"/>
            <w:vAlign w:val="center"/>
          </w:tcPr>
          <w:p>
            <w:pPr>
              <w:jc w:val="right"/>
              <w:rPr>
                <w:szCs w:val="21"/>
              </w:rPr>
            </w:pPr>
            <w:r>
              <w:rPr>
                <w:szCs w:val="21"/>
              </w:rPr>
              <w:t>0</w:t>
            </w:r>
          </w:p>
        </w:tc>
        <w:tc>
          <w:tcPr>
            <w:tcW w:w="637" w:type="pct"/>
            <w:vAlign w:val="center"/>
          </w:tcPr>
          <w:p>
            <w:pPr>
              <w:jc w:val="right"/>
              <w:rPr>
                <w:szCs w:val="21"/>
              </w:rPr>
            </w:pPr>
            <w:r>
              <w:rPr>
                <w:szCs w:val="21"/>
              </w:rPr>
              <w:t xml:space="preserve">9,039,240 </w:t>
            </w:r>
          </w:p>
        </w:tc>
        <w:tc>
          <w:tcPr>
            <w:tcW w:w="624" w:type="pct"/>
            <w:vAlign w:val="center"/>
          </w:tcPr>
          <w:p>
            <w:pPr>
              <w:jc w:val="right"/>
              <w:rPr>
                <w:szCs w:val="21"/>
              </w:rPr>
            </w:pPr>
            <w:r>
              <w:rPr>
                <w:szCs w:val="21"/>
              </w:rPr>
              <w:t>448,800</w:t>
            </w:r>
          </w:p>
        </w:tc>
        <w:tc>
          <w:tcPr>
            <w:tcW w:w="637" w:type="pct"/>
            <w:vAlign w:val="center"/>
          </w:tcPr>
          <w:p>
            <w:pPr>
              <w:jc w:val="right"/>
              <w:rPr>
                <w:szCs w:val="21"/>
              </w:rPr>
            </w:pPr>
            <w:r>
              <w:rPr>
                <w:szCs w:val="21"/>
              </w:rPr>
              <w:t xml:space="preserve">39,170,040 </w:t>
            </w:r>
          </w:p>
        </w:tc>
        <w:tc>
          <w:tcPr>
            <w:tcW w:w="637" w:type="pct"/>
            <w:vAlign w:val="center"/>
          </w:tcPr>
          <w:p>
            <w:pPr>
              <w:rPr>
                <w:color w:val="000000"/>
                <w:szCs w:val="21"/>
              </w:rPr>
            </w:pPr>
            <w:r>
              <w:rPr>
                <w:rFonts w:hint="eastAsia"/>
                <w:color w:val="000000"/>
                <w:szCs w:val="21"/>
              </w:rPr>
              <w:t>股权激励限售</w:t>
            </w:r>
          </w:p>
        </w:tc>
        <w:tc>
          <w:tcPr>
            <w:tcW w:w="557" w:type="pct"/>
            <w:vMerge/>
          </w:tcPr>
          <w:p>
            <w:pPr>
              <w:rPr>
                <w:szCs w:val="21"/>
              </w:rPr>
            </w:pPr>
          </w:p>
        </w:tc>
      </w:tr>
      <w:tr>
        <w:tc>
          <w:tcPr>
            <w:tcW w:w="636" w:type="pct"/>
            <w:vAlign w:val="center"/>
          </w:tcPr>
          <w:p>
            <w:pPr>
              <w:jc w:val="center"/>
              <w:rPr>
                <w:szCs w:val="21"/>
              </w:rPr>
            </w:pPr>
            <w:r>
              <w:rPr>
                <w:szCs w:val="21"/>
              </w:rPr>
              <w:t>合计</w:t>
            </w:r>
          </w:p>
        </w:tc>
        <w:tc>
          <w:tcPr>
            <w:tcW w:w="636" w:type="pct"/>
            <w:vAlign w:val="center"/>
          </w:tcPr>
          <w:p>
            <w:pPr>
              <w:jc w:val="right"/>
              <w:rPr>
                <w:szCs w:val="21"/>
              </w:rPr>
            </w:pPr>
            <w:r>
              <w:rPr>
                <w:szCs w:val="21"/>
              </w:rPr>
              <w:t xml:space="preserve">89,940,000 </w:t>
            </w:r>
          </w:p>
        </w:tc>
        <w:tc>
          <w:tcPr>
            <w:tcW w:w="636" w:type="pct"/>
            <w:vAlign w:val="center"/>
          </w:tcPr>
          <w:p>
            <w:pPr>
              <w:jc w:val="right"/>
              <w:rPr>
                <w:szCs w:val="21"/>
              </w:rPr>
            </w:pPr>
            <w:r>
              <w:rPr>
                <w:szCs w:val="21"/>
              </w:rPr>
              <w:t>29,163,420</w:t>
            </w:r>
          </w:p>
        </w:tc>
        <w:tc>
          <w:tcPr>
            <w:tcW w:w="637" w:type="pct"/>
            <w:vAlign w:val="center"/>
          </w:tcPr>
          <w:p>
            <w:pPr>
              <w:jc w:val="right"/>
              <w:rPr>
                <w:szCs w:val="21"/>
              </w:rPr>
            </w:pPr>
            <w:r>
              <w:rPr>
                <w:szCs w:val="21"/>
              </w:rPr>
              <w:t xml:space="preserve">17,812,620 </w:t>
            </w:r>
          </w:p>
        </w:tc>
        <w:tc>
          <w:tcPr>
            <w:tcW w:w="624" w:type="pct"/>
            <w:vAlign w:val="center"/>
          </w:tcPr>
          <w:p>
            <w:pPr>
              <w:jc w:val="right"/>
              <w:rPr>
                <w:szCs w:val="21"/>
              </w:rPr>
            </w:pPr>
            <w:r>
              <w:rPr>
                <w:szCs w:val="21"/>
              </w:rPr>
              <w:t>1,401,180</w:t>
            </w:r>
          </w:p>
        </w:tc>
        <w:tc>
          <w:tcPr>
            <w:tcW w:w="637" w:type="pct"/>
            <w:vAlign w:val="center"/>
          </w:tcPr>
          <w:p>
            <w:pPr>
              <w:jc w:val="right"/>
              <w:rPr>
                <w:szCs w:val="21"/>
              </w:rPr>
            </w:pPr>
            <w:r>
              <w:rPr>
                <w:szCs w:val="21"/>
              </w:rPr>
              <w:t xml:space="preserve">77,188,020 </w:t>
            </w:r>
          </w:p>
        </w:tc>
        <w:tc>
          <w:tcPr>
            <w:tcW w:w="637" w:type="pct"/>
            <w:vAlign w:val="center"/>
          </w:tcPr>
          <w:p>
            <w:pPr>
              <w:jc w:val="center"/>
              <w:rPr>
                <w:szCs w:val="21"/>
              </w:rPr>
            </w:pPr>
            <w:r>
              <w:rPr>
                <w:rFonts w:hint="eastAsia"/>
                <w:szCs w:val="21"/>
              </w:rPr>
              <w:t>/</w:t>
            </w:r>
          </w:p>
        </w:tc>
        <w:tc>
          <w:tcPr>
            <w:tcW w:w="557" w:type="pct"/>
            <w:vAlign w:val="center"/>
          </w:tcPr>
          <w:p>
            <w:pPr>
              <w:jc w:val="center"/>
              <w:rPr>
                <w:szCs w:val="21"/>
              </w:rPr>
            </w:pPr>
            <w:r>
              <w:rPr>
                <w:rFonts w:hint="eastAsia"/>
                <w:szCs w:val="21"/>
              </w:rPr>
              <w:t>/</w:t>
            </w:r>
          </w:p>
        </w:tc>
      </w:tr>
    </w:tbl>
    <w:p>
      <w:pPr>
        <w:pStyle w:val="affffffd"/>
      </w:pPr>
    </w:p>
    <w:p>
      <w:pPr>
        <w:pStyle w:val="2"/>
        <w:numPr>
          <w:ilvl w:val="0"/>
          <w:numId w:val="1"/>
        </w:numPr>
      </w:pPr>
      <w:r>
        <w:t>证券发行与上市情况</w:t>
      </w:r>
    </w:p>
    <w:p>
      <w:pPr>
        <w:pStyle w:val="3"/>
        <w:numPr>
          <w:ilvl w:val="0"/>
          <w:numId w:val="14"/>
        </w:numPr>
      </w:pPr>
      <w:bookmarkStart w:id="230" w:name="_Hlk89954403"/>
      <w:r>
        <w:t>截至</w:t>
      </w:r>
      <w:r>
        <w:rPr>
          <w:rFonts w:hint="eastAsia"/>
        </w:rPr>
        <w:t>报告期内</w:t>
      </w:r>
      <w:r>
        <w:t>证券发行情况</w:t>
      </w:r>
    </w:p>
    <w:sdt>
      <w:sdtPr>
        <w:alias w:val="是否适用：截至报告期内证券发行情况[双击切换]"/>
        <w:tag w:val="_GBC_a9b53137ff4442baa307fbc68ebc8cbc"/>
        <w:id w:val="-2143649811"/>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报告期内证券发行情况"/>
          <w:tag w:val="_GBC_97a55af02d71449cafe4112d94324193"/>
          <w:id w:val="3231706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8404987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7"/>
        <w:tblW w:w="5000" w:type="pct"/>
        <w:tblLook w:val="04A0" w:firstRow="1" w:lastRow="0" w:firstColumn="1" w:lastColumn="0" w:noHBand="0" w:noVBand="1"/>
      </w:tblPr>
      <w:tblGrid>
        <w:gridCol w:w="2806"/>
        <w:gridCol w:w="1852"/>
        <w:gridCol w:w="1872"/>
        <w:gridCol w:w="1852"/>
        <w:gridCol w:w="1849"/>
        <w:gridCol w:w="1783"/>
        <w:gridCol w:w="1849"/>
      </w:tblGrid>
      <w:tr>
        <w:trPr>
          <w:trHeight w:val="165"/>
        </w:trPr>
        <w:sdt>
          <w:sdtPr>
            <w:tag w:val="_PLD_213a92a011c84e099a816a5336a450cc"/>
            <w:id w:val="1778061366"/>
          </w:sdtPr>
          <w:sdtContent>
            <w:tc>
              <w:tcPr>
                <w:tcW w:w="1012" w:type="pct"/>
                <w:vAlign w:val="center"/>
              </w:tcPr>
              <w:p>
                <w:pPr>
                  <w:jc w:val="center"/>
                  <w:rPr>
                    <w:szCs w:val="21"/>
                  </w:rPr>
                </w:pPr>
                <w:r>
                  <w:rPr>
                    <w:rFonts w:hint="eastAsia"/>
                    <w:szCs w:val="21"/>
                  </w:rPr>
                  <w:t>股票及其衍生</w:t>
                </w:r>
              </w:p>
              <w:p>
                <w:pPr>
                  <w:jc w:val="center"/>
                  <w:rPr>
                    <w:szCs w:val="21"/>
                  </w:rPr>
                </w:pPr>
                <w:r>
                  <w:rPr>
                    <w:rFonts w:hint="eastAsia"/>
                    <w:szCs w:val="21"/>
                  </w:rPr>
                  <w:t>证券的种类</w:t>
                </w:r>
              </w:p>
            </w:tc>
          </w:sdtContent>
        </w:sdt>
        <w:sdt>
          <w:sdtPr>
            <w:tag w:val="_PLD_076b37c9bd304e8d8d919720dff5d117"/>
            <w:id w:val="673391755"/>
          </w:sdtPr>
          <w:sdtContent>
            <w:tc>
              <w:tcPr>
                <w:tcW w:w="668" w:type="pct"/>
                <w:vAlign w:val="center"/>
              </w:tcPr>
              <w:p>
                <w:pPr>
                  <w:jc w:val="center"/>
                  <w:rPr>
                    <w:szCs w:val="21"/>
                  </w:rPr>
                </w:pPr>
                <w:r>
                  <w:rPr>
                    <w:rFonts w:hint="eastAsia"/>
                    <w:szCs w:val="21"/>
                  </w:rPr>
                  <w:t>发行日期</w:t>
                </w:r>
              </w:p>
            </w:tc>
          </w:sdtContent>
        </w:sdt>
        <w:sdt>
          <w:sdtPr>
            <w:tag w:val="_PLD_83017f683fe744abb419c10516cae3b8"/>
            <w:id w:val="808673322"/>
          </w:sdtPr>
          <w:sdtContent>
            <w:tc>
              <w:tcPr>
                <w:tcW w:w="675" w:type="pct"/>
                <w:vAlign w:val="center"/>
              </w:tcPr>
              <w:p>
                <w:pPr>
                  <w:jc w:val="center"/>
                  <w:rPr>
                    <w:szCs w:val="21"/>
                  </w:rPr>
                </w:pPr>
                <w:r>
                  <w:rPr>
                    <w:rFonts w:hint="eastAsia"/>
                    <w:szCs w:val="21"/>
                  </w:rPr>
                  <w:t>发行价格（或利率）</w:t>
                </w:r>
              </w:p>
            </w:tc>
          </w:sdtContent>
        </w:sdt>
        <w:sdt>
          <w:sdtPr>
            <w:tag w:val="_PLD_a83f10a8fa0e4c71a8a8294cfa2f9ed7"/>
            <w:id w:val="2065831562"/>
          </w:sdtPr>
          <w:sdtContent>
            <w:tc>
              <w:tcPr>
                <w:tcW w:w="668" w:type="pct"/>
                <w:vAlign w:val="center"/>
              </w:tcPr>
              <w:p>
                <w:pPr>
                  <w:jc w:val="center"/>
                  <w:rPr>
                    <w:szCs w:val="21"/>
                  </w:rPr>
                </w:pPr>
                <w:r>
                  <w:rPr>
                    <w:rFonts w:hint="eastAsia"/>
                    <w:szCs w:val="21"/>
                  </w:rPr>
                  <w:t>发行数量</w:t>
                </w:r>
              </w:p>
            </w:tc>
          </w:sdtContent>
        </w:sdt>
        <w:sdt>
          <w:sdtPr>
            <w:tag w:val="_PLD_0fd8e16104e242e3a87233e9722789bc"/>
            <w:id w:val="-351349749"/>
          </w:sdtPr>
          <w:sdtContent>
            <w:tc>
              <w:tcPr>
                <w:tcW w:w="667" w:type="pct"/>
                <w:vAlign w:val="center"/>
              </w:tcPr>
              <w:p>
                <w:pPr>
                  <w:jc w:val="center"/>
                  <w:rPr>
                    <w:szCs w:val="21"/>
                  </w:rPr>
                </w:pPr>
                <w:r>
                  <w:rPr>
                    <w:rFonts w:hint="eastAsia"/>
                    <w:szCs w:val="21"/>
                  </w:rPr>
                  <w:t>上市日期</w:t>
                </w:r>
              </w:p>
            </w:tc>
          </w:sdtContent>
        </w:sdt>
        <w:sdt>
          <w:sdtPr>
            <w:tag w:val="_PLD_83d2debad46441f6b48f45f45ef2c978"/>
            <w:id w:val="92297472"/>
          </w:sdtPr>
          <w:sdtContent>
            <w:tc>
              <w:tcPr>
                <w:tcW w:w="643" w:type="pct"/>
                <w:vAlign w:val="center"/>
              </w:tcPr>
              <w:p>
                <w:pPr>
                  <w:jc w:val="center"/>
                  <w:rPr>
                    <w:szCs w:val="21"/>
                  </w:rPr>
                </w:pPr>
                <w:r>
                  <w:rPr>
                    <w:rFonts w:hint="eastAsia"/>
                    <w:szCs w:val="21"/>
                  </w:rPr>
                  <w:t>获准上市交易数量</w:t>
                </w:r>
              </w:p>
            </w:tc>
          </w:sdtContent>
        </w:sdt>
        <w:sdt>
          <w:sdtPr>
            <w:tag w:val="_PLD_9129fdf6c81e4e5cba32093c9e2901e5"/>
            <w:id w:val="-1171021354"/>
          </w:sdtPr>
          <w:sdtContent>
            <w:tc>
              <w:tcPr>
                <w:tcW w:w="667" w:type="pct"/>
                <w:vAlign w:val="center"/>
              </w:tcPr>
              <w:p>
                <w:pPr>
                  <w:jc w:val="center"/>
                  <w:rPr>
                    <w:szCs w:val="21"/>
                  </w:rPr>
                </w:pPr>
                <w:r>
                  <w:rPr>
                    <w:rFonts w:hint="eastAsia"/>
                    <w:szCs w:val="21"/>
                  </w:rPr>
                  <w:t>交易终止日期</w:t>
                </w:r>
              </w:p>
            </w:tc>
          </w:sdtContent>
        </w:sdt>
      </w:tr>
      <w:tr>
        <w:trPr>
          <w:trHeight w:val="135"/>
        </w:trPr>
        <w:sdt>
          <w:sdtPr>
            <w:tag w:val="_PLD_e6a7cdf4a4a6450fbd5d6a8c4c8d974e"/>
            <w:id w:val="-229230357"/>
          </w:sdtPr>
          <w:sdtContent>
            <w:tc>
              <w:tcPr>
                <w:tcW w:w="5000" w:type="pct"/>
                <w:gridSpan w:val="7"/>
              </w:tcPr>
              <w:p>
                <w:pPr>
                  <w:rPr>
                    <w:szCs w:val="21"/>
                  </w:rPr>
                </w:pPr>
                <w:r>
                  <w:rPr>
                    <w:rFonts w:hint="eastAsia"/>
                    <w:szCs w:val="21"/>
                  </w:rPr>
                  <w:t>普通股股票类</w:t>
                </w:r>
              </w:p>
            </w:tc>
          </w:sdtContent>
        </w:sdt>
      </w:tr>
      <w:tr>
        <w:trPr>
          <w:trHeight w:val="150"/>
        </w:trPr>
        <w:tc>
          <w:tcPr>
            <w:tcW w:w="1012" w:type="pct"/>
          </w:tcPr>
          <w:p>
            <w:pPr>
              <w:jc w:val="left"/>
              <w:rPr>
                <w:szCs w:val="21"/>
              </w:rPr>
            </w:pPr>
            <w:r>
              <w:rPr>
                <w:rFonts w:hint="eastAsia"/>
                <w:szCs w:val="21"/>
              </w:rPr>
              <w:t>境外上市外资股</w:t>
            </w:r>
          </w:p>
        </w:tc>
        <w:tc>
          <w:tcPr>
            <w:tcW w:w="668" w:type="pct"/>
          </w:tcPr>
          <w:p>
            <w:pPr>
              <w:jc w:val="right"/>
              <w:rPr>
                <w:szCs w:val="21"/>
              </w:rPr>
            </w:pPr>
            <w:r>
              <w:rPr>
                <w:szCs w:val="21"/>
              </w:rPr>
              <w:t>2024/6/12</w:t>
            </w:r>
          </w:p>
        </w:tc>
        <w:tc>
          <w:tcPr>
            <w:tcW w:w="675" w:type="pct"/>
          </w:tcPr>
          <w:p>
            <w:pPr>
              <w:jc w:val="right"/>
              <w:rPr>
                <w:szCs w:val="21"/>
              </w:rPr>
            </w:pPr>
            <w:r>
              <w:rPr>
                <w:rFonts w:hint="eastAsia"/>
                <w:szCs w:val="21"/>
              </w:rPr>
              <w:t>1</w:t>
            </w:r>
            <w:r>
              <w:rPr>
                <w:szCs w:val="21"/>
              </w:rPr>
              <w:t>7.39</w:t>
            </w:r>
            <w:r>
              <w:rPr>
                <w:rFonts w:hint="eastAsia"/>
                <w:szCs w:val="21"/>
              </w:rPr>
              <w:t>港元</w:t>
            </w:r>
          </w:p>
        </w:tc>
        <w:tc>
          <w:tcPr>
            <w:tcW w:w="668" w:type="pct"/>
          </w:tcPr>
          <w:p>
            <w:pPr>
              <w:jc w:val="right"/>
              <w:rPr>
                <w:szCs w:val="21"/>
              </w:rPr>
            </w:pPr>
            <w:r>
              <w:rPr>
                <w:szCs w:val="21"/>
              </w:rPr>
              <w:t>285,000,000</w:t>
            </w:r>
          </w:p>
        </w:tc>
        <w:tc>
          <w:tcPr>
            <w:tcW w:w="667" w:type="pct"/>
          </w:tcPr>
          <w:p>
            <w:pPr>
              <w:jc w:val="right"/>
              <w:rPr>
                <w:szCs w:val="21"/>
              </w:rPr>
            </w:pPr>
            <w:r>
              <w:rPr>
                <w:szCs w:val="21"/>
              </w:rPr>
              <w:t>2024/6/12</w:t>
            </w:r>
          </w:p>
        </w:tc>
        <w:tc>
          <w:tcPr>
            <w:tcW w:w="643" w:type="pct"/>
          </w:tcPr>
          <w:p>
            <w:pPr>
              <w:jc w:val="right"/>
              <w:rPr>
                <w:szCs w:val="21"/>
              </w:rPr>
            </w:pPr>
            <w:r>
              <w:rPr>
                <w:szCs w:val="21"/>
              </w:rPr>
              <w:t>285,000,000</w:t>
            </w:r>
          </w:p>
        </w:tc>
        <w:tc>
          <w:tcPr>
            <w:tcW w:w="667" w:type="pct"/>
          </w:tcPr>
          <w:p>
            <w:pPr>
              <w:jc w:val="right"/>
              <w:rPr>
                <w:szCs w:val="21"/>
              </w:rPr>
            </w:pPr>
            <w:r>
              <w:rPr>
                <w:rFonts w:hint="eastAsia"/>
                <w:szCs w:val="21"/>
              </w:rPr>
              <w:t>-</w:t>
            </w:r>
          </w:p>
        </w:tc>
      </w:tr>
      <w:tr>
        <w:trPr>
          <w:trHeight w:val="120"/>
        </w:trPr>
        <w:tc>
          <w:tcPr>
            <w:tcW w:w="5000" w:type="pct"/>
            <w:gridSpan w:val="7"/>
          </w:tcPr>
          <w:p>
            <w:pPr>
              <w:rPr>
                <w:szCs w:val="21"/>
              </w:rPr>
            </w:pPr>
            <w:sdt>
              <w:sdtPr>
                <w:tag w:val="_PLD_1c6bcdb1eb604452a59144bc9389b40f"/>
                <w:id w:val="-258680981"/>
              </w:sdtPr>
              <w:sdtContent>
                <w:r>
                  <w:rPr>
                    <w:rFonts w:hint="eastAsia"/>
                    <w:szCs w:val="21"/>
                  </w:rPr>
                  <w:t>债券（包括企业债券、公司债券以及非金融企业债务融资工具）</w:t>
                </w:r>
              </w:sdtContent>
            </w:sdt>
          </w:p>
        </w:tc>
      </w:tr>
      <w:tr>
        <w:trPr>
          <w:trHeight w:val="120"/>
        </w:trPr>
        <w:tc>
          <w:tcPr>
            <w:tcW w:w="1012" w:type="pct"/>
          </w:tcPr>
          <w:p>
            <w:pPr>
              <w:jc w:val="left"/>
              <w:rPr>
                <w:szCs w:val="21"/>
              </w:rPr>
            </w:pPr>
            <w:r>
              <w:rPr>
                <w:rFonts w:hint="eastAsia"/>
                <w:szCs w:val="21"/>
              </w:rPr>
              <w:t>公司债</w:t>
            </w:r>
          </w:p>
        </w:tc>
        <w:tc>
          <w:tcPr>
            <w:tcW w:w="668" w:type="pct"/>
          </w:tcPr>
          <w:p>
            <w:pPr>
              <w:jc w:val="right"/>
              <w:rPr>
                <w:szCs w:val="21"/>
              </w:rPr>
            </w:pPr>
            <w:r>
              <w:rPr>
                <w:szCs w:val="21"/>
              </w:rPr>
              <w:t>2024/3/13</w:t>
            </w:r>
          </w:p>
        </w:tc>
        <w:tc>
          <w:tcPr>
            <w:tcW w:w="675" w:type="pct"/>
          </w:tcPr>
          <w:p>
            <w:pPr>
              <w:jc w:val="right"/>
              <w:rPr>
                <w:szCs w:val="21"/>
              </w:rPr>
            </w:pPr>
            <w:r>
              <w:rPr>
                <w:rFonts w:hint="eastAsia"/>
                <w:szCs w:val="21"/>
              </w:rPr>
              <w:t>3</w:t>
            </w:r>
            <w:r>
              <w:rPr>
                <w:szCs w:val="21"/>
              </w:rPr>
              <w:t>.03</w:t>
            </w:r>
          </w:p>
        </w:tc>
        <w:tc>
          <w:tcPr>
            <w:tcW w:w="668" w:type="pct"/>
          </w:tcPr>
          <w:p>
            <w:pPr>
              <w:jc w:val="right"/>
              <w:rPr>
                <w:szCs w:val="21"/>
              </w:rPr>
            </w:pPr>
            <w:r>
              <w:rPr>
                <w:szCs w:val="21"/>
              </w:rPr>
              <w:t>30</w:t>
            </w:r>
            <w:r>
              <w:rPr>
                <w:rFonts w:hint="eastAsia"/>
                <w:szCs w:val="21"/>
              </w:rPr>
              <w:t>亿元</w:t>
            </w:r>
          </w:p>
        </w:tc>
        <w:tc>
          <w:tcPr>
            <w:tcW w:w="667" w:type="pct"/>
          </w:tcPr>
          <w:p>
            <w:pPr>
              <w:jc w:val="right"/>
              <w:rPr>
                <w:szCs w:val="21"/>
              </w:rPr>
            </w:pPr>
            <w:r>
              <w:rPr>
                <w:szCs w:val="21"/>
              </w:rPr>
              <w:t>2024/3/14</w:t>
            </w:r>
          </w:p>
        </w:tc>
        <w:tc>
          <w:tcPr>
            <w:tcW w:w="643" w:type="pct"/>
          </w:tcPr>
          <w:p>
            <w:pPr>
              <w:jc w:val="right"/>
              <w:rPr>
                <w:szCs w:val="21"/>
              </w:rPr>
            </w:pPr>
            <w:r>
              <w:rPr>
                <w:szCs w:val="21"/>
              </w:rPr>
              <w:t>30亿元</w:t>
            </w:r>
          </w:p>
        </w:tc>
        <w:tc>
          <w:tcPr>
            <w:tcW w:w="667" w:type="pct"/>
          </w:tcPr>
          <w:p>
            <w:pPr>
              <w:jc w:val="right"/>
              <w:rPr>
                <w:szCs w:val="21"/>
              </w:rPr>
            </w:pPr>
            <w:r>
              <w:rPr>
                <w:szCs w:val="21"/>
              </w:rPr>
              <w:t>2034/3/14</w:t>
            </w:r>
          </w:p>
        </w:tc>
      </w:tr>
      <w:tr>
        <w:trPr>
          <w:trHeight w:val="120"/>
        </w:trPr>
        <w:tc>
          <w:tcPr>
            <w:tcW w:w="1012" w:type="pct"/>
          </w:tcPr>
          <w:p>
            <w:pPr>
              <w:jc w:val="left"/>
              <w:rPr>
                <w:szCs w:val="21"/>
              </w:rPr>
            </w:pPr>
            <w:r>
              <w:rPr>
                <w:rFonts w:hint="eastAsia"/>
                <w:szCs w:val="21"/>
              </w:rPr>
              <w:t>公司债</w:t>
            </w:r>
          </w:p>
        </w:tc>
        <w:tc>
          <w:tcPr>
            <w:tcW w:w="668" w:type="pct"/>
          </w:tcPr>
          <w:p>
            <w:pPr>
              <w:jc w:val="right"/>
              <w:rPr>
                <w:szCs w:val="21"/>
              </w:rPr>
            </w:pPr>
            <w:r>
              <w:rPr>
                <w:szCs w:val="21"/>
              </w:rPr>
              <w:t>2024/6/17</w:t>
            </w:r>
          </w:p>
        </w:tc>
        <w:tc>
          <w:tcPr>
            <w:tcW w:w="675" w:type="pct"/>
          </w:tcPr>
          <w:p>
            <w:pPr>
              <w:jc w:val="right"/>
              <w:rPr>
                <w:szCs w:val="21"/>
              </w:rPr>
            </w:pPr>
            <w:r>
              <w:rPr>
                <w:rFonts w:hint="eastAsia"/>
                <w:szCs w:val="21"/>
              </w:rPr>
              <w:t>2</w:t>
            </w:r>
            <w:r>
              <w:rPr>
                <w:szCs w:val="21"/>
              </w:rPr>
              <w:t>.28</w:t>
            </w:r>
          </w:p>
        </w:tc>
        <w:tc>
          <w:tcPr>
            <w:tcW w:w="668" w:type="pct"/>
          </w:tcPr>
          <w:p>
            <w:pPr>
              <w:jc w:val="right"/>
              <w:rPr>
                <w:szCs w:val="21"/>
              </w:rPr>
            </w:pPr>
            <w:r>
              <w:rPr>
                <w:szCs w:val="21"/>
              </w:rPr>
              <w:t>30亿元</w:t>
            </w:r>
          </w:p>
        </w:tc>
        <w:tc>
          <w:tcPr>
            <w:tcW w:w="667" w:type="pct"/>
          </w:tcPr>
          <w:p>
            <w:pPr>
              <w:jc w:val="right"/>
              <w:rPr>
                <w:szCs w:val="21"/>
              </w:rPr>
            </w:pPr>
            <w:r>
              <w:rPr>
                <w:szCs w:val="21"/>
              </w:rPr>
              <w:t>2024/6/18</w:t>
            </w:r>
          </w:p>
        </w:tc>
        <w:tc>
          <w:tcPr>
            <w:tcW w:w="643" w:type="pct"/>
          </w:tcPr>
          <w:p>
            <w:pPr>
              <w:jc w:val="right"/>
              <w:rPr>
                <w:szCs w:val="21"/>
              </w:rPr>
            </w:pPr>
            <w:r>
              <w:rPr>
                <w:szCs w:val="21"/>
              </w:rPr>
              <w:t>30亿元</w:t>
            </w:r>
          </w:p>
        </w:tc>
        <w:tc>
          <w:tcPr>
            <w:tcW w:w="667" w:type="pct"/>
          </w:tcPr>
          <w:p>
            <w:pPr>
              <w:jc w:val="right"/>
              <w:rPr>
                <w:szCs w:val="21"/>
              </w:rPr>
            </w:pPr>
            <w:r>
              <w:rPr>
                <w:szCs w:val="21"/>
              </w:rPr>
              <w:t>2027/6/18</w:t>
            </w:r>
          </w:p>
        </w:tc>
      </w:tr>
      <w:tr>
        <w:trPr>
          <w:trHeight w:val="120"/>
        </w:trPr>
        <w:tc>
          <w:tcPr>
            <w:tcW w:w="1012" w:type="pct"/>
          </w:tcPr>
          <w:p>
            <w:pPr>
              <w:rPr>
                <w:szCs w:val="21"/>
              </w:rPr>
            </w:pPr>
            <w:r>
              <w:rPr>
                <w:rFonts w:hint="eastAsia"/>
                <w:szCs w:val="21"/>
              </w:rPr>
              <w:t>公司债</w:t>
            </w:r>
          </w:p>
        </w:tc>
        <w:tc>
          <w:tcPr>
            <w:tcW w:w="668" w:type="pct"/>
          </w:tcPr>
          <w:p>
            <w:pPr>
              <w:jc w:val="right"/>
              <w:rPr>
                <w:szCs w:val="21"/>
              </w:rPr>
            </w:pPr>
            <w:r>
              <w:rPr>
                <w:szCs w:val="21"/>
              </w:rPr>
              <w:t>2024/7/24</w:t>
            </w:r>
          </w:p>
        </w:tc>
        <w:tc>
          <w:tcPr>
            <w:tcW w:w="675" w:type="pct"/>
          </w:tcPr>
          <w:p>
            <w:pPr>
              <w:jc w:val="right"/>
              <w:rPr>
                <w:szCs w:val="21"/>
              </w:rPr>
            </w:pPr>
            <w:r>
              <w:rPr>
                <w:rFonts w:hint="eastAsia"/>
                <w:szCs w:val="21"/>
              </w:rPr>
              <w:t>2</w:t>
            </w:r>
            <w:r>
              <w:rPr>
                <w:szCs w:val="21"/>
              </w:rPr>
              <w:t>.17</w:t>
            </w:r>
          </w:p>
        </w:tc>
        <w:tc>
          <w:tcPr>
            <w:tcW w:w="668" w:type="pct"/>
          </w:tcPr>
          <w:p>
            <w:pPr>
              <w:jc w:val="right"/>
              <w:rPr>
                <w:szCs w:val="21"/>
              </w:rPr>
            </w:pPr>
            <w:r>
              <w:rPr>
                <w:szCs w:val="21"/>
              </w:rPr>
              <w:t>20亿元</w:t>
            </w:r>
          </w:p>
        </w:tc>
        <w:tc>
          <w:tcPr>
            <w:tcW w:w="667" w:type="pct"/>
          </w:tcPr>
          <w:p>
            <w:pPr>
              <w:jc w:val="right"/>
              <w:rPr>
                <w:szCs w:val="21"/>
              </w:rPr>
            </w:pPr>
            <w:r>
              <w:rPr>
                <w:szCs w:val="21"/>
              </w:rPr>
              <w:t>2024/7/25</w:t>
            </w:r>
          </w:p>
        </w:tc>
        <w:tc>
          <w:tcPr>
            <w:tcW w:w="643" w:type="pct"/>
          </w:tcPr>
          <w:p>
            <w:pPr>
              <w:jc w:val="right"/>
              <w:rPr>
                <w:szCs w:val="21"/>
              </w:rPr>
            </w:pPr>
            <w:r>
              <w:rPr>
                <w:szCs w:val="21"/>
              </w:rPr>
              <w:t>20亿元</w:t>
            </w:r>
          </w:p>
        </w:tc>
        <w:tc>
          <w:tcPr>
            <w:tcW w:w="667" w:type="pct"/>
          </w:tcPr>
          <w:p>
            <w:pPr>
              <w:jc w:val="right"/>
              <w:rPr>
                <w:szCs w:val="21"/>
              </w:rPr>
            </w:pPr>
            <w:r>
              <w:rPr>
                <w:szCs w:val="21"/>
              </w:rPr>
              <w:t>2027/7/25</w:t>
            </w:r>
          </w:p>
        </w:tc>
      </w:tr>
      <w:tr>
        <w:trPr>
          <w:trHeight w:val="120"/>
        </w:trPr>
        <w:tc>
          <w:tcPr>
            <w:tcW w:w="1012" w:type="pct"/>
          </w:tcPr>
          <w:p>
            <w:pPr>
              <w:rPr>
                <w:szCs w:val="21"/>
              </w:rPr>
            </w:pPr>
            <w:r>
              <w:rPr>
                <w:rFonts w:hint="eastAsia"/>
                <w:szCs w:val="21"/>
              </w:rPr>
              <w:t>公司债</w:t>
            </w:r>
          </w:p>
        </w:tc>
        <w:tc>
          <w:tcPr>
            <w:tcW w:w="668" w:type="pct"/>
          </w:tcPr>
          <w:p>
            <w:pPr>
              <w:jc w:val="right"/>
              <w:rPr>
                <w:szCs w:val="21"/>
              </w:rPr>
            </w:pPr>
            <w:r>
              <w:rPr>
                <w:szCs w:val="21"/>
              </w:rPr>
              <w:t>2024/8/2</w:t>
            </w:r>
          </w:p>
        </w:tc>
        <w:tc>
          <w:tcPr>
            <w:tcW w:w="675" w:type="pct"/>
          </w:tcPr>
          <w:p>
            <w:pPr>
              <w:jc w:val="right"/>
              <w:rPr>
                <w:szCs w:val="21"/>
              </w:rPr>
            </w:pPr>
            <w:r>
              <w:rPr>
                <w:rFonts w:hint="eastAsia"/>
                <w:szCs w:val="21"/>
              </w:rPr>
              <w:t>2</w:t>
            </w:r>
            <w:r>
              <w:rPr>
                <w:szCs w:val="21"/>
              </w:rPr>
              <w:t>.05</w:t>
            </w:r>
          </w:p>
        </w:tc>
        <w:tc>
          <w:tcPr>
            <w:tcW w:w="668" w:type="pct"/>
          </w:tcPr>
          <w:p>
            <w:pPr>
              <w:jc w:val="right"/>
              <w:rPr>
                <w:szCs w:val="21"/>
              </w:rPr>
            </w:pPr>
            <w:r>
              <w:rPr>
                <w:szCs w:val="21"/>
              </w:rPr>
              <w:t>30亿元</w:t>
            </w:r>
          </w:p>
        </w:tc>
        <w:tc>
          <w:tcPr>
            <w:tcW w:w="667" w:type="pct"/>
          </w:tcPr>
          <w:p>
            <w:pPr>
              <w:jc w:val="right"/>
              <w:rPr>
                <w:szCs w:val="21"/>
              </w:rPr>
            </w:pPr>
            <w:r>
              <w:rPr>
                <w:szCs w:val="21"/>
              </w:rPr>
              <w:t>2024/8/5</w:t>
            </w:r>
          </w:p>
        </w:tc>
        <w:tc>
          <w:tcPr>
            <w:tcW w:w="643" w:type="pct"/>
          </w:tcPr>
          <w:p>
            <w:pPr>
              <w:jc w:val="right"/>
              <w:rPr>
                <w:szCs w:val="21"/>
              </w:rPr>
            </w:pPr>
            <w:r>
              <w:rPr>
                <w:szCs w:val="21"/>
              </w:rPr>
              <w:t>30亿元</w:t>
            </w:r>
          </w:p>
        </w:tc>
        <w:tc>
          <w:tcPr>
            <w:tcW w:w="667" w:type="pct"/>
          </w:tcPr>
          <w:p>
            <w:pPr>
              <w:jc w:val="right"/>
              <w:rPr>
                <w:szCs w:val="21"/>
              </w:rPr>
            </w:pPr>
            <w:r>
              <w:rPr>
                <w:szCs w:val="21"/>
              </w:rPr>
              <w:t>2027/8/5</w:t>
            </w:r>
          </w:p>
        </w:tc>
      </w:tr>
      <w:tr>
        <w:trPr>
          <w:trHeight w:val="120"/>
        </w:trPr>
        <w:tc>
          <w:tcPr>
            <w:tcW w:w="1012" w:type="pct"/>
          </w:tcPr>
          <w:p>
            <w:pPr>
              <w:rPr>
                <w:szCs w:val="21"/>
              </w:rPr>
            </w:pPr>
            <w:r>
              <w:rPr>
                <w:rFonts w:hint="eastAsia"/>
                <w:szCs w:val="21"/>
              </w:rPr>
              <w:lastRenderedPageBreak/>
              <w:t>公司债</w:t>
            </w:r>
          </w:p>
        </w:tc>
        <w:tc>
          <w:tcPr>
            <w:tcW w:w="668" w:type="pct"/>
          </w:tcPr>
          <w:p>
            <w:pPr>
              <w:jc w:val="right"/>
              <w:rPr>
                <w:szCs w:val="21"/>
              </w:rPr>
            </w:pPr>
            <w:r>
              <w:rPr>
                <w:szCs w:val="21"/>
              </w:rPr>
              <w:t>2024/9/12</w:t>
            </w:r>
          </w:p>
        </w:tc>
        <w:tc>
          <w:tcPr>
            <w:tcW w:w="675" w:type="pct"/>
          </w:tcPr>
          <w:p>
            <w:pPr>
              <w:jc w:val="right"/>
              <w:rPr>
                <w:szCs w:val="21"/>
              </w:rPr>
            </w:pPr>
            <w:r>
              <w:rPr>
                <w:rFonts w:hint="eastAsia"/>
                <w:szCs w:val="21"/>
              </w:rPr>
              <w:t>2</w:t>
            </w:r>
            <w:r>
              <w:rPr>
                <w:szCs w:val="21"/>
              </w:rPr>
              <w:t>.15</w:t>
            </w:r>
          </w:p>
        </w:tc>
        <w:tc>
          <w:tcPr>
            <w:tcW w:w="668" w:type="pct"/>
          </w:tcPr>
          <w:p>
            <w:pPr>
              <w:jc w:val="right"/>
              <w:rPr>
                <w:szCs w:val="21"/>
              </w:rPr>
            </w:pPr>
            <w:r>
              <w:rPr>
                <w:szCs w:val="21"/>
              </w:rPr>
              <w:t>20亿元</w:t>
            </w:r>
          </w:p>
        </w:tc>
        <w:tc>
          <w:tcPr>
            <w:tcW w:w="667" w:type="pct"/>
          </w:tcPr>
          <w:p>
            <w:pPr>
              <w:jc w:val="right"/>
              <w:rPr>
                <w:szCs w:val="21"/>
              </w:rPr>
            </w:pPr>
            <w:r>
              <w:rPr>
                <w:szCs w:val="21"/>
              </w:rPr>
              <w:t>2024/9/18</w:t>
            </w:r>
          </w:p>
        </w:tc>
        <w:tc>
          <w:tcPr>
            <w:tcW w:w="643" w:type="pct"/>
          </w:tcPr>
          <w:p>
            <w:pPr>
              <w:jc w:val="right"/>
              <w:rPr>
                <w:szCs w:val="21"/>
              </w:rPr>
            </w:pPr>
            <w:r>
              <w:rPr>
                <w:szCs w:val="21"/>
              </w:rPr>
              <w:t>20亿元</w:t>
            </w:r>
          </w:p>
        </w:tc>
        <w:tc>
          <w:tcPr>
            <w:tcW w:w="667" w:type="pct"/>
          </w:tcPr>
          <w:p>
            <w:pPr>
              <w:jc w:val="right"/>
              <w:rPr>
                <w:szCs w:val="21"/>
              </w:rPr>
            </w:pPr>
            <w:r>
              <w:rPr>
                <w:szCs w:val="21"/>
              </w:rPr>
              <w:t>2027/9/18</w:t>
            </w:r>
          </w:p>
        </w:tc>
      </w:tr>
      <w:tr>
        <w:trPr>
          <w:trHeight w:val="120"/>
        </w:trPr>
        <w:tc>
          <w:tcPr>
            <w:tcW w:w="1012" w:type="pct"/>
          </w:tcPr>
          <w:p>
            <w:pPr>
              <w:rPr>
                <w:szCs w:val="21"/>
              </w:rPr>
            </w:pPr>
            <w:r>
              <w:rPr>
                <w:rFonts w:hint="eastAsia"/>
                <w:szCs w:val="21"/>
              </w:rPr>
              <w:t>中期票据</w:t>
            </w:r>
          </w:p>
        </w:tc>
        <w:tc>
          <w:tcPr>
            <w:tcW w:w="668" w:type="pct"/>
          </w:tcPr>
          <w:p>
            <w:pPr>
              <w:jc w:val="right"/>
              <w:rPr>
                <w:szCs w:val="21"/>
              </w:rPr>
            </w:pPr>
            <w:r>
              <w:rPr>
                <w:szCs w:val="21"/>
              </w:rPr>
              <w:t>2024/1/31</w:t>
            </w:r>
          </w:p>
        </w:tc>
        <w:tc>
          <w:tcPr>
            <w:tcW w:w="675" w:type="pct"/>
          </w:tcPr>
          <w:p>
            <w:pPr>
              <w:jc w:val="right"/>
              <w:rPr>
                <w:szCs w:val="21"/>
              </w:rPr>
            </w:pPr>
            <w:r>
              <w:rPr>
                <w:szCs w:val="21"/>
              </w:rPr>
              <w:t>2.85</w:t>
            </w:r>
          </w:p>
        </w:tc>
        <w:tc>
          <w:tcPr>
            <w:tcW w:w="668" w:type="pct"/>
          </w:tcPr>
          <w:p>
            <w:pPr>
              <w:jc w:val="right"/>
              <w:rPr>
                <w:szCs w:val="21"/>
              </w:rPr>
            </w:pPr>
            <w:r>
              <w:rPr>
                <w:szCs w:val="21"/>
              </w:rPr>
              <w:t>30</w:t>
            </w:r>
            <w:r>
              <w:rPr>
                <w:rFonts w:hint="eastAsia"/>
                <w:szCs w:val="21"/>
              </w:rPr>
              <w:t>亿元</w:t>
            </w:r>
          </w:p>
        </w:tc>
        <w:tc>
          <w:tcPr>
            <w:tcW w:w="667" w:type="pct"/>
          </w:tcPr>
          <w:p>
            <w:pPr>
              <w:jc w:val="right"/>
              <w:rPr>
                <w:szCs w:val="21"/>
              </w:rPr>
            </w:pPr>
            <w:r>
              <w:rPr>
                <w:szCs w:val="21"/>
              </w:rPr>
              <w:t>2024/2/2</w:t>
            </w:r>
          </w:p>
        </w:tc>
        <w:tc>
          <w:tcPr>
            <w:tcW w:w="643" w:type="pct"/>
          </w:tcPr>
          <w:p>
            <w:pPr>
              <w:jc w:val="right"/>
              <w:rPr>
                <w:szCs w:val="21"/>
              </w:rPr>
            </w:pPr>
            <w:r>
              <w:rPr>
                <w:szCs w:val="21"/>
              </w:rPr>
              <w:t>30亿元</w:t>
            </w:r>
          </w:p>
        </w:tc>
        <w:tc>
          <w:tcPr>
            <w:tcW w:w="667" w:type="pct"/>
          </w:tcPr>
          <w:p>
            <w:pPr>
              <w:jc w:val="right"/>
              <w:rPr>
                <w:szCs w:val="21"/>
              </w:rPr>
            </w:pPr>
            <w:r>
              <w:rPr>
                <w:szCs w:val="21"/>
              </w:rPr>
              <w:t>2027/2/2</w:t>
            </w:r>
          </w:p>
        </w:tc>
      </w:tr>
      <w:tr>
        <w:trPr>
          <w:trHeight w:val="120"/>
        </w:trPr>
        <w:tc>
          <w:tcPr>
            <w:tcW w:w="1012" w:type="pct"/>
          </w:tcPr>
          <w:p>
            <w:pPr>
              <w:rPr>
                <w:szCs w:val="21"/>
              </w:rPr>
            </w:pPr>
            <w:r>
              <w:rPr>
                <w:rFonts w:hint="eastAsia"/>
                <w:szCs w:val="21"/>
              </w:rPr>
              <w:t>中期票据</w:t>
            </w:r>
          </w:p>
        </w:tc>
        <w:tc>
          <w:tcPr>
            <w:tcW w:w="668" w:type="pct"/>
          </w:tcPr>
          <w:p>
            <w:pPr>
              <w:jc w:val="right"/>
              <w:rPr>
                <w:szCs w:val="21"/>
              </w:rPr>
            </w:pPr>
            <w:r>
              <w:rPr>
                <w:szCs w:val="21"/>
              </w:rPr>
              <w:t>2024/10/28</w:t>
            </w:r>
          </w:p>
        </w:tc>
        <w:tc>
          <w:tcPr>
            <w:tcW w:w="675" w:type="pct"/>
          </w:tcPr>
          <w:p>
            <w:pPr>
              <w:jc w:val="right"/>
              <w:rPr>
                <w:szCs w:val="21"/>
              </w:rPr>
            </w:pPr>
            <w:r>
              <w:rPr>
                <w:rFonts w:hint="eastAsia"/>
                <w:szCs w:val="21"/>
              </w:rPr>
              <w:t>2</w:t>
            </w:r>
            <w:r>
              <w:rPr>
                <w:szCs w:val="21"/>
              </w:rPr>
              <w:t>.43</w:t>
            </w:r>
          </w:p>
        </w:tc>
        <w:tc>
          <w:tcPr>
            <w:tcW w:w="668" w:type="pct"/>
          </w:tcPr>
          <w:p>
            <w:pPr>
              <w:jc w:val="right"/>
              <w:rPr>
                <w:szCs w:val="21"/>
              </w:rPr>
            </w:pPr>
            <w:r>
              <w:rPr>
                <w:rFonts w:hint="eastAsia"/>
                <w:szCs w:val="21"/>
              </w:rPr>
              <w:t>1</w:t>
            </w:r>
            <w:r>
              <w:rPr>
                <w:szCs w:val="21"/>
              </w:rPr>
              <w:t>5</w:t>
            </w:r>
            <w:r>
              <w:rPr>
                <w:rFonts w:hint="eastAsia"/>
                <w:szCs w:val="21"/>
              </w:rPr>
              <w:t>亿元</w:t>
            </w:r>
          </w:p>
        </w:tc>
        <w:tc>
          <w:tcPr>
            <w:tcW w:w="667" w:type="pct"/>
          </w:tcPr>
          <w:p>
            <w:pPr>
              <w:jc w:val="right"/>
              <w:rPr>
                <w:szCs w:val="21"/>
              </w:rPr>
            </w:pPr>
            <w:r>
              <w:rPr>
                <w:szCs w:val="21"/>
              </w:rPr>
              <w:t>2024/10/30</w:t>
            </w:r>
          </w:p>
        </w:tc>
        <w:tc>
          <w:tcPr>
            <w:tcW w:w="643" w:type="pct"/>
          </w:tcPr>
          <w:p>
            <w:pPr>
              <w:jc w:val="right"/>
              <w:rPr>
                <w:szCs w:val="21"/>
              </w:rPr>
            </w:pPr>
            <w:r>
              <w:rPr>
                <w:szCs w:val="21"/>
              </w:rPr>
              <w:t>15亿元</w:t>
            </w:r>
          </w:p>
        </w:tc>
        <w:tc>
          <w:tcPr>
            <w:tcW w:w="667" w:type="pct"/>
          </w:tcPr>
          <w:p>
            <w:pPr>
              <w:jc w:val="right"/>
              <w:rPr>
                <w:szCs w:val="21"/>
              </w:rPr>
            </w:pPr>
            <w:r>
              <w:rPr>
                <w:szCs w:val="21"/>
              </w:rPr>
              <w:t>2026/10/30</w:t>
            </w:r>
          </w:p>
        </w:tc>
      </w:tr>
      <w:tr>
        <w:trPr>
          <w:trHeight w:val="120"/>
        </w:trPr>
        <w:tc>
          <w:tcPr>
            <w:tcW w:w="1012" w:type="pct"/>
          </w:tcPr>
          <w:p>
            <w:pPr>
              <w:rPr>
                <w:szCs w:val="21"/>
              </w:rPr>
            </w:pPr>
            <w:r>
              <w:rPr>
                <w:rFonts w:hint="eastAsia"/>
                <w:szCs w:val="21"/>
              </w:rPr>
              <w:t>中期票据</w:t>
            </w:r>
          </w:p>
        </w:tc>
        <w:tc>
          <w:tcPr>
            <w:tcW w:w="668" w:type="pct"/>
          </w:tcPr>
          <w:p>
            <w:pPr>
              <w:jc w:val="right"/>
              <w:rPr>
                <w:szCs w:val="21"/>
              </w:rPr>
            </w:pPr>
            <w:r>
              <w:rPr>
                <w:szCs w:val="21"/>
              </w:rPr>
              <w:t>2024/11/20</w:t>
            </w:r>
          </w:p>
        </w:tc>
        <w:tc>
          <w:tcPr>
            <w:tcW w:w="675" w:type="pct"/>
          </w:tcPr>
          <w:p>
            <w:pPr>
              <w:jc w:val="right"/>
              <w:rPr>
                <w:szCs w:val="21"/>
              </w:rPr>
            </w:pPr>
            <w:r>
              <w:rPr>
                <w:rFonts w:hint="eastAsia"/>
                <w:szCs w:val="21"/>
              </w:rPr>
              <w:t>2</w:t>
            </w:r>
            <w:r>
              <w:rPr>
                <w:szCs w:val="21"/>
              </w:rPr>
              <w:t>.26</w:t>
            </w:r>
          </w:p>
        </w:tc>
        <w:tc>
          <w:tcPr>
            <w:tcW w:w="668" w:type="pct"/>
          </w:tcPr>
          <w:p>
            <w:pPr>
              <w:jc w:val="right"/>
              <w:rPr>
                <w:szCs w:val="21"/>
              </w:rPr>
            </w:pPr>
            <w:r>
              <w:rPr>
                <w:szCs w:val="21"/>
              </w:rPr>
              <w:t>15亿元</w:t>
            </w:r>
          </w:p>
        </w:tc>
        <w:tc>
          <w:tcPr>
            <w:tcW w:w="667" w:type="pct"/>
          </w:tcPr>
          <w:p>
            <w:pPr>
              <w:jc w:val="right"/>
              <w:rPr>
                <w:szCs w:val="21"/>
              </w:rPr>
            </w:pPr>
            <w:r>
              <w:rPr>
                <w:szCs w:val="21"/>
              </w:rPr>
              <w:t>2024/11/22</w:t>
            </w:r>
          </w:p>
        </w:tc>
        <w:tc>
          <w:tcPr>
            <w:tcW w:w="643" w:type="pct"/>
          </w:tcPr>
          <w:p>
            <w:pPr>
              <w:jc w:val="right"/>
              <w:rPr>
                <w:szCs w:val="21"/>
              </w:rPr>
            </w:pPr>
            <w:r>
              <w:rPr>
                <w:szCs w:val="21"/>
              </w:rPr>
              <w:t>15亿元</w:t>
            </w:r>
          </w:p>
        </w:tc>
        <w:tc>
          <w:tcPr>
            <w:tcW w:w="667" w:type="pct"/>
          </w:tcPr>
          <w:p>
            <w:pPr>
              <w:jc w:val="right"/>
              <w:rPr>
                <w:szCs w:val="21"/>
              </w:rPr>
            </w:pPr>
            <w:r>
              <w:rPr>
                <w:szCs w:val="21"/>
              </w:rPr>
              <w:t>2026/11/22</w:t>
            </w:r>
          </w:p>
        </w:tc>
      </w:tr>
      <w:tr>
        <w:trPr>
          <w:trHeight w:val="120"/>
        </w:trPr>
        <w:tc>
          <w:tcPr>
            <w:tcW w:w="1012" w:type="pct"/>
          </w:tcPr>
          <w:p>
            <w:pPr>
              <w:rPr>
                <w:szCs w:val="21"/>
              </w:rPr>
            </w:pPr>
            <w:r>
              <w:rPr>
                <w:rFonts w:hint="eastAsia"/>
                <w:szCs w:val="21"/>
              </w:rPr>
              <w:t>中期票据</w:t>
            </w:r>
          </w:p>
        </w:tc>
        <w:tc>
          <w:tcPr>
            <w:tcW w:w="668" w:type="pct"/>
          </w:tcPr>
          <w:p>
            <w:pPr>
              <w:jc w:val="right"/>
              <w:rPr>
                <w:szCs w:val="21"/>
              </w:rPr>
            </w:pPr>
            <w:r>
              <w:rPr>
                <w:szCs w:val="21"/>
              </w:rPr>
              <w:t>2024/12/9</w:t>
            </w:r>
          </w:p>
        </w:tc>
        <w:tc>
          <w:tcPr>
            <w:tcW w:w="675" w:type="pct"/>
          </w:tcPr>
          <w:p>
            <w:pPr>
              <w:jc w:val="right"/>
              <w:rPr>
                <w:szCs w:val="21"/>
              </w:rPr>
            </w:pPr>
            <w:r>
              <w:rPr>
                <w:rFonts w:hint="eastAsia"/>
                <w:szCs w:val="21"/>
              </w:rPr>
              <w:t>2</w:t>
            </w:r>
            <w:r>
              <w:rPr>
                <w:szCs w:val="21"/>
              </w:rPr>
              <w:t>.06</w:t>
            </w:r>
          </w:p>
        </w:tc>
        <w:tc>
          <w:tcPr>
            <w:tcW w:w="668" w:type="pct"/>
          </w:tcPr>
          <w:p>
            <w:pPr>
              <w:jc w:val="right"/>
              <w:rPr>
                <w:szCs w:val="21"/>
              </w:rPr>
            </w:pPr>
            <w:r>
              <w:rPr>
                <w:szCs w:val="21"/>
              </w:rPr>
              <w:t>20亿元</w:t>
            </w:r>
          </w:p>
        </w:tc>
        <w:tc>
          <w:tcPr>
            <w:tcW w:w="667" w:type="pct"/>
          </w:tcPr>
          <w:p>
            <w:pPr>
              <w:jc w:val="right"/>
              <w:rPr>
                <w:szCs w:val="21"/>
              </w:rPr>
            </w:pPr>
            <w:r>
              <w:rPr>
                <w:szCs w:val="21"/>
              </w:rPr>
              <w:t>2024/12/11</w:t>
            </w:r>
          </w:p>
        </w:tc>
        <w:tc>
          <w:tcPr>
            <w:tcW w:w="643" w:type="pct"/>
          </w:tcPr>
          <w:p>
            <w:pPr>
              <w:jc w:val="right"/>
              <w:rPr>
                <w:szCs w:val="21"/>
              </w:rPr>
            </w:pPr>
            <w:r>
              <w:rPr>
                <w:szCs w:val="21"/>
              </w:rPr>
              <w:t>20亿元</w:t>
            </w:r>
          </w:p>
        </w:tc>
        <w:tc>
          <w:tcPr>
            <w:tcW w:w="667" w:type="pct"/>
          </w:tcPr>
          <w:p>
            <w:pPr>
              <w:jc w:val="right"/>
              <w:rPr>
                <w:szCs w:val="21"/>
              </w:rPr>
            </w:pPr>
            <w:r>
              <w:rPr>
                <w:szCs w:val="21"/>
              </w:rPr>
              <w:t>2026/12/11</w:t>
            </w:r>
          </w:p>
        </w:tc>
      </w:tr>
      <w:tr>
        <w:trPr>
          <w:trHeight w:val="120"/>
        </w:trPr>
        <w:tc>
          <w:tcPr>
            <w:tcW w:w="1012" w:type="pct"/>
          </w:tcPr>
          <w:p>
            <w:pPr>
              <w:rPr>
                <w:szCs w:val="21"/>
              </w:rPr>
            </w:pPr>
            <w:r>
              <w:rPr>
                <w:rFonts w:hint="eastAsia"/>
                <w:szCs w:val="21"/>
              </w:rPr>
              <w:t>短期融资券</w:t>
            </w:r>
          </w:p>
        </w:tc>
        <w:tc>
          <w:tcPr>
            <w:tcW w:w="668" w:type="pct"/>
          </w:tcPr>
          <w:p>
            <w:pPr>
              <w:jc w:val="right"/>
              <w:rPr>
                <w:szCs w:val="21"/>
              </w:rPr>
            </w:pPr>
            <w:r>
              <w:rPr>
                <w:szCs w:val="21"/>
              </w:rPr>
              <w:t>2024/7/1</w:t>
            </w:r>
          </w:p>
        </w:tc>
        <w:tc>
          <w:tcPr>
            <w:tcW w:w="675" w:type="pct"/>
          </w:tcPr>
          <w:p>
            <w:pPr>
              <w:jc w:val="right"/>
              <w:rPr>
                <w:szCs w:val="21"/>
              </w:rPr>
            </w:pPr>
            <w:r>
              <w:rPr>
                <w:rFonts w:hint="eastAsia"/>
                <w:szCs w:val="21"/>
              </w:rPr>
              <w:t>1</w:t>
            </w:r>
            <w:r>
              <w:rPr>
                <w:szCs w:val="21"/>
              </w:rPr>
              <w:t>.82</w:t>
            </w:r>
          </w:p>
        </w:tc>
        <w:tc>
          <w:tcPr>
            <w:tcW w:w="668" w:type="pct"/>
          </w:tcPr>
          <w:p>
            <w:pPr>
              <w:jc w:val="right"/>
              <w:rPr>
                <w:szCs w:val="21"/>
              </w:rPr>
            </w:pPr>
            <w:r>
              <w:rPr>
                <w:szCs w:val="21"/>
              </w:rPr>
              <w:t>30亿元</w:t>
            </w:r>
          </w:p>
        </w:tc>
        <w:tc>
          <w:tcPr>
            <w:tcW w:w="667" w:type="pct"/>
          </w:tcPr>
          <w:p>
            <w:pPr>
              <w:jc w:val="right"/>
              <w:rPr>
                <w:szCs w:val="21"/>
              </w:rPr>
            </w:pPr>
            <w:r>
              <w:rPr>
                <w:szCs w:val="21"/>
              </w:rPr>
              <w:t>2024/7/2</w:t>
            </w:r>
          </w:p>
        </w:tc>
        <w:tc>
          <w:tcPr>
            <w:tcW w:w="643" w:type="pct"/>
          </w:tcPr>
          <w:p>
            <w:pPr>
              <w:jc w:val="right"/>
              <w:rPr>
                <w:szCs w:val="21"/>
              </w:rPr>
            </w:pPr>
            <w:r>
              <w:rPr>
                <w:szCs w:val="21"/>
              </w:rPr>
              <w:t>30亿元</w:t>
            </w:r>
          </w:p>
        </w:tc>
        <w:tc>
          <w:tcPr>
            <w:tcW w:w="667" w:type="pct"/>
          </w:tcPr>
          <w:p>
            <w:pPr>
              <w:jc w:val="right"/>
              <w:rPr>
                <w:szCs w:val="21"/>
              </w:rPr>
            </w:pPr>
            <w:r>
              <w:rPr>
                <w:szCs w:val="21"/>
              </w:rPr>
              <w:t>2024/12/30</w:t>
            </w:r>
          </w:p>
        </w:tc>
      </w:tr>
      <w:tr>
        <w:trPr>
          <w:trHeight w:val="120"/>
        </w:trPr>
        <w:tc>
          <w:tcPr>
            <w:tcW w:w="1012" w:type="pct"/>
          </w:tcPr>
          <w:p>
            <w:pPr>
              <w:rPr>
                <w:szCs w:val="21"/>
              </w:rPr>
            </w:pPr>
            <w:r>
              <w:rPr>
                <w:rFonts w:hint="eastAsia"/>
                <w:szCs w:val="21"/>
              </w:rPr>
              <w:t>短期融资券</w:t>
            </w:r>
          </w:p>
        </w:tc>
        <w:tc>
          <w:tcPr>
            <w:tcW w:w="668" w:type="pct"/>
          </w:tcPr>
          <w:p>
            <w:pPr>
              <w:jc w:val="right"/>
              <w:rPr>
                <w:szCs w:val="21"/>
              </w:rPr>
            </w:pPr>
            <w:r>
              <w:rPr>
                <w:szCs w:val="21"/>
              </w:rPr>
              <w:t>2024/11/14</w:t>
            </w:r>
          </w:p>
        </w:tc>
        <w:tc>
          <w:tcPr>
            <w:tcW w:w="675" w:type="pct"/>
          </w:tcPr>
          <w:p>
            <w:pPr>
              <w:jc w:val="right"/>
              <w:rPr>
                <w:szCs w:val="21"/>
              </w:rPr>
            </w:pPr>
            <w:r>
              <w:rPr>
                <w:rFonts w:hint="eastAsia"/>
                <w:szCs w:val="21"/>
              </w:rPr>
              <w:t>2</w:t>
            </w:r>
            <w:r>
              <w:rPr>
                <w:szCs w:val="21"/>
              </w:rPr>
              <w:t>.02</w:t>
            </w:r>
          </w:p>
        </w:tc>
        <w:tc>
          <w:tcPr>
            <w:tcW w:w="668" w:type="pct"/>
          </w:tcPr>
          <w:p>
            <w:pPr>
              <w:jc w:val="right"/>
              <w:rPr>
                <w:szCs w:val="21"/>
              </w:rPr>
            </w:pPr>
            <w:r>
              <w:rPr>
                <w:rFonts w:hint="eastAsia"/>
                <w:szCs w:val="21"/>
              </w:rPr>
              <w:t>3</w:t>
            </w:r>
            <w:r>
              <w:rPr>
                <w:szCs w:val="21"/>
              </w:rPr>
              <w:t>0</w:t>
            </w:r>
            <w:r>
              <w:rPr>
                <w:rFonts w:hint="eastAsia"/>
                <w:szCs w:val="21"/>
              </w:rPr>
              <w:t>亿元</w:t>
            </w:r>
          </w:p>
        </w:tc>
        <w:tc>
          <w:tcPr>
            <w:tcW w:w="667" w:type="pct"/>
          </w:tcPr>
          <w:p>
            <w:pPr>
              <w:jc w:val="right"/>
              <w:rPr>
                <w:szCs w:val="21"/>
              </w:rPr>
            </w:pPr>
            <w:r>
              <w:rPr>
                <w:szCs w:val="21"/>
              </w:rPr>
              <w:t>2024/11/15</w:t>
            </w:r>
          </w:p>
        </w:tc>
        <w:tc>
          <w:tcPr>
            <w:tcW w:w="643" w:type="pct"/>
          </w:tcPr>
          <w:p>
            <w:pPr>
              <w:jc w:val="right"/>
              <w:rPr>
                <w:szCs w:val="21"/>
              </w:rPr>
            </w:pPr>
            <w:r>
              <w:rPr>
                <w:szCs w:val="21"/>
              </w:rPr>
              <w:t>30亿元</w:t>
            </w:r>
          </w:p>
        </w:tc>
        <w:tc>
          <w:tcPr>
            <w:tcW w:w="667" w:type="pct"/>
          </w:tcPr>
          <w:p>
            <w:pPr>
              <w:jc w:val="right"/>
              <w:rPr>
                <w:szCs w:val="21"/>
              </w:rPr>
            </w:pPr>
            <w:r>
              <w:rPr>
                <w:szCs w:val="21"/>
              </w:rPr>
              <w:t>2025/8/12</w:t>
            </w:r>
          </w:p>
        </w:tc>
      </w:tr>
      <w:tr>
        <w:trPr>
          <w:trHeight w:val="120"/>
        </w:trPr>
        <w:tc>
          <w:tcPr>
            <w:tcW w:w="1012" w:type="pct"/>
          </w:tcPr>
          <w:p>
            <w:pPr>
              <w:rPr>
                <w:szCs w:val="21"/>
              </w:rPr>
            </w:pPr>
            <w:r>
              <w:rPr>
                <w:rFonts w:hint="eastAsia"/>
                <w:szCs w:val="21"/>
              </w:rPr>
              <w:t>短期融资券</w:t>
            </w:r>
          </w:p>
        </w:tc>
        <w:tc>
          <w:tcPr>
            <w:tcW w:w="668" w:type="pct"/>
          </w:tcPr>
          <w:p>
            <w:pPr>
              <w:jc w:val="right"/>
              <w:rPr>
                <w:szCs w:val="21"/>
              </w:rPr>
            </w:pPr>
            <w:r>
              <w:rPr>
                <w:szCs w:val="21"/>
              </w:rPr>
              <w:t>2024/12/25</w:t>
            </w:r>
          </w:p>
        </w:tc>
        <w:tc>
          <w:tcPr>
            <w:tcW w:w="675" w:type="pct"/>
          </w:tcPr>
          <w:p>
            <w:pPr>
              <w:jc w:val="right"/>
              <w:rPr>
                <w:szCs w:val="21"/>
              </w:rPr>
            </w:pPr>
            <w:r>
              <w:rPr>
                <w:rFonts w:hint="eastAsia"/>
                <w:szCs w:val="21"/>
              </w:rPr>
              <w:t>1</w:t>
            </w:r>
            <w:r>
              <w:rPr>
                <w:szCs w:val="21"/>
              </w:rPr>
              <w:t>.75</w:t>
            </w:r>
          </w:p>
        </w:tc>
        <w:tc>
          <w:tcPr>
            <w:tcW w:w="668" w:type="pct"/>
          </w:tcPr>
          <w:p>
            <w:pPr>
              <w:jc w:val="right"/>
              <w:rPr>
                <w:szCs w:val="21"/>
              </w:rPr>
            </w:pPr>
            <w:r>
              <w:rPr>
                <w:szCs w:val="21"/>
              </w:rPr>
              <w:t>20亿元</w:t>
            </w:r>
          </w:p>
        </w:tc>
        <w:tc>
          <w:tcPr>
            <w:tcW w:w="667" w:type="pct"/>
          </w:tcPr>
          <w:p>
            <w:pPr>
              <w:jc w:val="right"/>
              <w:rPr>
                <w:szCs w:val="21"/>
              </w:rPr>
            </w:pPr>
            <w:r>
              <w:rPr>
                <w:szCs w:val="21"/>
              </w:rPr>
              <w:t>2024/12/26</w:t>
            </w:r>
          </w:p>
        </w:tc>
        <w:tc>
          <w:tcPr>
            <w:tcW w:w="643" w:type="pct"/>
          </w:tcPr>
          <w:p>
            <w:pPr>
              <w:jc w:val="right"/>
              <w:rPr>
                <w:szCs w:val="21"/>
              </w:rPr>
            </w:pPr>
            <w:r>
              <w:rPr>
                <w:szCs w:val="21"/>
              </w:rPr>
              <w:t>20亿元</w:t>
            </w:r>
          </w:p>
        </w:tc>
        <w:tc>
          <w:tcPr>
            <w:tcW w:w="667" w:type="pct"/>
          </w:tcPr>
          <w:p>
            <w:pPr>
              <w:jc w:val="right"/>
              <w:rPr>
                <w:szCs w:val="21"/>
              </w:rPr>
            </w:pPr>
            <w:r>
              <w:rPr>
                <w:szCs w:val="21"/>
              </w:rPr>
              <w:t>2025/9/19</w:t>
            </w:r>
          </w:p>
        </w:tc>
      </w:tr>
    </w:tbl>
    <w:p>
      <w:pPr>
        <w:rPr>
          <w:szCs w:val="21"/>
        </w:rPr>
      </w:pPr>
    </w:p>
    <w:p>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193072701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证券发行情况的说明"/>
        <w:tag w:val="_GBC_554181dc253a4fa496d2a732435f9c84"/>
        <w:id w:val="376593238"/>
        <w:placeholder>
          <w:docPart w:val="GBC22222222222222222222222222222"/>
        </w:placeholder>
      </w:sdtPr>
      <w:sdtContent>
        <w:p>
          <w:pPr>
            <w:ind w:firstLineChars="200" w:firstLine="420"/>
            <w:jc w:val="both"/>
            <w:rPr>
              <w:szCs w:val="21"/>
            </w:rPr>
          </w:pPr>
          <w:r>
            <w:rPr>
              <w:rFonts w:hint="eastAsia"/>
              <w:szCs w:val="21"/>
            </w:rPr>
            <w:t>普通股股票：</w:t>
          </w:r>
        </w:p>
        <w:p>
          <w:pPr>
            <w:ind w:firstLineChars="200" w:firstLine="420"/>
            <w:jc w:val="both"/>
            <w:rPr>
              <w:szCs w:val="21"/>
            </w:rPr>
          </w:pPr>
          <w:r>
            <w:rPr>
              <w:szCs w:val="21"/>
            </w:rPr>
            <w:t>2024年6月，公司根据一般性授权</w:t>
          </w:r>
          <w:r>
            <w:rPr>
              <w:rFonts w:hint="eastAsia"/>
              <w:szCs w:val="21"/>
            </w:rPr>
            <w:t>完成了</w:t>
          </w:r>
          <w:r>
            <w:rPr>
              <w:szCs w:val="21"/>
            </w:rPr>
            <w:t>2.85亿股H股股份发行，每股定价17.39港元，募</w:t>
          </w:r>
          <w:r>
            <w:rPr>
              <w:rFonts w:hint="eastAsia"/>
              <w:szCs w:val="21"/>
            </w:rPr>
            <w:t>集资金总额为</w:t>
          </w:r>
          <w:r>
            <w:rPr>
              <w:szCs w:val="21"/>
            </w:rPr>
            <w:t>495,615万港元，</w:t>
          </w:r>
          <w:r>
            <w:rPr>
              <w:rFonts w:hint="eastAsia"/>
              <w:szCs w:val="21"/>
            </w:rPr>
            <w:t>扣减发行费用后，募集资金净额约为</w:t>
          </w:r>
          <w:r>
            <w:rPr>
              <w:szCs w:val="21"/>
            </w:rPr>
            <w:t>492,939万港元</w:t>
          </w:r>
          <w:r>
            <w:rPr>
              <w:rFonts w:hint="eastAsia"/>
              <w:szCs w:val="21"/>
            </w:rPr>
            <w:t>。</w:t>
          </w:r>
          <w:r>
            <w:rPr>
              <w:szCs w:val="21"/>
            </w:rPr>
            <w:t>该等募集资金净额用于</w:t>
          </w:r>
          <w:r>
            <w:rPr>
              <w:rFonts w:hint="eastAsia"/>
              <w:szCs w:val="21"/>
            </w:rPr>
            <w:t>偿还公司及附属公司的债务及补充一般营运资金。有关募集资金详情请见本年报“第七节重要事项”之“募集资金使用进展说明”，以及本公司日期为</w:t>
          </w:r>
          <w:r>
            <w:rPr>
              <w:szCs w:val="21"/>
            </w:rPr>
            <w:t>2024年6月4日及2024年6月12日的公告。</w:t>
          </w:r>
        </w:p>
        <w:p>
          <w:pPr>
            <w:ind w:firstLineChars="200" w:firstLine="420"/>
            <w:jc w:val="both"/>
            <w:rPr>
              <w:szCs w:val="21"/>
            </w:rPr>
          </w:pPr>
        </w:p>
        <w:p>
          <w:pPr>
            <w:ind w:firstLineChars="200" w:firstLine="420"/>
            <w:jc w:val="both"/>
            <w:rPr>
              <w:szCs w:val="21"/>
            </w:rPr>
          </w:pPr>
          <w:r>
            <w:rPr>
              <w:rFonts w:hint="eastAsia"/>
              <w:szCs w:val="21"/>
            </w:rPr>
            <w:t>债券（包括企业债券、公司债券以及非金融企业债务融资工具）：</w:t>
          </w:r>
        </w:p>
        <w:p>
          <w:pPr>
            <w:ind w:firstLineChars="200" w:firstLine="420"/>
            <w:jc w:val="both"/>
            <w:rPr>
              <w:szCs w:val="21"/>
            </w:rPr>
          </w:pPr>
          <w:r>
            <w:rPr>
              <w:rFonts w:hint="eastAsia"/>
              <w:szCs w:val="21"/>
            </w:rPr>
            <w:t>有关本年度发行公司债券详情请见本年报“第九节</w:t>
          </w:r>
          <w:r>
            <w:rPr>
              <w:szCs w:val="21"/>
            </w:rPr>
            <w:t xml:space="preserve"> 债券相关情况”相关内容。</w:t>
          </w:r>
        </w:p>
      </w:sdtContent>
    </w:sdt>
    <w:bookmarkEnd w:id="230"/>
    <w:p>
      <w:pPr>
        <w:rPr>
          <w:szCs w:val="21"/>
        </w:rPr>
      </w:pPr>
    </w:p>
    <w:p>
      <w:pPr>
        <w:pStyle w:val="3"/>
        <w:numPr>
          <w:ilvl w:val="0"/>
          <w:numId w:val="14"/>
        </w:num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54917799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1724946390"/>
        <w:placeholder>
          <w:docPart w:val="GBC22222222222222222222222222222"/>
        </w:placeholder>
      </w:sdtPr>
      <w:sdtContent>
        <w:p>
          <w:pPr>
            <w:ind w:firstLineChars="200" w:firstLine="420"/>
            <w:rPr>
              <w:szCs w:val="21"/>
            </w:rPr>
          </w:pPr>
          <w:r>
            <w:rPr>
              <w:rFonts w:hint="eastAsia"/>
              <w:szCs w:val="21"/>
            </w:rPr>
            <w:t>报告期内，公司完成了</w:t>
          </w:r>
          <w:r>
            <w:rPr>
              <w:szCs w:val="21"/>
            </w:rPr>
            <w:t>2023年度利润分配之股票红利派发</w:t>
          </w:r>
          <w:r>
            <w:rPr>
              <w:rFonts w:hint="eastAsia"/>
              <w:szCs w:val="21"/>
            </w:rPr>
            <w:t>、公司根据一般性授权发行H</w:t>
          </w:r>
          <w:r>
            <w:rPr>
              <w:szCs w:val="21"/>
            </w:rPr>
            <w:t>股</w:t>
          </w:r>
          <w:r>
            <w:rPr>
              <w:rFonts w:hint="eastAsia"/>
              <w:szCs w:val="21"/>
            </w:rPr>
            <w:t>和</w:t>
          </w:r>
          <w:r>
            <w:rPr>
              <w:szCs w:val="21"/>
            </w:rPr>
            <w:t>部分限制性股票回购注销，总股本由7,439,370,720股调整至10,039,860,402股。</w:t>
          </w:r>
          <w:r>
            <w:rPr>
              <w:rFonts w:hint="eastAsia"/>
              <w:szCs w:val="21"/>
            </w:rPr>
            <w:t>股份总数和股东结构的变动主要</w:t>
          </w:r>
          <w:r>
            <w:rPr>
              <w:szCs w:val="21"/>
            </w:rPr>
            <w:t>是派发</w:t>
          </w:r>
          <w:r>
            <w:rPr>
              <w:rFonts w:hint="eastAsia"/>
              <w:szCs w:val="21"/>
            </w:rPr>
            <w:t>2</w:t>
          </w:r>
          <w:r>
            <w:rPr>
              <w:szCs w:val="21"/>
            </w:rPr>
            <w:t>023</w:t>
          </w:r>
          <w:r>
            <w:rPr>
              <w:rFonts w:hint="eastAsia"/>
              <w:szCs w:val="21"/>
            </w:rPr>
            <w:t>年度</w:t>
          </w:r>
          <w:r>
            <w:rPr>
              <w:szCs w:val="21"/>
            </w:rPr>
            <w:t>股票红利所致，对公司资产和负债结构并未产生重大影响。</w:t>
          </w:r>
        </w:p>
      </w:sdtContent>
    </w:sdt>
    <w:p>
      <w:pPr>
        <w:rPr>
          <w:szCs w:val="21"/>
        </w:rPr>
      </w:pPr>
    </w:p>
    <w:p>
      <w:pPr>
        <w:pStyle w:val="3"/>
        <w:numPr>
          <w:ilvl w:val="0"/>
          <w:numId w:val="14"/>
        </w:numPr>
      </w:pPr>
      <w:r>
        <w:rPr>
          <w:rFonts w:hint="eastAsia"/>
          <w:szCs w:val="21"/>
        </w:rPr>
        <w:t>现存的内部职工股情况</w:t>
      </w:r>
    </w:p>
    <w:sdt>
      <w:sdtPr>
        <w:alias w:val="是否适用：现存的内部职工股情况[双击切换]"/>
        <w:tag w:val="_GBC_fa5e90226e14408b891f1c5a9dbbf2c5"/>
        <w:id w:val="995144939"/>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2"/>
        <w:numPr>
          <w:ilvl w:val="0"/>
          <w:numId w:val="1"/>
        </w:numPr>
      </w:pPr>
      <w:r>
        <w:lastRenderedPageBreak/>
        <w:t>股东</w:t>
      </w:r>
      <w:r>
        <w:rPr>
          <w:rFonts w:hint="eastAsia"/>
        </w:rPr>
        <w:t>和实际控制人</w:t>
      </w:r>
      <w:r>
        <w:t>情况</w:t>
      </w:r>
    </w:p>
    <w:p>
      <w:pPr>
        <w:pStyle w:val="3"/>
        <w:numPr>
          <w:ilvl w:val="1"/>
          <w:numId w:val="10"/>
        </w:numPr>
        <w:tabs>
          <w:tab w:val="left" w:pos="851"/>
        </w:tabs>
        <w:ind w:left="426" w:hanging="426"/>
        <w:rPr>
          <w:szCs w:val="21"/>
        </w:rPr>
      </w:pPr>
      <w:r>
        <w:rPr>
          <w:rFonts w:hint="eastAsia"/>
          <w:szCs w:val="21"/>
        </w:rPr>
        <w:t>股东总数</w:t>
      </w:r>
    </w:p>
    <w:tbl>
      <w:tblPr>
        <w:tblStyle w:val="afffff7"/>
        <w:tblW w:w="0" w:type="auto"/>
        <w:tblLook w:val="04A0" w:firstRow="1" w:lastRow="0" w:firstColumn="1" w:lastColumn="0" w:noHBand="0" w:noVBand="1"/>
      </w:tblPr>
      <w:tblGrid>
        <w:gridCol w:w="9493"/>
        <w:gridCol w:w="4252"/>
      </w:tblGrid>
      <w:tr>
        <w:sdt>
          <w:sdtPr>
            <w:tag w:val="_PLD_34738880649c43ac9597effd663adc10"/>
            <w:id w:val="183017903"/>
          </w:sdtPr>
          <w:sdtContent>
            <w:tc>
              <w:tcPr>
                <w:tcW w:w="9493" w:type="dxa"/>
              </w:tcPr>
              <w:p>
                <w:pPr>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szCs w:val="21"/>
            </w:rPr>
            <w:alias w:val="报告期末股东总数"/>
            <w:tag w:val="_GBC_510087fb1e024fb293d32127713e45f8"/>
            <w:id w:val="273065961"/>
          </w:sdtPr>
          <w:sdtContent>
            <w:tc>
              <w:tcPr>
                <w:tcW w:w="4252" w:type="dxa"/>
              </w:tcPr>
              <w:p>
                <w:pPr>
                  <w:jc w:val="right"/>
                  <w:rPr>
                    <w:szCs w:val="21"/>
                  </w:rPr>
                </w:pPr>
                <w:r>
                  <w:rPr>
                    <w:szCs w:val="21"/>
                  </w:rPr>
                  <w:t>140,245</w:t>
                </w:r>
              </w:p>
            </w:tc>
          </w:sdtContent>
        </w:sdt>
      </w:tr>
      <w:tr>
        <w:tc>
          <w:tcPr>
            <w:tcW w:w="9493" w:type="dxa"/>
          </w:tcPr>
          <w:p>
            <w:pPr>
              <w:rPr>
                <w:szCs w:val="21"/>
              </w:rPr>
            </w:pPr>
            <w:r>
              <w:rPr>
                <w:rFonts w:hint="eastAsia"/>
                <w:szCs w:val="21"/>
              </w:rPr>
              <w:t>年度报告披露日前上一月末的普通股股东总数</w:t>
            </w:r>
            <w:r>
              <w:rPr>
                <w:szCs w:val="21"/>
              </w:rPr>
              <w:t>(户)</w:t>
            </w:r>
          </w:p>
        </w:tc>
        <w:tc>
          <w:tcPr>
            <w:tcW w:w="4252" w:type="dxa"/>
          </w:tcPr>
          <w:p>
            <w:pPr>
              <w:jc w:val="right"/>
              <w:rPr>
                <w:szCs w:val="21"/>
              </w:rPr>
            </w:pPr>
            <w:r>
              <w:rPr>
                <w:szCs w:val="21"/>
              </w:rPr>
              <w:t>145,973</w:t>
            </w:r>
          </w:p>
        </w:tc>
      </w:tr>
      <w:tr>
        <w:tc>
          <w:tcPr>
            <w:tcW w:w="9493" w:type="dxa"/>
          </w:tcPr>
          <w:p>
            <w:pPr>
              <w:rPr>
                <w:szCs w:val="21"/>
              </w:rPr>
            </w:pPr>
            <w:r>
              <w:rPr>
                <w:rFonts w:hint="eastAsia"/>
                <w:szCs w:val="21"/>
              </w:rPr>
              <w:t>截至报告期末表决权恢复的优先股股东总数（户）</w:t>
            </w:r>
          </w:p>
        </w:tc>
        <w:tc>
          <w:tcPr>
            <w:tcW w:w="4252" w:type="dxa"/>
          </w:tcPr>
          <w:p>
            <w:pPr>
              <w:jc w:val="right"/>
              <w:rPr>
                <w:szCs w:val="21"/>
              </w:rPr>
            </w:pPr>
            <w:r>
              <w:rPr>
                <w:rFonts w:hint="eastAsia"/>
                <w:szCs w:val="21"/>
              </w:rPr>
              <w:t>0</w:t>
            </w:r>
          </w:p>
        </w:tc>
      </w:tr>
      <w:tr>
        <w:tc>
          <w:tcPr>
            <w:tcW w:w="9493" w:type="dxa"/>
          </w:tcPr>
          <w:p>
            <w:pPr>
              <w:rPr>
                <w:szCs w:val="21"/>
              </w:rPr>
            </w:pPr>
            <w:r>
              <w:rPr>
                <w:rFonts w:hint="eastAsia"/>
                <w:szCs w:val="21"/>
              </w:rPr>
              <w:t>年度报告披露日前上一月末表决权恢复的优先股股东总数（户）</w:t>
            </w:r>
          </w:p>
        </w:tc>
        <w:tc>
          <w:tcPr>
            <w:tcW w:w="4252" w:type="dxa"/>
          </w:tcPr>
          <w:p>
            <w:pPr>
              <w:jc w:val="right"/>
              <w:rPr>
                <w:szCs w:val="21"/>
              </w:rPr>
            </w:pPr>
            <w:r>
              <w:rPr>
                <w:rFonts w:hint="eastAsia"/>
                <w:szCs w:val="21"/>
              </w:rPr>
              <w:t>0</w:t>
            </w:r>
          </w:p>
        </w:tc>
      </w:tr>
    </w:tbl>
    <w:p>
      <w:pPr>
        <w:rPr>
          <w:rFonts w:ascii="Calibri" w:hAnsi="Calibri" w:cs="Times New Roman"/>
          <w:b/>
          <w:bCs/>
          <w:kern w:val="2"/>
          <w:szCs w:val="21"/>
        </w:rPr>
      </w:pPr>
    </w:p>
    <w:p>
      <w:pPr>
        <w:rPr>
          <w:rFonts w:ascii="Calibri" w:hAnsi="Calibri" w:cs="Times New Roman"/>
          <w:b/>
          <w:bCs/>
          <w:kern w:val="2"/>
          <w:szCs w:val="21"/>
        </w:rPr>
      </w:pPr>
      <w:r>
        <w:rPr>
          <w:rFonts w:ascii="Calibri" w:hAnsi="Calibri" w:cs="Times New Roman"/>
          <w:b/>
          <w:bCs/>
          <w:kern w:val="2"/>
          <w:szCs w:val="21"/>
        </w:rPr>
        <w:br w:type="page"/>
      </w:r>
    </w:p>
    <w:p>
      <w:pPr>
        <w:pStyle w:val="3"/>
        <w:numPr>
          <w:ilvl w:val="1"/>
          <w:numId w:val="10"/>
        </w:numPr>
        <w:tabs>
          <w:tab w:val="left" w:pos="851"/>
        </w:tabs>
        <w:ind w:left="426" w:hanging="426"/>
        <w:rPr>
          <w:szCs w:val="21"/>
        </w:rPr>
      </w:pPr>
      <w:bookmarkStart w:id="231" w:name="_Toc342059485"/>
      <w:bookmarkStart w:id="232" w:name="_Toc342565998"/>
      <w:r>
        <w:rPr>
          <w:rFonts w:hint="eastAsia"/>
          <w:szCs w:val="21"/>
        </w:rPr>
        <w:lastRenderedPageBreak/>
        <w:t>截至报告期末前十名股东、前十名流通股东（或无限售条件股东）持股情况表（截至</w:t>
      </w:r>
      <w:r>
        <w:rPr>
          <w:rFonts w:hint="eastAsia"/>
          <w:szCs w:val="21"/>
        </w:rPr>
        <w:t>2024</w:t>
      </w:r>
      <w:r>
        <w:rPr>
          <w:rFonts w:hint="eastAsia"/>
          <w:szCs w:val="21"/>
        </w:rPr>
        <w:t>年</w:t>
      </w:r>
      <w:r>
        <w:rPr>
          <w:rFonts w:hint="eastAsia"/>
          <w:szCs w:val="21"/>
        </w:rPr>
        <w:t>12</w:t>
      </w:r>
      <w:r>
        <w:rPr>
          <w:rFonts w:hint="eastAsia"/>
          <w:szCs w:val="21"/>
        </w:rPr>
        <w:t>月</w:t>
      </w:r>
      <w:r>
        <w:rPr>
          <w:rFonts w:hint="eastAsia"/>
          <w:szCs w:val="21"/>
        </w:rPr>
        <w:t>31</w:t>
      </w:r>
      <w:r>
        <w:rPr>
          <w:rFonts w:hint="eastAsia"/>
          <w:szCs w:val="21"/>
        </w:rPr>
        <w:t>日）</w:t>
      </w:r>
    </w:p>
    <w:p>
      <w:pPr>
        <w:jc w:val="right"/>
        <w:rPr>
          <w:szCs w:val="21"/>
        </w:rPr>
      </w:pPr>
      <w:bookmarkStart w:id="233" w:name="_Hlk27487213"/>
      <w:bookmarkEnd w:id="231"/>
      <w:bookmarkEnd w:id="232"/>
      <w:r>
        <w:rPr>
          <w:bCs/>
          <w:szCs w:val="21"/>
        </w:rPr>
        <w:t>单位：</w:t>
      </w:r>
      <w:sdt>
        <w:sdtPr>
          <w:rPr>
            <w:bCs/>
            <w:szCs w:val="21"/>
          </w:rPr>
          <w:alias w:val="单位：前十名股东持股情况"/>
          <w:tag w:val="_GBC_b59e95c09d914c83b42ae5b68d0d6987"/>
          <w:id w:val="-12000013"/>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szCs w:val="21"/>
            </w:rPr>
            <w:t>股</w:t>
          </w:r>
        </w:sdtContent>
      </w:sdt>
    </w:p>
    <w:tbl>
      <w:tblPr>
        <w:tblStyle w:val="affffffffffff7"/>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1581"/>
        <w:gridCol w:w="1745"/>
        <w:gridCol w:w="992"/>
        <w:gridCol w:w="1178"/>
        <w:gridCol w:w="1196"/>
        <w:gridCol w:w="536"/>
        <w:gridCol w:w="1414"/>
        <w:gridCol w:w="1843"/>
      </w:tblGrid>
      <w:tr>
        <w:trPr>
          <w:cantSplit/>
          <w:jc w:val="center"/>
        </w:trPr>
        <w:sdt>
          <w:sdtPr>
            <w:tag w:val="_PLD_12180439b5ff4b00a01ff1f87b70f1de"/>
            <w:id w:val="-1400357092"/>
          </w:sdtPr>
          <w:sdtContent>
            <w:tc>
              <w:tcPr>
                <w:tcW w:w="13887" w:type="dxa"/>
                <w:gridSpan w:val="9"/>
                <w:shd w:val="clear" w:color="auto" w:fill="auto"/>
                <w:vAlign w:val="center"/>
              </w:tcPr>
              <w:p>
                <w:pPr>
                  <w:pStyle w:val="afffff9"/>
                  <w:jc w:val="center"/>
                  <w:rPr>
                    <w:rFonts w:ascii="宋体" w:hAnsi="宋体"/>
                  </w:rPr>
                </w:pPr>
                <w:r>
                  <w:rPr>
                    <w:rFonts w:ascii="宋体" w:hAnsi="宋体"/>
                  </w:rPr>
                  <w:t>前十名股东持股情况</w:t>
                </w:r>
                <w:r>
                  <w:rPr>
                    <w:rFonts w:ascii="宋体" w:hAnsi="宋体" w:hint="eastAsia"/>
                  </w:rPr>
                  <w:t>（不含通过转融通出借股份）</w:t>
                </w:r>
              </w:p>
            </w:tc>
          </w:sdtContent>
        </w:sdt>
      </w:tr>
      <w:tr>
        <w:trPr>
          <w:cantSplit/>
          <w:jc w:val="center"/>
        </w:trPr>
        <w:sdt>
          <w:sdtPr>
            <w:tag w:val="_PLD_4e40ad86e5ee4c0cb28f819aa3924fb2"/>
            <w:id w:val="1637377762"/>
          </w:sdtPr>
          <w:sdtContent>
            <w:tc>
              <w:tcPr>
                <w:tcW w:w="3402" w:type="dxa"/>
                <w:vMerge w:val="restart"/>
                <w:shd w:val="clear" w:color="auto" w:fill="auto"/>
                <w:vAlign w:val="center"/>
              </w:tcPr>
              <w:p>
                <w:pPr>
                  <w:jc w:val="center"/>
                  <w:rPr>
                    <w:szCs w:val="21"/>
                  </w:rPr>
                </w:pPr>
                <w:r>
                  <w:rPr>
                    <w:szCs w:val="21"/>
                  </w:rPr>
                  <w:t>股东名称</w:t>
                </w:r>
              </w:p>
              <w:p>
                <w:pPr>
                  <w:jc w:val="center"/>
                  <w:rPr>
                    <w:szCs w:val="21"/>
                  </w:rPr>
                </w:pPr>
                <w:r>
                  <w:rPr>
                    <w:rFonts w:hint="eastAsia"/>
                    <w:szCs w:val="21"/>
                  </w:rPr>
                  <w:t>（全称）</w:t>
                </w:r>
              </w:p>
            </w:tc>
          </w:sdtContent>
        </w:sdt>
        <w:sdt>
          <w:sdtPr>
            <w:tag w:val="_PLD_587b672a54ed4481b14f0963f010aefb"/>
            <w:id w:val="981582456"/>
          </w:sdtPr>
          <w:sdtContent>
            <w:tc>
              <w:tcPr>
                <w:tcW w:w="1581" w:type="dxa"/>
                <w:vMerge w:val="restart"/>
                <w:shd w:val="clear" w:color="auto" w:fill="auto"/>
                <w:vAlign w:val="center"/>
              </w:tcPr>
              <w:p>
                <w:pPr>
                  <w:jc w:val="center"/>
                  <w:rPr>
                    <w:szCs w:val="21"/>
                  </w:rPr>
                </w:pPr>
                <w:r>
                  <w:rPr>
                    <w:szCs w:val="21"/>
                  </w:rPr>
                  <w:t>报告期内增减</w:t>
                </w:r>
              </w:p>
            </w:tc>
          </w:sdtContent>
        </w:sdt>
        <w:sdt>
          <w:sdtPr>
            <w:tag w:val="_PLD_580f25e9dfa24c1d91f3845b6a6a42e5"/>
            <w:id w:val="-531805845"/>
          </w:sdtPr>
          <w:sdtContent>
            <w:tc>
              <w:tcPr>
                <w:tcW w:w="1745" w:type="dxa"/>
                <w:vMerge w:val="restart"/>
                <w:shd w:val="clear" w:color="auto" w:fill="auto"/>
                <w:vAlign w:val="center"/>
              </w:tcPr>
              <w:p>
                <w:pPr>
                  <w:jc w:val="center"/>
                  <w:rPr>
                    <w:szCs w:val="21"/>
                  </w:rPr>
                </w:pPr>
                <w:r>
                  <w:rPr>
                    <w:szCs w:val="21"/>
                  </w:rPr>
                  <w:t>期末持股数量</w:t>
                </w:r>
              </w:p>
            </w:tc>
          </w:sdtContent>
        </w:sdt>
        <w:sdt>
          <w:sdtPr>
            <w:tag w:val="_PLD_e80658c5388c4bb0871489372e62334d"/>
            <w:id w:val="-275636949"/>
          </w:sdtPr>
          <w:sdtContent>
            <w:tc>
              <w:tcPr>
                <w:tcW w:w="992" w:type="dxa"/>
                <w:vMerge w:val="restart"/>
                <w:shd w:val="clear" w:color="auto" w:fill="auto"/>
                <w:vAlign w:val="center"/>
              </w:tcPr>
              <w:p>
                <w:pPr>
                  <w:jc w:val="center"/>
                  <w:rPr>
                    <w:szCs w:val="21"/>
                  </w:rPr>
                </w:pPr>
                <w:r>
                  <w:rPr>
                    <w:szCs w:val="21"/>
                  </w:rPr>
                  <w:t>比例(%)</w:t>
                </w:r>
              </w:p>
            </w:tc>
          </w:sdtContent>
        </w:sdt>
        <w:sdt>
          <w:sdtPr>
            <w:tag w:val="_PLD_0ed52eb839784cb0ab83b1692dc8b283"/>
            <w:id w:val="1522897026"/>
          </w:sdtPr>
          <w:sdtContent>
            <w:tc>
              <w:tcPr>
                <w:tcW w:w="1178" w:type="dxa"/>
                <w:vMerge w:val="restart"/>
                <w:shd w:val="clear" w:color="auto" w:fill="auto"/>
                <w:vAlign w:val="center"/>
              </w:tcPr>
              <w:p>
                <w:pPr>
                  <w:pStyle w:val="affffff3"/>
                  <w:rPr>
                    <w:rFonts w:ascii="宋体" w:hAnsi="宋体"/>
                    <w:bCs/>
                    <w:color w:val="00B050"/>
                  </w:rPr>
                </w:pPr>
                <w:r>
                  <w:rPr>
                    <w:rFonts w:ascii="宋体" w:hAnsi="宋体"/>
                    <w:bCs/>
                  </w:rPr>
                  <w:t>持有有限售条件股份数量</w:t>
                </w:r>
              </w:p>
            </w:tc>
          </w:sdtContent>
        </w:sdt>
        <w:sdt>
          <w:sdtPr>
            <w:tag w:val="_PLD_6d0fce9e7c914a578f4702348340f346"/>
            <w:id w:val="694581281"/>
          </w:sdtPr>
          <w:sdtContent>
            <w:tc>
              <w:tcPr>
                <w:tcW w:w="3146" w:type="dxa"/>
                <w:gridSpan w:val="3"/>
                <w:shd w:val="clear" w:color="auto" w:fill="auto"/>
                <w:vAlign w:val="center"/>
              </w:tcPr>
              <w:p>
                <w:pPr>
                  <w:jc w:val="center"/>
                  <w:rPr>
                    <w:szCs w:val="21"/>
                  </w:rPr>
                </w:pPr>
                <w:r>
                  <w:rPr>
                    <w:szCs w:val="21"/>
                  </w:rPr>
                  <w:t>质押</w:t>
                </w:r>
                <w:r>
                  <w:rPr>
                    <w:rFonts w:hint="eastAsia"/>
                    <w:szCs w:val="21"/>
                  </w:rPr>
                  <w:t>、标记</w:t>
                </w:r>
              </w:p>
              <w:p>
                <w:pPr>
                  <w:jc w:val="center"/>
                  <w:rPr>
                    <w:szCs w:val="21"/>
                  </w:rPr>
                </w:pPr>
                <w:r>
                  <w:rPr>
                    <w:szCs w:val="21"/>
                  </w:rPr>
                  <w:t>或冻结情况</w:t>
                </w:r>
              </w:p>
            </w:tc>
          </w:sdtContent>
        </w:sdt>
        <w:sdt>
          <w:sdtPr>
            <w:tag w:val="_PLD_57b1e0d0ab2d4113aada0c0394d1589d"/>
            <w:id w:val="-707257530"/>
          </w:sdtPr>
          <w:sdtContent>
            <w:tc>
              <w:tcPr>
                <w:tcW w:w="1843" w:type="dxa"/>
                <w:vMerge w:val="restart"/>
                <w:shd w:val="clear" w:color="auto" w:fill="auto"/>
                <w:vAlign w:val="center"/>
              </w:tcPr>
              <w:p>
                <w:pPr>
                  <w:jc w:val="center"/>
                  <w:rPr>
                    <w:szCs w:val="21"/>
                  </w:rPr>
                </w:pPr>
                <w:r>
                  <w:rPr>
                    <w:szCs w:val="21"/>
                  </w:rPr>
                  <w:t>股东性质</w:t>
                </w:r>
              </w:p>
            </w:tc>
          </w:sdtContent>
        </w:sdt>
      </w:tr>
      <w:tr>
        <w:trPr>
          <w:cantSplit/>
          <w:jc w:val="center"/>
        </w:trPr>
        <w:tc>
          <w:tcPr>
            <w:tcW w:w="3402" w:type="dxa"/>
            <w:vMerge/>
            <w:tcBorders>
              <w:bottom w:val="single" w:sz="4" w:space="0" w:color="auto"/>
            </w:tcBorders>
            <w:shd w:val="clear" w:color="auto" w:fill="auto"/>
            <w:vAlign w:val="center"/>
          </w:tcPr>
          <w:p>
            <w:pPr>
              <w:jc w:val="center"/>
              <w:rPr>
                <w:szCs w:val="21"/>
              </w:rPr>
            </w:pPr>
          </w:p>
        </w:tc>
        <w:tc>
          <w:tcPr>
            <w:tcW w:w="1581" w:type="dxa"/>
            <w:vMerge/>
            <w:tcBorders>
              <w:bottom w:val="single" w:sz="4" w:space="0" w:color="auto"/>
            </w:tcBorders>
            <w:shd w:val="clear" w:color="auto" w:fill="auto"/>
            <w:vAlign w:val="center"/>
          </w:tcPr>
          <w:p>
            <w:pPr>
              <w:jc w:val="center"/>
              <w:rPr>
                <w:szCs w:val="21"/>
              </w:rPr>
            </w:pPr>
          </w:p>
        </w:tc>
        <w:tc>
          <w:tcPr>
            <w:tcW w:w="1745" w:type="dxa"/>
            <w:vMerge/>
            <w:tcBorders>
              <w:bottom w:val="single" w:sz="4" w:space="0" w:color="auto"/>
            </w:tcBorders>
            <w:shd w:val="clear" w:color="auto" w:fill="auto"/>
            <w:vAlign w:val="center"/>
          </w:tcPr>
          <w:p>
            <w:pPr>
              <w:jc w:val="center"/>
              <w:rPr>
                <w:szCs w:val="21"/>
              </w:rPr>
            </w:pPr>
          </w:p>
        </w:tc>
        <w:tc>
          <w:tcPr>
            <w:tcW w:w="992" w:type="dxa"/>
            <w:vMerge/>
            <w:tcBorders>
              <w:bottom w:val="single" w:sz="4" w:space="0" w:color="auto"/>
            </w:tcBorders>
            <w:shd w:val="clear" w:color="auto" w:fill="auto"/>
            <w:vAlign w:val="center"/>
          </w:tcPr>
          <w:p>
            <w:pPr>
              <w:jc w:val="center"/>
              <w:rPr>
                <w:szCs w:val="21"/>
              </w:rPr>
            </w:pPr>
          </w:p>
        </w:tc>
        <w:tc>
          <w:tcPr>
            <w:tcW w:w="1178" w:type="dxa"/>
            <w:vMerge/>
            <w:tcBorders>
              <w:bottom w:val="single" w:sz="4" w:space="0" w:color="auto"/>
            </w:tcBorders>
            <w:shd w:val="clear" w:color="auto" w:fill="auto"/>
            <w:vAlign w:val="center"/>
          </w:tcPr>
          <w:p>
            <w:pPr>
              <w:jc w:val="center"/>
              <w:rPr>
                <w:szCs w:val="21"/>
              </w:rPr>
            </w:pPr>
          </w:p>
        </w:tc>
        <w:sdt>
          <w:sdtPr>
            <w:tag w:val="_PLD_72b090b1925c46349c7beb3ca6c0032f"/>
            <w:id w:val="-1808071109"/>
          </w:sdtPr>
          <w:sdtContent>
            <w:tc>
              <w:tcPr>
                <w:tcW w:w="1196" w:type="dxa"/>
                <w:tcBorders>
                  <w:bottom w:val="single" w:sz="4" w:space="0" w:color="auto"/>
                </w:tcBorders>
                <w:shd w:val="clear" w:color="auto" w:fill="auto"/>
                <w:vAlign w:val="center"/>
              </w:tcPr>
              <w:p>
                <w:pPr>
                  <w:jc w:val="center"/>
                  <w:rPr>
                    <w:szCs w:val="21"/>
                  </w:rPr>
                </w:pPr>
                <w:r>
                  <w:rPr>
                    <w:szCs w:val="21"/>
                  </w:rPr>
                  <w:t>股份</w:t>
                </w:r>
              </w:p>
              <w:p>
                <w:pPr>
                  <w:jc w:val="center"/>
                  <w:rPr>
                    <w:szCs w:val="21"/>
                  </w:rPr>
                </w:pPr>
                <w:r>
                  <w:rPr>
                    <w:szCs w:val="21"/>
                  </w:rPr>
                  <w:t>状态</w:t>
                </w:r>
              </w:p>
            </w:tc>
          </w:sdtContent>
        </w:sdt>
        <w:sdt>
          <w:sdtPr>
            <w:tag w:val="_PLD_76e0ca0392384ff795b7613d764041da"/>
            <w:id w:val="1237052809"/>
          </w:sdtPr>
          <w:sdtContent>
            <w:tc>
              <w:tcPr>
                <w:tcW w:w="1950" w:type="dxa"/>
                <w:gridSpan w:val="2"/>
                <w:tcBorders>
                  <w:bottom w:val="single" w:sz="4" w:space="0" w:color="auto"/>
                </w:tcBorders>
                <w:shd w:val="clear" w:color="auto" w:fill="auto"/>
                <w:vAlign w:val="center"/>
              </w:tcPr>
              <w:p>
                <w:pPr>
                  <w:jc w:val="center"/>
                  <w:rPr>
                    <w:szCs w:val="21"/>
                  </w:rPr>
                </w:pPr>
                <w:r>
                  <w:rPr>
                    <w:szCs w:val="21"/>
                  </w:rPr>
                  <w:t>数量</w:t>
                </w:r>
              </w:p>
            </w:tc>
          </w:sdtContent>
        </w:sdt>
        <w:tc>
          <w:tcPr>
            <w:tcW w:w="1843" w:type="dxa"/>
            <w:vMerge/>
            <w:shd w:val="clear" w:color="auto" w:fill="auto"/>
            <w:vAlign w:val="center"/>
          </w:tcPr>
          <w:p>
            <w:pPr>
              <w:jc w:val="center"/>
              <w:rPr>
                <w:szCs w:val="21"/>
              </w:rPr>
            </w:pPr>
          </w:p>
        </w:tc>
      </w:tr>
      <w:tr>
        <w:trPr>
          <w:cantSplit/>
          <w:jc w:val="center"/>
        </w:trPr>
        <w:tc>
          <w:tcPr>
            <w:tcW w:w="3402" w:type="dxa"/>
            <w:shd w:val="clear" w:color="auto" w:fill="auto"/>
            <w:vAlign w:val="center"/>
          </w:tcPr>
          <w:p>
            <w:pPr>
              <w:jc w:val="both"/>
              <w:rPr>
                <w:szCs w:val="21"/>
              </w:rPr>
            </w:pPr>
            <w:r>
              <w:rPr>
                <w:rFonts w:hint="eastAsia"/>
                <w:szCs w:val="21"/>
              </w:rPr>
              <w:t>山东能源集团有限公司</w:t>
            </w:r>
          </w:p>
        </w:tc>
        <w:tc>
          <w:tcPr>
            <w:tcW w:w="1581" w:type="dxa"/>
            <w:shd w:val="clear" w:color="auto" w:fill="auto"/>
            <w:vAlign w:val="center"/>
          </w:tcPr>
          <w:p>
            <w:pPr>
              <w:jc w:val="right"/>
              <w:rPr>
                <w:szCs w:val="21"/>
              </w:rPr>
            </w:pPr>
            <w:r>
              <w:rPr>
                <w:szCs w:val="21"/>
              </w:rPr>
              <w:t xml:space="preserve">1,235,429,211 </w:t>
            </w:r>
          </w:p>
        </w:tc>
        <w:tc>
          <w:tcPr>
            <w:tcW w:w="1745" w:type="dxa"/>
            <w:shd w:val="clear" w:color="auto" w:fill="auto"/>
            <w:vAlign w:val="center"/>
          </w:tcPr>
          <w:p>
            <w:pPr>
              <w:jc w:val="right"/>
              <w:rPr>
                <w:szCs w:val="21"/>
              </w:rPr>
            </w:pPr>
            <w:r>
              <w:rPr>
                <w:szCs w:val="21"/>
              </w:rPr>
              <w:t>5,303,899,421</w:t>
            </w:r>
            <w:r>
              <w:rPr>
                <w:rFonts w:hint="eastAsia"/>
                <w:szCs w:val="21"/>
                <w:vertAlign w:val="superscript"/>
              </w:rPr>
              <w:t>①</w:t>
            </w:r>
            <w:r>
              <w:rPr>
                <w:szCs w:val="21"/>
              </w:rPr>
              <w:t xml:space="preserve"> </w:t>
            </w:r>
          </w:p>
        </w:tc>
        <w:tc>
          <w:tcPr>
            <w:tcW w:w="992" w:type="dxa"/>
            <w:shd w:val="clear" w:color="auto" w:fill="auto"/>
            <w:vAlign w:val="center"/>
          </w:tcPr>
          <w:p>
            <w:pPr>
              <w:jc w:val="right"/>
              <w:rPr>
                <w:szCs w:val="21"/>
              </w:rPr>
            </w:pPr>
            <w:r>
              <w:rPr>
                <w:szCs w:val="21"/>
              </w:rPr>
              <w:t xml:space="preserve">52.83 </w:t>
            </w:r>
          </w:p>
        </w:tc>
        <w:tc>
          <w:tcPr>
            <w:tcW w:w="1178" w:type="dxa"/>
            <w:shd w:val="clear" w:color="auto" w:fill="auto"/>
            <w:vAlign w:val="center"/>
          </w:tcPr>
          <w:p>
            <w:pPr>
              <w:jc w:val="right"/>
              <w:rPr>
                <w:szCs w:val="21"/>
              </w:rPr>
            </w:pPr>
            <w:r>
              <w:rPr>
                <w:rFonts w:hint="eastAsia"/>
                <w:szCs w:val="21"/>
              </w:rPr>
              <w:t>0</w:t>
            </w:r>
          </w:p>
        </w:tc>
        <w:sdt>
          <w:sdtPr>
            <w:rPr>
              <w:szCs w:val="21"/>
            </w:rPr>
            <w:alias w:val="前十名股东持有股份状态"/>
            <w:tag w:val="_GBC_46a2e2b7fded452b84eec75a5e47296b"/>
            <w:id w:val="247459695"/>
            <w:comboBox>
              <w:listItem w:displayText="无" w:value="无"/>
              <w:listItem w:displayText="质押" w:value="质押"/>
              <w:listItem w:displayText="标记" w:value="标记"/>
              <w:listItem w:displayText="冻结" w:value="冻结"/>
              <w:listItem w:displayText="托管" w:value="托管"/>
              <w:listItem w:displayText="未知" w:value="未知"/>
            </w:comboBox>
          </w:sdtPr>
          <w:sdtContent>
            <w:tc>
              <w:tcPr>
                <w:tcW w:w="1196" w:type="dxa"/>
                <w:shd w:val="clear" w:color="auto" w:fill="auto"/>
                <w:vAlign w:val="center"/>
              </w:tcPr>
              <w:p>
                <w:pPr>
                  <w:jc w:val="center"/>
                  <w:rPr>
                    <w:color w:val="FF9900"/>
                    <w:szCs w:val="21"/>
                  </w:rPr>
                </w:pPr>
                <w:r>
                  <w:rPr>
                    <w:szCs w:val="21"/>
                  </w:rPr>
                  <w:t>质押</w:t>
                </w:r>
              </w:p>
            </w:tc>
          </w:sdtContent>
        </w:sdt>
        <w:tc>
          <w:tcPr>
            <w:tcW w:w="1950" w:type="dxa"/>
            <w:gridSpan w:val="2"/>
            <w:shd w:val="clear" w:color="auto" w:fill="auto"/>
            <w:vAlign w:val="center"/>
          </w:tcPr>
          <w:p>
            <w:pPr>
              <w:jc w:val="right"/>
              <w:rPr>
                <w:szCs w:val="21"/>
              </w:rPr>
            </w:pPr>
            <w:r>
              <w:rPr>
                <w:szCs w:val="21"/>
              </w:rPr>
              <w:t>492,501,172</w:t>
            </w:r>
          </w:p>
        </w:tc>
        <w:sdt>
          <w:sdtPr>
            <w:rPr>
              <w:szCs w:val="21"/>
            </w:rPr>
            <w:alias w:val="前十名股东的股东性质"/>
            <w:tag w:val="_GBC_84391eccdbd14aa7bbd07a260ff9d747"/>
            <w:id w:val="-349114164"/>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1843" w:type="dxa"/>
                <w:shd w:val="clear" w:color="auto" w:fill="auto"/>
                <w:vAlign w:val="center"/>
              </w:tcPr>
              <w:p>
                <w:pPr>
                  <w:jc w:val="both"/>
                  <w:rPr>
                    <w:color w:val="FF9900"/>
                    <w:szCs w:val="21"/>
                  </w:rPr>
                </w:pPr>
                <w:r>
                  <w:rPr>
                    <w:szCs w:val="21"/>
                  </w:rPr>
                  <w:t>国有法人</w:t>
                </w:r>
              </w:p>
            </w:tc>
          </w:sdtContent>
        </w:sdt>
      </w:tr>
      <w:tr>
        <w:trPr>
          <w:cantSplit/>
          <w:jc w:val="center"/>
        </w:trPr>
        <w:tc>
          <w:tcPr>
            <w:tcW w:w="3402" w:type="dxa"/>
            <w:shd w:val="clear" w:color="auto" w:fill="auto"/>
            <w:vAlign w:val="center"/>
          </w:tcPr>
          <w:p>
            <w:pPr>
              <w:jc w:val="both"/>
              <w:rPr>
                <w:szCs w:val="21"/>
              </w:rPr>
            </w:pPr>
            <w:r>
              <w:rPr>
                <w:rFonts w:hint="eastAsia"/>
                <w:szCs w:val="21"/>
              </w:rPr>
              <w:t>香港中央结算（代理人）有限公司</w:t>
            </w:r>
          </w:p>
        </w:tc>
        <w:tc>
          <w:tcPr>
            <w:tcW w:w="1581" w:type="dxa"/>
            <w:shd w:val="clear" w:color="auto" w:fill="auto"/>
            <w:vAlign w:val="center"/>
          </w:tcPr>
          <w:p>
            <w:pPr>
              <w:jc w:val="right"/>
              <w:rPr>
                <w:szCs w:val="21"/>
              </w:rPr>
            </w:pPr>
            <w:r>
              <w:rPr>
                <w:szCs w:val="21"/>
              </w:rPr>
              <w:t xml:space="preserve">998,045,911 </w:t>
            </w:r>
          </w:p>
        </w:tc>
        <w:tc>
          <w:tcPr>
            <w:tcW w:w="1745" w:type="dxa"/>
            <w:shd w:val="clear" w:color="auto" w:fill="auto"/>
            <w:vAlign w:val="center"/>
          </w:tcPr>
          <w:p>
            <w:pPr>
              <w:jc w:val="right"/>
              <w:rPr>
                <w:szCs w:val="21"/>
              </w:rPr>
            </w:pPr>
            <w:r>
              <w:rPr>
                <w:szCs w:val="21"/>
              </w:rPr>
              <w:t xml:space="preserve">3,162,157,918 </w:t>
            </w:r>
          </w:p>
        </w:tc>
        <w:tc>
          <w:tcPr>
            <w:tcW w:w="992" w:type="dxa"/>
            <w:shd w:val="clear" w:color="auto" w:fill="auto"/>
            <w:vAlign w:val="center"/>
          </w:tcPr>
          <w:p>
            <w:pPr>
              <w:jc w:val="right"/>
              <w:rPr>
                <w:szCs w:val="21"/>
              </w:rPr>
            </w:pPr>
            <w:r>
              <w:rPr>
                <w:szCs w:val="21"/>
              </w:rPr>
              <w:t xml:space="preserve">31.50 </w:t>
            </w:r>
          </w:p>
        </w:tc>
        <w:tc>
          <w:tcPr>
            <w:tcW w:w="1178" w:type="dxa"/>
            <w:shd w:val="clear" w:color="auto" w:fill="auto"/>
            <w:vAlign w:val="center"/>
          </w:tcPr>
          <w:p>
            <w:pPr>
              <w:jc w:val="right"/>
              <w:rPr>
                <w:szCs w:val="21"/>
              </w:rPr>
            </w:pPr>
            <w:r>
              <w:rPr>
                <w:rFonts w:hint="eastAsia"/>
                <w:szCs w:val="21"/>
              </w:rPr>
              <w:t>0</w:t>
            </w:r>
          </w:p>
        </w:tc>
        <w:tc>
          <w:tcPr>
            <w:tcW w:w="1196" w:type="dxa"/>
            <w:shd w:val="clear" w:color="auto" w:fill="auto"/>
            <w:vAlign w:val="center"/>
          </w:tcPr>
          <w:p>
            <w:pPr>
              <w:jc w:val="center"/>
              <w:rPr>
                <w:color w:val="FF9900"/>
                <w:szCs w:val="21"/>
              </w:rPr>
            </w:pPr>
            <w:r>
              <w:rPr>
                <w:rFonts w:hint="eastAsia"/>
                <w:color w:val="000000" w:themeColor="text1"/>
              </w:rPr>
              <w:t>未知</w:t>
            </w:r>
          </w:p>
        </w:tc>
        <w:tc>
          <w:tcPr>
            <w:tcW w:w="1950" w:type="dxa"/>
            <w:gridSpan w:val="2"/>
            <w:shd w:val="clear" w:color="auto" w:fill="auto"/>
            <w:vAlign w:val="center"/>
          </w:tcPr>
          <w:p>
            <w:pPr>
              <w:jc w:val="right"/>
              <w:rPr>
                <w:szCs w:val="21"/>
              </w:rPr>
            </w:pPr>
            <w:r>
              <w:rPr>
                <w:rFonts w:hint="eastAsia"/>
                <w:szCs w:val="21"/>
              </w:rPr>
              <w:t>-</w:t>
            </w:r>
          </w:p>
        </w:tc>
        <w:tc>
          <w:tcPr>
            <w:tcW w:w="1843" w:type="dxa"/>
            <w:shd w:val="clear" w:color="auto" w:fill="auto"/>
            <w:vAlign w:val="center"/>
          </w:tcPr>
          <w:p>
            <w:pPr>
              <w:jc w:val="both"/>
              <w:rPr>
                <w:color w:val="FF9900"/>
                <w:szCs w:val="21"/>
              </w:rPr>
            </w:pPr>
            <w:r>
              <w:rPr>
                <w:rFonts w:hint="eastAsia"/>
              </w:rPr>
              <w:t>境外法人</w:t>
            </w:r>
          </w:p>
        </w:tc>
      </w:tr>
      <w:tr>
        <w:trPr>
          <w:cantSplit/>
          <w:jc w:val="center"/>
        </w:trPr>
        <w:tc>
          <w:tcPr>
            <w:tcW w:w="3402" w:type="dxa"/>
            <w:shd w:val="clear" w:color="auto" w:fill="auto"/>
          </w:tcPr>
          <w:p>
            <w:pPr>
              <w:pStyle w:val="affffffd"/>
            </w:pPr>
            <w:r>
              <w:rPr>
                <w:rFonts w:hint="eastAsia"/>
              </w:rPr>
              <w:t>香港中央结算有限公司</w:t>
            </w:r>
          </w:p>
        </w:tc>
        <w:tc>
          <w:tcPr>
            <w:tcW w:w="1581" w:type="dxa"/>
            <w:shd w:val="clear" w:color="auto" w:fill="auto"/>
            <w:vAlign w:val="center"/>
          </w:tcPr>
          <w:p>
            <w:pPr>
              <w:jc w:val="right"/>
            </w:pPr>
            <w:r>
              <w:t xml:space="preserve">1,231,059 </w:t>
            </w:r>
          </w:p>
        </w:tc>
        <w:tc>
          <w:tcPr>
            <w:tcW w:w="1745" w:type="dxa"/>
            <w:shd w:val="clear" w:color="auto" w:fill="auto"/>
            <w:vAlign w:val="center"/>
          </w:tcPr>
          <w:p>
            <w:pPr>
              <w:jc w:val="right"/>
            </w:pPr>
            <w:r>
              <w:t xml:space="preserve">88,503,648 </w:t>
            </w:r>
          </w:p>
        </w:tc>
        <w:tc>
          <w:tcPr>
            <w:tcW w:w="992" w:type="dxa"/>
            <w:shd w:val="clear" w:color="auto" w:fill="auto"/>
            <w:vAlign w:val="center"/>
          </w:tcPr>
          <w:p>
            <w:pPr>
              <w:jc w:val="right"/>
            </w:pPr>
            <w:r>
              <w:t xml:space="preserve">0.88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境外法人</w:t>
            </w:r>
          </w:p>
        </w:tc>
      </w:tr>
      <w:tr>
        <w:trPr>
          <w:cantSplit/>
          <w:jc w:val="center"/>
        </w:trPr>
        <w:tc>
          <w:tcPr>
            <w:tcW w:w="3402" w:type="dxa"/>
            <w:shd w:val="clear" w:color="auto" w:fill="auto"/>
          </w:tcPr>
          <w:p>
            <w:pPr>
              <w:pStyle w:val="affffffd"/>
            </w:pPr>
            <w:r>
              <w:rPr>
                <w:rFonts w:hint="eastAsia"/>
              </w:rPr>
              <w:t>新华人寿保险股份有限公司－传统－普通保险产品－</w:t>
            </w:r>
            <w:r>
              <w:t>018L－CT001沪</w:t>
            </w:r>
          </w:p>
        </w:tc>
        <w:tc>
          <w:tcPr>
            <w:tcW w:w="1581" w:type="dxa"/>
            <w:shd w:val="clear" w:color="auto" w:fill="auto"/>
            <w:vAlign w:val="center"/>
          </w:tcPr>
          <w:p>
            <w:pPr>
              <w:jc w:val="right"/>
            </w:pPr>
            <w:r>
              <w:t xml:space="preserve">41,275,816 </w:t>
            </w:r>
          </w:p>
        </w:tc>
        <w:tc>
          <w:tcPr>
            <w:tcW w:w="1745" w:type="dxa"/>
            <w:shd w:val="clear" w:color="auto" w:fill="auto"/>
            <w:vAlign w:val="center"/>
          </w:tcPr>
          <w:p>
            <w:pPr>
              <w:jc w:val="right"/>
            </w:pPr>
            <w:r>
              <w:t xml:space="preserve">44,546,366 </w:t>
            </w:r>
          </w:p>
        </w:tc>
        <w:tc>
          <w:tcPr>
            <w:tcW w:w="992" w:type="dxa"/>
            <w:shd w:val="clear" w:color="auto" w:fill="auto"/>
            <w:vAlign w:val="center"/>
          </w:tcPr>
          <w:p>
            <w:pPr>
              <w:jc w:val="right"/>
            </w:pPr>
            <w:r>
              <w:t xml:space="preserve">0.44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招商银行股份有限公司－上证红利交易型开放式指数证券投资基金</w:t>
            </w:r>
          </w:p>
        </w:tc>
        <w:tc>
          <w:tcPr>
            <w:tcW w:w="1581" w:type="dxa"/>
            <w:shd w:val="clear" w:color="auto" w:fill="auto"/>
            <w:vAlign w:val="center"/>
          </w:tcPr>
          <w:p>
            <w:pPr>
              <w:jc w:val="right"/>
            </w:pPr>
            <w:r>
              <w:t xml:space="preserve">15,557,744 </w:t>
            </w:r>
          </w:p>
        </w:tc>
        <w:tc>
          <w:tcPr>
            <w:tcW w:w="1745" w:type="dxa"/>
            <w:shd w:val="clear" w:color="auto" w:fill="auto"/>
            <w:vAlign w:val="center"/>
          </w:tcPr>
          <w:p>
            <w:pPr>
              <w:jc w:val="right"/>
            </w:pPr>
            <w:r>
              <w:t xml:space="preserve">31,604,925 </w:t>
            </w:r>
          </w:p>
        </w:tc>
        <w:tc>
          <w:tcPr>
            <w:tcW w:w="992" w:type="dxa"/>
            <w:shd w:val="clear" w:color="auto" w:fill="auto"/>
            <w:vAlign w:val="center"/>
          </w:tcPr>
          <w:p>
            <w:pPr>
              <w:jc w:val="right"/>
            </w:pPr>
            <w:r>
              <w:t xml:space="preserve">0.31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中国工商银行股份有限公司－华泰柏瑞沪深</w:t>
            </w:r>
            <w:r>
              <w:t>300交易型开放式指数证券投资基金</w:t>
            </w:r>
          </w:p>
        </w:tc>
        <w:tc>
          <w:tcPr>
            <w:tcW w:w="1581" w:type="dxa"/>
            <w:shd w:val="clear" w:color="auto" w:fill="auto"/>
            <w:vAlign w:val="center"/>
          </w:tcPr>
          <w:p>
            <w:pPr>
              <w:jc w:val="right"/>
            </w:pPr>
            <w:r>
              <w:t xml:space="preserve">21,371,399 </w:t>
            </w:r>
          </w:p>
        </w:tc>
        <w:tc>
          <w:tcPr>
            <w:tcW w:w="1745" w:type="dxa"/>
            <w:shd w:val="clear" w:color="auto" w:fill="auto"/>
            <w:vAlign w:val="center"/>
          </w:tcPr>
          <w:p>
            <w:pPr>
              <w:jc w:val="right"/>
            </w:pPr>
            <w:r>
              <w:t xml:space="preserve">30,917,174 </w:t>
            </w:r>
          </w:p>
        </w:tc>
        <w:tc>
          <w:tcPr>
            <w:tcW w:w="992" w:type="dxa"/>
            <w:shd w:val="clear" w:color="auto" w:fill="auto"/>
            <w:vAlign w:val="center"/>
          </w:tcPr>
          <w:p>
            <w:pPr>
              <w:jc w:val="right"/>
            </w:pPr>
            <w:r>
              <w:t xml:space="preserve">0.31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中国建设银行股份有限公司－易方达沪深</w:t>
            </w:r>
            <w:r>
              <w:t>300交易型开放式指数发起式证券投资基金</w:t>
            </w:r>
          </w:p>
        </w:tc>
        <w:tc>
          <w:tcPr>
            <w:tcW w:w="1581" w:type="dxa"/>
            <w:shd w:val="clear" w:color="auto" w:fill="auto"/>
            <w:vAlign w:val="center"/>
          </w:tcPr>
          <w:p>
            <w:pPr>
              <w:jc w:val="right"/>
            </w:pPr>
            <w:r>
              <w:t xml:space="preserve">17,499,274 </w:t>
            </w:r>
          </w:p>
        </w:tc>
        <w:tc>
          <w:tcPr>
            <w:tcW w:w="1745" w:type="dxa"/>
            <w:shd w:val="clear" w:color="auto" w:fill="auto"/>
            <w:vAlign w:val="center"/>
          </w:tcPr>
          <w:p>
            <w:pPr>
              <w:jc w:val="right"/>
            </w:pPr>
            <w:r>
              <w:t xml:space="preserve">21,312,020 </w:t>
            </w:r>
          </w:p>
        </w:tc>
        <w:tc>
          <w:tcPr>
            <w:tcW w:w="992" w:type="dxa"/>
            <w:shd w:val="clear" w:color="auto" w:fill="auto"/>
            <w:vAlign w:val="center"/>
          </w:tcPr>
          <w:p>
            <w:pPr>
              <w:jc w:val="right"/>
            </w:pPr>
            <w:r>
              <w:t xml:space="preserve">0.21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前海人寿保险股份有限公司－分红保险产品</w:t>
            </w:r>
          </w:p>
        </w:tc>
        <w:tc>
          <w:tcPr>
            <w:tcW w:w="1581" w:type="dxa"/>
            <w:shd w:val="clear" w:color="auto" w:fill="auto"/>
            <w:vAlign w:val="center"/>
          </w:tcPr>
          <w:p>
            <w:pPr>
              <w:jc w:val="right"/>
            </w:pPr>
            <w:r>
              <w:t xml:space="preserve">20,859,774 </w:t>
            </w:r>
          </w:p>
        </w:tc>
        <w:tc>
          <w:tcPr>
            <w:tcW w:w="1745" w:type="dxa"/>
            <w:shd w:val="clear" w:color="auto" w:fill="auto"/>
            <w:vAlign w:val="center"/>
          </w:tcPr>
          <w:p>
            <w:pPr>
              <w:jc w:val="right"/>
            </w:pPr>
            <w:r>
              <w:t xml:space="preserve">20,859,774 </w:t>
            </w:r>
          </w:p>
        </w:tc>
        <w:tc>
          <w:tcPr>
            <w:tcW w:w="992" w:type="dxa"/>
            <w:shd w:val="clear" w:color="auto" w:fill="auto"/>
            <w:vAlign w:val="center"/>
          </w:tcPr>
          <w:p>
            <w:pPr>
              <w:jc w:val="right"/>
            </w:pPr>
            <w:r>
              <w:t xml:space="preserve">0.21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中国工商银行股份有限公司－华夏沪深</w:t>
            </w:r>
            <w:r>
              <w:t>300交易型开放式指数证券投资基金</w:t>
            </w:r>
          </w:p>
        </w:tc>
        <w:tc>
          <w:tcPr>
            <w:tcW w:w="1581" w:type="dxa"/>
            <w:shd w:val="clear" w:color="auto" w:fill="auto"/>
            <w:vAlign w:val="center"/>
          </w:tcPr>
          <w:p>
            <w:pPr>
              <w:jc w:val="right"/>
            </w:pPr>
            <w:r>
              <w:t xml:space="preserve">11,512,474 </w:t>
            </w:r>
          </w:p>
        </w:tc>
        <w:tc>
          <w:tcPr>
            <w:tcW w:w="1745" w:type="dxa"/>
            <w:shd w:val="clear" w:color="auto" w:fill="auto"/>
            <w:vAlign w:val="center"/>
          </w:tcPr>
          <w:p>
            <w:pPr>
              <w:jc w:val="right"/>
            </w:pPr>
            <w:r>
              <w:t xml:space="preserve">14,161,388 </w:t>
            </w:r>
          </w:p>
        </w:tc>
        <w:tc>
          <w:tcPr>
            <w:tcW w:w="992" w:type="dxa"/>
            <w:shd w:val="clear" w:color="auto" w:fill="auto"/>
            <w:vAlign w:val="center"/>
          </w:tcPr>
          <w:p>
            <w:pPr>
              <w:jc w:val="right"/>
            </w:pPr>
            <w:r>
              <w:t xml:space="preserve">0.14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tc>
          <w:tcPr>
            <w:tcW w:w="3402" w:type="dxa"/>
            <w:shd w:val="clear" w:color="auto" w:fill="auto"/>
          </w:tcPr>
          <w:p>
            <w:pPr>
              <w:pStyle w:val="affffffd"/>
            </w:pPr>
            <w:r>
              <w:rPr>
                <w:rFonts w:hint="eastAsia"/>
              </w:rPr>
              <w:t>中国工商银行股份有限公司－国泰中证煤炭交易型开放式指数证券投资基金</w:t>
            </w:r>
          </w:p>
        </w:tc>
        <w:tc>
          <w:tcPr>
            <w:tcW w:w="1581" w:type="dxa"/>
            <w:shd w:val="clear" w:color="auto" w:fill="auto"/>
            <w:vAlign w:val="center"/>
          </w:tcPr>
          <w:p>
            <w:pPr>
              <w:jc w:val="right"/>
            </w:pPr>
            <w:r>
              <w:t xml:space="preserve">8,927,604 </w:t>
            </w:r>
          </w:p>
        </w:tc>
        <w:tc>
          <w:tcPr>
            <w:tcW w:w="1745" w:type="dxa"/>
            <w:shd w:val="clear" w:color="auto" w:fill="auto"/>
            <w:vAlign w:val="center"/>
          </w:tcPr>
          <w:p>
            <w:pPr>
              <w:jc w:val="right"/>
            </w:pPr>
            <w:r>
              <w:t xml:space="preserve">13,818,257 </w:t>
            </w:r>
          </w:p>
        </w:tc>
        <w:tc>
          <w:tcPr>
            <w:tcW w:w="992" w:type="dxa"/>
            <w:shd w:val="clear" w:color="auto" w:fill="auto"/>
            <w:vAlign w:val="center"/>
          </w:tcPr>
          <w:p>
            <w:pPr>
              <w:jc w:val="right"/>
            </w:pPr>
            <w:r>
              <w:t xml:space="preserve">0.14 </w:t>
            </w:r>
          </w:p>
        </w:tc>
        <w:tc>
          <w:tcPr>
            <w:tcW w:w="1178" w:type="dxa"/>
            <w:shd w:val="clear" w:color="auto" w:fill="auto"/>
            <w:vAlign w:val="center"/>
          </w:tcPr>
          <w:p>
            <w:pPr>
              <w:jc w:val="right"/>
            </w:pPr>
            <w:r>
              <w:rPr>
                <w:rFonts w:hint="eastAsia"/>
                <w:szCs w:val="21"/>
              </w:rPr>
              <w:t>0</w:t>
            </w:r>
          </w:p>
        </w:tc>
        <w:tc>
          <w:tcPr>
            <w:tcW w:w="1196" w:type="dxa"/>
            <w:shd w:val="clear" w:color="auto" w:fill="auto"/>
            <w:vAlign w:val="center"/>
          </w:tcPr>
          <w:p>
            <w:pPr>
              <w:jc w:val="center"/>
              <w:rPr>
                <w:color w:val="FF9900"/>
                <w:szCs w:val="21"/>
              </w:rPr>
            </w:pPr>
            <w:r>
              <w:rPr>
                <w:rFonts w:hint="eastAsia"/>
              </w:rPr>
              <w:t>无</w:t>
            </w:r>
          </w:p>
        </w:tc>
        <w:tc>
          <w:tcPr>
            <w:tcW w:w="1950" w:type="dxa"/>
            <w:gridSpan w:val="2"/>
            <w:shd w:val="clear" w:color="auto" w:fill="auto"/>
            <w:vAlign w:val="center"/>
          </w:tcPr>
          <w:p>
            <w:pPr>
              <w:jc w:val="right"/>
              <w:rPr>
                <w:szCs w:val="21"/>
              </w:rPr>
            </w:pPr>
            <w:r>
              <w:rPr>
                <w:rFonts w:hint="eastAsia"/>
                <w:szCs w:val="21"/>
              </w:rPr>
              <w:t>0</w:t>
            </w:r>
          </w:p>
        </w:tc>
        <w:tc>
          <w:tcPr>
            <w:tcW w:w="1843" w:type="dxa"/>
            <w:shd w:val="clear" w:color="auto" w:fill="auto"/>
            <w:vAlign w:val="center"/>
          </w:tcPr>
          <w:p>
            <w:pPr>
              <w:jc w:val="both"/>
              <w:rPr>
                <w:color w:val="FF9900"/>
                <w:szCs w:val="21"/>
              </w:rPr>
            </w:pPr>
            <w:r>
              <w:rPr>
                <w:rFonts w:hint="eastAsia"/>
              </w:rPr>
              <w:t>其他</w:t>
            </w:r>
          </w:p>
        </w:tc>
      </w:tr>
      <w:tr>
        <w:trPr>
          <w:cantSplit/>
          <w:jc w:val="center"/>
        </w:trPr>
        <w:sdt>
          <w:sdtPr>
            <w:tag w:val="_PLD_7f241e5dc05a4ae7b61268f4f1627ca0"/>
            <w:id w:val="612092106"/>
          </w:sdtPr>
          <w:sdtContent>
            <w:tc>
              <w:tcPr>
                <w:tcW w:w="13887" w:type="dxa"/>
                <w:gridSpan w:val="9"/>
                <w:shd w:val="clear" w:color="auto" w:fill="auto"/>
                <w:vAlign w:val="center"/>
              </w:tcPr>
              <w:p>
                <w:pPr>
                  <w:jc w:val="center"/>
                  <w:rPr>
                    <w:color w:val="FF9900"/>
                    <w:szCs w:val="21"/>
                  </w:rPr>
                </w:pPr>
                <w:r>
                  <w:rPr>
                    <w:szCs w:val="21"/>
                  </w:rPr>
                  <w:t>前十名无限售条件股东持股情况</w:t>
                </w:r>
                <w:r>
                  <w:rPr>
                    <w:rFonts w:hint="eastAsia"/>
                    <w:szCs w:val="21"/>
                  </w:rPr>
                  <w:t>（不含通过转融通出借股份）</w:t>
                </w:r>
              </w:p>
            </w:tc>
          </w:sdtContent>
        </w:sdt>
      </w:tr>
      <w:tr>
        <w:trPr>
          <w:cantSplit/>
          <w:jc w:val="center"/>
        </w:trPr>
        <w:sdt>
          <w:sdtPr>
            <w:tag w:val="_PLD_0443ad39720a4d59be87cdf7b0bc4970"/>
            <w:id w:val="1111083951"/>
          </w:sdtPr>
          <w:sdtContent>
            <w:tc>
              <w:tcPr>
                <w:tcW w:w="4983" w:type="dxa"/>
                <w:gridSpan w:val="2"/>
                <w:vMerge w:val="restart"/>
                <w:shd w:val="clear" w:color="auto" w:fill="auto"/>
                <w:vAlign w:val="center"/>
              </w:tcPr>
              <w:p>
                <w:pPr>
                  <w:jc w:val="center"/>
                  <w:rPr>
                    <w:color w:val="FF9900"/>
                    <w:szCs w:val="21"/>
                  </w:rPr>
                </w:pPr>
                <w:r>
                  <w:t>股东名称</w:t>
                </w:r>
              </w:p>
            </w:tc>
          </w:sdtContent>
        </w:sdt>
        <w:sdt>
          <w:sdtPr>
            <w:tag w:val="_PLD_a7f143afa2b94466a44af03e770016b0"/>
            <w:id w:val="1336113788"/>
          </w:sdtPr>
          <w:sdtContent>
            <w:tc>
              <w:tcPr>
                <w:tcW w:w="3915" w:type="dxa"/>
                <w:gridSpan w:val="3"/>
                <w:vMerge w:val="restart"/>
                <w:shd w:val="clear" w:color="auto" w:fill="auto"/>
                <w:vAlign w:val="center"/>
              </w:tcPr>
              <w:p>
                <w:pPr>
                  <w:jc w:val="center"/>
                  <w:rPr>
                    <w:color w:val="FF9900"/>
                    <w:szCs w:val="21"/>
                  </w:rPr>
                </w:pPr>
                <w:r>
                  <w:t>持有无限售条件流通股的数量</w:t>
                </w:r>
              </w:p>
            </w:tc>
          </w:sdtContent>
        </w:sdt>
        <w:sdt>
          <w:sdtPr>
            <w:tag w:val="_PLD_fa97ca004a544042af7e1d7463bea345"/>
            <w:id w:val="1389995098"/>
          </w:sdtPr>
          <w:sdtContent>
            <w:tc>
              <w:tcPr>
                <w:tcW w:w="4989" w:type="dxa"/>
                <w:gridSpan w:val="4"/>
                <w:tcBorders>
                  <w:bottom w:val="single" w:sz="4" w:space="0" w:color="auto"/>
                </w:tcBorders>
                <w:shd w:val="clear" w:color="auto" w:fill="auto"/>
                <w:vAlign w:val="center"/>
              </w:tcPr>
              <w:p>
                <w:pPr>
                  <w:jc w:val="center"/>
                  <w:rPr>
                    <w:color w:val="FF9900"/>
                    <w:szCs w:val="21"/>
                  </w:rPr>
                </w:pPr>
                <w:r>
                  <w:rPr>
                    <w:szCs w:val="21"/>
                  </w:rPr>
                  <w:t>股份种类</w:t>
                </w:r>
                <w:r>
                  <w:rPr>
                    <w:rFonts w:hint="eastAsia"/>
                    <w:szCs w:val="21"/>
                  </w:rPr>
                  <w:t>及数量</w:t>
                </w:r>
              </w:p>
            </w:tc>
          </w:sdtContent>
        </w:sdt>
      </w:tr>
      <w:tr>
        <w:trPr>
          <w:cantSplit/>
          <w:jc w:val="center"/>
        </w:trPr>
        <w:tc>
          <w:tcPr>
            <w:tcW w:w="4983" w:type="dxa"/>
            <w:gridSpan w:val="2"/>
            <w:vMerge/>
            <w:shd w:val="clear" w:color="auto" w:fill="auto"/>
            <w:vAlign w:val="center"/>
          </w:tcPr>
          <w:p>
            <w:pPr>
              <w:jc w:val="center"/>
              <w:rPr>
                <w:color w:val="FF9900"/>
                <w:szCs w:val="21"/>
              </w:rPr>
            </w:pPr>
          </w:p>
        </w:tc>
        <w:tc>
          <w:tcPr>
            <w:tcW w:w="3915" w:type="dxa"/>
            <w:gridSpan w:val="3"/>
            <w:vMerge/>
            <w:shd w:val="clear" w:color="auto" w:fill="auto"/>
            <w:vAlign w:val="center"/>
          </w:tcPr>
          <w:p>
            <w:pPr>
              <w:jc w:val="center"/>
              <w:rPr>
                <w:color w:val="FF9900"/>
                <w:szCs w:val="21"/>
              </w:rPr>
            </w:pPr>
          </w:p>
        </w:tc>
        <w:sdt>
          <w:sdtPr>
            <w:tag w:val="_PLD_e67773187f2f4233a6666596947248e8"/>
            <w:id w:val="1705525379"/>
          </w:sdtPr>
          <w:sdtContent>
            <w:tc>
              <w:tcPr>
                <w:tcW w:w="1732" w:type="dxa"/>
                <w:gridSpan w:val="2"/>
                <w:shd w:val="clear" w:color="auto" w:fill="auto"/>
                <w:vAlign w:val="center"/>
              </w:tcPr>
              <w:p>
                <w:pPr>
                  <w:jc w:val="center"/>
                  <w:rPr>
                    <w:color w:val="008000"/>
                    <w:szCs w:val="21"/>
                  </w:rPr>
                </w:pPr>
                <w:r>
                  <w:rPr>
                    <w:rFonts w:hint="eastAsia"/>
                    <w:szCs w:val="21"/>
                  </w:rPr>
                  <w:t>种类</w:t>
                </w:r>
              </w:p>
            </w:tc>
          </w:sdtContent>
        </w:sdt>
        <w:sdt>
          <w:sdtPr>
            <w:tag w:val="_PLD_2f2fd5088a82440f9265e00f4e298be0"/>
            <w:id w:val="793951802"/>
          </w:sdtPr>
          <w:sdtContent>
            <w:tc>
              <w:tcPr>
                <w:tcW w:w="3257" w:type="dxa"/>
                <w:gridSpan w:val="2"/>
                <w:shd w:val="clear" w:color="auto" w:fill="auto"/>
                <w:vAlign w:val="center"/>
              </w:tcPr>
              <w:p>
                <w:pPr>
                  <w:jc w:val="center"/>
                  <w:rPr>
                    <w:color w:val="008000"/>
                    <w:szCs w:val="21"/>
                  </w:rPr>
                </w:pPr>
                <w:r>
                  <w:rPr>
                    <w:rFonts w:hint="eastAsia"/>
                    <w:szCs w:val="21"/>
                  </w:rPr>
                  <w:t>数量</w:t>
                </w:r>
              </w:p>
            </w:tc>
          </w:sdtContent>
        </w:sdt>
      </w:tr>
      <w:tr>
        <w:trPr>
          <w:cantSplit/>
          <w:jc w:val="center"/>
        </w:trPr>
        <w:tc>
          <w:tcPr>
            <w:tcW w:w="4983" w:type="dxa"/>
            <w:gridSpan w:val="2"/>
            <w:vMerge w:val="restart"/>
            <w:shd w:val="clear" w:color="auto" w:fill="auto"/>
            <w:vAlign w:val="center"/>
          </w:tcPr>
          <w:p>
            <w:pPr>
              <w:jc w:val="both"/>
              <w:rPr>
                <w:szCs w:val="21"/>
              </w:rPr>
            </w:pPr>
            <w:r>
              <w:rPr>
                <w:rFonts w:hint="eastAsia"/>
                <w:szCs w:val="21"/>
              </w:rPr>
              <w:t>山东能源集团有限公司</w:t>
            </w:r>
          </w:p>
        </w:tc>
        <w:tc>
          <w:tcPr>
            <w:tcW w:w="3915" w:type="dxa"/>
            <w:gridSpan w:val="3"/>
            <w:shd w:val="clear" w:color="auto" w:fill="auto"/>
            <w:vAlign w:val="center"/>
          </w:tcPr>
          <w:p>
            <w:pPr>
              <w:jc w:val="right"/>
            </w:pPr>
            <w:r>
              <w:t xml:space="preserve">4,395,142,871 </w:t>
            </w:r>
          </w:p>
        </w:tc>
        <w:sdt>
          <w:sdtPr>
            <w:rPr>
              <w:bCs/>
              <w:szCs w:val="21"/>
            </w:rPr>
            <w:alias w:val="前十名无限售条件股东期末持有流通股的种类"/>
            <w:tag w:val="_GBC_b35ef493948141e0b9d0c3fd14aad59a"/>
            <w:id w:val="315001939"/>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Content>
            <w:tc>
              <w:tcPr>
                <w:tcW w:w="1732" w:type="dxa"/>
                <w:gridSpan w:val="2"/>
                <w:shd w:val="clear" w:color="auto" w:fill="auto"/>
                <w:vAlign w:val="center"/>
              </w:tcPr>
              <w:p>
                <w:pPr>
                  <w:jc w:val="center"/>
                  <w:rPr>
                    <w:bCs/>
                    <w:szCs w:val="21"/>
                  </w:rPr>
                </w:pPr>
                <w:r>
                  <w:rPr>
                    <w:bCs/>
                    <w:szCs w:val="21"/>
                  </w:rPr>
                  <w:t>人民币普通股</w:t>
                </w:r>
              </w:p>
            </w:tc>
          </w:sdtContent>
        </w:sdt>
        <w:tc>
          <w:tcPr>
            <w:tcW w:w="3257" w:type="dxa"/>
            <w:gridSpan w:val="2"/>
            <w:shd w:val="clear" w:color="auto" w:fill="auto"/>
            <w:vAlign w:val="center"/>
          </w:tcPr>
          <w:p>
            <w:pPr>
              <w:jc w:val="right"/>
            </w:pPr>
            <w:r>
              <w:t xml:space="preserve">4,395,142,871 </w:t>
            </w:r>
          </w:p>
        </w:tc>
      </w:tr>
      <w:tr>
        <w:trPr>
          <w:cantSplit/>
          <w:jc w:val="center"/>
        </w:trPr>
        <w:tc>
          <w:tcPr>
            <w:tcW w:w="4983" w:type="dxa"/>
            <w:gridSpan w:val="2"/>
            <w:vMerge/>
            <w:shd w:val="clear" w:color="auto" w:fill="auto"/>
            <w:vAlign w:val="center"/>
          </w:tcPr>
          <w:p>
            <w:pPr>
              <w:jc w:val="both"/>
              <w:rPr>
                <w:szCs w:val="21"/>
              </w:rPr>
            </w:pPr>
          </w:p>
        </w:tc>
        <w:tc>
          <w:tcPr>
            <w:tcW w:w="3915" w:type="dxa"/>
            <w:gridSpan w:val="3"/>
            <w:shd w:val="clear" w:color="auto" w:fill="auto"/>
            <w:vAlign w:val="center"/>
          </w:tcPr>
          <w:p>
            <w:pPr>
              <w:jc w:val="right"/>
            </w:pPr>
            <w:r>
              <w:t xml:space="preserve">908,756,550 </w:t>
            </w:r>
          </w:p>
        </w:tc>
        <w:tc>
          <w:tcPr>
            <w:tcW w:w="1732" w:type="dxa"/>
            <w:gridSpan w:val="2"/>
            <w:shd w:val="clear" w:color="auto" w:fill="auto"/>
            <w:vAlign w:val="center"/>
          </w:tcPr>
          <w:p>
            <w:pPr>
              <w:jc w:val="center"/>
            </w:pPr>
            <w:r>
              <w:rPr>
                <w:rFonts w:hint="eastAsia"/>
              </w:rPr>
              <w:t>境外上市外资股</w:t>
            </w:r>
          </w:p>
        </w:tc>
        <w:tc>
          <w:tcPr>
            <w:tcW w:w="3257" w:type="dxa"/>
            <w:gridSpan w:val="2"/>
            <w:shd w:val="clear" w:color="auto" w:fill="auto"/>
            <w:vAlign w:val="center"/>
          </w:tcPr>
          <w:p>
            <w:pPr>
              <w:jc w:val="right"/>
            </w:pPr>
            <w:r>
              <w:t xml:space="preserve">908,756,550 </w:t>
            </w:r>
          </w:p>
        </w:tc>
      </w:tr>
      <w:tr>
        <w:trPr>
          <w:cantSplit/>
          <w:jc w:val="center"/>
        </w:trPr>
        <w:tc>
          <w:tcPr>
            <w:tcW w:w="4983" w:type="dxa"/>
            <w:gridSpan w:val="2"/>
            <w:shd w:val="clear" w:color="auto" w:fill="auto"/>
            <w:vAlign w:val="center"/>
          </w:tcPr>
          <w:p>
            <w:pPr>
              <w:jc w:val="both"/>
              <w:rPr>
                <w:szCs w:val="21"/>
              </w:rPr>
            </w:pPr>
            <w:r>
              <w:rPr>
                <w:rFonts w:hint="eastAsia"/>
                <w:szCs w:val="21"/>
              </w:rPr>
              <w:t>香港中央结算（代理人）有限公司</w:t>
            </w:r>
          </w:p>
        </w:tc>
        <w:tc>
          <w:tcPr>
            <w:tcW w:w="3915" w:type="dxa"/>
            <w:gridSpan w:val="3"/>
            <w:shd w:val="clear" w:color="auto" w:fill="auto"/>
            <w:vAlign w:val="center"/>
          </w:tcPr>
          <w:p>
            <w:pPr>
              <w:jc w:val="right"/>
              <w:rPr>
                <w:szCs w:val="21"/>
              </w:rPr>
            </w:pPr>
            <w:r>
              <w:rPr>
                <w:szCs w:val="21"/>
              </w:rPr>
              <w:t xml:space="preserve">3,162,157,918 </w:t>
            </w:r>
          </w:p>
        </w:tc>
        <w:tc>
          <w:tcPr>
            <w:tcW w:w="1732" w:type="dxa"/>
            <w:gridSpan w:val="2"/>
            <w:shd w:val="clear" w:color="auto" w:fill="auto"/>
            <w:vAlign w:val="center"/>
          </w:tcPr>
          <w:p>
            <w:pPr>
              <w:jc w:val="center"/>
              <w:rPr>
                <w:bCs/>
                <w:szCs w:val="21"/>
              </w:rPr>
            </w:pPr>
            <w:r>
              <w:rPr>
                <w:rFonts w:hint="eastAsia"/>
              </w:rPr>
              <w:t>境外上市外资股</w:t>
            </w:r>
          </w:p>
        </w:tc>
        <w:tc>
          <w:tcPr>
            <w:tcW w:w="3257" w:type="dxa"/>
            <w:gridSpan w:val="2"/>
            <w:shd w:val="clear" w:color="auto" w:fill="auto"/>
            <w:vAlign w:val="center"/>
          </w:tcPr>
          <w:p>
            <w:pPr>
              <w:jc w:val="right"/>
              <w:rPr>
                <w:szCs w:val="21"/>
              </w:rPr>
            </w:pPr>
            <w:r>
              <w:rPr>
                <w:szCs w:val="21"/>
              </w:rPr>
              <w:t xml:space="preserve">3,162,157,918 </w:t>
            </w:r>
          </w:p>
        </w:tc>
      </w:tr>
      <w:tr>
        <w:trPr>
          <w:cantSplit/>
          <w:jc w:val="center"/>
        </w:trPr>
        <w:tc>
          <w:tcPr>
            <w:tcW w:w="4983" w:type="dxa"/>
            <w:gridSpan w:val="2"/>
            <w:shd w:val="clear" w:color="auto" w:fill="auto"/>
          </w:tcPr>
          <w:p>
            <w:pPr>
              <w:pStyle w:val="affffffd"/>
            </w:pPr>
            <w:r>
              <w:rPr>
                <w:rFonts w:hint="eastAsia"/>
              </w:rPr>
              <w:t>香港中央结算有限公司</w:t>
            </w:r>
          </w:p>
        </w:tc>
        <w:tc>
          <w:tcPr>
            <w:tcW w:w="3915" w:type="dxa"/>
            <w:gridSpan w:val="3"/>
            <w:shd w:val="clear" w:color="auto" w:fill="auto"/>
            <w:vAlign w:val="center"/>
          </w:tcPr>
          <w:p>
            <w:pPr>
              <w:jc w:val="right"/>
            </w:pPr>
            <w:r>
              <w:t xml:space="preserve">88,503,648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88,503,648 </w:t>
            </w:r>
          </w:p>
        </w:tc>
      </w:tr>
      <w:tr>
        <w:trPr>
          <w:cantSplit/>
          <w:jc w:val="center"/>
        </w:trPr>
        <w:tc>
          <w:tcPr>
            <w:tcW w:w="4983" w:type="dxa"/>
            <w:gridSpan w:val="2"/>
            <w:shd w:val="clear" w:color="auto" w:fill="auto"/>
          </w:tcPr>
          <w:p>
            <w:pPr>
              <w:pStyle w:val="affffffd"/>
            </w:pPr>
            <w:r>
              <w:rPr>
                <w:rFonts w:hint="eastAsia"/>
              </w:rPr>
              <w:t>新华人寿保险股份有限公司－传统－普通保险产品－</w:t>
            </w:r>
            <w:r>
              <w:t>018L－CT001沪</w:t>
            </w:r>
          </w:p>
        </w:tc>
        <w:tc>
          <w:tcPr>
            <w:tcW w:w="3915" w:type="dxa"/>
            <w:gridSpan w:val="3"/>
            <w:shd w:val="clear" w:color="auto" w:fill="auto"/>
            <w:vAlign w:val="center"/>
          </w:tcPr>
          <w:p>
            <w:pPr>
              <w:jc w:val="right"/>
            </w:pPr>
            <w:r>
              <w:t xml:space="preserve">44,546,366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44,546,366 </w:t>
            </w:r>
          </w:p>
        </w:tc>
      </w:tr>
      <w:tr>
        <w:trPr>
          <w:cantSplit/>
          <w:jc w:val="center"/>
        </w:trPr>
        <w:tc>
          <w:tcPr>
            <w:tcW w:w="4983" w:type="dxa"/>
            <w:gridSpan w:val="2"/>
            <w:shd w:val="clear" w:color="auto" w:fill="auto"/>
          </w:tcPr>
          <w:p>
            <w:pPr>
              <w:pStyle w:val="affffffd"/>
            </w:pPr>
            <w:r>
              <w:rPr>
                <w:rFonts w:hint="eastAsia"/>
              </w:rPr>
              <w:t>招商银行股份有限公司－上证红利交易型开放式指数证券投资基金</w:t>
            </w:r>
          </w:p>
        </w:tc>
        <w:tc>
          <w:tcPr>
            <w:tcW w:w="3915" w:type="dxa"/>
            <w:gridSpan w:val="3"/>
            <w:shd w:val="clear" w:color="auto" w:fill="auto"/>
            <w:vAlign w:val="center"/>
          </w:tcPr>
          <w:p>
            <w:pPr>
              <w:jc w:val="right"/>
            </w:pPr>
            <w:r>
              <w:t xml:space="preserve">31,604,925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31,604,925 </w:t>
            </w:r>
          </w:p>
        </w:tc>
      </w:tr>
      <w:tr>
        <w:trPr>
          <w:cantSplit/>
          <w:jc w:val="center"/>
        </w:trPr>
        <w:tc>
          <w:tcPr>
            <w:tcW w:w="4983" w:type="dxa"/>
            <w:gridSpan w:val="2"/>
            <w:shd w:val="clear" w:color="auto" w:fill="auto"/>
          </w:tcPr>
          <w:p>
            <w:pPr>
              <w:pStyle w:val="affffffd"/>
            </w:pPr>
            <w:r>
              <w:rPr>
                <w:rFonts w:hint="eastAsia"/>
              </w:rPr>
              <w:t>中国工商银行股份有限公司－华泰柏瑞沪深</w:t>
            </w:r>
            <w:r>
              <w:t>300交易型开放式指数证券投资基金</w:t>
            </w:r>
          </w:p>
        </w:tc>
        <w:tc>
          <w:tcPr>
            <w:tcW w:w="3915" w:type="dxa"/>
            <w:gridSpan w:val="3"/>
            <w:shd w:val="clear" w:color="auto" w:fill="auto"/>
            <w:vAlign w:val="center"/>
          </w:tcPr>
          <w:p>
            <w:pPr>
              <w:jc w:val="right"/>
            </w:pPr>
            <w:r>
              <w:t xml:space="preserve">30,917,174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30,917,174 </w:t>
            </w:r>
          </w:p>
        </w:tc>
      </w:tr>
      <w:tr>
        <w:trPr>
          <w:cantSplit/>
          <w:jc w:val="center"/>
        </w:trPr>
        <w:tc>
          <w:tcPr>
            <w:tcW w:w="4983" w:type="dxa"/>
            <w:gridSpan w:val="2"/>
            <w:shd w:val="clear" w:color="auto" w:fill="auto"/>
          </w:tcPr>
          <w:p>
            <w:pPr>
              <w:pStyle w:val="affffffd"/>
            </w:pPr>
            <w:r>
              <w:rPr>
                <w:rFonts w:hint="eastAsia"/>
              </w:rPr>
              <w:t>中国建设银行股份有限公司－易方达沪深</w:t>
            </w:r>
            <w:r>
              <w:t>300交易型开放式指数发起式证券投资基金</w:t>
            </w:r>
          </w:p>
        </w:tc>
        <w:tc>
          <w:tcPr>
            <w:tcW w:w="3915" w:type="dxa"/>
            <w:gridSpan w:val="3"/>
            <w:shd w:val="clear" w:color="auto" w:fill="auto"/>
            <w:vAlign w:val="center"/>
          </w:tcPr>
          <w:p>
            <w:pPr>
              <w:jc w:val="right"/>
            </w:pPr>
            <w:r>
              <w:t xml:space="preserve">21,312,020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21,312,020 </w:t>
            </w:r>
          </w:p>
        </w:tc>
      </w:tr>
      <w:tr>
        <w:trPr>
          <w:cantSplit/>
          <w:jc w:val="center"/>
        </w:trPr>
        <w:tc>
          <w:tcPr>
            <w:tcW w:w="4983" w:type="dxa"/>
            <w:gridSpan w:val="2"/>
            <w:shd w:val="clear" w:color="auto" w:fill="auto"/>
          </w:tcPr>
          <w:p>
            <w:pPr>
              <w:pStyle w:val="affffffd"/>
            </w:pPr>
            <w:r>
              <w:rPr>
                <w:rFonts w:hint="eastAsia"/>
              </w:rPr>
              <w:t>前海人寿保险股份有限公司－分红保险产品</w:t>
            </w:r>
          </w:p>
        </w:tc>
        <w:tc>
          <w:tcPr>
            <w:tcW w:w="3915" w:type="dxa"/>
            <w:gridSpan w:val="3"/>
            <w:shd w:val="clear" w:color="auto" w:fill="auto"/>
            <w:vAlign w:val="center"/>
          </w:tcPr>
          <w:p>
            <w:pPr>
              <w:jc w:val="right"/>
            </w:pPr>
            <w:r>
              <w:t xml:space="preserve">20,859,774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20,859,774 </w:t>
            </w:r>
          </w:p>
        </w:tc>
      </w:tr>
      <w:tr>
        <w:trPr>
          <w:cantSplit/>
          <w:jc w:val="center"/>
        </w:trPr>
        <w:tc>
          <w:tcPr>
            <w:tcW w:w="4983" w:type="dxa"/>
            <w:gridSpan w:val="2"/>
            <w:shd w:val="clear" w:color="auto" w:fill="auto"/>
          </w:tcPr>
          <w:p>
            <w:pPr>
              <w:pStyle w:val="affffffd"/>
            </w:pPr>
            <w:r>
              <w:rPr>
                <w:rFonts w:hint="eastAsia"/>
              </w:rPr>
              <w:t>中国工商银行股份有限公司－华夏沪深</w:t>
            </w:r>
            <w:r>
              <w:t>300交易型开放式指数证券投资基金</w:t>
            </w:r>
          </w:p>
        </w:tc>
        <w:tc>
          <w:tcPr>
            <w:tcW w:w="3915" w:type="dxa"/>
            <w:gridSpan w:val="3"/>
            <w:shd w:val="clear" w:color="auto" w:fill="auto"/>
            <w:vAlign w:val="center"/>
          </w:tcPr>
          <w:p>
            <w:pPr>
              <w:jc w:val="right"/>
            </w:pPr>
            <w:r>
              <w:t xml:space="preserve">14,161,388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14,161,388 </w:t>
            </w:r>
          </w:p>
        </w:tc>
      </w:tr>
      <w:tr>
        <w:trPr>
          <w:cantSplit/>
          <w:jc w:val="center"/>
        </w:trPr>
        <w:tc>
          <w:tcPr>
            <w:tcW w:w="4983" w:type="dxa"/>
            <w:gridSpan w:val="2"/>
            <w:shd w:val="clear" w:color="auto" w:fill="auto"/>
          </w:tcPr>
          <w:p>
            <w:pPr>
              <w:pStyle w:val="affffffd"/>
            </w:pPr>
            <w:r>
              <w:rPr>
                <w:rFonts w:hint="eastAsia"/>
              </w:rPr>
              <w:t>中国工商银行股份有限公司－国泰中证煤炭交易型开放式指数证券投资基金</w:t>
            </w:r>
          </w:p>
        </w:tc>
        <w:tc>
          <w:tcPr>
            <w:tcW w:w="3915" w:type="dxa"/>
            <w:gridSpan w:val="3"/>
            <w:shd w:val="clear" w:color="auto" w:fill="auto"/>
            <w:vAlign w:val="center"/>
          </w:tcPr>
          <w:p>
            <w:pPr>
              <w:jc w:val="right"/>
            </w:pPr>
            <w:r>
              <w:t xml:space="preserve">13,818,257 </w:t>
            </w:r>
          </w:p>
        </w:tc>
        <w:tc>
          <w:tcPr>
            <w:tcW w:w="1732" w:type="dxa"/>
            <w:gridSpan w:val="2"/>
            <w:shd w:val="clear" w:color="auto" w:fill="auto"/>
            <w:vAlign w:val="center"/>
          </w:tcPr>
          <w:p>
            <w:pPr>
              <w:jc w:val="center"/>
              <w:rPr>
                <w:bCs/>
              </w:rPr>
            </w:pPr>
            <w:r>
              <w:rPr>
                <w:rFonts w:hint="eastAsia"/>
                <w:bCs/>
              </w:rPr>
              <w:t>人民币普通股</w:t>
            </w:r>
          </w:p>
        </w:tc>
        <w:tc>
          <w:tcPr>
            <w:tcW w:w="3257" w:type="dxa"/>
            <w:gridSpan w:val="2"/>
            <w:shd w:val="clear" w:color="auto" w:fill="auto"/>
            <w:vAlign w:val="center"/>
          </w:tcPr>
          <w:p>
            <w:pPr>
              <w:jc w:val="right"/>
            </w:pPr>
            <w:r>
              <w:t xml:space="preserve">13,818,257 </w:t>
            </w:r>
          </w:p>
        </w:tc>
      </w:tr>
      <w:tr>
        <w:trPr>
          <w:cantSplit/>
          <w:jc w:val="center"/>
        </w:trPr>
        <w:tc>
          <w:tcPr>
            <w:tcW w:w="4983" w:type="dxa"/>
            <w:gridSpan w:val="2"/>
            <w:shd w:val="clear" w:color="auto" w:fill="auto"/>
            <w:vAlign w:val="center"/>
          </w:tcPr>
          <w:p>
            <w:pPr>
              <w:rPr>
                <w:szCs w:val="21"/>
              </w:rPr>
            </w:pPr>
            <w:r>
              <w:rPr>
                <w:rFonts w:hint="eastAsia"/>
              </w:rPr>
              <w:t>前十名股东中回购专户情况说明</w:t>
            </w:r>
          </w:p>
        </w:tc>
        <w:tc>
          <w:tcPr>
            <w:tcW w:w="8904" w:type="dxa"/>
            <w:gridSpan w:val="7"/>
            <w:shd w:val="clear" w:color="auto" w:fill="auto"/>
            <w:vAlign w:val="center"/>
          </w:tcPr>
          <w:p>
            <w:pPr>
              <w:rPr>
                <w:szCs w:val="21"/>
              </w:rPr>
            </w:pPr>
            <w:r>
              <w:rPr>
                <w:rFonts w:hint="eastAsia"/>
                <w:szCs w:val="21"/>
              </w:rPr>
              <w:t>不适用</w:t>
            </w:r>
          </w:p>
        </w:tc>
      </w:tr>
      <w:tr>
        <w:trPr>
          <w:cantSplit/>
          <w:jc w:val="center"/>
        </w:trPr>
        <w:tc>
          <w:tcPr>
            <w:tcW w:w="4983" w:type="dxa"/>
            <w:gridSpan w:val="2"/>
            <w:shd w:val="clear" w:color="auto" w:fill="auto"/>
            <w:vAlign w:val="center"/>
          </w:tcPr>
          <w:p>
            <w:pPr>
              <w:pStyle w:val="affffffd"/>
            </w:pPr>
            <w:r>
              <w:rPr>
                <w:szCs w:val="21"/>
              </w:rPr>
              <w:t>上述股东</w:t>
            </w:r>
            <w:r>
              <w:rPr>
                <w:rFonts w:hint="eastAsia"/>
                <w:szCs w:val="21"/>
              </w:rPr>
              <w:t>委托表决权、受托表决权、放弃表决权</w:t>
            </w:r>
            <w:r>
              <w:rPr>
                <w:szCs w:val="21"/>
              </w:rPr>
              <w:t>的说明</w:t>
            </w:r>
          </w:p>
        </w:tc>
        <w:tc>
          <w:tcPr>
            <w:tcW w:w="8904" w:type="dxa"/>
            <w:gridSpan w:val="7"/>
            <w:shd w:val="clear" w:color="auto" w:fill="auto"/>
            <w:vAlign w:val="center"/>
          </w:tcPr>
          <w:p>
            <w:pPr>
              <w:rPr>
                <w:szCs w:val="21"/>
              </w:rPr>
            </w:pPr>
            <w:r>
              <w:rPr>
                <w:rFonts w:hint="eastAsia"/>
                <w:szCs w:val="21"/>
              </w:rPr>
              <w:t>不适用</w:t>
            </w:r>
          </w:p>
        </w:tc>
      </w:tr>
      <w:tr>
        <w:trPr>
          <w:cantSplit/>
          <w:jc w:val="center"/>
        </w:trPr>
        <w:tc>
          <w:tcPr>
            <w:tcW w:w="4983" w:type="dxa"/>
            <w:gridSpan w:val="2"/>
            <w:shd w:val="clear" w:color="auto" w:fill="auto"/>
            <w:vAlign w:val="center"/>
          </w:tcPr>
          <w:p>
            <w:pPr>
              <w:rPr>
                <w:szCs w:val="21"/>
              </w:rPr>
            </w:pPr>
            <w:r>
              <w:rPr>
                <w:szCs w:val="21"/>
              </w:rPr>
              <w:t>上述股东关联关系或一致行动的说明</w:t>
            </w:r>
          </w:p>
        </w:tc>
        <w:tc>
          <w:tcPr>
            <w:tcW w:w="8904" w:type="dxa"/>
            <w:gridSpan w:val="7"/>
            <w:shd w:val="clear" w:color="auto" w:fill="auto"/>
            <w:vAlign w:val="center"/>
          </w:tcPr>
          <w:p>
            <w:pPr>
              <w:ind w:firstLineChars="200" w:firstLine="420"/>
              <w:jc w:val="both"/>
              <w:rPr>
                <w:szCs w:val="21"/>
              </w:rPr>
            </w:pPr>
            <w:r>
              <w:rPr>
                <w:rFonts w:hint="eastAsia"/>
                <w:szCs w:val="21"/>
              </w:rPr>
              <w:t>山东能源全资子公司兖矿集团</w:t>
            </w:r>
            <w:r>
              <w:rPr>
                <w:szCs w:val="21"/>
              </w:rPr>
              <w:t>(香港)有限公司（“兖矿香港公司”）通过香港中央结算（代理人）有限公司持有本公司9.09亿股H股。</w:t>
            </w:r>
          </w:p>
          <w:p>
            <w:pPr>
              <w:ind w:firstLineChars="200" w:firstLine="420"/>
              <w:jc w:val="both"/>
              <w:rPr>
                <w:szCs w:val="21"/>
              </w:rPr>
            </w:pPr>
            <w:r>
              <w:rPr>
                <w:rFonts w:hint="eastAsia"/>
                <w:szCs w:val="21"/>
              </w:rPr>
              <w:t>“招商银行股份有限公司－上证红利交易型开放式指数证券投资基金”和“中国工商银行股份有限公司－华泰柏瑞沪深</w:t>
            </w:r>
            <w:r>
              <w:rPr>
                <w:szCs w:val="21"/>
              </w:rPr>
              <w:t>300交易型开放式指数证券投资基金”的基金管理人均为华泰柏瑞基金管理有限公司。</w:t>
            </w:r>
          </w:p>
          <w:p>
            <w:pPr>
              <w:ind w:firstLineChars="200" w:firstLine="420"/>
              <w:jc w:val="both"/>
              <w:rPr>
                <w:szCs w:val="21"/>
              </w:rPr>
            </w:pPr>
            <w:r>
              <w:rPr>
                <w:rFonts w:hint="eastAsia"/>
                <w:szCs w:val="21"/>
              </w:rPr>
              <w:t>除此之外，其他股东的关联关系和一致行动关系不详。</w:t>
            </w:r>
          </w:p>
        </w:tc>
      </w:tr>
      <w:tr>
        <w:trPr>
          <w:cantSplit/>
          <w:jc w:val="center"/>
        </w:trPr>
        <w:tc>
          <w:tcPr>
            <w:tcW w:w="4983" w:type="dxa"/>
            <w:gridSpan w:val="2"/>
            <w:shd w:val="clear" w:color="auto" w:fill="auto"/>
            <w:vAlign w:val="center"/>
          </w:tcPr>
          <w:p>
            <w:pPr>
              <w:rPr>
                <w:szCs w:val="21"/>
              </w:rPr>
            </w:pPr>
            <w:r>
              <w:rPr>
                <w:rFonts w:hint="eastAsia"/>
                <w:szCs w:val="21"/>
              </w:rPr>
              <w:t>表决权恢复的优先股股东及持股数量的说明</w:t>
            </w:r>
          </w:p>
        </w:tc>
        <w:tc>
          <w:tcPr>
            <w:tcW w:w="8904" w:type="dxa"/>
            <w:gridSpan w:val="7"/>
            <w:shd w:val="clear" w:color="auto" w:fill="auto"/>
            <w:vAlign w:val="center"/>
          </w:tcPr>
          <w:p>
            <w:pPr>
              <w:rPr>
                <w:szCs w:val="21"/>
              </w:rPr>
            </w:pPr>
            <w:r>
              <w:rPr>
                <w:rFonts w:hint="eastAsia"/>
                <w:szCs w:val="21"/>
              </w:rPr>
              <w:t>不适用</w:t>
            </w:r>
          </w:p>
        </w:tc>
      </w:tr>
    </w:tbl>
    <w:p>
      <w:pPr>
        <w:ind w:firstLineChars="200" w:firstLine="420"/>
        <w:jc w:val="both"/>
        <w:rPr>
          <w:szCs w:val="21"/>
        </w:rPr>
      </w:pPr>
      <w:r>
        <w:rPr>
          <w:rFonts w:hint="eastAsia"/>
          <w:szCs w:val="21"/>
        </w:rPr>
        <w:t>注：</w:t>
      </w:r>
    </w:p>
    <w:p>
      <w:pPr>
        <w:ind w:firstLineChars="200" w:firstLine="420"/>
        <w:jc w:val="both"/>
        <w:rPr>
          <w:szCs w:val="21"/>
        </w:rPr>
      </w:pPr>
      <w:r>
        <w:rPr>
          <w:rFonts w:hint="eastAsia"/>
          <w:szCs w:val="21"/>
        </w:rPr>
        <w:lastRenderedPageBreak/>
        <w:t>①截至</w:t>
      </w:r>
      <w:r>
        <w:rPr>
          <w:szCs w:val="21"/>
        </w:rPr>
        <w:t>2024年12月31日，山东能源直接和间接持有本公司股份共5,303,899,421股，占本公司总股本的52.83%。包括：（i）通过自身账号持有公司A股4,185,339,592股；（ii）通过可交换公司债券质押专户持有公司A股209,803,279股；（iii）通过兖矿香港公司</w:t>
      </w:r>
      <w:r>
        <w:rPr>
          <w:rFonts w:hint="eastAsia"/>
          <w:szCs w:val="21"/>
        </w:rPr>
        <w:t>自身</w:t>
      </w:r>
      <w:r>
        <w:rPr>
          <w:szCs w:val="21"/>
        </w:rPr>
        <w:t>账户持有公司H股626,058,657股</w:t>
      </w:r>
      <w:r>
        <w:rPr>
          <w:rFonts w:hint="eastAsia"/>
          <w:szCs w:val="21"/>
        </w:rPr>
        <w:t>；</w:t>
      </w:r>
      <w:r>
        <w:rPr>
          <w:szCs w:val="21"/>
        </w:rPr>
        <w:t>（i</w:t>
      </w:r>
      <w:r>
        <w:rPr>
          <w:rFonts w:hint="eastAsia"/>
          <w:szCs w:val="21"/>
        </w:rPr>
        <w:t>v</w:t>
      </w:r>
      <w:r>
        <w:rPr>
          <w:szCs w:val="21"/>
        </w:rPr>
        <w:t>）</w:t>
      </w:r>
      <w:r>
        <w:rPr>
          <w:rFonts w:hint="eastAsia"/>
          <w:szCs w:val="21"/>
        </w:rPr>
        <w:t>通过兖矿香港公司</w:t>
      </w:r>
      <w:r>
        <w:rPr>
          <w:szCs w:val="21"/>
        </w:rPr>
        <w:t>质押</w:t>
      </w:r>
      <w:r>
        <w:rPr>
          <w:rFonts w:hint="eastAsia"/>
          <w:szCs w:val="21"/>
        </w:rPr>
        <w:t>专户持有公司</w:t>
      </w:r>
      <w:r>
        <w:rPr>
          <w:szCs w:val="21"/>
        </w:rPr>
        <w:t>H股282,697,893</w:t>
      </w:r>
      <w:r>
        <w:rPr>
          <w:rFonts w:hint="eastAsia"/>
          <w:szCs w:val="21"/>
        </w:rPr>
        <w:t>股</w:t>
      </w:r>
      <w:r>
        <w:rPr>
          <w:szCs w:val="21"/>
        </w:rPr>
        <w:t>。</w:t>
      </w:r>
    </w:p>
    <w:p>
      <w:pPr>
        <w:ind w:firstLineChars="200" w:firstLine="420"/>
        <w:jc w:val="both"/>
        <w:rPr>
          <w:szCs w:val="21"/>
        </w:rPr>
      </w:pPr>
      <w:r>
        <w:rPr>
          <w:rFonts w:hint="eastAsia"/>
          <w:szCs w:val="21"/>
        </w:rPr>
        <w:t>②以上“报告期末普通股股东总数”及“前</w:t>
      </w:r>
      <w:r>
        <w:rPr>
          <w:szCs w:val="21"/>
        </w:rPr>
        <w:t>10名股东持股情况、前10名无限售条件股东持股情况”资料，是根据中国证券登记结算有限责任公司上海分公司、</w:t>
      </w:r>
      <w:r>
        <w:rPr>
          <w:rFonts w:hint="eastAsia"/>
          <w:szCs w:val="21"/>
        </w:rPr>
        <w:t>香港中央证券登记有限公司</w:t>
      </w:r>
      <w:r>
        <w:rPr>
          <w:szCs w:val="21"/>
        </w:rPr>
        <w:t>提供的公司股东名册编制。</w:t>
      </w:r>
    </w:p>
    <w:p>
      <w:pPr>
        <w:ind w:firstLineChars="200" w:firstLine="420"/>
        <w:jc w:val="both"/>
        <w:rPr>
          <w:szCs w:val="21"/>
        </w:rPr>
      </w:pPr>
      <w:r>
        <w:rPr>
          <w:rFonts w:hint="eastAsia"/>
          <w:szCs w:val="21"/>
        </w:rPr>
        <w:t>③香港中央结算（代理人）有限公司作为公司</w:t>
      </w:r>
      <w:r>
        <w:rPr>
          <w:szCs w:val="21"/>
        </w:rPr>
        <w:t>H股的结算公司，以代理人身份持有公司股票。香港中央结算有限公司为公司沪股通股票的名义持有人。</w:t>
      </w:r>
    </w:p>
    <w:p>
      <w:pPr>
        <w:rPr>
          <w:szCs w:val="21"/>
        </w:rPr>
      </w:pPr>
    </w:p>
    <w:p>
      <w:pPr>
        <w:rPr>
          <w:szCs w:val="21"/>
        </w:rPr>
      </w:pPr>
      <w:bookmarkStart w:id="234" w:name="_Hlk155094173"/>
      <w:r>
        <w:rPr>
          <w:szCs w:val="21"/>
        </w:rPr>
        <w:t>持</w:t>
      </w:r>
      <w:r>
        <w:rPr>
          <w:rFonts w:hint="eastAsia"/>
        </w:rPr>
        <w:t>股</w:t>
      </w:r>
      <w:r>
        <w:t>5%以上股东、前十名股东及前十名无限售流通股股东参与转融通业务出借股份情</w:t>
      </w:r>
      <w:r>
        <w:rPr>
          <w:rFonts w:hint="eastAsia"/>
          <w:szCs w:val="21"/>
        </w:rPr>
        <w:t>况</w:t>
      </w:r>
    </w:p>
    <w:sdt>
      <w:sdtPr>
        <w:rPr>
          <w:bCs/>
          <w:szCs w:val="21"/>
        </w:rPr>
        <w:alias w:val="是否适用：前十名股东参与转融通业务出借股份情况[双击切换]"/>
        <w:tag w:val="_GBC_2d74b1abb153475cb0679c2ab4305c0d"/>
        <w:id w:val="-1407056523"/>
        <w:placeholder>
          <w:docPart w:val="GBC22222222222222222222222222222"/>
        </w:placeholder>
      </w:sdtPr>
      <w:sdtContent>
        <w:p>
          <w:pPr>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pPr>
        <w:jc w:val="right"/>
        <w:rPr>
          <w:szCs w:val="21"/>
        </w:rPr>
      </w:pPr>
      <w:r>
        <w:rPr>
          <w:bCs/>
          <w:szCs w:val="21"/>
        </w:rPr>
        <w:t>单位：</w:t>
      </w:r>
      <w:sdt>
        <w:sdtPr>
          <w:rPr>
            <w:bCs/>
            <w:szCs w:val="21"/>
          </w:rPr>
          <w:alias w:val="单位：前十名股东参与转融通业务出借股份情况"/>
          <w:tag w:val="_GBC_45b1047c9cfa42988ad6df85decd719d"/>
          <w:id w:val="-1611968408"/>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bCs/>
              <w:szCs w:val="21"/>
            </w:rPr>
            <w:t>股</w:t>
          </w:r>
        </w:sdtContent>
      </w:sdt>
    </w:p>
    <w:tbl>
      <w:tblPr>
        <w:tblStyle w:val="afffff7"/>
        <w:tblW w:w="5000" w:type="pct"/>
        <w:tblLook w:val="04A0" w:firstRow="1" w:lastRow="0" w:firstColumn="1" w:lastColumn="0" w:noHBand="0" w:noVBand="1"/>
      </w:tblPr>
      <w:tblGrid>
        <w:gridCol w:w="1531"/>
        <w:gridCol w:w="1753"/>
        <w:gridCol w:w="1317"/>
        <w:gridCol w:w="1755"/>
        <w:gridCol w:w="1314"/>
        <w:gridCol w:w="1755"/>
        <w:gridCol w:w="1314"/>
        <w:gridCol w:w="1752"/>
        <w:gridCol w:w="1372"/>
      </w:tblGrid>
      <w:tr>
        <w:trPr>
          <w:trHeight w:val="70"/>
        </w:trPr>
        <w:sdt>
          <w:sdtPr>
            <w:tag w:val="_PLD_7086b05bd021406bb4c9e7e910ea5965"/>
            <w:id w:val="-102348115"/>
          </w:sdtPr>
          <w:sdtEndPr>
            <w:rPr>
              <w:rFonts w:hint="eastAsia"/>
            </w:rPr>
          </w:sdtEndPr>
          <w:sdtContent>
            <w:tc>
              <w:tcPr>
                <w:tcW w:w="5000" w:type="pct"/>
                <w:gridSpan w:val="9"/>
              </w:tcPr>
              <w:p>
                <w:pPr>
                  <w:pStyle w:val="afffff9"/>
                  <w:jc w:val="center"/>
                </w:pPr>
                <w:r>
                  <w:rPr>
                    <w:rFonts w:ascii="宋体" w:hAnsi="宋体" w:hint="eastAsia"/>
                  </w:rPr>
                  <w:t>持股5%以上股东、前十名股东及前十名无限售流通股股东参与转融通业务出借股份情况</w:t>
                </w:r>
              </w:p>
            </w:tc>
          </w:sdtContent>
        </w:sdt>
      </w:tr>
      <w:tr>
        <w:trPr>
          <w:trHeight w:val="70"/>
        </w:trPr>
        <w:sdt>
          <w:sdtPr>
            <w:tag w:val="_PLD_6d2138e187cc4bb5bdd149c33a15fb50"/>
            <w:id w:val="325794114"/>
          </w:sdtPr>
          <w:sdtContent>
            <w:tc>
              <w:tcPr>
                <w:tcW w:w="552" w:type="pct"/>
                <w:vMerge w:val="restart"/>
                <w:vAlign w:val="center"/>
              </w:tcPr>
              <w:p>
                <w:pPr>
                  <w:jc w:val="center"/>
                  <w:rPr>
                    <w:szCs w:val="21"/>
                  </w:rPr>
                </w:pPr>
                <w:r>
                  <w:rPr>
                    <w:rFonts w:hint="eastAsia"/>
                    <w:szCs w:val="21"/>
                  </w:rPr>
                  <w:t>股东名称（全称）</w:t>
                </w:r>
              </w:p>
            </w:tc>
          </w:sdtContent>
        </w:sdt>
        <w:sdt>
          <w:sdtPr>
            <w:tag w:val="_PLD_c17c23c6133a438e91726295c5296b1f"/>
            <w:id w:val="-646126596"/>
          </w:sdtPr>
          <w:sdtContent>
            <w:tc>
              <w:tcPr>
                <w:tcW w:w="1107" w:type="pct"/>
                <w:gridSpan w:val="2"/>
                <w:vAlign w:val="center"/>
              </w:tcPr>
              <w:p>
                <w:pPr>
                  <w:jc w:val="center"/>
                  <w:rPr>
                    <w:szCs w:val="21"/>
                  </w:rPr>
                </w:pPr>
                <w:r>
                  <w:rPr>
                    <w:rFonts w:hint="eastAsia"/>
                    <w:szCs w:val="21"/>
                  </w:rPr>
                  <w:t>期初普通账户、信用账户持股</w:t>
                </w:r>
              </w:p>
            </w:tc>
          </w:sdtContent>
        </w:sdt>
        <w:sdt>
          <w:sdtPr>
            <w:tag w:val="_PLD_d95af5a9fd9f42a98557de480caf56db"/>
            <w:id w:val="-1361122334"/>
          </w:sdtPr>
          <w:sdtContent>
            <w:tc>
              <w:tcPr>
                <w:tcW w:w="1107" w:type="pct"/>
                <w:gridSpan w:val="2"/>
                <w:vAlign w:val="center"/>
              </w:tcPr>
              <w:p>
                <w:pPr>
                  <w:jc w:val="center"/>
                  <w:rPr>
                    <w:szCs w:val="21"/>
                  </w:rPr>
                </w:pPr>
                <w:r>
                  <w:rPr>
                    <w:rFonts w:hint="eastAsia"/>
                  </w:rPr>
                  <w:t>期初转融通出借股份且尚未归还</w:t>
                </w:r>
              </w:p>
            </w:tc>
          </w:sdtContent>
        </w:sdt>
        <w:sdt>
          <w:sdtPr>
            <w:tag w:val="_PLD_6b63d68b14654024945e4758d8b8a4e2"/>
            <w:id w:val="-1131475186"/>
          </w:sdtPr>
          <w:sdtContent>
            <w:tc>
              <w:tcPr>
                <w:tcW w:w="1107" w:type="pct"/>
                <w:gridSpan w:val="2"/>
                <w:vAlign w:val="center"/>
              </w:tcPr>
              <w:p>
                <w:pPr>
                  <w:jc w:val="center"/>
                  <w:rPr>
                    <w:szCs w:val="21"/>
                  </w:rPr>
                </w:pPr>
                <w:r>
                  <w:t>期</w:t>
                </w:r>
                <w:r>
                  <w:rPr>
                    <w:rFonts w:hint="eastAsia"/>
                  </w:rPr>
                  <w:t>末</w:t>
                </w:r>
                <w:r>
                  <w:t>普通账户、信用账户持股</w:t>
                </w:r>
              </w:p>
            </w:tc>
          </w:sdtContent>
        </w:sdt>
        <w:sdt>
          <w:sdtPr>
            <w:tag w:val="_PLD_d655a1c9faba49a29ad6825f0545d539"/>
            <w:id w:val="-640656732"/>
          </w:sdtPr>
          <w:sdtContent>
            <w:tc>
              <w:tcPr>
                <w:tcW w:w="1127" w:type="pct"/>
                <w:gridSpan w:val="2"/>
                <w:vAlign w:val="center"/>
              </w:tcPr>
              <w:p>
                <w:pPr>
                  <w:jc w:val="center"/>
                  <w:rPr>
                    <w:szCs w:val="21"/>
                  </w:rPr>
                </w:pPr>
                <w:r>
                  <w:t>期</w:t>
                </w:r>
                <w:r>
                  <w:rPr>
                    <w:rFonts w:hint="eastAsia"/>
                  </w:rPr>
                  <w:t>末</w:t>
                </w:r>
                <w:r>
                  <w:t>转融通出借股份且尚未归还</w:t>
                </w:r>
              </w:p>
            </w:tc>
          </w:sdtContent>
        </w:sdt>
      </w:tr>
      <w:tr>
        <w:trPr>
          <w:trHeight w:val="70"/>
        </w:trPr>
        <w:tc>
          <w:tcPr>
            <w:tcW w:w="552" w:type="pct"/>
            <w:vMerge/>
          </w:tcPr>
          <w:p>
            <w:pPr>
              <w:jc w:val="center"/>
            </w:pPr>
          </w:p>
        </w:tc>
        <w:sdt>
          <w:sdtPr>
            <w:tag w:val="_PLD_299fd6773e244284954c72f36df20e2c"/>
            <w:id w:val="-1552375048"/>
          </w:sdtPr>
          <w:sdtContent>
            <w:tc>
              <w:tcPr>
                <w:tcW w:w="632" w:type="pct"/>
                <w:vAlign w:val="center"/>
              </w:tcPr>
              <w:p>
                <w:pPr>
                  <w:jc w:val="center"/>
                </w:pPr>
                <w:r>
                  <w:t>数量合计</w:t>
                </w:r>
              </w:p>
            </w:tc>
          </w:sdtContent>
        </w:sdt>
        <w:sdt>
          <w:sdtPr>
            <w:tag w:val="_PLD_e6aadbf704134d34b4abe374387815f9"/>
            <w:id w:val="1694338312"/>
          </w:sdtPr>
          <w:sdtContent>
            <w:tc>
              <w:tcPr>
                <w:tcW w:w="475" w:type="pct"/>
                <w:vAlign w:val="center"/>
              </w:tcPr>
              <w:p>
                <w:pPr>
                  <w:jc w:val="center"/>
                </w:pPr>
                <w:r>
                  <w:t>比例（%）</w:t>
                </w:r>
              </w:p>
            </w:tc>
          </w:sdtContent>
        </w:sdt>
        <w:sdt>
          <w:sdtPr>
            <w:tag w:val="_PLD_728d888d2b5f4c16a8214c6e1da2ecf1"/>
            <w:id w:val="-1048371895"/>
          </w:sdtPr>
          <w:sdtContent>
            <w:tc>
              <w:tcPr>
                <w:tcW w:w="633" w:type="pct"/>
                <w:vAlign w:val="center"/>
              </w:tcPr>
              <w:p>
                <w:pPr>
                  <w:jc w:val="center"/>
                </w:pPr>
                <w:r>
                  <w:t>数量合计</w:t>
                </w:r>
              </w:p>
            </w:tc>
          </w:sdtContent>
        </w:sdt>
        <w:sdt>
          <w:sdtPr>
            <w:tag w:val="_PLD_956867d16d6b4f968d6971930b4bb71e"/>
            <w:id w:val="-867753538"/>
          </w:sdtPr>
          <w:sdtContent>
            <w:tc>
              <w:tcPr>
                <w:tcW w:w="474" w:type="pct"/>
                <w:vAlign w:val="center"/>
              </w:tcPr>
              <w:p>
                <w:pPr>
                  <w:jc w:val="center"/>
                </w:pPr>
                <w:r>
                  <w:t>比例（%）</w:t>
                </w:r>
              </w:p>
            </w:tc>
          </w:sdtContent>
        </w:sdt>
        <w:sdt>
          <w:sdtPr>
            <w:tag w:val="_PLD_129ed1fcec814740afbcfb8af27530a7"/>
            <w:id w:val="-1181117188"/>
          </w:sdtPr>
          <w:sdtContent>
            <w:tc>
              <w:tcPr>
                <w:tcW w:w="633" w:type="pct"/>
                <w:vAlign w:val="center"/>
              </w:tcPr>
              <w:p>
                <w:pPr>
                  <w:jc w:val="center"/>
                </w:pPr>
                <w:r>
                  <w:t>数量合计</w:t>
                </w:r>
              </w:p>
            </w:tc>
          </w:sdtContent>
        </w:sdt>
        <w:sdt>
          <w:sdtPr>
            <w:tag w:val="_PLD_47d572e9abcd42b48d55e923765fd6b6"/>
            <w:id w:val="-434365616"/>
          </w:sdtPr>
          <w:sdtContent>
            <w:tc>
              <w:tcPr>
                <w:tcW w:w="474" w:type="pct"/>
                <w:vAlign w:val="center"/>
              </w:tcPr>
              <w:p>
                <w:pPr>
                  <w:jc w:val="center"/>
                </w:pPr>
                <w:r>
                  <w:t>比例（%）</w:t>
                </w:r>
              </w:p>
            </w:tc>
          </w:sdtContent>
        </w:sdt>
        <w:sdt>
          <w:sdtPr>
            <w:tag w:val="_PLD_64e37b7954214edba724378f24a4ec7d"/>
            <w:id w:val="486677111"/>
          </w:sdtPr>
          <w:sdtContent>
            <w:tc>
              <w:tcPr>
                <w:tcW w:w="632" w:type="pct"/>
                <w:vAlign w:val="center"/>
              </w:tcPr>
              <w:p>
                <w:pPr>
                  <w:jc w:val="center"/>
                </w:pPr>
                <w:r>
                  <w:t>数量合计</w:t>
                </w:r>
              </w:p>
            </w:tc>
          </w:sdtContent>
        </w:sdt>
        <w:sdt>
          <w:sdtPr>
            <w:tag w:val="_PLD_09a65d84a1624926b2c619b9a5ae29b5"/>
            <w:id w:val="-1852866195"/>
          </w:sdtPr>
          <w:sdtContent>
            <w:tc>
              <w:tcPr>
                <w:tcW w:w="495" w:type="pct"/>
                <w:vAlign w:val="center"/>
              </w:tcPr>
              <w:p>
                <w:pPr>
                  <w:jc w:val="center"/>
                </w:pPr>
                <w:r>
                  <w:t>比例（%）</w:t>
                </w:r>
              </w:p>
            </w:tc>
          </w:sdtContent>
        </w:sdt>
      </w:tr>
      <w:tr>
        <w:tc>
          <w:tcPr>
            <w:tcW w:w="552" w:type="pct"/>
          </w:tcPr>
          <w:p>
            <w:pPr>
              <w:pStyle w:val="afffffffffffff8"/>
            </w:pPr>
            <w:r>
              <w:rPr>
                <w:rFonts w:hint="eastAsia"/>
              </w:rPr>
              <w:t>中国工商银行股份有限公司－华泰柏瑞沪深</w:t>
            </w:r>
            <w:r>
              <w:t>300交易型开放式指数证券投资基金</w:t>
            </w:r>
          </w:p>
        </w:tc>
        <w:tc>
          <w:tcPr>
            <w:tcW w:w="632" w:type="pct"/>
            <w:vAlign w:val="center"/>
          </w:tcPr>
          <w:p>
            <w:pPr>
              <w:jc w:val="right"/>
            </w:pPr>
            <w:r>
              <w:t xml:space="preserve">9,545,775 </w:t>
            </w:r>
          </w:p>
        </w:tc>
        <w:tc>
          <w:tcPr>
            <w:tcW w:w="475" w:type="pct"/>
            <w:vAlign w:val="center"/>
          </w:tcPr>
          <w:p>
            <w:pPr>
              <w:jc w:val="right"/>
            </w:pPr>
            <w:r>
              <w:t xml:space="preserve">0.1283 </w:t>
            </w:r>
          </w:p>
        </w:tc>
        <w:tc>
          <w:tcPr>
            <w:tcW w:w="633" w:type="pct"/>
            <w:vAlign w:val="center"/>
          </w:tcPr>
          <w:p>
            <w:pPr>
              <w:jc w:val="right"/>
            </w:pPr>
            <w:r>
              <w:t xml:space="preserve">696,300 </w:t>
            </w:r>
          </w:p>
        </w:tc>
        <w:tc>
          <w:tcPr>
            <w:tcW w:w="474" w:type="pct"/>
            <w:vAlign w:val="center"/>
          </w:tcPr>
          <w:p>
            <w:pPr>
              <w:jc w:val="right"/>
            </w:pPr>
            <w:r>
              <w:t xml:space="preserve">0.0094 </w:t>
            </w:r>
          </w:p>
        </w:tc>
        <w:tc>
          <w:tcPr>
            <w:tcW w:w="633" w:type="pct"/>
            <w:vAlign w:val="center"/>
          </w:tcPr>
          <w:p>
            <w:pPr>
              <w:jc w:val="right"/>
            </w:pPr>
            <w:r>
              <w:t xml:space="preserve">30,917,174 </w:t>
            </w:r>
          </w:p>
        </w:tc>
        <w:tc>
          <w:tcPr>
            <w:tcW w:w="474" w:type="pct"/>
            <w:vAlign w:val="center"/>
          </w:tcPr>
          <w:p>
            <w:pPr>
              <w:jc w:val="right"/>
            </w:pPr>
            <w:r>
              <w:t xml:space="preserve">0.3079 </w:t>
            </w:r>
          </w:p>
        </w:tc>
        <w:tc>
          <w:tcPr>
            <w:tcW w:w="632" w:type="pct"/>
            <w:vAlign w:val="center"/>
          </w:tcPr>
          <w:p>
            <w:pPr>
              <w:jc w:val="right"/>
            </w:pPr>
            <w:r>
              <w:rPr>
                <w:rFonts w:hint="eastAsia"/>
              </w:rPr>
              <w:t>0</w:t>
            </w:r>
          </w:p>
        </w:tc>
        <w:tc>
          <w:tcPr>
            <w:tcW w:w="495" w:type="pct"/>
            <w:vAlign w:val="center"/>
          </w:tcPr>
          <w:p>
            <w:pPr>
              <w:jc w:val="right"/>
            </w:pPr>
            <w:r>
              <w:rPr>
                <w:rFonts w:hint="eastAsia"/>
              </w:rPr>
              <w:t>0</w:t>
            </w:r>
          </w:p>
        </w:tc>
      </w:tr>
      <w:tr>
        <w:tc>
          <w:tcPr>
            <w:tcW w:w="552" w:type="pct"/>
          </w:tcPr>
          <w:p>
            <w:pPr>
              <w:pStyle w:val="afffffffffffff8"/>
            </w:pPr>
            <w:r>
              <w:rPr>
                <w:rFonts w:hint="eastAsia"/>
              </w:rPr>
              <w:t>中国建设银行股份有限公司－易方达沪深</w:t>
            </w:r>
            <w:r>
              <w:t>300交易型开放式指数发起式证券投资基金</w:t>
            </w:r>
          </w:p>
        </w:tc>
        <w:tc>
          <w:tcPr>
            <w:tcW w:w="632" w:type="pct"/>
            <w:vAlign w:val="center"/>
          </w:tcPr>
          <w:p>
            <w:pPr>
              <w:jc w:val="right"/>
            </w:pPr>
            <w:r>
              <w:t>3,812</w:t>
            </w:r>
            <w:r>
              <w:rPr>
                <w:rFonts w:hint="eastAsia"/>
              </w:rPr>
              <w:t>,</w:t>
            </w:r>
            <w:r>
              <w:t>746</w:t>
            </w:r>
          </w:p>
        </w:tc>
        <w:tc>
          <w:tcPr>
            <w:tcW w:w="475" w:type="pct"/>
            <w:vAlign w:val="center"/>
          </w:tcPr>
          <w:p>
            <w:pPr>
              <w:jc w:val="right"/>
            </w:pPr>
            <w:r>
              <w:t xml:space="preserve">0.0513 </w:t>
            </w:r>
          </w:p>
        </w:tc>
        <w:tc>
          <w:tcPr>
            <w:tcW w:w="633" w:type="pct"/>
            <w:vAlign w:val="center"/>
          </w:tcPr>
          <w:p>
            <w:pPr>
              <w:jc w:val="right"/>
            </w:pPr>
            <w:r>
              <w:t xml:space="preserve">64,800 </w:t>
            </w:r>
          </w:p>
        </w:tc>
        <w:tc>
          <w:tcPr>
            <w:tcW w:w="474" w:type="pct"/>
            <w:vAlign w:val="center"/>
          </w:tcPr>
          <w:p>
            <w:pPr>
              <w:jc w:val="right"/>
            </w:pPr>
            <w:r>
              <w:t xml:space="preserve">0.0009 </w:t>
            </w:r>
          </w:p>
        </w:tc>
        <w:tc>
          <w:tcPr>
            <w:tcW w:w="633" w:type="pct"/>
            <w:vAlign w:val="center"/>
          </w:tcPr>
          <w:p>
            <w:pPr>
              <w:jc w:val="right"/>
            </w:pPr>
            <w:r>
              <w:t xml:space="preserve">21,312,020 </w:t>
            </w:r>
          </w:p>
        </w:tc>
        <w:tc>
          <w:tcPr>
            <w:tcW w:w="474" w:type="pct"/>
            <w:vAlign w:val="center"/>
          </w:tcPr>
          <w:p>
            <w:pPr>
              <w:jc w:val="right"/>
            </w:pPr>
            <w:r>
              <w:t xml:space="preserve">0.2123 </w:t>
            </w:r>
          </w:p>
        </w:tc>
        <w:tc>
          <w:tcPr>
            <w:tcW w:w="632" w:type="pct"/>
            <w:vAlign w:val="center"/>
          </w:tcPr>
          <w:p>
            <w:pPr>
              <w:jc w:val="right"/>
            </w:pPr>
            <w:r>
              <w:rPr>
                <w:rFonts w:hint="eastAsia"/>
              </w:rPr>
              <w:t>0</w:t>
            </w:r>
          </w:p>
        </w:tc>
        <w:tc>
          <w:tcPr>
            <w:tcW w:w="495" w:type="pct"/>
            <w:vAlign w:val="center"/>
          </w:tcPr>
          <w:p>
            <w:pPr>
              <w:jc w:val="right"/>
            </w:pPr>
            <w:r>
              <w:rPr>
                <w:rFonts w:hint="eastAsia"/>
              </w:rPr>
              <w:t>0</w:t>
            </w:r>
          </w:p>
        </w:tc>
      </w:tr>
      <w:tr>
        <w:tc>
          <w:tcPr>
            <w:tcW w:w="552" w:type="pct"/>
          </w:tcPr>
          <w:p>
            <w:pPr>
              <w:pStyle w:val="afffffffffffff8"/>
            </w:pPr>
            <w:r>
              <w:rPr>
                <w:rFonts w:hint="eastAsia"/>
              </w:rPr>
              <w:t>中国工商银行股份有限公司－华夏沪深</w:t>
            </w:r>
            <w:r>
              <w:lastRenderedPageBreak/>
              <w:t>300交易型开放式指数证券投资基金</w:t>
            </w:r>
          </w:p>
        </w:tc>
        <w:tc>
          <w:tcPr>
            <w:tcW w:w="632" w:type="pct"/>
            <w:vAlign w:val="center"/>
          </w:tcPr>
          <w:p>
            <w:pPr>
              <w:jc w:val="right"/>
            </w:pPr>
            <w:r>
              <w:lastRenderedPageBreak/>
              <w:t>2,648,914</w:t>
            </w:r>
          </w:p>
        </w:tc>
        <w:tc>
          <w:tcPr>
            <w:tcW w:w="475" w:type="pct"/>
            <w:vAlign w:val="center"/>
          </w:tcPr>
          <w:p>
            <w:pPr>
              <w:jc w:val="right"/>
            </w:pPr>
            <w:r>
              <w:t xml:space="preserve">0.0356 </w:t>
            </w:r>
          </w:p>
        </w:tc>
        <w:tc>
          <w:tcPr>
            <w:tcW w:w="633" w:type="pct"/>
            <w:vAlign w:val="center"/>
          </w:tcPr>
          <w:p>
            <w:pPr>
              <w:jc w:val="right"/>
            </w:pPr>
            <w:r>
              <w:t xml:space="preserve">345,200 </w:t>
            </w:r>
          </w:p>
        </w:tc>
        <w:tc>
          <w:tcPr>
            <w:tcW w:w="474" w:type="pct"/>
            <w:vAlign w:val="center"/>
          </w:tcPr>
          <w:p>
            <w:pPr>
              <w:jc w:val="right"/>
            </w:pPr>
            <w:r>
              <w:t xml:space="preserve">0.0046 </w:t>
            </w:r>
          </w:p>
        </w:tc>
        <w:tc>
          <w:tcPr>
            <w:tcW w:w="633" w:type="pct"/>
            <w:vAlign w:val="center"/>
          </w:tcPr>
          <w:p>
            <w:pPr>
              <w:jc w:val="right"/>
            </w:pPr>
            <w:r>
              <w:t xml:space="preserve">14,161,388 </w:t>
            </w:r>
          </w:p>
        </w:tc>
        <w:tc>
          <w:tcPr>
            <w:tcW w:w="474" w:type="pct"/>
            <w:vAlign w:val="center"/>
          </w:tcPr>
          <w:p>
            <w:pPr>
              <w:jc w:val="right"/>
            </w:pPr>
            <w:r>
              <w:t xml:space="preserve">0.1411 </w:t>
            </w:r>
          </w:p>
        </w:tc>
        <w:tc>
          <w:tcPr>
            <w:tcW w:w="632" w:type="pct"/>
            <w:vAlign w:val="center"/>
          </w:tcPr>
          <w:p>
            <w:pPr>
              <w:jc w:val="right"/>
            </w:pPr>
            <w:r>
              <w:rPr>
                <w:rFonts w:hint="eastAsia"/>
              </w:rPr>
              <w:t>0</w:t>
            </w:r>
          </w:p>
        </w:tc>
        <w:tc>
          <w:tcPr>
            <w:tcW w:w="495" w:type="pct"/>
            <w:vAlign w:val="center"/>
          </w:tcPr>
          <w:p>
            <w:pPr>
              <w:jc w:val="right"/>
            </w:pPr>
            <w:r>
              <w:rPr>
                <w:rFonts w:hint="eastAsia"/>
              </w:rPr>
              <w:t>0</w:t>
            </w:r>
          </w:p>
        </w:tc>
      </w:tr>
      <w:tr>
        <w:tc>
          <w:tcPr>
            <w:tcW w:w="552" w:type="pct"/>
          </w:tcPr>
          <w:p>
            <w:pPr>
              <w:pStyle w:val="afffffffffffff8"/>
            </w:pPr>
            <w:r>
              <w:rPr>
                <w:rFonts w:hint="eastAsia"/>
              </w:rPr>
              <w:t>中国工商银行股份有限公司－国泰中证煤炭交易型开放式指数证券投资基金</w:t>
            </w:r>
          </w:p>
        </w:tc>
        <w:tc>
          <w:tcPr>
            <w:tcW w:w="632" w:type="pct"/>
            <w:vAlign w:val="center"/>
          </w:tcPr>
          <w:p>
            <w:pPr>
              <w:jc w:val="right"/>
            </w:pPr>
            <w:r>
              <w:t xml:space="preserve">4,890,653 </w:t>
            </w:r>
          </w:p>
        </w:tc>
        <w:tc>
          <w:tcPr>
            <w:tcW w:w="475" w:type="pct"/>
            <w:vAlign w:val="center"/>
          </w:tcPr>
          <w:p>
            <w:pPr>
              <w:jc w:val="right"/>
            </w:pPr>
            <w:r>
              <w:t xml:space="preserve">0.0657 </w:t>
            </w:r>
          </w:p>
        </w:tc>
        <w:tc>
          <w:tcPr>
            <w:tcW w:w="633" w:type="pct"/>
            <w:vAlign w:val="center"/>
          </w:tcPr>
          <w:p>
            <w:pPr>
              <w:jc w:val="right"/>
            </w:pPr>
            <w:r>
              <w:t xml:space="preserve">1,687,600 </w:t>
            </w:r>
          </w:p>
        </w:tc>
        <w:tc>
          <w:tcPr>
            <w:tcW w:w="474" w:type="pct"/>
            <w:vAlign w:val="center"/>
          </w:tcPr>
          <w:p>
            <w:pPr>
              <w:jc w:val="right"/>
            </w:pPr>
            <w:r>
              <w:t xml:space="preserve">0.0227 </w:t>
            </w:r>
          </w:p>
        </w:tc>
        <w:tc>
          <w:tcPr>
            <w:tcW w:w="633" w:type="pct"/>
            <w:vAlign w:val="center"/>
          </w:tcPr>
          <w:p>
            <w:pPr>
              <w:jc w:val="right"/>
            </w:pPr>
            <w:r>
              <w:t xml:space="preserve">13,818,257 </w:t>
            </w:r>
          </w:p>
        </w:tc>
        <w:tc>
          <w:tcPr>
            <w:tcW w:w="474" w:type="pct"/>
            <w:vAlign w:val="center"/>
          </w:tcPr>
          <w:p>
            <w:pPr>
              <w:jc w:val="right"/>
            </w:pPr>
            <w:r>
              <w:t xml:space="preserve">0.1376 </w:t>
            </w:r>
          </w:p>
        </w:tc>
        <w:tc>
          <w:tcPr>
            <w:tcW w:w="632" w:type="pct"/>
            <w:vAlign w:val="center"/>
          </w:tcPr>
          <w:p>
            <w:pPr>
              <w:jc w:val="right"/>
            </w:pPr>
            <w:r>
              <w:rPr>
                <w:rFonts w:hint="eastAsia"/>
              </w:rPr>
              <w:t>0</w:t>
            </w:r>
          </w:p>
        </w:tc>
        <w:tc>
          <w:tcPr>
            <w:tcW w:w="495" w:type="pct"/>
            <w:vAlign w:val="center"/>
          </w:tcPr>
          <w:p>
            <w:pPr>
              <w:jc w:val="right"/>
            </w:pPr>
            <w:r>
              <w:rPr>
                <w:rFonts w:hint="eastAsia"/>
              </w:rPr>
              <w:t>0</w:t>
            </w:r>
          </w:p>
        </w:tc>
      </w:tr>
    </w:tbl>
    <w:p>
      <w:pPr>
        <w:pStyle w:val="affffffd"/>
      </w:pPr>
    </w:p>
    <w:p>
      <w:pPr>
        <w:rPr>
          <w:szCs w:val="21"/>
        </w:rPr>
      </w:pPr>
      <w:bookmarkStart w:id="235" w:name="_Hlk155094189"/>
      <w:bookmarkEnd w:id="234"/>
      <w:r>
        <w:rPr>
          <w:szCs w:val="21"/>
        </w:rPr>
        <w:t>前十名</w:t>
      </w:r>
      <w:r>
        <w:t>股东及前</w:t>
      </w:r>
      <w:r>
        <w:rPr>
          <w:rFonts w:hint="eastAsia"/>
        </w:rPr>
        <w:t>十</w:t>
      </w:r>
      <w:r>
        <w:t>名无限售流通股股东因转融通出借/归还原因导致较上期发生变化</w:t>
      </w:r>
    </w:p>
    <w:sdt>
      <w:sdtPr>
        <w:rPr>
          <w:rFonts w:hint="eastAsia"/>
          <w:szCs w:val="21"/>
        </w:rPr>
        <w:alias w:val="是否适用：前十名股东较上期发生变化[双击切换]"/>
        <w:tag w:val="_GBC_610830f75bf04d59a67019ded47646e5"/>
        <w:id w:val="-167248783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235"/>
    <w:p>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365409723"/>
        <w:placeholder>
          <w:docPart w:val="GBC22222222222222222222222222222"/>
        </w:placeholder>
      </w:sdtPr>
      <w:sdtContent>
        <w:p>
          <w:pPr>
            <w:rPr>
              <w:bCs/>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pPr>
        <w:rPr>
          <w:szCs w:val="21"/>
        </w:rPr>
      </w:pPr>
    </w:p>
    <w:p>
      <w:pPr>
        <w:pStyle w:val="3"/>
        <w:numPr>
          <w:ilvl w:val="1"/>
          <w:numId w:val="10"/>
        </w:numPr>
        <w:tabs>
          <w:tab w:val="left" w:pos="851"/>
        </w:tabs>
        <w:ind w:left="426" w:hanging="426"/>
        <w:rPr>
          <w:szCs w:val="21"/>
        </w:rPr>
      </w:pPr>
      <w:bookmarkStart w:id="236" w:name="_Hlk89352705"/>
      <w:bookmarkEnd w:id="233"/>
      <w:bookmarkEnd w:id="236"/>
      <w:r>
        <w:rPr>
          <w:rFonts w:hint="eastAsia"/>
          <w:szCs w:val="21"/>
        </w:rPr>
        <w:t>战略投资者或一般法人因配售新股成为前</w:t>
      </w:r>
      <w:r>
        <w:rPr>
          <w:rFonts w:hint="eastAsia"/>
          <w:szCs w:val="21"/>
        </w:rPr>
        <w:t>10</w:t>
      </w:r>
      <w:r>
        <w:rPr>
          <w:rFonts w:hint="eastAsia"/>
          <w:szCs w:val="21"/>
        </w:rPr>
        <w:t>名股东</w:t>
      </w:r>
    </w:p>
    <w:sdt>
      <w:sdtPr>
        <w:alias w:val="是否适用：战略投资者或一般法人因配售新股成为前10名股东[双击切换]"/>
        <w:tag w:val="_GBC_f3c63aafb8134fdcbdeb39fd33c2cd8d"/>
        <w:id w:val="755255826"/>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3"/>
        <w:numPr>
          <w:ilvl w:val="1"/>
          <w:numId w:val="10"/>
        </w:numPr>
        <w:tabs>
          <w:tab w:val="left" w:pos="851"/>
        </w:tabs>
        <w:ind w:left="426" w:hanging="426"/>
        <w:rPr>
          <w:szCs w:val="21"/>
        </w:rPr>
      </w:pPr>
      <w:r>
        <w:rPr>
          <w:rFonts w:hint="eastAsia"/>
          <w:szCs w:val="21"/>
        </w:rPr>
        <w:t>主要股东持有公司的股份或相关股份及</w:t>
      </w:r>
      <w:r>
        <w:rPr>
          <w:rFonts w:hint="eastAsia"/>
          <w:szCs w:val="21"/>
        </w:rPr>
        <w:t>/</w:t>
      </w:r>
      <w:r>
        <w:rPr>
          <w:rFonts w:hint="eastAsia"/>
          <w:szCs w:val="21"/>
        </w:rPr>
        <w:t>或淡仓情况</w:t>
      </w:r>
    </w:p>
    <w:p>
      <w:pPr>
        <w:ind w:firstLineChars="200" w:firstLine="420"/>
        <w:jc w:val="both"/>
      </w:pPr>
      <w:r>
        <w:rPr>
          <w:rFonts w:hint="eastAsia"/>
        </w:rPr>
        <w:t>除下述披露外，据董事所知，截至</w:t>
      </w:r>
      <w:r>
        <w:t>2024</w:t>
      </w:r>
      <w:r>
        <w:rPr>
          <w:rFonts w:hint="eastAsia"/>
        </w:rPr>
        <w:t>年</w:t>
      </w:r>
      <w:r>
        <w:t>12</w:t>
      </w:r>
      <w:r>
        <w:rPr>
          <w:rFonts w:hint="eastAsia"/>
        </w:rPr>
        <w:t>月</w:t>
      </w:r>
      <w:r>
        <w:t>31</w:t>
      </w:r>
      <w:r>
        <w:rPr>
          <w:rFonts w:hint="eastAsia"/>
        </w:rPr>
        <w:t>日，除本公司董事、监事或最高行政人员以外，并无任何其他人士是本公司主要股东，或者在本公司的股份或相关股份中拥有符合以下条件的权益或淡仓：</w:t>
      </w:r>
      <w:r>
        <w:t>(1)</w:t>
      </w:r>
      <w:r>
        <w:rPr>
          <w:rFonts w:hint="eastAsia"/>
        </w:rPr>
        <w:t>根据《证券及期货条例》第</w:t>
      </w:r>
      <w:r>
        <w:t>XV</w:t>
      </w:r>
      <w:r>
        <w:rPr>
          <w:rFonts w:hint="eastAsia"/>
        </w:rPr>
        <w:t>部第</w:t>
      </w:r>
      <w:r>
        <w:t>2</w:t>
      </w:r>
      <w:r>
        <w:rPr>
          <w:rFonts w:hint="eastAsia"/>
        </w:rPr>
        <w:t>及</w:t>
      </w:r>
      <w:r>
        <w:t>3</w:t>
      </w:r>
      <w:r>
        <w:rPr>
          <w:rFonts w:hint="eastAsia"/>
        </w:rPr>
        <w:t>分部规定应做出披露；</w:t>
      </w:r>
      <w:r>
        <w:t>(2)</w:t>
      </w:r>
      <w:r>
        <w:rPr>
          <w:rFonts w:hint="eastAsia"/>
        </w:rPr>
        <w:t>记录于本公司根据《证券及期货条例》第</w:t>
      </w:r>
      <w:r>
        <w:t>336</w:t>
      </w:r>
      <w:r>
        <w:rPr>
          <w:rFonts w:hint="eastAsia"/>
        </w:rPr>
        <w:t>条而备存的登记册；或</w:t>
      </w:r>
      <w:r>
        <w:t>(3)</w:t>
      </w:r>
      <w:r>
        <w:rPr>
          <w:rFonts w:hint="eastAsia"/>
        </w:rPr>
        <w:t>以其他方式知会本公司及香港联交所。</w:t>
      </w:r>
    </w:p>
    <w:tbl>
      <w:tblPr>
        <w:tblStyle w:val="110"/>
        <w:tblW w:w="12900" w:type="dxa"/>
        <w:jc w:val="center"/>
        <w:tblLayout w:type="fixed"/>
        <w:tblLook w:val="04A0" w:firstRow="1" w:lastRow="0" w:firstColumn="1" w:lastColumn="0" w:noHBand="0" w:noVBand="1"/>
      </w:tblPr>
      <w:tblGrid>
        <w:gridCol w:w="1702"/>
        <w:gridCol w:w="2126"/>
        <w:gridCol w:w="2121"/>
        <w:gridCol w:w="2126"/>
        <w:gridCol w:w="1140"/>
        <w:gridCol w:w="1701"/>
        <w:gridCol w:w="1984"/>
      </w:tblGrid>
      <w:tr>
        <w:trPr>
          <w:jc w:val="center"/>
        </w:trPr>
        <w:tc>
          <w:tcPr>
            <w:tcW w:w="1702" w:type="dxa"/>
            <w:vAlign w:val="center"/>
          </w:tcPr>
          <w:p>
            <w:pPr>
              <w:jc w:val="center"/>
              <w:rPr>
                <w:rFonts w:cs="Times New Roman"/>
                <w:b/>
                <w:color w:val="000000"/>
                <w:sz w:val="21"/>
                <w:szCs w:val="21"/>
              </w:rPr>
            </w:pPr>
            <w:bookmarkStart w:id="237" w:name="_Hlk100158446"/>
            <w:r>
              <w:rPr>
                <w:rFonts w:cs="Times New Roman" w:hint="eastAsia"/>
                <w:b/>
                <w:color w:val="000000"/>
                <w:sz w:val="21"/>
                <w:szCs w:val="21"/>
              </w:rPr>
              <w:t>主要股东名称</w:t>
            </w:r>
          </w:p>
        </w:tc>
        <w:tc>
          <w:tcPr>
            <w:tcW w:w="2126" w:type="dxa"/>
            <w:vAlign w:val="center"/>
          </w:tcPr>
          <w:p>
            <w:pPr>
              <w:jc w:val="center"/>
              <w:rPr>
                <w:rFonts w:cs="Times New Roman"/>
                <w:b/>
                <w:color w:val="000000"/>
                <w:sz w:val="21"/>
                <w:szCs w:val="21"/>
              </w:rPr>
            </w:pPr>
            <w:r>
              <w:rPr>
                <w:rFonts w:cs="Times New Roman" w:hint="eastAsia"/>
                <w:b/>
                <w:color w:val="000000"/>
                <w:sz w:val="21"/>
                <w:szCs w:val="21"/>
              </w:rPr>
              <w:t>股份类别</w:t>
            </w:r>
          </w:p>
        </w:tc>
        <w:tc>
          <w:tcPr>
            <w:tcW w:w="2121" w:type="dxa"/>
            <w:vAlign w:val="center"/>
          </w:tcPr>
          <w:p>
            <w:pPr>
              <w:jc w:val="center"/>
              <w:rPr>
                <w:rFonts w:cs="Times New Roman"/>
                <w:b/>
                <w:color w:val="000000"/>
                <w:sz w:val="21"/>
                <w:szCs w:val="21"/>
              </w:rPr>
            </w:pPr>
            <w:r>
              <w:rPr>
                <w:rFonts w:cs="Times New Roman" w:hint="eastAsia"/>
                <w:b/>
                <w:color w:val="000000"/>
                <w:sz w:val="21"/>
                <w:szCs w:val="21"/>
              </w:rPr>
              <w:t>身份</w:t>
            </w:r>
          </w:p>
        </w:tc>
        <w:tc>
          <w:tcPr>
            <w:tcW w:w="2126" w:type="dxa"/>
            <w:vAlign w:val="center"/>
          </w:tcPr>
          <w:p>
            <w:pPr>
              <w:jc w:val="center"/>
              <w:rPr>
                <w:rFonts w:cs="Times New Roman"/>
                <w:b/>
                <w:color w:val="000000"/>
                <w:sz w:val="21"/>
                <w:szCs w:val="21"/>
              </w:rPr>
            </w:pPr>
            <w:r>
              <w:rPr>
                <w:rFonts w:cs="Times New Roman" w:hint="eastAsia"/>
                <w:b/>
                <w:color w:val="000000"/>
                <w:sz w:val="21"/>
                <w:szCs w:val="21"/>
              </w:rPr>
              <w:t>持有股份数目（股）</w:t>
            </w:r>
          </w:p>
        </w:tc>
        <w:tc>
          <w:tcPr>
            <w:tcW w:w="1140" w:type="dxa"/>
            <w:vAlign w:val="center"/>
          </w:tcPr>
          <w:p>
            <w:pPr>
              <w:jc w:val="center"/>
              <w:rPr>
                <w:rFonts w:cs="Times New Roman"/>
                <w:b/>
                <w:color w:val="000000"/>
                <w:sz w:val="21"/>
                <w:szCs w:val="21"/>
              </w:rPr>
            </w:pPr>
            <w:r>
              <w:rPr>
                <w:rFonts w:cs="Times New Roman" w:hint="eastAsia"/>
                <w:b/>
                <w:color w:val="000000"/>
                <w:sz w:val="21"/>
                <w:szCs w:val="21"/>
              </w:rPr>
              <w:t>权益性质</w:t>
            </w:r>
          </w:p>
        </w:tc>
        <w:tc>
          <w:tcPr>
            <w:tcW w:w="1701" w:type="dxa"/>
            <w:vAlign w:val="center"/>
          </w:tcPr>
          <w:p>
            <w:pPr>
              <w:jc w:val="center"/>
              <w:rPr>
                <w:rFonts w:cs="Times New Roman"/>
                <w:b/>
                <w:color w:val="000000"/>
                <w:sz w:val="21"/>
                <w:szCs w:val="21"/>
              </w:rPr>
            </w:pPr>
            <w:r>
              <w:rPr>
                <w:rFonts w:cs="Times New Roman" w:hint="eastAsia"/>
                <w:b/>
                <w:color w:val="000000"/>
                <w:sz w:val="21"/>
                <w:szCs w:val="21"/>
              </w:rPr>
              <w:t>占公司</w:t>
            </w:r>
            <w:r>
              <w:rPr>
                <w:rFonts w:cs="Times New Roman"/>
                <w:b/>
                <w:color w:val="000000"/>
                <w:sz w:val="21"/>
                <w:szCs w:val="21"/>
              </w:rPr>
              <w:t>H</w:t>
            </w:r>
            <w:r>
              <w:rPr>
                <w:rFonts w:cs="Times New Roman" w:hint="eastAsia"/>
                <w:b/>
                <w:color w:val="000000"/>
                <w:sz w:val="21"/>
                <w:szCs w:val="21"/>
              </w:rPr>
              <w:t>股类别</w:t>
            </w:r>
          </w:p>
          <w:p>
            <w:pPr>
              <w:jc w:val="center"/>
              <w:rPr>
                <w:rFonts w:cs="Times New Roman"/>
                <w:b/>
                <w:color w:val="000000"/>
                <w:sz w:val="21"/>
                <w:szCs w:val="21"/>
              </w:rPr>
            </w:pPr>
            <w:r>
              <w:rPr>
                <w:rFonts w:cs="Times New Roman" w:hint="eastAsia"/>
                <w:b/>
                <w:color w:val="000000"/>
                <w:sz w:val="21"/>
                <w:szCs w:val="21"/>
              </w:rPr>
              <w:t>之百分比</w:t>
            </w:r>
          </w:p>
        </w:tc>
        <w:tc>
          <w:tcPr>
            <w:tcW w:w="1984" w:type="dxa"/>
            <w:vAlign w:val="center"/>
          </w:tcPr>
          <w:p>
            <w:pPr>
              <w:jc w:val="center"/>
              <w:rPr>
                <w:rFonts w:cs="Times New Roman"/>
                <w:b/>
                <w:color w:val="000000"/>
                <w:sz w:val="21"/>
                <w:szCs w:val="21"/>
              </w:rPr>
            </w:pPr>
            <w:r>
              <w:rPr>
                <w:rFonts w:cs="Times New Roman" w:hint="eastAsia"/>
                <w:b/>
                <w:color w:val="000000"/>
                <w:sz w:val="21"/>
                <w:szCs w:val="21"/>
              </w:rPr>
              <w:t>占公司已发行股本</w:t>
            </w:r>
          </w:p>
          <w:p>
            <w:pPr>
              <w:jc w:val="center"/>
              <w:rPr>
                <w:rFonts w:cs="Times New Roman"/>
                <w:b/>
                <w:color w:val="000000"/>
                <w:sz w:val="21"/>
                <w:szCs w:val="21"/>
              </w:rPr>
            </w:pPr>
            <w:r>
              <w:rPr>
                <w:rFonts w:cs="Times New Roman" w:hint="eastAsia"/>
                <w:b/>
                <w:color w:val="000000"/>
                <w:sz w:val="21"/>
                <w:szCs w:val="21"/>
              </w:rPr>
              <w:t>总数之百分比</w:t>
            </w:r>
          </w:p>
        </w:tc>
      </w:tr>
      <w:tr>
        <w:trPr>
          <w:jc w:val="center"/>
        </w:trPr>
        <w:tc>
          <w:tcPr>
            <w:tcW w:w="1702" w:type="dxa"/>
            <w:vMerge w:val="restart"/>
            <w:vAlign w:val="center"/>
          </w:tcPr>
          <w:p>
            <w:pPr>
              <w:jc w:val="center"/>
              <w:rPr>
                <w:rFonts w:cs="Times New Roman"/>
                <w:bCs/>
                <w:color w:val="000000"/>
                <w:sz w:val="21"/>
                <w:szCs w:val="21"/>
              </w:rPr>
            </w:pPr>
            <w:r>
              <w:rPr>
                <w:rFonts w:cs="Times New Roman" w:hint="eastAsia"/>
                <w:color w:val="000000"/>
                <w:sz w:val="21"/>
                <w:szCs w:val="21"/>
              </w:rPr>
              <w:t>山东能源</w:t>
            </w:r>
          </w:p>
        </w:tc>
        <w:tc>
          <w:tcPr>
            <w:tcW w:w="2126" w:type="dxa"/>
            <w:vMerge w:val="restart"/>
            <w:vAlign w:val="center"/>
          </w:tcPr>
          <w:p>
            <w:pPr>
              <w:jc w:val="center"/>
              <w:rPr>
                <w:rFonts w:cs="Times New Roman"/>
                <w:color w:val="000000"/>
                <w:sz w:val="21"/>
                <w:szCs w:val="21"/>
              </w:rPr>
            </w:pPr>
            <w:r>
              <w:rPr>
                <w:rFonts w:cs="Times New Roman"/>
                <w:color w:val="000000"/>
                <w:sz w:val="21"/>
                <w:szCs w:val="21"/>
              </w:rPr>
              <w:t>A</w:t>
            </w:r>
            <w:r>
              <w:rPr>
                <w:rFonts w:cs="Times New Roman" w:hint="eastAsia"/>
                <w:color w:val="000000"/>
                <w:sz w:val="21"/>
                <w:szCs w:val="21"/>
              </w:rPr>
              <w:t>股</w:t>
            </w:r>
          </w:p>
          <w:p>
            <w:pPr>
              <w:jc w:val="center"/>
              <w:rPr>
                <w:rFonts w:cs="Times New Roman"/>
                <w:bCs/>
                <w:color w:val="000000"/>
                <w:sz w:val="21"/>
                <w:szCs w:val="21"/>
              </w:rPr>
            </w:pPr>
            <w:r>
              <w:rPr>
                <w:rFonts w:cs="Times New Roman" w:hint="eastAsia"/>
                <w:color w:val="000000"/>
                <w:sz w:val="21"/>
                <w:szCs w:val="21"/>
              </w:rPr>
              <w:t>（国有法人股）</w:t>
            </w:r>
          </w:p>
        </w:tc>
        <w:tc>
          <w:tcPr>
            <w:tcW w:w="2121" w:type="dxa"/>
            <w:vMerge w:val="restart"/>
            <w:vAlign w:val="center"/>
          </w:tcPr>
          <w:p>
            <w:pPr>
              <w:jc w:val="center"/>
              <w:rPr>
                <w:rFonts w:cs="Times New Roman"/>
                <w:bCs/>
                <w:color w:val="000000"/>
                <w:sz w:val="21"/>
                <w:szCs w:val="21"/>
              </w:rPr>
            </w:pPr>
            <w:r>
              <w:rPr>
                <w:rFonts w:cs="Times New Roman" w:hint="eastAsia"/>
                <w:color w:val="000000"/>
                <w:sz w:val="21"/>
                <w:szCs w:val="21"/>
              </w:rPr>
              <w:t>实益拥有人</w:t>
            </w:r>
          </w:p>
        </w:tc>
        <w:tc>
          <w:tcPr>
            <w:tcW w:w="2126" w:type="dxa"/>
            <w:vAlign w:val="center"/>
          </w:tcPr>
          <w:p>
            <w:pPr>
              <w:jc w:val="right"/>
              <w:rPr>
                <w:rFonts w:cs="Times New Roman"/>
                <w:color w:val="000000"/>
                <w:sz w:val="21"/>
                <w:szCs w:val="21"/>
              </w:rPr>
            </w:pPr>
            <w:r>
              <w:rPr>
                <w:rFonts w:cs="Times New Roman"/>
                <w:color w:val="000000"/>
                <w:sz w:val="21"/>
                <w:szCs w:val="21"/>
              </w:rPr>
              <w:t>4,395,142,871</w:t>
            </w:r>
          </w:p>
        </w:tc>
        <w:tc>
          <w:tcPr>
            <w:tcW w:w="1140" w:type="dxa"/>
            <w:vAlign w:val="center"/>
          </w:tcPr>
          <w:p>
            <w:pPr>
              <w:jc w:val="right"/>
              <w:rPr>
                <w:rFonts w:cs="Times New Roman"/>
                <w:bCs/>
                <w:color w:val="000000"/>
                <w:sz w:val="21"/>
                <w:szCs w:val="21"/>
              </w:rPr>
            </w:pPr>
            <w:r>
              <w:rPr>
                <w:rFonts w:cs="Times New Roman" w:hint="eastAsia"/>
                <w:bCs/>
                <w:color w:val="000000"/>
                <w:sz w:val="21"/>
                <w:szCs w:val="21"/>
              </w:rPr>
              <w:t>好仓</w:t>
            </w:r>
          </w:p>
        </w:tc>
        <w:tc>
          <w:tcPr>
            <w:tcW w:w="1701" w:type="dxa"/>
            <w:vAlign w:val="center"/>
          </w:tcPr>
          <w:p>
            <w:pPr>
              <w:jc w:val="right"/>
              <w:rPr>
                <w:rFonts w:cs="Times New Roman"/>
                <w:color w:val="000000"/>
                <w:sz w:val="21"/>
                <w:szCs w:val="21"/>
              </w:rPr>
            </w:pPr>
            <w:r>
              <w:rPr>
                <w:rFonts w:cs="Times New Roman" w:hint="eastAsia"/>
                <w:color w:val="000000"/>
                <w:sz w:val="21"/>
                <w:szCs w:val="21"/>
              </w:rPr>
              <w:t>–</w:t>
            </w:r>
          </w:p>
        </w:tc>
        <w:tc>
          <w:tcPr>
            <w:tcW w:w="1984" w:type="dxa"/>
            <w:vAlign w:val="center"/>
          </w:tcPr>
          <w:p>
            <w:pPr>
              <w:jc w:val="right"/>
              <w:rPr>
                <w:rFonts w:cs="Times New Roman"/>
                <w:color w:val="000000"/>
                <w:sz w:val="21"/>
                <w:szCs w:val="21"/>
              </w:rPr>
            </w:pPr>
            <w:r>
              <w:rPr>
                <w:rFonts w:cs="Times New Roman"/>
                <w:color w:val="000000"/>
                <w:sz w:val="21"/>
                <w:szCs w:val="21"/>
              </w:rPr>
              <w:t>43.78%</w:t>
            </w:r>
          </w:p>
        </w:tc>
      </w:tr>
      <w:tr>
        <w:trPr>
          <w:jc w:val="center"/>
        </w:trPr>
        <w:tc>
          <w:tcPr>
            <w:tcW w:w="1702" w:type="dxa"/>
            <w:vMerge/>
            <w:vAlign w:val="center"/>
          </w:tcPr>
          <w:p>
            <w:pPr>
              <w:jc w:val="center"/>
              <w:rPr>
                <w:rFonts w:cs="Times New Roman"/>
                <w:color w:val="000000"/>
                <w:sz w:val="21"/>
                <w:szCs w:val="21"/>
              </w:rPr>
            </w:pPr>
          </w:p>
        </w:tc>
        <w:tc>
          <w:tcPr>
            <w:tcW w:w="2126" w:type="dxa"/>
            <w:vMerge/>
            <w:vAlign w:val="center"/>
          </w:tcPr>
          <w:p>
            <w:pPr>
              <w:jc w:val="center"/>
              <w:rPr>
                <w:rFonts w:cs="Times New Roman"/>
                <w:color w:val="000000"/>
                <w:sz w:val="21"/>
                <w:szCs w:val="21"/>
              </w:rPr>
            </w:pPr>
          </w:p>
        </w:tc>
        <w:tc>
          <w:tcPr>
            <w:tcW w:w="2121" w:type="dxa"/>
            <w:vMerge/>
            <w:vAlign w:val="center"/>
          </w:tcPr>
          <w:p>
            <w:pPr>
              <w:jc w:val="center"/>
              <w:rPr>
                <w:rFonts w:cs="Times New Roman"/>
                <w:color w:val="000000"/>
                <w:sz w:val="21"/>
                <w:szCs w:val="21"/>
              </w:rPr>
            </w:pPr>
          </w:p>
        </w:tc>
        <w:tc>
          <w:tcPr>
            <w:tcW w:w="2126" w:type="dxa"/>
            <w:vAlign w:val="center"/>
          </w:tcPr>
          <w:p>
            <w:pPr>
              <w:jc w:val="right"/>
              <w:rPr>
                <w:rFonts w:cs="Times New Roman"/>
                <w:color w:val="000000"/>
                <w:sz w:val="21"/>
                <w:szCs w:val="21"/>
              </w:rPr>
            </w:pPr>
            <w:r>
              <w:rPr>
                <w:rFonts w:cs="Times New Roman"/>
                <w:color w:val="000000"/>
                <w:sz w:val="21"/>
                <w:szCs w:val="21"/>
              </w:rPr>
              <w:t>209,803,279</w:t>
            </w:r>
          </w:p>
        </w:tc>
        <w:tc>
          <w:tcPr>
            <w:tcW w:w="1140" w:type="dxa"/>
            <w:vAlign w:val="center"/>
          </w:tcPr>
          <w:p>
            <w:pPr>
              <w:jc w:val="right"/>
              <w:rPr>
                <w:rFonts w:cs="Times New Roman"/>
                <w:color w:val="000000"/>
                <w:sz w:val="21"/>
                <w:szCs w:val="21"/>
              </w:rPr>
            </w:pPr>
            <w:r>
              <w:rPr>
                <w:rFonts w:cs="Times New Roman" w:hint="eastAsia"/>
                <w:color w:val="000000"/>
                <w:sz w:val="21"/>
                <w:szCs w:val="21"/>
              </w:rPr>
              <w:t>淡仓</w:t>
            </w:r>
          </w:p>
        </w:tc>
        <w:tc>
          <w:tcPr>
            <w:tcW w:w="1701" w:type="dxa"/>
            <w:vAlign w:val="center"/>
          </w:tcPr>
          <w:p>
            <w:pPr>
              <w:jc w:val="right"/>
              <w:rPr>
                <w:rFonts w:cs="Times New Roman"/>
                <w:color w:val="000000"/>
                <w:sz w:val="21"/>
                <w:szCs w:val="21"/>
              </w:rPr>
            </w:pPr>
            <w:r>
              <w:rPr>
                <w:rFonts w:cs="Times New Roman" w:hint="eastAsia"/>
                <w:color w:val="000000"/>
                <w:sz w:val="21"/>
                <w:szCs w:val="21"/>
              </w:rPr>
              <w:t>–</w:t>
            </w:r>
          </w:p>
        </w:tc>
        <w:tc>
          <w:tcPr>
            <w:tcW w:w="1984" w:type="dxa"/>
            <w:vAlign w:val="center"/>
          </w:tcPr>
          <w:p>
            <w:pPr>
              <w:jc w:val="right"/>
              <w:rPr>
                <w:rFonts w:cs="Times New Roman"/>
                <w:color w:val="000000"/>
                <w:sz w:val="21"/>
                <w:szCs w:val="21"/>
              </w:rPr>
            </w:pPr>
            <w:r>
              <w:rPr>
                <w:rFonts w:cs="Times New Roman"/>
                <w:color w:val="000000"/>
                <w:sz w:val="21"/>
                <w:szCs w:val="21"/>
              </w:rPr>
              <w:t>2.09%</w:t>
            </w:r>
          </w:p>
        </w:tc>
      </w:tr>
      <w:tr>
        <w:trPr>
          <w:jc w:val="center"/>
        </w:trPr>
        <w:tc>
          <w:tcPr>
            <w:tcW w:w="1702" w:type="dxa"/>
            <w:vMerge w:val="restart"/>
            <w:vAlign w:val="center"/>
          </w:tcPr>
          <w:p>
            <w:pPr>
              <w:jc w:val="center"/>
              <w:rPr>
                <w:rFonts w:cs="Times New Roman"/>
                <w:bCs/>
                <w:color w:val="000000"/>
                <w:sz w:val="21"/>
                <w:szCs w:val="21"/>
              </w:rPr>
            </w:pPr>
            <w:r>
              <w:rPr>
                <w:rFonts w:cs="Times New Roman" w:hint="eastAsia"/>
                <w:color w:val="000000"/>
                <w:sz w:val="21"/>
                <w:szCs w:val="21"/>
              </w:rPr>
              <w:t>山东能源</w:t>
            </w:r>
            <w:r>
              <w:rPr>
                <w:rFonts w:cs="Times New Roman" w:hint="eastAsia"/>
                <w:color w:val="000000"/>
                <w:sz w:val="21"/>
                <w:szCs w:val="21"/>
                <w:vertAlign w:val="superscript"/>
              </w:rPr>
              <w:t>①</w:t>
            </w:r>
          </w:p>
        </w:tc>
        <w:tc>
          <w:tcPr>
            <w:tcW w:w="2126" w:type="dxa"/>
            <w:vMerge w:val="restart"/>
            <w:vAlign w:val="center"/>
          </w:tcPr>
          <w:p>
            <w:pPr>
              <w:jc w:val="center"/>
              <w:rPr>
                <w:rFonts w:cs="Times New Roman"/>
                <w:bCs/>
                <w:color w:val="000000"/>
                <w:sz w:val="21"/>
                <w:szCs w:val="21"/>
              </w:rPr>
            </w:pPr>
            <w:r>
              <w:rPr>
                <w:rFonts w:cs="Times New Roman"/>
                <w:color w:val="000000"/>
                <w:sz w:val="21"/>
                <w:szCs w:val="21"/>
              </w:rPr>
              <w:t>H</w:t>
            </w:r>
            <w:r>
              <w:rPr>
                <w:rFonts w:cs="Times New Roman" w:hint="eastAsia"/>
                <w:color w:val="000000"/>
                <w:sz w:val="21"/>
                <w:szCs w:val="21"/>
              </w:rPr>
              <w:t>股</w:t>
            </w:r>
          </w:p>
        </w:tc>
        <w:tc>
          <w:tcPr>
            <w:tcW w:w="2121" w:type="dxa"/>
            <w:vMerge w:val="restart"/>
            <w:vAlign w:val="center"/>
          </w:tcPr>
          <w:p>
            <w:pPr>
              <w:jc w:val="center"/>
              <w:rPr>
                <w:rFonts w:cs="Times New Roman"/>
                <w:bCs/>
                <w:color w:val="000000"/>
                <w:sz w:val="21"/>
                <w:szCs w:val="21"/>
              </w:rPr>
            </w:pPr>
            <w:r>
              <w:rPr>
                <w:rFonts w:cs="Times New Roman" w:hint="eastAsia"/>
                <w:color w:val="000000"/>
                <w:sz w:val="21"/>
                <w:szCs w:val="21"/>
              </w:rPr>
              <w:t>所控制法团的权益</w:t>
            </w:r>
          </w:p>
        </w:tc>
        <w:tc>
          <w:tcPr>
            <w:tcW w:w="2126" w:type="dxa"/>
            <w:vAlign w:val="center"/>
          </w:tcPr>
          <w:p>
            <w:pPr>
              <w:jc w:val="right"/>
              <w:rPr>
                <w:rFonts w:cs="Times New Roman"/>
                <w:color w:val="000000"/>
                <w:sz w:val="21"/>
                <w:szCs w:val="21"/>
              </w:rPr>
            </w:pPr>
            <w:r>
              <w:rPr>
                <w:rFonts w:cs="Times New Roman"/>
                <w:color w:val="000000"/>
                <w:sz w:val="21"/>
                <w:szCs w:val="21"/>
              </w:rPr>
              <w:t>908,756,550</w:t>
            </w:r>
          </w:p>
        </w:tc>
        <w:tc>
          <w:tcPr>
            <w:tcW w:w="1140" w:type="dxa"/>
            <w:vAlign w:val="center"/>
          </w:tcPr>
          <w:p>
            <w:pPr>
              <w:jc w:val="right"/>
              <w:rPr>
                <w:rFonts w:cs="Times New Roman"/>
                <w:bCs/>
                <w:color w:val="000000"/>
                <w:sz w:val="21"/>
                <w:szCs w:val="21"/>
              </w:rPr>
            </w:pPr>
            <w:r>
              <w:rPr>
                <w:rFonts w:cs="Times New Roman" w:hint="eastAsia"/>
                <w:bCs/>
                <w:color w:val="000000"/>
                <w:sz w:val="21"/>
                <w:szCs w:val="21"/>
              </w:rPr>
              <w:t>好仓</w:t>
            </w:r>
          </w:p>
        </w:tc>
        <w:tc>
          <w:tcPr>
            <w:tcW w:w="1701" w:type="dxa"/>
            <w:vAlign w:val="center"/>
          </w:tcPr>
          <w:p>
            <w:pPr>
              <w:jc w:val="right"/>
              <w:rPr>
                <w:rFonts w:cs="Times New Roman"/>
                <w:color w:val="000000"/>
                <w:sz w:val="21"/>
                <w:szCs w:val="21"/>
              </w:rPr>
            </w:pPr>
            <w:r>
              <w:rPr>
                <w:rFonts w:cs="Times New Roman"/>
                <w:color w:val="000000"/>
                <w:sz w:val="21"/>
                <w:szCs w:val="21"/>
              </w:rPr>
              <w:t>22.30%</w:t>
            </w:r>
          </w:p>
        </w:tc>
        <w:tc>
          <w:tcPr>
            <w:tcW w:w="1984" w:type="dxa"/>
            <w:vAlign w:val="center"/>
          </w:tcPr>
          <w:p>
            <w:pPr>
              <w:jc w:val="right"/>
              <w:rPr>
                <w:rFonts w:cs="Times New Roman"/>
                <w:color w:val="000000"/>
                <w:sz w:val="21"/>
                <w:szCs w:val="21"/>
              </w:rPr>
            </w:pPr>
            <w:r>
              <w:rPr>
                <w:rFonts w:cs="Times New Roman"/>
                <w:color w:val="000000"/>
                <w:sz w:val="21"/>
                <w:szCs w:val="21"/>
              </w:rPr>
              <w:t>9.05%</w:t>
            </w:r>
          </w:p>
        </w:tc>
      </w:tr>
      <w:tr>
        <w:trPr>
          <w:jc w:val="center"/>
        </w:trPr>
        <w:tc>
          <w:tcPr>
            <w:tcW w:w="1702" w:type="dxa"/>
            <w:vMerge/>
            <w:vAlign w:val="center"/>
          </w:tcPr>
          <w:p>
            <w:pPr>
              <w:jc w:val="center"/>
              <w:rPr>
                <w:rFonts w:cs="Times New Roman"/>
                <w:color w:val="000000"/>
                <w:sz w:val="21"/>
                <w:szCs w:val="21"/>
              </w:rPr>
            </w:pPr>
          </w:p>
        </w:tc>
        <w:tc>
          <w:tcPr>
            <w:tcW w:w="2126" w:type="dxa"/>
            <w:vMerge/>
            <w:vAlign w:val="center"/>
          </w:tcPr>
          <w:p>
            <w:pPr>
              <w:jc w:val="center"/>
              <w:rPr>
                <w:rFonts w:cs="Times New Roman"/>
                <w:color w:val="000000"/>
                <w:sz w:val="21"/>
                <w:szCs w:val="21"/>
              </w:rPr>
            </w:pPr>
          </w:p>
        </w:tc>
        <w:tc>
          <w:tcPr>
            <w:tcW w:w="2121" w:type="dxa"/>
            <w:vMerge/>
            <w:vAlign w:val="center"/>
          </w:tcPr>
          <w:p>
            <w:pPr>
              <w:jc w:val="center"/>
              <w:rPr>
                <w:rFonts w:cs="Times New Roman"/>
                <w:color w:val="000000"/>
                <w:sz w:val="21"/>
                <w:szCs w:val="21"/>
              </w:rPr>
            </w:pPr>
          </w:p>
        </w:tc>
        <w:tc>
          <w:tcPr>
            <w:tcW w:w="2126" w:type="dxa"/>
            <w:vAlign w:val="center"/>
          </w:tcPr>
          <w:p>
            <w:pPr>
              <w:jc w:val="right"/>
              <w:rPr>
                <w:rFonts w:cs="Times New Roman"/>
                <w:color w:val="000000"/>
                <w:sz w:val="21"/>
                <w:szCs w:val="21"/>
              </w:rPr>
            </w:pPr>
            <w:r>
              <w:rPr>
                <w:rFonts w:cs="Times New Roman"/>
                <w:color w:val="000000"/>
                <w:sz w:val="21"/>
                <w:szCs w:val="21"/>
              </w:rPr>
              <w:t>282,697,893</w:t>
            </w:r>
          </w:p>
        </w:tc>
        <w:tc>
          <w:tcPr>
            <w:tcW w:w="1140" w:type="dxa"/>
            <w:vAlign w:val="center"/>
          </w:tcPr>
          <w:p>
            <w:pPr>
              <w:jc w:val="right"/>
              <w:rPr>
                <w:rFonts w:cs="Times New Roman"/>
                <w:bCs/>
                <w:color w:val="000000"/>
                <w:sz w:val="21"/>
                <w:szCs w:val="21"/>
              </w:rPr>
            </w:pPr>
            <w:r>
              <w:rPr>
                <w:rFonts w:cs="Times New Roman" w:hint="eastAsia"/>
                <w:bCs/>
                <w:color w:val="000000"/>
                <w:sz w:val="21"/>
                <w:szCs w:val="21"/>
              </w:rPr>
              <w:t>淡仓</w:t>
            </w:r>
          </w:p>
        </w:tc>
        <w:tc>
          <w:tcPr>
            <w:tcW w:w="1701" w:type="dxa"/>
          </w:tcPr>
          <w:p>
            <w:pPr>
              <w:jc w:val="right"/>
              <w:rPr>
                <w:sz w:val="21"/>
                <w:szCs w:val="21"/>
              </w:rPr>
            </w:pPr>
            <w:r>
              <w:rPr>
                <w:rFonts w:hint="eastAsia"/>
                <w:sz w:val="21"/>
                <w:szCs w:val="21"/>
              </w:rPr>
              <w:t>6.94%</w:t>
            </w:r>
          </w:p>
        </w:tc>
        <w:tc>
          <w:tcPr>
            <w:tcW w:w="1984" w:type="dxa"/>
          </w:tcPr>
          <w:p>
            <w:pPr>
              <w:jc w:val="right"/>
              <w:rPr>
                <w:sz w:val="21"/>
                <w:szCs w:val="21"/>
              </w:rPr>
            </w:pPr>
            <w:r>
              <w:rPr>
                <w:rFonts w:hint="eastAsia"/>
                <w:sz w:val="21"/>
                <w:szCs w:val="21"/>
              </w:rPr>
              <w:t>2.82%</w:t>
            </w:r>
          </w:p>
        </w:tc>
      </w:tr>
    </w:tbl>
    <w:bookmarkEnd w:id="237"/>
    <w:p>
      <w:pPr>
        <w:ind w:firstLineChars="200" w:firstLine="420"/>
        <w:jc w:val="both"/>
      </w:pPr>
      <w:r>
        <w:rPr>
          <w:rFonts w:hint="eastAsia"/>
        </w:rPr>
        <w:t>注：</w:t>
      </w:r>
    </w:p>
    <w:p>
      <w:pPr>
        <w:ind w:firstLineChars="200" w:firstLine="420"/>
        <w:jc w:val="both"/>
      </w:pPr>
      <w:r>
        <w:rPr>
          <w:rFonts w:hint="eastAsia"/>
        </w:rPr>
        <w:t>①该等</w:t>
      </w:r>
      <w:r>
        <w:t>H</w:t>
      </w:r>
      <w:r>
        <w:rPr>
          <w:rFonts w:hint="eastAsia"/>
        </w:rPr>
        <w:t>股是由兖矿香港公司以实益拥有人的身份持有。</w:t>
      </w:r>
    </w:p>
    <w:p>
      <w:pPr>
        <w:ind w:firstLineChars="200" w:firstLine="420"/>
        <w:jc w:val="both"/>
      </w:pPr>
      <w:r>
        <w:rPr>
          <w:rFonts w:hint="eastAsia"/>
        </w:rPr>
        <w:lastRenderedPageBreak/>
        <w:t>②百分比数据保留至小数点后两位。</w:t>
      </w:r>
    </w:p>
    <w:p>
      <w:pPr>
        <w:ind w:firstLineChars="200" w:firstLine="420"/>
      </w:pPr>
      <w:r>
        <w:rPr>
          <w:rFonts w:hint="eastAsia"/>
        </w:rPr>
        <w:t>③所披露的信息乃是基于香港联交所网站</w:t>
      </w:r>
      <w:r>
        <w:t>(www.hkexnews.hk)</w:t>
      </w:r>
      <w:bookmarkStart w:id="238" w:name="_Hlk133085934"/>
      <w:r>
        <w:rPr>
          <w:rFonts w:hint="eastAsia"/>
        </w:rPr>
        <w:t>及中国证券登记结算有限责任公司上海分公司</w:t>
      </w:r>
      <w:bookmarkEnd w:id="238"/>
      <w:r>
        <w:rPr>
          <w:rFonts w:hint="eastAsia"/>
        </w:rPr>
        <w:t>所提供的信息作出。</w:t>
      </w:r>
    </w:p>
    <w:p>
      <w:pPr>
        <w:pStyle w:val="affffffd"/>
      </w:pPr>
    </w:p>
    <w:p>
      <w:pPr>
        <w:pStyle w:val="affffffd"/>
      </w:pPr>
    </w:p>
    <w:p>
      <w:pPr>
        <w:pStyle w:val="2"/>
        <w:numPr>
          <w:ilvl w:val="0"/>
          <w:numId w:val="1"/>
        </w:numPr>
      </w:pPr>
      <w:r>
        <w:rPr>
          <w:rFonts w:hint="eastAsia"/>
        </w:rPr>
        <w:t>控股股东及实际控制人情况</w:t>
      </w:r>
    </w:p>
    <w:p>
      <w:pPr>
        <w:pStyle w:val="3"/>
        <w:numPr>
          <w:ilvl w:val="0"/>
          <w:numId w:val="15"/>
        </w:numPr>
      </w:pPr>
      <w:r>
        <w:t>控股股东情况</w:t>
      </w:r>
    </w:p>
    <w:p>
      <w:pPr>
        <w:pStyle w:val="4"/>
        <w:numPr>
          <w:ilvl w:val="0"/>
          <w:numId w:val="16"/>
        </w:numPr>
      </w:pPr>
      <w:r>
        <w:t>法人</w:t>
      </w:r>
    </w:p>
    <w:sdt>
      <w:sdtPr>
        <w:alias w:val="是否适用：法人_控股股东情况[双击切换]"/>
        <w:tag w:val="_GBC_eab2d7c8478645dbae996b49d203b0d9"/>
        <w:id w:val="-208347541"/>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7"/>
        <w:tblW w:w="0" w:type="auto"/>
        <w:jc w:val="center"/>
        <w:tblLook w:val="04A0" w:firstRow="1" w:lastRow="0" w:firstColumn="1" w:lastColumn="0" w:noHBand="0" w:noVBand="1"/>
      </w:tblPr>
      <w:tblGrid>
        <w:gridCol w:w="3369"/>
        <w:gridCol w:w="9526"/>
      </w:tblGrid>
      <w:tr>
        <w:trPr>
          <w:trHeight w:val="117"/>
          <w:jc w:val="center"/>
        </w:trPr>
        <w:sdt>
          <w:sdtPr>
            <w:tag w:val="_PLD_e1d45d230e0e4c06bc451af63b51d4e2"/>
            <w:id w:val="656965088"/>
          </w:sdtPr>
          <w:sdtContent>
            <w:tc>
              <w:tcPr>
                <w:tcW w:w="3369" w:type="dxa"/>
                <w:vAlign w:val="center"/>
              </w:tcPr>
              <w:p>
                <w:pPr>
                  <w:rPr>
                    <w:szCs w:val="21"/>
                  </w:rPr>
                </w:pPr>
                <w:r>
                  <w:rPr>
                    <w:rFonts w:hint="eastAsia"/>
                    <w:szCs w:val="21"/>
                  </w:rPr>
                  <w:t>名称</w:t>
                </w:r>
              </w:p>
            </w:tc>
          </w:sdtContent>
        </w:sdt>
        <w:sdt>
          <w:sdtPr>
            <w:rPr>
              <w:rFonts w:hint="eastAsia"/>
              <w:szCs w:val="21"/>
            </w:rPr>
            <w:alias w:val="法人控股股东名称"/>
            <w:tag w:val="_GBC_b9697fb9b1e247b58382e6e5a1fdba0f"/>
            <w:id w:val="1345520457"/>
          </w:sdtPr>
          <w:sdtContent>
            <w:tc>
              <w:tcPr>
                <w:tcW w:w="9526" w:type="dxa"/>
              </w:tcPr>
              <w:p>
                <w:pPr>
                  <w:rPr>
                    <w:szCs w:val="21"/>
                  </w:rPr>
                </w:pPr>
                <w:r>
                  <w:rPr>
                    <w:rFonts w:hint="eastAsia"/>
                    <w:szCs w:val="21"/>
                  </w:rPr>
                  <w:t>山东能源集团有限公司</w:t>
                </w:r>
              </w:p>
            </w:tc>
          </w:sdtContent>
        </w:sdt>
      </w:tr>
      <w:tr>
        <w:trPr>
          <w:trHeight w:val="75"/>
          <w:jc w:val="center"/>
        </w:trPr>
        <w:tc>
          <w:tcPr>
            <w:tcW w:w="3369" w:type="dxa"/>
            <w:vAlign w:val="center"/>
          </w:tcPr>
          <w:p>
            <w:pPr>
              <w:rPr>
                <w:szCs w:val="21"/>
              </w:rPr>
            </w:pPr>
            <w:r>
              <w:rPr>
                <w:rFonts w:hint="eastAsia"/>
                <w:szCs w:val="21"/>
              </w:rPr>
              <w:t>单位负责人或法定代表人</w:t>
            </w:r>
          </w:p>
        </w:tc>
        <w:tc>
          <w:tcPr>
            <w:tcW w:w="9526" w:type="dxa"/>
            <w:tcBorders>
              <w:top w:val="single" w:sz="4" w:space="0" w:color="auto"/>
              <w:left w:val="single" w:sz="4" w:space="0" w:color="auto"/>
              <w:bottom w:val="single" w:sz="4" w:space="0" w:color="auto"/>
              <w:right w:val="single" w:sz="4" w:space="0" w:color="auto"/>
            </w:tcBorders>
          </w:tcPr>
          <w:p>
            <w:pPr>
              <w:rPr>
                <w:rFonts w:cs="Times New Roman"/>
                <w:szCs w:val="21"/>
              </w:rPr>
            </w:pPr>
            <w:r>
              <w:rPr>
                <w:rFonts w:hint="eastAsia"/>
              </w:rPr>
              <w:t>李伟</w:t>
            </w:r>
          </w:p>
        </w:tc>
      </w:tr>
      <w:tr>
        <w:trPr>
          <w:trHeight w:val="225"/>
          <w:jc w:val="center"/>
        </w:trPr>
        <w:tc>
          <w:tcPr>
            <w:tcW w:w="3369" w:type="dxa"/>
            <w:vAlign w:val="center"/>
          </w:tcPr>
          <w:p>
            <w:pPr>
              <w:rPr>
                <w:szCs w:val="21"/>
              </w:rPr>
            </w:pPr>
            <w:r>
              <w:rPr>
                <w:rFonts w:hint="eastAsia"/>
                <w:szCs w:val="21"/>
              </w:rPr>
              <w:t>成立日期</w:t>
            </w:r>
          </w:p>
        </w:tc>
        <w:tc>
          <w:tcPr>
            <w:tcW w:w="9526" w:type="dxa"/>
            <w:tcBorders>
              <w:top w:val="single" w:sz="4" w:space="0" w:color="auto"/>
              <w:left w:val="single" w:sz="4" w:space="0" w:color="auto"/>
              <w:bottom w:val="single" w:sz="4" w:space="0" w:color="auto"/>
              <w:right w:val="single" w:sz="4" w:space="0" w:color="auto"/>
            </w:tcBorders>
          </w:tcPr>
          <w:p>
            <w:pPr>
              <w:pStyle w:val="affffffd"/>
            </w:pPr>
            <w:r>
              <w:rPr>
                <w:rFonts w:hint="eastAsia"/>
              </w:rPr>
              <w:t>1996年3月12日</w:t>
            </w:r>
          </w:p>
        </w:tc>
      </w:tr>
      <w:tr>
        <w:trPr>
          <w:trHeight w:val="150"/>
          <w:jc w:val="center"/>
        </w:trPr>
        <w:tc>
          <w:tcPr>
            <w:tcW w:w="3369" w:type="dxa"/>
            <w:vAlign w:val="center"/>
          </w:tcPr>
          <w:p>
            <w:pPr>
              <w:rPr>
                <w:szCs w:val="21"/>
              </w:rPr>
            </w:pPr>
            <w:r>
              <w:rPr>
                <w:rFonts w:hint="eastAsia"/>
                <w:szCs w:val="21"/>
              </w:rPr>
              <w:t>主要经营业务</w:t>
            </w:r>
          </w:p>
        </w:tc>
        <w:tc>
          <w:tcPr>
            <w:tcW w:w="9526" w:type="dxa"/>
            <w:tcBorders>
              <w:top w:val="single" w:sz="4" w:space="0" w:color="auto"/>
              <w:left w:val="single" w:sz="4" w:space="0" w:color="auto"/>
              <w:bottom w:val="single" w:sz="4" w:space="0" w:color="auto"/>
              <w:right w:val="single" w:sz="4" w:space="0" w:color="auto"/>
            </w:tcBorders>
          </w:tcPr>
          <w:p>
            <w:pPr>
              <w:pStyle w:val="affffffd"/>
            </w:pPr>
            <w:r>
              <w:rPr>
                <w:rFonts w:hint="eastAsia"/>
              </w:rPr>
              <w:t>矿业、电力、高端化工、高端装备制造、新能源新材料、现代物流贸易等业务。</w:t>
            </w:r>
          </w:p>
        </w:tc>
      </w:tr>
      <w:tr>
        <w:trPr>
          <w:trHeight w:val="132"/>
          <w:jc w:val="center"/>
        </w:trPr>
        <w:tc>
          <w:tcPr>
            <w:tcW w:w="3369" w:type="dxa"/>
            <w:vAlign w:val="center"/>
          </w:tcPr>
          <w:p>
            <w:pPr>
              <w:rPr>
                <w:szCs w:val="21"/>
              </w:rPr>
            </w:pPr>
            <w:r>
              <w:rPr>
                <w:rFonts w:hint="eastAsia"/>
                <w:szCs w:val="21"/>
              </w:rPr>
              <w:t>报告期内控股和参股的其他境内外上市公司的股权情况</w:t>
            </w:r>
          </w:p>
        </w:tc>
        <w:tc>
          <w:tcPr>
            <w:tcW w:w="9526" w:type="dxa"/>
            <w:tcBorders>
              <w:top w:val="single" w:sz="4" w:space="0" w:color="auto"/>
              <w:left w:val="single" w:sz="4" w:space="0" w:color="auto"/>
              <w:bottom w:val="single" w:sz="4" w:space="0" w:color="auto"/>
              <w:right w:val="single" w:sz="4" w:space="0" w:color="auto"/>
            </w:tcBorders>
            <w:vAlign w:val="center"/>
          </w:tcPr>
          <w:p>
            <w:pPr>
              <w:pStyle w:val="affffffd"/>
            </w:pPr>
            <w:r>
              <w:rPr>
                <w:rFonts w:hint="eastAsia"/>
              </w:rPr>
              <w:t>请见下表。</w:t>
            </w:r>
          </w:p>
        </w:tc>
      </w:tr>
      <w:tr>
        <w:trPr>
          <w:trHeight w:val="147"/>
          <w:jc w:val="center"/>
        </w:trPr>
        <w:tc>
          <w:tcPr>
            <w:tcW w:w="3369" w:type="dxa"/>
            <w:vAlign w:val="center"/>
          </w:tcPr>
          <w:p>
            <w:pPr>
              <w:pStyle w:val="affffffd"/>
            </w:pPr>
            <w:r>
              <w:rPr>
                <w:rFonts w:hint="eastAsia"/>
              </w:rPr>
              <w:t>其他情况说明</w:t>
            </w:r>
          </w:p>
        </w:tc>
        <w:tc>
          <w:tcPr>
            <w:tcW w:w="9526" w:type="dxa"/>
            <w:tcBorders>
              <w:top w:val="single" w:sz="4" w:space="0" w:color="auto"/>
              <w:left w:val="single" w:sz="4" w:space="0" w:color="auto"/>
              <w:bottom w:val="single" w:sz="4" w:space="0" w:color="auto"/>
              <w:right w:val="single" w:sz="4" w:space="0" w:color="auto"/>
            </w:tcBorders>
          </w:tcPr>
          <w:p>
            <w:pPr>
              <w:rPr>
                <w:rFonts w:ascii="Times New Roman" w:hAnsi="Times New Roman"/>
              </w:rPr>
            </w:pPr>
            <w:r>
              <w:rPr>
                <w:rFonts w:hint="eastAsia"/>
              </w:rPr>
              <w:t>-</w:t>
            </w:r>
          </w:p>
        </w:tc>
      </w:tr>
    </w:tbl>
    <w:p>
      <w:pPr>
        <w:pStyle w:val="affffffd"/>
      </w:pPr>
    </w:p>
    <w:p>
      <w:pPr>
        <w:ind w:firstLineChars="200" w:firstLine="420"/>
      </w:pPr>
      <w:r>
        <w:rPr>
          <w:rFonts w:hint="eastAsia"/>
        </w:rPr>
        <w:t>截至</w:t>
      </w:r>
      <w:r>
        <w:t>2024年12月31日，山东能源控股及参股的其他境内外上市公司的股权情况如下：</w:t>
      </w:r>
    </w:p>
    <w:tbl>
      <w:tblPr>
        <w:tblStyle w:val="g2611"/>
        <w:tblW w:w="12044" w:type="dxa"/>
        <w:jc w:val="center"/>
        <w:tblInd w:w="0" w:type="dxa"/>
        <w:tblLayout w:type="fixed"/>
        <w:tblLook w:val="04A0" w:firstRow="1" w:lastRow="0" w:firstColumn="1" w:lastColumn="0" w:noHBand="0" w:noVBand="1"/>
      </w:tblPr>
      <w:tblGrid>
        <w:gridCol w:w="846"/>
        <w:gridCol w:w="2126"/>
        <w:gridCol w:w="2977"/>
        <w:gridCol w:w="1984"/>
        <w:gridCol w:w="1985"/>
        <w:gridCol w:w="2126"/>
      </w:tblGrid>
      <w:tr>
        <w:trPr>
          <w:trHeight w:val="799"/>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序号</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上市公司简称</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上市交易所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股票代码</w:t>
            </w:r>
          </w:p>
        </w:tc>
        <w:tc>
          <w:tcPr>
            <w:tcW w:w="1985"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持有量（万股）</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持股比例（%）</w:t>
            </w:r>
          </w:p>
        </w:tc>
      </w:tr>
      <w:tr>
        <w:trPr>
          <w:trHeight w:val="799"/>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1</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云鼎科技</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深圳证券交易所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000409.SZ</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23,864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35.17</w:t>
            </w:r>
          </w:p>
        </w:tc>
      </w:tr>
      <w:tr>
        <w:trPr>
          <w:trHeight w:val="799"/>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2</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山东玻纤</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上海证券交易所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605006.SH</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31,644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51.79</w:t>
            </w:r>
          </w:p>
        </w:tc>
      </w:tr>
      <w:tr>
        <w:trPr>
          <w:trHeight w:hRule="exact" w:val="533"/>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3</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齐翔腾达</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深圳证券交易所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002408.SZ</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151,196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53.18</w:t>
            </w:r>
          </w:p>
        </w:tc>
      </w:tr>
      <w:tr>
        <w:trPr>
          <w:trHeight w:hRule="exact" w:val="530"/>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lastRenderedPageBreak/>
              <w:t>4</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新风光</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上海证券交易所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688663.SH</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5,353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38.25</w:t>
            </w:r>
          </w:p>
        </w:tc>
      </w:tr>
      <w:tr>
        <w:trPr>
          <w:trHeight w:hRule="exact" w:val="530"/>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5</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中泰证券</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上海证券交易所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600918.SH</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251,508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36.09</w:t>
            </w:r>
          </w:p>
        </w:tc>
      </w:tr>
      <w:tr>
        <w:trPr>
          <w:trHeight w:hRule="exact" w:val="530"/>
          <w:jc w:val="center"/>
        </w:trPr>
        <w:tc>
          <w:tcPr>
            <w:tcW w:w="846" w:type="dxa"/>
            <w:tcBorders>
              <w:top w:val="single" w:sz="4" w:space="0" w:color="000000"/>
              <w:left w:val="single" w:sz="4" w:space="0" w:color="000000"/>
              <w:bottom w:val="single" w:sz="4" w:space="0" w:color="000000"/>
              <w:right w:val="single" w:sz="4" w:space="0" w:color="000000"/>
            </w:tcBorders>
            <w:vAlign w:val="center"/>
          </w:tcPr>
          <w:p>
            <w:pPr>
              <w:jc w:val="center"/>
              <w:rPr>
                <w:kern w:val="0"/>
                <w:szCs w:val="21"/>
              </w:rPr>
            </w:pPr>
            <w:r>
              <w:rPr>
                <w:rFonts w:hint="eastAsia"/>
                <w:kern w:val="0"/>
                <w:szCs w:val="21"/>
              </w:rPr>
              <w:t>6</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日照港</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上海证券交易所</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600017.SH</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16,755</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5.50</w:t>
            </w:r>
          </w:p>
        </w:tc>
      </w:tr>
      <w:tr>
        <w:trPr>
          <w:trHeight w:hRule="exact" w:val="530"/>
          <w:jc w:val="center"/>
        </w:trPr>
        <w:tc>
          <w:tcPr>
            <w:tcW w:w="846" w:type="dxa"/>
            <w:tcBorders>
              <w:top w:val="single" w:sz="4" w:space="0" w:color="000000"/>
              <w:left w:val="single" w:sz="4" w:space="0" w:color="000000"/>
              <w:bottom w:val="single" w:sz="4" w:space="0" w:color="000000"/>
              <w:right w:val="single" w:sz="4" w:space="0" w:color="000000"/>
            </w:tcBorders>
            <w:vAlign w:val="center"/>
          </w:tcPr>
          <w:p>
            <w:pPr>
              <w:jc w:val="center"/>
              <w:rPr>
                <w:kern w:val="0"/>
                <w:szCs w:val="21"/>
              </w:rPr>
            </w:pPr>
            <w:r>
              <w:rPr>
                <w:kern w:val="0"/>
                <w:szCs w:val="21"/>
              </w:rPr>
              <w:t>7</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日照港裕廊</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香港联合交易所有限公司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06117.HK</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5,000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3.01</w:t>
            </w:r>
          </w:p>
        </w:tc>
      </w:tr>
      <w:tr>
        <w:trPr>
          <w:trHeight w:hRule="exact" w:val="530"/>
          <w:jc w:val="center"/>
        </w:trPr>
        <w:tc>
          <w:tcPr>
            <w:tcW w:w="84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kern w:val="0"/>
                <w:szCs w:val="21"/>
              </w:rPr>
              <w:t>8</w:t>
            </w:r>
          </w:p>
        </w:tc>
        <w:tc>
          <w:tcPr>
            <w:tcW w:w="2126"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齐鲁高速</w:t>
            </w:r>
          </w:p>
        </w:tc>
        <w:tc>
          <w:tcPr>
            <w:tcW w:w="2977" w:type="dxa"/>
            <w:tcBorders>
              <w:top w:val="single" w:sz="4" w:space="0" w:color="000000"/>
              <w:left w:val="single" w:sz="4" w:space="0" w:color="000000"/>
              <w:bottom w:val="single" w:sz="4" w:space="0" w:color="000000"/>
              <w:right w:val="single" w:sz="4" w:space="0" w:color="000000"/>
            </w:tcBorders>
            <w:vAlign w:val="center"/>
            <w:hideMark/>
          </w:tcPr>
          <w:p>
            <w:pPr>
              <w:jc w:val="center"/>
              <w:rPr>
                <w:kern w:val="0"/>
                <w:szCs w:val="21"/>
              </w:rPr>
            </w:pPr>
            <w:r>
              <w:rPr>
                <w:rFonts w:hint="eastAsia"/>
                <w:kern w:val="0"/>
                <w:szCs w:val="21"/>
              </w:rPr>
              <w:t>香港联合交易所有限公司</w:t>
            </w:r>
          </w:p>
        </w:tc>
        <w:tc>
          <w:tcPr>
            <w:tcW w:w="1984" w:type="dxa"/>
            <w:tcBorders>
              <w:top w:val="single" w:sz="4" w:space="0" w:color="000000"/>
              <w:left w:val="single" w:sz="4" w:space="0" w:color="000000"/>
              <w:bottom w:val="single" w:sz="4" w:space="0" w:color="000000"/>
              <w:right w:val="single" w:sz="4" w:space="0" w:color="000000"/>
            </w:tcBorders>
            <w:vAlign w:val="center"/>
            <w:hideMark/>
          </w:tcPr>
          <w:p>
            <w:pPr>
              <w:jc w:val="right"/>
              <w:rPr>
                <w:kern w:val="0"/>
                <w:szCs w:val="21"/>
              </w:rPr>
            </w:pPr>
            <w:r>
              <w:rPr>
                <w:rFonts w:hint="eastAsia"/>
                <w:kern w:val="0"/>
                <w:szCs w:val="21"/>
              </w:rPr>
              <w:t>01576.HK</w:t>
            </w:r>
          </w:p>
        </w:tc>
        <w:tc>
          <w:tcPr>
            <w:tcW w:w="1985"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 xml:space="preserve">4,060 </w:t>
            </w:r>
          </w:p>
        </w:tc>
        <w:tc>
          <w:tcPr>
            <w:tcW w:w="2126" w:type="dxa"/>
            <w:tcBorders>
              <w:top w:val="single" w:sz="4" w:space="0" w:color="000000"/>
              <w:left w:val="single" w:sz="4" w:space="0" w:color="000000"/>
              <w:bottom w:val="single" w:sz="4" w:space="0" w:color="000000"/>
              <w:right w:val="single" w:sz="4" w:space="0" w:color="000000"/>
            </w:tcBorders>
            <w:vAlign w:val="center"/>
          </w:tcPr>
          <w:p>
            <w:pPr>
              <w:jc w:val="right"/>
              <w:rPr>
                <w:szCs w:val="21"/>
              </w:rPr>
            </w:pPr>
            <w:r>
              <w:rPr>
                <w:szCs w:val="21"/>
              </w:rPr>
              <w:t>2.03</w:t>
            </w:r>
          </w:p>
        </w:tc>
      </w:tr>
    </w:tbl>
    <w:p>
      <w:pPr>
        <w:rPr>
          <w:szCs w:val="21"/>
        </w:rPr>
      </w:pPr>
    </w:p>
    <w:p>
      <w:pPr>
        <w:pStyle w:val="3"/>
        <w:numPr>
          <w:ilvl w:val="0"/>
          <w:numId w:val="15"/>
        </w:numPr>
      </w:pPr>
      <w:r>
        <w:rPr>
          <w:rFonts w:hint="eastAsia"/>
        </w:rPr>
        <w:t>实际控制人情况</w:t>
      </w:r>
    </w:p>
    <w:p>
      <w:pPr>
        <w:pStyle w:val="4"/>
        <w:numPr>
          <w:ilvl w:val="0"/>
          <w:numId w:val="17"/>
        </w:numPr>
      </w:pPr>
      <w:r>
        <w:rPr>
          <w:rFonts w:hint="eastAsia"/>
        </w:rPr>
        <w:t>法人</w:t>
      </w:r>
    </w:p>
    <w:sdt>
      <w:sdtPr>
        <w:alias w:val="是否适用：法人_实际控制人情况[双击切换]"/>
        <w:tag w:val="_GBC_6cb3195cd6c545489bd6151d0ee57d58"/>
        <w:id w:val="1071468551"/>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73"/>
      </w:tblGrid>
      <w:tr>
        <w:trPr>
          <w:trHeight w:val="90"/>
        </w:trPr>
        <w:sdt>
          <w:sdtPr>
            <w:rPr>
              <w:rFonts w:hint="eastAsia"/>
              <w:szCs w:val="21"/>
            </w:rPr>
            <w:alias w:val="法人实际控制人名称"/>
            <w:tag w:val="_GBC_09078fe67bb948e3b338136f227f90f6"/>
            <w:id w:val="1802117804"/>
          </w:sdtPr>
          <w:sdtContent>
            <w:tc>
              <w:tcPr>
                <w:tcW w:w="5000" w:type="pct"/>
              </w:tcPr>
              <w:p>
                <w:pPr>
                  <w:rPr>
                    <w:szCs w:val="21"/>
                  </w:rPr>
                </w:pPr>
                <w:r>
                  <w:rPr>
                    <w:rFonts w:hint="eastAsia"/>
                    <w:szCs w:val="21"/>
                  </w:rPr>
                  <w:t>山东省人民政府国有资产监督管理委员会</w:t>
                </w:r>
              </w:p>
            </w:tc>
          </w:sdtContent>
        </w:sdt>
      </w:tr>
    </w:tbl>
    <w:p>
      <w:pPr>
        <w:pStyle w:val="affffffd"/>
      </w:pPr>
    </w:p>
    <w:p>
      <w:pPr>
        <w:pStyle w:val="4"/>
        <w:numPr>
          <w:ilvl w:val="0"/>
          <w:numId w:val="17"/>
        </w:numPr>
      </w:pPr>
      <w:r>
        <w:rPr>
          <w:rFonts w:hint="eastAsia"/>
        </w:rPr>
        <w:t>公司与实际控制人之间的产权及控制关系的方框图（截至2024年12月31日）</w:t>
      </w:r>
    </w:p>
    <w:sdt>
      <w:sdtPr>
        <w:alias w:val="是否适用：公司与实际控制人之间的产权及控制关系的方框图[双击切换]"/>
        <w:tag w:val="_GBC_8ddc5ba6a04141dc94582029460f81bd"/>
        <w:id w:val="-211704875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d"/>
      </w:pPr>
      <w:sdt>
        <w:sdtPr>
          <w:rPr>
            <w:rFonts w:hint="eastAsia"/>
          </w:rPr>
          <w:alias w:val="图片：公司与实际控制人之间的产权及控制关系的方框图"/>
          <w:tag w:val="_GBC_538f0b25ae684717a3c8362262a5a004"/>
          <w:id w:val="-1703775861"/>
          <w:placeholder>
            <w:docPart w:val="GBC22222222222222222222222222222"/>
          </w:placeholder>
          <w:picture/>
        </w:sdtPr>
        <w:sdtContent>
          <w:r>
            <w:rPr>
              <w:rFonts w:hint="eastAsia"/>
              <w:noProof/>
            </w:rPr>
            <w:drawing>
              <wp:inline distT="0" distB="0" distL="0" distR="0">
                <wp:extent cx="3124298" cy="206692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24298" cy="2066925"/>
                        </a:xfrm>
                        <a:prstGeom prst="rect">
                          <a:avLst/>
                        </a:prstGeom>
                        <a:noFill/>
                        <a:ln>
                          <a:noFill/>
                        </a:ln>
                      </pic:spPr>
                    </pic:pic>
                  </a:graphicData>
                </a:graphic>
              </wp:inline>
            </w:drawing>
          </w:r>
        </w:sdtContent>
      </w:sdt>
    </w:p>
    <w:p>
      <w:pPr>
        <w:pStyle w:val="affffffd"/>
      </w:pPr>
    </w:p>
    <w:p>
      <w:pPr>
        <w:pStyle w:val="4"/>
        <w:numPr>
          <w:ilvl w:val="0"/>
          <w:numId w:val="17"/>
        </w:numPr>
      </w:pPr>
      <w:r>
        <w:rPr>
          <w:rFonts w:hint="eastAsia"/>
        </w:rP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901723807"/>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3"/>
        <w:numPr>
          <w:ilvl w:val="0"/>
          <w:numId w:val="15"/>
        </w:numPr>
      </w:pPr>
      <w:r>
        <w:t>控股股东及实际控制人其他情况介绍</w:t>
      </w:r>
    </w:p>
    <w:sdt>
      <w:sdtPr>
        <w:rPr>
          <w:rFonts w:hint="eastAsia"/>
        </w:rPr>
        <w:alias w:val="是否适用：控股股东及实际控制人其他情况介绍[双击切换]"/>
        <w:tag w:val="_GBC_f45ea2fa04e04b71a116fba6ba3bff32"/>
        <w:id w:val="-1286807319"/>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pPr>
    </w:p>
    <w:p>
      <w:pPr>
        <w:pStyle w:val="2"/>
        <w:numPr>
          <w:ilvl w:val="0"/>
          <w:numId w:val="1"/>
        </w:numPr>
      </w:pPr>
      <w:bookmarkStart w:id="239" w:name="_Hlk89353035"/>
      <w:r>
        <w:t>公司控股股东或第一大股东及其一致行动人累计质押股份数量占其所持公司股份数量比例达到</w:t>
      </w:r>
      <w:r>
        <w:t xml:space="preserve"> 80%</w:t>
      </w:r>
      <w:r>
        <w:t>以上</w:t>
      </w:r>
    </w:p>
    <w:sdt>
      <w:sdtPr>
        <w:rPr>
          <w:rFonts w:hint="eastAsia"/>
        </w:rPr>
        <w:alias w:val="是否适用：公司控股股东或第一大股东及其一致行动人累计质押股份数量情况明细[双击切换]"/>
        <w:tag w:val="_GBC_f07bbd5a46a94903bbea3fbbdc7b769f"/>
        <w:id w:val="-1105958228"/>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bookmarkEnd w:id="239"/>
    <w:p>
      <w:pPr>
        <w:pStyle w:val="2"/>
        <w:numPr>
          <w:ilvl w:val="0"/>
          <w:numId w:val="1"/>
        </w:numPr>
      </w:pPr>
      <w:r>
        <w:rPr>
          <w:rFonts w:hint="eastAsia"/>
        </w:rPr>
        <w:t>其他持股在百分之十以上的法人股东</w:t>
      </w:r>
    </w:p>
    <w:sdt>
      <w:sdtPr>
        <w:alias w:val="是否适用：其他持股在百分之十以上的法人股东[双击切换]"/>
        <w:tag w:val="_GBC_7c5d05f2d72d4d3c9ef6e9b93777b39f"/>
        <w:id w:val="-1530877208"/>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firstLineChars="200" w:firstLine="420"/>
        <w:jc w:val="both"/>
      </w:pPr>
      <w:r>
        <w:rPr>
          <w:rFonts w:hint="eastAsia"/>
        </w:rPr>
        <w:t>香港中央结算（代理人）有限公司于</w:t>
      </w:r>
      <w:r>
        <w:t>2024年12月31日持有公司H股4,070,914,468股</w:t>
      </w:r>
      <w:r>
        <w:rPr>
          <w:rFonts w:hint="eastAsia"/>
        </w:rPr>
        <w:t>（含兖矿香港公司持有的公司</w:t>
      </w:r>
      <w:r>
        <w:t>H股9.09亿股</w:t>
      </w:r>
      <w:r>
        <w:rPr>
          <w:rFonts w:hint="eastAsia"/>
        </w:rPr>
        <w:t>）</w:t>
      </w:r>
      <w:r>
        <w:t>，占公司总股本的40.55%，乃分别代表其多个客户持有。香港中央结算（代理人）有限公司是香港中央结算及交收系统成员，为客户提供证券登记及托管业务。</w:t>
      </w:r>
    </w:p>
    <w:p>
      <w:pPr>
        <w:pStyle w:val="affffffd"/>
      </w:pPr>
    </w:p>
    <w:p>
      <w:pPr>
        <w:pStyle w:val="2"/>
        <w:numPr>
          <w:ilvl w:val="0"/>
          <w:numId w:val="1"/>
        </w:numPr>
      </w:pPr>
      <w:r>
        <w:rPr>
          <w:rFonts w:hint="eastAsia"/>
        </w:rPr>
        <w:lastRenderedPageBreak/>
        <w:t>股份限制减持情况说明</w:t>
      </w:r>
    </w:p>
    <w:p>
      <w:pPr>
        <w:pStyle w:val="affffffd"/>
      </w:pPr>
      <w:sdt>
        <w:sdtPr>
          <w:rPr>
            <w:rFonts w:hint="eastAsia"/>
          </w:rPr>
          <w:alias w:val="是否适用：股份限制减持情况说明[双击切换]"/>
          <w:tag w:val="_GBC_38db60098ddc4e12bffd328b521e0c35"/>
          <w:id w:val="-308014275"/>
          <w:placeholder>
            <w:docPart w:val="GBC22222222222222222222222222222"/>
          </w:placeholder>
        </w:sdtPr>
        <w:sdtEndPr>
          <w:rPr>
            <w:rFonts w:hint="default"/>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pStyle w:val="affffffd"/>
      </w:pPr>
    </w:p>
    <w:p>
      <w:pPr>
        <w:pStyle w:val="2"/>
        <w:numPr>
          <w:ilvl w:val="0"/>
          <w:numId w:val="1"/>
        </w:numPr>
      </w:pPr>
      <w:bookmarkStart w:id="240" w:name="_Hlk89353439"/>
      <w:bookmarkStart w:id="241"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732108021"/>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240"/>
    <w:bookmarkEnd w:id="241"/>
    <w:p>
      <w:pPr>
        <w:jc w:val="right"/>
        <w:rPr>
          <w:szCs w:val="21"/>
        </w:rPr>
      </w:pPr>
      <w:r>
        <w:rPr>
          <w:rFonts w:hint="eastAsia"/>
          <w:szCs w:val="21"/>
        </w:rPr>
        <w:t>单位：</w:t>
      </w:r>
      <w:sdt>
        <w:sdtPr>
          <w:rPr>
            <w:rFonts w:hint="eastAsia"/>
            <w:szCs w:val="21"/>
          </w:rPr>
          <w:alias w:val="单位：股份回购在报告期的具体实施情况"/>
          <w:tag w:val="_GBC_21792546ad004ee39a278a585bed9af7"/>
          <w:id w:val="-1219974339"/>
          <w:placeholder>
            <w:docPart w:val="FC0AA1DAB95F4571BDCF6C952573F579"/>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万元</w:t>
          </w:r>
        </w:sdtContent>
      </w:sdt>
      <w:r>
        <w:rPr>
          <w:rFonts w:hint="eastAsia"/>
          <w:szCs w:val="21"/>
        </w:rPr>
        <w:t xml:space="preserve">  币种：</w:t>
      </w:r>
      <w:sdt>
        <w:sdtPr>
          <w:rPr>
            <w:rFonts w:hint="eastAsia"/>
            <w:szCs w:val="21"/>
          </w:rPr>
          <w:alias w:val="币种：股份回购在报告期的具体实施情况"/>
          <w:tag w:val="_GBC_d28ce55fd5d44a2a8978fe14c4fed7a0"/>
          <w:id w:val="-1536574636"/>
          <w:placeholder>
            <w:docPart w:val="FC0AA1DAB95F4571BDCF6C952573F579"/>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3"/>
        <w:gridCol w:w="8700"/>
      </w:tblGrid>
      <w:tr>
        <w:trPr>
          <w:trHeight w:val="102"/>
        </w:trPr>
        <w:sdt>
          <w:sdtPr>
            <w:tag w:val="_PLD_b8991132154646319b355a22c4f93ad1"/>
            <w:id w:val="-347252285"/>
          </w:sdtPr>
          <w:sdtContent>
            <w:tc>
              <w:tcPr>
                <w:tcW w:w="1862" w:type="pct"/>
                <w:shd w:val="clear" w:color="auto" w:fill="auto"/>
              </w:tcPr>
              <w:p>
                <w:pPr>
                  <w:rPr>
                    <w:szCs w:val="21"/>
                  </w:rPr>
                </w:pPr>
                <w:r>
                  <w:rPr>
                    <w:rFonts w:hint="eastAsia"/>
                    <w:szCs w:val="21"/>
                  </w:rPr>
                  <w:t>回购股份方案名称</w:t>
                </w:r>
              </w:p>
            </w:tc>
          </w:sdtContent>
        </w:sdt>
        <w:sdt>
          <w:sdtPr>
            <w:rPr>
              <w:szCs w:val="21"/>
            </w:rPr>
            <w:alias w:val="回购股份方案名称"/>
            <w:tag w:val="_GBC_4613feedd9fa4680b4c5e8a18b0d9a89"/>
            <w:id w:val="-614753597"/>
          </w:sdtPr>
          <w:sdtContent>
            <w:tc>
              <w:tcPr>
                <w:tcW w:w="3138" w:type="pct"/>
                <w:shd w:val="clear" w:color="auto" w:fill="auto"/>
              </w:tcPr>
              <w:p>
                <w:pPr>
                  <w:rPr>
                    <w:szCs w:val="21"/>
                  </w:rPr>
                </w:pPr>
                <w:r>
                  <w:rPr>
                    <w:rFonts w:hint="eastAsia"/>
                    <w:szCs w:val="21"/>
                  </w:rPr>
                  <w:t>限制性股票回购</w:t>
                </w:r>
              </w:p>
            </w:tc>
          </w:sdtContent>
        </w:sdt>
      </w:tr>
      <w:tr>
        <w:trPr>
          <w:trHeight w:val="102"/>
        </w:trPr>
        <w:tc>
          <w:tcPr>
            <w:tcW w:w="1862" w:type="pct"/>
            <w:shd w:val="clear" w:color="auto" w:fill="auto"/>
          </w:tcPr>
          <w:p>
            <w:pPr>
              <w:rPr>
                <w:szCs w:val="21"/>
              </w:rPr>
            </w:pPr>
            <w:r>
              <w:rPr>
                <w:rFonts w:hint="eastAsia"/>
                <w:szCs w:val="21"/>
              </w:rPr>
              <w:t>回购股份方案披露时间</w:t>
            </w:r>
          </w:p>
        </w:tc>
        <w:tc>
          <w:tcPr>
            <w:tcW w:w="3138" w:type="pct"/>
            <w:shd w:val="clear" w:color="auto" w:fill="auto"/>
            <w:vAlign w:val="center"/>
          </w:tcPr>
          <w:p>
            <w:pPr>
              <w:jc w:val="both"/>
              <w:rPr>
                <w:szCs w:val="21"/>
              </w:rPr>
            </w:pPr>
            <w:r>
              <w:rPr>
                <w:rFonts w:hint="eastAsia"/>
                <w:szCs w:val="21"/>
              </w:rPr>
              <w:t>2</w:t>
            </w:r>
            <w:r>
              <w:rPr>
                <w:szCs w:val="21"/>
              </w:rPr>
              <w:t>024</w:t>
            </w:r>
            <w:r>
              <w:rPr>
                <w:rFonts w:hint="eastAsia"/>
                <w:szCs w:val="21"/>
              </w:rPr>
              <w:t>年2月2</w:t>
            </w:r>
            <w:r>
              <w:rPr>
                <w:szCs w:val="21"/>
              </w:rPr>
              <w:t>3</w:t>
            </w:r>
            <w:r>
              <w:rPr>
                <w:rFonts w:hint="eastAsia"/>
                <w:szCs w:val="21"/>
              </w:rPr>
              <w:t>日</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拟回购股份数量及占总股本的比例(%)</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拟以人民币</w:t>
            </w:r>
            <w:r>
              <w:rPr>
                <w:szCs w:val="21"/>
              </w:rPr>
              <w:t>3.6133 元/股</w:t>
            </w:r>
            <w:r>
              <w:rPr>
                <w:rFonts w:hint="eastAsia"/>
                <w:szCs w:val="21"/>
              </w:rPr>
              <w:t>回购</w:t>
            </w:r>
            <w:r>
              <w:rPr>
                <w:szCs w:val="21"/>
              </w:rPr>
              <w:t>1,401,180</w:t>
            </w:r>
            <w:r>
              <w:rPr>
                <w:rFonts w:hint="eastAsia"/>
                <w:szCs w:val="21"/>
              </w:rPr>
              <w:t>股；占回购实施时总股本的比例约0</w:t>
            </w:r>
            <w:r>
              <w:rPr>
                <w:szCs w:val="21"/>
              </w:rPr>
              <w:t>.02%</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拟回购金额</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szCs w:val="21"/>
              </w:rPr>
              <w:t>539.35</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拟回购期间</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回购用途</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公司</w:t>
            </w:r>
            <w:r>
              <w:rPr>
                <w:szCs w:val="21"/>
              </w:rPr>
              <w:t>2021年A股限制性股票激励计划因部分激励对象职务调动、绩效考核等原因，</w:t>
            </w:r>
            <w:r>
              <w:rPr>
                <w:rFonts w:hint="eastAsia"/>
                <w:szCs w:val="21"/>
              </w:rPr>
              <w:t>对</w:t>
            </w:r>
            <w:r>
              <w:rPr>
                <w:szCs w:val="21"/>
              </w:rPr>
              <w:t>已获授但尚未解除限售的限制性股票140.118万股进行回购并注销</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已回购数量(股)</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于</w:t>
            </w:r>
            <w:r>
              <w:rPr>
                <w:szCs w:val="21"/>
              </w:rPr>
              <w:t>2024年5月13日</w:t>
            </w:r>
            <w:r>
              <w:rPr>
                <w:rFonts w:hint="eastAsia"/>
                <w:szCs w:val="21"/>
              </w:rPr>
              <w:t>回购</w:t>
            </w:r>
            <w:r>
              <w:rPr>
                <w:szCs w:val="21"/>
              </w:rPr>
              <w:t>1,401,180</w:t>
            </w:r>
            <w:r>
              <w:rPr>
                <w:rFonts w:hint="eastAsia"/>
                <w:szCs w:val="21"/>
              </w:rPr>
              <w:t>股</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已回购数量占股权激励计划所涉及的标的股票的比例(%)（如有）</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szCs w:val="21"/>
              </w:rPr>
              <w:t>2.31</w:t>
            </w:r>
          </w:p>
        </w:tc>
      </w:tr>
      <w:tr>
        <w:trPr>
          <w:trHeight w:val="102"/>
        </w:trPr>
        <w:tc>
          <w:tcPr>
            <w:tcW w:w="1862"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公司采用集中竞价交易方式减持回购股份的进展情况</w:t>
            </w:r>
          </w:p>
        </w:tc>
        <w:tc>
          <w:tcPr>
            <w:tcW w:w="313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不适用</w:t>
            </w:r>
          </w:p>
        </w:tc>
      </w:tr>
    </w:tbl>
    <w:p>
      <w:pPr>
        <w:pStyle w:val="affffffd"/>
      </w:pPr>
    </w:p>
    <w:p>
      <w:pPr>
        <w:pStyle w:val="2"/>
        <w:numPr>
          <w:ilvl w:val="0"/>
          <w:numId w:val="1"/>
        </w:numPr>
      </w:pPr>
      <w:r>
        <w:rPr>
          <w:rFonts w:hint="eastAsia"/>
        </w:rPr>
        <w:t>优先购买权</w:t>
      </w:r>
    </w:p>
    <w:p>
      <w:pPr>
        <w:keepNext/>
        <w:keepLines/>
        <w:widowControl w:val="0"/>
        <w:spacing w:before="60" w:after="60"/>
        <w:ind w:left="450"/>
        <w:jc w:val="both"/>
        <w:outlineLvl w:val="1"/>
        <w:rPr>
          <w:rFonts w:ascii="Arial" w:hAnsi="Arial" w:cs="Times New Roman"/>
          <w:b/>
          <w:bCs/>
          <w:kern w:val="2"/>
          <w:szCs w:val="21"/>
        </w:rPr>
      </w:pPr>
      <w:r>
        <w:rPr>
          <w:rFonts w:hint="eastAsia"/>
          <w:szCs w:val="21"/>
        </w:rPr>
        <w:t>《公司章程》及中国法规并无规定本公司须授予现有股东按其持股比例购买新股之权利。</w:t>
      </w:r>
    </w:p>
    <w:p>
      <w:pPr>
        <w:pStyle w:val="affffffd"/>
      </w:pPr>
      <w:r>
        <w:br w:type="page"/>
      </w:r>
    </w:p>
    <w:p>
      <w:pPr>
        <w:pStyle w:val="1"/>
        <w:numPr>
          <w:ilvl w:val="0"/>
          <w:numId w:val="3"/>
        </w:numPr>
        <w:rPr>
          <w:u w:val="single"/>
        </w:rPr>
      </w:pPr>
      <w:bookmarkStart w:id="242" w:name="_Toc193794896"/>
      <w:bookmarkStart w:id="243" w:name="_Toc437440717"/>
      <w:bookmarkStart w:id="244" w:name="_Hlk90555499"/>
      <w:r>
        <w:rPr>
          <w:rFonts w:hint="eastAsia"/>
        </w:rPr>
        <w:lastRenderedPageBreak/>
        <w:t>债券相关情况</w:t>
      </w:r>
      <w:bookmarkEnd w:id="242"/>
    </w:p>
    <w:p>
      <w:pPr>
        <w:pStyle w:val="2"/>
        <w:numPr>
          <w:ilvl w:val="0"/>
          <w:numId w:val="23"/>
        </w:numPr>
        <w:ind w:left="425" w:hanging="425"/>
        <w:rPr>
          <w:rFonts w:ascii="宋体" w:hAnsi="宋体"/>
        </w:rPr>
      </w:pPr>
      <w:bookmarkStart w:id="245" w:name="_Hlk89353982"/>
      <w:bookmarkStart w:id="246" w:name="_Hlk90042478"/>
      <w:bookmarkStart w:id="247" w:name="_Hlk89955979"/>
      <w:bookmarkEnd w:id="243"/>
      <w:r>
        <w:rPr>
          <w:rFonts w:ascii="宋体" w:hAnsi="宋体" w:hint="eastAsia"/>
        </w:rPr>
        <w:t>公司债券（含企业债券）和非金融企业债务融资工具</w:t>
      </w:r>
    </w:p>
    <w:bookmarkStart w:id="248" w:name="_Hlk73352152" w:displacedByCustomXml="next"/>
    <w:sdt>
      <w:sdtPr>
        <w:rPr>
          <w:szCs w:val="21"/>
        </w:rPr>
        <w:alias w:val="是否适用：债券相关情况[双击切换]"/>
        <w:tag w:val="_GBC_804ac0b5f8c94edbbb148299204e0a43"/>
        <w:id w:val="-213238891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248"/>
    <w:p>
      <w:pPr>
        <w:pStyle w:val="affffffd"/>
      </w:pPr>
    </w:p>
    <w:p>
      <w:pPr>
        <w:pStyle w:val="3"/>
        <w:numPr>
          <w:ilvl w:val="0"/>
          <w:numId w:val="24"/>
        </w:numPr>
        <w:ind w:left="425" w:hanging="425"/>
        <w:rPr>
          <w:rFonts w:ascii="宋体" w:hAnsi="宋体"/>
        </w:rPr>
      </w:pPr>
      <w:r>
        <w:rPr>
          <w:rFonts w:ascii="宋体" w:hAnsi="宋体" w:hint="eastAsia"/>
        </w:rPr>
        <w:t>公司债券（含企业债券）</w:t>
      </w:r>
    </w:p>
    <w:sdt>
      <w:sdtPr>
        <w:rPr>
          <w:szCs w:val="21"/>
        </w:rPr>
        <w:alias w:val="是否适用：公司债券相关情况[双击切换]"/>
        <w:tag w:val="_GBC_bcf1d09cd7a14ac8aa0f16e88665e56b"/>
        <w:id w:val="1740355514"/>
        <w:lock w:val="conten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d"/>
      </w:pPr>
    </w:p>
    <w:p>
      <w:pPr>
        <w:pStyle w:val="4"/>
        <w:numPr>
          <w:ilvl w:val="0"/>
          <w:numId w:val="26"/>
        </w:numPr>
        <w:ind w:left="425" w:hanging="425"/>
        <w:rPr>
          <w:rFonts w:ascii="宋体" w:hAnsi="宋体" w:cs="宋体"/>
          <w:kern w:val="0"/>
          <w:szCs w:val="21"/>
        </w:rPr>
      </w:pPr>
      <w:bookmarkStart w:id="249" w:name="_Hlk169859080"/>
      <w:bookmarkStart w:id="250" w:name="_Hlk182401401"/>
      <w:r>
        <w:rPr>
          <w:rFonts w:ascii="宋体" w:hAnsi="宋体" w:cs="宋体" w:hint="eastAsia"/>
          <w:kern w:val="0"/>
          <w:szCs w:val="21"/>
        </w:rPr>
        <w:t>公司债券基本情况</w:t>
      </w:r>
      <w:bookmarkStart w:id="251" w:name="_Hlk193217222"/>
      <w:r>
        <w:rPr>
          <w:rFonts w:ascii="宋体" w:hAnsi="宋体" w:cs="宋体" w:hint="eastAsia"/>
          <w:kern w:val="0"/>
          <w:szCs w:val="21"/>
        </w:rPr>
        <w:t>（截至本报告披露日）</w:t>
      </w:r>
      <w:bookmarkEnd w:id="251"/>
    </w:p>
    <w:p>
      <w:pPr>
        <w:jc w:val="right"/>
      </w:pPr>
      <w:r>
        <w:rPr>
          <w:rFonts w:hint="eastAsia"/>
        </w:rPr>
        <w:t>单位</w:t>
      </w:r>
      <w:r>
        <w:t>：</w:t>
      </w:r>
      <w:sdt>
        <w:sdtPr>
          <w:alias w:val="单位：财务附注：公司债券基本情况"/>
          <w:tag w:val="_GBC_0705fcbbddbd4f8db75544d8a377ec1a"/>
          <w:id w:val="-13264279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亿元</w:t>
          </w:r>
        </w:sdtContent>
      </w:sdt>
      <w:r>
        <w:rPr>
          <w:rFonts w:hint="eastAsia"/>
        </w:rPr>
        <w:t xml:space="preserve">  币种</w:t>
      </w:r>
      <w:r>
        <w:t>：</w:t>
      </w:r>
      <w:sdt>
        <w:sdtPr>
          <w:alias w:val="币种：财务附注：公司债券基本情况"/>
          <w:tag w:val="_GBC_fc39aa16787a449b8974814c5b87f03a"/>
          <w:id w:val="-14295018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t>人民币</w:t>
          </w:r>
        </w:sdtContent>
      </w:sdt>
    </w:p>
    <w:tbl>
      <w:tblPr>
        <w:tblStyle w:val="affffffffffff7"/>
        <w:tblW w:w="54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743"/>
        <w:gridCol w:w="846"/>
        <w:gridCol w:w="1266"/>
        <w:gridCol w:w="1266"/>
        <w:gridCol w:w="1266"/>
        <w:gridCol w:w="1266"/>
        <w:gridCol w:w="658"/>
        <w:gridCol w:w="741"/>
        <w:gridCol w:w="1395"/>
        <w:gridCol w:w="567"/>
        <w:gridCol w:w="567"/>
        <w:gridCol w:w="567"/>
        <w:gridCol w:w="852"/>
        <w:gridCol w:w="849"/>
        <w:gridCol w:w="710"/>
      </w:tblGrid>
      <w:tr>
        <w:trPr>
          <w:tblHeader/>
          <w:jc w:val="center"/>
        </w:trPr>
        <w:sdt>
          <w:sdtPr>
            <w:tag w:val="_PLD_2bb2a7c7fde7497e901d1675e0b7ebf3"/>
            <w:id w:val="1972248323"/>
          </w:sdtPr>
          <w:sdtContent>
            <w:tc>
              <w:tcPr>
                <w:tcW w:w="529" w:type="pct"/>
                <w:vAlign w:val="center"/>
              </w:tcPr>
              <w:p>
                <w:pPr>
                  <w:jc w:val="center"/>
                  <w:rPr>
                    <w:rFonts w:cs="Times New Roman"/>
                    <w:b/>
                    <w:bCs/>
                  </w:rPr>
                </w:pPr>
                <w:r>
                  <w:rPr>
                    <w:rFonts w:hint="eastAsia"/>
                  </w:rPr>
                  <w:t>债券名称</w:t>
                </w:r>
              </w:p>
            </w:tc>
          </w:sdtContent>
        </w:sdt>
        <w:sdt>
          <w:sdtPr>
            <w:tag w:val="_PLD_88ea7b4ea04b49888d1c8a2a334506a8"/>
            <w:id w:val="-208185164"/>
          </w:sdtPr>
          <w:sdtContent>
            <w:tc>
              <w:tcPr>
                <w:tcW w:w="245" w:type="pct"/>
                <w:vAlign w:val="center"/>
              </w:tcPr>
              <w:p>
                <w:pPr>
                  <w:jc w:val="center"/>
                </w:pPr>
                <w:r>
                  <w:rPr>
                    <w:rFonts w:hint="eastAsia"/>
                  </w:rPr>
                  <w:t>简称</w:t>
                </w:r>
              </w:p>
            </w:tc>
          </w:sdtContent>
        </w:sdt>
        <w:sdt>
          <w:sdtPr>
            <w:tag w:val="_PLD_147c1f0d90bd45318751dd1a9ad27c4b"/>
            <w:id w:val="-625627040"/>
          </w:sdtPr>
          <w:sdtContent>
            <w:tc>
              <w:tcPr>
                <w:tcW w:w="279" w:type="pct"/>
                <w:vAlign w:val="center"/>
              </w:tcPr>
              <w:p>
                <w:pPr>
                  <w:jc w:val="center"/>
                </w:pPr>
                <w:r>
                  <w:rPr>
                    <w:rFonts w:hint="eastAsia"/>
                  </w:rPr>
                  <w:t>代码</w:t>
                </w:r>
              </w:p>
            </w:tc>
          </w:sdtContent>
        </w:sdt>
        <w:sdt>
          <w:sdtPr>
            <w:tag w:val="_PLD_ae8e42bef41041b7a07b2fa9a7f0d84e"/>
            <w:id w:val="-1314250941"/>
          </w:sdtPr>
          <w:sdtContent>
            <w:tc>
              <w:tcPr>
                <w:tcW w:w="417" w:type="pct"/>
                <w:vAlign w:val="center"/>
              </w:tcPr>
              <w:p>
                <w:pPr>
                  <w:jc w:val="center"/>
                </w:pPr>
                <w:r>
                  <w:rPr>
                    <w:rFonts w:hint="eastAsia"/>
                  </w:rPr>
                  <w:t>发行日</w:t>
                </w:r>
              </w:p>
            </w:tc>
          </w:sdtContent>
        </w:sdt>
        <w:tc>
          <w:tcPr>
            <w:tcW w:w="417" w:type="pct"/>
            <w:vAlign w:val="center"/>
          </w:tcPr>
          <w:sdt>
            <w:sdtPr>
              <w:tag w:val="_PLD_efc7b9b22cac4ac3b2ac85ef184fb542"/>
              <w:id w:val="-1632393944"/>
            </w:sdtPr>
            <w:sdtContent>
              <w:p>
                <w:pPr>
                  <w:jc w:val="center"/>
                </w:pPr>
                <w:r>
                  <w:rPr>
                    <w:rFonts w:hint="eastAsia"/>
                  </w:rPr>
                  <w:t>起息日</w:t>
                </w:r>
              </w:p>
            </w:sdtContent>
          </w:sdt>
        </w:tc>
        <w:sdt>
          <w:sdtPr>
            <w:tag w:val="_PLD_8a366da4ec3c4bc082f7d8e3bccd9bb8"/>
            <w:id w:val="1467775233"/>
          </w:sdtPr>
          <w:sdtContent>
            <w:tc>
              <w:tcPr>
                <w:tcW w:w="417" w:type="pct"/>
                <w:vAlign w:val="center"/>
              </w:tcPr>
              <w:p>
                <w:pPr>
                  <w:jc w:val="center"/>
                </w:pPr>
                <w:r>
                  <w:t>202</w:t>
                </w:r>
                <w:r>
                  <w:rPr>
                    <w:rFonts w:hint="eastAsia"/>
                  </w:rPr>
                  <w:t>5</w:t>
                </w:r>
                <w:r>
                  <w:t>年</w:t>
                </w:r>
                <w:r>
                  <w:rPr>
                    <w:rFonts w:hint="eastAsia"/>
                  </w:rPr>
                  <w:t>4</w:t>
                </w:r>
                <w:r>
                  <w:t>月3</w:t>
                </w:r>
                <w:r>
                  <w:rPr>
                    <w:rFonts w:hint="eastAsia"/>
                  </w:rPr>
                  <w:t>0</w:t>
                </w:r>
                <w:r>
                  <w:t>日后的最近回售日</w:t>
                </w:r>
              </w:p>
            </w:tc>
          </w:sdtContent>
        </w:sdt>
        <w:sdt>
          <w:sdtPr>
            <w:tag w:val="_PLD_102213ff267444d3acc7b4a75b09ebdc"/>
            <w:id w:val="-2139790266"/>
          </w:sdtPr>
          <w:sdtContent>
            <w:tc>
              <w:tcPr>
                <w:tcW w:w="417" w:type="pct"/>
                <w:vAlign w:val="center"/>
              </w:tcPr>
              <w:p>
                <w:pPr>
                  <w:jc w:val="center"/>
                </w:pPr>
                <w:r>
                  <w:rPr>
                    <w:rFonts w:hint="eastAsia"/>
                  </w:rPr>
                  <w:t>到期日</w:t>
                </w:r>
              </w:p>
            </w:tc>
          </w:sdtContent>
        </w:sdt>
        <w:sdt>
          <w:sdtPr>
            <w:tag w:val="_PLD_3e49225515194c07af60bddf7b49ad39"/>
            <w:id w:val="967703620"/>
          </w:sdtPr>
          <w:sdtContent>
            <w:tc>
              <w:tcPr>
                <w:tcW w:w="217" w:type="pct"/>
                <w:vAlign w:val="center"/>
              </w:tcPr>
              <w:p>
                <w:pPr>
                  <w:jc w:val="center"/>
                </w:pPr>
                <w:r>
                  <w:rPr>
                    <w:rFonts w:hint="eastAsia"/>
                  </w:rPr>
                  <w:t>债券余额</w:t>
                </w:r>
              </w:p>
            </w:tc>
          </w:sdtContent>
        </w:sdt>
        <w:sdt>
          <w:sdtPr>
            <w:tag w:val="_PLD_e695e46581fe4bbf8a73e381c1e157f5"/>
            <w:id w:val="415745955"/>
          </w:sdtPr>
          <w:sdtContent>
            <w:tc>
              <w:tcPr>
                <w:tcW w:w="244" w:type="pct"/>
                <w:vAlign w:val="center"/>
              </w:tcPr>
              <w:p>
                <w:pPr>
                  <w:jc w:val="center"/>
                </w:pPr>
                <w:r>
                  <w:rPr>
                    <w:rFonts w:hint="eastAsia"/>
                  </w:rPr>
                  <w:t>利率（%）</w:t>
                </w:r>
              </w:p>
            </w:tc>
          </w:sdtContent>
        </w:sdt>
        <w:sdt>
          <w:sdtPr>
            <w:tag w:val="_PLD_15521bf87f904efa857868dd98334ae5"/>
            <w:id w:val="346842912"/>
          </w:sdtPr>
          <w:sdtContent>
            <w:tc>
              <w:tcPr>
                <w:tcW w:w="460" w:type="pct"/>
                <w:vAlign w:val="center"/>
              </w:tcPr>
              <w:p>
                <w:pPr>
                  <w:jc w:val="center"/>
                </w:pPr>
                <w:r>
                  <w:rPr>
                    <w:rFonts w:hint="eastAsia"/>
                  </w:rPr>
                  <w:t>还本付息方式</w:t>
                </w:r>
              </w:p>
            </w:tc>
          </w:sdtContent>
        </w:sdt>
        <w:sdt>
          <w:sdtPr>
            <w:tag w:val="_PLD_bac985b38c7c43a5b1993c1782713d2a"/>
            <w:id w:val="-2024384394"/>
          </w:sdtPr>
          <w:sdtContent>
            <w:tc>
              <w:tcPr>
                <w:tcW w:w="187" w:type="pct"/>
                <w:vAlign w:val="center"/>
              </w:tcPr>
              <w:p>
                <w:pPr>
                  <w:jc w:val="center"/>
                </w:pPr>
                <w:r>
                  <w:rPr>
                    <w:rFonts w:hint="eastAsia"/>
                  </w:rPr>
                  <w:t>交易场所</w:t>
                </w:r>
              </w:p>
            </w:tc>
          </w:sdtContent>
        </w:sdt>
        <w:sdt>
          <w:sdtPr>
            <w:tag w:val="_PLD_f19cba53052c4995b7adeb314e684929"/>
            <w:id w:val="-168946116"/>
          </w:sdtPr>
          <w:sdtContent>
            <w:tc>
              <w:tcPr>
                <w:tcW w:w="187" w:type="pct"/>
                <w:vAlign w:val="center"/>
              </w:tcPr>
              <w:p>
                <w:pPr>
                  <w:jc w:val="center"/>
                </w:pPr>
                <w:r>
                  <w:t>主承销商</w:t>
                </w:r>
              </w:p>
            </w:tc>
          </w:sdtContent>
        </w:sdt>
        <w:sdt>
          <w:sdtPr>
            <w:tag w:val="_PLD_7aa17ef02e974579858bbb75e3c95b40"/>
            <w:id w:val="1156270525"/>
          </w:sdtPr>
          <w:sdtContent>
            <w:tc>
              <w:tcPr>
                <w:tcW w:w="187" w:type="pct"/>
                <w:vAlign w:val="center"/>
              </w:tcPr>
              <w:p>
                <w:pPr>
                  <w:jc w:val="center"/>
                </w:pPr>
                <w:r>
                  <w:t>受托管理人</w:t>
                </w:r>
              </w:p>
            </w:tc>
          </w:sdtContent>
        </w:sdt>
        <w:sdt>
          <w:sdtPr>
            <w:tag w:val="_PLD_bf9a1a2f3bd64e1aad9b74c77f14d7ab"/>
            <w:id w:val="580268070"/>
          </w:sdtPr>
          <w:sdtContent>
            <w:tc>
              <w:tcPr>
                <w:tcW w:w="281" w:type="pct"/>
                <w:vAlign w:val="center"/>
              </w:tcPr>
              <w:p>
                <w:pPr>
                  <w:jc w:val="center"/>
                </w:pPr>
                <w:r>
                  <w:rPr>
                    <w:rFonts w:hint="eastAsia"/>
                  </w:rPr>
                  <w:t>投资者适当性安排（如有）</w:t>
                </w:r>
              </w:p>
            </w:tc>
          </w:sdtContent>
        </w:sdt>
        <w:tc>
          <w:tcPr>
            <w:tcW w:w="280" w:type="pct"/>
            <w:vAlign w:val="center"/>
          </w:tcPr>
          <w:sdt>
            <w:sdtPr>
              <w:tag w:val="_PLD_e5de1dbf0ca2457f9c02c2cdcb2b2438"/>
              <w:id w:val="1960756053"/>
            </w:sdtPr>
            <w:sdtContent>
              <w:p>
                <w:pPr>
                  <w:jc w:val="center"/>
                </w:pPr>
                <w:r>
                  <w:rPr>
                    <w:rFonts w:hint="eastAsia"/>
                  </w:rPr>
                  <w:t>交易</w:t>
                </w:r>
              </w:p>
              <w:p>
                <w:pPr>
                  <w:jc w:val="center"/>
                </w:pPr>
                <w:r>
                  <w:rPr>
                    <w:rFonts w:hint="eastAsia"/>
                  </w:rPr>
                  <w:t>机制</w:t>
                </w:r>
              </w:p>
            </w:sdtContent>
          </w:sdt>
        </w:tc>
        <w:sdt>
          <w:sdtPr>
            <w:tag w:val="_PLD_07d4e2f4b50d4570a6aca91e45b13e42"/>
            <w:id w:val="-230236319"/>
          </w:sdtPr>
          <w:sdtContent>
            <w:tc>
              <w:tcPr>
                <w:tcW w:w="234" w:type="pct"/>
              </w:tcPr>
              <w:p>
                <w:pPr>
                  <w:jc w:val="center"/>
                </w:pPr>
                <w:r>
                  <w:rPr>
                    <w:rFonts w:hint="eastAsia"/>
                  </w:rPr>
                  <w:t>是否存在终止上市交易的风险</w:t>
                </w:r>
              </w:p>
            </w:tc>
          </w:sdtContent>
        </w:sdt>
      </w:tr>
      <w:tr>
        <w:trPr>
          <w:jc w:val="center"/>
        </w:trPr>
        <w:tc>
          <w:tcPr>
            <w:tcW w:w="529" w:type="pct"/>
            <w:vAlign w:val="center"/>
          </w:tcPr>
          <w:p>
            <w:pPr>
              <w:jc w:val="center"/>
              <w:rPr>
                <w:rFonts w:cs="Times New Roman"/>
                <w:bCs/>
              </w:rPr>
            </w:pPr>
            <w:r>
              <w:t>2020年公司债券（第一期）</w:t>
            </w:r>
            <w:r>
              <w:rPr>
                <w:rFonts w:hint="eastAsia"/>
              </w:rPr>
              <w:t>（品种三）</w:t>
            </w:r>
          </w:p>
        </w:tc>
        <w:tc>
          <w:tcPr>
            <w:tcW w:w="245" w:type="pct"/>
            <w:vAlign w:val="center"/>
          </w:tcPr>
          <w:p>
            <w:pPr>
              <w:jc w:val="center"/>
              <w:rPr>
                <w:rFonts w:cs="Times New Roman"/>
                <w:bCs/>
              </w:rPr>
            </w:pPr>
            <w:r>
              <w:t>20兖煤03</w:t>
            </w:r>
          </w:p>
        </w:tc>
        <w:tc>
          <w:tcPr>
            <w:tcW w:w="279" w:type="pct"/>
            <w:vAlign w:val="center"/>
          </w:tcPr>
          <w:p>
            <w:pPr>
              <w:jc w:val="center"/>
              <w:rPr>
                <w:rFonts w:cs="Times New Roman"/>
                <w:bCs/>
              </w:rPr>
            </w:pPr>
            <w:r>
              <w:t>163236</w:t>
            </w:r>
          </w:p>
        </w:tc>
        <w:tc>
          <w:tcPr>
            <w:tcW w:w="417" w:type="pct"/>
            <w:vAlign w:val="center"/>
          </w:tcPr>
          <w:p>
            <w:pPr>
              <w:jc w:val="center"/>
              <w:rPr>
                <w:rFonts w:cs="Times New Roman"/>
                <w:bCs/>
              </w:rPr>
            </w:pPr>
            <w:r>
              <w:t>2020/3/10</w:t>
            </w:r>
          </w:p>
        </w:tc>
        <w:tc>
          <w:tcPr>
            <w:tcW w:w="417" w:type="pct"/>
            <w:vAlign w:val="center"/>
          </w:tcPr>
          <w:p>
            <w:pPr>
              <w:jc w:val="center"/>
            </w:pPr>
            <w:r>
              <w:t>2020/3/12</w:t>
            </w:r>
          </w:p>
        </w:tc>
        <w:tc>
          <w:tcPr>
            <w:tcW w:w="417" w:type="pct"/>
            <w:vAlign w:val="center"/>
          </w:tcPr>
          <w:p>
            <w:pPr>
              <w:jc w:val="center"/>
            </w:pPr>
            <w:r>
              <w:rPr>
                <w:rFonts w:hint="eastAsia"/>
              </w:rPr>
              <w:t>/</w:t>
            </w:r>
          </w:p>
        </w:tc>
        <w:tc>
          <w:tcPr>
            <w:tcW w:w="417" w:type="pct"/>
            <w:vAlign w:val="center"/>
          </w:tcPr>
          <w:p>
            <w:pPr>
              <w:jc w:val="center"/>
              <w:rPr>
                <w:rFonts w:cs="Times New Roman"/>
                <w:bCs/>
              </w:rPr>
            </w:pPr>
            <w:r>
              <w:t>2030/3/12</w:t>
            </w:r>
          </w:p>
        </w:tc>
        <w:tc>
          <w:tcPr>
            <w:tcW w:w="217" w:type="pct"/>
            <w:vAlign w:val="center"/>
          </w:tcPr>
          <w:p>
            <w:pPr>
              <w:jc w:val="center"/>
            </w:pPr>
            <w:r>
              <w:rPr>
                <w:rFonts w:hint="eastAsia"/>
                <w:color w:val="000000"/>
              </w:rPr>
              <w:t>20</w:t>
            </w:r>
          </w:p>
        </w:tc>
        <w:tc>
          <w:tcPr>
            <w:tcW w:w="244" w:type="pct"/>
            <w:vAlign w:val="center"/>
          </w:tcPr>
          <w:p>
            <w:pPr>
              <w:jc w:val="center"/>
            </w:pPr>
            <w:r>
              <w:t>4.29</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t>上交所</w:t>
            </w:r>
          </w:p>
        </w:tc>
        <w:tc>
          <w:tcPr>
            <w:tcW w:w="187" w:type="pct"/>
            <w:vAlign w:val="center"/>
          </w:tcPr>
          <w:p>
            <w:pPr>
              <w:jc w:val="both"/>
            </w:pPr>
            <w:r>
              <w:rPr>
                <w:rFonts w:hint="eastAsia"/>
              </w:rPr>
              <w:t>海通证券</w:t>
            </w:r>
          </w:p>
        </w:tc>
        <w:tc>
          <w:tcPr>
            <w:tcW w:w="187" w:type="pct"/>
            <w:vAlign w:val="center"/>
          </w:tcPr>
          <w:p>
            <w:pPr>
              <w:jc w:val="both"/>
            </w:pPr>
            <w:r>
              <w:rPr>
                <w:rFonts w:hint="eastAsia"/>
              </w:rPr>
              <w:t>海通证券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color w:val="000000" w:themeColor="text1"/>
              </w:rPr>
              <w:t>否</w:t>
            </w:r>
          </w:p>
        </w:tc>
      </w:tr>
      <w:tr>
        <w:trPr>
          <w:jc w:val="center"/>
        </w:trPr>
        <w:tc>
          <w:tcPr>
            <w:tcW w:w="529" w:type="pct"/>
            <w:vAlign w:val="center"/>
          </w:tcPr>
          <w:p>
            <w:pPr>
              <w:jc w:val="center"/>
              <w:rPr>
                <w:rFonts w:cs="Times New Roman"/>
                <w:bCs/>
              </w:rPr>
            </w:pPr>
            <w:r>
              <w:t>2020年公司债券（第二期）</w:t>
            </w:r>
            <w:r>
              <w:rPr>
                <w:rFonts w:hint="eastAsia"/>
              </w:rPr>
              <w:t>（品种二）</w:t>
            </w:r>
            <w:r>
              <w:rPr>
                <w:rFonts w:hint="eastAsia"/>
                <w:vertAlign w:val="superscript"/>
              </w:rPr>
              <w:t>①</w:t>
            </w:r>
          </w:p>
        </w:tc>
        <w:tc>
          <w:tcPr>
            <w:tcW w:w="245" w:type="pct"/>
            <w:vAlign w:val="center"/>
          </w:tcPr>
          <w:p>
            <w:pPr>
              <w:jc w:val="center"/>
              <w:rPr>
                <w:rFonts w:cs="Times New Roman"/>
                <w:bCs/>
              </w:rPr>
            </w:pPr>
            <w:r>
              <w:t>20兖煤05</w:t>
            </w:r>
          </w:p>
        </w:tc>
        <w:tc>
          <w:tcPr>
            <w:tcW w:w="279" w:type="pct"/>
            <w:vAlign w:val="center"/>
          </w:tcPr>
          <w:p>
            <w:pPr>
              <w:jc w:val="center"/>
              <w:rPr>
                <w:rFonts w:cs="Times New Roman"/>
                <w:bCs/>
              </w:rPr>
            </w:pPr>
            <w:r>
              <w:t>175275</w:t>
            </w:r>
          </w:p>
        </w:tc>
        <w:tc>
          <w:tcPr>
            <w:tcW w:w="417" w:type="pct"/>
            <w:vAlign w:val="center"/>
          </w:tcPr>
          <w:p>
            <w:pPr>
              <w:jc w:val="center"/>
              <w:rPr>
                <w:rFonts w:cs="Times New Roman"/>
                <w:bCs/>
              </w:rPr>
            </w:pPr>
            <w:r>
              <w:rPr>
                <w:rFonts w:hint="eastAsia"/>
              </w:rPr>
              <w:t>2020/10/</w:t>
            </w:r>
            <w:r>
              <w:t>21</w:t>
            </w:r>
          </w:p>
        </w:tc>
        <w:tc>
          <w:tcPr>
            <w:tcW w:w="417" w:type="pct"/>
            <w:vAlign w:val="center"/>
          </w:tcPr>
          <w:p>
            <w:pPr>
              <w:jc w:val="center"/>
            </w:pPr>
            <w:r>
              <w:rPr>
                <w:rFonts w:hint="eastAsia"/>
              </w:rPr>
              <w:t>2</w:t>
            </w:r>
            <w:r>
              <w:t>020/10/23</w:t>
            </w:r>
          </w:p>
        </w:tc>
        <w:tc>
          <w:tcPr>
            <w:tcW w:w="417" w:type="pct"/>
            <w:vAlign w:val="center"/>
          </w:tcPr>
          <w:p>
            <w:pPr>
              <w:jc w:val="center"/>
            </w:pPr>
            <w:r>
              <w:rPr>
                <w:rFonts w:hint="eastAsia"/>
              </w:rPr>
              <w:t>2025/10/23</w:t>
            </w:r>
          </w:p>
        </w:tc>
        <w:tc>
          <w:tcPr>
            <w:tcW w:w="417" w:type="pct"/>
            <w:vAlign w:val="center"/>
          </w:tcPr>
          <w:p>
            <w:pPr>
              <w:jc w:val="center"/>
              <w:rPr>
                <w:rFonts w:cs="Times New Roman"/>
                <w:bCs/>
              </w:rPr>
            </w:pPr>
            <w:r>
              <w:rPr>
                <w:rFonts w:hint="eastAsia"/>
              </w:rPr>
              <w:t>2030/10/23</w:t>
            </w:r>
          </w:p>
        </w:tc>
        <w:tc>
          <w:tcPr>
            <w:tcW w:w="217" w:type="pct"/>
            <w:vAlign w:val="center"/>
          </w:tcPr>
          <w:p>
            <w:pPr>
              <w:jc w:val="center"/>
            </w:pPr>
            <w:r>
              <w:rPr>
                <w:rFonts w:hint="eastAsia"/>
                <w:color w:val="000000"/>
              </w:rPr>
              <w:t>15</w:t>
            </w:r>
          </w:p>
        </w:tc>
        <w:tc>
          <w:tcPr>
            <w:tcW w:w="244" w:type="pct"/>
            <w:vAlign w:val="center"/>
          </w:tcPr>
          <w:p>
            <w:pPr>
              <w:jc w:val="center"/>
            </w:pPr>
            <w:r>
              <w:rPr>
                <w:rFonts w:hint="eastAsia"/>
              </w:rPr>
              <w:t>4.27</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t>上交所</w:t>
            </w:r>
          </w:p>
        </w:tc>
        <w:tc>
          <w:tcPr>
            <w:tcW w:w="187" w:type="pct"/>
            <w:vAlign w:val="center"/>
          </w:tcPr>
          <w:p>
            <w:pPr>
              <w:jc w:val="both"/>
            </w:pPr>
            <w:r>
              <w:rPr>
                <w:rFonts w:hint="eastAsia"/>
              </w:rPr>
              <w:t>海通证券</w:t>
            </w:r>
          </w:p>
        </w:tc>
        <w:tc>
          <w:tcPr>
            <w:tcW w:w="187" w:type="pct"/>
            <w:vAlign w:val="center"/>
          </w:tcPr>
          <w:p>
            <w:pPr>
              <w:jc w:val="both"/>
            </w:pPr>
            <w:r>
              <w:rPr>
                <w:rFonts w:hint="eastAsia"/>
              </w:rPr>
              <w:t>海通证券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lastRenderedPageBreak/>
              <w:t>2021年公司债券（第一期）</w:t>
            </w:r>
            <w:r>
              <w:rPr>
                <w:rFonts w:hint="eastAsia"/>
              </w:rPr>
              <w:t>（品种二）</w:t>
            </w:r>
          </w:p>
        </w:tc>
        <w:tc>
          <w:tcPr>
            <w:tcW w:w="245" w:type="pct"/>
            <w:vAlign w:val="center"/>
          </w:tcPr>
          <w:p>
            <w:pPr>
              <w:jc w:val="center"/>
              <w:rPr>
                <w:rFonts w:cs="Times New Roman"/>
                <w:bCs/>
              </w:rPr>
            </w:pPr>
            <w:r>
              <w:t>21兖煤02</w:t>
            </w:r>
          </w:p>
        </w:tc>
        <w:tc>
          <w:tcPr>
            <w:tcW w:w="279" w:type="pct"/>
            <w:vAlign w:val="center"/>
          </w:tcPr>
          <w:p>
            <w:pPr>
              <w:jc w:val="center"/>
              <w:rPr>
                <w:rFonts w:cs="Times New Roman"/>
                <w:bCs/>
              </w:rPr>
            </w:pPr>
            <w:r>
              <w:rPr>
                <w:rFonts w:hint="eastAsia"/>
              </w:rPr>
              <w:t>1</w:t>
            </w:r>
            <w:r>
              <w:t>88164</w:t>
            </w:r>
          </w:p>
        </w:tc>
        <w:tc>
          <w:tcPr>
            <w:tcW w:w="417" w:type="pct"/>
            <w:vAlign w:val="center"/>
          </w:tcPr>
          <w:p>
            <w:pPr>
              <w:jc w:val="center"/>
              <w:rPr>
                <w:rFonts w:cs="Times New Roman"/>
                <w:bCs/>
              </w:rPr>
            </w:pPr>
            <w:r>
              <w:rPr>
                <w:rFonts w:hint="eastAsia"/>
              </w:rPr>
              <w:t>2</w:t>
            </w:r>
            <w:r>
              <w:t>021/5/28</w:t>
            </w:r>
          </w:p>
        </w:tc>
        <w:tc>
          <w:tcPr>
            <w:tcW w:w="417" w:type="pct"/>
            <w:vAlign w:val="center"/>
          </w:tcPr>
          <w:p>
            <w:pPr>
              <w:jc w:val="center"/>
            </w:pPr>
            <w:r>
              <w:rPr>
                <w:rFonts w:hint="eastAsia"/>
              </w:rPr>
              <w:t>2</w:t>
            </w:r>
            <w:r>
              <w:t>021/5/31</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hint="eastAsia"/>
              </w:rPr>
              <w:t>2</w:t>
            </w:r>
            <w:r>
              <w:t>026/5/31</w:t>
            </w:r>
          </w:p>
        </w:tc>
        <w:tc>
          <w:tcPr>
            <w:tcW w:w="217" w:type="pct"/>
            <w:vAlign w:val="center"/>
          </w:tcPr>
          <w:p>
            <w:pPr>
              <w:jc w:val="center"/>
            </w:pPr>
            <w:r>
              <w:rPr>
                <w:rFonts w:hint="eastAsia"/>
                <w:color w:val="000000"/>
              </w:rPr>
              <w:t>1</w:t>
            </w:r>
            <w:r>
              <w:rPr>
                <w:color w:val="000000"/>
              </w:rPr>
              <w:t>0</w:t>
            </w:r>
          </w:p>
        </w:tc>
        <w:tc>
          <w:tcPr>
            <w:tcW w:w="244" w:type="pct"/>
            <w:vAlign w:val="center"/>
          </w:tcPr>
          <w:p>
            <w:pPr>
              <w:jc w:val="center"/>
            </w:pPr>
            <w:r>
              <w:rPr>
                <w:rFonts w:hint="eastAsia"/>
              </w:rPr>
              <w:t>4</w:t>
            </w:r>
            <w:r>
              <w:t>.13</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t>上交所</w:t>
            </w:r>
          </w:p>
        </w:tc>
        <w:tc>
          <w:tcPr>
            <w:tcW w:w="187" w:type="pct"/>
            <w:vAlign w:val="center"/>
          </w:tcPr>
          <w:p>
            <w:pPr>
              <w:jc w:val="both"/>
            </w:pPr>
            <w:r>
              <w:rPr>
                <w:rFonts w:hint="eastAsia"/>
              </w:rPr>
              <w:t>海通证券</w:t>
            </w:r>
          </w:p>
        </w:tc>
        <w:tc>
          <w:tcPr>
            <w:tcW w:w="187" w:type="pct"/>
            <w:vAlign w:val="center"/>
          </w:tcPr>
          <w:p>
            <w:pPr>
              <w:jc w:val="both"/>
            </w:pPr>
            <w:r>
              <w:rPr>
                <w:rFonts w:hint="eastAsia"/>
              </w:rPr>
              <w:t>海通证券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rPr>
                <w:rFonts w:hint="eastAsia"/>
              </w:rPr>
              <w:t>2023年</w:t>
            </w:r>
            <w:r>
              <w:t>公司债券（第一期）</w:t>
            </w:r>
            <w:r>
              <w:rPr>
                <w:rFonts w:hint="eastAsia"/>
              </w:rPr>
              <w:t>（品种一）</w:t>
            </w:r>
          </w:p>
        </w:tc>
        <w:tc>
          <w:tcPr>
            <w:tcW w:w="245" w:type="pct"/>
            <w:vAlign w:val="center"/>
          </w:tcPr>
          <w:p>
            <w:pPr>
              <w:jc w:val="center"/>
              <w:rPr>
                <w:rFonts w:cs="Times New Roman"/>
                <w:bCs/>
              </w:rPr>
            </w:pPr>
            <w:r>
              <w:rPr>
                <w:rFonts w:hint="eastAsia"/>
              </w:rPr>
              <w:t>23兖矿01</w:t>
            </w:r>
          </w:p>
        </w:tc>
        <w:tc>
          <w:tcPr>
            <w:tcW w:w="279" w:type="pct"/>
            <w:vAlign w:val="center"/>
          </w:tcPr>
          <w:p>
            <w:pPr>
              <w:jc w:val="center"/>
              <w:rPr>
                <w:rFonts w:cs="Times New Roman"/>
                <w:bCs/>
              </w:rPr>
            </w:pPr>
            <w:r>
              <w:rPr>
                <w:rFonts w:hint="eastAsia"/>
              </w:rPr>
              <w:t>115406</w:t>
            </w:r>
          </w:p>
        </w:tc>
        <w:tc>
          <w:tcPr>
            <w:tcW w:w="417" w:type="pct"/>
            <w:vAlign w:val="center"/>
          </w:tcPr>
          <w:p>
            <w:pPr>
              <w:jc w:val="center"/>
              <w:rPr>
                <w:rFonts w:cs="Times New Roman"/>
                <w:bCs/>
              </w:rPr>
            </w:pPr>
            <w:r>
              <w:rPr>
                <w:rFonts w:hint="eastAsia"/>
              </w:rPr>
              <w:t>2023/5/2</w:t>
            </w:r>
            <w:r>
              <w:t>5</w:t>
            </w:r>
          </w:p>
        </w:tc>
        <w:tc>
          <w:tcPr>
            <w:tcW w:w="417" w:type="pct"/>
            <w:vAlign w:val="center"/>
          </w:tcPr>
          <w:p>
            <w:pPr>
              <w:jc w:val="center"/>
            </w:pPr>
            <w:r>
              <w:rPr>
                <w:rFonts w:hint="eastAsia"/>
              </w:rPr>
              <w:t>2023/5/26</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hint="eastAsia"/>
              </w:rPr>
              <w:t>2028/5/26</w:t>
            </w:r>
          </w:p>
        </w:tc>
        <w:tc>
          <w:tcPr>
            <w:tcW w:w="217" w:type="pct"/>
            <w:vAlign w:val="center"/>
          </w:tcPr>
          <w:p>
            <w:pPr>
              <w:jc w:val="center"/>
            </w:pPr>
            <w:r>
              <w:t>10</w:t>
            </w:r>
          </w:p>
        </w:tc>
        <w:tc>
          <w:tcPr>
            <w:tcW w:w="244" w:type="pct"/>
            <w:vAlign w:val="center"/>
          </w:tcPr>
          <w:p>
            <w:pPr>
              <w:jc w:val="center"/>
            </w:pPr>
            <w:r>
              <w:rPr>
                <w:rFonts w:hint="eastAsia"/>
              </w:rPr>
              <w:t>3.34</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中金公司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rPr>
                <w:rFonts w:hint="eastAsia"/>
              </w:rPr>
              <w:t>2023年</w:t>
            </w:r>
            <w:r>
              <w:t>公司债券（第一期）</w:t>
            </w:r>
            <w:r>
              <w:rPr>
                <w:rFonts w:hint="eastAsia"/>
              </w:rPr>
              <w:t>（品种二）</w:t>
            </w:r>
          </w:p>
        </w:tc>
        <w:tc>
          <w:tcPr>
            <w:tcW w:w="245" w:type="pct"/>
            <w:vAlign w:val="center"/>
          </w:tcPr>
          <w:p>
            <w:pPr>
              <w:jc w:val="center"/>
              <w:rPr>
                <w:rFonts w:cs="Times New Roman"/>
                <w:bCs/>
              </w:rPr>
            </w:pPr>
            <w:r>
              <w:rPr>
                <w:rFonts w:hint="eastAsia"/>
              </w:rPr>
              <w:t>23兖矿02</w:t>
            </w:r>
          </w:p>
        </w:tc>
        <w:tc>
          <w:tcPr>
            <w:tcW w:w="279" w:type="pct"/>
            <w:vAlign w:val="center"/>
          </w:tcPr>
          <w:p>
            <w:pPr>
              <w:jc w:val="center"/>
              <w:rPr>
                <w:rFonts w:cs="Times New Roman"/>
                <w:bCs/>
              </w:rPr>
            </w:pPr>
            <w:r>
              <w:rPr>
                <w:rFonts w:hint="eastAsia"/>
              </w:rPr>
              <w:t>115407</w:t>
            </w:r>
          </w:p>
        </w:tc>
        <w:tc>
          <w:tcPr>
            <w:tcW w:w="417" w:type="pct"/>
            <w:vAlign w:val="center"/>
          </w:tcPr>
          <w:p>
            <w:pPr>
              <w:jc w:val="center"/>
              <w:rPr>
                <w:rFonts w:cs="Times New Roman"/>
                <w:bCs/>
              </w:rPr>
            </w:pPr>
            <w:r>
              <w:rPr>
                <w:rFonts w:hint="eastAsia"/>
              </w:rPr>
              <w:t>2023/5/2</w:t>
            </w:r>
            <w:r>
              <w:t>5</w:t>
            </w:r>
          </w:p>
        </w:tc>
        <w:tc>
          <w:tcPr>
            <w:tcW w:w="417" w:type="pct"/>
            <w:vAlign w:val="center"/>
          </w:tcPr>
          <w:p>
            <w:pPr>
              <w:jc w:val="center"/>
            </w:pPr>
            <w:r>
              <w:rPr>
                <w:rFonts w:hint="eastAsia"/>
              </w:rPr>
              <w:t>2023/5/26</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hint="eastAsia"/>
              </w:rPr>
              <w:t>2033/5/26</w:t>
            </w:r>
          </w:p>
        </w:tc>
        <w:tc>
          <w:tcPr>
            <w:tcW w:w="217" w:type="pct"/>
            <w:vAlign w:val="center"/>
          </w:tcPr>
          <w:p>
            <w:pPr>
              <w:jc w:val="center"/>
            </w:pPr>
            <w:r>
              <w:t>20</w:t>
            </w:r>
          </w:p>
        </w:tc>
        <w:tc>
          <w:tcPr>
            <w:tcW w:w="244" w:type="pct"/>
            <w:vAlign w:val="center"/>
          </w:tcPr>
          <w:p>
            <w:pPr>
              <w:jc w:val="center"/>
            </w:pPr>
            <w:r>
              <w:rPr>
                <w:rFonts w:hint="eastAsia"/>
              </w:rPr>
              <w:t>3.80</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中金公司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rPr>
                <w:rFonts w:hint="eastAsia"/>
              </w:rPr>
              <w:t>2023年</w:t>
            </w:r>
            <w:r>
              <w:t>公司债券（第</w:t>
            </w:r>
            <w:r>
              <w:rPr>
                <w:rFonts w:hint="eastAsia"/>
              </w:rPr>
              <w:t>二</w:t>
            </w:r>
            <w:r>
              <w:t>期）</w:t>
            </w:r>
            <w:r>
              <w:rPr>
                <w:rFonts w:hint="eastAsia"/>
              </w:rPr>
              <w:t>（品种二）</w:t>
            </w:r>
          </w:p>
        </w:tc>
        <w:tc>
          <w:tcPr>
            <w:tcW w:w="245" w:type="pct"/>
            <w:vAlign w:val="center"/>
          </w:tcPr>
          <w:p>
            <w:pPr>
              <w:jc w:val="center"/>
              <w:rPr>
                <w:rFonts w:cs="Times New Roman"/>
                <w:bCs/>
              </w:rPr>
            </w:pPr>
            <w:r>
              <w:rPr>
                <w:rFonts w:hint="eastAsia"/>
              </w:rPr>
              <w:t>23兖矿04</w:t>
            </w:r>
          </w:p>
        </w:tc>
        <w:tc>
          <w:tcPr>
            <w:tcW w:w="279" w:type="pct"/>
            <w:vAlign w:val="center"/>
          </w:tcPr>
          <w:p>
            <w:pPr>
              <w:jc w:val="center"/>
              <w:rPr>
                <w:rFonts w:cs="Times New Roman"/>
                <w:bCs/>
              </w:rPr>
            </w:pPr>
            <w:r>
              <w:rPr>
                <w:rFonts w:hint="eastAsia"/>
              </w:rPr>
              <w:t>115544</w:t>
            </w:r>
          </w:p>
        </w:tc>
        <w:tc>
          <w:tcPr>
            <w:tcW w:w="417" w:type="pct"/>
            <w:vAlign w:val="center"/>
          </w:tcPr>
          <w:p>
            <w:pPr>
              <w:jc w:val="center"/>
              <w:rPr>
                <w:rFonts w:cs="Times New Roman"/>
                <w:bCs/>
              </w:rPr>
            </w:pPr>
            <w:r>
              <w:rPr>
                <w:rFonts w:hint="eastAsia"/>
              </w:rPr>
              <w:t>2023/6/</w:t>
            </w:r>
            <w:r>
              <w:t>15</w:t>
            </w:r>
          </w:p>
        </w:tc>
        <w:tc>
          <w:tcPr>
            <w:tcW w:w="417" w:type="pct"/>
            <w:vAlign w:val="center"/>
          </w:tcPr>
          <w:p>
            <w:pPr>
              <w:jc w:val="center"/>
            </w:pPr>
            <w:r>
              <w:rPr>
                <w:rFonts w:hint="eastAsia"/>
              </w:rPr>
              <w:t>2023/6/16</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hint="eastAsia"/>
              </w:rPr>
              <w:t>2033/6/16</w:t>
            </w:r>
          </w:p>
        </w:tc>
        <w:tc>
          <w:tcPr>
            <w:tcW w:w="217" w:type="pct"/>
            <w:vAlign w:val="center"/>
          </w:tcPr>
          <w:p>
            <w:pPr>
              <w:jc w:val="center"/>
            </w:pPr>
            <w:r>
              <w:t>20</w:t>
            </w:r>
          </w:p>
        </w:tc>
        <w:tc>
          <w:tcPr>
            <w:tcW w:w="244" w:type="pct"/>
            <w:vAlign w:val="center"/>
          </w:tcPr>
          <w:p>
            <w:pPr>
              <w:jc w:val="center"/>
            </w:pPr>
            <w:r>
              <w:rPr>
                <w:rFonts w:hint="eastAsia"/>
              </w:rPr>
              <w:t>3.75</w:t>
            </w:r>
          </w:p>
        </w:tc>
        <w:tc>
          <w:tcPr>
            <w:tcW w:w="460" w:type="pct"/>
            <w:vAlign w:val="center"/>
          </w:tcPr>
          <w:p>
            <w:pPr>
              <w:jc w:val="both"/>
              <w:rPr>
                <w:rFonts w:cs="Times New Roman"/>
                <w:bCs/>
              </w:rPr>
            </w:pPr>
            <w: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中金公司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t>2024</w:t>
            </w:r>
            <w:r>
              <w:rPr>
                <w:rFonts w:hint="eastAsia"/>
              </w:rPr>
              <w:t>年科技创新公司债券（第一期）</w:t>
            </w:r>
          </w:p>
        </w:tc>
        <w:tc>
          <w:tcPr>
            <w:tcW w:w="245" w:type="pct"/>
            <w:vAlign w:val="center"/>
          </w:tcPr>
          <w:p>
            <w:pPr>
              <w:jc w:val="center"/>
              <w:rPr>
                <w:rFonts w:cs="Times New Roman"/>
                <w:bCs/>
              </w:rPr>
            </w:pPr>
            <w:r>
              <w:t>24</w:t>
            </w:r>
            <w:r>
              <w:rPr>
                <w:rFonts w:hint="eastAsia"/>
              </w:rPr>
              <w:t>兖矿</w:t>
            </w:r>
            <w:r>
              <w:t>K1</w:t>
            </w:r>
          </w:p>
        </w:tc>
        <w:tc>
          <w:tcPr>
            <w:tcW w:w="279" w:type="pct"/>
            <w:vAlign w:val="center"/>
          </w:tcPr>
          <w:p>
            <w:pPr>
              <w:jc w:val="center"/>
              <w:rPr>
                <w:rFonts w:cs="Times New Roman"/>
                <w:bCs/>
              </w:rPr>
            </w:pPr>
            <w:r>
              <w:t>240582</w:t>
            </w:r>
          </w:p>
        </w:tc>
        <w:tc>
          <w:tcPr>
            <w:tcW w:w="417" w:type="pct"/>
            <w:vAlign w:val="center"/>
          </w:tcPr>
          <w:p>
            <w:pPr>
              <w:jc w:val="center"/>
              <w:rPr>
                <w:rFonts w:cs="Times New Roman"/>
                <w:bCs/>
              </w:rPr>
            </w:pPr>
            <w:r>
              <w:t>2024/3/13</w:t>
            </w:r>
          </w:p>
        </w:tc>
        <w:tc>
          <w:tcPr>
            <w:tcW w:w="417" w:type="pct"/>
            <w:vAlign w:val="center"/>
          </w:tcPr>
          <w:p>
            <w:pPr>
              <w:jc w:val="center"/>
            </w:pPr>
            <w:r>
              <w:t>2024/3/14</w:t>
            </w:r>
          </w:p>
        </w:tc>
        <w:tc>
          <w:tcPr>
            <w:tcW w:w="417" w:type="pct"/>
            <w:vAlign w:val="center"/>
          </w:tcPr>
          <w:p>
            <w:pPr>
              <w:jc w:val="center"/>
            </w:pPr>
            <w:r>
              <w:rPr>
                <w:rFonts w:hint="eastAsia"/>
              </w:rPr>
              <w:t>/</w:t>
            </w:r>
          </w:p>
        </w:tc>
        <w:tc>
          <w:tcPr>
            <w:tcW w:w="417" w:type="pct"/>
            <w:vAlign w:val="center"/>
          </w:tcPr>
          <w:p>
            <w:pPr>
              <w:jc w:val="center"/>
              <w:rPr>
                <w:rFonts w:cs="Times New Roman"/>
                <w:bCs/>
              </w:rPr>
            </w:pPr>
            <w:r>
              <w:t>2034/3/14</w:t>
            </w:r>
          </w:p>
        </w:tc>
        <w:tc>
          <w:tcPr>
            <w:tcW w:w="217" w:type="pct"/>
            <w:vAlign w:val="center"/>
          </w:tcPr>
          <w:p>
            <w:pPr>
              <w:jc w:val="center"/>
            </w:pPr>
            <w:r>
              <w:t>30</w:t>
            </w:r>
          </w:p>
        </w:tc>
        <w:tc>
          <w:tcPr>
            <w:tcW w:w="244" w:type="pct"/>
            <w:vAlign w:val="center"/>
          </w:tcPr>
          <w:p>
            <w:pPr>
              <w:jc w:val="center"/>
            </w:pPr>
            <w:r>
              <w:t>3.03</w:t>
            </w:r>
          </w:p>
        </w:tc>
        <w:tc>
          <w:tcPr>
            <w:tcW w:w="460" w:type="pct"/>
            <w:vAlign w:val="center"/>
          </w:tcPr>
          <w:p>
            <w:pPr>
              <w:jc w:val="both"/>
              <w:rPr>
                <w:rFonts w:cs="Times New Roman"/>
                <w:bCs/>
              </w:rPr>
            </w:pPr>
            <w:r>
              <w:rPr>
                <w:rFonts w:hint="eastAsia"/>
              </w:rPr>
              <w:t>每年付息一次，到期一次还本，最后一</w:t>
            </w:r>
            <w:r>
              <w:rPr>
                <w:rFonts w:hint="eastAsia"/>
              </w:rPr>
              <w:lastRenderedPageBreak/>
              <w:t>期利息随本金一起支付</w:t>
            </w:r>
          </w:p>
        </w:tc>
        <w:tc>
          <w:tcPr>
            <w:tcW w:w="187" w:type="pct"/>
            <w:vAlign w:val="center"/>
          </w:tcPr>
          <w:p>
            <w:pPr>
              <w:jc w:val="both"/>
              <w:rPr>
                <w:rFonts w:cs="Times New Roman"/>
                <w:bCs/>
              </w:rPr>
            </w:pPr>
            <w:r>
              <w:rPr>
                <w:rFonts w:hint="eastAsia"/>
              </w:rPr>
              <w:lastRenderedPageBreak/>
              <w:t>上交所</w:t>
            </w:r>
          </w:p>
        </w:tc>
        <w:tc>
          <w:tcPr>
            <w:tcW w:w="187" w:type="pct"/>
            <w:vAlign w:val="center"/>
          </w:tcPr>
          <w:p>
            <w:pPr>
              <w:jc w:val="both"/>
            </w:pPr>
            <w:r>
              <w:rPr>
                <w:rFonts w:hint="eastAsia"/>
              </w:rPr>
              <w:t>中信证券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w:t>
            </w:r>
            <w:r>
              <w:rPr>
                <w:rFonts w:hint="eastAsia"/>
              </w:rPr>
              <w:lastRenderedPageBreak/>
              <w:t>协议交易</w:t>
            </w:r>
          </w:p>
        </w:tc>
        <w:tc>
          <w:tcPr>
            <w:tcW w:w="234" w:type="pct"/>
            <w:vAlign w:val="center"/>
          </w:tcPr>
          <w:p>
            <w:pPr>
              <w:jc w:val="center"/>
            </w:pPr>
            <w:r>
              <w:rPr>
                <w:rFonts w:hint="eastAsia"/>
                <w:color w:val="000000" w:themeColor="text1"/>
              </w:rPr>
              <w:lastRenderedPageBreak/>
              <w:t>否</w:t>
            </w:r>
          </w:p>
        </w:tc>
      </w:tr>
      <w:tr>
        <w:trPr>
          <w:jc w:val="center"/>
        </w:trPr>
        <w:tc>
          <w:tcPr>
            <w:tcW w:w="529" w:type="pct"/>
            <w:vAlign w:val="center"/>
          </w:tcPr>
          <w:p>
            <w:pPr>
              <w:jc w:val="center"/>
              <w:rPr>
                <w:rFonts w:cs="Times New Roman"/>
                <w:bCs/>
              </w:rPr>
            </w:pPr>
            <w:r>
              <w:t>2024</w:t>
            </w:r>
            <w:r>
              <w:rPr>
                <w:rFonts w:hint="eastAsia"/>
              </w:rPr>
              <w:t>年科技创新可续期公司债券（第一期）</w:t>
            </w:r>
            <w:r>
              <w:rPr>
                <w:rFonts w:hint="eastAsia"/>
                <w:vertAlign w:val="superscript"/>
              </w:rPr>
              <w:t>②</w:t>
            </w:r>
          </w:p>
        </w:tc>
        <w:tc>
          <w:tcPr>
            <w:tcW w:w="245" w:type="pct"/>
            <w:vAlign w:val="center"/>
          </w:tcPr>
          <w:p>
            <w:pPr>
              <w:jc w:val="center"/>
              <w:rPr>
                <w:rFonts w:cs="Times New Roman"/>
                <w:bCs/>
              </w:rPr>
            </w:pPr>
            <w:r>
              <w:t>兖矿KY01</w:t>
            </w:r>
          </w:p>
        </w:tc>
        <w:tc>
          <w:tcPr>
            <w:tcW w:w="279" w:type="pct"/>
            <w:vAlign w:val="center"/>
          </w:tcPr>
          <w:p>
            <w:pPr>
              <w:jc w:val="center"/>
              <w:rPr>
                <w:rFonts w:cs="Times New Roman"/>
                <w:bCs/>
              </w:rPr>
            </w:pPr>
            <w:r>
              <w:rPr>
                <w:rFonts w:cs="Times New Roman" w:hint="eastAsia"/>
              </w:rPr>
              <w:t>241141</w:t>
            </w:r>
          </w:p>
        </w:tc>
        <w:tc>
          <w:tcPr>
            <w:tcW w:w="417" w:type="pct"/>
            <w:vAlign w:val="center"/>
          </w:tcPr>
          <w:p>
            <w:pPr>
              <w:jc w:val="center"/>
              <w:rPr>
                <w:rFonts w:cs="Times New Roman"/>
                <w:bCs/>
              </w:rPr>
            </w:pPr>
            <w:r>
              <w:t>2024/</w:t>
            </w:r>
            <w:r>
              <w:rPr>
                <w:rFonts w:hint="eastAsia"/>
              </w:rPr>
              <w:t>6</w:t>
            </w:r>
            <w:r>
              <w:t>/1</w:t>
            </w:r>
            <w:r>
              <w:rPr>
                <w:rFonts w:hint="eastAsia"/>
              </w:rPr>
              <w:t>7</w:t>
            </w:r>
          </w:p>
        </w:tc>
        <w:tc>
          <w:tcPr>
            <w:tcW w:w="417" w:type="pct"/>
            <w:vAlign w:val="center"/>
          </w:tcPr>
          <w:p>
            <w:pPr>
              <w:jc w:val="center"/>
            </w:pPr>
            <w:r>
              <w:t>2024/</w:t>
            </w:r>
            <w:r>
              <w:rPr>
                <w:rFonts w:hint="eastAsia"/>
              </w:rPr>
              <w:t>6</w:t>
            </w:r>
            <w:r>
              <w:t>/1</w:t>
            </w:r>
            <w:r>
              <w:rPr>
                <w:rFonts w:hint="eastAsia"/>
              </w:rPr>
              <w:t>8</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cs="Times New Roman" w:hint="eastAsia"/>
              </w:rPr>
              <w:t>2027/6/18</w:t>
            </w:r>
          </w:p>
        </w:tc>
        <w:tc>
          <w:tcPr>
            <w:tcW w:w="217" w:type="pct"/>
            <w:vAlign w:val="center"/>
          </w:tcPr>
          <w:p>
            <w:pPr>
              <w:jc w:val="center"/>
            </w:pPr>
            <w:r>
              <w:t>30</w:t>
            </w:r>
          </w:p>
        </w:tc>
        <w:tc>
          <w:tcPr>
            <w:tcW w:w="244" w:type="pct"/>
            <w:vAlign w:val="center"/>
          </w:tcPr>
          <w:p>
            <w:pPr>
              <w:jc w:val="center"/>
            </w:pPr>
            <w:r>
              <w:rPr>
                <w:rFonts w:hint="eastAsia"/>
              </w:rPr>
              <w:t>2.28</w:t>
            </w:r>
          </w:p>
        </w:tc>
        <w:tc>
          <w:tcPr>
            <w:tcW w:w="460" w:type="pct"/>
            <w:vAlign w:val="center"/>
          </w:tcPr>
          <w:p>
            <w:pPr>
              <w:jc w:val="both"/>
              <w:rPr>
                <w:rFonts w:cs="Times New Roman"/>
                <w:bCs/>
              </w:rPr>
            </w:pPr>
            <w:r>
              <w:rPr>
                <w:rFonts w:hint="eastAsia"/>
              </w:rP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广发证券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t>2024</w:t>
            </w:r>
            <w:r>
              <w:rPr>
                <w:rFonts w:hint="eastAsia"/>
              </w:rPr>
              <w:t>年科技创新可续期公司债券（第二期）</w:t>
            </w:r>
            <w:r>
              <w:rPr>
                <w:rFonts w:hint="eastAsia"/>
                <w:vertAlign w:val="superscript"/>
              </w:rPr>
              <w:t>③</w:t>
            </w:r>
          </w:p>
        </w:tc>
        <w:tc>
          <w:tcPr>
            <w:tcW w:w="245" w:type="pct"/>
            <w:vAlign w:val="center"/>
          </w:tcPr>
          <w:p>
            <w:pPr>
              <w:jc w:val="center"/>
              <w:rPr>
                <w:rFonts w:cs="Times New Roman"/>
                <w:bCs/>
              </w:rPr>
            </w:pPr>
            <w:r>
              <w:t>兖矿KY02</w:t>
            </w:r>
          </w:p>
        </w:tc>
        <w:tc>
          <w:tcPr>
            <w:tcW w:w="279" w:type="pct"/>
            <w:vAlign w:val="center"/>
          </w:tcPr>
          <w:p>
            <w:pPr>
              <w:jc w:val="center"/>
              <w:rPr>
                <w:rFonts w:cs="Times New Roman"/>
                <w:bCs/>
              </w:rPr>
            </w:pPr>
            <w:r>
              <w:rPr>
                <w:rFonts w:cs="Times New Roman" w:hint="eastAsia"/>
              </w:rPr>
              <w:t>241324</w:t>
            </w:r>
          </w:p>
        </w:tc>
        <w:tc>
          <w:tcPr>
            <w:tcW w:w="417" w:type="pct"/>
            <w:vAlign w:val="center"/>
          </w:tcPr>
          <w:p>
            <w:pPr>
              <w:jc w:val="center"/>
              <w:rPr>
                <w:rFonts w:cs="Times New Roman"/>
                <w:bCs/>
              </w:rPr>
            </w:pPr>
            <w:r>
              <w:rPr>
                <w:rFonts w:cs="Times New Roman" w:hint="eastAsia"/>
              </w:rPr>
              <w:t>2024/7/24</w:t>
            </w:r>
          </w:p>
        </w:tc>
        <w:tc>
          <w:tcPr>
            <w:tcW w:w="417" w:type="pct"/>
            <w:vAlign w:val="center"/>
          </w:tcPr>
          <w:p>
            <w:pPr>
              <w:jc w:val="center"/>
            </w:pPr>
            <w:r>
              <w:rPr>
                <w:rFonts w:hint="eastAsia"/>
              </w:rPr>
              <w:t>2024/7/25</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cs="Times New Roman" w:hint="eastAsia"/>
              </w:rPr>
              <w:t>2027/7/25</w:t>
            </w:r>
          </w:p>
        </w:tc>
        <w:tc>
          <w:tcPr>
            <w:tcW w:w="217" w:type="pct"/>
            <w:vAlign w:val="center"/>
          </w:tcPr>
          <w:p>
            <w:pPr>
              <w:jc w:val="center"/>
            </w:pPr>
            <w:r>
              <w:rPr>
                <w:rFonts w:hint="eastAsia"/>
              </w:rPr>
              <w:t>20</w:t>
            </w:r>
          </w:p>
        </w:tc>
        <w:tc>
          <w:tcPr>
            <w:tcW w:w="244" w:type="pct"/>
            <w:vAlign w:val="center"/>
          </w:tcPr>
          <w:p>
            <w:pPr>
              <w:jc w:val="center"/>
            </w:pPr>
            <w:r>
              <w:rPr>
                <w:rFonts w:hint="eastAsia"/>
              </w:rPr>
              <w:t>2.17</w:t>
            </w:r>
          </w:p>
        </w:tc>
        <w:tc>
          <w:tcPr>
            <w:tcW w:w="460" w:type="pct"/>
            <w:vAlign w:val="center"/>
          </w:tcPr>
          <w:p>
            <w:pPr>
              <w:jc w:val="both"/>
              <w:rPr>
                <w:rFonts w:cs="Times New Roman"/>
                <w:bCs/>
              </w:rPr>
            </w:pPr>
            <w:r>
              <w:rPr>
                <w:rFonts w:hint="eastAsia"/>
              </w:rP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广发证券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rPr>
                <w:rFonts w:cs="Times New Roman"/>
                <w:bCs/>
              </w:rPr>
            </w:pPr>
            <w:r>
              <w:t>2024</w:t>
            </w:r>
            <w:r>
              <w:rPr>
                <w:rFonts w:hint="eastAsia"/>
              </w:rPr>
              <w:t>年科技创新公司债券（第二期）</w:t>
            </w:r>
          </w:p>
        </w:tc>
        <w:tc>
          <w:tcPr>
            <w:tcW w:w="245" w:type="pct"/>
            <w:vAlign w:val="center"/>
          </w:tcPr>
          <w:p>
            <w:pPr>
              <w:jc w:val="center"/>
              <w:rPr>
                <w:rFonts w:cs="Times New Roman"/>
                <w:bCs/>
              </w:rPr>
            </w:pPr>
            <w:r>
              <w:t>24</w:t>
            </w:r>
            <w:r>
              <w:rPr>
                <w:rFonts w:hint="eastAsia"/>
              </w:rPr>
              <w:t>兖矿</w:t>
            </w:r>
            <w:r>
              <w:t>K</w:t>
            </w:r>
            <w:r>
              <w:rPr>
                <w:rFonts w:hint="eastAsia"/>
              </w:rPr>
              <w:t>3</w:t>
            </w:r>
          </w:p>
        </w:tc>
        <w:tc>
          <w:tcPr>
            <w:tcW w:w="279" w:type="pct"/>
            <w:vAlign w:val="center"/>
          </w:tcPr>
          <w:p>
            <w:pPr>
              <w:jc w:val="center"/>
              <w:rPr>
                <w:rFonts w:cs="Times New Roman"/>
                <w:bCs/>
              </w:rPr>
            </w:pPr>
            <w:r>
              <w:rPr>
                <w:rFonts w:cs="Times New Roman" w:hint="eastAsia"/>
              </w:rPr>
              <w:t>241379</w:t>
            </w:r>
          </w:p>
        </w:tc>
        <w:tc>
          <w:tcPr>
            <w:tcW w:w="417" w:type="pct"/>
            <w:vAlign w:val="center"/>
          </w:tcPr>
          <w:p>
            <w:pPr>
              <w:jc w:val="center"/>
              <w:rPr>
                <w:rFonts w:cs="Times New Roman"/>
                <w:bCs/>
              </w:rPr>
            </w:pPr>
            <w:r>
              <w:rPr>
                <w:rFonts w:cs="Times New Roman" w:hint="eastAsia"/>
              </w:rPr>
              <w:t>2024/8/2</w:t>
            </w:r>
          </w:p>
        </w:tc>
        <w:tc>
          <w:tcPr>
            <w:tcW w:w="417" w:type="pct"/>
            <w:vAlign w:val="center"/>
          </w:tcPr>
          <w:p>
            <w:pPr>
              <w:jc w:val="center"/>
            </w:pPr>
            <w:r>
              <w:rPr>
                <w:rFonts w:hint="eastAsia"/>
              </w:rPr>
              <w:t>2024/8/5</w:t>
            </w:r>
          </w:p>
        </w:tc>
        <w:tc>
          <w:tcPr>
            <w:tcW w:w="417" w:type="pct"/>
            <w:vAlign w:val="center"/>
          </w:tcPr>
          <w:p>
            <w:pPr>
              <w:jc w:val="center"/>
            </w:pPr>
            <w:r>
              <w:rPr>
                <w:rFonts w:hint="eastAsia"/>
              </w:rPr>
              <w:t>/</w:t>
            </w:r>
          </w:p>
        </w:tc>
        <w:tc>
          <w:tcPr>
            <w:tcW w:w="417" w:type="pct"/>
            <w:vAlign w:val="center"/>
          </w:tcPr>
          <w:p>
            <w:pPr>
              <w:jc w:val="center"/>
              <w:rPr>
                <w:rFonts w:cs="Times New Roman"/>
                <w:bCs/>
              </w:rPr>
            </w:pPr>
            <w:r>
              <w:rPr>
                <w:rFonts w:cs="Times New Roman" w:hint="eastAsia"/>
              </w:rPr>
              <w:t>2027/8/5</w:t>
            </w:r>
          </w:p>
        </w:tc>
        <w:tc>
          <w:tcPr>
            <w:tcW w:w="217" w:type="pct"/>
            <w:vAlign w:val="center"/>
          </w:tcPr>
          <w:p>
            <w:pPr>
              <w:jc w:val="center"/>
            </w:pPr>
            <w:r>
              <w:rPr>
                <w:rFonts w:hint="eastAsia"/>
              </w:rPr>
              <w:t>30</w:t>
            </w:r>
          </w:p>
        </w:tc>
        <w:tc>
          <w:tcPr>
            <w:tcW w:w="244" w:type="pct"/>
            <w:vAlign w:val="center"/>
          </w:tcPr>
          <w:p>
            <w:pPr>
              <w:jc w:val="center"/>
            </w:pPr>
            <w:r>
              <w:rPr>
                <w:rFonts w:hint="eastAsia"/>
              </w:rPr>
              <w:t>2.05</w:t>
            </w:r>
          </w:p>
        </w:tc>
        <w:tc>
          <w:tcPr>
            <w:tcW w:w="460" w:type="pct"/>
            <w:vAlign w:val="center"/>
          </w:tcPr>
          <w:p>
            <w:pPr>
              <w:jc w:val="both"/>
              <w:rPr>
                <w:rFonts w:cs="Times New Roman"/>
                <w:bCs/>
              </w:rPr>
            </w:pPr>
            <w:r>
              <w:rPr>
                <w:rFonts w:hint="eastAsia"/>
              </w:rPr>
              <w:t>每年付息一次，到期一次还本，最后一期利息随本金一起支付</w:t>
            </w:r>
          </w:p>
        </w:tc>
        <w:tc>
          <w:tcPr>
            <w:tcW w:w="187" w:type="pct"/>
            <w:vAlign w:val="center"/>
          </w:tcPr>
          <w:p>
            <w:pPr>
              <w:jc w:val="both"/>
              <w:rPr>
                <w:rFonts w:cs="Times New Roman"/>
                <w:bCs/>
              </w:rPr>
            </w:pPr>
            <w:r>
              <w:rPr>
                <w:rFonts w:hint="eastAsia"/>
              </w:rPr>
              <w:t>上交所</w:t>
            </w:r>
          </w:p>
        </w:tc>
        <w:tc>
          <w:tcPr>
            <w:tcW w:w="187" w:type="pct"/>
            <w:vAlign w:val="center"/>
          </w:tcPr>
          <w:p>
            <w:pPr>
              <w:jc w:val="both"/>
            </w:pPr>
            <w:r>
              <w:rPr>
                <w:rFonts w:hint="eastAsia"/>
              </w:rPr>
              <w:t>广发证券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pPr>
            <w:r>
              <w:rPr>
                <w:rFonts w:hint="eastAsia"/>
                <w:color w:val="000000" w:themeColor="text1"/>
              </w:rPr>
              <w:t>否</w:t>
            </w:r>
          </w:p>
        </w:tc>
      </w:tr>
      <w:tr>
        <w:trPr>
          <w:jc w:val="center"/>
        </w:trPr>
        <w:tc>
          <w:tcPr>
            <w:tcW w:w="529" w:type="pct"/>
            <w:vAlign w:val="center"/>
          </w:tcPr>
          <w:p>
            <w:pPr>
              <w:jc w:val="center"/>
            </w:pPr>
            <w:r>
              <w:t>2024</w:t>
            </w:r>
            <w:r>
              <w:rPr>
                <w:rFonts w:hint="eastAsia"/>
              </w:rPr>
              <w:t>年科技创新公司债券（第三期）</w:t>
            </w:r>
          </w:p>
        </w:tc>
        <w:tc>
          <w:tcPr>
            <w:tcW w:w="245" w:type="pct"/>
            <w:vAlign w:val="center"/>
          </w:tcPr>
          <w:p>
            <w:pPr>
              <w:jc w:val="center"/>
            </w:pPr>
            <w:r>
              <w:t>24</w:t>
            </w:r>
            <w:r>
              <w:rPr>
                <w:rFonts w:hint="eastAsia"/>
              </w:rPr>
              <w:t>兖矿</w:t>
            </w:r>
            <w:r>
              <w:t>K</w:t>
            </w:r>
            <w:r>
              <w:rPr>
                <w:rFonts w:hint="eastAsia"/>
              </w:rPr>
              <w:t>4</w:t>
            </w:r>
          </w:p>
        </w:tc>
        <w:tc>
          <w:tcPr>
            <w:tcW w:w="279" w:type="pct"/>
            <w:vAlign w:val="center"/>
          </w:tcPr>
          <w:p>
            <w:pPr>
              <w:jc w:val="center"/>
              <w:rPr>
                <w:rFonts w:cs="Times New Roman"/>
              </w:rPr>
            </w:pPr>
            <w:r>
              <w:rPr>
                <w:rFonts w:cs="Times New Roman" w:hint="eastAsia"/>
              </w:rPr>
              <w:t>241636</w:t>
            </w:r>
          </w:p>
        </w:tc>
        <w:tc>
          <w:tcPr>
            <w:tcW w:w="417" w:type="pct"/>
            <w:vAlign w:val="center"/>
          </w:tcPr>
          <w:p>
            <w:pPr>
              <w:jc w:val="center"/>
              <w:rPr>
                <w:rFonts w:cs="Times New Roman"/>
              </w:rPr>
            </w:pPr>
            <w:r>
              <w:rPr>
                <w:rFonts w:cs="Times New Roman" w:hint="eastAsia"/>
              </w:rPr>
              <w:t>2024/9/12</w:t>
            </w:r>
          </w:p>
        </w:tc>
        <w:tc>
          <w:tcPr>
            <w:tcW w:w="417" w:type="pct"/>
            <w:vAlign w:val="center"/>
          </w:tcPr>
          <w:p>
            <w:pPr>
              <w:jc w:val="center"/>
            </w:pPr>
            <w:r>
              <w:rPr>
                <w:rFonts w:hint="eastAsia"/>
              </w:rPr>
              <w:t>2024/9/18</w:t>
            </w:r>
          </w:p>
        </w:tc>
        <w:tc>
          <w:tcPr>
            <w:tcW w:w="417" w:type="pct"/>
            <w:vAlign w:val="center"/>
          </w:tcPr>
          <w:p>
            <w:pPr>
              <w:jc w:val="center"/>
            </w:pPr>
            <w:r>
              <w:rPr>
                <w:rFonts w:hint="eastAsia"/>
              </w:rPr>
              <w:t>/</w:t>
            </w:r>
          </w:p>
        </w:tc>
        <w:tc>
          <w:tcPr>
            <w:tcW w:w="417" w:type="pct"/>
            <w:vAlign w:val="center"/>
          </w:tcPr>
          <w:p>
            <w:pPr>
              <w:jc w:val="center"/>
              <w:rPr>
                <w:rFonts w:cs="Times New Roman"/>
              </w:rPr>
            </w:pPr>
            <w:r>
              <w:rPr>
                <w:rFonts w:cs="Times New Roman" w:hint="eastAsia"/>
              </w:rPr>
              <w:t>2027/9/18</w:t>
            </w:r>
          </w:p>
        </w:tc>
        <w:tc>
          <w:tcPr>
            <w:tcW w:w="217" w:type="pct"/>
            <w:vAlign w:val="center"/>
          </w:tcPr>
          <w:p>
            <w:pPr>
              <w:jc w:val="center"/>
            </w:pPr>
            <w:r>
              <w:rPr>
                <w:rFonts w:hint="eastAsia"/>
              </w:rPr>
              <w:t>20</w:t>
            </w:r>
          </w:p>
        </w:tc>
        <w:tc>
          <w:tcPr>
            <w:tcW w:w="244" w:type="pct"/>
            <w:vAlign w:val="center"/>
          </w:tcPr>
          <w:p>
            <w:pPr>
              <w:jc w:val="center"/>
            </w:pPr>
            <w:r>
              <w:rPr>
                <w:rFonts w:hint="eastAsia"/>
              </w:rPr>
              <w:t>2.15</w:t>
            </w:r>
          </w:p>
        </w:tc>
        <w:tc>
          <w:tcPr>
            <w:tcW w:w="460" w:type="pct"/>
            <w:vAlign w:val="center"/>
          </w:tcPr>
          <w:p>
            <w:pPr>
              <w:jc w:val="both"/>
            </w:pPr>
            <w:r>
              <w:rPr>
                <w:rFonts w:hint="eastAsia"/>
              </w:rPr>
              <w:t>每年付息一次，到期一次还本，最后一期利息随本金一起支付</w:t>
            </w:r>
          </w:p>
        </w:tc>
        <w:tc>
          <w:tcPr>
            <w:tcW w:w="187" w:type="pct"/>
            <w:vAlign w:val="center"/>
          </w:tcPr>
          <w:p>
            <w:pPr>
              <w:jc w:val="both"/>
            </w:pPr>
            <w:r>
              <w:rPr>
                <w:rFonts w:hint="eastAsia"/>
              </w:rPr>
              <w:t>上交所</w:t>
            </w:r>
          </w:p>
        </w:tc>
        <w:tc>
          <w:tcPr>
            <w:tcW w:w="187" w:type="pct"/>
            <w:vAlign w:val="center"/>
          </w:tcPr>
          <w:p>
            <w:pPr>
              <w:jc w:val="both"/>
            </w:pPr>
            <w:r>
              <w:rPr>
                <w:rFonts w:hint="eastAsia"/>
              </w:rPr>
              <w:t>广发证券</w:t>
            </w:r>
          </w:p>
        </w:tc>
        <w:tc>
          <w:tcPr>
            <w:tcW w:w="187" w:type="pct"/>
            <w:vAlign w:val="center"/>
          </w:tcPr>
          <w:p>
            <w:pPr>
              <w:jc w:val="both"/>
            </w:pPr>
            <w:r>
              <w:rPr>
                <w:rFonts w:hint="eastAsia"/>
              </w:rPr>
              <w:t>平安证券</w:t>
            </w:r>
          </w:p>
        </w:tc>
        <w:tc>
          <w:tcPr>
            <w:tcW w:w="281" w:type="pct"/>
            <w:vAlign w:val="center"/>
          </w:tcPr>
          <w:p>
            <w:pPr>
              <w:jc w:val="both"/>
            </w:pPr>
            <w:r>
              <w:rPr>
                <w:rFonts w:hint="eastAsia"/>
              </w:rPr>
              <w:t>面向合格投资者</w:t>
            </w:r>
          </w:p>
        </w:tc>
        <w:tc>
          <w:tcPr>
            <w:tcW w:w="280" w:type="pct"/>
            <w:vAlign w:val="center"/>
          </w:tcPr>
          <w:p>
            <w:pPr>
              <w:jc w:val="both"/>
            </w:pPr>
            <w:r>
              <w:rPr>
                <w:rFonts w:hint="eastAsia"/>
              </w:rPr>
              <w:t>竞价、报价、询价和协议交易</w:t>
            </w:r>
          </w:p>
        </w:tc>
        <w:tc>
          <w:tcPr>
            <w:tcW w:w="234" w:type="pct"/>
            <w:vAlign w:val="center"/>
          </w:tcPr>
          <w:p>
            <w:pPr>
              <w:jc w:val="center"/>
              <w:rPr>
                <w:color w:val="000000" w:themeColor="text1"/>
              </w:rPr>
            </w:pPr>
            <w:r>
              <w:rPr>
                <w:rFonts w:hint="eastAsia"/>
                <w:color w:val="000000" w:themeColor="text1"/>
              </w:rPr>
              <w:t>否</w:t>
            </w:r>
          </w:p>
        </w:tc>
      </w:tr>
    </w:tbl>
    <w:p>
      <w:pPr>
        <w:pStyle w:val="affffffd"/>
      </w:pPr>
    </w:p>
    <w:p>
      <w:pPr>
        <w:widowControl w:val="0"/>
        <w:ind w:firstLineChars="200" w:firstLine="420"/>
        <w:jc w:val="both"/>
        <w:rPr>
          <w:rFonts w:cs="Times New Roman"/>
          <w:color w:val="000000"/>
          <w:kern w:val="2"/>
          <w:szCs w:val="22"/>
        </w:rPr>
      </w:pPr>
      <w:bookmarkStart w:id="252" w:name="_Hlk192529158"/>
      <w:r>
        <w:rPr>
          <w:rFonts w:cs="Times New Roman" w:hint="eastAsia"/>
          <w:color w:val="000000"/>
          <w:kern w:val="2"/>
          <w:szCs w:val="22"/>
        </w:rPr>
        <w:t>注：</w:t>
      </w:r>
    </w:p>
    <w:p>
      <w:pPr>
        <w:widowControl w:val="0"/>
        <w:ind w:firstLineChars="200" w:firstLine="420"/>
        <w:jc w:val="both"/>
        <w:rPr>
          <w:rFonts w:cs="Times New Roman"/>
          <w:kern w:val="2"/>
          <w:szCs w:val="22"/>
        </w:rPr>
      </w:pPr>
      <w:r>
        <w:rPr>
          <w:rFonts w:cs="Times New Roman" w:hint="eastAsia"/>
          <w:bCs/>
          <w:color w:val="000000"/>
          <w:kern w:val="2"/>
          <w:szCs w:val="22"/>
        </w:rPr>
        <w:lastRenderedPageBreak/>
        <w:t>①2020年公司债券（第二期）（品种二）为10年固定利率债券。在第5个计息年度末，公司有权选择调整本期债券后续期限的票面利率，投资者有权选择将持有债券回售给公司。</w:t>
      </w:r>
    </w:p>
    <w:p>
      <w:pPr>
        <w:widowControl w:val="0"/>
        <w:ind w:firstLineChars="200" w:firstLine="420"/>
        <w:jc w:val="both"/>
        <w:rPr>
          <w:rFonts w:cs="Times New Roman"/>
          <w:bCs/>
          <w:color w:val="000000"/>
          <w:kern w:val="2"/>
          <w:szCs w:val="22"/>
        </w:rPr>
      </w:pPr>
      <w:r>
        <w:rPr>
          <w:rFonts w:cs="Times New Roman" w:hint="eastAsia"/>
          <w:bCs/>
          <w:kern w:val="2"/>
          <w:szCs w:val="22"/>
        </w:rPr>
        <w:t>②</w:t>
      </w:r>
      <w:r>
        <w:rPr>
          <w:rFonts w:cs="Times New Roman"/>
          <w:bCs/>
          <w:kern w:val="2"/>
          <w:szCs w:val="22"/>
        </w:rPr>
        <w:t>2024</w:t>
      </w:r>
      <w:r>
        <w:rPr>
          <w:rFonts w:cs="Times New Roman" w:hint="eastAsia"/>
          <w:bCs/>
          <w:kern w:val="2"/>
          <w:szCs w:val="22"/>
        </w:rPr>
        <w:t>年科技创新可续期公司债券（第一期）</w:t>
      </w:r>
      <w:r>
        <w:rPr>
          <w:rFonts w:cs="Times New Roman" w:hint="eastAsia"/>
          <w:bCs/>
          <w:color w:val="000000"/>
          <w:kern w:val="2"/>
          <w:szCs w:val="22"/>
        </w:rPr>
        <w:t>以每3个计息年度为1个周期。在每个周期末，公司有权选择将本期债券期限延长1个周期（即延长3年），或选择在该周期末到期全额兑付本期债券。</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③</w:t>
      </w:r>
      <w:r>
        <w:rPr>
          <w:rFonts w:cs="Times New Roman"/>
          <w:bCs/>
          <w:kern w:val="2"/>
          <w:szCs w:val="22"/>
        </w:rPr>
        <w:t>2024</w:t>
      </w:r>
      <w:r>
        <w:rPr>
          <w:rFonts w:cs="Times New Roman" w:hint="eastAsia"/>
          <w:bCs/>
          <w:kern w:val="2"/>
          <w:szCs w:val="22"/>
        </w:rPr>
        <w:t>年科技创新可续期公司债券（第二期）</w:t>
      </w:r>
      <w:r>
        <w:rPr>
          <w:rFonts w:cs="Times New Roman" w:hint="eastAsia"/>
          <w:bCs/>
          <w:color w:val="000000"/>
          <w:kern w:val="2"/>
          <w:szCs w:val="22"/>
        </w:rPr>
        <w:t>以每3个计息年度为1个周期。在每个周期末，公司有权选择将本期债券期限延长1个周期（即延长3年），或选择在该周期末到期全额兑付本期债券。</w:t>
      </w:r>
    </w:p>
    <w:bookmarkEnd w:id="252"/>
    <w:p>
      <w:pPr>
        <w:pStyle w:val="affffffd"/>
      </w:pPr>
    </w:p>
    <w:bookmarkEnd w:id="249"/>
    <w:bookmarkEnd w:id="250"/>
    <w:p>
      <w:pPr>
        <w:pStyle w:val="affffffd"/>
      </w:pPr>
      <w:r>
        <w:rPr>
          <w:rFonts w:hint="eastAsia"/>
        </w:rPr>
        <w:t>公司对债券终止上市交易风险的应对措施</w:t>
      </w:r>
    </w:p>
    <w:sdt>
      <w:sdtPr>
        <w:rPr>
          <w:rFonts w:cs="Times New Roman"/>
          <w:bCs/>
          <w:color w:val="000000" w:themeColor="text1"/>
          <w:kern w:val="2"/>
          <w:szCs w:val="21"/>
        </w:rPr>
        <w:alias w:val="是否适用：公司对债券终止上市交易风险的应对措施 [双击切换]"/>
        <w:tag w:val="_GBC_8b78dd47ac3c4f1eb39b850ff54adbdf"/>
        <w:id w:val="-312797667"/>
        <w:placeholder>
          <w:docPart w:val="GBC22222222222222222222222222222"/>
        </w:placeholder>
      </w:sdtPr>
      <w:sdtContent>
        <w:p>
          <w:pPr>
            <w:rPr>
              <w:color w:val="000000" w:themeColor="text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rPr>
      </w:pPr>
      <w:r>
        <w:rPr>
          <w:color w:val="000000" w:themeColor="text1"/>
        </w:rPr>
        <w:br w:type="page"/>
      </w:r>
    </w:p>
    <w:p>
      <w:pPr>
        <w:rPr>
          <w:color w:val="000000" w:themeColor="text1"/>
        </w:rPr>
      </w:pPr>
    </w:p>
    <w:p>
      <w:pPr>
        <w:rPr>
          <w:rFonts w:ascii="Arial" w:hAnsi="Arial" w:cs="Times New Roman"/>
          <w:bCs/>
          <w:kern w:val="2"/>
          <w:szCs w:val="21"/>
        </w:rPr>
      </w:pPr>
      <w:bookmarkStart w:id="253" w:name="_Hlk182406318"/>
      <w:r>
        <w:rPr>
          <w:rFonts w:ascii="Arial" w:hAnsi="Arial" w:cs="Times New Roman" w:hint="eastAsia"/>
          <w:bCs/>
          <w:kern w:val="2"/>
          <w:szCs w:val="21"/>
        </w:rPr>
        <w:t>报告期内债券付息兑付情况</w:t>
      </w:r>
    </w:p>
    <w:sdt>
      <w:sdtPr>
        <w:rPr>
          <w:rFonts w:cs="Times New Roman"/>
          <w:bCs/>
          <w:kern w:val="2"/>
          <w:szCs w:val="21"/>
        </w:rPr>
        <w:alias w:val="是否适用：公司债券付息兑付情况 [双击切换]"/>
        <w:tag w:val="_GBC_8db51496dd874dbc84cd8e67003d8ea0"/>
        <w:id w:val="-1325266310"/>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8481"/>
      </w:tblGrid>
      <w:tr>
        <w:sdt>
          <w:sdtPr>
            <w:tag w:val="_PLD_14c6cc7f47ae4b3a8fb0a59d930addf4"/>
            <w:id w:val="1087508953"/>
          </w:sdtPr>
          <w:sdtContent>
            <w:tc>
              <w:tcPr>
                <w:tcW w:w="1941" w:type="pct"/>
              </w:tcPr>
              <w:p>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tag w:val="_PLD_3faf567c3d174cae92a8a10519e3a40c"/>
            <w:id w:val="63003232"/>
          </w:sdtPr>
          <w:sdtContent>
            <w:tc>
              <w:tcPr>
                <w:tcW w:w="3059" w:type="pct"/>
              </w:tcPr>
              <w:p>
                <w:pPr>
                  <w:widowControl w:val="0"/>
                  <w:jc w:val="center"/>
                  <w:rPr>
                    <w:rFonts w:ascii="Arial" w:hAnsi="Arial" w:cs="Times New Roman"/>
                    <w:bCs/>
                    <w:kern w:val="2"/>
                    <w:szCs w:val="21"/>
                  </w:rPr>
                </w:pPr>
                <w:r>
                  <w:rPr>
                    <w:rFonts w:ascii="Arial" w:hAnsi="Arial" w:cs="Times New Roman" w:hint="eastAsia"/>
                    <w:bCs/>
                    <w:kern w:val="2"/>
                    <w:szCs w:val="21"/>
                  </w:rPr>
                  <w:t>付息兑付情况的说明</w:t>
                </w:r>
              </w:p>
            </w:tc>
          </w:sdtContent>
        </w:sdt>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2021年公司债券（第一期）（品种一）</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公司按期兑付了本金及利息，未出现违约行为。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2021年可续期公司债券（第一期）（品种二）</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公司按期兑付了本金及利息，未出现违约行为。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2021年可续期公司债券（第二期）</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公司按期兑付了本金及利息，未出现违约行为。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2020年公司债券（第一期）（品种二）</w:t>
            </w:r>
            <w:r>
              <w:rPr>
                <w:rFonts w:hint="eastAsia"/>
                <w:vertAlign w:val="superscript"/>
              </w:rPr>
              <w:t>注</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公司按期兑付了利息，未出现违约行为。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2020年公司债券（第一期）（品种三）</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2020年公司债券（第二期）（品种二）</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2021年公司债券（第一期）（品种二）</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2023年公司债券（第一期）（品种一）</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2023年公司债券（第一期）（品种二）</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941" w:type="pct"/>
            <w:tcBorders>
              <w:top w:val="single" w:sz="4" w:space="0" w:color="auto"/>
              <w:left w:val="single" w:sz="4" w:space="0" w:color="auto"/>
              <w:bottom w:val="single" w:sz="4" w:space="0" w:color="auto"/>
              <w:right w:val="single" w:sz="4" w:space="0" w:color="auto"/>
            </w:tcBorders>
          </w:tcPr>
          <w:p>
            <w:pPr>
              <w:pStyle w:val="afffffffffffff8"/>
            </w:pPr>
            <w:r>
              <w:t>2023年公司债券（第二期）（品种二）</w:t>
            </w:r>
          </w:p>
        </w:tc>
        <w:tc>
          <w:tcPr>
            <w:tcW w:w="3059"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bl>
    <w:p>
      <w:pPr>
        <w:ind w:firstLineChars="200" w:firstLine="420"/>
        <w:jc w:val="both"/>
        <w:rPr>
          <w:rFonts w:cs="Times New Roman"/>
          <w:szCs w:val="21"/>
        </w:rPr>
      </w:pPr>
      <w:bookmarkStart w:id="254" w:name="_Hlk193216991"/>
      <w:r>
        <w:rPr>
          <w:rFonts w:cs="Times New Roman" w:hint="eastAsia"/>
          <w:szCs w:val="21"/>
        </w:rPr>
        <w:t>注：</w:t>
      </w:r>
      <w:r>
        <w:rPr>
          <w:rFonts w:cs="Times New Roman"/>
          <w:szCs w:val="21"/>
        </w:rPr>
        <w:t>2020年公司债券（第一期）（品种二）</w:t>
      </w:r>
      <w:r>
        <w:rPr>
          <w:rFonts w:cs="Times New Roman" w:hint="eastAsia"/>
          <w:szCs w:val="21"/>
        </w:rPr>
        <w:t>已于</w:t>
      </w:r>
      <w:r>
        <w:rPr>
          <w:rFonts w:cs="Times New Roman"/>
          <w:szCs w:val="21"/>
        </w:rPr>
        <w:t>2025年3月12日偿还本金及相应利息</w:t>
      </w:r>
      <w:r>
        <w:rPr>
          <w:rFonts w:cs="Times New Roman" w:hint="eastAsia"/>
          <w:szCs w:val="21"/>
        </w:rPr>
        <w:t>。</w:t>
      </w:r>
    </w:p>
    <w:bookmarkEnd w:id="254"/>
    <w:p>
      <w:pPr>
        <w:rPr>
          <w:rFonts w:cs="Times New Roman"/>
          <w:szCs w:val="21"/>
        </w:rPr>
      </w:pPr>
    </w:p>
    <w:p>
      <w:pPr>
        <w:pStyle w:val="4"/>
        <w:numPr>
          <w:ilvl w:val="0"/>
          <w:numId w:val="26"/>
        </w:numPr>
        <w:ind w:left="425" w:hanging="425"/>
        <w:rPr>
          <w:rFonts w:ascii="宋体" w:hAnsi="宋体" w:cs="宋体"/>
          <w:kern w:val="0"/>
          <w:szCs w:val="21"/>
        </w:rPr>
      </w:pPr>
      <w:bookmarkStart w:id="255" w:name="_Hlk41317963"/>
      <w:bookmarkEnd w:id="253"/>
      <w:r>
        <w:rPr>
          <w:rFonts w:ascii="宋体" w:hAnsi="宋体" w:cs="宋体" w:hint="eastAsia"/>
          <w:kern w:val="0"/>
          <w:szCs w:val="21"/>
        </w:rPr>
        <w:t>公司或投资者选择权条款、投资者保护条款的触发和执行情况</w:t>
      </w:r>
    </w:p>
    <w:sdt>
      <w:sdtPr>
        <w:rPr>
          <w:rFonts w:cs="Times New Roman"/>
          <w:bCs/>
          <w:color w:val="000000" w:themeColor="text1"/>
          <w:kern w:val="2"/>
          <w:szCs w:val="21"/>
        </w:rPr>
        <w:alias w:val="是否适用：发行人或投资者选择权条款、投资者保护条款的触发和执行情况[双击切换]"/>
        <w:tag w:val="_GBC_8b15a1a762ae4ed2bce62d5804aeb63e"/>
        <w:id w:val="2026985274"/>
        <w:placeholder>
          <w:docPart w:val="GBC22222222222222222222222222222"/>
        </w:placeholder>
      </w:sdtPr>
      <w:sdtContent>
        <w:p>
          <w:pPr>
            <w:rPr>
              <w:rFonts w:cs="Times New Roman"/>
              <w:bCs/>
              <w:color w:val="000000" w:themeColor="text1"/>
              <w:kern w:val="2"/>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szCs w:val="21"/>
        </w:rPr>
      </w:pPr>
    </w:p>
    <w:p>
      <w:pPr>
        <w:pStyle w:val="4"/>
        <w:numPr>
          <w:ilvl w:val="0"/>
          <w:numId w:val="26"/>
        </w:numPr>
        <w:ind w:left="425" w:hanging="425"/>
        <w:rPr>
          <w:rFonts w:ascii="宋体" w:hAnsi="宋体" w:cs="宋体"/>
          <w:kern w:val="0"/>
          <w:szCs w:val="21"/>
        </w:rPr>
      </w:pPr>
      <w:bookmarkStart w:id="256" w:name="_Hlk89419052"/>
      <w:bookmarkEnd w:id="255"/>
      <w:r>
        <w:rPr>
          <w:rFonts w:ascii="宋体" w:hAnsi="宋体" w:cs="宋体" w:hint="eastAsia"/>
          <w:kern w:val="0"/>
          <w:szCs w:val="21"/>
        </w:rPr>
        <w:t>为债券发行及存续期业务提供服务的中介机构</w:t>
      </w:r>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772"/>
        <w:gridCol w:w="2773"/>
        <w:gridCol w:w="2773"/>
        <w:gridCol w:w="2773"/>
      </w:tblGrid>
      <w:tr>
        <w:trPr>
          <w:trHeight w:val="350"/>
        </w:trPr>
        <w:sdt>
          <w:sdtPr>
            <w:tag w:val="_PLD_54ab8ae12edd455da8babdd2e2ab5698"/>
            <w:id w:val="-1553081048"/>
          </w:sdtPr>
          <w:sdtEndPr>
            <w:rPr>
              <w:rFonts w:hint="eastAsia"/>
              <w:szCs w:val="21"/>
            </w:rPr>
          </w:sdtEndPr>
          <w:sdtContent>
            <w:tc>
              <w:tcPr>
                <w:tcW w:w="1000" w:type="pct"/>
                <w:vAlign w:val="center"/>
              </w:tcPr>
              <w:p>
                <w:pPr>
                  <w:widowControl w:val="0"/>
                  <w:jc w:val="center"/>
                  <w:rPr>
                    <w:szCs w:val="21"/>
                  </w:rPr>
                </w:pPr>
                <w:r>
                  <w:t>中介</w:t>
                </w:r>
                <w:r>
                  <w:rPr>
                    <w:rFonts w:hint="eastAsia"/>
                    <w:szCs w:val="21"/>
                  </w:rPr>
                  <w:t>机构名称</w:t>
                </w:r>
              </w:p>
            </w:tc>
          </w:sdtContent>
        </w:sdt>
        <w:sdt>
          <w:sdtPr>
            <w:tag w:val="_PLD_8492b834223a461f8d344918d030f6b8"/>
            <w:id w:val="-1616209331"/>
          </w:sdtPr>
          <w:sdtContent>
            <w:tc>
              <w:tcPr>
                <w:tcW w:w="1000" w:type="pct"/>
                <w:vAlign w:val="center"/>
              </w:tcPr>
              <w:p>
                <w:pPr>
                  <w:widowControl w:val="0"/>
                  <w:jc w:val="center"/>
                  <w:rPr>
                    <w:szCs w:val="21"/>
                  </w:rPr>
                </w:pPr>
                <w:r>
                  <w:t>办公地址</w:t>
                </w:r>
              </w:p>
            </w:tc>
          </w:sdtContent>
        </w:sdt>
        <w:sdt>
          <w:sdtPr>
            <w:tag w:val="_PLD_e556c32b1e664b37a60bde70039a7d7e"/>
            <w:id w:val="-451481914"/>
          </w:sdtPr>
          <w:sdtContent>
            <w:tc>
              <w:tcPr>
                <w:tcW w:w="1000" w:type="pct"/>
                <w:vAlign w:val="center"/>
              </w:tcPr>
              <w:p>
                <w:pPr>
                  <w:widowControl w:val="0"/>
                  <w:jc w:val="center"/>
                  <w:rPr>
                    <w:szCs w:val="21"/>
                  </w:rPr>
                </w:pPr>
                <w:r>
                  <w:t>签字会计师姓名</w:t>
                </w:r>
              </w:p>
            </w:tc>
          </w:sdtContent>
        </w:sdt>
        <w:sdt>
          <w:sdtPr>
            <w:tag w:val="_PLD_b5bd6ba320c64e5799677eed2e7352a3"/>
            <w:id w:val="2131900975"/>
          </w:sdtPr>
          <w:sdtContent>
            <w:tc>
              <w:tcPr>
                <w:tcW w:w="1000" w:type="pct"/>
                <w:vAlign w:val="center"/>
              </w:tcPr>
              <w:p>
                <w:pPr>
                  <w:widowControl w:val="0"/>
                  <w:jc w:val="center"/>
                  <w:rPr>
                    <w:szCs w:val="21"/>
                  </w:rPr>
                </w:pPr>
                <w:r>
                  <w:t>联系人</w:t>
                </w:r>
              </w:p>
            </w:tc>
          </w:sdtContent>
        </w:sdt>
        <w:sdt>
          <w:sdtPr>
            <w:tag w:val="_PLD_5718e39fad6141cc9151355350f9e5d0"/>
            <w:id w:val="2061589220"/>
          </w:sdtPr>
          <w:sdtContent>
            <w:tc>
              <w:tcPr>
                <w:tcW w:w="1000" w:type="pct"/>
                <w:vAlign w:val="center"/>
              </w:tcPr>
              <w:p>
                <w:pPr>
                  <w:widowControl w:val="0"/>
                  <w:jc w:val="center"/>
                </w:pPr>
                <w:r>
                  <w:t>联系电话</w:t>
                </w:r>
              </w:p>
            </w:tc>
          </w:sdtContent>
        </w:sdt>
      </w:tr>
      <w:tr>
        <w:tc>
          <w:tcPr>
            <w:tcW w:w="1000" w:type="pct"/>
            <w:vAlign w:val="center"/>
          </w:tcPr>
          <w:p>
            <w:pPr>
              <w:jc w:val="both"/>
            </w:pPr>
            <w:bookmarkStart w:id="257" w:name="_Hlk192529241"/>
            <w:r>
              <w:rPr>
                <w:rFonts w:hint="eastAsia"/>
              </w:rPr>
              <w:t>海通证券股份有限公司</w:t>
            </w:r>
          </w:p>
        </w:tc>
        <w:tc>
          <w:tcPr>
            <w:tcW w:w="1000" w:type="pct"/>
            <w:vAlign w:val="center"/>
          </w:tcPr>
          <w:p>
            <w:pPr>
              <w:jc w:val="both"/>
            </w:pPr>
            <w:r>
              <w:rPr>
                <w:rFonts w:hint="eastAsia"/>
              </w:rPr>
              <w:t>北京市朝阳区安定路5号奥南五号大厦15层</w:t>
            </w:r>
          </w:p>
        </w:tc>
        <w:tc>
          <w:tcPr>
            <w:tcW w:w="1000" w:type="pct"/>
            <w:vAlign w:val="center"/>
          </w:tcPr>
          <w:p>
            <w:pPr>
              <w:jc w:val="both"/>
            </w:pPr>
            <w:r>
              <w:rPr>
                <w:rFonts w:hint="eastAsia"/>
              </w:rPr>
              <w:t>许康玮、王以彬</w:t>
            </w:r>
          </w:p>
        </w:tc>
        <w:tc>
          <w:tcPr>
            <w:tcW w:w="1000" w:type="pct"/>
            <w:vAlign w:val="center"/>
          </w:tcPr>
          <w:p>
            <w:pPr>
              <w:jc w:val="both"/>
            </w:pPr>
            <w:r>
              <w:rPr>
                <w:rFonts w:hint="eastAsia"/>
              </w:rPr>
              <w:t>陈洋洋、谭小龙</w:t>
            </w:r>
          </w:p>
        </w:tc>
        <w:tc>
          <w:tcPr>
            <w:tcW w:w="1000" w:type="pct"/>
            <w:vAlign w:val="center"/>
          </w:tcPr>
          <w:p>
            <w:pPr>
              <w:jc w:val="both"/>
            </w:pPr>
            <w:r>
              <w:rPr>
                <w:rFonts w:hint="eastAsia"/>
              </w:rPr>
              <w:t>010-88027267</w:t>
            </w:r>
          </w:p>
        </w:tc>
      </w:tr>
      <w:tr>
        <w:tc>
          <w:tcPr>
            <w:tcW w:w="1000" w:type="pct"/>
            <w:vAlign w:val="center"/>
          </w:tcPr>
          <w:p>
            <w:pPr>
              <w:jc w:val="both"/>
            </w:pPr>
            <w:r>
              <w:rPr>
                <w:rFonts w:hint="eastAsia"/>
              </w:rPr>
              <w:t>中国国际金融股份有限公司</w:t>
            </w:r>
          </w:p>
        </w:tc>
        <w:tc>
          <w:tcPr>
            <w:tcW w:w="1000" w:type="pct"/>
            <w:vAlign w:val="center"/>
          </w:tcPr>
          <w:p>
            <w:pPr>
              <w:jc w:val="both"/>
            </w:pPr>
            <w:r>
              <w:rPr>
                <w:rFonts w:hint="eastAsia"/>
              </w:rPr>
              <w:t>北京市朝阳区建国门外大街</w:t>
            </w:r>
            <w:r>
              <w:t>1号国贸大厦2座</w:t>
            </w:r>
            <w:r>
              <w:rPr>
                <w:rFonts w:hint="eastAsia"/>
              </w:rPr>
              <w:t>28</w:t>
            </w:r>
            <w:r>
              <w:t>层</w:t>
            </w:r>
          </w:p>
        </w:tc>
        <w:tc>
          <w:tcPr>
            <w:tcW w:w="1000" w:type="pct"/>
            <w:vAlign w:val="center"/>
          </w:tcPr>
          <w:p>
            <w:pPr>
              <w:jc w:val="both"/>
            </w:pPr>
            <w:r>
              <w:rPr>
                <w:rFonts w:hint="eastAsia"/>
              </w:rPr>
              <w:t>朱宝钦、孙玲玲</w:t>
            </w:r>
          </w:p>
        </w:tc>
        <w:tc>
          <w:tcPr>
            <w:tcW w:w="1000" w:type="pct"/>
            <w:vAlign w:val="center"/>
          </w:tcPr>
          <w:p>
            <w:pPr>
              <w:jc w:val="both"/>
            </w:pPr>
            <w:r>
              <w:rPr>
                <w:rFonts w:hint="eastAsia"/>
              </w:rPr>
              <w:t>黄捷宁</w:t>
            </w:r>
          </w:p>
        </w:tc>
        <w:tc>
          <w:tcPr>
            <w:tcW w:w="1000" w:type="pct"/>
            <w:vAlign w:val="center"/>
          </w:tcPr>
          <w:p>
            <w:pPr>
              <w:jc w:val="both"/>
              <w:rPr>
                <w:rFonts w:cs="Times New Roman"/>
                <w:szCs w:val="21"/>
              </w:rPr>
            </w:pPr>
            <w:r>
              <w:t>010-65051166</w:t>
            </w:r>
          </w:p>
        </w:tc>
      </w:tr>
      <w:tr>
        <w:tc>
          <w:tcPr>
            <w:tcW w:w="1000" w:type="pct"/>
            <w:vAlign w:val="center"/>
          </w:tcPr>
          <w:p>
            <w:pPr>
              <w:jc w:val="both"/>
            </w:pPr>
            <w:r>
              <w:t>中信证券股份有限公司</w:t>
            </w:r>
          </w:p>
        </w:tc>
        <w:tc>
          <w:tcPr>
            <w:tcW w:w="1000" w:type="pct"/>
            <w:vAlign w:val="center"/>
          </w:tcPr>
          <w:p>
            <w:pPr>
              <w:jc w:val="both"/>
            </w:pPr>
            <w:r>
              <w:rPr>
                <w:rFonts w:hint="eastAsia"/>
              </w:rPr>
              <w:t>北京市朝阳区亮马桥路48号中信证券大厦22层</w:t>
            </w:r>
          </w:p>
        </w:tc>
        <w:tc>
          <w:tcPr>
            <w:tcW w:w="1000" w:type="pct"/>
            <w:vAlign w:val="center"/>
          </w:tcPr>
          <w:p>
            <w:pPr>
              <w:jc w:val="both"/>
            </w:pPr>
            <w:r>
              <w:rPr>
                <w:rFonts w:hint="eastAsia"/>
              </w:rPr>
              <w:t>王国蓓、程海良</w:t>
            </w:r>
          </w:p>
        </w:tc>
        <w:tc>
          <w:tcPr>
            <w:tcW w:w="1000" w:type="pct"/>
            <w:vAlign w:val="center"/>
          </w:tcPr>
          <w:p>
            <w:pPr>
              <w:jc w:val="both"/>
            </w:pPr>
            <w:r>
              <w:rPr>
                <w:rFonts w:hint="eastAsia"/>
              </w:rPr>
              <w:t>姜琪、姜昊天</w:t>
            </w:r>
          </w:p>
        </w:tc>
        <w:tc>
          <w:tcPr>
            <w:tcW w:w="1000" w:type="pct"/>
            <w:vAlign w:val="center"/>
          </w:tcPr>
          <w:p>
            <w:pPr>
              <w:jc w:val="both"/>
            </w:pPr>
            <w:r>
              <w:rPr>
                <w:rFonts w:hint="eastAsia"/>
              </w:rPr>
              <w:t>010-60833578</w:t>
            </w:r>
          </w:p>
        </w:tc>
      </w:tr>
      <w:tr>
        <w:tc>
          <w:tcPr>
            <w:tcW w:w="1000" w:type="pct"/>
            <w:vAlign w:val="center"/>
          </w:tcPr>
          <w:p>
            <w:pPr>
              <w:jc w:val="both"/>
            </w:pPr>
            <w:r>
              <w:rPr>
                <w:rFonts w:hint="eastAsia"/>
              </w:rPr>
              <w:t>广发证券股份有限公司</w:t>
            </w:r>
          </w:p>
        </w:tc>
        <w:tc>
          <w:tcPr>
            <w:tcW w:w="1000" w:type="pct"/>
            <w:vAlign w:val="center"/>
          </w:tcPr>
          <w:p>
            <w:pPr>
              <w:jc w:val="both"/>
            </w:pPr>
            <w:r>
              <w:rPr>
                <w:rFonts w:hint="eastAsia"/>
              </w:rPr>
              <w:t>上海市浦东新区南泉北路429号泰康保险大厦39层</w:t>
            </w:r>
          </w:p>
        </w:tc>
        <w:tc>
          <w:tcPr>
            <w:tcW w:w="1000" w:type="pct"/>
            <w:vAlign w:val="center"/>
          </w:tcPr>
          <w:p>
            <w:pPr>
              <w:jc w:val="both"/>
            </w:pPr>
            <w:r>
              <w:rPr>
                <w:rFonts w:hint="eastAsia"/>
              </w:rPr>
              <w:t>昌华、何明智</w:t>
            </w:r>
          </w:p>
        </w:tc>
        <w:tc>
          <w:tcPr>
            <w:tcW w:w="1000" w:type="pct"/>
            <w:vAlign w:val="center"/>
          </w:tcPr>
          <w:p>
            <w:pPr>
              <w:jc w:val="both"/>
            </w:pPr>
            <w:r>
              <w:rPr>
                <w:rFonts w:hint="eastAsia"/>
              </w:rPr>
              <w:t>孟宇、殷婧</w:t>
            </w:r>
          </w:p>
        </w:tc>
        <w:tc>
          <w:tcPr>
            <w:tcW w:w="1000" w:type="pct"/>
            <w:vAlign w:val="center"/>
          </w:tcPr>
          <w:p>
            <w:pPr>
              <w:jc w:val="both"/>
            </w:pPr>
            <w:r>
              <w:rPr>
                <w:rFonts w:hint="eastAsia"/>
              </w:rPr>
              <w:t>021-38003800-3702</w:t>
            </w:r>
          </w:p>
        </w:tc>
      </w:tr>
      <w:tr>
        <w:tc>
          <w:tcPr>
            <w:tcW w:w="1000" w:type="pct"/>
            <w:vAlign w:val="center"/>
          </w:tcPr>
          <w:p>
            <w:pPr>
              <w:jc w:val="both"/>
            </w:pPr>
            <w:r>
              <w:rPr>
                <w:rFonts w:hint="eastAsia"/>
              </w:rPr>
              <w:lastRenderedPageBreak/>
              <w:t>平安证券股份有限公司</w:t>
            </w:r>
          </w:p>
        </w:tc>
        <w:tc>
          <w:tcPr>
            <w:tcW w:w="1000" w:type="pct"/>
            <w:vAlign w:val="center"/>
          </w:tcPr>
          <w:p>
            <w:pPr>
              <w:jc w:val="both"/>
            </w:pPr>
            <w:r>
              <w:t>深圳市福田区福田街道益田路5023号平安金融中心B座第22-25层</w:t>
            </w:r>
          </w:p>
        </w:tc>
        <w:tc>
          <w:tcPr>
            <w:tcW w:w="1000" w:type="pct"/>
            <w:vAlign w:val="center"/>
          </w:tcPr>
          <w:p>
            <w:pPr>
              <w:jc w:val="both"/>
            </w:pPr>
            <w:r>
              <w:rPr>
                <w:rFonts w:hint="eastAsia"/>
              </w:rPr>
              <w:t>昌华、乔贝贝</w:t>
            </w:r>
          </w:p>
        </w:tc>
        <w:tc>
          <w:tcPr>
            <w:tcW w:w="1000" w:type="pct"/>
            <w:vAlign w:val="center"/>
          </w:tcPr>
          <w:p>
            <w:pPr>
              <w:jc w:val="both"/>
            </w:pPr>
            <w:r>
              <w:t>孙博、李曦睿</w:t>
            </w:r>
          </w:p>
        </w:tc>
        <w:tc>
          <w:tcPr>
            <w:tcW w:w="1000" w:type="pct"/>
            <w:vAlign w:val="center"/>
          </w:tcPr>
          <w:p>
            <w:pPr>
              <w:jc w:val="both"/>
            </w:pPr>
            <w:r>
              <w:t>010-56800276</w:t>
            </w:r>
          </w:p>
        </w:tc>
      </w:tr>
      <w:tr>
        <w:tc>
          <w:tcPr>
            <w:tcW w:w="1000" w:type="pct"/>
            <w:vAlign w:val="center"/>
          </w:tcPr>
          <w:p>
            <w:pPr>
              <w:jc w:val="both"/>
            </w:pPr>
            <w:r>
              <w:rPr>
                <w:rFonts w:hint="eastAsia"/>
              </w:rPr>
              <w:t>东方金诚国际信用评估有限公司</w:t>
            </w:r>
          </w:p>
        </w:tc>
        <w:tc>
          <w:tcPr>
            <w:tcW w:w="1000" w:type="pct"/>
            <w:vAlign w:val="center"/>
          </w:tcPr>
          <w:p>
            <w:pPr>
              <w:jc w:val="both"/>
            </w:pPr>
            <w:r>
              <w:rPr>
                <w:rFonts w:hint="eastAsia"/>
              </w:rPr>
              <w:t>北京市丰台区丽泽路</w:t>
            </w:r>
            <w:r>
              <w:t>24号院平安幸福中心A座47层</w:t>
            </w:r>
          </w:p>
        </w:tc>
        <w:tc>
          <w:tcPr>
            <w:tcW w:w="1000" w:type="pct"/>
            <w:vAlign w:val="center"/>
          </w:tcPr>
          <w:p>
            <w:pPr>
              <w:jc w:val="both"/>
            </w:pPr>
            <w:r>
              <w:rPr>
                <w:rFonts w:hint="eastAsia"/>
              </w:rPr>
              <w:t>迟文洲、彭泽</w:t>
            </w:r>
          </w:p>
        </w:tc>
        <w:tc>
          <w:tcPr>
            <w:tcW w:w="1000" w:type="pct"/>
            <w:vAlign w:val="center"/>
          </w:tcPr>
          <w:p>
            <w:pPr>
              <w:jc w:val="both"/>
            </w:pPr>
            <w:r>
              <w:rPr>
                <w:rFonts w:hint="eastAsia"/>
              </w:rPr>
              <w:t>曹鹏</w:t>
            </w:r>
          </w:p>
        </w:tc>
        <w:tc>
          <w:tcPr>
            <w:tcW w:w="1000" w:type="pct"/>
            <w:vAlign w:val="center"/>
          </w:tcPr>
          <w:p>
            <w:pPr>
              <w:jc w:val="both"/>
              <w:rPr>
                <w:rFonts w:cs="Times New Roman"/>
                <w:szCs w:val="21"/>
              </w:rPr>
            </w:pPr>
            <w:r>
              <w:t>0571-87858258</w:t>
            </w:r>
          </w:p>
        </w:tc>
      </w:tr>
      <w:tr>
        <w:tc>
          <w:tcPr>
            <w:tcW w:w="1000" w:type="pct"/>
            <w:vAlign w:val="center"/>
          </w:tcPr>
          <w:p>
            <w:pPr>
              <w:jc w:val="both"/>
            </w:pPr>
            <w:r>
              <w:rPr>
                <w:rFonts w:hint="eastAsia"/>
              </w:rPr>
              <w:t>联合资信评估股份有限公司</w:t>
            </w:r>
          </w:p>
        </w:tc>
        <w:tc>
          <w:tcPr>
            <w:tcW w:w="1000" w:type="pct"/>
            <w:vAlign w:val="center"/>
          </w:tcPr>
          <w:p>
            <w:pPr>
              <w:jc w:val="both"/>
            </w:pPr>
            <w:r>
              <w:rPr>
                <w:rFonts w:hint="eastAsia"/>
              </w:rPr>
              <w:t>北京市朝阳区建国门外大街</w:t>
            </w:r>
            <w:r>
              <w:t>2号中国人保财险大厦17层</w:t>
            </w:r>
          </w:p>
        </w:tc>
        <w:tc>
          <w:tcPr>
            <w:tcW w:w="1000" w:type="pct"/>
            <w:vAlign w:val="center"/>
          </w:tcPr>
          <w:p>
            <w:pPr>
              <w:jc w:val="both"/>
            </w:pPr>
            <w:r>
              <w:rPr>
                <w:rFonts w:hint="eastAsia"/>
              </w:rPr>
              <w:t>茆广勤</w:t>
            </w:r>
          </w:p>
        </w:tc>
        <w:tc>
          <w:tcPr>
            <w:tcW w:w="1000" w:type="pct"/>
            <w:vAlign w:val="center"/>
          </w:tcPr>
          <w:p>
            <w:pPr>
              <w:jc w:val="both"/>
            </w:pPr>
            <w:r>
              <w:rPr>
                <w:rFonts w:hint="eastAsia"/>
              </w:rPr>
              <w:t>黄烨</w:t>
            </w:r>
          </w:p>
        </w:tc>
        <w:tc>
          <w:tcPr>
            <w:tcW w:w="1000" w:type="pct"/>
            <w:vAlign w:val="center"/>
          </w:tcPr>
          <w:p>
            <w:pPr>
              <w:jc w:val="both"/>
              <w:rPr>
                <w:rFonts w:cs="Times New Roman"/>
                <w:szCs w:val="21"/>
              </w:rPr>
            </w:pPr>
            <w:r>
              <w:t>010-85679696</w:t>
            </w:r>
          </w:p>
        </w:tc>
      </w:tr>
      <w:bookmarkEnd w:id="257"/>
    </w:tbl>
    <w:p>
      <w:pPr>
        <w:rPr>
          <w:szCs w:val="21"/>
        </w:rPr>
      </w:pPr>
    </w:p>
    <w:p>
      <w:pPr>
        <w:rPr>
          <w:szCs w:val="21"/>
        </w:rPr>
      </w:pPr>
    </w:p>
    <w:p>
      <w:pPr>
        <w:pStyle w:val="affffffd"/>
      </w:pPr>
      <w:r>
        <w:t>上述中介机构发生变更的情况</w:t>
      </w:r>
    </w:p>
    <w:sdt>
      <w:sdtPr>
        <w:rPr>
          <w:rFonts w:cs="Times New Roman" w:hint="eastAsia"/>
          <w:bCs/>
          <w:kern w:val="2"/>
          <w:szCs w:val="21"/>
        </w:rPr>
        <w:alias w:val="是否适用：中介机构发生变更的情况[双击切换]"/>
        <w:tag w:val="_GBC_406adc2f253341959c4229009060293e"/>
        <w:id w:val="795330791"/>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szCs w:val="21"/>
        </w:rPr>
      </w:pPr>
    </w:p>
    <w:p>
      <w:pPr>
        <w:pStyle w:val="4"/>
        <w:numPr>
          <w:ilvl w:val="0"/>
          <w:numId w:val="26"/>
        </w:numPr>
        <w:ind w:left="425" w:hanging="425"/>
        <w:rPr>
          <w:rFonts w:ascii="宋体" w:hAnsi="宋体" w:cs="宋体"/>
          <w:kern w:val="0"/>
          <w:szCs w:val="21"/>
        </w:rPr>
      </w:pPr>
      <w:bookmarkStart w:id="258" w:name="_Hlk89419436"/>
      <w:r>
        <w:rPr>
          <w:rFonts w:ascii="宋体" w:hAnsi="宋体" w:cs="宋体" w:hint="eastAsia"/>
          <w:kern w:val="0"/>
          <w:szCs w:val="21"/>
        </w:rPr>
        <w:t>信用评级结果调整情况</w:t>
      </w:r>
    </w:p>
    <w:sdt>
      <w:sdtPr>
        <w:rPr>
          <w:rFonts w:cs="Times New Roman" w:hint="eastAsia"/>
          <w:bCs/>
          <w:color w:val="000000" w:themeColor="text1"/>
          <w:kern w:val="2"/>
          <w:szCs w:val="21"/>
        </w:rPr>
        <w:alias w:val="是否适用：公司债券评级情况[双击切换]"/>
        <w:tag w:val="_GBC_345df0453cf941d0a16bc6d740748aa0"/>
        <w:id w:val="-1597247060"/>
        <w:placeholder>
          <w:docPart w:val="GBC22222222222222222222222222222"/>
        </w:placeholder>
      </w:sdtPr>
      <w:sdtContent>
        <w:p>
          <w:pPr>
            <w:rPr>
              <w:rFonts w:cs="Times New Roman"/>
              <w:bCs/>
              <w:color w:val="000000" w:themeColor="text1"/>
              <w:kern w:val="2"/>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szCs w:val="21"/>
        </w:rPr>
      </w:pPr>
    </w:p>
    <w:p>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信用评级结果调整情况其他说明[双击切换]"/>
        <w:tag w:val="_GBC_53eb0e10841145bb837764aa43265bb6"/>
        <w:id w:val="-1147429545"/>
        <w:placeholder>
          <w:docPart w:val="GBC22222222222222222222222222222"/>
        </w:placeholder>
      </w:sdtPr>
      <w:sdtContent>
        <w:p>
          <w:pPr>
            <w:adjustRightInd w:val="0"/>
            <w:snapToGrid w:val="0"/>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rFonts w:cs="Times New Roman"/>
          <w:b/>
          <w:bCs/>
          <w:kern w:val="2"/>
          <w:szCs w:val="21"/>
        </w:rPr>
      </w:pPr>
    </w:p>
    <w:p>
      <w:pPr>
        <w:pStyle w:val="4"/>
        <w:numPr>
          <w:ilvl w:val="0"/>
          <w:numId w:val="26"/>
        </w:numPr>
        <w:ind w:left="425" w:hanging="425"/>
        <w:rPr>
          <w:rFonts w:ascii="宋体" w:hAnsi="宋体" w:cs="宋体"/>
          <w:kern w:val="0"/>
          <w:szCs w:val="21"/>
        </w:rPr>
      </w:pPr>
      <w:r>
        <w:rPr>
          <w:rFonts w:ascii="宋体" w:hAnsi="宋体" w:cs="宋体" w:hint="eastAsia"/>
          <w:kern w:val="0"/>
          <w:szCs w:val="21"/>
        </w:rPr>
        <w:t>担保情况、偿债计划及其他偿债保障措施在报告期内的变更、变化和执行情况及其影响</w:t>
      </w:r>
    </w:p>
    <w:sdt>
      <w:sdtPr>
        <w:rPr>
          <w:rFonts w:cs="Times New Roman"/>
          <w:bCs/>
          <w:color w:val="000000" w:themeColor="text1"/>
          <w:kern w:val="2"/>
          <w:szCs w:val="21"/>
        </w:rPr>
        <w:alias w:val="是否适用：担保情况、偿债计划及其他偿债保障措施在报告期内的执行情况和变化情况及对债券投资者权益的影响[双击切换]"/>
        <w:tag w:val="_GBC_794f04656be94d198b6d2f05b3c3e272"/>
        <w:id w:val="2069681544"/>
        <w:placeholder>
          <w:docPart w:val="GBC22222222222222222222222222222"/>
        </w:placeholder>
      </w:sdtPr>
      <w:sdtContent>
        <w:p>
          <w:pPr>
            <w:rPr>
              <w:color w:val="000000" w:themeColor="text1"/>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szCs w:val="21"/>
        </w:rPr>
      </w:pPr>
    </w:p>
    <w:p>
      <w:pPr>
        <w:rPr>
          <w:rFonts w:cs="Times New Roman"/>
          <w:bCs/>
          <w:color w:val="000000" w:themeColor="text1"/>
          <w:kern w:val="2"/>
          <w:szCs w:val="21"/>
        </w:rPr>
        <w:sectPr>
          <w:pgSz w:w="16838" w:h="11906" w:orient="landscape"/>
          <w:pgMar w:top="1797" w:right="1525" w:bottom="1276" w:left="1440" w:header="856" w:footer="992" w:gutter="0"/>
          <w:cols w:space="425"/>
          <w:docGrid w:linePitch="312"/>
        </w:sectPr>
      </w:pPr>
    </w:p>
    <w:p>
      <w:pPr>
        <w:pStyle w:val="3"/>
        <w:numPr>
          <w:ilvl w:val="0"/>
          <w:numId w:val="24"/>
        </w:numPr>
        <w:ind w:left="425" w:hanging="425"/>
        <w:rPr>
          <w:rFonts w:ascii="宋体" w:hAnsi="宋体"/>
        </w:rPr>
      </w:pPr>
      <w:bookmarkStart w:id="259" w:name="_Toc141452802"/>
      <w:bookmarkStart w:id="260" w:name="_Hlk169616063"/>
      <w:bookmarkStart w:id="261" w:name="_Hlk182406757"/>
      <w:bookmarkEnd w:id="256"/>
      <w:bookmarkEnd w:id="258"/>
      <w:r>
        <w:rPr>
          <w:rFonts w:ascii="宋体" w:hAnsi="宋体" w:hint="eastAsia"/>
        </w:rPr>
        <w:lastRenderedPageBreak/>
        <w:t>公司债券募集资金情况</w:t>
      </w:r>
      <w:bookmarkEnd w:id="259"/>
    </w:p>
    <w:bookmarkStart w:id="262" w:name="_Hlk192529275" w:displacedByCustomXml="next"/>
    <w:sdt>
      <w:sdtPr>
        <w:rPr>
          <w:bCs/>
          <w:color w:val="000000" w:themeColor="text1"/>
        </w:rPr>
        <w:alias w:val="是否：在报告期内使用募集资金"/>
        <w:tag w:val="_GBC_4dfe905122f142c69ad48b560ad8824e"/>
        <w:id w:val="993688070"/>
        <w:lock w:val="contentLocked"/>
        <w:placeholder>
          <w:docPart w:val="GBC22222222222222222222222222222"/>
        </w:placeholder>
      </w:sdtPr>
      <w:sdtEndPr>
        <w:rPr>
          <w:b/>
        </w:rPr>
      </w:sdtEndPr>
      <w:sdtContent>
        <w:p>
          <w:pPr>
            <w:kinsoku w:val="0"/>
            <w:overflowPunct w:val="0"/>
            <w:rPr>
              <w:b/>
              <w:bCs/>
              <w:color w:val="000000" w:themeColor="text1"/>
            </w:rPr>
          </w:pPr>
          <w:r>
            <w:rPr>
              <w:bCs/>
              <w:color w:val="000000" w:themeColor="text1"/>
            </w:rPr>
            <w:fldChar w:fldCharType="begin"/>
          </w:r>
          <w:r>
            <w:rPr>
              <w:bCs/>
              <w:color w:val="000000" w:themeColor="text1"/>
            </w:rPr>
            <w:instrText xml:space="preserve"> MACROBUTTON  SnrToggleCheckbox √公司债券在报告期内涉及募集资金使用或者整改 </w:instrText>
          </w:r>
          <w:r>
            <w:rPr>
              <w:bCs/>
              <w:color w:val="000000" w:themeColor="text1"/>
            </w:rPr>
            <w:fldChar w:fldCharType="end"/>
          </w:r>
          <w:bookmarkEnd w:id="262"/>
          <w:r>
            <w:rPr>
              <w:bCs/>
              <w:color w:val="000000" w:themeColor="text1"/>
            </w:rPr>
            <w:fldChar w:fldCharType="begin"/>
          </w:r>
          <w:r>
            <w:rPr>
              <w:bCs/>
              <w:color w:val="000000" w:themeColor="text1"/>
            </w:rPr>
            <w:instrText xml:space="preserve"> MACROBUTTON  SnrToggleCheckbox □本公司所有公司债券在报告期内均不涉及募集资金使用或者整改 </w:instrText>
          </w:r>
          <w:r>
            <w:rPr>
              <w:bCs/>
              <w:color w:val="000000" w:themeColor="text1"/>
            </w:rPr>
            <w:fldChar w:fldCharType="end"/>
          </w:r>
        </w:p>
      </w:sdtContent>
    </w:sdt>
    <w:p>
      <w:pPr>
        <w:pStyle w:val="4"/>
        <w:numPr>
          <w:ilvl w:val="0"/>
          <w:numId w:val="30"/>
        </w:numPr>
      </w:pPr>
      <w:r>
        <w:rPr>
          <w:rFonts w:hint="eastAsia"/>
        </w:rPr>
        <w:t>基本情况</w:t>
      </w:r>
    </w:p>
    <w:p>
      <w:pPr>
        <w:kinsoku w:val="0"/>
        <w:overflowPunct w:val="0"/>
        <w:jc w:val="right"/>
        <w:rPr>
          <w:color w:val="000000" w:themeColor="text1"/>
        </w:rPr>
      </w:pPr>
      <w:r>
        <w:rPr>
          <w:rFonts w:hint="eastAsia"/>
          <w:color w:val="000000" w:themeColor="text1"/>
        </w:rPr>
        <w:t>单位：</w:t>
      </w:r>
      <w:sdt>
        <w:sdtPr>
          <w:rPr>
            <w:rFonts w:hint="eastAsia"/>
            <w:color w:val="000000" w:themeColor="text1"/>
          </w:rPr>
          <w:alias w:val="单位：募集资金使用情况"/>
          <w:tag w:val="_GBC_5fcb42227b85458f84a53ece41acd583"/>
          <w:id w:val="-15677983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募集资金使用情况"/>
          <w:tag w:val="_GBC_7ea8755a8e8340b983f88e5fba2ade30"/>
          <w:id w:val="21093121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ffffffffff7"/>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135"/>
        <w:gridCol w:w="1268"/>
        <w:gridCol w:w="1562"/>
        <w:gridCol w:w="874"/>
        <w:gridCol w:w="1375"/>
        <w:gridCol w:w="1766"/>
      </w:tblGrid>
      <w:tr>
        <w:trPr>
          <w:trHeight w:val="525"/>
          <w:jc w:val="center"/>
        </w:trPr>
        <w:sdt>
          <w:sdtPr>
            <w:rPr>
              <w:szCs w:val="21"/>
            </w:rPr>
            <w:tag w:val="_PLD_993a6f13bf42497fb3353ba78a4cf204"/>
            <w:id w:val="-1707562960"/>
          </w:sdtPr>
          <w:sdtContent>
            <w:tc>
              <w:tcPr>
                <w:tcW w:w="689" w:type="pct"/>
                <w:shd w:val="clear" w:color="auto" w:fill="auto"/>
                <w:noWrap/>
                <w:vAlign w:val="center"/>
              </w:tcPr>
              <w:p>
                <w:pPr>
                  <w:jc w:val="center"/>
                  <w:rPr>
                    <w:rFonts w:cs="Times New Roman"/>
                    <w:bCs/>
                    <w:szCs w:val="21"/>
                  </w:rPr>
                </w:pPr>
                <w:r>
                  <w:rPr>
                    <w:rFonts w:cs="Times New Roman" w:hint="eastAsia"/>
                    <w:bCs/>
                    <w:szCs w:val="21"/>
                  </w:rPr>
                  <w:t>债券代码</w:t>
                </w:r>
              </w:p>
            </w:tc>
          </w:sdtContent>
        </w:sdt>
        <w:sdt>
          <w:sdtPr>
            <w:rPr>
              <w:szCs w:val="21"/>
            </w:rPr>
            <w:tag w:val="_PLD_49961d34e5294f80aa218bd01912dd97"/>
            <w:id w:val="-1825110695"/>
          </w:sdtPr>
          <w:sdtContent>
            <w:tc>
              <w:tcPr>
                <w:tcW w:w="613" w:type="pct"/>
                <w:shd w:val="clear" w:color="auto" w:fill="auto"/>
                <w:noWrap/>
                <w:vAlign w:val="center"/>
              </w:tcPr>
              <w:p>
                <w:pPr>
                  <w:jc w:val="center"/>
                  <w:rPr>
                    <w:rFonts w:cs="Times New Roman"/>
                    <w:bCs/>
                    <w:szCs w:val="21"/>
                  </w:rPr>
                </w:pPr>
                <w:r>
                  <w:rPr>
                    <w:rFonts w:cs="Times New Roman" w:hint="eastAsia"/>
                    <w:bCs/>
                    <w:szCs w:val="21"/>
                  </w:rPr>
                  <w:t>债券简称</w:t>
                </w:r>
              </w:p>
            </w:tc>
          </w:sdtContent>
        </w:sdt>
        <w:sdt>
          <w:sdtPr>
            <w:rPr>
              <w:szCs w:val="21"/>
            </w:rPr>
            <w:tag w:val="_PLD_ad6f6ce592754c5795e7231f97d8a4e5"/>
            <w:id w:val="1927229737"/>
          </w:sdtPr>
          <w:sdtContent>
            <w:tc>
              <w:tcPr>
                <w:tcW w:w="685" w:type="pct"/>
                <w:shd w:val="clear" w:color="auto" w:fill="auto"/>
                <w:noWrap/>
                <w:vAlign w:val="center"/>
              </w:tcPr>
              <w:p>
                <w:pPr>
                  <w:jc w:val="center"/>
                  <w:rPr>
                    <w:rFonts w:cs="Times New Roman"/>
                    <w:bCs/>
                    <w:szCs w:val="21"/>
                  </w:rPr>
                </w:pPr>
                <w:r>
                  <w:rPr>
                    <w:rFonts w:cs="Times New Roman" w:hint="eastAsia"/>
                    <w:bCs/>
                    <w:szCs w:val="21"/>
                  </w:rPr>
                  <w:t>是否</w:t>
                </w:r>
                <w:r>
                  <w:rPr>
                    <w:rFonts w:cs="Times New Roman"/>
                    <w:bCs/>
                    <w:szCs w:val="21"/>
                  </w:rPr>
                  <w:t>为</w:t>
                </w:r>
                <w:r>
                  <w:rPr>
                    <w:rFonts w:cs="Times New Roman" w:hint="eastAsia"/>
                    <w:bCs/>
                    <w:szCs w:val="21"/>
                  </w:rPr>
                  <w:t>专项</w:t>
                </w:r>
                <w:r>
                  <w:rPr>
                    <w:rFonts w:cs="Times New Roman"/>
                    <w:bCs/>
                    <w:szCs w:val="21"/>
                  </w:rPr>
                  <w:t>品种债券</w:t>
                </w:r>
              </w:p>
            </w:tc>
          </w:sdtContent>
        </w:sdt>
        <w:sdt>
          <w:sdtPr>
            <w:rPr>
              <w:szCs w:val="21"/>
            </w:rPr>
            <w:tag w:val="_PLD_c7941e3f1c954e0895f05741beac7e22"/>
            <w:id w:val="993913263"/>
          </w:sdtPr>
          <w:sdtContent>
            <w:tc>
              <w:tcPr>
                <w:tcW w:w="844" w:type="pct"/>
                <w:shd w:val="clear" w:color="auto" w:fill="auto"/>
                <w:noWrap/>
                <w:vAlign w:val="center"/>
              </w:tcPr>
              <w:p>
                <w:pPr>
                  <w:jc w:val="center"/>
                  <w:rPr>
                    <w:rFonts w:cs="Times New Roman"/>
                    <w:bCs/>
                    <w:szCs w:val="21"/>
                  </w:rPr>
                </w:pPr>
                <w:r>
                  <w:rPr>
                    <w:rFonts w:cs="Times New Roman" w:hint="eastAsia"/>
                    <w:bCs/>
                    <w:szCs w:val="21"/>
                  </w:rPr>
                  <w:t>专项</w:t>
                </w:r>
                <w:r>
                  <w:rPr>
                    <w:rFonts w:cs="Times New Roman"/>
                    <w:bCs/>
                    <w:szCs w:val="21"/>
                  </w:rPr>
                  <w:t>品种债券</w:t>
                </w:r>
                <w:r>
                  <w:rPr>
                    <w:rFonts w:cs="Times New Roman" w:hint="eastAsia"/>
                    <w:bCs/>
                    <w:szCs w:val="21"/>
                  </w:rPr>
                  <w:t>的具体</w:t>
                </w:r>
                <w:r>
                  <w:rPr>
                    <w:rFonts w:cs="Times New Roman"/>
                    <w:bCs/>
                    <w:szCs w:val="21"/>
                  </w:rPr>
                  <w:t>类型</w:t>
                </w:r>
              </w:p>
            </w:tc>
          </w:sdtContent>
        </w:sdt>
        <w:sdt>
          <w:sdtPr>
            <w:rPr>
              <w:szCs w:val="21"/>
            </w:rPr>
            <w:tag w:val="_PLD_8fe4e1fb0c2e4a6ba7490207bc3289f9"/>
            <w:id w:val="1321237532"/>
          </w:sdtPr>
          <w:sdtContent>
            <w:tc>
              <w:tcPr>
                <w:tcW w:w="472" w:type="pct"/>
                <w:shd w:val="clear" w:color="auto" w:fill="auto"/>
                <w:noWrap/>
                <w:vAlign w:val="center"/>
              </w:tcPr>
              <w:p>
                <w:pPr>
                  <w:jc w:val="center"/>
                  <w:rPr>
                    <w:rFonts w:cs="Times New Roman"/>
                    <w:bCs/>
                    <w:szCs w:val="21"/>
                  </w:rPr>
                </w:pPr>
                <w:r>
                  <w:rPr>
                    <w:rFonts w:cs="Times New Roman" w:hint="eastAsia"/>
                    <w:bCs/>
                    <w:szCs w:val="21"/>
                  </w:rPr>
                  <w:t>募集资金总额</w:t>
                </w:r>
              </w:p>
            </w:tc>
          </w:sdtContent>
        </w:sdt>
        <w:sdt>
          <w:sdtPr>
            <w:rPr>
              <w:szCs w:val="21"/>
            </w:rPr>
            <w:tag w:val="_PLD_d0cc2f22f0aa4a2299369fcf19a21e7f"/>
            <w:id w:val="-1409377502"/>
          </w:sdtPr>
          <w:sdtContent>
            <w:tc>
              <w:tcPr>
                <w:tcW w:w="743" w:type="pct"/>
                <w:vAlign w:val="center"/>
              </w:tcPr>
              <w:p>
                <w:pPr>
                  <w:jc w:val="center"/>
                  <w:rPr>
                    <w:color w:val="000000" w:themeColor="text1"/>
                    <w:szCs w:val="21"/>
                  </w:rPr>
                </w:pPr>
                <w:r>
                  <w:rPr>
                    <w:rFonts w:hint="eastAsia"/>
                    <w:color w:val="000000" w:themeColor="text1"/>
                    <w:szCs w:val="21"/>
                  </w:rPr>
                  <w:t>报告期</w:t>
                </w:r>
                <w:r>
                  <w:rPr>
                    <w:color w:val="000000" w:themeColor="text1"/>
                    <w:szCs w:val="21"/>
                  </w:rPr>
                  <w:t>末</w:t>
                </w:r>
                <w:r>
                  <w:rPr>
                    <w:rFonts w:hint="eastAsia"/>
                    <w:color w:val="000000" w:themeColor="text1"/>
                    <w:szCs w:val="21"/>
                  </w:rPr>
                  <w:t>募集</w:t>
                </w:r>
                <w:r>
                  <w:rPr>
                    <w:color w:val="000000" w:themeColor="text1"/>
                    <w:szCs w:val="21"/>
                  </w:rPr>
                  <w:t>资金余额</w:t>
                </w:r>
              </w:p>
            </w:tc>
          </w:sdtContent>
        </w:sdt>
        <w:sdt>
          <w:sdtPr>
            <w:rPr>
              <w:szCs w:val="21"/>
            </w:rPr>
            <w:tag w:val="_PLD_c6792cd79bfa4f6694cb8eafb7af7038"/>
            <w:id w:val="-1035649612"/>
          </w:sdtPr>
          <w:sdtContent>
            <w:tc>
              <w:tcPr>
                <w:tcW w:w="954" w:type="pct"/>
                <w:shd w:val="clear" w:color="auto" w:fill="auto"/>
                <w:noWrap/>
                <w:vAlign w:val="center"/>
              </w:tcPr>
              <w:p>
                <w:pPr>
                  <w:jc w:val="center"/>
                  <w:rPr>
                    <w:rFonts w:cs="Times New Roman"/>
                    <w:bCs/>
                    <w:szCs w:val="21"/>
                  </w:rPr>
                </w:pPr>
                <w:r>
                  <w:rPr>
                    <w:rFonts w:hint="eastAsia"/>
                    <w:color w:val="000000" w:themeColor="text1"/>
                    <w:szCs w:val="21"/>
                  </w:rPr>
                  <w:t>报告期</w:t>
                </w:r>
                <w:r>
                  <w:rPr>
                    <w:color w:val="000000" w:themeColor="text1"/>
                    <w:szCs w:val="21"/>
                  </w:rPr>
                  <w:t>末募集资金</w:t>
                </w:r>
                <w:r>
                  <w:rPr>
                    <w:rFonts w:hint="eastAsia"/>
                    <w:color w:val="000000" w:themeColor="text1"/>
                    <w:szCs w:val="21"/>
                  </w:rPr>
                  <w:t>专项</w:t>
                </w:r>
                <w:r>
                  <w:rPr>
                    <w:color w:val="000000" w:themeColor="text1"/>
                    <w:szCs w:val="21"/>
                  </w:rPr>
                  <w:t>账户余额</w:t>
                </w:r>
              </w:p>
            </w:tc>
          </w:sdtContent>
        </w:sdt>
      </w:tr>
      <w:tr>
        <w:trPr>
          <w:trHeight w:val="270"/>
          <w:jc w:val="center"/>
        </w:trPr>
        <w:tc>
          <w:tcPr>
            <w:tcW w:w="689" w:type="pct"/>
            <w:shd w:val="clear" w:color="auto" w:fill="auto"/>
            <w:noWrap/>
            <w:vAlign w:val="center"/>
          </w:tcPr>
          <w:p>
            <w:pPr>
              <w:jc w:val="both"/>
              <w:rPr>
                <w:szCs w:val="21"/>
              </w:rPr>
            </w:pPr>
            <w:r>
              <w:rPr>
                <w:szCs w:val="21"/>
              </w:rPr>
              <w:t>240582</w:t>
            </w:r>
          </w:p>
        </w:tc>
        <w:tc>
          <w:tcPr>
            <w:tcW w:w="613" w:type="pct"/>
            <w:shd w:val="clear" w:color="auto" w:fill="auto"/>
            <w:noWrap/>
            <w:vAlign w:val="center"/>
          </w:tcPr>
          <w:p>
            <w:pPr>
              <w:jc w:val="both"/>
              <w:rPr>
                <w:szCs w:val="21"/>
              </w:rPr>
            </w:pPr>
            <w:r>
              <w:rPr>
                <w:szCs w:val="21"/>
              </w:rPr>
              <w:t>24</w:t>
            </w:r>
            <w:r>
              <w:rPr>
                <w:rFonts w:hint="eastAsia"/>
                <w:szCs w:val="21"/>
              </w:rPr>
              <w:t>兖矿</w:t>
            </w:r>
            <w:r>
              <w:rPr>
                <w:szCs w:val="21"/>
              </w:rPr>
              <w:t>K1</w:t>
            </w:r>
          </w:p>
        </w:tc>
        <w:sdt>
          <w:sdtPr>
            <w:rPr>
              <w:rFonts w:hint="eastAsia"/>
              <w:color w:val="000000"/>
              <w:szCs w:val="21"/>
            </w:rPr>
            <w:alias w:val="是否为特定品种债券"/>
            <w:tag w:val="_GBC_cf1e5ed6cbd342b593105dafae5ff83c"/>
            <w:id w:val="1816911339"/>
            <w:comboBox>
              <w:listItem w:displayText="是" w:value="是"/>
              <w:listItem w:displayText="否" w:value="否"/>
            </w:comboBox>
          </w:sdtPr>
          <w:sdtContent>
            <w:tc>
              <w:tcPr>
                <w:tcW w:w="685" w:type="pct"/>
                <w:shd w:val="clear" w:color="auto" w:fill="auto"/>
                <w:noWrap/>
                <w:vAlign w:val="center"/>
              </w:tcPr>
              <w:p>
                <w:pPr>
                  <w:jc w:val="center"/>
                  <w:rPr>
                    <w:color w:val="000000"/>
                    <w:szCs w:val="21"/>
                  </w:rPr>
                </w:pPr>
                <w:r>
                  <w:rPr>
                    <w:rFonts w:hint="eastAsia"/>
                    <w:color w:val="000000"/>
                    <w:szCs w:val="21"/>
                  </w:rPr>
                  <w:t>是</w:t>
                </w:r>
              </w:p>
            </w:tc>
          </w:sdtContent>
        </w:sdt>
        <w:tc>
          <w:tcPr>
            <w:tcW w:w="844" w:type="pct"/>
            <w:shd w:val="clear" w:color="auto" w:fill="auto"/>
            <w:noWrap/>
            <w:vAlign w:val="center"/>
          </w:tcPr>
          <w:p>
            <w:pPr>
              <w:jc w:val="both"/>
              <w:rPr>
                <w:szCs w:val="21"/>
              </w:rPr>
            </w:pPr>
            <w:r>
              <w:rPr>
                <w:rFonts w:hint="eastAsia"/>
                <w:szCs w:val="21"/>
              </w:rPr>
              <w:t>科技创新债券</w:t>
            </w:r>
          </w:p>
        </w:tc>
        <w:tc>
          <w:tcPr>
            <w:tcW w:w="472" w:type="pct"/>
            <w:shd w:val="clear" w:color="auto" w:fill="auto"/>
            <w:noWrap/>
            <w:vAlign w:val="center"/>
          </w:tcPr>
          <w:p>
            <w:pPr>
              <w:jc w:val="right"/>
              <w:rPr>
                <w:szCs w:val="21"/>
              </w:rPr>
            </w:pPr>
            <w:r>
              <w:rPr>
                <w:rFonts w:hint="eastAsia"/>
                <w:szCs w:val="21"/>
              </w:rPr>
              <w:t>30</w:t>
            </w:r>
          </w:p>
        </w:tc>
        <w:tc>
          <w:tcPr>
            <w:tcW w:w="743" w:type="pct"/>
            <w:vAlign w:val="center"/>
          </w:tcPr>
          <w:p>
            <w:pPr>
              <w:jc w:val="right"/>
              <w:rPr>
                <w:szCs w:val="21"/>
              </w:rPr>
            </w:pPr>
            <w:r>
              <w:rPr>
                <w:rFonts w:hint="eastAsia"/>
                <w:szCs w:val="21"/>
              </w:rPr>
              <w:t>0</w:t>
            </w:r>
          </w:p>
        </w:tc>
        <w:tc>
          <w:tcPr>
            <w:tcW w:w="954" w:type="pct"/>
            <w:shd w:val="clear" w:color="auto" w:fill="auto"/>
            <w:noWrap/>
            <w:vAlign w:val="center"/>
          </w:tcPr>
          <w:p>
            <w:pPr>
              <w:jc w:val="right"/>
              <w:rPr>
                <w:szCs w:val="21"/>
              </w:rPr>
            </w:pPr>
            <w:r>
              <w:rPr>
                <w:rFonts w:hint="eastAsia"/>
                <w:szCs w:val="21"/>
              </w:rPr>
              <w:t>0</w:t>
            </w:r>
          </w:p>
        </w:tc>
      </w:tr>
      <w:tr>
        <w:trPr>
          <w:trHeight w:val="270"/>
          <w:jc w:val="center"/>
        </w:trPr>
        <w:tc>
          <w:tcPr>
            <w:tcW w:w="689" w:type="pct"/>
            <w:shd w:val="clear" w:color="auto" w:fill="auto"/>
            <w:noWrap/>
            <w:vAlign w:val="center"/>
          </w:tcPr>
          <w:p>
            <w:pPr>
              <w:jc w:val="both"/>
              <w:rPr>
                <w:szCs w:val="21"/>
              </w:rPr>
            </w:pPr>
            <w:r>
              <w:rPr>
                <w:rFonts w:cs="Times New Roman" w:hint="eastAsia"/>
                <w:szCs w:val="21"/>
              </w:rPr>
              <w:t>241141</w:t>
            </w:r>
          </w:p>
        </w:tc>
        <w:tc>
          <w:tcPr>
            <w:tcW w:w="613" w:type="pct"/>
            <w:shd w:val="clear" w:color="auto" w:fill="auto"/>
            <w:noWrap/>
            <w:vAlign w:val="center"/>
          </w:tcPr>
          <w:p>
            <w:pPr>
              <w:jc w:val="both"/>
              <w:rPr>
                <w:szCs w:val="21"/>
              </w:rPr>
            </w:pPr>
            <w:r>
              <w:rPr>
                <w:szCs w:val="21"/>
              </w:rPr>
              <w:t>兖矿KY01</w:t>
            </w:r>
          </w:p>
        </w:tc>
        <w:tc>
          <w:tcPr>
            <w:tcW w:w="685" w:type="pct"/>
            <w:shd w:val="clear" w:color="auto" w:fill="auto"/>
            <w:noWrap/>
            <w:vAlign w:val="center"/>
          </w:tcPr>
          <w:p>
            <w:pPr>
              <w:jc w:val="center"/>
              <w:rPr>
                <w:color w:val="000000"/>
                <w:szCs w:val="21"/>
              </w:rPr>
            </w:pPr>
            <w:r>
              <w:rPr>
                <w:rFonts w:hint="eastAsia"/>
                <w:color w:val="000000"/>
                <w:szCs w:val="21"/>
              </w:rPr>
              <w:t>是</w:t>
            </w:r>
          </w:p>
        </w:tc>
        <w:tc>
          <w:tcPr>
            <w:tcW w:w="844" w:type="pct"/>
            <w:shd w:val="clear" w:color="auto" w:fill="auto"/>
            <w:noWrap/>
            <w:vAlign w:val="center"/>
          </w:tcPr>
          <w:p>
            <w:pPr>
              <w:jc w:val="both"/>
              <w:rPr>
                <w:szCs w:val="21"/>
              </w:rPr>
            </w:pPr>
            <w:r>
              <w:rPr>
                <w:rFonts w:hint="eastAsia"/>
                <w:szCs w:val="21"/>
              </w:rPr>
              <w:t>科技创新债券</w:t>
            </w:r>
          </w:p>
        </w:tc>
        <w:tc>
          <w:tcPr>
            <w:tcW w:w="472" w:type="pct"/>
            <w:shd w:val="clear" w:color="auto" w:fill="auto"/>
            <w:noWrap/>
            <w:vAlign w:val="center"/>
          </w:tcPr>
          <w:p>
            <w:pPr>
              <w:jc w:val="right"/>
              <w:rPr>
                <w:szCs w:val="21"/>
              </w:rPr>
            </w:pPr>
            <w:r>
              <w:rPr>
                <w:szCs w:val="21"/>
              </w:rPr>
              <w:t>30</w:t>
            </w:r>
          </w:p>
        </w:tc>
        <w:tc>
          <w:tcPr>
            <w:tcW w:w="743" w:type="pct"/>
            <w:vAlign w:val="center"/>
          </w:tcPr>
          <w:p>
            <w:pPr>
              <w:jc w:val="right"/>
              <w:rPr>
                <w:szCs w:val="21"/>
              </w:rPr>
            </w:pPr>
            <w:r>
              <w:rPr>
                <w:rFonts w:hint="eastAsia"/>
                <w:szCs w:val="21"/>
              </w:rPr>
              <w:t>0</w:t>
            </w:r>
          </w:p>
        </w:tc>
        <w:tc>
          <w:tcPr>
            <w:tcW w:w="954" w:type="pct"/>
            <w:shd w:val="clear" w:color="auto" w:fill="auto"/>
            <w:noWrap/>
            <w:vAlign w:val="center"/>
          </w:tcPr>
          <w:p>
            <w:pPr>
              <w:jc w:val="right"/>
              <w:rPr>
                <w:szCs w:val="21"/>
              </w:rPr>
            </w:pPr>
            <w:r>
              <w:rPr>
                <w:rFonts w:hint="eastAsia"/>
                <w:szCs w:val="21"/>
              </w:rPr>
              <w:t>0</w:t>
            </w:r>
          </w:p>
        </w:tc>
      </w:tr>
      <w:tr>
        <w:trPr>
          <w:trHeight w:val="270"/>
          <w:jc w:val="center"/>
        </w:trPr>
        <w:tc>
          <w:tcPr>
            <w:tcW w:w="689" w:type="pct"/>
            <w:shd w:val="clear" w:color="auto" w:fill="auto"/>
            <w:noWrap/>
            <w:vAlign w:val="center"/>
          </w:tcPr>
          <w:p>
            <w:pPr>
              <w:jc w:val="both"/>
              <w:rPr>
                <w:rFonts w:cs="Times New Roman"/>
                <w:szCs w:val="21"/>
              </w:rPr>
            </w:pPr>
            <w:r>
              <w:rPr>
                <w:rFonts w:cs="Times New Roman" w:hint="eastAsia"/>
                <w:szCs w:val="21"/>
              </w:rPr>
              <w:t>241324</w:t>
            </w:r>
          </w:p>
        </w:tc>
        <w:tc>
          <w:tcPr>
            <w:tcW w:w="613" w:type="pct"/>
            <w:shd w:val="clear" w:color="auto" w:fill="auto"/>
            <w:noWrap/>
            <w:vAlign w:val="center"/>
          </w:tcPr>
          <w:p>
            <w:pPr>
              <w:jc w:val="both"/>
              <w:rPr>
                <w:szCs w:val="21"/>
              </w:rPr>
            </w:pPr>
            <w:r>
              <w:rPr>
                <w:szCs w:val="21"/>
              </w:rPr>
              <w:t>兖矿KY02</w:t>
            </w:r>
          </w:p>
        </w:tc>
        <w:tc>
          <w:tcPr>
            <w:tcW w:w="685" w:type="pct"/>
            <w:shd w:val="clear" w:color="auto" w:fill="auto"/>
            <w:noWrap/>
            <w:vAlign w:val="center"/>
          </w:tcPr>
          <w:p>
            <w:pPr>
              <w:jc w:val="center"/>
              <w:rPr>
                <w:szCs w:val="21"/>
              </w:rPr>
            </w:pPr>
            <w:r>
              <w:rPr>
                <w:rFonts w:hint="eastAsia"/>
                <w:color w:val="000000"/>
                <w:szCs w:val="21"/>
              </w:rPr>
              <w:t>是</w:t>
            </w:r>
          </w:p>
        </w:tc>
        <w:tc>
          <w:tcPr>
            <w:tcW w:w="844" w:type="pct"/>
            <w:shd w:val="clear" w:color="auto" w:fill="auto"/>
            <w:noWrap/>
            <w:vAlign w:val="center"/>
          </w:tcPr>
          <w:p>
            <w:pPr>
              <w:jc w:val="both"/>
              <w:rPr>
                <w:szCs w:val="21"/>
              </w:rPr>
            </w:pPr>
            <w:r>
              <w:rPr>
                <w:rFonts w:hint="eastAsia"/>
                <w:szCs w:val="21"/>
              </w:rPr>
              <w:t>科技创新债券</w:t>
            </w:r>
          </w:p>
        </w:tc>
        <w:tc>
          <w:tcPr>
            <w:tcW w:w="472" w:type="pct"/>
            <w:shd w:val="clear" w:color="auto" w:fill="auto"/>
            <w:noWrap/>
            <w:vAlign w:val="center"/>
          </w:tcPr>
          <w:p>
            <w:pPr>
              <w:jc w:val="right"/>
              <w:rPr>
                <w:szCs w:val="21"/>
              </w:rPr>
            </w:pPr>
            <w:r>
              <w:rPr>
                <w:rFonts w:hint="eastAsia"/>
                <w:szCs w:val="21"/>
              </w:rPr>
              <w:t>20</w:t>
            </w:r>
          </w:p>
        </w:tc>
        <w:tc>
          <w:tcPr>
            <w:tcW w:w="743" w:type="pct"/>
            <w:vAlign w:val="center"/>
          </w:tcPr>
          <w:p>
            <w:pPr>
              <w:jc w:val="right"/>
              <w:rPr>
                <w:szCs w:val="21"/>
              </w:rPr>
            </w:pPr>
            <w:r>
              <w:rPr>
                <w:rFonts w:hint="eastAsia"/>
                <w:szCs w:val="21"/>
              </w:rPr>
              <w:t>0</w:t>
            </w:r>
          </w:p>
        </w:tc>
        <w:tc>
          <w:tcPr>
            <w:tcW w:w="954" w:type="pct"/>
            <w:shd w:val="clear" w:color="auto" w:fill="auto"/>
            <w:noWrap/>
            <w:vAlign w:val="center"/>
          </w:tcPr>
          <w:p>
            <w:pPr>
              <w:jc w:val="right"/>
              <w:rPr>
                <w:szCs w:val="21"/>
              </w:rPr>
            </w:pPr>
            <w:r>
              <w:rPr>
                <w:rFonts w:hint="eastAsia"/>
                <w:szCs w:val="21"/>
              </w:rPr>
              <w:t>0</w:t>
            </w:r>
          </w:p>
        </w:tc>
      </w:tr>
      <w:tr>
        <w:trPr>
          <w:trHeight w:val="270"/>
          <w:jc w:val="center"/>
        </w:trPr>
        <w:tc>
          <w:tcPr>
            <w:tcW w:w="689" w:type="pct"/>
            <w:shd w:val="clear" w:color="auto" w:fill="auto"/>
            <w:noWrap/>
            <w:vAlign w:val="center"/>
          </w:tcPr>
          <w:p>
            <w:pPr>
              <w:jc w:val="both"/>
              <w:rPr>
                <w:rFonts w:cs="Times New Roman"/>
                <w:szCs w:val="21"/>
              </w:rPr>
            </w:pPr>
            <w:r>
              <w:rPr>
                <w:rFonts w:cs="Times New Roman" w:hint="eastAsia"/>
                <w:szCs w:val="21"/>
              </w:rPr>
              <w:t>241379</w:t>
            </w:r>
          </w:p>
        </w:tc>
        <w:tc>
          <w:tcPr>
            <w:tcW w:w="613" w:type="pct"/>
            <w:shd w:val="clear" w:color="auto" w:fill="auto"/>
            <w:noWrap/>
            <w:vAlign w:val="center"/>
          </w:tcPr>
          <w:p>
            <w:pPr>
              <w:jc w:val="both"/>
              <w:rPr>
                <w:szCs w:val="21"/>
              </w:rPr>
            </w:pPr>
            <w:r>
              <w:rPr>
                <w:szCs w:val="21"/>
              </w:rPr>
              <w:t>24</w:t>
            </w:r>
            <w:r>
              <w:rPr>
                <w:rFonts w:hint="eastAsia"/>
                <w:szCs w:val="21"/>
              </w:rPr>
              <w:t>兖矿</w:t>
            </w:r>
            <w:r>
              <w:rPr>
                <w:szCs w:val="21"/>
              </w:rPr>
              <w:t>K</w:t>
            </w:r>
            <w:r>
              <w:rPr>
                <w:rFonts w:hint="eastAsia"/>
                <w:szCs w:val="21"/>
              </w:rPr>
              <w:t>3</w:t>
            </w:r>
          </w:p>
        </w:tc>
        <w:tc>
          <w:tcPr>
            <w:tcW w:w="685" w:type="pct"/>
            <w:shd w:val="clear" w:color="auto" w:fill="auto"/>
            <w:noWrap/>
            <w:vAlign w:val="center"/>
          </w:tcPr>
          <w:p>
            <w:pPr>
              <w:jc w:val="center"/>
              <w:rPr>
                <w:szCs w:val="21"/>
              </w:rPr>
            </w:pPr>
            <w:r>
              <w:rPr>
                <w:rFonts w:hint="eastAsia"/>
                <w:color w:val="000000"/>
                <w:szCs w:val="21"/>
              </w:rPr>
              <w:t>是</w:t>
            </w:r>
          </w:p>
        </w:tc>
        <w:tc>
          <w:tcPr>
            <w:tcW w:w="844" w:type="pct"/>
            <w:shd w:val="clear" w:color="auto" w:fill="auto"/>
            <w:noWrap/>
            <w:vAlign w:val="center"/>
          </w:tcPr>
          <w:p>
            <w:pPr>
              <w:jc w:val="both"/>
              <w:rPr>
                <w:szCs w:val="21"/>
              </w:rPr>
            </w:pPr>
            <w:r>
              <w:rPr>
                <w:rFonts w:hint="eastAsia"/>
                <w:szCs w:val="21"/>
              </w:rPr>
              <w:t>科技创新债券</w:t>
            </w:r>
          </w:p>
        </w:tc>
        <w:tc>
          <w:tcPr>
            <w:tcW w:w="472" w:type="pct"/>
            <w:shd w:val="clear" w:color="auto" w:fill="auto"/>
            <w:noWrap/>
            <w:vAlign w:val="center"/>
          </w:tcPr>
          <w:p>
            <w:pPr>
              <w:jc w:val="right"/>
              <w:rPr>
                <w:szCs w:val="21"/>
              </w:rPr>
            </w:pPr>
            <w:r>
              <w:rPr>
                <w:rFonts w:hint="eastAsia"/>
                <w:szCs w:val="21"/>
              </w:rPr>
              <w:t>30</w:t>
            </w:r>
          </w:p>
        </w:tc>
        <w:tc>
          <w:tcPr>
            <w:tcW w:w="743" w:type="pct"/>
            <w:vAlign w:val="center"/>
          </w:tcPr>
          <w:p>
            <w:pPr>
              <w:jc w:val="right"/>
              <w:rPr>
                <w:szCs w:val="21"/>
              </w:rPr>
            </w:pPr>
            <w:r>
              <w:rPr>
                <w:rFonts w:hint="eastAsia"/>
                <w:szCs w:val="21"/>
              </w:rPr>
              <w:t>0</w:t>
            </w:r>
          </w:p>
        </w:tc>
        <w:tc>
          <w:tcPr>
            <w:tcW w:w="954" w:type="pct"/>
            <w:shd w:val="clear" w:color="auto" w:fill="auto"/>
            <w:noWrap/>
            <w:vAlign w:val="center"/>
          </w:tcPr>
          <w:p>
            <w:pPr>
              <w:jc w:val="right"/>
              <w:rPr>
                <w:szCs w:val="21"/>
              </w:rPr>
            </w:pPr>
            <w:r>
              <w:rPr>
                <w:rFonts w:hint="eastAsia"/>
                <w:szCs w:val="21"/>
              </w:rPr>
              <w:t>0</w:t>
            </w:r>
          </w:p>
        </w:tc>
      </w:tr>
      <w:tr>
        <w:trPr>
          <w:trHeight w:val="270"/>
          <w:jc w:val="center"/>
        </w:trPr>
        <w:tc>
          <w:tcPr>
            <w:tcW w:w="689" w:type="pct"/>
            <w:shd w:val="clear" w:color="auto" w:fill="auto"/>
            <w:noWrap/>
            <w:vAlign w:val="center"/>
          </w:tcPr>
          <w:p>
            <w:pPr>
              <w:jc w:val="both"/>
              <w:rPr>
                <w:rFonts w:cs="Times New Roman"/>
                <w:szCs w:val="21"/>
              </w:rPr>
            </w:pPr>
            <w:r>
              <w:rPr>
                <w:rFonts w:cs="Times New Roman" w:hint="eastAsia"/>
                <w:szCs w:val="21"/>
              </w:rPr>
              <w:t>241636</w:t>
            </w:r>
          </w:p>
        </w:tc>
        <w:tc>
          <w:tcPr>
            <w:tcW w:w="613" w:type="pct"/>
            <w:shd w:val="clear" w:color="auto" w:fill="auto"/>
            <w:noWrap/>
            <w:vAlign w:val="center"/>
          </w:tcPr>
          <w:p>
            <w:pPr>
              <w:jc w:val="both"/>
              <w:rPr>
                <w:szCs w:val="21"/>
              </w:rPr>
            </w:pPr>
            <w:r>
              <w:rPr>
                <w:szCs w:val="21"/>
              </w:rPr>
              <w:t>24</w:t>
            </w:r>
            <w:r>
              <w:rPr>
                <w:rFonts w:hint="eastAsia"/>
                <w:szCs w:val="21"/>
              </w:rPr>
              <w:t>兖矿</w:t>
            </w:r>
            <w:r>
              <w:rPr>
                <w:szCs w:val="21"/>
              </w:rPr>
              <w:t>K</w:t>
            </w:r>
            <w:r>
              <w:rPr>
                <w:rFonts w:hint="eastAsia"/>
                <w:szCs w:val="21"/>
              </w:rPr>
              <w:t>4</w:t>
            </w:r>
          </w:p>
        </w:tc>
        <w:tc>
          <w:tcPr>
            <w:tcW w:w="685" w:type="pct"/>
            <w:shd w:val="clear" w:color="auto" w:fill="auto"/>
            <w:noWrap/>
            <w:vAlign w:val="center"/>
          </w:tcPr>
          <w:p>
            <w:pPr>
              <w:jc w:val="center"/>
              <w:rPr>
                <w:szCs w:val="21"/>
              </w:rPr>
            </w:pPr>
            <w:r>
              <w:rPr>
                <w:rFonts w:hint="eastAsia"/>
                <w:color w:val="000000"/>
                <w:szCs w:val="21"/>
              </w:rPr>
              <w:t>是</w:t>
            </w:r>
          </w:p>
        </w:tc>
        <w:tc>
          <w:tcPr>
            <w:tcW w:w="844" w:type="pct"/>
            <w:shd w:val="clear" w:color="auto" w:fill="auto"/>
            <w:noWrap/>
            <w:vAlign w:val="center"/>
          </w:tcPr>
          <w:p>
            <w:pPr>
              <w:jc w:val="both"/>
              <w:rPr>
                <w:szCs w:val="21"/>
              </w:rPr>
            </w:pPr>
            <w:r>
              <w:rPr>
                <w:rFonts w:hint="eastAsia"/>
                <w:szCs w:val="21"/>
              </w:rPr>
              <w:t>科技创新债券</w:t>
            </w:r>
          </w:p>
        </w:tc>
        <w:tc>
          <w:tcPr>
            <w:tcW w:w="472" w:type="pct"/>
            <w:shd w:val="clear" w:color="auto" w:fill="auto"/>
            <w:noWrap/>
            <w:vAlign w:val="center"/>
          </w:tcPr>
          <w:p>
            <w:pPr>
              <w:jc w:val="right"/>
              <w:rPr>
                <w:szCs w:val="21"/>
              </w:rPr>
            </w:pPr>
            <w:r>
              <w:rPr>
                <w:rFonts w:hint="eastAsia"/>
                <w:szCs w:val="21"/>
              </w:rPr>
              <w:t>20</w:t>
            </w:r>
          </w:p>
        </w:tc>
        <w:tc>
          <w:tcPr>
            <w:tcW w:w="743" w:type="pct"/>
            <w:vAlign w:val="center"/>
          </w:tcPr>
          <w:p>
            <w:pPr>
              <w:jc w:val="right"/>
              <w:rPr>
                <w:szCs w:val="21"/>
              </w:rPr>
            </w:pPr>
            <w:r>
              <w:rPr>
                <w:rFonts w:hint="eastAsia"/>
                <w:szCs w:val="21"/>
              </w:rPr>
              <w:t>0</w:t>
            </w:r>
          </w:p>
        </w:tc>
        <w:tc>
          <w:tcPr>
            <w:tcW w:w="954" w:type="pct"/>
            <w:shd w:val="clear" w:color="auto" w:fill="auto"/>
            <w:noWrap/>
            <w:vAlign w:val="center"/>
          </w:tcPr>
          <w:p>
            <w:pPr>
              <w:jc w:val="right"/>
              <w:rPr>
                <w:szCs w:val="21"/>
              </w:rPr>
            </w:pPr>
            <w:r>
              <w:rPr>
                <w:rFonts w:hint="eastAsia"/>
                <w:szCs w:val="21"/>
              </w:rPr>
              <w:t>0</w:t>
            </w:r>
          </w:p>
        </w:tc>
      </w:tr>
    </w:tbl>
    <w:p>
      <w:pPr>
        <w:kinsoku w:val="0"/>
        <w:overflowPunct w:val="0"/>
        <w:rPr>
          <w:color w:val="000000" w:themeColor="text1"/>
        </w:rPr>
      </w:pPr>
    </w:p>
    <w:p>
      <w:pPr>
        <w:pStyle w:val="4"/>
        <w:numPr>
          <w:ilvl w:val="0"/>
          <w:numId w:val="30"/>
        </w:numPr>
        <w:rPr>
          <w:rFonts w:ascii="宋体" w:hAnsi="宋体" w:cs="宋体"/>
          <w:kern w:val="0"/>
          <w:szCs w:val="24"/>
        </w:rPr>
      </w:pPr>
      <w:r>
        <w:rPr>
          <w:rFonts w:ascii="宋体" w:hAnsi="宋体" w:cs="宋体" w:hint="eastAsia"/>
          <w:kern w:val="0"/>
          <w:szCs w:val="24"/>
        </w:rPr>
        <w:t>募集资金用途变更调整情况</w:t>
      </w:r>
    </w:p>
    <w:sdt>
      <w:sdtPr>
        <w:rPr>
          <w:rFonts w:hint="eastAsia"/>
        </w:rPr>
        <w:alias w:val="是否适用：募集资金用途变更调整[双击切换]"/>
        <w:tag w:val="_GBC_1dd1c802c1b84df68c1890b7b1e8de22"/>
        <w:id w:val="-68728955"/>
        <w:placeholder>
          <w:docPart w:val="GBC22222222222222222222222222222"/>
        </w:placeholder>
      </w:sdtPr>
      <w:sdtContent>
        <w:p>
          <w:pPr>
            <w:pStyle w:val="affffffd"/>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p>
      <w:pPr>
        <w:pStyle w:val="affffffd"/>
        <w:rPr>
          <w:color w:val="000000" w:themeColor="text1"/>
        </w:rPr>
      </w:pPr>
    </w:p>
    <w:p>
      <w:pPr>
        <w:pStyle w:val="4"/>
        <w:numPr>
          <w:ilvl w:val="0"/>
          <w:numId w:val="30"/>
        </w:numPr>
        <w:rPr>
          <w:rFonts w:ascii="宋体" w:hAnsi="宋体" w:cs="宋体"/>
          <w:kern w:val="0"/>
          <w:szCs w:val="24"/>
        </w:rPr>
      </w:pPr>
      <w:r>
        <w:rPr>
          <w:rFonts w:ascii="宋体" w:hAnsi="宋体" w:cs="宋体" w:hint="eastAsia"/>
          <w:kern w:val="0"/>
          <w:szCs w:val="24"/>
        </w:rPr>
        <w:t>募集资金的使用情况</w:t>
      </w:r>
    </w:p>
    <w:p>
      <w:pPr>
        <w:pStyle w:val="5"/>
        <w:numPr>
          <w:ilvl w:val="0"/>
          <w:numId w:val="31"/>
        </w:numPr>
        <w:ind w:leftChars="0" w:left="442" w:hanging="442"/>
      </w:pPr>
      <w:r>
        <w:rPr>
          <w:rFonts w:hint="eastAsia"/>
        </w:rPr>
        <w:t>实际使用情况（此处不含临时补流）</w:t>
      </w:r>
    </w:p>
    <w:p>
      <w:pPr>
        <w:jc w:val="right"/>
        <w:rPr>
          <w:color w:val="000000" w:themeColor="text1"/>
        </w:rPr>
      </w:pPr>
      <w:r>
        <w:rPr>
          <w:rFonts w:hint="eastAsia"/>
          <w:color w:val="000000" w:themeColor="text1"/>
        </w:rPr>
        <w:t>单位：</w:t>
      </w:r>
      <w:sdt>
        <w:sdtPr>
          <w:rPr>
            <w:rFonts w:hint="eastAsia"/>
            <w:color w:val="000000" w:themeColor="text1"/>
          </w:rPr>
          <w:alias w:val="单位：募集资金实际使用情况"/>
          <w:tag w:val="_GBC_84c918a289da4906ba972f8e68255354"/>
          <w:id w:val="785627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募集资金实际使用情况"/>
          <w:tag w:val="_GBC_61e81c35228b4c62a6c98bcb7c77a2a7"/>
          <w:id w:val="-17394758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ffffffffff7"/>
        <w:tblW w:w="9328" w:type="dxa"/>
        <w:tblInd w:w="-289" w:type="dxa"/>
        <w:tblLayout w:type="fixed"/>
        <w:tblLook w:val="04A0" w:firstRow="1" w:lastRow="0" w:firstColumn="1" w:lastColumn="0" w:noHBand="0" w:noVBand="1"/>
      </w:tblPr>
      <w:tblGrid>
        <w:gridCol w:w="1135"/>
        <w:gridCol w:w="1413"/>
        <w:gridCol w:w="1130"/>
        <w:gridCol w:w="1130"/>
        <w:gridCol w:w="1130"/>
        <w:gridCol w:w="1130"/>
        <w:gridCol w:w="1130"/>
        <w:gridCol w:w="1130"/>
      </w:tblGrid>
      <w:tr>
        <w:trPr>
          <w:trHeight w:val="525"/>
        </w:trPr>
        <w:sdt>
          <w:sdtPr>
            <w:tag w:val="_PLD_afd2ae69e98d4fd7a707dea4f5a39e32"/>
            <w:id w:val="13126595"/>
          </w:sdtPr>
          <w:sdtContent>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rFonts w:hAnsi="Arial" w:cs="Times New Roman"/>
                    <w:bCs/>
                    <w:szCs w:val="21"/>
                  </w:rPr>
                </w:pPr>
                <w:r>
                  <w:rPr>
                    <w:rFonts w:hAnsi="Arial" w:cs="Times New Roman" w:hint="eastAsia"/>
                    <w:bCs/>
                    <w:szCs w:val="21"/>
                  </w:rPr>
                  <w:t>债券代码</w:t>
                </w:r>
              </w:p>
            </w:tc>
          </w:sdtContent>
        </w:sdt>
        <w:sdt>
          <w:sdtPr>
            <w:tag w:val="_PLD_8bcbeb5f5dcc4992ae3d82318b5657c9"/>
            <w:id w:val="-777020893"/>
          </w:sdtPr>
          <w:sdtContent>
            <w:tc>
              <w:tcPr>
                <w:tcW w:w="1413"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rFonts w:hAnsi="Arial" w:cs="Times New Roman" w:hint="eastAsia"/>
                    <w:bCs/>
                    <w:szCs w:val="21"/>
                  </w:rPr>
                  <w:t>债券简称</w:t>
                </w:r>
              </w:p>
            </w:tc>
          </w:sdtContent>
        </w:sdt>
        <w:sdt>
          <w:sdtPr>
            <w:tag w:val="_PLD_09a1f85845a549f1a829c07301b23e20"/>
            <w:id w:val="-1626694985"/>
          </w:sdtPr>
          <w:sdtContent>
            <w:tc>
              <w:tcPr>
                <w:tcW w:w="1130"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rFonts w:hint="eastAsia"/>
                    <w:color w:val="000000" w:themeColor="text1"/>
                  </w:rPr>
                  <w:t>报告期内</w:t>
                </w:r>
                <w:r>
                  <w:rPr>
                    <w:color w:val="000000" w:themeColor="text1"/>
                  </w:rPr>
                  <w:t>募集资金</w:t>
                </w:r>
                <w:r>
                  <w:rPr>
                    <w:rFonts w:hint="eastAsia"/>
                    <w:color w:val="000000" w:themeColor="text1"/>
                  </w:rPr>
                  <w:t>实际</w:t>
                </w:r>
                <w:r>
                  <w:rPr>
                    <w:color w:val="000000" w:themeColor="text1"/>
                  </w:rPr>
                  <w:t>使用</w:t>
                </w:r>
                <w:r>
                  <w:rPr>
                    <w:rFonts w:hint="eastAsia"/>
                    <w:color w:val="000000" w:themeColor="text1"/>
                  </w:rPr>
                  <w:t>金额</w:t>
                </w:r>
              </w:p>
            </w:tc>
          </w:sdtContent>
        </w:sdt>
        <w:sdt>
          <w:sdtPr>
            <w:tag w:val="_PLD_43fbf75d2e9644cabda62a266f53ce4e"/>
            <w:id w:val="-1354102316"/>
          </w:sdtPr>
          <w:sdtContent>
            <w:tc>
              <w:tcPr>
                <w:tcW w:w="1130"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rFonts w:hint="eastAsia"/>
                    <w:color w:val="000000" w:themeColor="text1"/>
                  </w:rPr>
                  <w:t>偿还</w:t>
                </w:r>
                <w:r>
                  <w:rPr>
                    <w:color w:val="000000" w:themeColor="text1"/>
                  </w:rPr>
                  <w:t>有息债务</w:t>
                </w:r>
                <w:r>
                  <w:rPr>
                    <w:rFonts w:hint="eastAsia"/>
                    <w:color w:val="000000" w:themeColor="text1"/>
                  </w:rPr>
                  <w:t>（不含</w:t>
                </w:r>
                <w:r>
                  <w:rPr>
                    <w:color w:val="000000" w:themeColor="text1"/>
                  </w:rPr>
                  <w:t>公司</w:t>
                </w:r>
                <w:r>
                  <w:rPr>
                    <w:rFonts w:hint="eastAsia"/>
                    <w:color w:val="000000" w:themeColor="text1"/>
                  </w:rPr>
                  <w:t>债券）情况及</w:t>
                </w:r>
                <w:r>
                  <w:rPr>
                    <w:color w:val="000000" w:themeColor="text1"/>
                  </w:rPr>
                  <w:t>所涉</w:t>
                </w:r>
                <w:r>
                  <w:rPr>
                    <w:rFonts w:hint="eastAsia"/>
                    <w:color w:val="000000" w:themeColor="text1"/>
                  </w:rPr>
                  <w:t>金额</w:t>
                </w:r>
              </w:p>
            </w:tc>
          </w:sdtContent>
        </w:sdt>
        <w:sdt>
          <w:sdtPr>
            <w:tag w:val="_PLD_5846abb7aa634bd2848ec3e75cb410ec"/>
            <w:id w:val="1373804252"/>
          </w:sdtPr>
          <w:sdtContent>
            <w:tc>
              <w:tcPr>
                <w:tcW w:w="1130"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rFonts w:hint="eastAsia"/>
                    <w:color w:val="000000" w:themeColor="text1"/>
                  </w:rPr>
                  <w:t>偿还</w:t>
                </w:r>
                <w:r>
                  <w:rPr>
                    <w:color w:val="000000" w:themeColor="text1"/>
                  </w:rPr>
                  <w:t>公司债券情况</w:t>
                </w:r>
                <w:r>
                  <w:rPr>
                    <w:rFonts w:hint="eastAsia"/>
                    <w:color w:val="000000" w:themeColor="text1"/>
                  </w:rPr>
                  <w:t>及所涉</w:t>
                </w:r>
                <w:r>
                  <w:rPr>
                    <w:color w:val="000000" w:themeColor="text1"/>
                  </w:rPr>
                  <w:t>金额</w:t>
                </w:r>
              </w:p>
            </w:tc>
          </w:sdtContent>
        </w:sdt>
        <w:sdt>
          <w:sdtPr>
            <w:tag w:val="_PLD_0d4aa5c1fbf84ec79f36e8647a2199db"/>
            <w:id w:val="-974750286"/>
          </w:sdtPr>
          <w:sdtContent>
            <w:tc>
              <w:tcPr>
                <w:tcW w:w="1130"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color w:val="000000" w:themeColor="text1"/>
                  </w:rPr>
                  <w:t>补充流动资金</w:t>
                </w:r>
                <w:r>
                  <w:rPr>
                    <w:rFonts w:hint="eastAsia"/>
                    <w:color w:val="000000" w:themeColor="text1"/>
                  </w:rPr>
                  <w:t>情况及</w:t>
                </w:r>
                <w:r>
                  <w:rPr>
                    <w:color w:val="000000" w:themeColor="text1"/>
                  </w:rPr>
                  <w:t>所涉金额</w:t>
                </w:r>
              </w:p>
            </w:tc>
          </w:sdtContent>
        </w:sdt>
        <w:sdt>
          <w:sdtPr>
            <w:tag w:val="_PLD_6453d30662724fb39a9fd687e28cddc3"/>
            <w:id w:val="2008946087"/>
          </w:sdtPr>
          <w:sdtContent>
            <w:tc>
              <w:tcPr>
                <w:tcW w:w="1130" w:type="dxa"/>
                <w:tcBorders>
                  <w:top w:val="single" w:sz="4" w:space="0" w:color="auto"/>
                  <w:left w:val="nil"/>
                  <w:bottom w:val="single" w:sz="4" w:space="0" w:color="auto"/>
                  <w:right w:val="single" w:sz="4" w:space="0" w:color="auto"/>
                </w:tcBorders>
                <w:shd w:val="clear" w:color="auto" w:fill="auto"/>
                <w:noWrap/>
                <w:vAlign w:val="center"/>
              </w:tcPr>
              <w:p>
                <w:pPr>
                  <w:jc w:val="center"/>
                  <w:rPr>
                    <w:rFonts w:hAnsi="Arial" w:cs="Times New Roman"/>
                    <w:bCs/>
                    <w:szCs w:val="21"/>
                  </w:rPr>
                </w:pPr>
                <w:r>
                  <w:rPr>
                    <w:color w:val="000000" w:themeColor="text1"/>
                  </w:rPr>
                  <w:t>固定资产项目投资情况及所涉金额</w:t>
                </w:r>
              </w:p>
            </w:tc>
          </w:sdtContent>
        </w:sdt>
        <w:sdt>
          <w:sdtPr>
            <w:tag w:val="_PLD_c231d14496c64a7a820c669f6d69a8c0"/>
            <w:id w:val="-405613768"/>
          </w:sdtPr>
          <w:sdtContent>
            <w:tc>
              <w:tcPr>
                <w:tcW w:w="1130" w:type="dxa"/>
                <w:tcBorders>
                  <w:top w:val="single" w:sz="4" w:space="0" w:color="auto"/>
                  <w:left w:val="nil"/>
                  <w:bottom w:val="single" w:sz="4" w:space="0" w:color="auto"/>
                  <w:right w:val="single" w:sz="4" w:space="0" w:color="auto"/>
                </w:tcBorders>
                <w:vAlign w:val="center"/>
              </w:tcPr>
              <w:p>
                <w:pPr>
                  <w:jc w:val="center"/>
                  <w:rPr>
                    <w:color w:val="000000" w:themeColor="text1"/>
                  </w:rPr>
                </w:pPr>
                <w:r>
                  <w:rPr>
                    <w:rFonts w:hint="eastAsia"/>
                    <w:color w:val="000000" w:themeColor="text1"/>
                  </w:rPr>
                  <w:t>其他</w:t>
                </w:r>
                <w:r>
                  <w:rPr>
                    <w:color w:val="000000" w:themeColor="text1"/>
                  </w:rPr>
                  <w:t>用途及所涉金额</w:t>
                </w:r>
              </w:p>
            </w:tc>
          </w:sdtContent>
        </w:sdt>
      </w:tr>
      <w:tr>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bookmarkStart w:id="263" w:name="_Hlk184029863"/>
            <w:r>
              <w:t>240582</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24兖矿K1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vAlign w:val="center"/>
          </w:tcPr>
          <w:p>
            <w:pPr>
              <w:jc w:val="right"/>
            </w:pPr>
            <w:r>
              <w:t>0</w:t>
            </w:r>
          </w:p>
        </w:tc>
      </w:tr>
      <w:tr>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241141</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兖矿KY01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vAlign w:val="center"/>
          </w:tcPr>
          <w:p>
            <w:pPr>
              <w:jc w:val="right"/>
            </w:pPr>
            <w:r>
              <w:t>0</w:t>
            </w:r>
          </w:p>
        </w:tc>
      </w:tr>
      <w:tr>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241324</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兖矿KY02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20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13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7</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vAlign w:val="center"/>
          </w:tcPr>
          <w:p>
            <w:pPr>
              <w:jc w:val="right"/>
            </w:pPr>
            <w:r>
              <w:t>0</w:t>
            </w:r>
          </w:p>
        </w:tc>
      </w:tr>
      <w:tr>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241379</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24兖矿K3</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29.5</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0.5</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vAlign w:val="center"/>
          </w:tcPr>
          <w:p>
            <w:pPr>
              <w:jc w:val="right"/>
            </w:pPr>
            <w:r>
              <w:t>0</w:t>
            </w:r>
          </w:p>
        </w:tc>
      </w:tr>
      <w:tr>
        <w:trPr>
          <w:trHeight w:val="270"/>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241636</w:t>
            </w:r>
          </w:p>
        </w:tc>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pPr>
            <w:r>
              <w:t>24兖矿K4</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20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20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pPr>
            <w:r>
              <w:t>0</w:t>
            </w:r>
          </w:p>
        </w:tc>
        <w:tc>
          <w:tcPr>
            <w:tcW w:w="1130" w:type="dxa"/>
            <w:tcBorders>
              <w:top w:val="single" w:sz="4" w:space="0" w:color="auto"/>
              <w:left w:val="single" w:sz="4" w:space="0" w:color="auto"/>
              <w:bottom w:val="single" w:sz="4" w:space="0" w:color="auto"/>
              <w:right w:val="single" w:sz="4" w:space="0" w:color="auto"/>
            </w:tcBorders>
            <w:vAlign w:val="center"/>
          </w:tcPr>
          <w:p>
            <w:pPr>
              <w:jc w:val="right"/>
            </w:pPr>
            <w:r>
              <w:t>0</w:t>
            </w:r>
          </w:p>
        </w:tc>
      </w:tr>
    </w:tbl>
    <w:p>
      <w:pPr>
        <w:kinsoku w:val="0"/>
        <w:overflowPunct w:val="0"/>
        <w:rPr>
          <w:color w:val="000000" w:themeColor="text1"/>
        </w:rPr>
      </w:pPr>
    </w:p>
    <w:p>
      <w:pPr>
        <w:pStyle w:val="5"/>
        <w:numPr>
          <w:ilvl w:val="0"/>
          <w:numId w:val="31"/>
        </w:numPr>
        <w:ind w:leftChars="0" w:left="442" w:hanging="442"/>
      </w:pPr>
      <w:bookmarkStart w:id="264" w:name="_Hlk184047984"/>
      <w:bookmarkEnd w:id="263"/>
      <w:r>
        <w:rPr>
          <w:rFonts w:hint="eastAsia"/>
        </w:rPr>
        <w:t>募集资金用于特定项目</w:t>
      </w:r>
    </w:p>
    <w:sdt>
      <w:sdtPr>
        <w:rPr>
          <w:rFonts w:hint="eastAsia"/>
          <w:color w:val="000000" w:themeColor="text1"/>
        </w:rPr>
        <w:alias w:val="是否适用：募集资金用于特定项目[双击切换]"/>
        <w:tag w:val="_GBC_1e84e62facc04c79931fdf2ff9c146da"/>
        <w:id w:val="1991211921"/>
        <w:placeholder>
          <w:docPart w:val="GBC22222222222222222222222222222"/>
        </w:placeholder>
      </w:sdtPr>
      <w:sdtContent>
        <w:p>
          <w:pPr>
            <w:kinsoku w:val="0"/>
            <w:overflowPunct w:val="0"/>
            <w:rPr>
              <w:color w:val="000000" w:themeColor="text1"/>
            </w:rPr>
          </w:pPr>
          <w:r>
            <w:rPr>
              <w:rFonts w:hint="eastAsia"/>
              <w:color w:val="000000" w:themeColor="text1"/>
            </w:rPr>
            <w:fldChar w:fldCharType="begin"/>
          </w:r>
          <w:r>
            <w:rPr>
              <w:color w:val="000000" w:themeColor="text1"/>
            </w:rPr>
            <w:instrText xml:space="preserve"> MACROBUTTON  SnrToggleCheckbox □适用 </w:instrText>
          </w:r>
          <w:r>
            <w:rPr>
              <w:rFonts w:hint="eastAsia"/>
              <w:color w:val="000000" w:themeColor="text1"/>
            </w:rPr>
            <w:fldChar w:fldCharType="end"/>
          </w:r>
          <w:r>
            <w:rPr>
              <w:rFonts w:hint="eastAsia"/>
              <w:color w:val="000000" w:themeColor="text1"/>
            </w:rPr>
            <w:fldChar w:fldCharType="begin"/>
          </w:r>
          <w:r>
            <w:rPr>
              <w:color w:val="000000" w:themeColor="text1"/>
            </w:rPr>
            <w:instrText xml:space="preserve"> MACROBUTTON  SnrToggleCheckbox √不适用 </w:instrText>
          </w:r>
          <w:r>
            <w:rPr>
              <w:rFonts w:hint="eastAsia"/>
              <w:color w:val="000000" w:themeColor="text1"/>
            </w:rPr>
            <w:fldChar w:fldCharType="end"/>
          </w:r>
        </w:p>
      </w:sdtContent>
    </w:sdt>
    <w:p>
      <w:pPr>
        <w:kinsoku w:val="0"/>
        <w:overflowPunct w:val="0"/>
        <w:rPr>
          <w:color w:val="000000" w:themeColor="text1"/>
        </w:rPr>
      </w:pPr>
    </w:p>
    <w:bookmarkEnd w:id="264"/>
    <w:p>
      <w:pPr>
        <w:pStyle w:val="5"/>
        <w:numPr>
          <w:ilvl w:val="0"/>
          <w:numId w:val="31"/>
        </w:numPr>
        <w:ind w:leftChars="0" w:left="442" w:hanging="442"/>
      </w:pPr>
      <w:r>
        <w:rPr>
          <w:rFonts w:hint="eastAsia"/>
        </w:rPr>
        <w:t>临时补流</w:t>
      </w:r>
    </w:p>
    <w:sdt>
      <w:sdtPr>
        <w:rPr>
          <w:rFonts w:hint="eastAsia"/>
        </w:rPr>
        <w:alias w:val="是否适用：募集资金临时补流[双击切换]"/>
        <w:tag w:val="_GBC_77f126a8df0748949d0055c43bf8987f"/>
        <w:id w:val="-1246955769"/>
        <w:placeholder>
          <w:docPart w:val="GBC22222222222222222222222222222"/>
        </w:placeholder>
      </w:sdtPr>
      <w:sdtContent>
        <w:p>
          <w:pPr>
            <w:pStyle w:val="affffffd"/>
          </w:pPr>
          <w:r>
            <w:rPr>
              <w:rFonts w:hint="eastAsia"/>
            </w:rPr>
            <w:fldChar w:fldCharType="begin"/>
          </w:r>
          <w:r>
            <w:instrText xml:space="preserve"> MACROBUTTON  SnrToggleCheckbox □适用 </w:instrText>
          </w:r>
          <w:r>
            <w:rPr>
              <w:rFonts w:hint="eastAsia"/>
            </w:rPr>
            <w:fldChar w:fldCharType="end"/>
          </w:r>
          <w:r>
            <w:rPr>
              <w:rFonts w:hint="eastAsia"/>
            </w:rPr>
            <w:fldChar w:fldCharType="begin"/>
          </w:r>
          <w:r>
            <w:instrText xml:space="preserve"> MACROBUTTON  SnrToggleCheckbox √不适用 </w:instrText>
          </w:r>
          <w:r>
            <w:rPr>
              <w:rFonts w:hint="eastAsia"/>
            </w:rPr>
            <w:fldChar w:fldCharType="end"/>
          </w:r>
        </w:p>
      </w:sdtContent>
    </w:sdt>
    <w:p>
      <w:pPr>
        <w:pStyle w:val="affffffd"/>
        <w:rPr>
          <w:color w:val="000000" w:themeColor="text1"/>
        </w:rPr>
      </w:pPr>
    </w:p>
    <w:p>
      <w:pPr>
        <w:pStyle w:val="4"/>
        <w:numPr>
          <w:ilvl w:val="0"/>
          <w:numId w:val="67"/>
        </w:numPr>
        <w:rPr>
          <w:rFonts w:ascii="宋体" w:hAnsi="宋体" w:cs="宋体"/>
          <w:kern w:val="0"/>
          <w:szCs w:val="24"/>
        </w:rPr>
      </w:pPr>
      <w:bookmarkStart w:id="265" w:name="_Hlk184041387"/>
      <w:bookmarkStart w:id="266" w:name="_Hlk184040436"/>
      <w:bookmarkEnd w:id="260"/>
      <w:r>
        <w:rPr>
          <w:rFonts w:ascii="宋体" w:hAnsi="宋体" w:cs="宋体" w:hint="eastAsia"/>
          <w:kern w:val="0"/>
          <w:szCs w:val="24"/>
        </w:rPr>
        <w:t>募集资金使用的合规性</w:t>
      </w:r>
    </w:p>
    <w:tbl>
      <w:tblPr>
        <w:tblStyle w:val="g3"/>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2"/>
        <w:gridCol w:w="1242"/>
        <w:gridCol w:w="1798"/>
        <w:gridCol w:w="1798"/>
        <w:gridCol w:w="1521"/>
        <w:gridCol w:w="1241"/>
      </w:tblGrid>
      <w:tr>
        <w:trPr>
          <w:trHeight w:val="525"/>
        </w:trPr>
        <w:sdt>
          <w:sdtPr>
            <w:tag w:val="_PLD_79e4d9e8131041ab98d86a73bd9eab3e"/>
            <w:id w:val="1207379516"/>
          </w:sdtPr>
          <w:sdtContent>
            <w:tc>
              <w:tcPr>
                <w:tcW w:w="688" w:type="pct"/>
                <w:shd w:val="clear" w:color="auto" w:fill="auto"/>
                <w:noWrap/>
                <w:vAlign w:val="center"/>
              </w:tcPr>
              <w:p>
                <w:pPr>
                  <w:jc w:val="center"/>
                  <w:rPr>
                    <w:rFonts w:hAnsi="Arial" w:cs="Times New Roman"/>
                    <w:bCs/>
                    <w:szCs w:val="21"/>
                  </w:rPr>
                </w:pPr>
                <w:r>
                  <w:rPr>
                    <w:rFonts w:hAnsi="Arial" w:cs="Times New Roman" w:hint="eastAsia"/>
                    <w:bCs/>
                    <w:szCs w:val="21"/>
                  </w:rPr>
                  <w:t>债券代码</w:t>
                </w:r>
              </w:p>
            </w:tc>
          </w:sdtContent>
        </w:sdt>
        <w:sdt>
          <w:sdtPr>
            <w:tag w:val="_PLD_6507ea93bb0f4e3094f7384559c11074"/>
            <w:id w:val="634609067"/>
          </w:sdtPr>
          <w:sdtContent>
            <w:tc>
              <w:tcPr>
                <w:tcW w:w="705" w:type="pct"/>
                <w:shd w:val="clear" w:color="auto" w:fill="auto"/>
                <w:noWrap/>
                <w:vAlign w:val="center"/>
              </w:tcPr>
              <w:p>
                <w:pPr>
                  <w:jc w:val="center"/>
                  <w:rPr>
                    <w:rFonts w:hAnsi="Arial" w:cs="Times New Roman"/>
                    <w:bCs/>
                    <w:szCs w:val="21"/>
                  </w:rPr>
                </w:pPr>
                <w:r>
                  <w:rPr>
                    <w:rFonts w:hAnsi="Arial" w:cs="Times New Roman" w:hint="eastAsia"/>
                    <w:bCs/>
                    <w:szCs w:val="21"/>
                  </w:rPr>
                  <w:t>债券简称</w:t>
                </w:r>
              </w:p>
            </w:tc>
          </w:sdtContent>
        </w:sdt>
        <w:sdt>
          <w:sdtPr>
            <w:tag w:val="_PLD_f54e058a0f7a460ea9fe6d7921be7bf4"/>
            <w:id w:val="-1352798019"/>
          </w:sdtPr>
          <w:sdtContent>
            <w:tc>
              <w:tcPr>
                <w:tcW w:w="1020" w:type="pct"/>
                <w:shd w:val="clear" w:color="auto" w:fill="auto"/>
                <w:noWrap/>
                <w:vAlign w:val="center"/>
              </w:tcPr>
              <w:p>
                <w:pPr>
                  <w:jc w:val="center"/>
                  <w:rPr>
                    <w:rFonts w:hAnsi="Arial" w:cs="Times New Roman"/>
                    <w:bCs/>
                    <w:szCs w:val="21"/>
                  </w:rPr>
                </w:pPr>
                <w:r>
                  <w:rPr>
                    <w:rFonts w:hAnsi="Arial" w:cs="Times New Roman" w:hint="eastAsia"/>
                    <w:bCs/>
                    <w:szCs w:val="21"/>
                  </w:rPr>
                  <w:t>截至报告期末募集资金实际用途（包括实际使用和临时补流）</w:t>
                </w:r>
              </w:p>
            </w:tc>
          </w:sdtContent>
        </w:sdt>
        <w:sdt>
          <w:sdtPr>
            <w:tag w:val="_PLD_159c55f292a54514b852ed01adba9442"/>
            <w:id w:val="-133187681"/>
          </w:sdtPr>
          <w:sdtContent>
            <w:tc>
              <w:tcPr>
                <w:tcW w:w="1020" w:type="pct"/>
                <w:vAlign w:val="center"/>
              </w:tcPr>
              <w:p>
                <w:pPr>
                  <w:jc w:val="center"/>
                  <w:rPr>
                    <w:rFonts w:hAnsi="Arial" w:cs="Times New Roman"/>
                    <w:bCs/>
                    <w:szCs w:val="21"/>
                  </w:rPr>
                </w:pPr>
                <w:r>
                  <w:rPr>
                    <w:rFonts w:hint="eastAsia"/>
                    <w:color w:val="000000" w:themeColor="text1"/>
                  </w:rPr>
                  <w:t>实际用途与约定用途（含募集说明书约定用途和合规变更后的用途）是否一致</w:t>
                </w:r>
              </w:p>
            </w:tc>
          </w:sdtContent>
        </w:sdt>
        <w:sdt>
          <w:sdtPr>
            <w:tag w:val="_PLD_895cae26683d4a90a9830728879186ff"/>
            <w:id w:val="-1064630558"/>
          </w:sdtPr>
          <w:sdtContent>
            <w:tc>
              <w:tcPr>
                <w:tcW w:w="863" w:type="pct"/>
                <w:vAlign w:val="center"/>
              </w:tcPr>
              <w:p>
                <w:pPr>
                  <w:jc w:val="center"/>
                  <w:rPr>
                    <w:rFonts w:hAnsi="Arial" w:cs="Times New Roman"/>
                    <w:bCs/>
                    <w:szCs w:val="21"/>
                  </w:rPr>
                </w:pPr>
                <w:r>
                  <w:rPr>
                    <w:rFonts w:hint="eastAsia"/>
                    <w:color w:val="000000" w:themeColor="text1"/>
                  </w:rPr>
                  <w:t>报告期内募集资金使用</w:t>
                </w:r>
                <w:r>
                  <w:rPr>
                    <w:color w:val="000000" w:themeColor="text1"/>
                  </w:rPr>
                  <w:t>和</w:t>
                </w:r>
                <w:r>
                  <w:rPr>
                    <w:rFonts w:hint="eastAsia"/>
                    <w:color w:val="000000" w:themeColor="text1"/>
                  </w:rPr>
                  <w:t>募集</w:t>
                </w:r>
                <w:r>
                  <w:rPr>
                    <w:color w:val="000000" w:themeColor="text1"/>
                  </w:rPr>
                  <w:t>资金专项账户</w:t>
                </w:r>
                <w:r>
                  <w:rPr>
                    <w:rFonts w:hint="eastAsia"/>
                    <w:color w:val="000000" w:themeColor="text1"/>
                  </w:rPr>
                  <w:t>管理是否合规</w:t>
                </w:r>
              </w:p>
            </w:tc>
          </w:sdtContent>
        </w:sdt>
        <w:sdt>
          <w:sdtPr>
            <w:tag w:val="_PLD_d5d0e87cd32b4ae8ba55c871d01e5eb5"/>
            <w:id w:val="1597898535"/>
          </w:sdtPr>
          <w:sdtContent>
            <w:tc>
              <w:tcPr>
                <w:tcW w:w="704" w:type="pct"/>
                <w:vAlign w:val="center"/>
              </w:tcPr>
              <w:p>
                <w:pPr>
                  <w:jc w:val="center"/>
                  <w:rPr>
                    <w:color w:val="000000" w:themeColor="text1"/>
                  </w:rPr>
                </w:pPr>
                <w:r>
                  <w:rPr>
                    <w:rFonts w:hint="eastAsia"/>
                    <w:color w:val="000000" w:themeColor="text1"/>
                  </w:rPr>
                  <w:t>募集资金使用是否符合地方政府债务管理规定</w:t>
                </w:r>
              </w:p>
            </w:tc>
          </w:sdtContent>
        </w:sdt>
      </w:tr>
      <w:sdt>
        <w:sdtPr>
          <w:rPr>
            <w:rFonts w:hint="eastAsia"/>
            <w:color w:val="000000" w:themeColor="text1"/>
            <w:szCs w:val="21"/>
          </w:rPr>
          <w:alias w:val="募集资金使用的合规性明细"/>
          <w:tag w:val="_TUP_7002db0ed9eb4f67a5b0a9b443b3516e"/>
          <w:id w:val="-2092998105"/>
          <w:placeholder>
            <w:docPart w:val="8BAB6B8AF07542BDBE35C7826D63E8C8"/>
          </w:placeholder>
        </w:sdtPr>
        <w:sdtEndPr>
          <w:rPr>
            <w:rFonts w:hint="default"/>
            <w:color w:val="auto"/>
          </w:rPr>
        </w:sdtEndPr>
        <w:sdtContent>
          <w:tr>
            <w:trPr>
              <w:trHeight w:val="270"/>
            </w:trPr>
            <w:tc>
              <w:tcPr>
                <w:tcW w:w="688" w:type="pct"/>
                <w:shd w:val="clear" w:color="auto" w:fill="auto"/>
                <w:noWrap/>
              </w:tcPr>
              <w:p>
                <w:pPr>
                  <w:rPr>
                    <w:color w:val="000000" w:themeColor="text1"/>
                    <w:szCs w:val="21"/>
                  </w:rPr>
                </w:pPr>
                <w:r>
                  <w:rPr>
                    <w:rFonts w:hint="eastAsia"/>
                    <w:color w:val="000000" w:themeColor="text1"/>
                  </w:rPr>
                  <w:t>240582</w:t>
                </w:r>
              </w:p>
            </w:tc>
            <w:tc>
              <w:tcPr>
                <w:tcW w:w="705" w:type="pct"/>
                <w:shd w:val="clear" w:color="auto" w:fill="auto"/>
                <w:noWrap/>
              </w:tcPr>
              <w:p>
                <w:pPr>
                  <w:rPr>
                    <w:color w:val="000000" w:themeColor="text1"/>
                    <w:szCs w:val="21"/>
                  </w:rPr>
                </w:pPr>
                <w:r>
                  <w:rPr>
                    <w:rFonts w:hint="eastAsia"/>
                    <w:color w:val="000000" w:themeColor="text1"/>
                  </w:rPr>
                  <w:t>24兖矿K1</w:t>
                </w:r>
              </w:p>
            </w:tc>
            <w:tc>
              <w:tcPr>
                <w:tcW w:w="1020" w:type="pct"/>
                <w:shd w:val="clear" w:color="auto" w:fill="auto"/>
                <w:noWrap/>
                <w:vAlign w:val="center"/>
              </w:tcPr>
              <w:p>
                <w:pPr>
                  <w:rPr>
                    <w:color w:val="000000" w:themeColor="text1"/>
                    <w:szCs w:val="21"/>
                  </w:rPr>
                </w:pPr>
                <w:r>
                  <w:rPr>
                    <w:rFonts w:hint="eastAsia"/>
                    <w:color w:val="000000" w:themeColor="text1"/>
                  </w:rPr>
                  <w:t>偿还到期债券</w:t>
                </w:r>
              </w:p>
            </w:tc>
            <w:sdt>
              <w:sdtPr>
                <w:rPr>
                  <w:rFonts w:hint="eastAsia"/>
                  <w:szCs w:val="21"/>
                </w:rPr>
                <w:alias w:val="是否与募集说明书承诺一致"/>
                <w:tag w:val="_GBC_16741cb9d8354edd8f0bf7a8fe8a4235"/>
                <w:id w:val="-112521548"/>
                <w:comboBox>
                  <w:listItem w:displayText="是" w:value="是"/>
                  <w:listItem w:displayText="否" w:value="否"/>
                </w:comboBox>
              </w:sdtPr>
              <w:sdtContent>
                <w:tc>
                  <w:tcPr>
                    <w:tcW w:w="1020" w:type="pct"/>
                    <w:vAlign w:val="center"/>
                  </w:tcPr>
                  <w:p>
                    <w:pPr>
                      <w:jc w:val="center"/>
                      <w:rPr>
                        <w:szCs w:val="21"/>
                      </w:rPr>
                    </w:pPr>
                    <w:r>
                      <w:rPr>
                        <w:rFonts w:hint="eastAsia"/>
                        <w:szCs w:val="21"/>
                      </w:rPr>
                      <w:t>是</w:t>
                    </w:r>
                  </w:p>
                </w:tc>
              </w:sdtContent>
            </w:sdt>
            <w:sdt>
              <w:sdtPr>
                <w:rPr>
                  <w:rFonts w:hint="eastAsia"/>
                  <w:szCs w:val="21"/>
                </w:rPr>
                <w:alias w:val="募集资金账户管理和使用是否合规"/>
                <w:tag w:val="_GBC_baf0c4bd4d7544cb89e991a90a5cca00"/>
                <w:id w:val="1551414891"/>
                <w:comboBox>
                  <w:listItem w:displayText="是" w:value="是"/>
                  <w:listItem w:displayText="否" w:value="否"/>
                </w:comboBox>
              </w:sdtPr>
              <w:sdtContent>
                <w:tc>
                  <w:tcPr>
                    <w:tcW w:w="863" w:type="pct"/>
                    <w:vAlign w:val="center"/>
                  </w:tcPr>
                  <w:p>
                    <w:pPr>
                      <w:jc w:val="center"/>
                      <w:rPr>
                        <w:szCs w:val="21"/>
                      </w:rPr>
                    </w:pPr>
                    <w:r>
                      <w:rPr>
                        <w:rFonts w:hint="eastAsia"/>
                        <w:szCs w:val="21"/>
                      </w:rPr>
                      <w:t>是</w:t>
                    </w:r>
                  </w:p>
                </w:tc>
              </w:sdtContent>
            </w:sdt>
            <w:sdt>
              <w:sdtPr>
                <w:rPr>
                  <w:rFonts w:hint="eastAsia"/>
                  <w:szCs w:val="21"/>
                </w:rPr>
                <w:alias w:val="募集资金使用是否符合地方政府债务管理规定"/>
                <w:tag w:val="_GBC_060d69464b444e7683a2c151e847a071"/>
                <w:id w:val="2080404033"/>
                <w:comboBox>
                  <w:listItem w:displayText="是" w:value="是"/>
                  <w:listItem w:displayText="否" w:value="否"/>
                </w:comboBox>
              </w:sdtPr>
              <w:sdtContent>
                <w:tc>
                  <w:tcPr>
                    <w:tcW w:w="704" w:type="pct"/>
                    <w:vAlign w:val="center"/>
                  </w:tcPr>
                  <w:p>
                    <w:pPr>
                      <w:jc w:val="center"/>
                      <w:rPr>
                        <w:szCs w:val="21"/>
                      </w:rPr>
                    </w:pPr>
                    <w:r>
                      <w:rPr>
                        <w:rFonts w:hint="eastAsia"/>
                        <w:szCs w:val="21"/>
                      </w:rPr>
                      <w:t>不适用</w:t>
                    </w:r>
                  </w:p>
                </w:tc>
              </w:sdtContent>
            </w:sdt>
          </w:tr>
        </w:sdtContent>
      </w:sdt>
      <w:sdt>
        <w:sdtPr>
          <w:rPr>
            <w:rFonts w:hint="eastAsia"/>
            <w:color w:val="000000" w:themeColor="text1"/>
            <w:szCs w:val="21"/>
          </w:rPr>
          <w:alias w:val="募集资金使用的合规性明细"/>
          <w:tag w:val="_TUP_7002db0ed9eb4f67a5b0a9b443b3516e"/>
          <w:id w:val="-857351877"/>
          <w:placeholder>
            <w:docPart w:val="8BAB6B8AF07542BDBE35C7826D63E8C8"/>
          </w:placeholder>
        </w:sdtPr>
        <w:sdtEndPr>
          <w:rPr>
            <w:rFonts w:hint="default"/>
            <w:color w:val="auto"/>
          </w:rPr>
        </w:sdtEndPr>
        <w:sdtContent>
          <w:tr>
            <w:trPr>
              <w:trHeight w:val="270"/>
            </w:trPr>
            <w:tc>
              <w:tcPr>
                <w:tcW w:w="688" w:type="pct"/>
                <w:shd w:val="clear" w:color="auto" w:fill="auto"/>
                <w:noWrap/>
                <w:vAlign w:val="center"/>
              </w:tcPr>
              <w:p>
                <w:pPr>
                  <w:rPr>
                    <w:color w:val="000000" w:themeColor="text1"/>
                    <w:szCs w:val="21"/>
                  </w:rPr>
                </w:pPr>
                <w:r>
                  <w:rPr>
                    <w:rFonts w:hint="eastAsia"/>
                    <w:color w:val="000000" w:themeColor="text1"/>
                  </w:rPr>
                  <w:t>241141</w:t>
                </w:r>
              </w:p>
            </w:tc>
            <w:tc>
              <w:tcPr>
                <w:tcW w:w="705" w:type="pct"/>
                <w:shd w:val="clear" w:color="auto" w:fill="auto"/>
                <w:noWrap/>
                <w:vAlign w:val="center"/>
              </w:tcPr>
              <w:p>
                <w:pPr>
                  <w:rPr>
                    <w:color w:val="000000" w:themeColor="text1"/>
                    <w:szCs w:val="21"/>
                  </w:rPr>
                </w:pPr>
                <w:r>
                  <w:rPr>
                    <w:rFonts w:hint="eastAsia"/>
                    <w:color w:val="000000" w:themeColor="text1"/>
                  </w:rPr>
                  <w:t>兖矿KY01</w:t>
                </w:r>
              </w:p>
            </w:tc>
            <w:tc>
              <w:tcPr>
                <w:tcW w:w="1020" w:type="pct"/>
                <w:shd w:val="clear" w:color="auto" w:fill="auto"/>
                <w:noWrap/>
                <w:vAlign w:val="center"/>
              </w:tcPr>
              <w:p>
                <w:pPr>
                  <w:rPr>
                    <w:color w:val="000000" w:themeColor="text1"/>
                    <w:szCs w:val="21"/>
                  </w:rPr>
                </w:pPr>
                <w:r>
                  <w:rPr>
                    <w:rFonts w:hint="eastAsia"/>
                    <w:color w:val="000000" w:themeColor="text1"/>
                  </w:rPr>
                  <w:t>偿还到期债券</w:t>
                </w:r>
              </w:p>
            </w:tc>
            <w:sdt>
              <w:sdtPr>
                <w:rPr>
                  <w:rFonts w:hint="eastAsia"/>
                  <w:szCs w:val="21"/>
                </w:rPr>
                <w:alias w:val="是否与募集说明书承诺一致"/>
                <w:tag w:val="_GBC_16741cb9d8354edd8f0bf7a8fe8a4235"/>
                <w:id w:val="-676662212"/>
                <w:comboBox>
                  <w:listItem w:displayText="是" w:value="是"/>
                  <w:listItem w:displayText="否" w:value="否"/>
                </w:comboBox>
              </w:sdtPr>
              <w:sdtContent>
                <w:tc>
                  <w:tcPr>
                    <w:tcW w:w="1020" w:type="pct"/>
                    <w:vAlign w:val="center"/>
                  </w:tcPr>
                  <w:p>
                    <w:pPr>
                      <w:jc w:val="center"/>
                      <w:rPr>
                        <w:szCs w:val="21"/>
                      </w:rPr>
                    </w:pPr>
                    <w:r>
                      <w:rPr>
                        <w:rFonts w:hint="eastAsia"/>
                        <w:szCs w:val="21"/>
                      </w:rPr>
                      <w:t>是</w:t>
                    </w:r>
                  </w:p>
                </w:tc>
              </w:sdtContent>
            </w:sdt>
            <w:sdt>
              <w:sdtPr>
                <w:rPr>
                  <w:rFonts w:hint="eastAsia"/>
                  <w:szCs w:val="21"/>
                </w:rPr>
                <w:alias w:val="募集资金账户管理和使用是否合规"/>
                <w:tag w:val="_GBC_baf0c4bd4d7544cb89e991a90a5cca00"/>
                <w:id w:val="204380316"/>
                <w:comboBox>
                  <w:listItem w:displayText="是" w:value="是"/>
                  <w:listItem w:displayText="否" w:value="否"/>
                </w:comboBox>
              </w:sdtPr>
              <w:sdtContent>
                <w:tc>
                  <w:tcPr>
                    <w:tcW w:w="863" w:type="pct"/>
                    <w:vAlign w:val="center"/>
                  </w:tcPr>
                  <w:p>
                    <w:pPr>
                      <w:jc w:val="center"/>
                      <w:rPr>
                        <w:szCs w:val="21"/>
                      </w:rPr>
                    </w:pPr>
                    <w:r>
                      <w:rPr>
                        <w:rFonts w:hint="eastAsia"/>
                        <w:szCs w:val="21"/>
                      </w:rPr>
                      <w:t>是</w:t>
                    </w:r>
                  </w:p>
                </w:tc>
              </w:sdtContent>
            </w:sdt>
            <w:sdt>
              <w:sdtPr>
                <w:rPr>
                  <w:rFonts w:hint="eastAsia"/>
                  <w:szCs w:val="21"/>
                </w:rPr>
                <w:alias w:val="募集资金使用是否符合地方政府债务管理规定"/>
                <w:tag w:val="_GBC_060d69464b444e7683a2c151e847a071"/>
                <w:id w:val="-192386527"/>
                <w:comboBox>
                  <w:listItem w:displayText="是" w:value="是"/>
                  <w:listItem w:displayText="否" w:value="否"/>
                </w:comboBox>
              </w:sdtPr>
              <w:sdtContent>
                <w:tc>
                  <w:tcPr>
                    <w:tcW w:w="704" w:type="pct"/>
                    <w:vAlign w:val="center"/>
                  </w:tcPr>
                  <w:p>
                    <w:pPr>
                      <w:jc w:val="center"/>
                      <w:rPr>
                        <w:szCs w:val="21"/>
                      </w:rPr>
                    </w:pPr>
                    <w:r>
                      <w:rPr>
                        <w:rFonts w:hint="eastAsia"/>
                        <w:szCs w:val="21"/>
                      </w:rPr>
                      <w:t>不适用</w:t>
                    </w:r>
                  </w:p>
                </w:tc>
              </w:sdtContent>
            </w:sdt>
          </w:tr>
        </w:sdtContent>
      </w:sdt>
      <w:sdt>
        <w:sdtPr>
          <w:rPr>
            <w:rFonts w:hint="eastAsia"/>
            <w:color w:val="000000" w:themeColor="text1"/>
            <w:szCs w:val="21"/>
          </w:rPr>
          <w:alias w:val="募集资金使用的合规性明细"/>
          <w:tag w:val="_TUP_7002db0ed9eb4f67a5b0a9b443b3516e"/>
          <w:id w:val="-889491268"/>
          <w:placeholder>
            <w:docPart w:val="8BAB6B8AF07542BDBE35C7826D63E8C8"/>
          </w:placeholder>
        </w:sdtPr>
        <w:sdtEndPr>
          <w:rPr>
            <w:rFonts w:hint="default"/>
            <w:color w:val="auto"/>
          </w:rPr>
        </w:sdtEndPr>
        <w:sdtContent>
          <w:tr>
            <w:trPr>
              <w:trHeight w:val="270"/>
            </w:trPr>
            <w:tc>
              <w:tcPr>
                <w:tcW w:w="688" w:type="pct"/>
                <w:shd w:val="clear" w:color="auto" w:fill="auto"/>
                <w:noWrap/>
                <w:vAlign w:val="center"/>
              </w:tcPr>
              <w:p>
                <w:pPr>
                  <w:rPr>
                    <w:color w:val="000000" w:themeColor="text1"/>
                    <w:szCs w:val="21"/>
                  </w:rPr>
                </w:pPr>
                <w:r>
                  <w:rPr>
                    <w:rFonts w:hint="eastAsia"/>
                    <w:color w:val="000000" w:themeColor="text1"/>
                  </w:rPr>
                  <w:t>241324</w:t>
                </w:r>
              </w:p>
            </w:tc>
            <w:tc>
              <w:tcPr>
                <w:tcW w:w="705" w:type="pct"/>
                <w:shd w:val="clear" w:color="auto" w:fill="auto"/>
                <w:noWrap/>
                <w:vAlign w:val="center"/>
              </w:tcPr>
              <w:p>
                <w:pPr>
                  <w:rPr>
                    <w:color w:val="000000" w:themeColor="text1"/>
                    <w:szCs w:val="21"/>
                  </w:rPr>
                </w:pPr>
                <w:r>
                  <w:rPr>
                    <w:rFonts w:hint="eastAsia"/>
                    <w:color w:val="000000" w:themeColor="text1"/>
                  </w:rPr>
                  <w:t>兖矿KY02</w:t>
                </w:r>
              </w:p>
            </w:tc>
            <w:tc>
              <w:tcPr>
                <w:tcW w:w="1020" w:type="pct"/>
                <w:shd w:val="clear" w:color="auto" w:fill="auto"/>
                <w:noWrap/>
                <w:vAlign w:val="center"/>
              </w:tcPr>
              <w:p>
                <w:pPr>
                  <w:rPr>
                    <w:color w:val="000000" w:themeColor="text1"/>
                    <w:szCs w:val="21"/>
                  </w:rPr>
                </w:pPr>
                <w:r>
                  <w:rPr>
                    <w:rFonts w:hint="eastAsia"/>
                    <w:color w:val="000000" w:themeColor="text1"/>
                  </w:rPr>
                  <w:t>偿还到期债券及补充流动资金</w:t>
                </w:r>
              </w:p>
            </w:tc>
            <w:sdt>
              <w:sdtPr>
                <w:rPr>
                  <w:rFonts w:hint="eastAsia"/>
                  <w:szCs w:val="21"/>
                </w:rPr>
                <w:alias w:val="是否与募集说明书承诺一致"/>
                <w:tag w:val="_GBC_16741cb9d8354edd8f0bf7a8fe8a4235"/>
                <w:id w:val="587278302"/>
                <w:comboBox>
                  <w:listItem w:displayText="是" w:value="是"/>
                  <w:listItem w:displayText="否" w:value="否"/>
                </w:comboBox>
              </w:sdtPr>
              <w:sdtContent>
                <w:tc>
                  <w:tcPr>
                    <w:tcW w:w="1020" w:type="pct"/>
                    <w:vAlign w:val="center"/>
                  </w:tcPr>
                  <w:p>
                    <w:pPr>
                      <w:jc w:val="center"/>
                      <w:rPr>
                        <w:szCs w:val="21"/>
                      </w:rPr>
                    </w:pPr>
                    <w:r>
                      <w:rPr>
                        <w:rFonts w:hint="eastAsia"/>
                        <w:szCs w:val="21"/>
                      </w:rPr>
                      <w:t>是</w:t>
                    </w:r>
                  </w:p>
                </w:tc>
              </w:sdtContent>
            </w:sdt>
            <w:sdt>
              <w:sdtPr>
                <w:rPr>
                  <w:rFonts w:hint="eastAsia"/>
                  <w:szCs w:val="21"/>
                </w:rPr>
                <w:alias w:val="募集资金账户管理和使用是否合规"/>
                <w:tag w:val="_GBC_baf0c4bd4d7544cb89e991a90a5cca00"/>
                <w:id w:val="-1204169946"/>
                <w:comboBox>
                  <w:listItem w:displayText="是" w:value="是"/>
                  <w:listItem w:displayText="否" w:value="否"/>
                </w:comboBox>
              </w:sdtPr>
              <w:sdtContent>
                <w:tc>
                  <w:tcPr>
                    <w:tcW w:w="863" w:type="pct"/>
                    <w:vAlign w:val="center"/>
                  </w:tcPr>
                  <w:p>
                    <w:pPr>
                      <w:jc w:val="center"/>
                      <w:rPr>
                        <w:szCs w:val="21"/>
                      </w:rPr>
                    </w:pPr>
                    <w:r>
                      <w:rPr>
                        <w:rFonts w:hint="eastAsia"/>
                        <w:szCs w:val="21"/>
                      </w:rPr>
                      <w:t>是</w:t>
                    </w:r>
                  </w:p>
                </w:tc>
              </w:sdtContent>
            </w:sdt>
            <w:sdt>
              <w:sdtPr>
                <w:rPr>
                  <w:rFonts w:hint="eastAsia"/>
                  <w:szCs w:val="21"/>
                </w:rPr>
                <w:alias w:val="募集资金使用是否符合地方政府债务管理规定"/>
                <w:tag w:val="_GBC_060d69464b444e7683a2c151e847a071"/>
                <w:id w:val="-855496311"/>
                <w:comboBox>
                  <w:listItem w:displayText="是" w:value="是"/>
                  <w:listItem w:displayText="否" w:value="否"/>
                </w:comboBox>
              </w:sdtPr>
              <w:sdtContent>
                <w:tc>
                  <w:tcPr>
                    <w:tcW w:w="704" w:type="pct"/>
                    <w:vAlign w:val="center"/>
                  </w:tcPr>
                  <w:p>
                    <w:pPr>
                      <w:jc w:val="center"/>
                      <w:rPr>
                        <w:szCs w:val="21"/>
                      </w:rPr>
                    </w:pPr>
                    <w:r>
                      <w:rPr>
                        <w:rFonts w:hint="eastAsia"/>
                        <w:szCs w:val="21"/>
                      </w:rPr>
                      <w:t>不适用</w:t>
                    </w:r>
                  </w:p>
                </w:tc>
              </w:sdtContent>
            </w:sdt>
          </w:tr>
        </w:sdtContent>
      </w:sdt>
      <w:sdt>
        <w:sdtPr>
          <w:rPr>
            <w:rFonts w:hint="eastAsia"/>
            <w:color w:val="000000" w:themeColor="text1"/>
            <w:szCs w:val="21"/>
          </w:rPr>
          <w:alias w:val="募集资金使用的合规性明细"/>
          <w:tag w:val="_TUP_7002db0ed9eb4f67a5b0a9b443b3516e"/>
          <w:id w:val="-289511639"/>
          <w:placeholder>
            <w:docPart w:val="8BAB6B8AF07542BDBE35C7826D63E8C8"/>
          </w:placeholder>
        </w:sdtPr>
        <w:sdtEndPr>
          <w:rPr>
            <w:rFonts w:hint="default"/>
            <w:color w:val="auto"/>
          </w:rPr>
        </w:sdtEndPr>
        <w:sdtContent>
          <w:tr>
            <w:trPr>
              <w:trHeight w:val="270"/>
            </w:trPr>
            <w:tc>
              <w:tcPr>
                <w:tcW w:w="688" w:type="pct"/>
                <w:shd w:val="clear" w:color="auto" w:fill="auto"/>
                <w:noWrap/>
                <w:vAlign w:val="center"/>
              </w:tcPr>
              <w:p>
                <w:pPr>
                  <w:rPr>
                    <w:color w:val="000000" w:themeColor="text1"/>
                    <w:szCs w:val="21"/>
                  </w:rPr>
                </w:pPr>
                <w:r>
                  <w:rPr>
                    <w:rFonts w:hint="eastAsia"/>
                    <w:color w:val="000000" w:themeColor="text1"/>
                  </w:rPr>
                  <w:t>241379</w:t>
                </w:r>
              </w:p>
            </w:tc>
            <w:tc>
              <w:tcPr>
                <w:tcW w:w="705" w:type="pct"/>
                <w:shd w:val="clear" w:color="auto" w:fill="auto"/>
                <w:noWrap/>
                <w:vAlign w:val="center"/>
              </w:tcPr>
              <w:p>
                <w:pPr>
                  <w:rPr>
                    <w:color w:val="000000" w:themeColor="text1"/>
                    <w:szCs w:val="21"/>
                  </w:rPr>
                </w:pPr>
                <w:r>
                  <w:rPr>
                    <w:rFonts w:hint="eastAsia"/>
                    <w:color w:val="000000" w:themeColor="text1"/>
                  </w:rPr>
                  <w:t>24兖矿K3</w:t>
                </w:r>
              </w:p>
            </w:tc>
            <w:tc>
              <w:tcPr>
                <w:tcW w:w="1020" w:type="pct"/>
                <w:shd w:val="clear" w:color="auto" w:fill="auto"/>
                <w:noWrap/>
                <w:vAlign w:val="center"/>
              </w:tcPr>
              <w:p>
                <w:pPr>
                  <w:rPr>
                    <w:color w:val="000000" w:themeColor="text1"/>
                    <w:szCs w:val="21"/>
                  </w:rPr>
                </w:pPr>
                <w:r>
                  <w:rPr>
                    <w:rFonts w:hint="eastAsia"/>
                    <w:color w:val="000000" w:themeColor="text1"/>
                  </w:rPr>
                  <w:t>偿还到期债务及补充流动资金</w:t>
                </w:r>
              </w:p>
            </w:tc>
            <w:sdt>
              <w:sdtPr>
                <w:rPr>
                  <w:rFonts w:hint="eastAsia"/>
                  <w:szCs w:val="21"/>
                </w:rPr>
                <w:alias w:val="是否与募集说明书承诺一致"/>
                <w:tag w:val="_GBC_16741cb9d8354edd8f0bf7a8fe8a4235"/>
                <w:id w:val="1133138418"/>
                <w:comboBox>
                  <w:listItem w:displayText="是" w:value="是"/>
                  <w:listItem w:displayText="否" w:value="否"/>
                </w:comboBox>
              </w:sdtPr>
              <w:sdtContent>
                <w:tc>
                  <w:tcPr>
                    <w:tcW w:w="1020" w:type="pct"/>
                    <w:vAlign w:val="center"/>
                  </w:tcPr>
                  <w:p>
                    <w:pPr>
                      <w:jc w:val="center"/>
                      <w:rPr>
                        <w:szCs w:val="21"/>
                      </w:rPr>
                    </w:pPr>
                    <w:r>
                      <w:rPr>
                        <w:rFonts w:hint="eastAsia"/>
                        <w:szCs w:val="21"/>
                      </w:rPr>
                      <w:t>是</w:t>
                    </w:r>
                  </w:p>
                </w:tc>
              </w:sdtContent>
            </w:sdt>
            <w:sdt>
              <w:sdtPr>
                <w:rPr>
                  <w:rFonts w:hint="eastAsia"/>
                  <w:szCs w:val="21"/>
                </w:rPr>
                <w:alias w:val="募集资金账户管理和使用是否合规"/>
                <w:tag w:val="_GBC_baf0c4bd4d7544cb89e991a90a5cca00"/>
                <w:id w:val="181175362"/>
                <w:comboBox>
                  <w:listItem w:displayText="是" w:value="是"/>
                  <w:listItem w:displayText="否" w:value="否"/>
                </w:comboBox>
              </w:sdtPr>
              <w:sdtContent>
                <w:tc>
                  <w:tcPr>
                    <w:tcW w:w="863" w:type="pct"/>
                    <w:vAlign w:val="center"/>
                  </w:tcPr>
                  <w:p>
                    <w:pPr>
                      <w:jc w:val="center"/>
                      <w:rPr>
                        <w:szCs w:val="21"/>
                      </w:rPr>
                    </w:pPr>
                    <w:r>
                      <w:rPr>
                        <w:rFonts w:hint="eastAsia"/>
                        <w:szCs w:val="21"/>
                      </w:rPr>
                      <w:t>是</w:t>
                    </w:r>
                  </w:p>
                </w:tc>
              </w:sdtContent>
            </w:sdt>
            <w:sdt>
              <w:sdtPr>
                <w:rPr>
                  <w:rFonts w:hint="eastAsia"/>
                  <w:szCs w:val="21"/>
                </w:rPr>
                <w:alias w:val="募集资金使用是否符合地方政府债务管理规定"/>
                <w:tag w:val="_GBC_060d69464b444e7683a2c151e847a071"/>
                <w:id w:val="999927578"/>
                <w:comboBox>
                  <w:listItem w:displayText="是" w:value="是"/>
                  <w:listItem w:displayText="否" w:value="否"/>
                </w:comboBox>
              </w:sdtPr>
              <w:sdtContent>
                <w:tc>
                  <w:tcPr>
                    <w:tcW w:w="704" w:type="pct"/>
                    <w:vAlign w:val="center"/>
                  </w:tcPr>
                  <w:p>
                    <w:pPr>
                      <w:jc w:val="center"/>
                      <w:rPr>
                        <w:szCs w:val="21"/>
                      </w:rPr>
                    </w:pPr>
                    <w:r>
                      <w:rPr>
                        <w:rFonts w:hint="eastAsia"/>
                        <w:szCs w:val="21"/>
                      </w:rPr>
                      <w:t>不适用</w:t>
                    </w:r>
                  </w:p>
                </w:tc>
              </w:sdtContent>
            </w:sdt>
          </w:tr>
        </w:sdtContent>
      </w:sdt>
      <w:sdt>
        <w:sdtPr>
          <w:rPr>
            <w:rFonts w:hint="eastAsia"/>
            <w:color w:val="000000" w:themeColor="text1"/>
            <w:szCs w:val="21"/>
          </w:rPr>
          <w:alias w:val="募集资金使用的合规性明细"/>
          <w:tag w:val="_TUP_7002db0ed9eb4f67a5b0a9b443b3516e"/>
          <w:id w:val="-926723508"/>
          <w:placeholder>
            <w:docPart w:val="8BAB6B8AF07542BDBE35C7826D63E8C8"/>
          </w:placeholder>
        </w:sdtPr>
        <w:sdtEndPr>
          <w:rPr>
            <w:rFonts w:hint="default"/>
            <w:color w:val="auto"/>
          </w:rPr>
        </w:sdtEndPr>
        <w:sdtContent>
          <w:tr>
            <w:trPr>
              <w:trHeight w:val="270"/>
            </w:trPr>
            <w:tc>
              <w:tcPr>
                <w:tcW w:w="688" w:type="pct"/>
                <w:shd w:val="clear" w:color="auto" w:fill="auto"/>
                <w:noWrap/>
                <w:vAlign w:val="center"/>
              </w:tcPr>
              <w:p>
                <w:pPr>
                  <w:rPr>
                    <w:color w:val="000000" w:themeColor="text1"/>
                    <w:szCs w:val="21"/>
                  </w:rPr>
                </w:pPr>
                <w:r>
                  <w:rPr>
                    <w:rFonts w:hint="eastAsia"/>
                    <w:color w:val="000000" w:themeColor="text1"/>
                  </w:rPr>
                  <w:t>241636</w:t>
                </w:r>
              </w:p>
            </w:tc>
            <w:tc>
              <w:tcPr>
                <w:tcW w:w="705" w:type="pct"/>
                <w:shd w:val="clear" w:color="auto" w:fill="auto"/>
                <w:noWrap/>
                <w:vAlign w:val="center"/>
              </w:tcPr>
              <w:p>
                <w:pPr>
                  <w:rPr>
                    <w:color w:val="000000" w:themeColor="text1"/>
                    <w:szCs w:val="21"/>
                  </w:rPr>
                </w:pPr>
                <w:r>
                  <w:rPr>
                    <w:rFonts w:hint="eastAsia"/>
                    <w:color w:val="000000" w:themeColor="text1"/>
                  </w:rPr>
                  <w:t>24兖矿K4</w:t>
                </w:r>
              </w:p>
            </w:tc>
            <w:tc>
              <w:tcPr>
                <w:tcW w:w="1020" w:type="pct"/>
                <w:shd w:val="clear" w:color="auto" w:fill="auto"/>
                <w:noWrap/>
                <w:vAlign w:val="center"/>
              </w:tcPr>
              <w:p>
                <w:pPr>
                  <w:rPr>
                    <w:color w:val="000000" w:themeColor="text1"/>
                    <w:szCs w:val="21"/>
                  </w:rPr>
                </w:pPr>
                <w:r>
                  <w:rPr>
                    <w:rFonts w:hint="eastAsia"/>
                    <w:color w:val="000000" w:themeColor="text1"/>
                  </w:rPr>
                  <w:t>偿还到期债务</w:t>
                </w:r>
              </w:p>
            </w:tc>
            <w:sdt>
              <w:sdtPr>
                <w:rPr>
                  <w:rFonts w:hint="eastAsia"/>
                  <w:szCs w:val="21"/>
                </w:rPr>
                <w:alias w:val="是否与募集说明书承诺一致"/>
                <w:tag w:val="_GBC_16741cb9d8354edd8f0bf7a8fe8a4235"/>
                <w:id w:val="-652838336"/>
                <w:comboBox>
                  <w:listItem w:displayText="是" w:value="是"/>
                  <w:listItem w:displayText="否" w:value="否"/>
                </w:comboBox>
              </w:sdtPr>
              <w:sdtContent>
                <w:tc>
                  <w:tcPr>
                    <w:tcW w:w="1020" w:type="pct"/>
                    <w:vAlign w:val="center"/>
                  </w:tcPr>
                  <w:p>
                    <w:pPr>
                      <w:jc w:val="center"/>
                      <w:rPr>
                        <w:szCs w:val="21"/>
                      </w:rPr>
                    </w:pPr>
                    <w:r>
                      <w:rPr>
                        <w:rFonts w:hint="eastAsia"/>
                        <w:szCs w:val="21"/>
                      </w:rPr>
                      <w:t>是</w:t>
                    </w:r>
                  </w:p>
                </w:tc>
              </w:sdtContent>
            </w:sdt>
            <w:sdt>
              <w:sdtPr>
                <w:rPr>
                  <w:rFonts w:hint="eastAsia"/>
                  <w:szCs w:val="21"/>
                </w:rPr>
                <w:alias w:val="募集资金账户管理和使用是否合规"/>
                <w:tag w:val="_GBC_baf0c4bd4d7544cb89e991a90a5cca00"/>
                <w:id w:val="1301351880"/>
                <w:comboBox>
                  <w:listItem w:displayText="是" w:value="是"/>
                  <w:listItem w:displayText="否" w:value="否"/>
                </w:comboBox>
              </w:sdtPr>
              <w:sdtContent>
                <w:tc>
                  <w:tcPr>
                    <w:tcW w:w="863" w:type="pct"/>
                    <w:vAlign w:val="center"/>
                  </w:tcPr>
                  <w:p>
                    <w:pPr>
                      <w:jc w:val="center"/>
                      <w:rPr>
                        <w:szCs w:val="21"/>
                      </w:rPr>
                    </w:pPr>
                    <w:r>
                      <w:rPr>
                        <w:rFonts w:hint="eastAsia"/>
                        <w:szCs w:val="21"/>
                      </w:rPr>
                      <w:t>是</w:t>
                    </w:r>
                  </w:p>
                </w:tc>
              </w:sdtContent>
            </w:sdt>
            <w:sdt>
              <w:sdtPr>
                <w:rPr>
                  <w:rFonts w:hint="eastAsia"/>
                  <w:szCs w:val="21"/>
                </w:rPr>
                <w:alias w:val="募集资金使用是否符合地方政府债务管理规定"/>
                <w:tag w:val="_GBC_060d69464b444e7683a2c151e847a071"/>
                <w:id w:val="-178119932"/>
                <w:comboBox>
                  <w:listItem w:displayText="是" w:value="是"/>
                  <w:listItem w:displayText="否" w:value="否"/>
                </w:comboBox>
              </w:sdtPr>
              <w:sdtContent>
                <w:tc>
                  <w:tcPr>
                    <w:tcW w:w="704" w:type="pct"/>
                    <w:vAlign w:val="center"/>
                  </w:tcPr>
                  <w:p>
                    <w:pPr>
                      <w:jc w:val="center"/>
                      <w:rPr>
                        <w:szCs w:val="21"/>
                      </w:rPr>
                    </w:pPr>
                    <w:r>
                      <w:rPr>
                        <w:rFonts w:hint="eastAsia"/>
                        <w:szCs w:val="21"/>
                      </w:rPr>
                      <w:t>不适用</w:t>
                    </w:r>
                  </w:p>
                </w:tc>
              </w:sdtContent>
            </w:sdt>
          </w:tr>
        </w:sdtContent>
      </w:sdt>
    </w:tbl>
    <w:p>
      <w:pPr>
        <w:kinsoku w:val="0"/>
        <w:overflowPunct w:val="0"/>
        <w:rPr>
          <w:b/>
          <w:bCs/>
          <w:color w:val="000000" w:themeColor="text1"/>
        </w:rPr>
      </w:pPr>
    </w:p>
    <w:p>
      <w:pPr>
        <w:kinsoku w:val="0"/>
        <w:overflowPunct w:val="0"/>
        <w:rPr>
          <w:b/>
          <w:bCs/>
          <w:color w:val="000000" w:themeColor="text1"/>
        </w:rPr>
      </w:pPr>
    </w:p>
    <w:bookmarkEnd w:id="265"/>
    <w:bookmarkEnd w:id="266"/>
    <w:p>
      <w:pPr>
        <w:kinsoku w:val="0"/>
        <w:overflowPunct w:val="0"/>
        <w:rPr>
          <w:bCs/>
          <w:color w:val="000000" w:themeColor="text1"/>
        </w:rPr>
      </w:pPr>
      <w:r>
        <w:rPr>
          <w:rFonts w:hint="eastAsia"/>
          <w:bCs/>
          <w:color w:val="000000" w:themeColor="text1"/>
        </w:rPr>
        <w:t>募集资金使用和募集</w:t>
      </w:r>
      <w:r>
        <w:rPr>
          <w:bCs/>
          <w:color w:val="000000" w:themeColor="text1"/>
        </w:rPr>
        <w:t>资金</w:t>
      </w:r>
      <w:r>
        <w:rPr>
          <w:rFonts w:hint="eastAsia"/>
          <w:bCs/>
          <w:color w:val="000000" w:themeColor="text1"/>
        </w:rPr>
        <w:t>账户管理存在违法</w:t>
      </w:r>
      <w:r>
        <w:rPr>
          <w:bCs/>
          <w:color w:val="000000" w:themeColor="text1"/>
        </w:rPr>
        <w:t>违规情况</w:t>
      </w:r>
    </w:p>
    <w:sdt>
      <w:sdtPr>
        <w:rPr>
          <w:rFonts w:cs="Times New Roman" w:hint="eastAsia"/>
          <w:bCs/>
          <w:color w:val="000000" w:themeColor="text1"/>
          <w:szCs w:val="21"/>
        </w:rPr>
        <w:alias w:val="是否适用：募集资金使用和募集资金账户管理存在违法违规情况[双击切换]"/>
        <w:tag w:val="_GBC_734b529847cb424c9426fe3b823c82a6"/>
        <w:id w:val="-1865361917"/>
        <w:placeholder>
          <w:docPart w:val="GBC22222222222222222222222222222"/>
        </w:placeholder>
      </w:sdtPr>
      <w:sdtContent>
        <w:p>
          <w:pPr>
            <w:rPr>
              <w:rFonts w:cs="Times New Roman"/>
              <w:bCs/>
              <w:color w:val="000000" w:themeColor="text1"/>
              <w:szCs w:val="21"/>
            </w:rPr>
          </w:pPr>
          <w:r>
            <w:rPr>
              <w:rFonts w:cs="Times New Roman" w:hint="eastAsia"/>
              <w:bCs/>
              <w:color w:val="000000" w:themeColor="text1"/>
              <w:szCs w:val="21"/>
            </w:rPr>
            <w:fldChar w:fldCharType="begin"/>
          </w:r>
          <w:r>
            <w:rPr>
              <w:rFonts w:cs="Times New Roman"/>
              <w:bCs/>
              <w:color w:val="000000" w:themeColor="text1"/>
              <w:szCs w:val="21"/>
            </w:rPr>
            <w:instrText xml:space="preserve"> MACROBUTTON  SnrToggleCheckbox □适用 </w:instrText>
          </w:r>
          <w:r>
            <w:rPr>
              <w:rFonts w:cs="Times New Roman" w:hint="eastAsia"/>
              <w:bCs/>
              <w:color w:val="000000" w:themeColor="text1"/>
              <w:szCs w:val="21"/>
            </w:rPr>
            <w:fldChar w:fldCharType="end"/>
          </w:r>
          <w:r>
            <w:rPr>
              <w:rFonts w:cs="Times New Roman" w:hint="eastAsia"/>
              <w:bCs/>
              <w:color w:val="000000" w:themeColor="text1"/>
              <w:szCs w:val="21"/>
            </w:rPr>
            <w:fldChar w:fldCharType="begin"/>
          </w:r>
          <w:r>
            <w:rPr>
              <w:rFonts w:cs="Times New Roman"/>
              <w:bCs/>
              <w:color w:val="000000" w:themeColor="text1"/>
              <w:szCs w:val="21"/>
            </w:rPr>
            <w:instrText xml:space="preserve"> MACROBUTTON  SnrToggleCheckbox √不适用 </w:instrText>
          </w:r>
          <w:r>
            <w:rPr>
              <w:rFonts w:cs="Times New Roman" w:hint="eastAsia"/>
              <w:bCs/>
              <w:color w:val="000000" w:themeColor="text1"/>
              <w:szCs w:val="21"/>
            </w:rPr>
            <w:fldChar w:fldCharType="end"/>
          </w:r>
        </w:p>
      </w:sdtContent>
    </w:sdt>
    <w:p>
      <w:pPr>
        <w:rPr>
          <w:b/>
          <w:bCs/>
          <w:color w:val="000000" w:themeColor="text1"/>
        </w:rPr>
      </w:pPr>
    </w:p>
    <w:p>
      <w:pPr>
        <w:kinsoku w:val="0"/>
        <w:overflowPunct w:val="0"/>
        <w:rPr>
          <w:bCs/>
          <w:color w:val="000000" w:themeColor="text1"/>
        </w:rPr>
      </w:pPr>
      <w:r>
        <w:rPr>
          <w:rFonts w:hint="eastAsia"/>
          <w:bCs/>
          <w:color w:val="000000" w:themeColor="text1"/>
        </w:rPr>
        <w:t>因募集资金违规使用行为</w:t>
      </w:r>
      <w:r>
        <w:rPr>
          <w:bCs/>
          <w:color w:val="000000" w:themeColor="text1"/>
        </w:rPr>
        <w:t>被</w:t>
      </w:r>
      <w:r>
        <w:rPr>
          <w:color w:val="000000" w:themeColor="text1"/>
          <w:szCs w:val="21"/>
        </w:rPr>
        <w:t>处罚处分</w:t>
      </w:r>
    </w:p>
    <w:sdt>
      <w:sdtPr>
        <w:rPr>
          <w:rFonts w:cs="Times New Roman" w:hint="eastAsia"/>
          <w:bCs/>
          <w:color w:val="000000" w:themeColor="text1"/>
          <w:szCs w:val="21"/>
        </w:rPr>
        <w:alias w:val="是否适用：因募集资金违规使用行为被处罚处分[双击切换]"/>
        <w:tag w:val="_GBC_ae622e62f94e443e8492cbdb7a72dabc"/>
        <w:id w:val="-1438518781"/>
        <w:placeholder>
          <w:docPart w:val="GBC22222222222222222222222222222"/>
        </w:placeholder>
      </w:sdtPr>
      <w:sdtContent>
        <w:p>
          <w:pPr>
            <w:rPr>
              <w:color w:val="000000"/>
            </w:rPr>
          </w:pPr>
          <w:r>
            <w:rPr>
              <w:rFonts w:cs="Times New Roman" w:hint="eastAsia"/>
              <w:bCs/>
              <w:color w:val="000000" w:themeColor="text1"/>
              <w:szCs w:val="21"/>
            </w:rPr>
            <w:fldChar w:fldCharType="begin"/>
          </w:r>
          <w:r>
            <w:rPr>
              <w:rFonts w:cs="Times New Roman"/>
              <w:bCs/>
              <w:color w:val="000000" w:themeColor="text1"/>
              <w:szCs w:val="21"/>
            </w:rPr>
            <w:instrText xml:space="preserve"> MACROBUTTON  SnrToggleCheckbox □适用 </w:instrText>
          </w:r>
          <w:r>
            <w:rPr>
              <w:rFonts w:cs="Times New Roman" w:hint="eastAsia"/>
              <w:bCs/>
              <w:color w:val="000000" w:themeColor="text1"/>
              <w:szCs w:val="21"/>
            </w:rPr>
            <w:fldChar w:fldCharType="end"/>
          </w:r>
          <w:r>
            <w:rPr>
              <w:rFonts w:cs="Times New Roman" w:hint="eastAsia"/>
              <w:bCs/>
              <w:color w:val="000000" w:themeColor="text1"/>
              <w:szCs w:val="21"/>
            </w:rPr>
            <w:fldChar w:fldCharType="begin"/>
          </w:r>
          <w:r>
            <w:rPr>
              <w:rFonts w:cs="Times New Roman"/>
              <w:bCs/>
              <w:color w:val="000000" w:themeColor="text1"/>
              <w:szCs w:val="21"/>
            </w:rPr>
            <w:instrText xml:space="preserve"> MACROBUTTON  SnrToggleCheckbox √不适用 </w:instrText>
          </w:r>
          <w:r>
            <w:rPr>
              <w:rFonts w:cs="Times New Roman" w:hint="eastAsia"/>
              <w:bCs/>
              <w:color w:val="000000" w:themeColor="text1"/>
              <w:szCs w:val="21"/>
            </w:rPr>
            <w:fldChar w:fldCharType="end"/>
          </w:r>
        </w:p>
      </w:sdtContent>
    </w:sdt>
    <w:p>
      <w:pPr>
        <w:kinsoku w:val="0"/>
        <w:overflowPunct w:val="0"/>
        <w:rPr>
          <w:color w:val="000000" w:themeColor="text1"/>
        </w:rPr>
      </w:pPr>
    </w:p>
    <w:p>
      <w:pPr>
        <w:pStyle w:val="3"/>
        <w:numPr>
          <w:ilvl w:val="0"/>
          <w:numId w:val="24"/>
        </w:numPr>
        <w:ind w:left="425" w:hanging="425"/>
        <w:rPr>
          <w:rFonts w:ascii="宋体" w:hAnsi="宋体"/>
        </w:rPr>
      </w:pPr>
      <w:bookmarkStart w:id="267" w:name="_Toc141452818"/>
      <w:bookmarkStart w:id="268" w:name="_Hlk169616708"/>
      <w:bookmarkStart w:id="269" w:name="_Hlk182406860"/>
      <w:bookmarkEnd w:id="261"/>
      <w:bookmarkEnd w:id="267"/>
      <w:r>
        <w:rPr>
          <w:rFonts w:ascii="宋体" w:hAnsi="宋体" w:hint="eastAsia"/>
        </w:rPr>
        <w:t>专项品种债券应当披露的其他事项</w:t>
      </w:r>
    </w:p>
    <w:bookmarkStart w:id="270" w:name="_Toc141452819" w:displacedByCustomXml="next"/>
    <w:bookmarkStart w:id="271" w:name="_Toc520720582" w:displacedByCustomXml="next"/>
    <w:sdt>
      <w:sdtPr>
        <w:rPr>
          <w:color w:val="000000" w:themeColor="text1"/>
        </w:rPr>
        <w:alias w:val="是否适用：专项品种债券事项[双击切换]"/>
        <w:tag w:val="_GBC_2e6cfaedbbd640fdb5534082db894dc6"/>
        <w:id w:val="-77918633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4"/>
        <w:numPr>
          <w:ilvl w:val="0"/>
          <w:numId w:val="27"/>
        </w:numPr>
        <w:ind w:left="420" w:hanging="420"/>
        <w:rPr>
          <w:color w:val="000000" w:themeColor="text1"/>
        </w:rPr>
      </w:pPr>
      <w:r>
        <w:rPr>
          <w:rFonts w:hint="eastAsia"/>
          <w:color w:val="000000" w:themeColor="text1"/>
        </w:rPr>
        <w:t>公司为可交换公司债券发行人</w:t>
      </w:r>
      <w:bookmarkEnd w:id="271"/>
      <w:bookmarkEnd w:id="270"/>
    </w:p>
    <w:sdt>
      <w:sdtPr>
        <w:rPr>
          <w:color w:val="000000" w:themeColor="text1"/>
        </w:rPr>
        <w:alias w:val="是否适用：发行人为可交换债券发行人[双击切换]"/>
        <w:tag w:val="_GBC_b363c50c513346cead7ce3397c60f725"/>
        <w:id w:val="1261570556"/>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4"/>
        <w:numPr>
          <w:ilvl w:val="0"/>
          <w:numId w:val="27"/>
        </w:numPr>
        <w:ind w:left="420" w:hanging="420"/>
        <w:rPr>
          <w:color w:val="000000" w:themeColor="text1"/>
        </w:rPr>
      </w:pPr>
      <w:bookmarkStart w:id="272" w:name="_Toc141452821"/>
      <w:bookmarkStart w:id="273" w:name="_Toc520720584"/>
      <w:bookmarkStart w:id="274" w:name="_Hlk169616976"/>
      <w:bookmarkEnd w:id="268"/>
      <w:r>
        <w:rPr>
          <w:rFonts w:hint="eastAsia"/>
          <w:color w:val="000000" w:themeColor="text1"/>
        </w:rPr>
        <w:t>公司为绿色公司债券发行人</w:t>
      </w:r>
      <w:bookmarkEnd w:id="272"/>
      <w:bookmarkEnd w:id="273"/>
    </w:p>
    <w:sdt>
      <w:sdtPr>
        <w:rPr>
          <w:b/>
          <w:bCs/>
          <w:color w:val="000000" w:themeColor="text1"/>
          <w:kern w:val="44"/>
        </w:rPr>
        <w:alias w:val="是否适用：发行人为其他特殊品种债券发行人[双击切换]"/>
        <w:tag w:val="_GBC_d170f4f70c0144ff98824e2f63a25dc5"/>
        <w:id w:val="1282690995"/>
        <w:placeholder>
          <w:docPart w:val="GBC22222222222222222222222222222"/>
        </w:placeholder>
      </w:sdtPr>
      <w:sdtEndPr>
        <w:rPr>
          <w:b w:val="0"/>
          <w:bCs w:val="0"/>
          <w:kern w:val="0"/>
        </w:rPr>
      </w:sdtEndPr>
      <w:sdtContent>
        <w:p>
          <w:pPr>
            <w:kinsoku w:val="0"/>
            <w:overflowPunct w:val="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4"/>
        <w:numPr>
          <w:ilvl w:val="0"/>
          <w:numId w:val="27"/>
        </w:numPr>
        <w:ind w:left="420" w:hanging="420"/>
        <w:rPr>
          <w:color w:val="000000" w:themeColor="text1"/>
        </w:rPr>
      </w:pPr>
      <w:bookmarkStart w:id="275" w:name="_Toc141452822"/>
      <w:bookmarkStart w:id="276" w:name="_Toc520720585"/>
      <w:r>
        <w:rPr>
          <w:rFonts w:hint="eastAsia"/>
          <w:color w:val="000000" w:themeColor="text1"/>
        </w:rPr>
        <w:t>公司为可续期公司债券发行人</w:t>
      </w:r>
      <w:bookmarkEnd w:id="275"/>
      <w:bookmarkEnd w:id="276"/>
    </w:p>
    <w:sdt>
      <w:sdtPr>
        <w:rPr>
          <w:b/>
          <w:bCs/>
          <w:color w:val="000000" w:themeColor="text1"/>
          <w:kern w:val="44"/>
        </w:rPr>
        <w:alias w:val="是否适用：发行人为可续期公司债券发行人[双击切换]"/>
        <w:tag w:val="_GBC_05c79a10c80f4534b401efd517678cbd"/>
        <w:id w:val="-448240343"/>
        <w:lock w:val="contentLocked"/>
        <w:placeholder>
          <w:docPart w:val="GBC22222222222222222222222222222"/>
        </w:placeholder>
      </w:sdtPr>
      <w:sdtContent>
        <w:p>
          <w:pPr>
            <w:kinsoku w:val="0"/>
            <w:overflowPunct w:val="0"/>
            <w:rPr>
              <w:b/>
              <w:bCs/>
              <w:color w:val="000000" w:themeColor="text1"/>
              <w:kern w:val="44"/>
            </w:rPr>
          </w:pPr>
          <w:r>
            <w:rPr>
              <w:bCs/>
              <w:color w:val="000000" w:themeColor="text1"/>
              <w:kern w:val="44"/>
            </w:rPr>
            <w:fldChar w:fldCharType="begin"/>
          </w:r>
          <w:r>
            <w:rPr>
              <w:color w:val="000000" w:themeColor="text1"/>
              <w:kern w:val="44"/>
            </w:rPr>
            <w:instrText xml:space="preserve"> MACROBUTTON  SnrToggleCheckbox √适用 </w:instrText>
          </w:r>
          <w:r>
            <w:rPr>
              <w:bCs/>
              <w:color w:val="000000" w:themeColor="text1"/>
              <w:kern w:val="44"/>
            </w:rPr>
            <w:fldChar w:fldCharType="end"/>
          </w:r>
          <w:r>
            <w:rPr>
              <w:bCs/>
              <w:color w:val="000000" w:themeColor="text1"/>
              <w:kern w:val="44"/>
            </w:rPr>
            <w:fldChar w:fldCharType="begin"/>
          </w:r>
          <w:r>
            <w:rPr>
              <w:color w:val="000000" w:themeColor="text1"/>
              <w:kern w:val="44"/>
            </w:rPr>
            <w:instrText xml:space="preserve"> MACROBUTTON  SnrToggleCheckbox □不适用 </w:instrText>
          </w:r>
          <w:r>
            <w:rPr>
              <w:bCs/>
              <w:color w:val="000000" w:themeColor="text1"/>
              <w:kern w:val="44"/>
            </w:rPr>
            <w:fldChar w:fldCharType="end"/>
          </w:r>
        </w:p>
      </w:sdtContent>
    </w:sdt>
    <w:p>
      <w:pPr>
        <w:kinsoku w:val="0"/>
        <w:overflowPunct w:val="0"/>
        <w:jc w:val="right"/>
        <w:rPr>
          <w:b/>
          <w:bCs/>
          <w:color w:val="000000" w:themeColor="text1"/>
          <w:kern w:val="44"/>
        </w:rPr>
      </w:pPr>
      <w:r>
        <w:rPr>
          <w:rFonts w:hint="eastAsia"/>
          <w:color w:val="000000" w:themeColor="text1"/>
        </w:rPr>
        <w:t>单位：</w:t>
      </w:r>
      <w:sdt>
        <w:sdtPr>
          <w:rPr>
            <w:rFonts w:hint="eastAsia"/>
            <w:color w:val="000000" w:themeColor="text1"/>
          </w:rPr>
          <w:alias w:val="单位：可续期公司债券发行人"/>
          <w:tag w:val="_GBC_09b1869e3ced4ebca3e963edca09ca85"/>
          <w:id w:val="7031478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可续期公司债券发行人"/>
          <w:tag w:val="_GBC_f0d55fd9769f459593c535b0c75e8ab8"/>
          <w:id w:val="-1869068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fff7"/>
        <w:tblW w:w="5000" w:type="pct"/>
        <w:tblLook w:val="04A0" w:firstRow="1" w:lastRow="0" w:firstColumn="1" w:lastColumn="0" w:noHBand="0" w:noVBand="1"/>
      </w:tblPr>
      <w:tblGrid>
        <w:gridCol w:w="3632"/>
        <w:gridCol w:w="5191"/>
      </w:tblGrid>
      <w:tr>
        <w:sdt>
          <w:sdtPr>
            <w:tag w:val="_PLD_0e03f898aadd4e899e72e3024292029f"/>
            <w:id w:val="413749586"/>
          </w:sdtPr>
          <w:sdtEndPr>
            <w:rPr>
              <w:rFonts w:ascii="Times New Roman" w:hAnsi="Times New Roman"/>
            </w:rPr>
          </w:sdtEndPr>
          <w:sdtContent>
            <w:tc>
              <w:tcPr>
                <w:tcW w:w="2058" w:type="pct"/>
              </w:tcPr>
              <w:p>
                <w:pPr>
                  <w:kinsoku w:val="0"/>
                  <w:overflowPunct w:val="0"/>
                  <w:rPr>
                    <w:bCs/>
                    <w:color w:val="000000" w:themeColor="text1"/>
                    <w:kern w:val="44"/>
                  </w:rPr>
                </w:pPr>
                <w:r>
                  <w:rPr>
                    <w:color w:val="000000" w:themeColor="text1"/>
                  </w:rPr>
                  <w:t>债券代码</w:t>
                </w:r>
              </w:p>
            </w:tc>
          </w:sdtContent>
        </w:sdt>
        <w:sdt>
          <w:sdtPr>
            <w:rPr>
              <w:bCs/>
              <w:color w:val="000000" w:themeColor="text1"/>
              <w:kern w:val="44"/>
            </w:rPr>
            <w:alias w:val="债券代码"/>
            <w:tag w:val="_GBC_014e3bb6008f437da9b374d8b54df879"/>
            <w:id w:val="347612904"/>
          </w:sdtPr>
          <w:sdtContent>
            <w:tc>
              <w:tcPr>
                <w:tcW w:w="2942" w:type="pct"/>
              </w:tcPr>
              <w:p>
                <w:pPr>
                  <w:kinsoku w:val="0"/>
                  <w:overflowPunct w:val="0"/>
                  <w:rPr>
                    <w:bCs/>
                    <w:color w:val="000000" w:themeColor="text1"/>
                    <w:kern w:val="44"/>
                  </w:rPr>
                </w:pPr>
                <w:r>
                  <w:rPr>
                    <w:bCs/>
                    <w:color w:val="000000" w:themeColor="text1"/>
                    <w:kern w:val="44"/>
                  </w:rPr>
                  <w:t>241141</w:t>
                </w:r>
              </w:p>
            </w:tc>
          </w:sdtContent>
        </w:sdt>
      </w:tr>
      <w:tr>
        <w:tc>
          <w:tcPr>
            <w:tcW w:w="2058" w:type="pct"/>
          </w:tcPr>
          <w:p>
            <w:pPr>
              <w:kinsoku w:val="0"/>
              <w:overflowPunct w:val="0"/>
              <w:rPr>
                <w:bCs/>
                <w:color w:val="000000" w:themeColor="text1"/>
                <w:kern w:val="44"/>
              </w:rPr>
            </w:pPr>
            <w:r>
              <w:rPr>
                <w:color w:val="000000" w:themeColor="text1"/>
              </w:rPr>
              <w:t>债券简称</w:t>
            </w:r>
          </w:p>
        </w:tc>
        <w:tc>
          <w:tcPr>
            <w:tcW w:w="2942" w:type="pct"/>
          </w:tcPr>
          <w:p>
            <w:pPr>
              <w:kinsoku w:val="0"/>
              <w:overflowPunct w:val="0"/>
              <w:rPr>
                <w:bCs/>
                <w:kern w:val="44"/>
                <w:szCs w:val="21"/>
              </w:rPr>
            </w:pPr>
            <w:r>
              <w:rPr>
                <w:szCs w:val="21"/>
              </w:rPr>
              <w:t>兖矿KY01</w:t>
            </w:r>
          </w:p>
        </w:tc>
      </w:tr>
      <w:tr>
        <w:tc>
          <w:tcPr>
            <w:tcW w:w="2058" w:type="pct"/>
          </w:tcPr>
          <w:p>
            <w:pPr>
              <w:kinsoku w:val="0"/>
              <w:overflowPunct w:val="0"/>
              <w:rPr>
                <w:bCs/>
                <w:color w:val="000000" w:themeColor="text1"/>
                <w:kern w:val="44"/>
              </w:rPr>
            </w:pPr>
            <w:r>
              <w:rPr>
                <w:color w:val="000000" w:themeColor="text1"/>
              </w:rPr>
              <w:t>债券余额</w:t>
            </w:r>
          </w:p>
        </w:tc>
        <w:tc>
          <w:tcPr>
            <w:tcW w:w="2942" w:type="pct"/>
            <w:vAlign w:val="center"/>
          </w:tcPr>
          <w:p>
            <w:pPr>
              <w:kinsoku w:val="0"/>
              <w:overflowPunct w:val="0"/>
              <w:jc w:val="left"/>
              <w:rPr>
                <w:bCs/>
                <w:kern w:val="44"/>
                <w:szCs w:val="21"/>
              </w:rPr>
            </w:pPr>
            <w:r>
              <w:rPr>
                <w:rFonts w:hint="eastAsia"/>
                <w:bCs/>
                <w:kern w:val="44"/>
                <w:szCs w:val="21"/>
              </w:rPr>
              <w:t>30</w:t>
            </w:r>
          </w:p>
        </w:tc>
      </w:tr>
      <w:tr>
        <w:tc>
          <w:tcPr>
            <w:tcW w:w="2058" w:type="pct"/>
          </w:tcPr>
          <w:p>
            <w:pPr>
              <w:kinsoku w:val="0"/>
              <w:overflowPunct w:val="0"/>
              <w:rPr>
                <w:bCs/>
                <w:color w:val="000000" w:themeColor="text1"/>
                <w:kern w:val="44"/>
              </w:rPr>
            </w:pPr>
            <w:r>
              <w:rPr>
                <w:color w:val="000000" w:themeColor="text1"/>
              </w:rPr>
              <w:t>续期情况</w:t>
            </w:r>
          </w:p>
        </w:tc>
        <w:tc>
          <w:tcPr>
            <w:tcW w:w="2942" w:type="pct"/>
          </w:tcPr>
          <w:p>
            <w:pPr>
              <w:kinsoku w:val="0"/>
              <w:overflowPunct w:val="0"/>
              <w:rPr>
                <w:bCs/>
                <w:kern w:val="44"/>
                <w:szCs w:val="21"/>
              </w:rPr>
            </w:pPr>
            <w:r>
              <w:rPr>
                <w:rFonts w:hint="eastAsia"/>
                <w:bCs/>
                <w:kern w:val="44"/>
              </w:rPr>
              <w:t>-</w:t>
            </w:r>
          </w:p>
        </w:tc>
      </w:tr>
      <w:tr>
        <w:tc>
          <w:tcPr>
            <w:tcW w:w="2058" w:type="pct"/>
          </w:tcPr>
          <w:p>
            <w:pPr>
              <w:kinsoku w:val="0"/>
              <w:overflowPunct w:val="0"/>
              <w:rPr>
                <w:bCs/>
                <w:color w:val="000000" w:themeColor="text1"/>
                <w:kern w:val="44"/>
              </w:rPr>
            </w:pPr>
            <w:r>
              <w:rPr>
                <w:color w:val="000000" w:themeColor="text1"/>
              </w:rPr>
              <w:t>利率跳升情况</w:t>
            </w:r>
          </w:p>
        </w:tc>
        <w:tc>
          <w:tcPr>
            <w:tcW w:w="2942" w:type="pct"/>
          </w:tcPr>
          <w:p>
            <w:pPr>
              <w:pStyle w:val="afffffffffffff8"/>
            </w:pPr>
            <w:r>
              <w:rPr>
                <w:rFonts w:hint="eastAsia"/>
                <w:bCs/>
                <w:kern w:val="44"/>
              </w:rPr>
              <w:t>-</w:t>
            </w:r>
          </w:p>
        </w:tc>
      </w:tr>
      <w:tr>
        <w:tc>
          <w:tcPr>
            <w:tcW w:w="2058" w:type="pct"/>
          </w:tcPr>
          <w:p>
            <w:pPr>
              <w:kinsoku w:val="0"/>
              <w:overflowPunct w:val="0"/>
              <w:rPr>
                <w:bCs/>
                <w:color w:val="000000" w:themeColor="text1"/>
                <w:kern w:val="44"/>
              </w:rPr>
            </w:pPr>
            <w:r>
              <w:rPr>
                <w:color w:val="000000" w:themeColor="text1"/>
              </w:rPr>
              <w:t>利息递延情况</w:t>
            </w:r>
          </w:p>
        </w:tc>
        <w:tc>
          <w:tcPr>
            <w:tcW w:w="2942" w:type="pct"/>
          </w:tcPr>
          <w:p>
            <w:pPr>
              <w:pStyle w:val="afffffffffffff8"/>
            </w:pPr>
            <w:r>
              <w:rPr>
                <w:rFonts w:hint="eastAsia"/>
                <w:bCs/>
                <w:kern w:val="44"/>
              </w:rPr>
              <w:t>-</w:t>
            </w:r>
          </w:p>
        </w:tc>
      </w:tr>
      <w:tr>
        <w:tc>
          <w:tcPr>
            <w:tcW w:w="2058" w:type="pct"/>
          </w:tcPr>
          <w:p>
            <w:pPr>
              <w:kinsoku w:val="0"/>
              <w:overflowPunct w:val="0"/>
              <w:rPr>
                <w:bCs/>
                <w:color w:val="000000" w:themeColor="text1"/>
                <w:kern w:val="44"/>
              </w:rPr>
            </w:pPr>
            <w:r>
              <w:rPr>
                <w:color w:val="000000" w:themeColor="text1"/>
              </w:rPr>
              <w:t>强制付息情况</w:t>
            </w:r>
          </w:p>
        </w:tc>
        <w:tc>
          <w:tcPr>
            <w:tcW w:w="2942" w:type="pct"/>
          </w:tcPr>
          <w:p>
            <w:pPr>
              <w:pStyle w:val="afffffffffffff8"/>
            </w:pPr>
            <w:r>
              <w:rPr>
                <w:rFonts w:hint="eastAsia"/>
                <w:bCs/>
                <w:kern w:val="44"/>
              </w:rPr>
              <w:t>-</w:t>
            </w:r>
          </w:p>
        </w:tc>
      </w:tr>
      <w:tr>
        <w:tc>
          <w:tcPr>
            <w:tcW w:w="2058" w:type="pct"/>
          </w:tcPr>
          <w:p>
            <w:pPr>
              <w:kinsoku w:val="0"/>
              <w:overflowPunct w:val="0"/>
              <w:rPr>
                <w:bCs/>
                <w:color w:val="000000" w:themeColor="text1"/>
                <w:kern w:val="44"/>
              </w:rPr>
            </w:pPr>
            <w:r>
              <w:rPr>
                <w:color w:val="000000" w:themeColor="text1"/>
              </w:rPr>
              <w:t>是否仍计入权益及相关会计处理</w:t>
            </w:r>
          </w:p>
        </w:tc>
        <w:tc>
          <w:tcPr>
            <w:tcW w:w="2942" w:type="pct"/>
            <w:vAlign w:val="center"/>
          </w:tcPr>
          <w:p>
            <w:pPr>
              <w:kinsoku w:val="0"/>
              <w:overflowPunct w:val="0"/>
              <w:rPr>
                <w:bCs/>
                <w:kern w:val="44"/>
                <w:szCs w:val="21"/>
              </w:rPr>
            </w:pPr>
            <w:r>
              <w:rPr>
                <w:rFonts w:hint="eastAsia"/>
                <w:bCs/>
                <w:kern w:val="44"/>
                <w:szCs w:val="21"/>
              </w:rPr>
              <w:t>是</w:t>
            </w:r>
          </w:p>
        </w:tc>
      </w:tr>
      <w:tr>
        <w:tc>
          <w:tcPr>
            <w:tcW w:w="2058" w:type="pct"/>
          </w:tcPr>
          <w:p>
            <w:pPr>
              <w:kinsoku w:val="0"/>
              <w:overflowPunct w:val="0"/>
              <w:rPr>
                <w:color w:val="000000" w:themeColor="text1"/>
              </w:rPr>
            </w:pPr>
            <w:r>
              <w:rPr>
                <w:rFonts w:hint="eastAsia"/>
                <w:color w:val="000000" w:themeColor="text1"/>
              </w:rPr>
              <w:t>其他事项</w:t>
            </w:r>
          </w:p>
        </w:tc>
        <w:tc>
          <w:tcPr>
            <w:tcW w:w="2942" w:type="pct"/>
          </w:tcPr>
          <w:p>
            <w:pPr>
              <w:kinsoku w:val="0"/>
              <w:overflowPunct w:val="0"/>
              <w:rPr>
                <w:bCs/>
                <w:kern w:val="44"/>
                <w:szCs w:val="21"/>
              </w:rPr>
            </w:pPr>
            <w:r>
              <w:rPr>
                <w:rFonts w:hint="eastAsia"/>
                <w:bCs/>
                <w:kern w:val="44"/>
              </w:rPr>
              <w:t>-</w:t>
            </w:r>
          </w:p>
        </w:tc>
      </w:tr>
    </w:tbl>
    <w:p>
      <w:pPr>
        <w:kinsoku w:val="0"/>
        <w:overflowPunct w:val="0"/>
        <w:rPr>
          <w:b/>
          <w:bCs/>
          <w:color w:val="000000" w:themeColor="text1"/>
          <w:kern w:val="44"/>
        </w:rPr>
      </w:pPr>
    </w:p>
    <w:tbl>
      <w:tblPr>
        <w:tblStyle w:val="afffff7"/>
        <w:tblW w:w="5000" w:type="pct"/>
        <w:tblLook w:val="04A0" w:firstRow="1" w:lastRow="0" w:firstColumn="1" w:lastColumn="0" w:noHBand="0" w:noVBand="1"/>
      </w:tblPr>
      <w:tblGrid>
        <w:gridCol w:w="3632"/>
        <w:gridCol w:w="5191"/>
      </w:tblGrid>
      <w:tr>
        <w:bookmarkStart w:id="277" w:name="_Hlk192529767" w:displacedByCustomXml="next"/>
        <w:sdt>
          <w:sdtPr>
            <w:tag w:val="_PLD_0e03f898aadd4e899e72e3024292029f"/>
            <w:id w:val="-734000639"/>
          </w:sdtPr>
          <w:sdtEndPr>
            <w:rPr>
              <w:rFonts w:ascii="Times New Roman" w:hAnsi="Times New Roman"/>
            </w:rPr>
          </w:sdtEndPr>
          <w:sdtContent>
            <w:tc>
              <w:tcPr>
                <w:tcW w:w="2058" w:type="pct"/>
              </w:tcPr>
              <w:p>
                <w:pPr>
                  <w:kinsoku w:val="0"/>
                  <w:overflowPunct w:val="0"/>
                  <w:rPr>
                    <w:bCs/>
                    <w:color w:val="000000" w:themeColor="text1"/>
                    <w:kern w:val="44"/>
                  </w:rPr>
                </w:pPr>
                <w:r>
                  <w:rPr>
                    <w:color w:val="000000" w:themeColor="text1"/>
                  </w:rPr>
                  <w:t>债券代码</w:t>
                </w:r>
              </w:p>
            </w:tc>
          </w:sdtContent>
        </w:sdt>
        <w:sdt>
          <w:sdtPr>
            <w:rPr>
              <w:bCs/>
              <w:color w:val="000000" w:themeColor="text1"/>
              <w:kern w:val="44"/>
            </w:rPr>
            <w:alias w:val="债券代码"/>
            <w:tag w:val="_GBC_014e3bb6008f437da9b374d8b54df879"/>
            <w:id w:val="40642184"/>
          </w:sdtPr>
          <w:sdtContent>
            <w:tc>
              <w:tcPr>
                <w:tcW w:w="2942" w:type="pct"/>
              </w:tcPr>
              <w:p>
                <w:pPr>
                  <w:kinsoku w:val="0"/>
                  <w:overflowPunct w:val="0"/>
                  <w:rPr>
                    <w:bCs/>
                    <w:color w:val="000000" w:themeColor="text1"/>
                    <w:kern w:val="44"/>
                  </w:rPr>
                </w:pPr>
                <w:r>
                  <w:rPr>
                    <w:bCs/>
                    <w:color w:val="000000" w:themeColor="text1"/>
                    <w:kern w:val="44"/>
                  </w:rPr>
                  <w:t>241324</w:t>
                </w:r>
              </w:p>
            </w:tc>
          </w:sdtContent>
        </w:sdt>
      </w:tr>
      <w:tr>
        <w:tc>
          <w:tcPr>
            <w:tcW w:w="2058" w:type="pct"/>
          </w:tcPr>
          <w:p>
            <w:pPr>
              <w:kinsoku w:val="0"/>
              <w:overflowPunct w:val="0"/>
              <w:rPr>
                <w:bCs/>
                <w:color w:val="000000" w:themeColor="text1"/>
                <w:kern w:val="44"/>
              </w:rPr>
            </w:pPr>
            <w:r>
              <w:rPr>
                <w:color w:val="000000" w:themeColor="text1"/>
              </w:rPr>
              <w:t>债券简称</w:t>
            </w:r>
          </w:p>
        </w:tc>
        <w:tc>
          <w:tcPr>
            <w:tcW w:w="2942" w:type="pct"/>
          </w:tcPr>
          <w:p>
            <w:pPr>
              <w:pStyle w:val="afffffffffffff8"/>
            </w:pPr>
            <w:r>
              <w:rPr>
                <w:rFonts w:hint="eastAsia"/>
              </w:rPr>
              <w:t>兖矿</w:t>
            </w:r>
            <w:r>
              <w:t>KY02</w:t>
            </w:r>
          </w:p>
        </w:tc>
      </w:tr>
      <w:tr>
        <w:tc>
          <w:tcPr>
            <w:tcW w:w="2058" w:type="pct"/>
          </w:tcPr>
          <w:p>
            <w:pPr>
              <w:kinsoku w:val="0"/>
              <w:overflowPunct w:val="0"/>
              <w:rPr>
                <w:bCs/>
                <w:color w:val="000000" w:themeColor="text1"/>
                <w:kern w:val="44"/>
              </w:rPr>
            </w:pPr>
            <w:r>
              <w:rPr>
                <w:color w:val="000000" w:themeColor="text1"/>
              </w:rPr>
              <w:t>债券余额</w:t>
            </w:r>
          </w:p>
        </w:tc>
        <w:tc>
          <w:tcPr>
            <w:tcW w:w="2942" w:type="pct"/>
          </w:tcPr>
          <w:p>
            <w:pPr>
              <w:pStyle w:val="afffffffffffff8"/>
            </w:pPr>
            <w:r>
              <w:t>20</w:t>
            </w:r>
          </w:p>
        </w:tc>
      </w:tr>
      <w:tr>
        <w:tc>
          <w:tcPr>
            <w:tcW w:w="2058" w:type="pct"/>
          </w:tcPr>
          <w:p>
            <w:pPr>
              <w:kinsoku w:val="0"/>
              <w:overflowPunct w:val="0"/>
              <w:rPr>
                <w:bCs/>
                <w:color w:val="000000" w:themeColor="text1"/>
                <w:kern w:val="44"/>
              </w:rPr>
            </w:pPr>
            <w:r>
              <w:rPr>
                <w:color w:val="000000" w:themeColor="text1"/>
              </w:rPr>
              <w:t>续期情况</w:t>
            </w:r>
          </w:p>
        </w:tc>
        <w:tc>
          <w:tcPr>
            <w:tcW w:w="2942" w:type="pct"/>
          </w:tcPr>
          <w:p>
            <w:pPr>
              <w:pStyle w:val="afffffffffffff8"/>
            </w:pPr>
            <w:r>
              <w:t>-</w:t>
            </w:r>
          </w:p>
        </w:tc>
      </w:tr>
      <w:tr>
        <w:tc>
          <w:tcPr>
            <w:tcW w:w="2058" w:type="pct"/>
          </w:tcPr>
          <w:p>
            <w:pPr>
              <w:kinsoku w:val="0"/>
              <w:overflowPunct w:val="0"/>
              <w:rPr>
                <w:bCs/>
                <w:color w:val="000000" w:themeColor="text1"/>
                <w:kern w:val="44"/>
              </w:rPr>
            </w:pPr>
            <w:r>
              <w:rPr>
                <w:color w:val="000000" w:themeColor="text1"/>
              </w:rPr>
              <w:t>利率跳升情况</w:t>
            </w:r>
          </w:p>
        </w:tc>
        <w:tc>
          <w:tcPr>
            <w:tcW w:w="2942" w:type="pct"/>
          </w:tcPr>
          <w:p>
            <w:pPr>
              <w:pStyle w:val="afffffffffffff8"/>
            </w:pPr>
            <w:r>
              <w:t>-</w:t>
            </w:r>
          </w:p>
        </w:tc>
      </w:tr>
      <w:tr>
        <w:tc>
          <w:tcPr>
            <w:tcW w:w="2058" w:type="pct"/>
          </w:tcPr>
          <w:p>
            <w:pPr>
              <w:kinsoku w:val="0"/>
              <w:overflowPunct w:val="0"/>
              <w:rPr>
                <w:bCs/>
                <w:color w:val="000000" w:themeColor="text1"/>
                <w:kern w:val="44"/>
              </w:rPr>
            </w:pPr>
            <w:r>
              <w:rPr>
                <w:color w:val="000000" w:themeColor="text1"/>
              </w:rPr>
              <w:t>利息递延情况</w:t>
            </w:r>
          </w:p>
        </w:tc>
        <w:tc>
          <w:tcPr>
            <w:tcW w:w="2942" w:type="pct"/>
          </w:tcPr>
          <w:p>
            <w:pPr>
              <w:pStyle w:val="afffffffffffff8"/>
            </w:pPr>
            <w:r>
              <w:t>-</w:t>
            </w:r>
          </w:p>
        </w:tc>
      </w:tr>
      <w:tr>
        <w:tc>
          <w:tcPr>
            <w:tcW w:w="2058" w:type="pct"/>
          </w:tcPr>
          <w:p>
            <w:pPr>
              <w:kinsoku w:val="0"/>
              <w:overflowPunct w:val="0"/>
              <w:rPr>
                <w:bCs/>
                <w:color w:val="000000" w:themeColor="text1"/>
                <w:kern w:val="44"/>
              </w:rPr>
            </w:pPr>
            <w:r>
              <w:rPr>
                <w:color w:val="000000" w:themeColor="text1"/>
              </w:rPr>
              <w:t>强制付息情况</w:t>
            </w:r>
          </w:p>
        </w:tc>
        <w:tc>
          <w:tcPr>
            <w:tcW w:w="2942" w:type="pct"/>
          </w:tcPr>
          <w:p>
            <w:pPr>
              <w:pStyle w:val="afffffffffffff8"/>
            </w:pPr>
            <w:r>
              <w:t>-</w:t>
            </w:r>
          </w:p>
        </w:tc>
      </w:tr>
      <w:tr>
        <w:tc>
          <w:tcPr>
            <w:tcW w:w="2058" w:type="pct"/>
          </w:tcPr>
          <w:p>
            <w:pPr>
              <w:kinsoku w:val="0"/>
              <w:overflowPunct w:val="0"/>
              <w:rPr>
                <w:bCs/>
                <w:color w:val="000000" w:themeColor="text1"/>
                <w:kern w:val="44"/>
              </w:rPr>
            </w:pPr>
            <w:r>
              <w:rPr>
                <w:color w:val="000000" w:themeColor="text1"/>
              </w:rPr>
              <w:t>是否仍计入权益及相关会计处理</w:t>
            </w:r>
          </w:p>
        </w:tc>
        <w:tc>
          <w:tcPr>
            <w:tcW w:w="2942" w:type="pct"/>
          </w:tcPr>
          <w:p>
            <w:pPr>
              <w:pStyle w:val="afffffffffffff8"/>
            </w:pPr>
            <w:r>
              <w:rPr>
                <w:rFonts w:hint="eastAsia"/>
              </w:rPr>
              <w:t>是</w:t>
            </w:r>
          </w:p>
        </w:tc>
      </w:tr>
      <w:tr>
        <w:tc>
          <w:tcPr>
            <w:tcW w:w="2058" w:type="pct"/>
          </w:tcPr>
          <w:p>
            <w:pPr>
              <w:kinsoku w:val="0"/>
              <w:overflowPunct w:val="0"/>
              <w:rPr>
                <w:color w:val="000000" w:themeColor="text1"/>
              </w:rPr>
            </w:pPr>
            <w:r>
              <w:rPr>
                <w:rFonts w:hint="eastAsia"/>
                <w:color w:val="000000" w:themeColor="text1"/>
              </w:rPr>
              <w:t>其他事项</w:t>
            </w:r>
          </w:p>
        </w:tc>
        <w:tc>
          <w:tcPr>
            <w:tcW w:w="2942" w:type="pct"/>
          </w:tcPr>
          <w:p>
            <w:pPr>
              <w:pStyle w:val="afffffffffffff8"/>
            </w:pPr>
            <w:r>
              <w:t>-</w:t>
            </w:r>
          </w:p>
        </w:tc>
      </w:tr>
      <w:bookmarkEnd w:id="277"/>
    </w:tbl>
    <w:p>
      <w:pPr>
        <w:kinsoku w:val="0"/>
        <w:overflowPunct w:val="0"/>
        <w:rPr>
          <w:b/>
          <w:bCs/>
          <w:color w:val="000000" w:themeColor="text1"/>
          <w:kern w:val="44"/>
        </w:rPr>
      </w:pPr>
    </w:p>
    <w:p>
      <w:pPr>
        <w:kinsoku w:val="0"/>
        <w:overflowPunct w:val="0"/>
        <w:rPr>
          <w:b/>
          <w:bCs/>
          <w:color w:val="000000" w:themeColor="text1"/>
          <w:kern w:val="44"/>
        </w:rPr>
      </w:pPr>
    </w:p>
    <w:p>
      <w:pPr>
        <w:pStyle w:val="4"/>
        <w:numPr>
          <w:ilvl w:val="0"/>
          <w:numId w:val="27"/>
        </w:numPr>
        <w:ind w:left="420" w:hanging="420"/>
        <w:rPr>
          <w:color w:val="000000" w:themeColor="text1"/>
        </w:rPr>
      </w:pPr>
      <w:bookmarkStart w:id="278" w:name="_Toc141452823"/>
      <w:r>
        <w:rPr>
          <w:rFonts w:hint="eastAsia"/>
          <w:color w:val="000000" w:themeColor="text1"/>
        </w:rPr>
        <w:lastRenderedPageBreak/>
        <w:t>公司为扶贫公司债券发行人</w:t>
      </w:r>
      <w:bookmarkEnd w:id="278"/>
    </w:p>
    <w:p>
      <w:pPr>
        <w:rPr>
          <w:color w:val="000000" w:themeColor="text1"/>
        </w:rPr>
      </w:pPr>
      <w:sdt>
        <w:sdtPr>
          <w:rPr>
            <w:rFonts w:hint="eastAsia"/>
            <w:color w:val="000000" w:themeColor="text1"/>
          </w:rPr>
          <w:alias w:val="是否适用：扶贫债券 [双击切换]"/>
          <w:tag w:val="_GBC_8ef075f5a82d44c0a9262fa05dadf308"/>
          <w:id w:val="-1968506623"/>
          <w:placeholder>
            <w:docPart w:val="GBC22222222222222222222222222222"/>
          </w:placeholder>
        </w:sdtPr>
        <w:sdtContent>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sdtContent>
      </w:sdt>
    </w:p>
    <w:p>
      <w:pPr>
        <w:rPr>
          <w:color w:val="000000" w:themeColor="text1"/>
        </w:rPr>
      </w:pPr>
    </w:p>
    <w:p>
      <w:pPr>
        <w:pStyle w:val="4"/>
        <w:numPr>
          <w:ilvl w:val="0"/>
          <w:numId w:val="27"/>
        </w:numPr>
        <w:ind w:left="420" w:hanging="420"/>
        <w:rPr>
          <w:color w:val="000000" w:themeColor="text1"/>
        </w:rPr>
      </w:pPr>
      <w:bookmarkStart w:id="279" w:name="_Toc141452824"/>
      <w:r>
        <w:rPr>
          <w:rFonts w:hint="eastAsia"/>
          <w:color w:val="000000" w:themeColor="text1"/>
        </w:rPr>
        <w:t>公司为乡村振兴公司债券发行人</w:t>
      </w:r>
      <w:bookmarkEnd w:id="279"/>
    </w:p>
    <w:p>
      <w:pPr>
        <w:rPr>
          <w:color w:val="000000" w:themeColor="text1"/>
        </w:rPr>
      </w:pPr>
      <w:sdt>
        <w:sdtPr>
          <w:rPr>
            <w:rFonts w:hint="eastAsia"/>
            <w:color w:val="000000" w:themeColor="text1"/>
          </w:rPr>
          <w:alias w:val="是否适用：乡村振兴债券[双击切换]"/>
          <w:tag w:val="_GBC_1bb1a245b8c044a7b4e59eccab9f3946"/>
          <w:id w:val="433635919"/>
          <w:placeholder>
            <w:docPart w:val="GBC22222222222222222222222222222"/>
          </w:placeholder>
        </w:sdtPr>
        <w:sdtContent>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sdtContent>
      </w:sdt>
    </w:p>
    <w:p>
      <w:pPr>
        <w:rPr>
          <w:color w:val="000000" w:themeColor="text1"/>
        </w:rPr>
      </w:pPr>
    </w:p>
    <w:p>
      <w:pPr>
        <w:pStyle w:val="4"/>
        <w:numPr>
          <w:ilvl w:val="0"/>
          <w:numId w:val="27"/>
        </w:numPr>
        <w:ind w:left="420" w:hanging="420"/>
        <w:rPr>
          <w:color w:val="000000" w:themeColor="text1"/>
        </w:rPr>
      </w:pPr>
      <w:bookmarkStart w:id="280" w:name="_Toc141452825"/>
      <w:r>
        <w:rPr>
          <w:rFonts w:hint="eastAsia"/>
          <w:color w:val="000000" w:themeColor="text1"/>
        </w:rPr>
        <w:t>公司为一带一路公司债券发行人</w:t>
      </w:r>
      <w:bookmarkEnd w:id="280"/>
    </w:p>
    <w:p>
      <w:pPr>
        <w:rPr>
          <w:color w:val="000000" w:themeColor="text1"/>
        </w:rPr>
      </w:pPr>
      <w:sdt>
        <w:sdtPr>
          <w:rPr>
            <w:rFonts w:hint="eastAsia"/>
            <w:color w:val="000000" w:themeColor="text1"/>
          </w:rPr>
          <w:alias w:val="是否适用：一带一路债券[双击切换]"/>
          <w:tag w:val="_GBC_d6c22e66fbcc4d228c003a7ed151c64a"/>
          <w:id w:val="-1457098388"/>
          <w:placeholder>
            <w:docPart w:val="GBC22222222222222222222222222222"/>
          </w:placeholder>
        </w:sdtPr>
        <w:sdtContent>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sdtContent>
      </w:sdt>
    </w:p>
    <w:p>
      <w:pPr>
        <w:rPr>
          <w:color w:val="000000" w:themeColor="text1"/>
        </w:rPr>
      </w:pPr>
    </w:p>
    <w:p>
      <w:pPr>
        <w:pStyle w:val="4"/>
        <w:numPr>
          <w:ilvl w:val="0"/>
          <w:numId w:val="27"/>
        </w:numPr>
        <w:ind w:left="420" w:hanging="420"/>
        <w:rPr>
          <w:color w:val="000000" w:themeColor="text1"/>
        </w:rPr>
      </w:pPr>
      <w:bookmarkStart w:id="281" w:name="_Toc141452826"/>
      <w:r>
        <w:rPr>
          <w:rFonts w:hint="eastAsia"/>
          <w:color w:val="000000" w:themeColor="text1"/>
        </w:rPr>
        <w:t>公司科技创新公司债券或者</w:t>
      </w:r>
      <w:bookmarkEnd w:id="281"/>
      <w:r>
        <w:rPr>
          <w:rFonts w:hint="eastAsia"/>
          <w:color w:val="000000" w:themeColor="text1"/>
        </w:rPr>
        <w:t>创新创业公司债券发行人</w:t>
      </w:r>
    </w:p>
    <w:sdt>
      <w:sdtPr>
        <w:rPr>
          <w:color w:val="000000" w:themeColor="text1"/>
        </w:rPr>
        <w:alias w:val="是否适用：科技创新债[双击切换]"/>
        <w:tag w:val="_GBC_9c20df426efd47a6841997c8e443a0b2"/>
        <w:id w:val="-1632783319"/>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jc w:val="right"/>
        <w:rPr>
          <w:color w:val="000000" w:themeColor="text1"/>
        </w:rPr>
      </w:pPr>
      <w:r>
        <w:rPr>
          <w:rFonts w:hint="eastAsia"/>
          <w:color w:val="000000" w:themeColor="text1"/>
        </w:rPr>
        <w:t>单位：</w:t>
      </w:r>
      <w:sdt>
        <w:sdtPr>
          <w:rPr>
            <w:rFonts w:hint="eastAsia"/>
            <w:color w:val="000000" w:themeColor="text1"/>
          </w:rPr>
          <w:alias w:val="单位：科技创新债"/>
          <w:tag w:val="_GBC_ae5c5195d6fe4e4e822097e1526b1a50"/>
          <w:id w:val="-2805046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科技创新债"/>
          <w:tag w:val="_GBC_eb2c4ccb81094c2bb84dd9df5973dbab"/>
          <w:id w:val="-3609858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hd w:val="solid" w:color="FFFFFF" w:fill="auto"/>
          </w:rPr>
        </w:sdtEndPr>
        <w:sdtContent>
          <w:r>
            <w:rPr>
              <w:rFonts w:hint="eastAsia"/>
              <w:color w:val="000000" w:themeColor="text1"/>
            </w:rPr>
            <w:t>人民币</w:t>
          </w:r>
        </w:sdtContent>
      </w:sdt>
    </w:p>
    <w:tbl>
      <w:tblPr>
        <w:tblStyle w:val="afffff7"/>
        <w:tblW w:w="5000" w:type="pct"/>
        <w:tblLook w:val="04A0" w:firstRow="1" w:lastRow="0" w:firstColumn="1" w:lastColumn="0" w:noHBand="0" w:noVBand="1"/>
      </w:tblPr>
      <w:tblGrid>
        <w:gridCol w:w="3192"/>
        <w:gridCol w:w="5631"/>
      </w:tblGrid>
      <w:tr>
        <w:sdt>
          <w:sdtPr>
            <w:tag w:val="_PLD_728cefa929f04fc8a9b30be022378d5f"/>
            <w:id w:val="1326704147"/>
          </w:sdtPr>
          <w:sdtEndPr>
            <w:rPr>
              <w:rFonts w:ascii="Times New Roman" w:hAnsi="Times New Roman"/>
            </w:rPr>
          </w:sdtEndPr>
          <w:sdtContent>
            <w:tc>
              <w:tcPr>
                <w:tcW w:w="1809" w:type="pct"/>
              </w:tcPr>
              <w:p>
                <w:pPr>
                  <w:kinsoku w:val="0"/>
                  <w:overflowPunct w:val="0"/>
                  <w:rPr>
                    <w:color w:val="000000" w:themeColor="text1"/>
                  </w:rPr>
                </w:pPr>
                <w:r>
                  <w:rPr>
                    <w:color w:val="000000" w:themeColor="text1"/>
                  </w:rPr>
                  <w:t>债券代码</w:t>
                </w:r>
              </w:p>
            </w:tc>
          </w:sdtContent>
        </w:sdt>
        <w:sdt>
          <w:sdtPr>
            <w:rPr>
              <w:color w:val="000000" w:themeColor="text1"/>
            </w:rPr>
            <w:alias w:val="债券代码"/>
            <w:tag w:val="_GBC_9be23c456f4149b382aaf1559950efd0"/>
            <w:id w:val="-634712377"/>
          </w:sdtPr>
          <w:sdtContent>
            <w:tc>
              <w:tcPr>
                <w:tcW w:w="3191" w:type="pct"/>
              </w:tcPr>
              <w:p>
                <w:pPr>
                  <w:kinsoku w:val="0"/>
                  <w:overflowPunct w:val="0"/>
                  <w:rPr>
                    <w:color w:val="000000" w:themeColor="text1"/>
                  </w:rPr>
                </w:pPr>
                <w:r>
                  <w:rPr>
                    <w:color w:val="000000" w:themeColor="text1"/>
                  </w:rPr>
                  <w:t>240582</w:t>
                </w:r>
              </w:p>
            </w:tc>
          </w:sdtContent>
        </w:sdt>
      </w:tr>
      <w:tr>
        <w:tc>
          <w:tcPr>
            <w:tcW w:w="1809" w:type="pct"/>
          </w:tcPr>
          <w:p>
            <w:pPr>
              <w:kinsoku w:val="0"/>
              <w:overflowPunct w:val="0"/>
              <w:rPr>
                <w:color w:val="000000" w:themeColor="text1"/>
              </w:rPr>
            </w:pPr>
            <w:r>
              <w:rPr>
                <w:color w:val="000000" w:themeColor="text1"/>
              </w:rPr>
              <w:t>债券简称</w:t>
            </w:r>
          </w:p>
        </w:tc>
        <w:tc>
          <w:tcPr>
            <w:tcW w:w="3191" w:type="pct"/>
          </w:tcPr>
          <w:p>
            <w:pPr>
              <w:pStyle w:val="afffffffffffff8"/>
            </w:pPr>
            <w:r>
              <w:t>24兖矿K1</w:t>
            </w:r>
          </w:p>
        </w:tc>
      </w:tr>
      <w:tr>
        <w:tc>
          <w:tcPr>
            <w:tcW w:w="1809" w:type="pct"/>
          </w:tcPr>
          <w:p>
            <w:pPr>
              <w:kinsoku w:val="0"/>
              <w:overflowPunct w:val="0"/>
              <w:rPr>
                <w:color w:val="000000" w:themeColor="text1"/>
              </w:rPr>
            </w:pPr>
            <w:r>
              <w:rPr>
                <w:color w:val="000000" w:themeColor="text1"/>
              </w:rPr>
              <w:t>债券余额</w:t>
            </w:r>
          </w:p>
        </w:tc>
        <w:tc>
          <w:tcPr>
            <w:tcW w:w="3191" w:type="pct"/>
          </w:tcPr>
          <w:p>
            <w:pPr>
              <w:pStyle w:val="afffffffffffff8"/>
            </w:pPr>
            <w:r>
              <w:t>30</w:t>
            </w:r>
          </w:p>
        </w:tc>
      </w:tr>
      <w:tr>
        <w:tc>
          <w:tcPr>
            <w:tcW w:w="1809" w:type="pct"/>
          </w:tcPr>
          <w:p>
            <w:pPr>
              <w:kinsoku w:val="0"/>
              <w:overflowPunct w:val="0"/>
              <w:rPr>
                <w:color w:val="000000" w:themeColor="text1"/>
              </w:rPr>
            </w:pPr>
            <w:r>
              <w:rPr>
                <w:color w:val="000000" w:themeColor="text1"/>
              </w:rPr>
              <w:t>科创项目进展情况</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促进科技创新发展效果</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rFonts w:hint="eastAsia"/>
                <w:color w:val="000000" w:themeColor="text1"/>
              </w:rPr>
              <w:t>其他事项</w:t>
            </w:r>
          </w:p>
        </w:tc>
        <w:tc>
          <w:tcPr>
            <w:tcW w:w="3191" w:type="pct"/>
            <w:vAlign w:val="center"/>
          </w:tcPr>
          <w:p>
            <w:pPr>
              <w:kinsoku w:val="0"/>
              <w:overflowPunct w:val="0"/>
            </w:pPr>
            <w:r>
              <w:rPr>
                <w:rFonts w:hint="eastAsia"/>
              </w:rPr>
              <w:t>-</w:t>
            </w:r>
          </w:p>
        </w:tc>
      </w:tr>
    </w:tbl>
    <w:p>
      <w:pPr>
        <w:rPr>
          <w:color w:val="000000" w:themeColor="text1"/>
        </w:rPr>
      </w:pPr>
    </w:p>
    <w:tbl>
      <w:tblPr>
        <w:tblStyle w:val="afffff7"/>
        <w:tblW w:w="5000" w:type="pct"/>
        <w:tblLook w:val="04A0" w:firstRow="1" w:lastRow="0" w:firstColumn="1" w:lastColumn="0" w:noHBand="0" w:noVBand="1"/>
      </w:tblPr>
      <w:tblGrid>
        <w:gridCol w:w="3192"/>
        <w:gridCol w:w="5631"/>
      </w:tblGrid>
      <w:tr>
        <w:bookmarkStart w:id="282" w:name="_Hlk192529869" w:displacedByCustomXml="next"/>
        <w:sdt>
          <w:sdtPr>
            <w:tag w:val="_PLD_728cefa929f04fc8a9b30be022378d5f"/>
            <w:id w:val="641696898"/>
          </w:sdtPr>
          <w:sdtEndPr>
            <w:rPr>
              <w:rFonts w:ascii="Times New Roman" w:hAnsi="Times New Roman"/>
            </w:rPr>
          </w:sdtEndPr>
          <w:sdtContent>
            <w:tc>
              <w:tcPr>
                <w:tcW w:w="1809" w:type="pct"/>
              </w:tcPr>
              <w:p>
                <w:pPr>
                  <w:kinsoku w:val="0"/>
                  <w:overflowPunct w:val="0"/>
                  <w:rPr>
                    <w:color w:val="000000" w:themeColor="text1"/>
                  </w:rPr>
                </w:pPr>
                <w:r>
                  <w:rPr>
                    <w:color w:val="000000" w:themeColor="text1"/>
                  </w:rPr>
                  <w:t>债券代码</w:t>
                </w:r>
              </w:p>
            </w:tc>
          </w:sdtContent>
        </w:sdt>
        <w:sdt>
          <w:sdtPr>
            <w:rPr>
              <w:color w:val="000000" w:themeColor="text1"/>
            </w:rPr>
            <w:alias w:val="债券代码"/>
            <w:tag w:val="_GBC_9be23c456f4149b382aaf1559950efd0"/>
            <w:id w:val="-699480402"/>
          </w:sdtPr>
          <w:sdtContent>
            <w:tc>
              <w:tcPr>
                <w:tcW w:w="3191" w:type="pct"/>
              </w:tcPr>
              <w:p>
                <w:pPr>
                  <w:kinsoku w:val="0"/>
                  <w:overflowPunct w:val="0"/>
                  <w:rPr>
                    <w:color w:val="000000" w:themeColor="text1"/>
                  </w:rPr>
                </w:pPr>
                <w:r>
                  <w:rPr>
                    <w:color w:val="000000" w:themeColor="text1"/>
                  </w:rPr>
                  <w:t>241141</w:t>
                </w:r>
              </w:p>
            </w:tc>
          </w:sdtContent>
        </w:sdt>
      </w:tr>
      <w:tr>
        <w:tc>
          <w:tcPr>
            <w:tcW w:w="1809" w:type="pct"/>
          </w:tcPr>
          <w:p>
            <w:pPr>
              <w:kinsoku w:val="0"/>
              <w:overflowPunct w:val="0"/>
              <w:rPr>
                <w:color w:val="000000" w:themeColor="text1"/>
              </w:rPr>
            </w:pPr>
            <w:r>
              <w:rPr>
                <w:color w:val="000000" w:themeColor="text1"/>
              </w:rPr>
              <w:t>债券简称</w:t>
            </w:r>
          </w:p>
        </w:tc>
        <w:tc>
          <w:tcPr>
            <w:tcW w:w="3191" w:type="pct"/>
          </w:tcPr>
          <w:p>
            <w:pPr>
              <w:kinsoku w:val="0"/>
              <w:overflowPunct w:val="0"/>
            </w:pPr>
            <w:r>
              <w:rPr>
                <w:rFonts w:hint="eastAsia"/>
              </w:rPr>
              <w:t>兖矿</w:t>
            </w:r>
            <w:r>
              <w:t>KY01</w:t>
            </w:r>
          </w:p>
        </w:tc>
      </w:tr>
      <w:tr>
        <w:tc>
          <w:tcPr>
            <w:tcW w:w="1809" w:type="pct"/>
          </w:tcPr>
          <w:p>
            <w:pPr>
              <w:kinsoku w:val="0"/>
              <w:overflowPunct w:val="0"/>
              <w:rPr>
                <w:color w:val="000000" w:themeColor="text1"/>
              </w:rPr>
            </w:pPr>
            <w:r>
              <w:rPr>
                <w:color w:val="000000" w:themeColor="text1"/>
              </w:rPr>
              <w:t>债券余额</w:t>
            </w:r>
          </w:p>
        </w:tc>
        <w:tc>
          <w:tcPr>
            <w:tcW w:w="3191" w:type="pct"/>
          </w:tcPr>
          <w:p>
            <w:pPr>
              <w:pStyle w:val="afffffffffffff8"/>
            </w:pPr>
            <w:r>
              <w:t>30</w:t>
            </w:r>
          </w:p>
        </w:tc>
      </w:tr>
      <w:tr>
        <w:tc>
          <w:tcPr>
            <w:tcW w:w="1809" w:type="pct"/>
          </w:tcPr>
          <w:p>
            <w:pPr>
              <w:kinsoku w:val="0"/>
              <w:overflowPunct w:val="0"/>
              <w:rPr>
                <w:color w:val="000000" w:themeColor="text1"/>
              </w:rPr>
            </w:pPr>
            <w:r>
              <w:rPr>
                <w:color w:val="000000" w:themeColor="text1"/>
              </w:rPr>
              <w:t>科创项目进展情况</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促进科技创新发展效果</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rFonts w:hint="eastAsia"/>
                <w:color w:val="000000" w:themeColor="text1"/>
              </w:rPr>
              <w:t>其他事项</w:t>
            </w:r>
          </w:p>
        </w:tc>
        <w:tc>
          <w:tcPr>
            <w:tcW w:w="3191" w:type="pct"/>
            <w:vAlign w:val="center"/>
          </w:tcPr>
          <w:p>
            <w:pPr>
              <w:kinsoku w:val="0"/>
              <w:overflowPunct w:val="0"/>
            </w:pPr>
            <w:r>
              <w:rPr>
                <w:rFonts w:hint="eastAsia"/>
              </w:rPr>
              <w:t>-</w:t>
            </w:r>
          </w:p>
        </w:tc>
      </w:tr>
    </w:tbl>
    <w:p>
      <w:pPr>
        <w:rPr>
          <w:color w:val="000000" w:themeColor="text1"/>
        </w:rPr>
      </w:pPr>
    </w:p>
    <w:tbl>
      <w:tblPr>
        <w:tblStyle w:val="afffff7"/>
        <w:tblW w:w="5000" w:type="pct"/>
        <w:tblLook w:val="04A0" w:firstRow="1" w:lastRow="0" w:firstColumn="1" w:lastColumn="0" w:noHBand="0" w:noVBand="1"/>
      </w:tblPr>
      <w:tblGrid>
        <w:gridCol w:w="3192"/>
        <w:gridCol w:w="5631"/>
      </w:tblGrid>
      <w:tr>
        <w:sdt>
          <w:sdtPr>
            <w:tag w:val="_PLD_728cefa929f04fc8a9b30be022378d5f"/>
            <w:id w:val="133293514"/>
          </w:sdtPr>
          <w:sdtEndPr>
            <w:rPr>
              <w:rFonts w:ascii="Times New Roman" w:hAnsi="Times New Roman"/>
            </w:rPr>
          </w:sdtEndPr>
          <w:sdtContent>
            <w:tc>
              <w:tcPr>
                <w:tcW w:w="1809" w:type="pct"/>
              </w:tcPr>
              <w:p>
                <w:pPr>
                  <w:kinsoku w:val="0"/>
                  <w:overflowPunct w:val="0"/>
                  <w:rPr>
                    <w:color w:val="000000" w:themeColor="text1"/>
                  </w:rPr>
                </w:pPr>
                <w:r>
                  <w:rPr>
                    <w:color w:val="000000" w:themeColor="text1"/>
                  </w:rPr>
                  <w:t>债券代码</w:t>
                </w:r>
              </w:p>
            </w:tc>
          </w:sdtContent>
        </w:sdt>
        <w:sdt>
          <w:sdtPr>
            <w:rPr>
              <w:color w:val="000000"/>
            </w:rPr>
            <w:alias w:val="债券代码"/>
            <w:tag w:val="_GBC_9be23c456f4149b382aaf1559950efd0"/>
            <w:id w:val="-249035654"/>
          </w:sdtPr>
          <w:sdtContent>
            <w:tc>
              <w:tcPr>
                <w:tcW w:w="3191" w:type="pct"/>
              </w:tcPr>
              <w:p>
                <w:pPr>
                  <w:kinsoku w:val="0"/>
                  <w:overflowPunct w:val="0"/>
                  <w:rPr>
                    <w:color w:val="000000"/>
                  </w:rPr>
                </w:pPr>
                <w:r>
                  <w:rPr>
                    <w:rFonts w:hint="eastAsia"/>
                  </w:rPr>
                  <w:t>241324</w:t>
                </w:r>
              </w:p>
            </w:tc>
          </w:sdtContent>
        </w:sdt>
      </w:tr>
      <w:tr>
        <w:tc>
          <w:tcPr>
            <w:tcW w:w="1809" w:type="pct"/>
          </w:tcPr>
          <w:p>
            <w:pPr>
              <w:kinsoku w:val="0"/>
              <w:overflowPunct w:val="0"/>
              <w:rPr>
                <w:color w:val="000000" w:themeColor="text1"/>
              </w:rPr>
            </w:pPr>
            <w:r>
              <w:rPr>
                <w:color w:val="000000" w:themeColor="text1"/>
              </w:rPr>
              <w:t>债券简称</w:t>
            </w:r>
          </w:p>
        </w:tc>
        <w:tc>
          <w:tcPr>
            <w:tcW w:w="3191" w:type="pct"/>
          </w:tcPr>
          <w:p>
            <w:pPr>
              <w:kinsoku w:val="0"/>
              <w:overflowPunct w:val="0"/>
            </w:pPr>
            <w:r>
              <w:t>兖矿KY02</w:t>
            </w:r>
          </w:p>
        </w:tc>
      </w:tr>
      <w:tr>
        <w:tc>
          <w:tcPr>
            <w:tcW w:w="1809" w:type="pct"/>
          </w:tcPr>
          <w:p>
            <w:pPr>
              <w:kinsoku w:val="0"/>
              <w:overflowPunct w:val="0"/>
              <w:rPr>
                <w:color w:val="000000" w:themeColor="text1"/>
              </w:rPr>
            </w:pPr>
            <w:r>
              <w:rPr>
                <w:color w:val="000000" w:themeColor="text1"/>
              </w:rPr>
              <w:t>债券余额</w:t>
            </w:r>
          </w:p>
        </w:tc>
        <w:tc>
          <w:tcPr>
            <w:tcW w:w="3191" w:type="pct"/>
          </w:tcPr>
          <w:p>
            <w:pPr>
              <w:pStyle w:val="afffffffffffff8"/>
            </w:pPr>
            <w:r>
              <w:t>20</w:t>
            </w:r>
          </w:p>
        </w:tc>
      </w:tr>
      <w:tr>
        <w:tc>
          <w:tcPr>
            <w:tcW w:w="1809" w:type="pct"/>
          </w:tcPr>
          <w:p>
            <w:pPr>
              <w:kinsoku w:val="0"/>
              <w:overflowPunct w:val="0"/>
              <w:rPr>
                <w:color w:val="000000" w:themeColor="text1"/>
              </w:rPr>
            </w:pPr>
            <w:r>
              <w:rPr>
                <w:color w:val="000000" w:themeColor="text1"/>
              </w:rPr>
              <w:t>科创项目进展情况</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促进科技创新发展效果</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rFonts w:hint="eastAsia"/>
                <w:color w:val="000000" w:themeColor="text1"/>
              </w:rPr>
              <w:t>其他事项</w:t>
            </w:r>
          </w:p>
        </w:tc>
        <w:tc>
          <w:tcPr>
            <w:tcW w:w="3191" w:type="pct"/>
            <w:vAlign w:val="center"/>
          </w:tcPr>
          <w:p>
            <w:pPr>
              <w:kinsoku w:val="0"/>
              <w:overflowPunct w:val="0"/>
            </w:pPr>
            <w:r>
              <w:rPr>
                <w:rFonts w:hint="eastAsia"/>
              </w:rPr>
              <w:t>-</w:t>
            </w:r>
          </w:p>
        </w:tc>
      </w:tr>
    </w:tbl>
    <w:p>
      <w:pPr>
        <w:rPr>
          <w:color w:val="000000" w:themeColor="text1"/>
        </w:rPr>
      </w:pPr>
    </w:p>
    <w:p>
      <w:pPr>
        <w:rPr>
          <w:color w:val="000000" w:themeColor="text1"/>
        </w:rPr>
      </w:pPr>
    </w:p>
    <w:tbl>
      <w:tblPr>
        <w:tblStyle w:val="afffff7"/>
        <w:tblW w:w="5000" w:type="pct"/>
        <w:tblLook w:val="04A0" w:firstRow="1" w:lastRow="0" w:firstColumn="1" w:lastColumn="0" w:noHBand="0" w:noVBand="1"/>
      </w:tblPr>
      <w:tblGrid>
        <w:gridCol w:w="3192"/>
        <w:gridCol w:w="5631"/>
      </w:tblGrid>
      <w:tr>
        <w:sdt>
          <w:sdtPr>
            <w:tag w:val="_PLD_728cefa929f04fc8a9b30be022378d5f"/>
            <w:id w:val="75941295"/>
          </w:sdtPr>
          <w:sdtEndPr>
            <w:rPr>
              <w:rFonts w:ascii="Times New Roman" w:hAnsi="Times New Roman"/>
            </w:rPr>
          </w:sdtEndPr>
          <w:sdtContent>
            <w:tc>
              <w:tcPr>
                <w:tcW w:w="1809" w:type="pct"/>
              </w:tcPr>
              <w:p>
                <w:pPr>
                  <w:kinsoku w:val="0"/>
                  <w:overflowPunct w:val="0"/>
                  <w:rPr>
                    <w:color w:val="000000" w:themeColor="text1"/>
                  </w:rPr>
                </w:pPr>
                <w:r>
                  <w:rPr>
                    <w:color w:val="000000" w:themeColor="text1"/>
                  </w:rPr>
                  <w:t>债券代码</w:t>
                </w:r>
              </w:p>
            </w:tc>
          </w:sdtContent>
        </w:sdt>
        <w:sdt>
          <w:sdtPr>
            <w:rPr>
              <w:color w:val="000000"/>
            </w:rPr>
            <w:alias w:val="债券代码"/>
            <w:tag w:val="_GBC_9be23c456f4149b382aaf1559950efd0"/>
            <w:id w:val="1075016751"/>
          </w:sdtPr>
          <w:sdtContent>
            <w:tc>
              <w:tcPr>
                <w:tcW w:w="3191" w:type="pct"/>
              </w:tcPr>
              <w:p>
                <w:pPr>
                  <w:kinsoku w:val="0"/>
                  <w:overflowPunct w:val="0"/>
                  <w:rPr>
                    <w:color w:val="000000"/>
                  </w:rPr>
                </w:pPr>
                <w:r>
                  <w:rPr>
                    <w:rFonts w:hint="eastAsia"/>
                  </w:rPr>
                  <w:t>241379</w:t>
                </w:r>
              </w:p>
            </w:tc>
          </w:sdtContent>
        </w:sdt>
      </w:tr>
      <w:tr>
        <w:tc>
          <w:tcPr>
            <w:tcW w:w="1809" w:type="pct"/>
          </w:tcPr>
          <w:p>
            <w:pPr>
              <w:kinsoku w:val="0"/>
              <w:overflowPunct w:val="0"/>
              <w:rPr>
                <w:color w:val="000000" w:themeColor="text1"/>
              </w:rPr>
            </w:pPr>
            <w:r>
              <w:rPr>
                <w:color w:val="000000" w:themeColor="text1"/>
              </w:rPr>
              <w:t>债券简称</w:t>
            </w:r>
          </w:p>
        </w:tc>
        <w:tc>
          <w:tcPr>
            <w:tcW w:w="3191" w:type="pct"/>
          </w:tcPr>
          <w:p>
            <w:pPr>
              <w:kinsoku w:val="0"/>
              <w:overflowPunct w:val="0"/>
            </w:pPr>
            <w:r>
              <w:t>24</w:t>
            </w:r>
            <w:r>
              <w:rPr>
                <w:rFonts w:hint="eastAsia"/>
              </w:rPr>
              <w:t>兖矿</w:t>
            </w:r>
            <w:r>
              <w:t>K</w:t>
            </w:r>
            <w:r>
              <w:rPr>
                <w:rFonts w:hint="eastAsia"/>
              </w:rPr>
              <w:t>3</w:t>
            </w:r>
          </w:p>
        </w:tc>
      </w:tr>
      <w:tr>
        <w:tc>
          <w:tcPr>
            <w:tcW w:w="1809" w:type="pct"/>
          </w:tcPr>
          <w:p>
            <w:pPr>
              <w:kinsoku w:val="0"/>
              <w:overflowPunct w:val="0"/>
              <w:rPr>
                <w:color w:val="000000" w:themeColor="text1"/>
              </w:rPr>
            </w:pPr>
            <w:r>
              <w:rPr>
                <w:color w:val="000000" w:themeColor="text1"/>
              </w:rPr>
              <w:t>债券余额</w:t>
            </w:r>
          </w:p>
        </w:tc>
        <w:tc>
          <w:tcPr>
            <w:tcW w:w="3191" w:type="pct"/>
            <w:vAlign w:val="center"/>
          </w:tcPr>
          <w:p>
            <w:pPr>
              <w:kinsoku w:val="0"/>
              <w:overflowPunct w:val="0"/>
            </w:pPr>
            <w:r>
              <w:t>30</w:t>
            </w:r>
          </w:p>
        </w:tc>
      </w:tr>
      <w:tr>
        <w:tc>
          <w:tcPr>
            <w:tcW w:w="1809" w:type="pct"/>
          </w:tcPr>
          <w:p>
            <w:pPr>
              <w:kinsoku w:val="0"/>
              <w:overflowPunct w:val="0"/>
              <w:rPr>
                <w:color w:val="000000" w:themeColor="text1"/>
              </w:rPr>
            </w:pPr>
            <w:r>
              <w:rPr>
                <w:color w:val="000000" w:themeColor="text1"/>
              </w:rPr>
              <w:t>科创项目进展情况</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促进科技创新发展效果</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3191" w:type="pct"/>
            <w:vAlign w:val="center"/>
          </w:tcPr>
          <w:p>
            <w:pPr>
              <w:kinsoku w:val="0"/>
              <w:overflowPunct w:val="0"/>
            </w:pPr>
            <w:r>
              <w:rPr>
                <w:rFonts w:hint="eastAsia"/>
              </w:rPr>
              <w:t>-</w:t>
            </w:r>
          </w:p>
        </w:tc>
      </w:tr>
      <w:tr>
        <w:tc>
          <w:tcPr>
            <w:tcW w:w="1809" w:type="pct"/>
          </w:tcPr>
          <w:p>
            <w:pPr>
              <w:kinsoku w:val="0"/>
              <w:overflowPunct w:val="0"/>
              <w:rPr>
                <w:color w:val="000000" w:themeColor="text1"/>
              </w:rPr>
            </w:pPr>
            <w:r>
              <w:rPr>
                <w:rFonts w:hint="eastAsia"/>
                <w:color w:val="000000" w:themeColor="text1"/>
              </w:rPr>
              <w:t>其他事项</w:t>
            </w:r>
          </w:p>
        </w:tc>
        <w:tc>
          <w:tcPr>
            <w:tcW w:w="3191" w:type="pct"/>
            <w:vAlign w:val="center"/>
          </w:tcPr>
          <w:p>
            <w:pPr>
              <w:kinsoku w:val="0"/>
              <w:overflowPunct w:val="0"/>
            </w:pPr>
            <w:r>
              <w:rPr>
                <w:rFonts w:hint="eastAsia"/>
              </w:rPr>
              <w:t>-</w:t>
            </w:r>
          </w:p>
        </w:tc>
      </w:tr>
    </w:tbl>
    <w:p>
      <w:pPr>
        <w:rPr>
          <w:color w:val="000000" w:themeColor="text1"/>
        </w:rPr>
      </w:pPr>
    </w:p>
    <w:p>
      <w:pPr>
        <w:rPr>
          <w:color w:val="000000" w:themeColor="text1"/>
        </w:rPr>
      </w:pPr>
    </w:p>
    <w:p>
      <w:pPr>
        <w:rPr>
          <w:color w:val="000000" w:themeColor="text1"/>
        </w:rPr>
      </w:pPr>
    </w:p>
    <w:tbl>
      <w:tblPr>
        <w:tblStyle w:val="afffff7"/>
        <w:tblW w:w="5000" w:type="pct"/>
        <w:tblLook w:val="04A0" w:firstRow="1" w:lastRow="0" w:firstColumn="1" w:lastColumn="0" w:noHBand="0" w:noVBand="1"/>
      </w:tblPr>
      <w:tblGrid>
        <w:gridCol w:w="3192"/>
        <w:gridCol w:w="5631"/>
      </w:tblGrid>
      <w:tr>
        <w:sdt>
          <w:sdtPr>
            <w:tag w:val="_PLD_728cefa929f04fc8a9b30be022378d5f"/>
            <w:id w:val="-1928569266"/>
          </w:sdtPr>
          <w:sdtEndPr>
            <w:rPr>
              <w:rFonts w:ascii="Times New Roman" w:hAnsi="Times New Roman"/>
            </w:rPr>
          </w:sdtEndPr>
          <w:sdtContent>
            <w:tc>
              <w:tcPr>
                <w:tcW w:w="1809" w:type="pct"/>
              </w:tcPr>
              <w:p>
                <w:pPr>
                  <w:kinsoku w:val="0"/>
                  <w:overflowPunct w:val="0"/>
                  <w:rPr>
                    <w:color w:val="000000" w:themeColor="text1"/>
                  </w:rPr>
                </w:pPr>
                <w:r>
                  <w:rPr>
                    <w:color w:val="000000" w:themeColor="text1"/>
                  </w:rPr>
                  <w:t>债券代码</w:t>
                </w:r>
              </w:p>
            </w:tc>
          </w:sdtContent>
        </w:sdt>
        <w:sdt>
          <w:sdtPr>
            <w:rPr>
              <w:color w:val="000000"/>
            </w:rPr>
            <w:alias w:val="债券代码"/>
            <w:tag w:val="_GBC_9be23c456f4149b382aaf1559950efd0"/>
            <w:id w:val="964152491"/>
          </w:sdtPr>
          <w:sdtContent>
            <w:tc>
              <w:tcPr>
                <w:tcW w:w="3191" w:type="pct"/>
              </w:tcPr>
              <w:p>
                <w:pPr>
                  <w:kinsoku w:val="0"/>
                  <w:overflowPunct w:val="0"/>
                  <w:rPr>
                    <w:color w:val="000000"/>
                  </w:rPr>
                </w:pPr>
                <w:r>
                  <w:rPr>
                    <w:rFonts w:hint="eastAsia"/>
                  </w:rPr>
                  <w:t>241636</w:t>
                </w:r>
              </w:p>
            </w:tc>
          </w:sdtContent>
        </w:sdt>
      </w:tr>
      <w:tr>
        <w:tc>
          <w:tcPr>
            <w:tcW w:w="1809" w:type="pct"/>
          </w:tcPr>
          <w:p>
            <w:pPr>
              <w:kinsoku w:val="0"/>
              <w:overflowPunct w:val="0"/>
              <w:rPr>
                <w:color w:val="000000" w:themeColor="text1"/>
              </w:rPr>
            </w:pPr>
            <w:r>
              <w:rPr>
                <w:color w:val="000000" w:themeColor="text1"/>
              </w:rPr>
              <w:t>债券简称</w:t>
            </w:r>
          </w:p>
        </w:tc>
        <w:tc>
          <w:tcPr>
            <w:tcW w:w="3191" w:type="pct"/>
          </w:tcPr>
          <w:p>
            <w:pPr>
              <w:kinsoku w:val="0"/>
              <w:overflowPunct w:val="0"/>
            </w:pPr>
            <w:r>
              <w:t>24</w:t>
            </w:r>
            <w:r>
              <w:rPr>
                <w:rFonts w:hint="eastAsia"/>
              </w:rPr>
              <w:t>兖矿</w:t>
            </w:r>
            <w:r>
              <w:t>K</w:t>
            </w:r>
            <w:r>
              <w:rPr>
                <w:rFonts w:hint="eastAsia"/>
              </w:rPr>
              <w:t>4</w:t>
            </w:r>
          </w:p>
        </w:tc>
      </w:tr>
      <w:tr>
        <w:tc>
          <w:tcPr>
            <w:tcW w:w="1809" w:type="pct"/>
          </w:tcPr>
          <w:p>
            <w:pPr>
              <w:kinsoku w:val="0"/>
              <w:overflowPunct w:val="0"/>
              <w:rPr>
                <w:color w:val="000000" w:themeColor="text1"/>
              </w:rPr>
            </w:pPr>
            <w:r>
              <w:rPr>
                <w:color w:val="000000" w:themeColor="text1"/>
              </w:rPr>
              <w:t>债券余额</w:t>
            </w:r>
          </w:p>
        </w:tc>
        <w:tc>
          <w:tcPr>
            <w:tcW w:w="3191" w:type="pct"/>
            <w:vAlign w:val="center"/>
          </w:tcPr>
          <w:p>
            <w:pPr>
              <w:kinsoku w:val="0"/>
              <w:overflowPunct w:val="0"/>
            </w:pPr>
            <w:r>
              <w:t>20</w:t>
            </w:r>
          </w:p>
        </w:tc>
      </w:tr>
      <w:tr>
        <w:tc>
          <w:tcPr>
            <w:tcW w:w="1809" w:type="pct"/>
          </w:tcPr>
          <w:p>
            <w:pPr>
              <w:kinsoku w:val="0"/>
              <w:overflowPunct w:val="0"/>
              <w:rPr>
                <w:color w:val="000000" w:themeColor="text1"/>
              </w:rPr>
            </w:pPr>
            <w:r>
              <w:rPr>
                <w:color w:val="000000" w:themeColor="text1"/>
              </w:rPr>
              <w:t>科创项目进展情况</w:t>
            </w:r>
          </w:p>
        </w:tc>
        <w:tc>
          <w:tcPr>
            <w:tcW w:w="3191" w:type="pct"/>
          </w:tcPr>
          <w:p>
            <w:pPr>
              <w:pStyle w:val="afffffffffffff8"/>
            </w:pPr>
            <w:r>
              <w:rPr>
                <w:rFonts w:hint="eastAsia"/>
              </w:rPr>
              <w:t>-</w:t>
            </w:r>
          </w:p>
        </w:tc>
      </w:tr>
      <w:tr>
        <w:tc>
          <w:tcPr>
            <w:tcW w:w="1809" w:type="pct"/>
          </w:tcPr>
          <w:p>
            <w:pPr>
              <w:kinsoku w:val="0"/>
              <w:overflowPunct w:val="0"/>
              <w:rPr>
                <w:color w:val="000000" w:themeColor="text1"/>
              </w:rPr>
            </w:pPr>
            <w:r>
              <w:rPr>
                <w:color w:val="000000" w:themeColor="text1"/>
              </w:rPr>
              <w:t>促进科技创新发展效果</w:t>
            </w:r>
          </w:p>
        </w:tc>
        <w:tc>
          <w:tcPr>
            <w:tcW w:w="3191" w:type="pct"/>
          </w:tcPr>
          <w:p>
            <w:pPr>
              <w:pStyle w:val="afffffffffffff8"/>
            </w:pPr>
            <w:r>
              <w:rPr>
                <w:rFonts w:hint="eastAsia"/>
              </w:rPr>
              <w:t>-</w:t>
            </w:r>
          </w:p>
        </w:tc>
      </w:tr>
      <w:tr>
        <w:tc>
          <w:tcPr>
            <w:tcW w:w="1809" w:type="pct"/>
          </w:tcPr>
          <w:p>
            <w:pPr>
              <w:kinsoku w:val="0"/>
              <w:overflowPunct w:val="0"/>
              <w:rPr>
                <w:color w:val="000000" w:themeColor="text1"/>
              </w:rPr>
            </w:pPr>
            <w:r>
              <w:rPr>
                <w:color w:val="000000" w:themeColor="text1"/>
              </w:rPr>
              <w:t>基金产品的运作情况</w:t>
            </w:r>
            <w:r>
              <w:rPr>
                <w:rFonts w:hint="eastAsia"/>
                <w:color w:val="000000" w:themeColor="text1"/>
              </w:rPr>
              <w:t>（如有）</w:t>
            </w:r>
          </w:p>
        </w:tc>
        <w:tc>
          <w:tcPr>
            <w:tcW w:w="3191" w:type="pct"/>
          </w:tcPr>
          <w:p>
            <w:pPr>
              <w:pStyle w:val="afffffffffffff8"/>
            </w:pPr>
            <w:r>
              <w:rPr>
                <w:rFonts w:hint="eastAsia"/>
              </w:rPr>
              <w:t>-</w:t>
            </w:r>
          </w:p>
        </w:tc>
      </w:tr>
      <w:tr>
        <w:tc>
          <w:tcPr>
            <w:tcW w:w="1809" w:type="pct"/>
          </w:tcPr>
          <w:p>
            <w:pPr>
              <w:kinsoku w:val="0"/>
              <w:overflowPunct w:val="0"/>
              <w:rPr>
                <w:color w:val="000000" w:themeColor="text1"/>
              </w:rPr>
            </w:pPr>
            <w:r>
              <w:rPr>
                <w:rFonts w:hint="eastAsia"/>
                <w:color w:val="000000" w:themeColor="text1"/>
              </w:rPr>
              <w:t>其他事项</w:t>
            </w:r>
          </w:p>
        </w:tc>
        <w:tc>
          <w:tcPr>
            <w:tcW w:w="3191" w:type="pct"/>
          </w:tcPr>
          <w:p>
            <w:pPr>
              <w:pStyle w:val="afffffffffffff8"/>
            </w:pPr>
            <w:r>
              <w:rPr>
                <w:rFonts w:hint="eastAsia"/>
              </w:rPr>
              <w:t>-</w:t>
            </w:r>
          </w:p>
        </w:tc>
      </w:tr>
      <w:bookmarkEnd w:id="282"/>
    </w:tbl>
    <w:p>
      <w:pPr>
        <w:rPr>
          <w:color w:val="000000" w:themeColor="text1"/>
        </w:rPr>
      </w:pPr>
    </w:p>
    <w:p>
      <w:pPr>
        <w:pStyle w:val="4"/>
        <w:numPr>
          <w:ilvl w:val="0"/>
          <w:numId w:val="27"/>
        </w:numPr>
        <w:ind w:left="420" w:hanging="420"/>
        <w:rPr>
          <w:color w:val="000000" w:themeColor="text1"/>
        </w:rPr>
      </w:pPr>
      <w:bookmarkStart w:id="283" w:name="_Toc141452827"/>
      <w:r>
        <w:rPr>
          <w:rFonts w:hint="eastAsia"/>
          <w:color w:val="000000" w:themeColor="text1"/>
        </w:rPr>
        <w:t>公司为低碳转型（挂钩）公司债券</w:t>
      </w:r>
      <w:bookmarkEnd w:id="283"/>
      <w:r>
        <w:rPr>
          <w:rFonts w:hint="eastAsia"/>
          <w:color w:val="000000" w:themeColor="text1"/>
        </w:rPr>
        <w:t>发行人</w:t>
      </w:r>
    </w:p>
    <w:sdt>
      <w:sdtPr>
        <w:rPr>
          <w:rFonts w:hint="eastAsia"/>
          <w:color w:val="000000" w:themeColor="text1"/>
        </w:rPr>
        <w:alias w:val="是否适用：低碳转型公司债券[双击切换]"/>
        <w:tag w:val="_GBC_e1dc3fbcfb2443a2897a83fce03a24bc"/>
        <w:id w:val="652259054"/>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iCs/>
          <w:color w:val="000000" w:themeColor="text1"/>
        </w:rPr>
      </w:pPr>
    </w:p>
    <w:p>
      <w:pPr>
        <w:pStyle w:val="4"/>
        <w:numPr>
          <w:ilvl w:val="0"/>
          <w:numId w:val="27"/>
        </w:numPr>
        <w:ind w:left="420" w:hanging="420"/>
        <w:rPr>
          <w:color w:val="000000" w:themeColor="text1"/>
        </w:rPr>
      </w:pPr>
      <w:bookmarkStart w:id="284" w:name="_Toc141452828"/>
      <w:r>
        <w:rPr>
          <w:rFonts w:hint="eastAsia"/>
          <w:color w:val="000000" w:themeColor="text1"/>
        </w:rPr>
        <w:t>公司为纾困公司债券</w:t>
      </w:r>
      <w:bookmarkEnd w:id="284"/>
      <w:r>
        <w:rPr>
          <w:rFonts w:hint="eastAsia"/>
          <w:color w:val="000000" w:themeColor="text1"/>
        </w:rPr>
        <w:t>发行人</w:t>
      </w:r>
    </w:p>
    <w:sdt>
      <w:sdtPr>
        <w:rPr>
          <w:rFonts w:hint="eastAsia"/>
          <w:color w:val="000000" w:themeColor="text1"/>
        </w:rPr>
        <w:alias w:val="是否适用：纾困公司债券[双击切换]"/>
        <w:tag w:val="_GBC_eac9a75df4dd4fd2bad27bfa3d42c423"/>
        <w:id w:val="111201016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4"/>
        <w:numPr>
          <w:ilvl w:val="0"/>
          <w:numId w:val="27"/>
        </w:numPr>
        <w:ind w:left="420" w:hanging="420"/>
        <w:rPr>
          <w:color w:val="000000" w:themeColor="text1"/>
        </w:rPr>
      </w:pPr>
      <w:bookmarkStart w:id="285" w:name="_Toc157593041"/>
      <w:r>
        <w:rPr>
          <w:rFonts w:hint="eastAsia"/>
          <w:color w:val="000000" w:themeColor="text1"/>
        </w:rPr>
        <w:t>公司为中小微企业支持债券</w:t>
      </w:r>
      <w:bookmarkEnd w:id="285"/>
      <w:r>
        <w:rPr>
          <w:rFonts w:hint="eastAsia"/>
          <w:color w:val="000000" w:themeColor="text1"/>
        </w:rPr>
        <w:t>发行人</w:t>
      </w:r>
    </w:p>
    <w:p>
      <w:pPr>
        <w:rPr>
          <w:color w:val="000000" w:themeColor="text1"/>
        </w:rPr>
      </w:pPr>
      <w:sdt>
        <w:sdtPr>
          <w:rPr>
            <w:rFonts w:hint="eastAsia"/>
            <w:color w:val="000000" w:themeColor="text1"/>
          </w:rPr>
          <w:alias w:val="是否适用：中小微企业支持债券[双击切换]"/>
          <w:tag w:val="_GBC_85131c12fd6b4e46b1fcb4b539dfd80f"/>
          <w:id w:val="1233501442"/>
          <w:placeholder>
            <w:docPart w:val="GBC22222222222222222222222222222"/>
          </w:placeholder>
        </w:sdtPr>
        <w:sdtContent>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sdtContent>
      </w:sdt>
    </w:p>
    <w:p>
      <w:pPr>
        <w:rPr>
          <w:b/>
          <w:bCs/>
          <w:color w:val="000000" w:themeColor="text1"/>
          <w:kern w:val="44"/>
        </w:rPr>
      </w:pPr>
    </w:p>
    <w:p>
      <w:pPr>
        <w:pStyle w:val="4"/>
        <w:numPr>
          <w:ilvl w:val="0"/>
          <w:numId w:val="27"/>
        </w:numPr>
        <w:ind w:left="420" w:hanging="420"/>
        <w:rPr>
          <w:color w:val="000000" w:themeColor="text1"/>
        </w:rPr>
      </w:pPr>
      <w:bookmarkStart w:id="286" w:name="_Toc520720586"/>
      <w:bookmarkStart w:id="287" w:name="_Toc157593042"/>
      <w:r>
        <w:rPr>
          <w:rFonts w:hint="eastAsia"/>
          <w:color w:val="000000" w:themeColor="text1"/>
        </w:rPr>
        <w:t>其他专项品种公司债券事项</w:t>
      </w:r>
      <w:bookmarkEnd w:id="286"/>
      <w:bookmarkEnd w:id="287"/>
    </w:p>
    <w:sdt>
      <w:sdtPr>
        <w:rPr>
          <w:color w:val="000000" w:themeColor="text1"/>
        </w:rPr>
        <w:alias w:val="是否适用：其他专项品种债券事项[双击切换]"/>
        <w:tag w:val="_GBC_007adf85e8c047bc8e4137bd84df06c3"/>
        <w:id w:val="1590273032"/>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pStyle w:val="3"/>
        <w:numPr>
          <w:ilvl w:val="0"/>
          <w:numId w:val="24"/>
        </w:numPr>
        <w:ind w:left="425" w:hanging="425"/>
        <w:rPr>
          <w:rFonts w:ascii="宋体" w:hAnsi="宋体"/>
        </w:rPr>
      </w:pPr>
      <w:bookmarkStart w:id="288" w:name="_Hlk182407003"/>
      <w:bookmarkEnd w:id="269"/>
      <w:bookmarkEnd w:id="274"/>
      <w:r>
        <w:rPr>
          <w:rFonts w:ascii="宋体" w:hAnsi="宋体" w:hint="eastAsia"/>
        </w:rPr>
        <w:t>报告期内公司债券相关重要事项</w:t>
      </w:r>
    </w:p>
    <w:sdt>
      <w:sdtPr>
        <w:rPr>
          <w:color w:val="000000" w:themeColor="text1"/>
        </w:rPr>
        <w:alias w:val="是否适用：报告期内公司债券相关重要事项[双击切换]"/>
        <w:tag w:val="_GBC_6c9e2ac385b649efa39666c51508988f"/>
        <w:id w:val="610246105"/>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bookmarkStart w:id="289" w:name="_Hlk169619769"/>
    </w:p>
    <w:p>
      <w:pPr>
        <w:pStyle w:val="4"/>
        <w:rPr>
          <w:color w:val="000000" w:themeColor="text1"/>
        </w:rPr>
      </w:pPr>
      <w:bookmarkStart w:id="290" w:name="_Toc141452811"/>
      <w:bookmarkStart w:id="291" w:name="_Hlk169620115"/>
      <w:bookmarkEnd w:id="289"/>
      <w:r>
        <w:rPr>
          <w:rFonts w:hint="eastAsia"/>
          <w:color w:val="000000" w:themeColor="text1"/>
        </w:rPr>
        <w:t>负债情况</w:t>
      </w:r>
      <w:bookmarkEnd w:id="290"/>
    </w:p>
    <w:p>
      <w:pPr>
        <w:pStyle w:val="5"/>
        <w:numPr>
          <w:ilvl w:val="0"/>
          <w:numId w:val="28"/>
        </w:numPr>
        <w:ind w:leftChars="0"/>
        <w:rPr>
          <w:color w:val="000000" w:themeColor="text1"/>
        </w:rPr>
      </w:pPr>
      <w:r>
        <w:rPr>
          <w:rFonts w:hint="eastAsia"/>
          <w:color w:val="000000" w:themeColor="text1"/>
        </w:rPr>
        <w:t>有息债务及其变动情况</w:t>
      </w:r>
    </w:p>
    <w:p>
      <w:pPr>
        <w:pStyle w:val="6"/>
        <w:numPr>
          <w:ilvl w:val="0"/>
          <w:numId w:val="32"/>
        </w:numPr>
        <w:tabs>
          <w:tab w:val="num" w:pos="360"/>
        </w:tabs>
      </w:pPr>
      <w:bookmarkStart w:id="292" w:name="_Hlk184116397"/>
      <w:bookmarkStart w:id="293" w:name="_Hlk186116697"/>
      <w:r>
        <w:rPr>
          <w:rFonts w:hint="eastAsia"/>
        </w:rPr>
        <w:t>公司债务结构情况</w:t>
      </w:r>
    </w:p>
    <w:p>
      <w:pPr>
        <w:pStyle w:val="afffffb"/>
        <w:rPr>
          <w:rFonts w:ascii="宋体" w:hAnsi="宋体"/>
          <w:color w:val="000000" w:themeColor="text1"/>
        </w:rPr>
      </w:pPr>
      <w:r>
        <w:rPr>
          <w:rFonts w:hint="eastAsia"/>
          <w:color w:val="000000" w:themeColor="text1"/>
        </w:rPr>
        <w:t>报告期初和报告</w:t>
      </w:r>
      <w:r>
        <w:rPr>
          <w:rFonts w:ascii="宋体" w:hAnsi="宋体" w:hint="eastAsia"/>
          <w:color w:val="000000" w:themeColor="text1"/>
        </w:rPr>
        <w:t>期末，公司（非公司合并范围口径）有息债务余额分别为</w:t>
      </w:r>
      <w:sdt>
        <w:sdtPr>
          <w:rPr>
            <w:rFonts w:ascii="宋体" w:hAnsi="宋体" w:hint="eastAsia"/>
            <w:color w:val="000000" w:themeColor="text1"/>
          </w:rPr>
          <w:alias w:val="有息债务"/>
          <w:tag w:val="_GBC_e4535ac8abb940e2b143ad188e62fb58"/>
          <w:id w:val="-315577183"/>
          <w:placeholder>
            <w:docPart w:val="GBC22222222222222222222222222222"/>
          </w:placeholder>
        </w:sdtPr>
        <w:sdtContent>
          <w:r>
            <w:rPr>
              <w:rFonts w:ascii="宋体" w:hAnsi="宋体"/>
              <w:color w:val="000000" w:themeColor="text1"/>
            </w:rPr>
            <w:t>816.17</w:t>
          </w:r>
        </w:sdtContent>
      </w:sdt>
      <w:sdt>
        <w:sdtPr>
          <w:rPr>
            <w:rFonts w:ascii="宋体" w:hAnsi="宋体" w:hint="eastAsia"/>
            <w:color w:val="000000" w:themeColor="text1"/>
          </w:rPr>
          <w:alias w:val="单位：母公司有息债务"/>
          <w:tag w:val="_GBC_eaed5fa2692649d18aa06aa614882762"/>
          <w:id w:val="46186356"/>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和</w:t>
      </w:r>
      <w:bookmarkStart w:id="294" w:name="_Hlk193654252"/>
      <w:sdt>
        <w:sdtPr>
          <w:rPr>
            <w:rFonts w:ascii="宋体" w:hAnsi="宋体" w:hint="eastAsia"/>
            <w:color w:val="000000" w:themeColor="text1"/>
          </w:rPr>
          <w:alias w:val="有息债务"/>
          <w:tag w:val="_GBC_4f7f399eedc14384b13fcca9552045fa"/>
          <w:id w:val="883838885"/>
          <w:placeholder>
            <w:docPart w:val="GBC22222222222222222222222222222"/>
          </w:placeholder>
        </w:sdtPr>
        <w:sdtContent>
          <w:r>
            <w:rPr>
              <w:rFonts w:ascii="宋体" w:hAnsi="宋体"/>
              <w:color w:val="000000" w:themeColor="text1"/>
            </w:rPr>
            <w:t>842.68</w:t>
          </w:r>
          <w:bookmarkEnd w:id="294"/>
        </w:sdtContent>
      </w:sdt>
      <w:sdt>
        <w:sdtPr>
          <w:rPr>
            <w:rFonts w:ascii="宋体" w:hAnsi="宋体" w:hint="eastAsia"/>
            <w:color w:val="000000" w:themeColor="text1"/>
          </w:rPr>
          <w:alias w:val="单位：母公司有息债务"/>
          <w:tag w:val="_GBC_2898d3c3ba8d47c7b1d079bbf7005db0"/>
          <w:id w:val="-1086225379"/>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，报告期内有息债务余额同比变动</w:t>
      </w:r>
      <w:sdt>
        <w:sdtPr>
          <w:rPr>
            <w:rFonts w:ascii="宋体" w:hAnsi="宋体" w:hint="eastAsia"/>
            <w:color w:val="000000" w:themeColor="text1"/>
          </w:rPr>
          <w:alias w:val="有息债务变动比例"/>
          <w:tag w:val="_GBC_47d87ac1bdf846968b0b6f2c469d9ee7"/>
          <w:id w:val="-1269852638"/>
          <w:placeholder>
            <w:docPart w:val="GBC22222222222222222222222222222"/>
          </w:placeholder>
        </w:sdtPr>
        <w:sdtContent>
          <w:r>
            <w:rPr>
              <w:rFonts w:ascii="宋体" w:hAnsi="宋体"/>
              <w:color w:val="000000" w:themeColor="text1"/>
            </w:rPr>
            <w:t>3.2</w:t>
          </w:r>
        </w:sdtContent>
      </w:sdt>
      <w:r>
        <w:rPr>
          <w:rFonts w:ascii="宋体" w:hAnsi="宋体" w:hint="eastAsia"/>
          <w:color w:val="000000" w:themeColor="text1"/>
        </w:rPr>
        <w:t>%。</w:t>
      </w:r>
    </w:p>
    <w:p>
      <w:pPr>
        <w:kinsoku w:val="0"/>
        <w:overflowPunct w:val="0"/>
        <w:jc w:val="right"/>
        <w:rPr>
          <w:color w:val="000000" w:themeColor="text1"/>
        </w:rPr>
      </w:pPr>
      <w:r>
        <w:rPr>
          <w:rFonts w:hint="eastAsia"/>
          <w:color w:val="000000" w:themeColor="text1"/>
        </w:rPr>
        <w:t>单位：</w:t>
      </w:r>
      <w:sdt>
        <w:sdtPr>
          <w:rPr>
            <w:rFonts w:hint="eastAsia"/>
            <w:color w:val="000000" w:themeColor="text1"/>
          </w:rPr>
          <w:alias w:val="单位：母公司有息债务"/>
          <w:tag w:val="_GBC_b44c1cc00af641c58204700e7a1cb3fc"/>
          <w:id w:val="126053265"/>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有息债务"/>
          <w:tag w:val="_GBC_e6d0e92e1a8d4a1aa2d736e756a21cd1"/>
          <w:id w:val="-3242907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fff7"/>
        <w:tblW w:w="5000" w:type="pct"/>
        <w:tblLook w:val="04A0" w:firstRow="1" w:lastRow="0" w:firstColumn="1" w:lastColumn="0" w:noHBand="0" w:noVBand="1"/>
      </w:tblPr>
      <w:tblGrid>
        <w:gridCol w:w="1610"/>
        <w:gridCol w:w="1423"/>
        <w:gridCol w:w="1406"/>
        <w:gridCol w:w="1406"/>
        <w:gridCol w:w="1406"/>
        <w:gridCol w:w="1572"/>
      </w:tblGrid>
      <w:tr>
        <w:sdt>
          <w:sdtPr>
            <w:tag w:val="_PLD_6a8d9091186a47879e0b40b67ddf14ba"/>
            <w:id w:val="906730242"/>
          </w:sdtPr>
          <w:sdtContent>
            <w:tc>
              <w:tcPr>
                <w:tcW w:w="912" w:type="pct"/>
                <w:vMerge w:val="restart"/>
                <w:vAlign w:val="center"/>
              </w:tcPr>
              <w:p>
                <w:pPr>
                  <w:kinsoku w:val="0"/>
                  <w:overflowPunct w:val="0"/>
                  <w:jc w:val="center"/>
                  <w:rPr>
                    <w:color w:val="000000" w:themeColor="text1"/>
                  </w:rPr>
                </w:pPr>
                <w:r>
                  <w:rPr>
                    <w:rFonts w:hint="eastAsia"/>
                    <w:color w:val="000000" w:themeColor="text1"/>
                  </w:rPr>
                  <w:t>有息债务类别</w:t>
                </w:r>
              </w:p>
            </w:tc>
          </w:sdtContent>
        </w:sdt>
        <w:sdt>
          <w:sdtPr>
            <w:tag w:val="_PLD_e857584784de4a00b87ecb7c757079ac"/>
            <w:id w:val="71090853"/>
          </w:sdtPr>
          <w:sdtContent>
            <w:tc>
              <w:tcPr>
                <w:tcW w:w="2400" w:type="pct"/>
                <w:gridSpan w:val="3"/>
                <w:vAlign w:val="center"/>
              </w:tcPr>
              <w:p>
                <w:pPr>
                  <w:kinsoku w:val="0"/>
                  <w:overflowPunct w:val="0"/>
                  <w:jc w:val="center"/>
                  <w:rPr>
                    <w:color w:val="000000" w:themeColor="text1"/>
                  </w:rPr>
                </w:pPr>
                <w:r>
                  <w:rPr>
                    <w:rFonts w:hint="eastAsia"/>
                    <w:color w:val="000000" w:themeColor="text1"/>
                  </w:rPr>
                  <w:t>到期时间</w:t>
                </w:r>
              </w:p>
            </w:tc>
          </w:sdtContent>
        </w:sdt>
        <w:sdt>
          <w:sdtPr>
            <w:tag w:val="_PLD_db291eb94ad84d22b038c4f1704f48da"/>
            <w:id w:val="-1692909687"/>
          </w:sdtPr>
          <w:sdtContent>
            <w:tc>
              <w:tcPr>
                <w:tcW w:w="797" w:type="pct"/>
                <w:vMerge w:val="restart"/>
                <w:vAlign w:val="center"/>
              </w:tcPr>
              <w:p>
                <w:pPr>
                  <w:kinsoku w:val="0"/>
                  <w:overflowPunct w:val="0"/>
                  <w:jc w:val="center"/>
                  <w:rPr>
                    <w:color w:val="000000" w:themeColor="text1"/>
                  </w:rPr>
                </w:pPr>
                <w:r>
                  <w:rPr>
                    <w:rFonts w:hint="eastAsia"/>
                    <w:color w:val="000000" w:themeColor="text1"/>
                  </w:rPr>
                  <w:t>金额合计</w:t>
                </w:r>
              </w:p>
            </w:tc>
          </w:sdtContent>
        </w:sdt>
        <w:tc>
          <w:tcPr>
            <w:tcW w:w="891" w:type="pct"/>
            <w:vMerge w:val="restart"/>
            <w:vAlign w:val="center"/>
          </w:tcPr>
          <w:sdt>
            <w:sdtPr>
              <w:tag w:val="_PLD_d93bcbe2219a4286a27ffd772203f797"/>
              <w:id w:val="-1232151475"/>
            </w:sdtPr>
            <w:sdtContent>
              <w:p>
                <w:pPr>
                  <w:kinsoku w:val="0"/>
                  <w:overflowPunct w:val="0"/>
                  <w:jc w:val="center"/>
                  <w:rPr>
                    <w:color w:val="000000" w:themeColor="text1"/>
                  </w:rPr>
                </w:pPr>
                <w:r>
                  <w:rPr>
                    <w:rFonts w:hint="eastAsia"/>
                    <w:color w:val="000000" w:themeColor="text1"/>
                  </w:rPr>
                  <w:t>金额占有息债务的占比（%）</w:t>
                </w:r>
              </w:p>
            </w:sdtContent>
          </w:sdt>
        </w:tc>
      </w:tr>
      <w:tr>
        <w:tc>
          <w:tcPr>
            <w:tcW w:w="912" w:type="pct"/>
            <w:vMerge/>
            <w:vAlign w:val="center"/>
          </w:tcPr>
          <w:p>
            <w:pPr>
              <w:kinsoku w:val="0"/>
              <w:overflowPunct w:val="0"/>
              <w:jc w:val="center"/>
              <w:rPr>
                <w:color w:val="000000" w:themeColor="text1"/>
              </w:rPr>
            </w:pPr>
          </w:p>
        </w:tc>
        <w:sdt>
          <w:sdtPr>
            <w:tag w:val="_PLD_763fa1250da14baa808021524cd7a0d2"/>
            <w:id w:val="-720355877"/>
          </w:sdtPr>
          <w:sdtContent>
            <w:tc>
              <w:tcPr>
                <w:tcW w:w="806" w:type="pct"/>
                <w:vAlign w:val="center"/>
              </w:tcPr>
              <w:p>
                <w:pPr>
                  <w:kinsoku w:val="0"/>
                  <w:overflowPunct w:val="0"/>
                  <w:jc w:val="center"/>
                  <w:rPr>
                    <w:color w:val="000000" w:themeColor="text1"/>
                  </w:rPr>
                </w:pPr>
                <w:r>
                  <w:rPr>
                    <w:rFonts w:hint="eastAsia"/>
                    <w:color w:val="000000" w:themeColor="text1"/>
                  </w:rPr>
                  <w:t>已逾期</w:t>
                </w:r>
              </w:p>
            </w:tc>
          </w:sdtContent>
        </w:sdt>
        <w:tc>
          <w:tcPr>
            <w:tcW w:w="797" w:type="pct"/>
            <w:vAlign w:val="center"/>
          </w:tcPr>
          <w:sdt>
            <w:sdtPr>
              <w:tag w:val="_PLD_9213da20843047fd866a07220ffc1e04"/>
              <w:id w:val="1258088911"/>
            </w:sdtPr>
            <w:sdtContent>
              <w:p>
                <w:pPr>
                  <w:kinsoku w:val="0"/>
                  <w:overflowPunct w:val="0"/>
                  <w:jc w:val="center"/>
                  <w:rPr>
                    <w:color w:val="000000" w:themeColor="text1"/>
                  </w:rPr>
                </w:pPr>
                <w:r>
                  <w:rPr>
                    <w:rFonts w:hint="eastAsia"/>
                    <w:color w:val="000000" w:themeColor="text1"/>
                  </w:rPr>
                  <w:t>1年以内（含）</w:t>
                </w:r>
              </w:p>
            </w:sdtContent>
          </w:sdt>
        </w:tc>
        <w:sdt>
          <w:sdtPr>
            <w:tag w:val="_PLD_1128df66dc9e4220979131247d083d6e"/>
            <w:id w:val="340974824"/>
          </w:sdtPr>
          <w:sdtContent>
            <w:tc>
              <w:tcPr>
                <w:tcW w:w="797" w:type="pct"/>
                <w:vAlign w:val="center"/>
              </w:tcPr>
              <w:p>
                <w:pPr>
                  <w:kinsoku w:val="0"/>
                  <w:overflowPunct w:val="0"/>
                  <w:jc w:val="center"/>
                  <w:rPr>
                    <w:color w:val="000000" w:themeColor="text1"/>
                  </w:rPr>
                </w:pPr>
                <w:r>
                  <w:rPr>
                    <w:rFonts w:hint="eastAsia"/>
                    <w:color w:val="000000" w:themeColor="text1"/>
                  </w:rPr>
                  <w:t>超过1年（不含）</w:t>
                </w:r>
              </w:p>
            </w:tc>
          </w:sdtContent>
        </w:sdt>
        <w:tc>
          <w:tcPr>
            <w:tcW w:w="797" w:type="pct"/>
            <w:vMerge/>
            <w:vAlign w:val="center"/>
          </w:tcPr>
          <w:p>
            <w:pPr>
              <w:kinsoku w:val="0"/>
              <w:overflowPunct w:val="0"/>
              <w:jc w:val="center"/>
              <w:rPr>
                <w:color w:val="000000" w:themeColor="text1"/>
              </w:rPr>
            </w:pPr>
          </w:p>
        </w:tc>
        <w:tc>
          <w:tcPr>
            <w:tcW w:w="891" w:type="pct"/>
            <w:vMerge/>
            <w:vAlign w:val="center"/>
          </w:tcPr>
          <w:p>
            <w:pPr>
              <w:kinsoku w:val="0"/>
              <w:overflowPunct w:val="0"/>
              <w:jc w:val="center"/>
              <w:rPr>
                <w:color w:val="000000" w:themeColor="text1"/>
              </w:rPr>
            </w:pPr>
          </w:p>
        </w:tc>
      </w:tr>
      <w:tr>
        <w:tc>
          <w:tcPr>
            <w:tcW w:w="912" w:type="pct"/>
            <w:vAlign w:val="center"/>
          </w:tcPr>
          <w:p>
            <w:pPr>
              <w:kinsoku w:val="0"/>
              <w:overflowPunct w:val="0"/>
              <w:jc w:val="left"/>
              <w:rPr>
                <w:color w:val="000000" w:themeColor="text1"/>
              </w:rPr>
            </w:pPr>
            <w:r>
              <w:rPr>
                <w:rFonts w:hint="eastAsia"/>
                <w:color w:val="000000" w:themeColor="text1"/>
              </w:rPr>
              <w:t>公司信用类债券</w:t>
            </w:r>
          </w:p>
        </w:tc>
        <w:tc>
          <w:tcPr>
            <w:tcW w:w="806" w:type="pct"/>
            <w:vAlign w:val="center"/>
          </w:tcPr>
          <w:p>
            <w:pPr>
              <w:kinsoku w:val="0"/>
              <w:overflowPunct w:val="0"/>
              <w:jc w:val="right"/>
            </w:pPr>
            <w:r>
              <w:t>-</w:t>
            </w:r>
          </w:p>
        </w:tc>
        <w:tc>
          <w:tcPr>
            <w:tcW w:w="797" w:type="pct"/>
            <w:vAlign w:val="center"/>
          </w:tcPr>
          <w:p>
            <w:pPr>
              <w:jc w:val="right"/>
            </w:pPr>
            <w:r>
              <w:t xml:space="preserve">116.61 </w:t>
            </w:r>
          </w:p>
        </w:tc>
        <w:tc>
          <w:tcPr>
            <w:tcW w:w="797" w:type="pct"/>
            <w:vAlign w:val="center"/>
          </w:tcPr>
          <w:p>
            <w:pPr>
              <w:jc w:val="right"/>
            </w:pPr>
            <w:r>
              <w:t xml:space="preserve">159.74 </w:t>
            </w:r>
          </w:p>
        </w:tc>
        <w:tc>
          <w:tcPr>
            <w:tcW w:w="797" w:type="pct"/>
            <w:vAlign w:val="center"/>
          </w:tcPr>
          <w:p>
            <w:pPr>
              <w:jc w:val="right"/>
            </w:pPr>
            <w:r>
              <w:t xml:space="preserve">276.34 </w:t>
            </w:r>
          </w:p>
        </w:tc>
        <w:tc>
          <w:tcPr>
            <w:tcW w:w="891" w:type="pct"/>
            <w:vAlign w:val="center"/>
          </w:tcPr>
          <w:p>
            <w:pPr>
              <w:jc w:val="right"/>
            </w:pPr>
            <w:r>
              <w:t>32.79</w:t>
            </w:r>
          </w:p>
        </w:tc>
      </w:tr>
      <w:tr>
        <w:tc>
          <w:tcPr>
            <w:tcW w:w="912" w:type="pct"/>
            <w:vAlign w:val="center"/>
          </w:tcPr>
          <w:p>
            <w:pPr>
              <w:kinsoku w:val="0"/>
              <w:overflowPunct w:val="0"/>
              <w:jc w:val="left"/>
              <w:rPr>
                <w:color w:val="000000" w:themeColor="text1"/>
              </w:rPr>
            </w:pPr>
            <w:r>
              <w:rPr>
                <w:rFonts w:hint="eastAsia"/>
                <w:color w:val="000000" w:themeColor="text1"/>
              </w:rPr>
              <w:t>银行贷款</w:t>
            </w:r>
          </w:p>
        </w:tc>
        <w:tc>
          <w:tcPr>
            <w:tcW w:w="806" w:type="pct"/>
            <w:vAlign w:val="center"/>
          </w:tcPr>
          <w:p>
            <w:pPr>
              <w:kinsoku w:val="0"/>
              <w:overflowPunct w:val="0"/>
              <w:jc w:val="right"/>
            </w:pPr>
            <w:r>
              <w:t>-</w:t>
            </w:r>
          </w:p>
        </w:tc>
        <w:tc>
          <w:tcPr>
            <w:tcW w:w="797" w:type="pct"/>
            <w:vAlign w:val="center"/>
          </w:tcPr>
          <w:p>
            <w:pPr>
              <w:jc w:val="right"/>
            </w:pPr>
            <w:r>
              <w:t xml:space="preserve">154.53 </w:t>
            </w:r>
          </w:p>
        </w:tc>
        <w:tc>
          <w:tcPr>
            <w:tcW w:w="797" w:type="pct"/>
            <w:vAlign w:val="center"/>
          </w:tcPr>
          <w:p>
            <w:pPr>
              <w:jc w:val="right"/>
            </w:pPr>
            <w:r>
              <w:t xml:space="preserve">411.81 </w:t>
            </w:r>
          </w:p>
        </w:tc>
        <w:tc>
          <w:tcPr>
            <w:tcW w:w="797" w:type="pct"/>
            <w:vAlign w:val="center"/>
          </w:tcPr>
          <w:p>
            <w:pPr>
              <w:jc w:val="right"/>
            </w:pPr>
            <w:r>
              <w:t xml:space="preserve">566.34 </w:t>
            </w:r>
          </w:p>
        </w:tc>
        <w:tc>
          <w:tcPr>
            <w:tcW w:w="891" w:type="pct"/>
            <w:vAlign w:val="center"/>
          </w:tcPr>
          <w:p>
            <w:pPr>
              <w:jc w:val="right"/>
            </w:pPr>
            <w:r>
              <w:t>67.21</w:t>
            </w:r>
          </w:p>
        </w:tc>
      </w:tr>
      <w:tr>
        <w:tc>
          <w:tcPr>
            <w:tcW w:w="912" w:type="pct"/>
            <w:vAlign w:val="center"/>
          </w:tcPr>
          <w:p>
            <w:pPr>
              <w:kinsoku w:val="0"/>
              <w:overflowPunct w:val="0"/>
              <w:jc w:val="left"/>
              <w:rPr>
                <w:color w:val="000000" w:themeColor="text1"/>
              </w:rPr>
            </w:pPr>
            <w:r>
              <w:rPr>
                <w:rFonts w:hint="eastAsia"/>
                <w:color w:val="000000" w:themeColor="text1"/>
              </w:rPr>
              <w:t>非银行金融机构贷款</w:t>
            </w:r>
          </w:p>
        </w:tc>
        <w:tc>
          <w:tcPr>
            <w:tcW w:w="806" w:type="pct"/>
            <w:vAlign w:val="center"/>
          </w:tcPr>
          <w:p>
            <w:pPr>
              <w:kinsoku w:val="0"/>
              <w:overflowPunct w:val="0"/>
              <w:jc w:val="right"/>
            </w:pPr>
            <w:r>
              <w:t>-</w:t>
            </w:r>
          </w:p>
        </w:tc>
        <w:tc>
          <w:tcPr>
            <w:tcW w:w="797" w:type="pct"/>
            <w:vAlign w:val="center"/>
          </w:tcPr>
          <w:p>
            <w:pPr>
              <w:jc w:val="right"/>
            </w:pPr>
            <w:r>
              <w:t>-</w:t>
            </w:r>
          </w:p>
        </w:tc>
        <w:tc>
          <w:tcPr>
            <w:tcW w:w="797" w:type="pct"/>
            <w:vAlign w:val="center"/>
          </w:tcPr>
          <w:p>
            <w:pPr>
              <w:jc w:val="right"/>
            </w:pPr>
            <w:r>
              <w:t>-</w:t>
            </w:r>
          </w:p>
        </w:tc>
        <w:tc>
          <w:tcPr>
            <w:tcW w:w="797" w:type="pct"/>
            <w:vAlign w:val="center"/>
          </w:tcPr>
          <w:p>
            <w:pPr>
              <w:kinsoku w:val="0"/>
              <w:overflowPunct w:val="0"/>
              <w:jc w:val="right"/>
            </w:pPr>
            <w:r>
              <w:t>-</w:t>
            </w:r>
          </w:p>
        </w:tc>
        <w:tc>
          <w:tcPr>
            <w:tcW w:w="891" w:type="pct"/>
            <w:vAlign w:val="center"/>
          </w:tcPr>
          <w:p>
            <w:pPr>
              <w:kinsoku w:val="0"/>
              <w:overflowPunct w:val="0"/>
              <w:jc w:val="right"/>
            </w:pPr>
            <w:r>
              <w:rPr>
                <w:rFonts w:hint="eastAsia"/>
              </w:rPr>
              <w:t>-</w:t>
            </w:r>
          </w:p>
        </w:tc>
      </w:tr>
      <w:tr>
        <w:tc>
          <w:tcPr>
            <w:tcW w:w="912" w:type="pct"/>
            <w:vAlign w:val="center"/>
          </w:tcPr>
          <w:p>
            <w:pPr>
              <w:kinsoku w:val="0"/>
              <w:overflowPunct w:val="0"/>
              <w:jc w:val="left"/>
              <w:rPr>
                <w:color w:val="000000" w:themeColor="text1"/>
              </w:rPr>
            </w:pPr>
            <w:r>
              <w:rPr>
                <w:rFonts w:hint="eastAsia"/>
                <w:color w:val="000000" w:themeColor="text1"/>
              </w:rPr>
              <w:t>其他有息债务</w:t>
            </w:r>
          </w:p>
        </w:tc>
        <w:tc>
          <w:tcPr>
            <w:tcW w:w="806" w:type="pct"/>
            <w:vAlign w:val="center"/>
          </w:tcPr>
          <w:p>
            <w:pPr>
              <w:kinsoku w:val="0"/>
              <w:overflowPunct w:val="0"/>
              <w:jc w:val="right"/>
            </w:pPr>
            <w:r>
              <w:t>-</w:t>
            </w:r>
          </w:p>
        </w:tc>
        <w:tc>
          <w:tcPr>
            <w:tcW w:w="797" w:type="pct"/>
            <w:vAlign w:val="center"/>
          </w:tcPr>
          <w:p>
            <w:pPr>
              <w:jc w:val="right"/>
            </w:pPr>
            <w:r>
              <w:t>-</w:t>
            </w:r>
          </w:p>
        </w:tc>
        <w:tc>
          <w:tcPr>
            <w:tcW w:w="797" w:type="pct"/>
            <w:vAlign w:val="center"/>
          </w:tcPr>
          <w:p>
            <w:pPr>
              <w:jc w:val="right"/>
            </w:pPr>
            <w:r>
              <w:t>-</w:t>
            </w:r>
          </w:p>
        </w:tc>
        <w:tc>
          <w:tcPr>
            <w:tcW w:w="797" w:type="pct"/>
            <w:vAlign w:val="center"/>
          </w:tcPr>
          <w:p>
            <w:pPr>
              <w:kinsoku w:val="0"/>
              <w:overflowPunct w:val="0"/>
              <w:jc w:val="right"/>
            </w:pPr>
            <w:r>
              <w:t>-</w:t>
            </w:r>
          </w:p>
        </w:tc>
        <w:tc>
          <w:tcPr>
            <w:tcW w:w="891" w:type="pct"/>
            <w:vAlign w:val="center"/>
          </w:tcPr>
          <w:p>
            <w:pPr>
              <w:kinsoku w:val="0"/>
              <w:overflowPunct w:val="0"/>
              <w:jc w:val="right"/>
            </w:pPr>
            <w:r>
              <w:rPr>
                <w:rFonts w:hint="eastAsia"/>
              </w:rPr>
              <w:t>-</w:t>
            </w:r>
          </w:p>
        </w:tc>
      </w:tr>
      <w:tr>
        <w:tc>
          <w:tcPr>
            <w:tcW w:w="912" w:type="pct"/>
            <w:vAlign w:val="center"/>
          </w:tcPr>
          <w:p>
            <w:pPr>
              <w:kinsoku w:val="0"/>
              <w:overflowPunct w:val="0"/>
              <w:jc w:val="center"/>
              <w:rPr>
                <w:color w:val="000000" w:themeColor="text1"/>
              </w:rPr>
            </w:pPr>
            <w:r>
              <w:rPr>
                <w:rFonts w:hint="eastAsia"/>
                <w:color w:val="000000" w:themeColor="text1"/>
              </w:rPr>
              <w:t>合计</w:t>
            </w:r>
          </w:p>
        </w:tc>
        <w:tc>
          <w:tcPr>
            <w:tcW w:w="806" w:type="pct"/>
            <w:vAlign w:val="center"/>
          </w:tcPr>
          <w:p>
            <w:pPr>
              <w:kinsoku w:val="0"/>
              <w:overflowPunct w:val="0"/>
              <w:jc w:val="right"/>
            </w:pPr>
            <w:r>
              <w:t>-</w:t>
            </w:r>
          </w:p>
        </w:tc>
        <w:tc>
          <w:tcPr>
            <w:tcW w:w="797" w:type="pct"/>
            <w:vAlign w:val="center"/>
          </w:tcPr>
          <w:p>
            <w:pPr>
              <w:jc w:val="right"/>
            </w:pPr>
            <w:r>
              <w:t xml:space="preserve">271.13 </w:t>
            </w:r>
          </w:p>
        </w:tc>
        <w:tc>
          <w:tcPr>
            <w:tcW w:w="797" w:type="pct"/>
            <w:vAlign w:val="center"/>
          </w:tcPr>
          <w:p>
            <w:pPr>
              <w:jc w:val="right"/>
            </w:pPr>
            <w:r>
              <w:t xml:space="preserve">571.54 </w:t>
            </w:r>
          </w:p>
        </w:tc>
        <w:tc>
          <w:tcPr>
            <w:tcW w:w="797" w:type="pct"/>
            <w:vAlign w:val="center"/>
          </w:tcPr>
          <w:p>
            <w:pPr>
              <w:jc w:val="right"/>
            </w:pPr>
            <w:r>
              <w:t xml:space="preserve">842.68 </w:t>
            </w:r>
          </w:p>
        </w:tc>
        <w:tc>
          <w:tcPr>
            <w:tcW w:w="891" w:type="pct"/>
            <w:vAlign w:val="center"/>
          </w:tcPr>
          <w:p>
            <w:pPr>
              <w:kinsoku w:val="0"/>
              <w:overflowPunct w:val="0"/>
              <w:jc w:val="right"/>
              <w:rPr>
                <w:color w:val="000000" w:themeColor="text1"/>
              </w:rPr>
            </w:pPr>
            <w:r>
              <w:rPr>
                <w:color w:val="000000" w:themeColor="text1"/>
              </w:rPr>
              <w:t>—</w:t>
            </w:r>
          </w:p>
        </w:tc>
      </w:tr>
    </w:tbl>
    <w:p>
      <w:pPr>
        <w:pStyle w:val="affffffd"/>
      </w:pPr>
    </w:p>
    <w:p>
      <w:pPr>
        <w:ind w:firstLineChars="250" w:firstLine="525"/>
        <w:rPr>
          <w:color w:val="000000" w:themeColor="text1"/>
        </w:rPr>
      </w:pPr>
      <w:r>
        <w:rPr>
          <w:rFonts w:hint="eastAsia"/>
          <w:color w:val="000000" w:themeColor="text1"/>
        </w:rPr>
        <w:t>报告期末公司存续的公司信用类债券中，公司债券余额</w:t>
      </w:r>
      <w:sdt>
        <w:sdtPr>
          <w:rPr>
            <w:rFonts w:hint="eastAsia"/>
            <w:color w:val="000000" w:themeColor="text1"/>
          </w:rPr>
          <w:alias w:val="公司信用类债券中公司债券余额"/>
          <w:tag w:val="_GBC_30aaf097b2c84c6c8c67598fb3ad4cd0"/>
          <w:id w:val="709688853"/>
          <w:placeholder>
            <w:docPart w:val="GBC22222222222222222222222222222"/>
          </w:placeholder>
        </w:sdtPr>
        <w:sdtContent>
          <w:r>
            <w:rPr>
              <w:color w:val="000000" w:themeColor="text1"/>
            </w:rPr>
            <w:t>205.91</w:t>
          </w:r>
        </w:sdtContent>
      </w:sdt>
      <w:sdt>
        <w:sdtPr>
          <w:rPr>
            <w:rFonts w:hint="eastAsia"/>
            <w:color w:val="000000" w:themeColor="text1"/>
          </w:rPr>
          <w:alias w:val="单位：母公司有息债务"/>
          <w:tag w:val="_GBC_baf6bfa512d14e2bb51313919b1a242c"/>
          <w:id w:val="-438757578"/>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，企业债券余额</w:t>
      </w:r>
      <w:sdt>
        <w:sdtPr>
          <w:rPr>
            <w:rFonts w:hint="eastAsia"/>
            <w:color w:val="000000" w:themeColor="text1"/>
          </w:rPr>
          <w:alias w:val="公司信用类债券中企业债券余额"/>
          <w:tag w:val="_GBC_112c3628e0054d57a51f59010f48e5be"/>
          <w:id w:val="-1063101059"/>
          <w:placeholder>
            <w:docPart w:val="GBC22222222222222222222222222222"/>
          </w:placeholder>
        </w:sdtPr>
        <w:sdtContent>
          <w:r>
            <w:rPr>
              <w:color w:val="000000" w:themeColor="text1"/>
            </w:rPr>
            <w:t>0</w:t>
          </w:r>
        </w:sdtContent>
      </w:sdt>
      <w:sdt>
        <w:sdtPr>
          <w:rPr>
            <w:rFonts w:hint="eastAsia"/>
            <w:color w:val="000000" w:themeColor="text1"/>
          </w:rPr>
          <w:alias w:val="单位：母公司有息债务"/>
          <w:tag w:val="_GBC_0b2c229d934f4625ad5d4a262c18cb12"/>
          <w:id w:val="-381637093"/>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，非金融企业债务融资工具余额</w:t>
      </w:r>
      <w:sdt>
        <w:sdtPr>
          <w:rPr>
            <w:rFonts w:hint="eastAsia"/>
            <w:color w:val="000000" w:themeColor="text1"/>
          </w:rPr>
          <w:alias w:val="公司信用类债券中非金融企业债务融资工具余额"/>
          <w:tag w:val="_GBC_753d930f78b64266a7a68cbd2cc7075f"/>
          <w:id w:val="-1315722656"/>
          <w:placeholder>
            <w:docPart w:val="GBC22222222222222222222222222222"/>
          </w:placeholder>
        </w:sdtPr>
        <w:sdtContent>
          <w:r>
            <w:rPr>
              <w:color w:val="000000" w:themeColor="text1"/>
            </w:rPr>
            <w:t>70.43</w:t>
          </w:r>
        </w:sdtContent>
      </w:sdt>
      <w:sdt>
        <w:sdtPr>
          <w:rPr>
            <w:rFonts w:hint="eastAsia"/>
            <w:color w:val="000000" w:themeColor="text1"/>
          </w:rPr>
          <w:alias w:val="单位：母公司有息债务"/>
          <w:tag w:val="_GBC_ce6b06d4d18f4d0eafb8716703b754ad"/>
          <w:id w:val="-1707482584"/>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，且共有</w:t>
      </w:r>
      <w:bookmarkStart w:id="295" w:name="_Hlk193654273"/>
      <w:sdt>
        <w:sdtPr>
          <w:rPr>
            <w:rFonts w:hint="eastAsia"/>
            <w:color w:val="000000" w:themeColor="text1"/>
          </w:rPr>
          <w:alias w:val="面临到期或偿付的公司信用类债券余额"/>
          <w:tag w:val="_GBC_271a3a3f1e084d94bc2192556318077a"/>
          <w:id w:val="1966163606"/>
          <w:placeholder>
            <w:docPart w:val="GBC22222222222222222222222222222"/>
          </w:placeholder>
        </w:sdtPr>
        <w:sdtContent>
          <w:bookmarkEnd w:id="295"/>
          <w:r>
            <w:rPr>
              <w:color w:val="000000" w:themeColor="text1"/>
            </w:rPr>
            <w:t>65.52</w:t>
          </w:r>
        </w:sdtContent>
      </w:sdt>
      <w:sdt>
        <w:sdtPr>
          <w:rPr>
            <w:rFonts w:hint="eastAsia"/>
            <w:color w:val="000000" w:themeColor="text1"/>
          </w:rPr>
          <w:alias w:val="单位：母公司有息债务"/>
          <w:tag w:val="_GBC_6e710aa214744c4da13552f81bcdccc4"/>
          <w:id w:val="784460010"/>
          <w:placeholder>
            <w:docPart w:val="GBC22222222222222222222222222222"/>
          </w:placeholder>
          <w:dataBinding w:prefixMappings="xmlns:bond='bond'" w:xpath="/*/bond:DanWeiMuGongS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公司信用类债券在2025年5至12月内到期或回售偿付。</w:t>
      </w:r>
    </w:p>
    <w:p>
      <w:pPr>
        <w:rPr>
          <w:color w:val="000000" w:themeColor="text1"/>
        </w:rPr>
      </w:pPr>
    </w:p>
    <w:p>
      <w:pPr>
        <w:pStyle w:val="6"/>
        <w:numPr>
          <w:ilvl w:val="0"/>
          <w:numId w:val="32"/>
        </w:numPr>
        <w:tabs>
          <w:tab w:val="num" w:pos="360"/>
        </w:tabs>
      </w:pPr>
      <w:bookmarkStart w:id="296" w:name="_Hlk183685350"/>
      <w:bookmarkEnd w:id="292"/>
      <w:bookmarkEnd w:id="293"/>
      <w:r>
        <w:rPr>
          <w:rFonts w:hint="eastAsia"/>
        </w:rPr>
        <w:lastRenderedPageBreak/>
        <w:t>公司合并口径有息债务结构情况</w:t>
      </w:r>
    </w:p>
    <w:p>
      <w:pPr>
        <w:pStyle w:val="afffffb"/>
        <w:rPr>
          <w:color w:val="000000" w:themeColor="text1"/>
        </w:rPr>
      </w:pPr>
      <w:r>
        <w:rPr>
          <w:rFonts w:hint="eastAsia"/>
          <w:color w:val="000000" w:themeColor="text1"/>
        </w:rPr>
        <w:t>报告期初和报告期末，公司合并</w:t>
      </w:r>
      <w:r>
        <w:rPr>
          <w:rFonts w:ascii="宋体" w:hAnsi="宋体" w:hint="eastAsia"/>
          <w:color w:val="000000" w:themeColor="text1"/>
        </w:rPr>
        <w:t>报表范围内公司有息债务余额分别为</w:t>
      </w:r>
      <w:sdt>
        <w:sdtPr>
          <w:rPr>
            <w:rFonts w:ascii="宋体" w:hAnsi="宋体" w:hint="eastAsia"/>
            <w:color w:val="000000" w:themeColor="text1"/>
          </w:rPr>
          <w:alias w:val="有息债务"/>
          <w:tag w:val="_GBC_5a9ae94936aa45faaf15d5acb3183334"/>
          <w:id w:val="-1069116050"/>
          <w:placeholder>
            <w:docPart w:val="GBC22222222222222222222222222222"/>
          </w:placeholder>
        </w:sdtPr>
        <w:sdtContent>
          <w:r>
            <w:rPr>
              <w:rFonts w:ascii="宋体" w:hAnsi="宋体"/>
              <w:color w:val="000000" w:themeColor="text1"/>
            </w:rPr>
            <w:t>1,061.43</w:t>
          </w:r>
        </w:sdtContent>
      </w:sdt>
      <w:sdt>
        <w:sdtPr>
          <w:rPr>
            <w:rFonts w:ascii="宋体" w:hAnsi="宋体" w:hint="eastAsia"/>
            <w:color w:val="000000" w:themeColor="text1"/>
          </w:rPr>
          <w:alias w:val="单位：有息债务"/>
          <w:tag w:val="_GBC_6e37e755faeb4c7e99551aaaeb119b19"/>
          <w:id w:val="-63106113"/>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和</w:t>
      </w:r>
      <w:bookmarkStart w:id="297" w:name="_Hlk193533511"/>
      <w:sdt>
        <w:sdtPr>
          <w:rPr>
            <w:rFonts w:ascii="宋体" w:hAnsi="宋体" w:hint="eastAsia"/>
            <w:color w:val="000000" w:themeColor="text1"/>
          </w:rPr>
          <w:alias w:val="有息债务"/>
          <w:tag w:val="_GBC_75dcd07611e44c0b9b6e04429e4c1d7b"/>
          <w:id w:val="-674032031"/>
          <w:placeholder>
            <w:docPart w:val="GBC22222222222222222222222222222"/>
          </w:placeholder>
        </w:sdtPr>
        <w:sdtContent>
          <w:r>
            <w:rPr>
              <w:rFonts w:ascii="宋体" w:hAnsi="宋体"/>
              <w:color w:val="000000" w:themeColor="text1"/>
            </w:rPr>
            <w:t>1,184.92</w:t>
          </w:r>
        </w:sdtContent>
      </w:sdt>
      <w:bookmarkEnd w:id="297"/>
      <w:sdt>
        <w:sdtPr>
          <w:rPr>
            <w:rFonts w:ascii="宋体" w:hAnsi="宋体" w:hint="eastAsia"/>
            <w:color w:val="000000" w:themeColor="text1"/>
          </w:rPr>
          <w:alias w:val="单位：有息债务"/>
          <w:tag w:val="_GBC_3e6aba6fad714c01a12ca6f1355aceee"/>
          <w:id w:val="-814178577"/>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rPr>
            <w:t>亿元</w:t>
          </w:r>
        </w:sdtContent>
      </w:sdt>
      <w:r>
        <w:rPr>
          <w:rFonts w:ascii="宋体" w:hAnsi="宋体" w:hint="eastAsia"/>
          <w:color w:val="000000" w:themeColor="text1"/>
        </w:rPr>
        <w:t>，报告期内有息债务余额同比变动</w:t>
      </w:r>
      <w:bookmarkStart w:id="298" w:name="_Hlk193533520"/>
      <w:sdt>
        <w:sdtPr>
          <w:rPr>
            <w:rFonts w:ascii="宋体" w:hAnsi="宋体" w:hint="eastAsia"/>
            <w:color w:val="000000" w:themeColor="text1"/>
          </w:rPr>
          <w:alias w:val="有息债务变动比例"/>
          <w:tag w:val="_GBC_7b378939367e4e0b9461e0618b4b2fac"/>
          <w:id w:val="-1655898081"/>
          <w:placeholder>
            <w:docPart w:val="GBC22222222222222222222222222222"/>
          </w:placeholder>
        </w:sdtPr>
        <w:sdtContent>
          <w:r>
            <w:rPr>
              <w:rFonts w:ascii="宋体" w:hAnsi="宋体"/>
              <w:color w:val="000000" w:themeColor="text1"/>
            </w:rPr>
            <w:t>11.6</w:t>
          </w:r>
        </w:sdtContent>
      </w:sdt>
      <w:bookmarkEnd w:id="298"/>
      <w:r>
        <w:rPr>
          <w:rFonts w:ascii="宋体" w:hAnsi="宋体" w:hint="eastAsia"/>
          <w:color w:val="000000" w:themeColor="text1"/>
        </w:rPr>
        <w:t>%。</w:t>
      </w:r>
    </w:p>
    <w:p>
      <w:pPr>
        <w:kinsoku w:val="0"/>
        <w:overflowPunct w:val="0"/>
        <w:jc w:val="right"/>
        <w:rPr>
          <w:color w:val="000000" w:themeColor="text1"/>
        </w:rPr>
      </w:pPr>
      <w:r>
        <w:rPr>
          <w:rFonts w:hint="eastAsia"/>
          <w:color w:val="000000" w:themeColor="text1"/>
        </w:rPr>
        <w:t>单位：</w:t>
      </w:r>
      <w:sdt>
        <w:sdtPr>
          <w:rPr>
            <w:rFonts w:hint="eastAsia"/>
            <w:color w:val="000000" w:themeColor="text1"/>
          </w:rPr>
          <w:alias w:val="单位：有息债务"/>
          <w:tag w:val="_GBC_509829f031af4c4eb77c6c332bca3702"/>
          <w:id w:val="-278031778"/>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 xml:space="preserve">  币种：</w:t>
      </w:r>
      <w:sdt>
        <w:sdtPr>
          <w:rPr>
            <w:rFonts w:hint="eastAsia"/>
            <w:color w:val="000000" w:themeColor="text1"/>
          </w:rPr>
          <w:alias w:val="币种：有息债务"/>
          <w:tag w:val="_GBC_7ac820277b1e411abf54275b83d23f12"/>
          <w:id w:val="-20826660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fff7"/>
        <w:tblW w:w="5083" w:type="pct"/>
        <w:tblInd w:w="-147" w:type="dxa"/>
        <w:tblLook w:val="04A0" w:firstRow="1" w:lastRow="0" w:firstColumn="1" w:lastColumn="0" w:noHBand="0" w:noVBand="1"/>
      </w:tblPr>
      <w:tblGrid>
        <w:gridCol w:w="1787"/>
        <w:gridCol w:w="1353"/>
        <w:gridCol w:w="1440"/>
        <w:gridCol w:w="1440"/>
        <w:gridCol w:w="1442"/>
        <w:gridCol w:w="1507"/>
      </w:tblGrid>
      <w:tr>
        <w:sdt>
          <w:sdtPr>
            <w:tag w:val="_PLD_db1f23c11ac24c3ba287846c5960a719"/>
            <w:id w:val="-898904885"/>
          </w:sdtPr>
          <w:sdtContent>
            <w:tc>
              <w:tcPr>
                <w:tcW w:w="996" w:type="pct"/>
                <w:vMerge w:val="restart"/>
                <w:vAlign w:val="center"/>
              </w:tcPr>
              <w:p>
                <w:pPr>
                  <w:kinsoku w:val="0"/>
                  <w:overflowPunct w:val="0"/>
                  <w:jc w:val="center"/>
                  <w:rPr>
                    <w:color w:val="000000" w:themeColor="text1"/>
                  </w:rPr>
                </w:pPr>
                <w:r>
                  <w:rPr>
                    <w:rFonts w:hint="eastAsia"/>
                    <w:color w:val="000000" w:themeColor="text1"/>
                  </w:rPr>
                  <w:t>有息债务类别</w:t>
                </w:r>
              </w:p>
            </w:tc>
          </w:sdtContent>
        </w:sdt>
        <w:sdt>
          <w:sdtPr>
            <w:tag w:val="_PLD_b0458a01190f49f7bcc64b25400890ce"/>
            <w:id w:val="-11918730"/>
          </w:sdtPr>
          <w:sdtContent>
            <w:tc>
              <w:tcPr>
                <w:tcW w:w="2360" w:type="pct"/>
                <w:gridSpan w:val="3"/>
                <w:vAlign w:val="center"/>
              </w:tcPr>
              <w:p>
                <w:pPr>
                  <w:kinsoku w:val="0"/>
                  <w:overflowPunct w:val="0"/>
                  <w:jc w:val="center"/>
                  <w:rPr>
                    <w:color w:val="000000" w:themeColor="text1"/>
                  </w:rPr>
                </w:pPr>
                <w:r>
                  <w:rPr>
                    <w:rFonts w:hint="eastAsia"/>
                    <w:color w:val="000000" w:themeColor="text1"/>
                  </w:rPr>
                  <w:t>到期时间</w:t>
                </w:r>
              </w:p>
            </w:tc>
          </w:sdtContent>
        </w:sdt>
        <w:sdt>
          <w:sdtPr>
            <w:tag w:val="_PLD_c2d83ef134c34ca794daccb983926e15"/>
            <w:id w:val="1606773825"/>
          </w:sdtPr>
          <w:sdtContent>
            <w:tc>
              <w:tcPr>
                <w:tcW w:w="804" w:type="pct"/>
                <w:vMerge w:val="restart"/>
                <w:vAlign w:val="center"/>
              </w:tcPr>
              <w:p>
                <w:pPr>
                  <w:kinsoku w:val="0"/>
                  <w:overflowPunct w:val="0"/>
                  <w:jc w:val="center"/>
                  <w:rPr>
                    <w:color w:val="000000" w:themeColor="text1"/>
                  </w:rPr>
                </w:pPr>
                <w:r>
                  <w:rPr>
                    <w:rFonts w:hint="eastAsia"/>
                    <w:color w:val="000000" w:themeColor="text1"/>
                  </w:rPr>
                  <w:t>金额合计</w:t>
                </w:r>
              </w:p>
            </w:tc>
          </w:sdtContent>
        </w:sdt>
        <w:tc>
          <w:tcPr>
            <w:tcW w:w="840" w:type="pct"/>
            <w:vMerge w:val="restart"/>
            <w:vAlign w:val="center"/>
          </w:tcPr>
          <w:sdt>
            <w:sdtPr>
              <w:tag w:val="_PLD_8ac7184ad5024f56a7d7ca906acab3c8"/>
              <w:id w:val="1439017969"/>
            </w:sdtPr>
            <w:sdtContent>
              <w:p>
                <w:pPr>
                  <w:kinsoku w:val="0"/>
                  <w:overflowPunct w:val="0"/>
                  <w:jc w:val="center"/>
                  <w:rPr>
                    <w:color w:val="000000" w:themeColor="text1"/>
                  </w:rPr>
                </w:pPr>
                <w:r>
                  <w:rPr>
                    <w:rFonts w:hint="eastAsia"/>
                    <w:color w:val="000000" w:themeColor="text1"/>
                  </w:rPr>
                  <w:t>金额占有息债务的占比（%）</w:t>
                </w:r>
              </w:p>
            </w:sdtContent>
          </w:sdt>
        </w:tc>
      </w:tr>
      <w:tr>
        <w:tc>
          <w:tcPr>
            <w:tcW w:w="996" w:type="pct"/>
            <w:vMerge/>
            <w:vAlign w:val="center"/>
          </w:tcPr>
          <w:p>
            <w:pPr>
              <w:kinsoku w:val="0"/>
              <w:overflowPunct w:val="0"/>
              <w:jc w:val="center"/>
              <w:rPr>
                <w:color w:val="000000" w:themeColor="text1"/>
              </w:rPr>
            </w:pPr>
          </w:p>
        </w:tc>
        <w:sdt>
          <w:sdtPr>
            <w:tag w:val="_PLD_1a50137a549843f78de2da92483ad009"/>
            <w:id w:val="-1475521394"/>
          </w:sdtPr>
          <w:sdtContent>
            <w:tc>
              <w:tcPr>
                <w:tcW w:w="754" w:type="pct"/>
                <w:vAlign w:val="center"/>
              </w:tcPr>
              <w:p>
                <w:pPr>
                  <w:kinsoku w:val="0"/>
                  <w:overflowPunct w:val="0"/>
                  <w:jc w:val="center"/>
                  <w:rPr>
                    <w:color w:val="000000" w:themeColor="text1"/>
                  </w:rPr>
                </w:pPr>
                <w:r>
                  <w:rPr>
                    <w:rFonts w:hint="eastAsia"/>
                    <w:color w:val="000000" w:themeColor="text1"/>
                  </w:rPr>
                  <w:t>已逾期</w:t>
                </w:r>
              </w:p>
            </w:tc>
          </w:sdtContent>
        </w:sdt>
        <w:tc>
          <w:tcPr>
            <w:tcW w:w="803" w:type="pct"/>
            <w:vAlign w:val="center"/>
          </w:tcPr>
          <w:sdt>
            <w:sdtPr>
              <w:tag w:val="_PLD_2f50b0b5139048039a1156311193e89f"/>
              <w:id w:val="840588612"/>
            </w:sdtPr>
            <w:sdtContent>
              <w:p>
                <w:pPr>
                  <w:kinsoku w:val="0"/>
                  <w:overflowPunct w:val="0"/>
                  <w:jc w:val="center"/>
                  <w:rPr>
                    <w:color w:val="000000" w:themeColor="text1"/>
                  </w:rPr>
                </w:pPr>
                <w:r>
                  <w:rPr>
                    <w:rFonts w:hint="eastAsia"/>
                    <w:color w:val="000000" w:themeColor="text1"/>
                  </w:rPr>
                  <w:t>1年以内（含）</w:t>
                </w:r>
              </w:p>
            </w:sdtContent>
          </w:sdt>
        </w:tc>
        <w:sdt>
          <w:sdtPr>
            <w:tag w:val="_PLD_c4f7e6cef68e4e6287c88446b8f36439"/>
            <w:id w:val="1234897747"/>
          </w:sdtPr>
          <w:sdtContent>
            <w:tc>
              <w:tcPr>
                <w:tcW w:w="803" w:type="pct"/>
                <w:vAlign w:val="center"/>
              </w:tcPr>
              <w:p>
                <w:pPr>
                  <w:kinsoku w:val="0"/>
                  <w:overflowPunct w:val="0"/>
                  <w:jc w:val="center"/>
                  <w:rPr>
                    <w:color w:val="000000" w:themeColor="text1"/>
                  </w:rPr>
                </w:pPr>
                <w:r>
                  <w:rPr>
                    <w:rFonts w:hint="eastAsia"/>
                    <w:color w:val="000000" w:themeColor="text1"/>
                  </w:rPr>
                  <w:t>超过1年（不含）</w:t>
                </w:r>
              </w:p>
            </w:tc>
          </w:sdtContent>
        </w:sdt>
        <w:tc>
          <w:tcPr>
            <w:tcW w:w="804" w:type="pct"/>
            <w:vMerge/>
            <w:vAlign w:val="center"/>
          </w:tcPr>
          <w:p>
            <w:pPr>
              <w:kinsoku w:val="0"/>
              <w:overflowPunct w:val="0"/>
              <w:jc w:val="center"/>
              <w:rPr>
                <w:color w:val="000000" w:themeColor="text1"/>
              </w:rPr>
            </w:pPr>
          </w:p>
        </w:tc>
        <w:tc>
          <w:tcPr>
            <w:tcW w:w="840" w:type="pct"/>
            <w:vMerge/>
            <w:vAlign w:val="center"/>
          </w:tcPr>
          <w:p>
            <w:pPr>
              <w:kinsoku w:val="0"/>
              <w:overflowPunct w:val="0"/>
              <w:jc w:val="center"/>
              <w:rPr>
                <w:color w:val="000000" w:themeColor="text1"/>
              </w:rPr>
            </w:pPr>
          </w:p>
        </w:tc>
      </w:tr>
      <w:tr>
        <w:tc>
          <w:tcPr>
            <w:tcW w:w="996" w:type="pct"/>
            <w:vAlign w:val="center"/>
          </w:tcPr>
          <w:p>
            <w:pPr>
              <w:kinsoku w:val="0"/>
              <w:overflowPunct w:val="0"/>
              <w:jc w:val="left"/>
              <w:rPr>
                <w:color w:val="000000" w:themeColor="text1"/>
              </w:rPr>
            </w:pPr>
            <w:r>
              <w:rPr>
                <w:rFonts w:hint="eastAsia"/>
                <w:color w:val="000000" w:themeColor="text1"/>
              </w:rPr>
              <w:t>公司信用类债券</w:t>
            </w:r>
          </w:p>
        </w:tc>
        <w:tc>
          <w:tcPr>
            <w:tcW w:w="754" w:type="pct"/>
            <w:vAlign w:val="center"/>
          </w:tcPr>
          <w:p>
            <w:pPr>
              <w:jc w:val="right"/>
            </w:pPr>
            <w:r>
              <w:t>—</w:t>
            </w:r>
          </w:p>
        </w:tc>
        <w:tc>
          <w:tcPr>
            <w:tcW w:w="803" w:type="pct"/>
            <w:vAlign w:val="center"/>
          </w:tcPr>
          <w:p>
            <w:pPr>
              <w:jc w:val="right"/>
            </w:pPr>
            <w:r>
              <w:t xml:space="preserve">116.61 </w:t>
            </w:r>
          </w:p>
        </w:tc>
        <w:tc>
          <w:tcPr>
            <w:tcW w:w="803" w:type="pct"/>
            <w:vAlign w:val="center"/>
          </w:tcPr>
          <w:p>
            <w:pPr>
              <w:jc w:val="right"/>
            </w:pPr>
            <w:r>
              <w:t xml:space="preserve">159.74 </w:t>
            </w:r>
          </w:p>
        </w:tc>
        <w:tc>
          <w:tcPr>
            <w:tcW w:w="804" w:type="pct"/>
            <w:vAlign w:val="center"/>
          </w:tcPr>
          <w:p>
            <w:pPr>
              <w:jc w:val="right"/>
            </w:pPr>
            <w:r>
              <w:t xml:space="preserve">276.34 </w:t>
            </w:r>
          </w:p>
        </w:tc>
        <w:tc>
          <w:tcPr>
            <w:tcW w:w="840" w:type="pct"/>
            <w:vAlign w:val="center"/>
          </w:tcPr>
          <w:p>
            <w:pPr>
              <w:jc w:val="right"/>
            </w:pPr>
            <w:r>
              <w:t xml:space="preserve">23.32 </w:t>
            </w:r>
          </w:p>
        </w:tc>
      </w:tr>
      <w:tr>
        <w:tc>
          <w:tcPr>
            <w:tcW w:w="996" w:type="pct"/>
            <w:vAlign w:val="center"/>
          </w:tcPr>
          <w:p>
            <w:pPr>
              <w:kinsoku w:val="0"/>
              <w:overflowPunct w:val="0"/>
              <w:jc w:val="left"/>
              <w:rPr>
                <w:color w:val="000000" w:themeColor="text1"/>
              </w:rPr>
            </w:pPr>
            <w:r>
              <w:rPr>
                <w:rFonts w:hint="eastAsia"/>
                <w:color w:val="000000" w:themeColor="text1"/>
              </w:rPr>
              <w:t>银行贷款</w:t>
            </w:r>
          </w:p>
        </w:tc>
        <w:tc>
          <w:tcPr>
            <w:tcW w:w="754" w:type="pct"/>
            <w:vAlign w:val="center"/>
          </w:tcPr>
          <w:p>
            <w:pPr>
              <w:jc w:val="right"/>
            </w:pPr>
            <w:r>
              <w:t>—</w:t>
            </w:r>
          </w:p>
        </w:tc>
        <w:tc>
          <w:tcPr>
            <w:tcW w:w="803" w:type="pct"/>
            <w:vAlign w:val="center"/>
          </w:tcPr>
          <w:p>
            <w:pPr>
              <w:jc w:val="right"/>
            </w:pPr>
            <w:r>
              <w:t xml:space="preserve">265.98 </w:t>
            </w:r>
          </w:p>
        </w:tc>
        <w:tc>
          <w:tcPr>
            <w:tcW w:w="803" w:type="pct"/>
            <w:vAlign w:val="center"/>
          </w:tcPr>
          <w:p>
            <w:pPr>
              <w:jc w:val="right"/>
            </w:pPr>
            <w:r>
              <w:t xml:space="preserve">557.00 </w:t>
            </w:r>
          </w:p>
        </w:tc>
        <w:tc>
          <w:tcPr>
            <w:tcW w:w="804" w:type="pct"/>
            <w:vAlign w:val="center"/>
          </w:tcPr>
          <w:p>
            <w:pPr>
              <w:jc w:val="right"/>
            </w:pPr>
            <w:r>
              <w:t xml:space="preserve">822.98 </w:t>
            </w:r>
          </w:p>
        </w:tc>
        <w:tc>
          <w:tcPr>
            <w:tcW w:w="840" w:type="pct"/>
            <w:vAlign w:val="center"/>
          </w:tcPr>
          <w:p>
            <w:pPr>
              <w:jc w:val="right"/>
            </w:pPr>
            <w:r>
              <w:t xml:space="preserve">69.45 </w:t>
            </w:r>
          </w:p>
        </w:tc>
      </w:tr>
      <w:tr>
        <w:tc>
          <w:tcPr>
            <w:tcW w:w="996" w:type="pct"/>
            <w:vAlign w:val="center"/>
          </w:tcPr>
          <w:p>
            <w:pPr>
              <w:kinsoku w:val="0"/>
              <w:overflowPunct w:val="0"/>
              <w:jc w:val="left"/>
              <w:rPr>
                <w:color w:val="000000" w:themeColor="text1"/>
              </w:rPr>
            </w:pPr>
            <w:r>
              <w:rPr>
                <w:rFonts w:hint="eastAsia"/>
                <w:color w:val="000000" w:themeColor="text1"/>
              </w:rPr>
              <w:t>非银行金融机构贷款</w:t>
            </w:r>
          </w:p>
        </w:tc>
        <w:tc>
          <w:tcPr>
            <w:tcW w:w="754" w:type="pct"/>
            <w:vAlign w:val="center"/>
          </w:tcPr>
          <w:p>
            <w:pPr>
              <w:jc w:val="right"/>
            </w:pPr>
            <w:r>
              <w:t>—</w:t>
            </w:r>
          </w:p>
        </w:tc>
        <w:tc>
          <w:tcPr>
            <w:tcW w:w="803" w:type="pct"/>
            <w:vAlign w:val="center"/>
          </w:tcPr>
          <w:p>
            <w:pPr>
              <w:jc w:val="right"/>
            </w:pPr>
            <w:r>
              <w:t xml:space="preserve">2.27 </w:t>
            </w:r>
          </w:p>
        </w:tc>
        <w:tc>
          <w:tcPr>
            <w:tcW w:w="803" w:type="pct"/>
            <w:vAlign w:val="center"/>
          </w:tcPr>
          <w:p>
            <w:pPr>
              <w:jc w:val="right"/>
            </w:pPr>
            <w:r>
              <w:t xml:space="preserve">16.79 </w:t>
            </w:r>
          </w:p>
        </w:tc>
        <w:tc>
          <w:tcPr>
            <w:tcW w:w="804" w:type="pct"/>
            <w:vAlign w:val="center"/>
          </w:tcPr>
          <w:p>
            <w:pPr>
              <w:jc w:val="right"/>
            </w:pPr>
            <w:r>
              <w:t xml:space="preserve">19.06 </w:t>
            </w:r>
          </w:p>
        </w:tc>
        <w:tc>
          <w:tcPr>
            <w:tcW w:w="840" w:type="pct"/>
            <w:vAlign w:val="center"/>
          </w:tcPr>
          <w:p>
            <w:pPr>
              <w:jc w:val="right"/>
            </w:pPr>
            <w:r>
              <w:t xml:space="preserve">1.61 </w:t>
            </w:r>
          </w:p>
        </w:tc>
      </w:tr>
      <w:tr>
        <w:trPr>
          <w:trHeight w:val="292"/>
        </w:trPr>
        <w:tc>
          <w:tcPr>
            <w:tcW w:w="996" w:type="pct"/>
            <w:vAlign w:val="center"/>
          </w:tcPr>
          <w:p>
            <w:pPr>
              <w:kinsoku w:val="0"/>
              <w:overflowPunct w:val="0"/>
              <w:jc w:val="left"/>
              <w:rPr>
                <w:color w:val="000000" w:themeColor="text1"/>
              </w:rPr>
            </w:pPr>
            <w:r>
              <w:rPr>
                <w:rFonts w:hint="eastAsia"/>
                <w:color w:val="000000" w:themeColor="text1"/>
              </w:rPr>
              <w:t>其他有息债务</w:t>
            </w:r>
          </w:p>
        </w:tc>
        <w:tc>
          <w:tcPr>
            <w:tcW w:w="754" w:type="pct"/>
            <w:vAlign w:val="center"/>
          </w:tcPr>
          <w:p>
            <w:pPr>
              <w:jc w:val="right"/>
            </w:pPr>
            <w:r>
              <w:t>—</w:t>
            </w:r>
          </w:p>
        </w:tc>
        <w:tc>
          <w:tcPr>
            <w:tcW w:w="803" w:type="pct"/>
            <w:vAlign w:val="center"/>
          </w:tcPr>
          <w:p>
            <w:pPr>
              <w:jc w:val="right"/>
            </w:pPr>
            <w:r>
              <w:t>-</w:t>
            </w:r>
          </w:p>
        </w:tc>
        <w:tc>
          <w:tcPr>
            <w:tcW w:w="803" w:type="pct"/>
            <w:vAlign w:val="center"/>
          </w:tcPr>
          <w:p>
            <w:pPr>
              <w:jc w:val="right"/>
            </w:pPr>
            <w:r>
              <w:t xml:space="preserve">66.54 </w:t>
            </w:r>
          </w:p>
        </w:tc>
        <w:tc>
          <w:tcPr>
            <w:tcW w:w="804" w:type="pct"/>
            <w:vAlign w:val="center"/>
          </w:tcPr>
          <w:p>
            <w:pPr>
              <w:jc w:val="right"/>
            </w:pPr>
            <w:r>
              <w:t xml:space="preserve">66.54 </w:t>
            </w:r>
          </w:p>
        </w:tc>
        <w:tc>
          <w:tcPr>
            <w:tcW w:w="840" w:type="pct"/>
            <w:vAlign w:val="center"/>
          </w:tcPr>
          <w:p>
            <w:pPr>
              <w:jc w:val="right"/>
            </w:pPr>
            <w:r>
              <w:t xml:space="preserve">5.62 </w:t>
            </w:r>
          </w:p>
        </w:tc>
      </w:tr>
      <w:tr>
        <w:tc>
          <w:tcPr>
            <w:tcW w:w="996" w:type="pct"/>
            <w:vAlign w:val="center"/>
          </w:tcPr>
          <w:p>
            <w:pPr>
              <w:kinsoku w:val="0"/>
              <w:overflowPunct w:val="0"/>
              <w:jc w:val="center"/>
              <w:rPr>
                <w:color w:val="000000" w:themeColor="text1"/>
              </w:rPr>
            </w:pPr>
            <w:r>
              <w:rPr>
                <w:rFonts w:hint="eastAsia"/>
                <w:color w:val="000000" w:themeColor="text1"/>
              </w:rPr>
              <w:t>合计</w:t>
            </w:r>
          </w:p>
        </w:tc>
        <w:tc>
          <w:tcPr>
            <w:tcW w:w="754" w:type="pct"/>
            <w:vAlign w:val="center"/>
          </w:tcPr>
          <w:p>
            <w:pPr>
              <w:jc w:val="right"/>
            </w:pPr>
            <w:r>
              <w:t>—</w:t>
            </w:r>
          </w:p>
        </w:tc>
        <w:tc>
          <w:tcPr>
            <w:tcW w:w="803" w:type="pct"/>
            <w:vAlign w:val="center"/>
          </w:tcPr>
          <w:p>
            <w:pPr>
              <w:jc w:val="right"/>
            </w:pPr>
            <w:r>
              <w:t xml:space="preserve">384.85 </w:t>
            </w:r>
          </w:p>
        </w:tc>
        <w:tc>
          <w:tcPr>
            <w:tcW w:w="803" w:type="pct"/>
            <w:vAlign w:val="center"/>
          </w:tcPr>
          <w:p>
            <w:pPr>
              <w:jc w:val="right"/>
            </w:pPr>
            <w:r>
              <w:t xml:space="preserve">800.07 </w:t>
            </w:r>
          </w:p>
        </w:tc>
        <w:tc>
          <w:tcPr>
            <w:tcW w:w="804" w:type="pct"/>
            <w:vAlign w:val="center"/>
          </w:tcPr>
          <w:p>
            <w:pPr>
              <w:jc w:val="right"/>
            </w:pPr>
            <w:r>
              <w:t xml:space="preserve">1,184.92 </w:t>
            </w:r>
          </w:p>
        </w:tc>
        <w:tc>
          <w:tcPr>
            <w:tcW w:w="840" w:type="pct"/>
            <w:vAlign w:val="center"/>
          </w:tcPr>
          <w:p>
            <w:pPr>
              <w:jc w:val="right"/>
            </w:pPr>
            <w:r>
              <w:rPr>
                <w:rFonts w:hint="eastAsia"/>
              </w:rPr>
              <w:t>—</w:t>
            </w:r>
          </w:p>
        </w:tc>
      </w:tr>
    </w:tbl>
    <w:p>
      <w:pPr>
        <w:pStyle w:val="affffffd"/>
      </w:pPr>
    </w:p>
    <w:p>
      <w:pPr>
        <w:ind w:firstLineChars="250" w:firstLine="525"/>
        <w:rPr>
          <w:color w:val="000000" w:themeColor="text1"/>
        </w:rPr>
      </w:pPr>
      <w:r>
        <w:rPr>
          <w:rFonts w:hint="eastAsia"/>
          <w:color w:val="000000" w:themeColor="text1"/>
        </w:rPr>
        <w:t>报告期末，公司合并口径存续的公司信用类债券中，公司债券余额</w:t>
      </w:r>
      <w:sdt>
        <w:sdtPr>
          <w:rPr>
            <w:rFonts w:hint="eastAsia"/>
            <w:color w:val="000000" w:themeColor="text1"/>
          </w:rPr>
          <w:alias w:val="公司信用类债券中公司债券余额"/>
          <w:tag w:val="_GBC_eb11fab5555640daafc9128455762cf0"/>
          <w:id w:val="-852727927"/>
          <w:placeholder>
            <w:docPart w:val="GBC22222222222222222222222222222"/>
          </w:placeholder>
        </w:sdtPr>
        <w:sdtContent>
          <w:r>
            <w:rPr>
              <w:color w:val="000000" w:themeColor="text1"/>
            </w:rPr>
            <w:t>205.91</w:t>
          </w:r>
        </w:sdtContent>
      </w:sdt>
      <w:sdt>
        <w:sdtPr>
          <w:rPr>
            <w:rFonts w:hint="eastAsia"/>
            <w:color w:val="000000" w:themeColor="text1"/>
          </w:rPr>
          <w:alias w:val="单位：有息债务"/>
          <w:tag w:val="_GBC_a3deb61d2a84444e973cdf6fed4aa266"/>
          <w:id w:val="1534927186"/>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，企业债券余额</w:t>
      </w:r>
      <w:sdt>
        <w:sdtPr>
          <w:rPr>
            <w:rFonts w:hint="eastAsia"/>
            <w:color w:val="000000" w:themeColor="text1"/>
          </w:rPr>
          <w:alias w:val="公司信用类债券中企业债券余额"/>
          <w:tag w:val="_GBC_58573a4a0d474e54b03ea8b97631ec16"/>
          <w:id w:val="-2005113406"/>
          <w:placeholder>
            <w:docPart w:val="GBC22222222222222222222222222222"/>
          </w:placeholder>
        </w:sdtPr>
        <w:sdtContent>
          <w:r>
            <w:rPr>
              <w:color w:val="000000" w:themeColor="text1"/>
            </w:rPr>
            <w:t>0</w:t>
          </w:r>
        </w:sdtContent>
      </w:sdt>
      <w:sdt>
        <w:sdtPr>
          <w:rPr>
            <w:rFonts w:hint="eastAsia"/>
            <w:color w:val="000000" w:themeColor="text1"/>
          </w:rPr>
          <w:alias w:val="单位：有息债务"/>
          <w:tag w:val="_GBC_669d6c44262a4bd1b65c387737a81590"/>
          <w:id w:val="339288778"/>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，非金融企业债务融资工具余额</w:t>
      </w:r>
      <w:sdt>
        <w:sdtPr>
          <w:rPr>
            <w:rFonts w:hint="eastAsia"/>
            <w:color w:val="000000" w:themeColor="text1"/>
          </w:rPr>
          <w:alias w:val="公司信用类债券中非金融企业债务融资工具余额"/>
          <w:tag w:val="_GBC_eafcf1d33a824738aff2c38021be5b16"/>
          <w:id w:val="-158013651"/>
          <w:placeholder>
            <w:docPart w:val="GBC22222222222222222222222222222"/>
          </w:placeholder>
        </w:sdtPr>
        <w:sdtContent>
          <w:r>
            <w:rPr>
              <w:color w:val="000000" w:themeColor="text1"/>
            </w:rPr>
            <w:t>70.43</w:t>
          </w:r>
        </w:sdtContent>
      </w:sdt>
      <w:sdt>
        <w:sdtPr>
          <w:rPr>
            <w:rFonts w:hint="eastAsia"/>
            <w:color w:val="000000" w:themeColor="text1"/>
          </w:rPr>
          <w:alias w:val="单位：有息债务"/>
          <w:tag w:val="_GBC_29cf0ee4f7964c0996853553ecae48da"/>
          <w:id w:val="364412710"/>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，且共有</w:t>
      </w:r>
      <w:sdt>
        <w:sdtPr>
          <w:rPr>
            <w:rFonts w:hint="eastAsia"/>
            <w:color w:val="000000" w:themeColor="text1"/>
          </w:rPr>
          <w:alias w:val="面临到期或偿付的公司信用类债券余额"/>
          <w:tag w:val="_GBC_6f119a9a173a412ca63e6ba144f95156"/>
          <w:id w:val="839043617"/>
          <w:placeholder>
            <w:docPart w:val="GBC22222222222222222222222222222"/>
          </w:placeholder>
        </w:sdtPr>
        <w:sdtContent>
          <w:r>
            <w:rPr>
              <w:color w:val="000000" w:themeColor="text1"/>
            </w:rPr>
            <w:t>65.52</w:t>
          </w:r>
        </w:sdtContent>
      </w:sdt>
      <w:sdt>
        <w:sdtPr>
          <w:rPr>
            <w:rFonts w:hint="eastAsia"/>
            <w:color w:val="000000" w:themeColor="text1"/>
          </w:rPr>
          <w:alias w:val="单位：有息债务"/>
          <w:tag w:val="_GBC_b6d968633edb4582850fed5e344a1d6d"/>
          <w:id w:val="-1370523468"/>
          <w:placeholder>
            <w:docPart w:val="GBC22222222222222222222222222222"/>
          </w:placeholder>
          <w:dataBinding w:prefixMappings="xmlns:bond='bond'" w:xpath="/*/bond:DanWeiYouXiZhaiWu[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rFonts w:hint="eastAsia"/>
          <w:color w:val="000000" w:themeColor="text1"/>
        </w:rPr>
        <w:t>公司信用类债券在2025年5至12月内到期或回售偿付。</w:t>
      </w:r>
    </w:p>
    <w:p>
      <w:pPr>
        <w:rPr>
          <w:color w:val="000000" w:themeColor="text1"/>
        </w:rPr>
      </w:pPr>
    </w:p>
    <w:bookmarkEnd w:id="296"/>
    <w:p>
      <w:pPr>
        <w:pStyle w:val="6"/>
        <w:numPr>
          <w:ilvl w:val="0"/>
          <w:numId w:val="32"/>
        </w:numPr>
        <w:tabs>
          <w:tab w:val="num" w:pos="360"/>
        </w:tabs>
      </w:pPr>
      <w:r>
        <w:rPr>
          <w:rFonts w:hint="eastAsia"/>
        </w:rPr>
        <w:t>境外债券情况</w:t>
      </w:r>
    </w:p>
    <w:p>
      <w:pPr>
        <w:ind w:firstLineChars="200" w:firstLine="420"/>
        <w:rPr>
          <w:color w:val="000000" w:themeColor="text1"/>
        </w:rPr>
      </w:pPr>
      <w:r>
        <w:rPr>
          <w:rFonts w:hint="eastAsia"/>
          <w:color w:val="000000" w:themeColor="text1"/>
        </w:rPr>
        <w:t>截止报告期末，公司合并报表范围内发行的境外债券余额</w:t>
      </w:r>
      <w:sdt>
        <w:sdtPr>
          <w:rPr>
            <w:rFonts w:hint="eastAsia"/>
            <w:color w:val="000000" w:themeColor="text1"/>
          </w:rPr>
          <w:alias w:val="境外债券"/>
          <w:tag w:val="_GBC_d14dd27fb0c244bca8c59473d010e485"/>
          <w:id w:val="-225997761"/>
          <w:placeholder>
            <w:docPart w:val="GBC22222222222222222222222222222"/>
          </w:placeholder>
          <w:dataBinding w:prefixMappings="xmlns:bond='bond'" w:xpath="/*/bond:JingWaiZhaiQuan[not(@periodRef)]" w:storeItemID="{B77862DE-5290-40FA-AE23-DBC0CCDFC061}"/>
          <w:text/>
        </w:sdtPr>
        <w:sdtContent>
          <w:r>
            <w:rPr>
              <w:color w:val="000000" w:themeColor="text1"/>
            </w:rPr>
            <w:t>0</w:t>
          </w:r>
        </w:sdtContent>
      </w:sdt>
      <w:sdt>
        <w:sdtPr>
          <w:rPr>
            <w:rFonts w:hint="eastAsia"/>
            <w:color w:val="000000" w:themeColor="text1"/>
          </w:rPr>
          <w:alias w:val="单位：发行人境外市场发行债券"/>
          <w:tag w:val="_GBC_4e7f87d768a844dab3dbc3a796833a41"/>
          <w:id w:val="-1469125842"/>
          <w:placeholder>
            <w:docPart w:val="GBC22222222222222222222222222222"/>
          </w:placeholder>
          <w:dataBinding w:prefixMappings="xmlns:bond='bond'" w:xpath="/*/bond:DanWeiFaXingRenJingWaiShiChangFaXingZhaiQuan[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sdt>
        <w:sdtPr>
          <w:rPr>
            <w:rFonts w:hint="eastAsia"/>
            <w:color w:val="000000" w:themeColor="text1"/>
          </w:rPr>
          <w:alias w:val="币种：发行人境外市场发行债券"/>
          <w:tag w:val="_GBC_6986a2da314c490a9c463a8092ead6c8"/>
          <w:id w:val="-1060251288"/>
          <w:placeholder>
            <w:docPart w:val="GBC22222222222222222222222222222"/>
          </w:placeholder>
          <w:dataBinding w:prefixMappings="xmlns:bond='bond'" w:xpath="/*/bond:BiZhongFaXingRenJingWaiShiChangFaXingZhaiQuan[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r>
        <w:rPr>
          <w:rFonts w:hint="eastAsia"/>
          <w:color w:val="000000" w:themeColor="text1"/>
        </w:rPr>
        <w:t>，且在2025年5至12月内到期的境外债券余额为</w:t>
      </w:r>
      <w:sdt>
        <w:sdtPr>
          <w:rPr>
            <w:rFonts w:hint="eastAsia"/>
            <w:color w:val="000000" w:themeColor="text1"/>
          </w:rPr>
          <w:alias w:val="到期的境外债券"/>
          <w:tag w:val="_GBC_7cacef67ee454d78842de4b53a616cbe"/>
          <w:id w:val="-446239310"/>
          <w:placeholder>
            <w:docPart w:val="GBC22222222222222222222222222222"/>
          </w:placeholder>
        </w:sdtPr>
        <w:sdtContent>
          <w:r>
            <w:rPr>
              <w:color w:val="000000" w:themeColor="text1"/>
            </w:rPr>
            <w:t>0</w:t>
          </w:r>
        </w:sdtContent>
      </w:sdt>
      <w:sdt>
        <w:sdtPr>
          <w:rPr>
            <w:rFonts w:hint="eastAsia"/>
            <w:color w:val="000000" w:themeColor="text1"/>
          </w:rPr>
          <w:alias w:val="单位：发行人境外市场发行债券"/>
          <w:tag w:val="_GBC_69328ae18ba341f597c28736cb8aa5ea"/>
          <w:id w:val="1055357850"/>
          <w:placeholder>
            <w:docPart w:val="GBC22222222222222222222222222222"/>
          </w:placeholder>
          <w:dataBinding w:prefixMappings="xmlns:bond='bond'" w:xpath="/*/bond:DanWeiFaXingRenJingWaiShiChangFaXingZhaiQuan[not(@periodRef)]" w:storeItemID="{89EBAB94-44A0-46A2-B712-30D997D04A6D}"/>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sdt>
        <w:sdtPr>
          <w:rPr>
            <w:rFonts w:hint="eastAsia"/>
            <w:color w:val="000000" w:themeColor="text1"/>
          </w:rPr>
          <w:alias w:val="币种：发行人境外市场发行债券"/>
          <w:tag w:val="_GBC_ae92a7220b9849b8ba67ac5d1619b165"/>
          <w:id w:val="548730916"/>
          <w:placeholder>
            <w:docPart w:val="GBC22222222222222222222222222222"/>
          </w:placeholder>
          <w:dataBinding w:prefixMappings="xmlns:bond='bond'" w:xpath="/*/bond:BiZhongFaXingRenJingWaiShiChangFaXingZhaiQuan[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r>
        <w:rPr>
          <w:rFonts w:hint="eastAsia"/>
          <w:color w:val="000000" w:themeColor="text1"/>
        </w:rPr>
        <w:t>。</w:t>
      </w:r>
    </w:p>
    <w:p>
      <w:pPr>
        <w:rPr>
          <w:color w:val="000000" w:themeColor="text1"/>
        </w:rPr>
      </w:pPr>
    </w:p>
    <w:p>
      <w:pPr>
        <w:pStyle w:val="5"/>
        <w:numPr>
          <w:ilvl w:val="0"/>
          <w:numId w:val="28"/>
        </w:numPr>
        <w:ind w:leftChars="0"/>
        <w:rPr>
          <w:color w:val="000000" w:themeColor="text1"/>
        </w:rPr>
      </w:pPr>
      <w:r>
        <w:rPr>
          <w:rFonts w:hint="eastAsia"/>
          <w:color w:val="000000" w:themeColor="text1"/>
        </w:rPr>
        <w:t>报告期末公司及其子公司存在逾期金额超过</w:t>
      </w:r>
      <w:r>
        <w:rPr>
          <w:rFonts w:hint="eastAsia"/>
          <w:color w:val="000000" w:themeColor="text1"/>
        </w:rPr>
        <w:t>1000</w:t>
      </w:r>
      <w:r>
        <w:rPr>
          <w:rFonts w:hint="eastAsia"/>
          <w:color w:val="000000" w:themeColor="text1"/>
        </w:rPr>
        <w:t>万元的有息债务或者公司信用类债券逾期情况</w:t>
      </w:r>
    </w:p>
    <w:sdt>
      <w:sdtPr>
        <w:rPr>
          <w:color w:val="000000" w:themeColor="text1"/>
        </w:rPr>
        <w:alias w:val="是否适用：逾期金额较大的有息债务或者公司信用类债券逾期[双击切换]"/>
        <w:tag w:val="_GBC_7696b3783d984d6292dce6a1d9f48c8d"/>
        <w:id w:val="-424958591"/>
        <w:placeholder>
          <w:docPart w:val="GBC22222222222222222222222222222"/>
        </w:placeholder>
      </w:sdtPr>
      <w:sdtContent>
        <w:p>
          <w:pPr>
            <w:kinsoku w:val="0"/>
            <w:overflowPunct w:val="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kinsoku w:val="0"/>
        <w:overflowPunct w:val="0"/>
        <w:rPr>
          <w:color w:val="000000" w:themeColor="text1"/>
        </w:rPr>
      </w:pPr>
    </w:p>
    <w:p>
      <w:pPr>
        <w:pStyle w:val="5"/>
        <w:numPr>
          <w:ilvl w:val="0"/>
          <w:numId w:val="28"/>
        </w:numPr>
        <w:ind w:leftChars="0"/>
        <w:rPr>
          <w:color w:val="000000" w:themeColor="text1"/>
        </w:rPr>
      </w:pPr>
      <w:r>
        <w:rPr>
          <w:rFonts w:hint="eastAsia"/>
          <w:color w:val="000000" w:themeColor="text1"/>
        </w:rPr>
        <w:t>主要负债情况及其变动原因</w:t>
      </w:r>
    </w:p>
    <w:p>
      <w:pPr>
        <w:kinsoku w:val="0"/>
        <w:overflowPunct w:val="0"/>
        <w:jc w:val="right"/>
        <w:rPr>
          <w:color w:val="000000" w:themeColor="text1"/>
        </w:rPr>
      </w:pPr>
      <w:r>
        <w:rPr>
          <w:rFonts w:hint="eastAsia"/>
          <w:color w:val="000000" w:themeColor="text1"/>
        </w:rPr>
        <w:t>单位：</w:t>
      </w:r>
      <w:sdt>
        <w:sdtPr>
          <w:rPr>
            <w:rFonts w:hint="eastAsia"/>
            <w:color w:val="000000" w:themeColor="text1"/>
          </w:rPr>
          <w:alias w:val="单位：主要资产和负债变动情况"/>
          <w:tag w:val="_GBC_d7532d6b424c494387d36dd6fc123846"/>
          <w:id w:val="-1768304770"/>
          <w:placeholder>
            <w:docPart w:val="GBC22222222222222222222222222222"/>
          </w:placeholder>
          <w:dataBinding w:prefixMappings="xmlns:bond='bond'" w:xpath="/*/bond:DanWeiZhuYaoZiChanHeFuZhaiBianDongQingKuang[not(@periodRef)]" w:storeItemID="{B77862DE-5290-40FA-AE23-DBC0CCDFC061}"/>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themeColor="text1"/>
            </w:rPr>
            <w:t>亿元</w:t>
          </w:r>
        </w:sdtContent>
      </w:sdt>
      <w:r>
        <w:rPr>
          <w:color w:val="000000" w:themeColor="text1"/>
        </w:rPr>
        <w:t xml:space="preserve">  币种：</w:t>
      </w:r>
      <w:sdt>
        <w:sdtPr>
          <w:rPr>
            <w:color w:val="000000" w:themeColor="text1"/>
          </w:rPr>
          <w:alias w:val="币种：主要资产和负债变动情况"/>
          <w:tag w:val="_GBC_4f7636d2e9ee4f8880c91154bebb5fc4"/>
          <w:id w:val="2111236075"/>
          <w:placeholder>
            <w:docPart w:val="GBC22222222222222222222222222222"/>
          </w:placeholder>
          <w:dataBinding w:prefixMappings="xmlns:bond='bond'" w:xpath="/*/bond:BiZhongZhuYaoZiChanHeFuZhaiBianDongQingKuang[not(@periodRef)]" w:storeItemID="{B77862DE-5290-40FA-AE23-DBC0CCDFC061}"/>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color w:val="000000" w:themeColor="text1"/>
            </w:rPr>
            <w:t>人民币</w:t>
          </w:r>
        </w:sdtContent>
      </w:sdt>
    </w:p>
    <w:tbl>
      <w:tblPr>
        <w:tblStyle w:val="affffffffffff7"/>
        <w:tblW w:w="5000" w:type="pct"/>
        <w:tblLook w:val="04A0" w:firstRow="1" w:lastRow="0" w:firstColumn="1" w:lastColumn="0" w:noHBand="0" w:noVBand="1"/>
      </w:tblPr>
      <w:tblGrid>
        <w:gridCol w:w="1885"/>
        <w:gridCol w:w="1477"/>
        <w:gridCol w:w="1623"/>
        <w:gridCol w:w="1763"/>
        <w:gridCol w:w="2075"/>
      </w:tblGrid>
      <w:tr>
        <w:trPr>
          <w:trHeight w:val="485"/>
          <w:tblHeader/>
        </w:trPr>
        <w:sdt>
          <w:sdtPr>
            <w:tag w:val="_PLD_45bb852c629845628605e8cc30e89f26"/>
            <w:id w:val="2071911830"/>
          </w:sdtPr>
          <w:sdtContent>
            <w:tc>
              <w:tcPr>
                <w:tcW w:w="1068" w:type="pct"/>
                <w:tcBorders>
                  <w:top w:val="single" w:sz="4" w:space="0" w:color="auto"/>
                  <w:left w:val="single" w:sz="4" w:space="0" w:color="auto"/>
                  <w:bottom w:val="single" w:sz="4" w:space="0" w:color="auto"/>
                  <w:right w:val="single" w:sz="4" w:space="0" w:color="auto"/>
                </w:tcBorders>
                <w:shd w:val="clear" w:color="auto" w:fill="auto"/>
                <w:vAlign w:val="center"/>
                <w:hideMark/>
              </w:tcPr>
              <w:p>
                <w:pPr>
                  <w:kinsoku w:val="0"/>
                  <w:overflowPunct w:val="0"/>
                  <w:jc w:val="center"/>
                  <w:rPr>
                    <w:color w:val="000000" w:themeColor="text1"/>
                  </w:rPr>
                </w:pPr>
                <w:r>
                  <w:rPr>
                    <w:rFonts w:hint="eastAsia"/>
                    <w:color w:val="000000" w:themeColor="text1"/>
                  </w:rPr>
                  <w:t xml:space="preserve">负债项目 </w:t>
                </w:r>
              </w:p>
            </w:tc>
          </w:sdtContent>
        </w:sdt>
        <w:sdt>
          <w:sdtPr>
            <w:tag w:val="_PLD_609610e91f034f1d8e50b9437f045f71"/>
            <w:id w:val="958534645"/>
          </w:sdtPr>
          <w:sdtContent>
            <w:tc>
              <w:tcPr>
                <w:tcW w:w="837" w:type="pct"/>
                <w:tcBorders>
                  <w:top w:val="single" w:sz="4" w:space="0" w:color="auto"/>
                  <w:left w:val="nil"/>
                  <w:bottom w:val="single" w:sz="4" w:space="0" w:color="auto"/>
                  <w:right w:val="single" w:sz="4" w:space="0" w:color="auto"/>
                </w:tcBorders>
                <w:shd w:val="clear" w:color="auto" w:fill="auto"/>
                <w:vAlign w:val="center"/>
                <w:hideMark/>
              </w:tcPr>
              <w:p>
                <w:pPr>
                  <w:kinsoku w:val="0"/>
                  <w:overflowPunct w:val="0"/>
                  <w:jc w:val="center"/>
                  <w:rPr>
                    <w:color w:val="000000" w:themeColor="text1"/>
                  </w:rPr>
                </w:pPr>
                <w:r>
                  <w:rPr>
                    <w:rFonts w:hint="eastAsia"/>
                    <w:color w:val="000000" w:themeColor="text1"/>
                  </w:rPr>
                  <w:t>本期末余额</w:t>
                </w:r>
              </w:p>
            </w:tc>
          </w:sdtContent>
        </w:sdt>
        <w:sdt>
          <w:sdtPr>
            <w:tag w:val="_PLD_e041103a31a74c9d98d7e0c514597396"/>
            <w:id w:val="-289511880"/>
          </w:sdtPr>
          <w:sdtContent>
            <w:tc>
              <w:tcPr>
                <w:tcW w:w="920" w:type="pct"/>
                <w:tcBorders>
                  <w:top w:val="single" w:sz="4" w:space="0" w:color="auto"/>
                  <w:left w:val="nil"/>
                  <w:bottom w:val="single" w:sz="4" w:space="0" w:color="auto"/>
                  <w:right w:val="single" w:sz="4" w:space="0" w:color="auto"/>
                </w:tcBorders>
                <w:shd w:val="clear" w:color="auto" w:fill="auto"/>
                <w:vAlign w:val="center"/>
                <w:hideMark/>
              </w:tcPr>
              <w:p>
                <w:pPr>
                  <w:kinsoku w:val="0"/>
                  <w:overflowPunct w:val="0"/>
                  <w:jc w:val="center"/>
                  <w:rPr>
                    <w:color w:val="000000" w:themeColor="text1"/>
                  </w:rPr>
                </w:pPr>
                <w:r>
                  <w:rPr>
                    <w:rFonts w:hint="eastAsia"/>
                    <w:color w:val="000000" w:themeColor="text1"/>
                  </w:rPr>
                  <w:t>2023年余额</w:t>
                </w:r>
              </w:p>
            </w:tc>
          </w:sdtContent>
        </w:sdt>
        <w:sdt>
          <w:sdtPr>
            <w:tag w:val="_PLD_c219251d044f490aad18ef6e5213c40c"/>
            <w:id w:val="-835001067"/>
          </w:sdtPr>
          <w:sdtContent>
            <w:tc>
              <w:tcPr>
                <w:tcW w:w="999" w:type="pct"/>
                <w:tcBorders>
                  <w:top w:val="single" w:sz="4" w:space="0" w:color="auto"/>
                  <w:left w:val="nil"/>
                  <w:bottom w:val="single" w:sz="4" w:space="0" w:color="auto"/>
                  <w:right w:val="single" w:sz="4" w:space="0" w:color="auto"/>
                </w:tcBorders>
                <w:shd w:val="clear" w:color="auto" w:fill="auto"/>
                <w:vAlign w:val="center"/>
                <w:hideMark/>
              </w:tcPr>
              <w:p>
                <w:pPr>
                  <w:kinsoku w:val="0"/>
                  <w:overflowPunct w:val="0"/>
                  <w:jc w:val="center"/>
                  <w:rPr>
                    <w:color w:val="000000" w:themeColor="text1"/>
                  </w:rPr>
                </w:pPr>
                <w:r>
                  <w:rPr>
                    <w:rFonts w:hint="eastAsia"/>
                    <w:color w:val="000000" w:themeColor="text1"/>
                  </w:rPr>
                  <w:t>变动比例（</w:t>
                </w:r>
                <w:r>
                  <w:rPr>
                    <w:rFonts w:asciiTheme="minorHAnsi" w:hAnsiTheme="minorHAnsi"/>
                    <w:color w:val="000000" w:themeColor="text1"/>
                  </w:rPr>
                  <w:t>%</w:t>
                </w:r>
                <w:r>
                  <w:rPr>
                    <w:rFonts w:hint="eastAsia"/>
                    <w:color w:val="000000" w:themeColor="text1"/>
                  </w:rPr>
                  <w:t>）</w:t>
                </w:r>
              </w:p>
            </w:tc>
          </w:sdtContent>
        </w:sdt>
        <w:sdt>
          <w:sdtPr>
            <w:tag w:val="_PLD_858cd9548f1c45f28dcd4efc6d060f20"/>
            <w:id w:val="-1223827371"/>
          </w:sdtPr>
          <w:sdtContent>
            <w:tc>
              <w:tcPr>
                <w:tcW w:w="1176" w:type="pct"/>
                <w:tcBorders>
                  <w:top w:val="single" w:sz="4" w:space="0" w:color="auto"/>
                  <w:left w:val="nil"/>
                  <w:bottom w:val="single" w:sz="4" w:space="0" w:color="auto"/>
                  <w:right w:val="single" w:sz="4" w:space="0" w:color="auto"/>
                </w:tcBorders>
                <w:shd w:val="clear" w:color="auto" w:fill="auto"/>
                <w:vAlign w:val="center"/>
                <w:hideMark/>
              </w:tcPr>
              <w:p>
                <w:pPr>
                  <w:kinsoku w:val="0"/>
                  <w:overflowPunct w:val="0"/>
                  <w:jc w:val="center"/>
                  <w:rPr>
                    <w:color w:val="000000" w:themeColor="text1"/>
                  </w:rPr>
                </w:pPr>
                <w:r>
                  <w:rPr>
                    <w:rFonts w:hint="eastAsia"/>
                    <w:color w:val="000000" w:themeColor="text1"/>
                  </w:rPr>
                  <w:t>变动比例超过30%的，说明原因</w:t>
                </w:r>
              </w:p>
            </w:tc>
          </w:sdtContent>
        </w:sdt>
      </w:tr>
      <w:tr>
        <w:trPr>
          <w:trHeight w:val="270"/>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pPr>
            <w:r>
              <w:rPr>
                <w:rFonts w:hint="eastAsia"/>
              </w:rPr>
              <w:t>短期借款</w:t>
            </w:r>
          </w:p>
        </w:tc>
        <w:tc>
          <w:tcPr>
            <w:tcW w:w="837"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76.93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40.84 </w:t>
            </w:r>
          </w:p>
        </w:tc>
        <w:tc>
          <w:tcPr>
            <w:tcW w:w="999"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88.37 </w:t>
            </w:r>
          </w:p>
        </w:tc>
        <w:tc>
          <w:tcPr>
            <w:tcW w:w="1176" w:type="pct"/>
            <w:tcBorders>
              <w:top w:val="single" w:sz="4" w:space="0" w:color="auto"/>
              <w:left w:val="nil"/>
              <w:bottom w:val="single" w:sz="4" w:space="0" w:color="auto"/>
              <w:right w:val="single" w:sz="4" w:space="0" w:color="auto"/>
            </w:tcBorders>
            <w:vAlign w:val="center"/>
            <w:hideMark/>
          </w:tcPr>
          <w:p>
            <w:pPr>
              <w:jc w:val="both"/>
            </w:pPr>
            <w:r>
              <w:rPr>
                <w:rFonts w:hint="eastAsia"/>
              </w:rPr>
              <w:t>报告期内公司新增短期借款。</w:t>
            </w:r>
          </w:p>
        </w:tc>
      </w:tr>
      <w:tr>
        <w:trPr>
          <w:trHeight w:val="270"/>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hideMark/>
          </w:tcPr>
          <w:p>
            <w:pPr>
              <w:jc w:val="both"/>
            </w:pPr>
            <w:r>
              <w:rPr>
                <w:rFonts w:hint="eastAsia"/>
              </w:rPr>
              <w:t>长期借款</w:t>
            </w:r>
          </w:p>
        </w:tc>
        <w:tc>
          <w:tcPr>
            <w:tcW w:w="837"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557.00 </w:t>
            </w:r>
          </w:p>
        </w:tc>
        <w:tc>
          <w:tcPr>
            <w:tcW w:w="920"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613.55 </w:t>
            </w:r>
          </w:p>
        </w:tc>
        <w:tc>
          <w:tcPr>
            <w:tcW w:w="999" w:type="pct"/>
            <w:tcBorders>
              <w:top w:val="single" w:sz="4" w:space="0" w:color="auto"/>
              <w:left w:val="nil"/>
              <w:bottom w:val="single" w:sz="4" w:space="0" w:color="auto"/>
              <w:right w:val="single" w:sz="4" w:space="0" w:color="auto"/>
            </w:tcBorders>
            <w:shd w:val="clear" w:color="auto" w:fill="auto"/>
            <w:vAlign w:val="center"/>
            <w:hideMark/>
          </w:tcPr>
          <w:p>
            <w:pPr>
              <w:jc w:val="right"/>
            </w:pPr>
            <w:r>
              <w:t xml:space="preserve">-9.22 </w:t>
            </w:r>
          </w:p>
        </w:tc>
        <w:tc>
          <w:tcPr>
            <w:tcW w:w="1176" w:type="pct"/>
            <w:tcBorders>
              <w:top w:val="single" w:sz="4" w:space="0" w:color="auto"/>
              <w:left w:val="nil"/>
              <w:bottom w:val="single" w:sz="4" w:space="0" w:color="auto"/>
              <w:right w:val="single" w:sz="4" w:space="0" w:color="auto"/>
            </w:tcBorders>
            <w:vAlign w:val="center"/>
            <w:hideMark/>
          </w:tcPr>
          <w:p>
            <w:pPr>
              <w:jc w:val="both"/>
            </w:pPr>
            <w:r>
              <w:rPr>
                <w:rFonts w:hint="eastAsia"/>
              </w:rPr>
              <w:t>-</w:t>
            </w:r>
          </w:p>
        </w:tc>
      </w:tr>
      <w:tr>
        <w:trPr>
          <w:trHeight w:val="270"/>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pPr>
            <w:r>
              <w:rPr>
                <w:rFonts w:hint="eastAsia"/>
              </w:rPr>
              <w:t>应付债券</w:t>
            </w:r>
          </w:p>
        </w:tc>
        <w:tc>
          <w:tcPr>
            <w:tcW w:w="837"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159.74 </w:t>
            </w:r>
          </w:p>
        </w:tc>
        <w:tc>
          <w:tcPr>
            <w:tcW w:w="920"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121.73 </w:t>
            </w:r>
          </w:p>
        </w:tc>
        <w:tc>
          <w:tcPr>
            <w:tcW w:w="999"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31.22 </w:t>
            </w:r>
          </w:p>
        </w:tc>
        <w:tc>
          <w:tcPr>
            <w:tcW w:w="1176" w:type="pct"/>
            <w:tcBorders>
              <w:top w:val="single" w:sz="4" w:space="0" w:color="auto"/>
              <w:left w:val="nil"/>
              <w:bottom w:val="single" w:sz="4" w:space="0" w:color="auto"/>
              <w:right w:val="single" w:sz="4" w:space="0" w:color="auto"/>
            </w:tcBorders>
            <w:vAlign w:val="center"/>
          </w:tcPr>
          <w:p>
            <w:pPr>
              <w:jc w:val="both"/>
            </w:pPr>
            <w:r>
              <w:rPr>
                <w:rFonts w:hint="eastAsia"/>
              </w:rPr>
              <w:t>报告期内公司发行债券。</w:t>
            </w:r>
          </w:p>
        </w:tc>
      </w:tr>
      <w:tr>
        <w:trPr>
          <w:trHeight w:val="270"/>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pPr>
            <w:r>
              <w:rPr>
                <w:rFonts w:hint="eastAsia"/>
              </w:rPr>
              <w:t>一年内到期的非流动负债</w:t>
            </w:r>
          </w:p>
        </w:tc>
        <w:tc>
          <w:tcPr>
            <w:tcW w:w="837"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318.38 </w:t>
            </w:r>
          </w:p>
        </w:tc>
        <w:tc>
          <w:tcPr>
            <w:tcW w:w="920"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208.06 </w:t>
            </w:r>
          </w:p>
        </w:tc>
        <w:tc>
          <w:tcPr>
            <w:tcW w:w="999"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53.02 </w:t>
            </w:r>
          </w:p>
        </w:tc>
        <w:tc>
          <w:tcPr>
            <w:tcW w:w="1176" w:type="pct"/>
            <w:tcBorders>
              <w:top w:val="single" w:sz="4" w:space="0" w:color="auto"/>
              <w:left w:val="nil"/>
              <w:bottom w:val="single" w:sz="4" w:space="0" w:color="auto"/>
              <w:right w:val="single" w:sz="4" w:space="0" w:color="auto"/>
            </w:tcBorders>
            <w:vAlign w:val="center"/>
          </w:tcPr>
          <w:p>
            <w:pPr>
              <w:jc w:val="both"/>
            </w:pPr>
            <w:r>
              <w:rPr>
                <w:rFonts w:hint="eastAsia"/>
              </w:rPr>
              <w:t>公司一年内到期的长期借款重分类至一年内到期的非流动负债。</w:t>
            </w:r>
          </w:p>
        </w:tc>
      </w:tr>
      <w:tr>
        <w:trPr>
          <w:trHeight w:val="270"/>
        </w:trPr>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pPr>
            <w:r>
              <w:rPr>
                <w:rFonts w:hint="eastAsia"/>
              </w:rPr>
              <w:t>其他有息负债</w:t>
            </w:r>
          </w:p>
        </w:tc>
        <w:tc>
          <w:tcPr>
            <w:tcW w:w="837" w:type="pct"/>
            <w:tcBorders>
              <w:top w:val="single" w:sz="4" w:space="0" w:color="auto"/>
              <w:left w:val="nil"/>
              <w:bottom w:val="single" w:sz="4" w:space="0" w:color="auto"/>
              <w:right w:val="single" w:sz="4" w:space="0" w:color="auto"/>
            </w:tcBorders>
            <w:shd w:val="clear" w:color="auto" w:fill="auto"/>
          </w:tcPr>
          <w:p>
            <w:pPr>
              <w:jc w:val="right"/>
            </w:pPr>
            <w:r>
              <w:t xml:space="preserve">72.87 </w:t>
            </w:r>
          </w:p>
        </w:tc>
        <w:tc>
          <w:tcPr>
            <w:tcW w:w="920" w:type="pct"/>
            <w:tcBorders>
              <w:top w:val="single" w:sz="4" w:space="0" w:color="auto"/>
              <w:left w:val="nil"/>
              <w:bottom w:val="single" w:sz="4" w:space="0" w:color="auto"/>
              <w:right w:val="single" w:sz="4" w:space="0" w:color="auto"/>
            </w:tcBorders>
            <w:shd w:val="clear" w:color="auto" w:fill="auto"/>
          </w:tcPr>
          <w:p>
            <w:pPr>
              <w:jc w:val="right"/>
            </w:pPr>
            <w:r>
              <w:t xml:space="preserve">77.25 </w:t>
            </w:r>
          </w:p>
        </w:tc>
        <w:tc>
          <w:tcPr>
            <w:tcW w:w="999" w:type="pct"/>
            <w:tcBorders>
              <w:top w:val="single" w:sz="4" w:space="0" w:color="auto"/>
              <w:left w:val="nil"/>
              <w:bottom w:val="single" w:sz="4" w:space="0" w:color="auto"/>
              <w:right w:val="single" w:sz="4" w:space="0" w:color="auto"/>
            </w:tcBorders>
            <w:shd w:val="clear" w:color="auto" w:fill="auto"/>
            <w:vAlign w:val="center"/>
          </w:tcPr>
          <w:p>
            <w:pPr>
              <w:jc w:val="right"/>
            </w:pPr>
            <w:r>
              <w:t xml:space="preserve">-5.67 </w:t>
            </w:r>
          </w:p>
        </w:tc>
        <w:tc>
          <w:tcPr>
            <w:tcW w:w="1176" w:type="pct"/>
            <w:tcBorders>
              <w:top w:val="single" w:sz="4" w:space="0" w:color="auto"/>
              <w:left w:val="nil"/>
              <w:bottom w:val="single" w:sz="4" w:space="0" w:color="auto"/>
              <w:right w:val="single" w:sz="4" w:space="0" w:color="auto"/>
            </w:tcBorders>
            <w:shd w:val="clear" w:color="auto" w:fill="auto"/>
          </w:tcPr>
          <w:p>
            <w:pPr>
              <w:jc w:val="both"/>
            </w:pPr>
            <w:r>
              <w:rPr>
                <w:rFonts w:hint="eastAsia"/>
              </w:rPr>
              <w:t>-</w:t>
            </w:r>
          </w:p>
        </w:tc>
      </w:tr>
    </w:tbl>
    <w:p>
      <w:pPr>
        <w:rPr>
          <w:color w:val="000000" w:themeColor="text1"/>
        </w:rPr>
      </w:pPr>
    </w:p>
    <w:p>
      <w:pPr>
        <w:pStyle w:val="5"/>
        <w:numPr>
          <w:ilvl w:val="0"/>
          <w:numId w:val="28"/>
        </w:numPr>
        <w:ind w:leftChars="0"/>
        <w:rPr>
          <w:color w:val="000000" w:themeColor="text1"/>
        </w:rPr>
      </w:pPr>
      <w:r>
        <w:rPr>
          <w:rFonts w:hint="eastAsia"/>
          <w:color w:val="000000" w:themeColor="text1"/>
        </w:rPr>
        <w:t>可对抗第三人的优先偿付负债情况</w:t>
      </w:r>
    </w:p>
    <w:p>
      <w:pPr>
        <w:spacing w:beforeLines="50" w:before="120" w:afterLines="50" w:after="120"/>
        <w:rPr>
          <w:color w:val="000000" w:themeColor="text1"/>
        </w:rPr>
      </w:pPr>
      <w:r>
        <w:rPr>
          <w:color w:val="000000" w:themeColor="text1"/>
        </w:rPr>
        <w:t>截至报告期末</w:t>
      </w:r>
      <w:r>
        <w:rPr>
          <w:rFonts w:hint="eastAsia"/>
          <w:color w:val="000000" w:themeColor="text1"/>
        </w:rPr>
        <w:t>，公司合并报表范围内存在</w:t>
      </w:r>
      <w:r>
        <w:rPr>
          <w:color w:val="000000" w:themeColor="text1"/>
        </w:rPr>
        <w:t>可对抗第三人的优先偿付负债</w:t>
      </w:r>
      <w:r>
        <w:rPr>
          <w:rFonts w:hint="eastAsia"/>
          <w:color w:val="000000" w:themeColor="text1"/>
        </w:rPr>
        <w:t>：</w:t>
      </w:r>
    </w:p>
    <w:sdt>
      <w:sdtPr>
        <w:rPr>
          <w:rFonts w:hint="eastAsia"/>
          <w:color w:val="000000" w:themeColor="text1"/>
        </w:rPr>
        <w:alias w:val="是否适用：可对抗第三人的优先偿付负债情况[双击切换]"/>
        <w:tag w:val="_GBC_2bc44d07a9734f1cb6730a343a3126dc"/>
        <w:id w:val="2081247251"/>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288"/>
    <w:bookmarkEnd w:id="291"/>
    <w:p>
      <w:pPr>
        <w:rPr>
          <w:color w:val="000000" w:themeColor="text1"/>
        </w:rPr>
      </w:pPr>
    </w:p>
    <w:p>
      <w:pPr>
        <w:rPr>
          <w:color w:val="000000" w:themeColor="text1"/>
        </w:rPr>
        <w:sectPr>
          <w:pgSz w:w="11906" w:h="16838"/>
          <w:pgMar w:top="1525" w:right="1276" w:bottom="1440" w:left="1797" w:header="856" w:footer="992" w:gutter="0"/>
          <w:cols w:space="425"/>
          <w:docGrid w:linePitch="312"/>
        </w:sectPr>
      </w:pPr>
    </w:p>
    <w:p>
      <w:pPr>
        <w:pStyle w:val="3"/>
        <w:numPr>
          <w:ilvl w:val="0"/>
          <w:numId w:val="24"/>
        </w:numPr>
        <w:ind w:left="425" w:hanging="425"/>
        <w:rPr>
          <w:rFonts w:ascii="宋体" w:hAnsi="宋体"/>
        </w:rPr>
      </w:pPr>
      <w:bookmarkStart w:id="299" w:name="_Hlk183693661"/>
      <w:r>
        <w:rPr>
          <w:rFonts w:ascii="宋体" w:hAnsi="宋体" w:hint="eastAsia"/>
        </w:rPr>
        <w:lastRenderedPageBreak/>
        <w:t>银行间债券市场非金融企业债务融资工具</w:t>
      </w:r>
    </w:p>
    <w:sdt>
      <w:sdtPr>
        <w:rPr>
          <w:rFonts w:hint="eastAsia"/>
          <w:szCs w:val="21"/>
        </w:rPr>
        <w:alias w:val="是否适用：银行间债券市场非金融企业债务融资工具相关情况[双击切换]"/>
        <w:tag w:val="_GBC_068331f902934673bb4e09fc277065e0"/>
        <w:id w:val="1251313642"/>
        <w:lock w:val="conten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4"/>
        <w:numPr>
          <w:ilvl w:val="0"/>
          <w:numId w:val="29"/>
        </w:numPr>
        <w:rPr>
          <w:rFonts w:ascii="宋体" w:hAnsi="宋体" w:cs="宋体"/>
          <w:kern w:val="0"/>
          <w:szCs w:val="24"/>
        </w:rPr>
      </w:pPr>
      <w:r>
        <w:rPr>
          <w:rFonts w:ascii="宋体" w:hAnsi="宋体" w:cs="宋体"/>
          <w:kern w:val="0"/>
          <w:szCs w:val="24"/>
        </w:rPr>
        <w:t>非金融企业债务融资工具</w:t>
      </w:r>
      <w:r>
        <w:rPr>
          <w:rFonts w:ascii="宋体" w:hAnsi="宋体" w:cs="宋体" w:hint="eastAsia"/>
          <w:kern w:val="0"/>
          <w:szCs w:val="24"/>
        </w:rPr>
        <w:t>基本情况（截至本报告披露日）</w:t>
      </w:r>
    </w:p>
    <w:p>
      <w:pPr>
        <w:jc w:val="right"/>
        <w:rPr>
          <w:szCs w:val="21"/>
        </w:rPr>
      </w:pPr>
      <w:r>
        <w:rPr>
          <w:rFonts w:hint="eastAsia"/>
          <w:szCs w:val="21"/>
        </w:rPr>
        <w:t>单位</w:t>
      </w:r>
      <w:r>
        <w:rPr>
          <w:szCs w:val="21"/>
        </w:rPr>
        <w:t>：</w:t>
      </w:r>
      <w:sdt>
        <w:sdtPr>
          <w:rPr>
            <w:szCs w:val="21"/>
          </w:rPr>
          <w:alias w:val="单位：财务附注：公司债券基本情况"/>
          <w:tag w:val="_GBC_292a3db6e6ac482b829963a2797f2d54"/>
          <w:id w:val="20381515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亿元</w:t>
          </w:r>
        </w:sdtContent>
      </w:sdt>
      <w:r>
        <w:rPr>
          <w:rFonts w:hint="eastAsia"/>
          <w:szCs w:val="21"/>
        </w:rPr>
        <w:t xml:space="preserve">  币种</w:t>
      </w:r>
      <w:r>
        <w:rPr>
          <w:szCs w:val="21"/>
        </w:rPr>
        <w:t>：</w:t>
      </w:r>
      <w:sdt>
        <w:sdtPr>
          <w:rPr>
            <w:szCs w:val="21"/>
          </w:rPr>
          <w:alias w:val="币种：财务附注：公司债券基本情况"/>
          <w:tag w:val="_GBC_82350e81d1d945d8a0bd5b070aca64ca"/>
          <w:id w:val="-6944617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affffffffffff7"/>
        <w:tblW w:w="53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1161"/>
        <w:gridCol w:w="1277"/>
        <w:gridCol w:w="1271"/>
        <w:gridCol w:w="1271"/>
        <w:gridCol w:w="1271"/>
        <w:gridCol w:w="845"/>
        <w:gridCol w:w="765"/>
        <w:gridCol w:w="1702"/>
        <w:gridCol w:w="711"/>
        <w:gridCol w:w="1134"/>
        <w:gridCol w:w="1122"/>
        <w:gridCol w:w="1134"/>
      </w:tblGrid>
      <w:tr>
        <w:trPr>
          <w:jc w:val="center"/>
        </w:trPr>
        <w:sdt>
          <w:sdtPr>
            <w:rPr>
              <w:szCs w:val="21"/>
            </w:rPr>
            <w:tag w:val="_PLD_cdd0adccd63749bba89a27a885ec8287"/>
            <w:id w:val="1340503557"/>
          </w:sdtPr>
          <w:sdtContent>
            <w:tc>
              <w:tcPr>
                <w:tcW w:w="408" w:type="pct"/>
                <w:vAlign w:val="center"/>
              </w:tcPr>
              <w:p>
                <w:pPr>
                  <w:widowControl w:val="0"/>
                  <w:jc w:val="center"/>
                  <w:rPr>
                    <w:rFonts w:cs="Times New Roman"/>
                    <w:b/>
                    <w:bCs/>
                    <w:kern w:val="2"/>
                    <w:szCs w:val="21"/>
                  </w:rPr>
                </w:pPr>
                <w:r>
                  <w:rPr>
                    <w:rFonts w:hint="eastAsia"/>
                    <w:szCs w:val="21"/>
                  </w:rPr>
                  <w:t>债券名称</w:t>
                </w:r>
              </w:p>
            </w:tc>
          </w:sdtContent>
        </w:sdt>
        <w:sdt>
          <w:sdtPr>
            <w:rPr>
              <w:szCs w:val="21"/>
            </w:rPr>
            <w:tag w:val="_PLD_cde490b92f994c5297295379ca6990fb"/>
            <w:id w:val="-353107670"/>
          </w:sdtPr>
          <w:sdtContent>
            <w:tc>
              <w:tcPr>
                <w:tcW w:w="390" w:type="pct"/>
                <w:vAlign w:val="center"/>
              </w:tcPr>
              <w:p>
                <w:pPr>
                  <w:widowControl w:val="0"/>
                  <w:jc w:val="center"/>
                  <w:rPr>
                    <w:szCs w:val="21"/>
                  </w:rPr>
                </w:pPr>
                <w:r>
                  <w:rPr>
                    <w:rFonts w:hint="eastAsia"/>
                    <w:szCs w:val="21"/>
                  </w:rPr>
                  <w:t>简称</w:t>
                </w:r>
              </w:p>
            </w:tc>
          </w:sdtContent>
        </w:sdt>
        <w:sdt>
          <w:sdtPr>
            <w:rPr>
              <w:szCs w:val="21"/>
            </w:rPr>
            <w:tag w:val="_PLD_25272220cd4a45aa84ed1b9fe548c2dd"/>
            <w:id w:val="-247267014"/>
          </w:sdtPr>
          <w:sdtContent>
            <w:tc>
              <w:tcPr>
                <w:tcW w:w="429" w:type="pct"/>
                <w:vAlign w:val="center"/>
              </w:tcPr>
              <w:p>
                <w:pPr>
                  <w:widowControl w:val="0"/>
                  <w:jc w:val="center"/>
                  <w:rPr>
                    <w:szCs w:val="21"/>
                  </w:rPr>
                </w:pPr>
                <w:r>
                  <w:rPr>
                    <w:rFonts w:hint="eastAsia"/>
                    <w:szCs w:val="21"/>
                  </w:rPr>
                  <w:t>代码</w:t>
                </w:r>
              </w:p>
            </w:tc>
          </w:sdtContent>
        </w:sdt>
        <w:sdt>
          <w:sdtPr>
            <w:rPr>
              <w:szCs w:val="21"/>
            </w:rPr>
            <w:tag w:val="_PLD_530d277f6e8d4e6694ae971b4469a6e5"/>
            <w:id w:val="1661499707"/>
          </w:sdtPr>
          <w:sdtContent>
            <w:tc>
              <w:tcPr>
                <w:tcW w:w="427" w:type="pct"/>
                <w:vAlign w:val="center"/>
              </w:tcPr>
              <w:p>
                <w:pPr>
                  <w:widowControl w:val="0"/>
                  <w:jc w:val="center"/>
                  <w:rPr>
                    <w:szCs w:val="21"/>
                  </w:rPr>
                </w:pPr>
                <w:r>
                  <w:rPr>
                    <w:rFonts w:hint="eastAsia"/>
                    <w:szCs w:val="21"/>
                  </w:rPr>
                  <w:t>发行日</w:t>
                </w:r>
              </w:p>
            </w:tc>
          </w:sdtContent>
        </w:sdt>
        <w:tc>
          <w:tcPr>
            <w:tcW w:w="427" w:type="pct"/>
            <w:vAlign w:val="center"/>
          </w:tcPr>
          <w:sdt>
            <w:sdtPr>
              <w:rPr>
                <w:szCs w:val="21"/>
              </w:rPr>
              <w:tag w:val="_PLD_614b03bdf70743299e27b9dba05da3ae"/>
              <w:id w:val="511031806"/>
            </w:sdtPr>
            <w:sdtContent>
              <w:p>
                <w:pPr>
                  <w:widowControl w:val="0"/>
                  <w:jc w:val="center"/>
                  <w:rPr>
                    <w:szCs w:val="21"/>
                  </w:rPr>
                </w:pPr>
                <w:r>
                  <w:rPr>
                    <w:rFonts w:hint="eastAsia"/>
                    <w:szCs w:val="21"/>
                  </w:rPr>
                  <w:t>起息日</w:t>
                </w:r>
              </w:p>
            </w:sdtContent>
          </w:sdt>
        </w:tc>
        <w:sdt>
          <w:sdtPr>
            <w:rPr>
              <w:szCs w:val="21"/>
            </w:rPr>
            <w:tag w:val="_PLD_aba99328f1714f189df5afab657be604"/>
            <w:id w:val="-1598158972"/>
          </w:sdtPr>
          <w:sdtContent>
            <w:tc>
              <w:tcPr>
                <w:tcW w:w="427" w:type="pct"/>
                <w:vAlign w:val="center"/>
              </w:tcPr>
              <w:p>
                <w:pPr>
                  <w:widowControl w:val="0"/>
                  <w:jc w:val="center"/>
                  <w:rPr>
                    <w:szCs w:val="21"/>
                  </w:rPr>
                </w:pPr>
                <w:r>
                  <w:rPr>
                    <w:rFonts w:hint="eastAsia"/>
                    <w:szCs w:val="21"/>
                  </w:rPr>
                  <w:t>到期日</w:t>
                </w:r>
              </w:p>
            </w:tc>
          </w:sdtContent>
        </w:sdt>
        <w:sdt>
          <w:sdtPr>
            <w:rPr>
              <w:szCs w:val="21"/>
            </w:rPr>
            <w:tag w:val="_PLD_732f45f4de0a4974ab72c3a5d9e71f02"/>
            <w:id w:val="-1469574878"/>
          </w:sdtPr>
          <w:sdtContent>
            <w:tc>
              <w:tcPr>
                <w:tcW w:w="284" w:type="pct"/>
                <w:vAlign w:val="center"/>
              </w:tcPr>
              <w:p>
                <w:pPr>
                  <w:widowControl w:val="0"/>
                  <w:jc w:val="center"/>
                  <w:rPr>
                    <w:szCs w:val="21"/>
                  </w:rPr>
                </w:pPr>
                <w:r>
                  <w:rPr>
                    <w:rFonts w:hint="eastAsia"/>
                    <w:szCs w:val="21"/>
                  </w:rPr>
                  <w:t>债券</w:t>
                </w:r>
              </w:p>
              <w:p>
                <w:pPr>
                  <w:widowControl w:val="0"/>
                  <w:jc w:val="center"/>
                  <w:rPr>
                    <w:szCs w:val="21"/>
                  </w:rPr>
                </w:pPr>
                <w:r>
                  <w:rPr>
                    <w:rFonts w:hint="eastAsia"/>
                    <w:szCs w:val="21"/>
                  </w:rPr>
                  <w:t>余额</w:t>
                </w:r>
              </w:p>
            </w:tc>
          </w:sdtContent>
        </w:sdt>
        <w:sdt>
          <w:sdtPr>
            <w:rPr>
              <w:szCs w:val="21"/>
            </w:rPr>
            <w:tag w:val="_PLD_7b94b8b6fb2c437c9141b26b95af94b8"/>
            <w:id w:val="-2139090839"/>
          </w:sdtPr>
          <w:sdtContent>
            <w:tc>
              <w:tcPr>
                <w:tcW w:w="257" w:type="pct"/>
                <w:vAlign w:val="center"/>
              </w:tcPr>
              <w:p>
                <w:pPr>
                  <w:widowControl w:val="0"/>
                  <w:jc w:val="center"/>
                  <w:rPr>
                    <w:szCs w:val="21"/>
                  </w:rPr>
                </w:pPr>
                <w:r>
                  <w:rPr>
                    <w:rFonts w:hint="eastAsia"/>
                    <w:szCs w:val="21"/>
                  </w:rPr>
                  <w:t>利率（%）</w:t>
                </w:r>
              </w:p>
            </w:tc>
          </w:sdtContent>
        </w:sdt>
        <w:sdt>
          <w:sdtPr>
            <w:rPr>
              <w:szCs w:val="21"/>
            </w:rPr>
            <w:tag w:val="_PLD_caf6f36467b146a4a23dcdc9c74b3c68"/>
            <w:id w:val="-863060208"/>
          </w:sdtPr>
          <w:sdtContent>
            <w:tc>
              <w:tcPr>
                <w:tcW w:w="572" w:type="pct"/>
                <w:vAlign w:val="center"/>
              </w:tcPr>
              <w:p>
                <w:pPr>
                  <w:widowControl w:val="0"/>
                  <w:jc w:val="center"/>
                  <w:rPr>
                    <w:szCs w:val="21"/>
                  </w:rPr>
                </w:pPr>
                <w:r>
                  <w:rPr>
                    <w:rFonts w:hint="eastAsia"/>
                    <w:szCs w:val="21"/>
                  </w:rPr>
                  <w:t>还本付息方式</w:t>
                </w:r>
              </w:p>
            </w:tc>
          </w:sdtContent>
        </w:sdt>
        <w:sdt>
          <w:sdtPr>
            <w:rPr>
              <w:szCs w:val="21"/>
            </w:rPr>
            <w:tag w:val="_PLD_11be763676574e4aa15e9e73e247b7bc"/>
            <w:id w:val="717087968"/>
          </w:sdtPr>
          <w:sdtContent>
            <w:tc>
              <w:tcPr>
                <w:tcW w:w="239" w:type="pct"/>
                <w:vAlign w:val="center"/>
              </w:tcPr>
              <w:p>
                <w:pPr>
                  <w:widowControl w:val="0"/>
                  <w:jc w:val="center"/>
                  <w:rPr>
                    <w:szCs w:val="21"/>
                  </w:rPr>
                </w:pPr>
                <w:r>
                  <w:rPr>
                    <w:rFonts w:hint="eastAsia"/>
                    <w:szCs w:val="21"/>
                  </w:rPr>
                  <w:t>交易场所</w:t>
                </w:r>
              </w:p>
            </w:tc>
          </w:sdtContent>
        </w:sdt>
        <w:sdt>
          <w:sdtPr>
            <w:rPr>
              <w:szCs w:val="21"/>
            </w:rPr>
            <w:tag w:val="_PLD_a92a7c8d9dbb4768bc68c2072d06c8de"/>
            <w:id w:val="-972594729"/>
          </w:sdtPr>
          <w:sdtContent>
            <w:tc>
              <w:tcPr>
                <w:tcW w:w="381" w:type="pct"/>
                <w:vAlign w:val="center"/>
              </w:tcPr>
              <w:p>
                <w:pPr>
                  <w:widowControl w:val="0"/>
                  <w:jc w:val="center"/>
                  <w:rPr>
                    <w:szCs w:val="21"/>
                  </w:rPr>
                </w:pPr>
                <w:r>
                  <w:rPr>
                    <w:rFonts w:hint="eastAsia"/>
                    <w:szCs w:val="21"/>
                  </w:rPr>
                  <w:t>投资者适当性安排（如有）</w:t>
                </w:r>
              </w:p>
            </w:tc>
          </w:sdtContent>
        </w:sdt>
        <w:tc>
          <w:tcPr>
            <w:tcW w:w="377" w:type="pct"/>
            <w:vAlign w:val="center"/>
          </w:tcPr>
          <w:sdt>
            <w:sdtPr>
              <w:rPr>
                <w:szCs w:val="21"/>
              </w:rPr>
              <w:tag w:val="_PLD_9821e63635b24704a2e650e3e907193d"/>
              <w:id w:val="-620768237"/>
            </w:sdtPr>
            <w:sdtContent>
              <w:p>
                <w:pPr>
                  <w:widowControl w:val="0"/>
                  <w:jc w:val="center"/>
                  <w:rPr>
                    <w:szCs w:val="21"/>
                  </w:rPr>
                </w:pPr>
                <w:r>
                  <w:rPr>
                    <w:rFonts w:hint="eastAsia"/>
                    <w:szCs w:val="21"/>
                  </w:rPr>
                  <w:t>交易</w:t>
                </w:r>
              </w:p>
              <w:p>
                <w:pPr>
                  <w:widowControl w:val="0"/>
                  <w:jc w:val="center"/>
                  <w:rPr>
                    <w:szCs w:val="21"/>
                  </w:rPr>
                </w:pPr>
                <w:r>
                  <w:rPr>
                    <w:rFonts w:hint="eastAsia"/>
                    <w:szCs w:val="21"/>
                  </w:rPr>
                  <w:t>机制</w:t>
                </w:r>
              </w:p>
            </w:sdtContent>
          </w:sdt>
        </w:tc>
        <w:sdt>
          <w:sdtPr>
            <w:rPr>
              <w:szCs w:val="21"/>
            </w:rPr>
            <w:tag w:val="_PLD_93175a30f2d045a49c4c9b0f4a8fce07"/>
            <w:id w:val="1444647381"/>
          </w:sdtPr>
          <w:sdtContent>
            <w:tc>
              <w:tcPr>
                <w:tcW w:w="381" w:type="pct"/>
              </w:tcPr>
              <w:p>
                <w:pPr>
                  <w:widowControl w:val="0"/>
                  <w:jc w:val="center"/>
                  <w:rPr>
                    <w:szCs w:val="21"/>
                  </w:rPr>
                </w:pPr>
                <w:r>
                  <w:rPr>
                    <w:rFonts w:hint="eastAsia"/>
                    <w:szCs w:val="21"/>
                  </w:rPr>
                  <w:t>是否存在终止上市交易的风险</w:t>
                </w:r>
              </w:p>
            </w:tc>
          </w:sdtContent>
        </w:sdt>
      </w:tr>
      <w:tr>
        <w:trPr>
          <w:jc w:val="center"/>
        </w:trPr>
        <w:tc>
          <w:tcPr>
            <w:tcW w:w="408" w:type="pct"/>
            <w:vAlign w:val="center"/>
          </w:tcPr>
          <w:p>
            <w:pPr>
              <w:rPr>
                <w:szCs w:val="21"/>
              </w:rPr>
            </w:pPr>
            <w:r>
              <w:t>2021年度第一期中期票据</w:t>
            </w:r>
          </w:p>
        </w:tc>
        <w:tc>
          <w:tcPr>
            <w:tcW w:w="390" w:type="pct"/>
            <w:vAlign w:val="center"/>
          </w:tcPr>
          <w:p>
            <w:pPr>
              <w:rPr>
                <w:szCs w:val="21"/>
              </w:rPr>
            </w:pPr>
            <w:r>
              <w:rPr>
                <w:rFonts w:hint="eastAsia"/>
              </w:rPr>
              <w:t>21兖州煤业MTN001</w:t>
            </w:r>
          </w:p>
        </w:tc>
        <w:tc>
          <w:tcPr>
            <w:tcW w:w="429" w:type="pct"/>
            <w:vAlign w:val="center"/>
          </w:tcPr>
          <w:p>
            <w:pPr>
              <w:rPr>
                <w:szCs w:val="21"/>
              </w:rPr>
            </w:pPr>
            <w:r>
              <w:rPr>
                <w:rFonts w:hint="eastAsia"/>
              </w:rPr>
              <w:t>102101379</w:t>
            </w:r>
          </w:p>
        </w:tc>
        <w:tc>
          <w:tcPr>
            <w:tcW w:w="427" w:type="pct"/>
            <w:vAlign w:val="center"/>
          </w:tcPr>
          <w:p>
            <w:pPr>
              <w:rPr>
                <w:szCs w:val="21"/>
              </w:rPr>
            </w:pPr>
            <w:r>
              <w:rPr>
                <w:rFonts w:hint="eastAsia"/>
              </w:rPr>
              <w:t>2021/07/22</w:t>
            </w:r>
          </w:p>
        </w:tc>
        <w:tc>
          <w:tcPr>
            <w:tcW w:w="427" w:type="pct"/>
            <w:vAlign w:val="center"/>
          </w:tcPr>
          <w:p>
            <w:pPr>
              <w:rPr>
                <w:szCs w:val="21"/>
              </w:rPr>
            </w:pPr>
            <w:r>
              <w:rPr>
                <w:rFonts w:hint="eastAsia"/>
              </w:rPr>
              <w:t>2021/07/26</w:t>
            </w:r>
          </w:p>
        </w:tc>
        <w:tc>
          <w:tcPr>
            <w:tcW w:w="427" w:type="pct"/>
            <w:vAlign w:val="center"/>
          </w:tcPr>
          <w:p>
            <w:pPr>
              <w:rPr>
                <w:szCs w:val="21"/>
              </w:rPr>
            </w:pPr>
            <w:r>
              <w:rPr>
                <w:rFonts w:hint="eastAsia"/>
              </w:rPr>
              <w:t>2026/07/26</w:t>
            </w:r>
          </w:p>
        </w:tc>
        <w:tc>
          <w:tcPr>
            <w:tcW w:w="284" w:type="pct"/>
            <w:vAlign w:val="center"/>
          </w:tcPr>
          <w:p>
            <w:pPr>
              <w:jc w:val="right"/>
              <w:rPr>
                <w:szCs w:val="21"/>
              </w:rPr>
            </w:pPr>
            <w:r>
              <w:rPr>
                <w:rFonts w:hint="eastAsia"/>
              </w:rPr>
              <w:t>20</w:t>
            </w:r>
          </w:p>
        </w:tc>
        <w:tc>
          <w:tcPr>
            <w:tcW w:w="257" w:type="pct"/>
            <w:vAlign w:val="center"/>
          </w:tcPr>
          <w:p>
            <w:pPr>
              <w:jc w:val="right"/>
              <w:rPr>
                <w:szCs w:val="21"/>
              </w:rPr>
            </w:pPr>
            <w:r>
              <w:rPr>
                <w:rFonts w:hint="eastAsia"/>
              </w:rPr>
              <w:t>3.80</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sdt>
          <w:sdtPr>
            <w:rPr>
              <w:szCs w:val="21"/>
            </w:rPr>
            <w:alias w:val="公司债券基本情况明细_是否存在终止上市交易的风险 "/>
            <w:tag w:val="_GBC_bd3693a6c2914f90a08447cefd06e642"/>
            <w:id w:val="-12379726"/>
            <w:comboBox>
              <w:listItem w:displayText="是" w:value="是"/>
              <w:listItem w:displayText="否" w:value="否"/>
            </w:comboBox>
          </w:sdtPr>
          <w:sdtContent>
            <w:tc>
              <w:tcPr>
                <w:tcW w:w="381" w:type="pct"/>
                <w:vAlign w:val="center"/>
              </w:tcPr>
              <w:p>
                <w:pPr>
                  <w:widowControl w:val="0"/>
                  <w:jc w:val="center"/>
                  <w:rPr>
                    <w:szCs w:val="21"/>
                  </w:rPr>
                </w:pPr>
                <w:r>
                  <w:rPr>
                    <w:szCs w:val="21"/>
                  </w:rPr>
                  <w:t>否</w:t>
                </w:r>
              </w:p>
            </w:tc>
          </w:sdtContent>
        </w:sdt>
      </w:tr>
      <w:tr>
        <w:trPr>
          <w:jc w:val="center"/>
        </w:trPr>
        <w:tc>
          <w:tcPr>
            <w:tcW w:w="408" w:type="pct"/>
            <w:vAlign w:val="center"/>
          </w:tcPr>
          <w:p>
            <w:pPr>
              <w:pStyle w:val="afffffffffffff8"/>
            </w:pPr>
            <w:r>
              <w:t>2022年度第一期中期票据(品种一)</w:t>
            </w:r>
            <w:r>
              <w:rPr>
                <w:rFonts w:hint="eastAsia"/>
                <w:vertAlign w:val="superscript"/>
              </w:rPr>
              <w:t>①</w:t>
            </w:r>
          </w:p>
        </w:tc>
        <w:tc>
          <w:tcPr>
            <w:tcW w:w="390" w:type="pct"/>
            <w:vAlign w:val="center"/>
          </w:tcPr>
          <w:p>
            <w:pPr>
              <w:pStyle w:val="afffffffffffff8"/>
            </w:pPr>
            <w:r>
              <w:rPr>
                <w:rFonts w:cs="Arial"/>
                <w:color w:val="333333"/>
                <w:shd w:val="clear" w:color="auto" w:fill="FFFFFF"/>
              </w:rPr>
              <w:t>22</w:t>
            </w:r>
            <w:r>
              <w:rPr>
                <w:rFonts w:cs="Arial" w:hint="eastAsia"/>
                <w:color w:val="333333"/>
                <w:shd w:val="clear" w:color="auto" w:fill="FFFFFF"/>
              </w:rPr>
              <w:t>兖矿能源</w:t>
            </w:r>
            <w:r>
              <w:rPr>
                <w:rFonts w:cs="Arial"/>
                <w:color w:val="333333"/>
                <w:shd w:val="clear" w:color="auto" w:fill="FFFFFF"/>
              </w:rPr>
              <w:t>MTN001A</w:t>
            </w:r>
          </w:p>
        </w:tc>
        <w:tc>
          <w:tcPr>
            <w:tcW w:w="429" w:type="pct"/>
            <w:vAlign w:val="center"/>
          </w:tcPr>
          <w:p>
            <w:pPr>
              <w:pStyle w:val="afffffffffffff8"/>
            </w:pPr>
            <w:r>
              <w:rPr>
                <w:rFonts w:cs="Arial"/>
                <w:color w:val="333333"/>
                <w:shd w:val="clear" w:color="auto" w:fill="FFFFFF"/>
              </w:rPr>
              <w:t>102281098</w:t>
            </w:r>
          </w:p>
        </w:tc>
        <w:tc>
          <w:tcPr>
            <w:tcW w:w="427" w:type="pct"/>
            <w:vAlign w:val="center"/>
          </w:tcPr>
          <w:p>
            <w:pPr>
              <w:pStyle w:val="afffffffffffff8"/>
            </w:pPr>
            <w:r>
              <w:rPr>
                <w:rFonts w:cs="Arial"/>
                <w:color w:val="333333"/>
                <w:shd w:val="clear" w:color="auto" w:fill="FFFFFF"/>
              </w:rPr>
              <w:t>2022/05/18</w:t>
            </w:r>
          </w:p>
        </w:tc>
        <w:tc>
          <w:tcPr>
            <w:tcW w:w="427" w:type="pct"/>
            <w:vAlign w:val="center"/>
          </w:tcPr>
          <w:p>
            <w:pPr>
              <w:pStyle w:val="afffffffffffff8"/>
            </w:pPr>
            <w:r>
              <w:rPr>
                <w:rFonts w:cs="Arial"/>
                <w:color w:val="333333"/>
                <w:shd w:val="clear" w:color="auto" w:fill="FFFFFF"/>
              </w:rPr>
              <w:t>2022/05/20</w:t>
            </w:r>
          </w:p>
        </w:tc>
        <w:tc>
          <w:tcPr>
            <w:tcW w:w="427" w:type="pct"/>
            <w:vAlign w:val="center"/>
          </w:tcPr>
          <w:p>
            <w:pPr>
              <w:pStyle w:val="afffffffffffff8"/>
            </w:pPr>
            <w:r>
              <w:rPr>
                <w:rFonts w:cs="Arial"/>
                <w:color w:val="333333"/>
                <w:shd w:val="clear" w:color="auto" w:fill="FFFFFF"/>
              </w:rPr>
              <w:t>2025/05/20</w:t>
            </w:r>
          </w:p>
        </w:tc>
        <w:tc>
          <w:tcPr>
            <w:tcW w:w="284" w:type="pct"/>
            <w:vAlign w:val="center"/>
          </w:tcPr>
          <w:p>
            <w:pPr>
              <w:jc w:val="right"/>
            </w:pPr>
            <w:r>
              <w:rPr>
                <w:rFonts w:hint="eastAsia"/>
              </w:rPr>
              <w:t>25</w:t>
            </w:r>
          </w:p>
        </w:tc>
        <w:tc>
          <w:tcPr>
            <w:tcW w:w="257" w:type="pct"/>
            <w:vAlign w:val="center"/>
          </w:tcPr>
          <w:p>
            <w:pPr>
              <w:jc w:val="right"/>
            </w:pPr>
            <w:r>
              <w:rPr>
                <w:rFonts w:cs="Arial"/>
                <w:color w:val="333333"/>
                <w:shd w:val="clear" w:color="auto" w:fill="FFFFFF"/>
              </w:rPr>
              <w:t>3.28</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widowControl w:val="0"/>
              <w:jc w:val="center"/>
              <w:rPr>
                <w:szCs w:val="21"/>
              </w:rPr>
            </w:pPr>
            <w:r>
              <w:rPr>
                <w:rFonts w:hint="eastAsia"/>
                <w:szCs w:val="21"/>
              </w:rPr>
              <w:t>否</w:t>
            </w:r>
          </w:p>
        </w:tc>
      </w:tr>
      <w:tr>
        <w:trPr>
          <w:jc w:val="center"/>
        </w:trPr>
        <w:tc>
          <w:tcPr>
            <w:tcW w:w="408" w:type="pct"/>
            <w:vAlign w:val="center"/>
          </w:tcPr>
          <w:p>
            <w:pPr>
              <w:pStyle w:val="afffffffffffff8"/>
            </w:pPr>
            <w:r>
              <w:t>2022年度第一期中期票据(品种二)</w:t>
            </w:r>
            <w:r>
              <w:rPr>
                <w:rFonts w:hint="eastAsia"/>
                <w:vertAlign w:val="superscript"/>
              </w:rPr>
              <w:t>②</w:t>
            </w:r>
          </w:p>
        </w:tc>
        <w:tc>
          <w:tcPr>
            <w:tcW w:w="390" w:type="pct"/>
            <w:vAlign w:val="center"/>
          </w:tcPr>
          <w:p>
            <w:pPr>
              <w:rPr>
                <w:rFonts w:cs="Arial"/>
                <w:color w:val="333333"/>
                <w:shd w:val="clear" w:color="auto" w:fill="FFFFFF"/>
              </w:rPr>
            </w:pPr>
            <w:r>
              <w:rPr>
                <w:rFonts w:cs="Arial"/>
                <w:color w:val="333333"/>
                <w:shd w:val="clear" w:color="auto" w:fill="FFFFFF"/>
              </w:rPr>
              <w:t>22</w:t>
            </w:r>
            <w:r>
              <w:rPr>
                <w:rFonts w:cs="Arial" w:hint="eastAsia"/>
                <w:color w:val="333333"/>
                <w:shd w:val="clear" w:color="auto" w:fill="FFFFFF"/>
              </w:rPr>
              <w:t>兖矿能源</w:t>
            </w:r>
            <w:r>
              <w:rPr>
                <w:rFonts w:cs="Arial"/>
                <w:color w:val="333333"/>
                <w:shd w:val="clear" w:color="auto" w:fill="FFFFFF"/>
              </w:rPr>
              <w:t>MTN001B</w:t>
            </w:r>
          </w:p>
        </w:tc>
        <w:tc>
          <w:tcPr>
            <w:tcW w:w="429" w:type="pct"/>
            <w:vAlign w:val="center"/>
          </w:tcPr>
          <w:p>
            <w:pPr>
              <w:rPr>
                <w:rFonts w:cs="Arial"/>
                <w:color w:val="333333"/>
                <w:shd w:val="clear" w:color="auto" w:fill="FFFFFF"/>
              </w:rPr>
            </w:pPr>
            <w:r>
              <w:rPr>
                <w:rFonts w:cs="Arial"/>
                <w:color w:val="333333"/>
                <w:shd w:val="clear" w:color="auto" w:fill="FFFFFF"/>
              </w:rPr>
              <w:t>102281099</w:t>
            </w:r>
          </w:p>
        </w:tc>
        <w:tc>
          <w:tcPr>
            <w:tcW w:w="427" w:type="pct"/>
            <w:vAlign w:val="center"/>
          </w:tcPr>
          <w:p>
            <w:pPr>
              <w:rPr>
                <w:rFonts w:cs="Arial"/>
                <w:color w:val="333333"/>
                <w:shd w:val="clear" w:color="auto" w:fill="FFFFFF"/>
              </w:rPr>
            </w:pPr>
            <w:r>
              <w:rPr>
                <w:rFonts w:cs="Arial"/>
                <w:color w:val="333333"/>
                <w:shd w:val="clear" w:color="auto" w:fill="FFFFFF"/>
              </w:rPr>
              <w:t>2022/05/18</w:t>
            </w:r>
          </w:p>
        </w:tc>
        <w:tc>
          <w:tcPr>
            <w:tcW w:w="427" w:type="pct"/>
            <w:vAlign w:val="center"/>
          </w:tcPr>
          <w:p>
            <w:pPr>
              <w:rPr>
                <w:rFonts w:cs="Arial"/>
                <w:color w:val="333333"/>
                <w:shd w:val="clear" w:color="auto" w:fill="FFFFFF"/>
              </w:rPr>
            </w:pPr>
            <w:r>
              <w:rPr>
                <w:rFonts w:cs="Arial"/>
                <w:color w:val="333333"/>
                <w:shd w:val="clear" w:color="auto" w:fill="FFFFFF"/>
              </w:rPr>
              <w:t>2022/05/20</w:t>
            </w:r>
          </w:p>
        </w:tc>
        <w:tc>
          <w:tcPr>
            <w:tcW w:w="427" w:type="pct"/>
            <w:vAlign w:val="center"/>
          </w:tcPr>
          <w:p>
            <w:pPr>
              <w:rPr>
                <w:rFonts w:cs="Arial"/>
                <w:color w:val="333333"/>
                <w:shd w:val="clear" w:color="auto" w:fill="FFFFFF"/>
              </w:rPr>
            </w:pPr>
            <w:r>
              <w:rPr>
                <w:rFonts w:cs="Arial"/>
                <w:color w:val="333333"/>
                <w:shd w:val="clear" w:color="auto" w:fill="FFFFFF"/>
              </w:rPr>
              <w:t>2027/05/20</w:t>
            </w:r>
          </w:p>
        </w:tc>
        <w:tc>
          <w:tcPr>
            <w:tcW w:w="284" w:type="pct"/>
            <w:vAlign w:val="center"/>
          </w:tcPr>
          <w:p>
            <w:pPr>
              <w:jc w:val="right"/>
            </w:pPr>
            <w:r>
              <w:rPr>
                <w:rFonts w:hint="eastAsia"/>
              </w:rPr>
              <w:t>5</w:t>
            </w:r>
          </w:p>
        </w:tc>
        <w:tc>
          <w:tcPr>
            <w:tcW w:w="257" w:type="pct"/>
            <w:vAlign w:val="center"/>
          </w:tcPr>
          <w:p>
            <w:pPr>
              <w:jc w:val="right"/>
              <w:rPr>
                <w:rFonts w:cs="Arial"/>
                <w:color w:val="333333"/>
                <w:shd w:val="clear" w:color="auto" w:fill="FFFFFF"/>
              </w:rPr>
            </w:pPr>
            <w:r>
              <w:rPr>
                <w:rFonts w:hint="eastAsia"/>
              </w:rPr>
              <w:t>3.71</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t>2022年度第二期中期票据</w:t>
            </w:r>
            <w:r>
              <w:rPr>
                <w:rFonts w:hint="eastAsia"/>
                <w:vertAlign w:val="superscript"/>
              </w:rPr>
              <w:t>③</w:t>
            </w:r>
          </w:p>
        </w:tc>
        <w:tc>
          <w:tcPr>
            <w:tcW w:w="390" w:type="pct"/>
            <w:vAlign w:val="center"/>
          </w:tcPr>
          <w:p>
            <w:pPr>
              <w:rPr>
                <w:rFonts w:cs="Arial"/>
                <w:color w:val="333333"/>
                <w:shd w:val="clear" w:color="auto" w:fill="FFFFFF"/>
              </w:rPr>
            </w:pPr>
            <w:r>
              <w:rPr>
                <w:rFonts w:cs="Arial"/>
                <w:color w:val="333333"/>
                <w:shd w:val="clear" w:color="auto" w:fill="FFFFFF"/>
              </w:rPr>
              <w:t>22</w:t>
            </w:r>
            <w:r>
              <w:rPr>
                <w:rFonts w:cs="Arial" w:hint="eastAsia"/>
                <w:color w:val="333333"/>
                <w:shd w:val="clear" w:color="auto" w:fill="FFFFFF"/>
              </w:rPr>
              <w:t>兖矿能源</w:t>
            </w:r>
            <w:r>
              <w:rPr>
                <w:rFonts w:cs="Arial"/>
                <w:color w:val="333333"/>
                <w:shd w:val="clear" w:color="auto" w:fill="FFFFFF"/>
              </w:rPr>
              <w:t>MTN002</w:t>
            </w:r>
          </w:p>
        </w:tc>
        <w:tc>
          <w:tcPr>
            <w:tcW w:w="429" w:type="pct"/>
            <w:vAlign w:val="center"/>
          </w:tcPr>
          <w:p>
            <w:pPr>
              <w:rPr>
                <w:rFonts w:cs="Arial"/>
                <w:color w:val="333333"/>
                <w:shd w:val="clear" w:color="auto" w:fill="FFFFFF"/>
              </w:rPr>
            </w:pPr>
            <w:r>
              <w:rPr>
                <w:rFonts w:cs="Arial"/>
                <w:color w:val="333333"/>
                <w:shd w:val="clear" w:color="auto" w:fill="FFFFFF"/>
              </w:rPr>
              <w:t>102281229</w:t>
            </w:r>
          </w:p>
        </w:tc>
        <w:tc>
          <w:tcPr>
            <w:tcW w:w="427" w:type="pct"/>
            <w:vAlign w:val="center"/>
          </w:tcPr>
          <w:p>
            <w:pPr>
              <w:rPr>
                <w:rFonts w:cs="Arial"/>
                <w:color w:val="333333"/>
                <w:shd w:val="clear" w:color="auto" w:fill="FFFFFF"/>
              </w:rPr>
            </w:pPr>
            <w:r>
              <w:rPr>
                <w:rFonts w:cs="Arial"/>
                <w:color w:val="333333"/>
                <w:shd w:val="clear" w:color="auto" w:fill="FFFFFF"/>
              </w:rPr>
              <w:t>2022/06/08</w:t>
            </w:r>
          </w:p>
        </w:tc>
        <w:tc>
          <w:tcPr>
            <w:tcW w:w="427" w:type="pct"/>
            <w:vAlign w:val="center"/>
          </w:tcPr>
          <w:p>
            <w:pPr>
              <w:rPr>
                <w:rFonts w:cs="Arial"/>
                <w:color w:val="333333"/>
                <w:shd w:val="clear" w:color="auto" w:fill="FFFFFF"/>
              </w:rPr>
            </w:pPr>
            <w:r>
              <w:rPr>
                <w:rFonts w:cs="Arial"/>
                <w:color w:val="333333"/>
                <w:shd w:val="clear" w:color="auto" w:fill="FFFFFF"/>
              </w:rPr>
              <w:t>2022/06/10</w:t>
            </w:r>
          </w:p>
        </w:tc>
        <w:tc>
          <w:tcPr>
            <w:tcW w:w="427" w:type="pct"/>
            <w:vAlign w:val="center"/>
          </w:tcPr>
          <w:p>
            <w:pPr>
              <w:rPr>
                <w:rFonts w:cs="Arial"/>
                <w:color w:val="333333"/>
                <w:shd w:val="clear" w:color="auto" w:fill="FFFFFF"/>
              </w:rPr>
            </w:pPr>
            <w:r>
              <w:rPr>
                <w:rFonts w:cs="Arial"/>
                <w:color w:val="333333"/>
                <w:shd w:val="clear" w:color="auto" w:fill="FFFFFF"/>
              </w:rPr>
              <w:t>2025/06/10</w:t>
            </w:r>
          </w:p>
        </w:tc>
        <w:tc>
          <w:tcPr>
            <w:tcW w:w="284" w:type="pct"/>
            <w:vAlign w:val="center"/>
          </w:tcPr>
          <w:p>
            <w:pPr>
              <w:jc w:val="right"/>
            </w:pPr>
            <w:r>
              <w:rPr>
                <w:rFonts w:hint="eastAsia"/>
              </w:rPr>
              <w:t>20</w:t>
            </w:r>
          </w:p>
        </w:tc>
        <w:tc>
          <w:tcPr>
            <w:tcW w:w="257" w:type="pct"/>
            <w:vAlign w:val="center"/>
          </w:tcPr>
          <w:p>
            <w:pPr>
              <w:jc w:val="right"/>
            </w:pPr>
            <w:r>
              <w:rPr>
                <w:rFonts w:hint="eastAsia"/>
              </w:rPr>
              <w:t>3.30</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t>2023年度第一期中期票据</w:t>
            </w:r>
            <w:r>
              <w:rPr>
                <w:rFonts w:hint="eastAsia"/>
                <w:vertAlign w:val="superscript"/>
              </w:rPr>
              <w:t>④</w:t>
            </w:r>
          </w:p>
        </w:tc>
        <w:tc>
          <w:tcPr>
            <w:tcW w:w="390" w:type="pct"/>
            <w:vAlign w:val="center"/>
          </w:tcPr>
          <w:p>
            <w:pPr>
              <w:rPr>
                <w:rFonts w:cs="Arial"/>
                <w:color w:val="333333"/>
                <w:shd w:val="clear" w:color="auto" w:fill="FFFFFF"/>
              </w:rPr>
            </w:pPr>
            <w:r>
              <w:rPr>
                <w:rFonts w:cs="Arial"/>
                <w:color w:val="333333"/>
                <w:shd w:val="clear" w:color="auto" w:fill="FFFFFF"/>
              </w:rPr>
              <w:t>23兖矿能源MTN001</w:t>
            </w:r>
          </w:p>
        </w:tc>
        <w:tc>
          <w:tcPr>
            <w:tcW w:w="429" w:type="pct"/>
            <w:vAlign w:val="center"/>
          </w:tcPr>
          <w:p>
            <w:pPr>
              <w:rPr>
                <w:rFonts w:cs="Arial"/>
                <w:color w:val="333333"/>
                <w:shd w:val="clear" w:color="auto" w:fill="FFFFFF"/>
              </w:rPr>
            </w:pPr>
            <w:r>
              <w:rPr>
                <w:rFonts w:cs="Arial"/>
                <w:color w:val="333333"/>
                <w:shd w:val="clear" w:color="auto" w:fill="FFFFFF"/>
              </w:rPr>
              <w:t>102382795</w:t>
            </w:r>
          </w:p>
        </w:tc>
        <w:tc>
          <w:tcPr>
            <w:tcW w:w="427" w:type="pct"/>
            <w:vAlign w:val="center"/>
          </w:tcPr>
          <w:p>
            <w:pPr>
              <w:rPr>
                <w:rFonts w:cs="Arial"/>
                <w:color w:val="333333"/>
                <w:shd w:val="clear" w:color="auto" w:fill="FFFFFF"/>
              </w:rPr>
            </w:pPr>
            <w:r>
              <w:rPr>
                <w:rFonts w:cs="Arial"/>
                <w:color w:val="333333"/>
                <w:shd w:val="clear" w:color="auto" w:fill="FFFFFF"/>
              </w:rPr>
              <w:t>2023</w:t>
            </w:r>
            <w:r>
              <w:rPr>
                <w:rFonts w:cs="Arial" w:hint="eastAsia"/>
                <w:color w:val="333333"/>
                <w:shd w:val="clear" w:color="auto" w:fill="FFFFFF"/>
              </w:rPr>
              <w:t>/</w:t>
            </w:r>
            <w:r>
              <w:rPr>
                <w:rFonts w:cs="Arial"/>
                <w:color w:val="333333"/>
                <w:shd w:val="clear" w:color="auto" w:fill="FFFFFF"/>
              </w:rPr>
              <w:t>10</w:t>
            </w:r>
            <w:r>
              <w:rPr>
                <w:rFonts w:cs="Arial" w:hint="eastAsia"/>
                <w:color w:val="333333"/>
                <w:shd w:val="clear" w:color="auto" w:fill="FFFFFF"/>
              </w:rPr>
              <w:t>/</w:t>
            </w:r>
            <w:r>
              <w:rPr>
                <w:rFonts w:cs="Arial"/>
                <w:color w:val="333333"/>
                <w:shd w:val="clear" w:color="auto" w:fill="FFFFFF"/>
              </w:rPr>
              <w:t>19</w:t>
            </w:r>
          </w:p>
        </w:tc>
        <w:tc>
          <w:tcPr>
            <w:tcW w:w="427" w:type="pct"/>
            <w:vAlign w:val="center"/>
          </w:tcPr>
          <w:p>
            <w:pPr>
              <w:rPr>
                <w:rFonts w:cs="Arial"/>
                <w:color w:val="333333"/>
                <w:shd w:val="clear" w:color="auto" w:fill="FFFFFF"/>
              </w:rPr>
            </w:pPr>
            <w:r>
              <w:rPr>
                <w:rFonts w:cs="Arial"/>
                <w:color w:val="333333"/>
                <w:shd w:val="clear" w:color="auto" w:fill="FFFFFF"/>
              </w:rPr>
              <w:t>2023</w:t>
            </w:r>
            <w:r>
              <w:rPr>
                <w:rFonts w:cs="Arial" w:hint="eastAsia"/>
                <w:color w:val="333333"/>
                <w:shd w:val="clear" w:color="auto" w:fill="FFFFFF"/>
              </w:rPr>
              <w:t>/</w:t>
            </w:r>
            <w:r>
              <w:rPr>
                <w:rFonts w:cs="Arial"/>
                <w:color w:val="333333"/>
                <w:shd w:val="clear" w:color="auto" w:fill="FFFFFF"/>
              </w:rPr>
              <w:t>10</w:t>
            </w:r>
            <w:r>
              <w:rPr>
                <w:rFonts w:cs="Arial" w:hint="eastAsia"/>
                <w:color w:val="333333"/>
                <w:shd w:val="clear" w:color="auto" w:fill="FFFFFF"/>
              </w:rPr>
              <w:t>/</w:t>
            </w:r>
            <w:r>
              <w:rPr>
                <w:rFonts w:cs="Arial"/>
                <w:color w:val="333333"/>
                <w:shd w:val="clear" w:color="auto" w:fill="FFFFFF"/>
              </w:rPr>
              <w:t>23</w:t>
            </w:r>
          </w:p>
        </w:tc>
        <w:tc>
          <w:tcPr>
            <w:tcW w:w="427" w:type="pct"/>
            <w:vAlign w:val="center"/>
          </w:tcPr>
          <w:p>
            <w:pPr>
              <w:rPr>
                <w:rFonts w:cs="Arial"/>
                <w:color w:val="333333"/>
                <w:shd w:val="clear" w:color="auto" w:fill="FFFFFF"/>
              </w:rPr>
            </w:pPr>
            <w:r>
              <w:rPr>
                <w:rFonts w:cs="Arial"/>
                <w:color w:val="333333"/>
                <w:shd w:val="clear" w:color="auto" w:fill="FFFFFF"/>
              </w:rPr>
              <w:t>2025</w:t>
            </w:r>
            <w:r>
              <w:rPr>
                <w:rFonts w:cs="Arial" w:hint="eastAsia"/>
                <w:color w:val="333333"/>
                <w:shd w:val="clear" w:color="auto" w:fill="FFFFFF"/>
              </w:rPr>
              <w:t>/</w:t>
            </w:r>
            <w:r>
              <w:rPr>
                <w:rFonts w:cs="Arial"/>
                <w:color w:val="333333"/>
                <w:shd w:val="clear" w:color="auto" w:fill="FFFFFF"/>
              </w:rPr>
              <w:t>10</w:t>
            </w:r>
            <w:r>
              <w:rPr>
                <w:rFonts w:cs="Arial" w:hint="eastAsia"/>
                <w:color w:val="333333"/>
                <w:shd w:val="clear" w:color="auto" w:fill="FFFFFF"/>
              </w:rPr>
              <w:t>/</w:t>
            </w:r>
            <w:r>
              <w:rPr>
                <w:rFonts w:cs="Arial"/>
                <w:color w:val="333333"/>
                <w:shd w:val="clear" w:color="auto" w:fill="FFFFFF"/>
              </w:rPr>
              <w:t>23</w:t>
            </w:r>
          </w:p>
        </w:tc>
        <w:tc>
          <w:tcPr>
            <w:tcW w:w="284" w:type="pct"/>
            <w:vAlign w:val="center"/>
          </w:tcPr>
          <w:p>
            <w:pPr>
              <w:jc w:val="right"/>
            </w:pPr>
            <w:r>
              <w:rPr>
                <w:rFonts w:hint="eastAsia"/>
              </w:rPr>
              <w:t>20</w:t>
            </w:r>
          </w:p>
        </w:tc>
        <w:tc>
          <w:tcPr>
            <w:tcW w:w="257" w:type="pct"/>
            <w:vAlign w:val="center"/>
          </w:tcPr>
          <w:p>
            <w:pPr>
              <w:jc w:val="right"/>
            </w:pPr>
            <w:r>
              <w:rPr>
                <w:rFonts w:hint="eastAsia"/>
              </w:rPr>
              <w:t>3.40</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t>2023年度第二期中</w:t>
            </w:r>
            <w:r>
              <w:lastRenderedPageBreak/>
              <w:t>期票据(科创票据)</w:t>
            </w:r>
            <w:r>
              <w:rPr>
                <w:rFonts w:hint="eastAsia"/>
                <w:vertAlign w:val="superscript"/>
              </w:rPr>
              <w:t>⑤</w:t>
            </w:r>
          </w:p>
        </w:tc>
        <w:tc>
          <w:tcPr>
            <w:tcW w:w="390" w:type="pct"/>
            <w:vAlign w:val="center"/>
          </w:tcPr>
          <w:p>
            <w:pPr>
              <w:rPr>
                <w:rFonts w:cs="Arial"/>
                <w:color w:val="333333"/>
                <w:shd w:val="clear" w:color="auto" w:fill="FFFFFF"/>
              </w:rPr>
            </w:pPr>
            <w:r>
              <w:rPr>
                <w:rFonts w:cs="Arial"/>
                <w:color w:val="333333"/>
                <w:shd w:val="clear" w:color="auto" w:fill="FFFFFF"/>
              </w:rPr>
              <w:lastRenderedPageBreak/>
              <w:t>23兖矿能源</w:t>
            </w:r>
            <w:r>
              <w:rPr>
                <w:rFonts w:cs="Arial"/>
                <w:color w:val="333333"/>
                <w:shd w:val="clear" w:color="auto" w:fill="FFFFFF"/>
              </w:rPr>
              <w:lastRenderedPageBreak/>
              <w:t>MTN002(科创票据)</w:t>
            </w:r>
          </w:p>
        </w:tc>
        <w:tc>
          <w:tcPr>
            <w:tcW w:w="429" w:type="pct"/>
            <w:vAlign w:val="center"/>
          </w:tcPr>
          <w:p>
            <w:pPr>
              <w:rPr>
                <w:rFonts w:cs="Arial"/>
                <w:color w:val="333333"/>
                <w:shd w:val="clear" w:color="auto" w:fill="FFFFFF"/>
              </w:rPr>
            </w:pPr>
            <w:r>
              <w:rPr>
                <w:rFonts w:cs="Arial"/>
                <w:color w:val="333333"/>
                <w:shd w:val="clear" w:color="auto" w:fill="FFFFFF"/>
              </w:rPr>
              <w:lastRenderedPageBreak/>
              <w:t>102383131</w:t>
            </w:r>
          </w:p>
        </w:tc>
        <w:tc>
          <w:tcPr>
            <w:tcW w:w="427" w:type="pct"/>
            <w:vAlign w:val="center"/>
          </w:tcPr>
          <w:p>
            <w:pPr>
              <w:rPr>
                <w:rFonts w:cs="Arial"/>
                <w:color w:val="333333"/>
                <w:shd w:val="clear" w:color="auto" w:fill="FFFFFF"/>
              </w:rPr>
            </w:pPr>
            <w:r>
              <w:rPr>
                <w:rFonts w:cs="Arial"/>
                <w:color w:val="333333"/>
                <w:shd w:val="clear" w:color="auto" w:fill="FFFFFF"/>
              </w:rPr>
              <w:t>2023</w:t>
            </w:r>
            <w:r>
              <w:rPr>
                <w:rFonts w:cs="Arial" w:hint="eastAsia"/>
                <w:color w:val="333333"/>
                <w:shd w:val="clear" w:color="auto" w:fill="FFFFFF"/>
              </w:rPr>
              <w:t>/</w:t>
            </w:r>
            <w:r>
              <w:rPr>
                <w:rFonts w:cs="Arial"/>
                <w:color w:val="333333"/>
                <w:shd w:val="clear" w:color="auto" w:fill="FFFFFF"/>
              </w:rPr>
              <w:t>11</w:t>
            </w:r>
            <w:r>
              <w:rPr>
                <w:rFonts w:cs="Arial" w:hint="eastAsia"/>
                <w:color w:val="333333"/>
                <w:shd w:val="clear" w:color="auto" w:fill="FFFFFF"/>
              </w:rPr>
              <w:t>/</w:t>
            </w:r>
            <w:r>
              <w:rPr>
                <w:rFonts w:cs="Arial"/>
                <w:color w:val="333333"/>
                <w:shd w:val="clear" w:color="auto" w:fill="FFFFFF"/>
              </w:rPr>
              <w:t>21</w:t>
            </w:r>
          </w:p>
        </w:tc>
        <w:tc>
          <w:tcPr>
            <w:tcW w:w="427" w:type="pct"/>
            <w:vAlign w:val="center"/>
          </w:tcPr>
          <w:p>
            <w:pPr>
              <w:rPr>
                <w:rFonts w:cs="Arial"/>
                <w:color w:val="333333"/>
                <w:shd w:val="clear" w:color="auto" w:fill="FFFFFF"/>
              </w:rPr>
            </w:pPr>
            <w:r>
              <w:rPr>
                <w:rFonts w:cs="Arial"/>
                <w:color w:val="333333"/>
                <w:shd w:val="clear" w:color="auto" w:fill="FFFFFF"/>
              </w:rPr>
              <w:t>2023</w:t>
            </w:r>
            <w:r>
              <w:rPr>
                <w:rFonts w:cs="Arial" w:hint="eastAsia"/>
                <w:color w:val="333333"/>
                <w:shd w:val="clear" w:color="auto" w:fill="FFFFFF"/>
              </w:rPr>
              <w:t>/</w:t>
            </w:r>
            <w:r>
              <w:rPr>
                <w:rFonts w:cs="Arial"/>
                <w:color w:val="333333"/>
                <w:shd w:val="clear" w:color="auto" w:fill="FFFFFF"/>
              </w:rPr>
              <w:t>11</w:t>
            </w:r>
            <w:r>
              <w:rPr>
                <w:rFonts w:cs="Arial" w:hint="eastAsia"/>
                <w:color w:val="333333"/>
                <w:shd w:val="clear" w:color="auto" w:fill="FFFFFF"/>
              </w:rPr>
              <w:t>/</w:t>
            </w:r>
            <w:r>
              <w:rPr>
                <w:rFonts w:cs="Arial"/>
                <w:color w:val="333333"/>
                <w:shd w:val="clear" w:color="auto" w:fill="FFFFFF"/>
              </w:rPr>
              <w:t>23</w:t>
            </w:r>
          </w:p>
        </w:tc>
        <w:tc>
          <w:tcPr>
            <w:tcW w:w="427" w:type="pct"/>
            <w:vAlign w:val="center"/>
          </w:tcPr>
          <w:p>
            <w:pPr>
              <w:rPr>
                <w:rFonts w:cs="Arial"/>
                <w:color w:val="333333"/>
                <w:shd w:val="clear" w:color="auto" w:fill="FFFFFF"/>
              </w:rPr>
            </w:pPr>
            <w:r>
              <w:rPr>
                <w:rFonts w:cs="Arial"/>
                <w:color w:val="333333"/>
                <w:shd w:val="clear" w:color="auto" w:fill="FFFFFF"/>
              </w:rPr>
              <w:t>2025</w:t>
            </w:r>
            <w:r>
              <w:rPr>
                <w:rFonts w:cs="Arial" w:hint="eastAsia"/>
                <w:color w:val="333333"/>
                <w:shd w:val="clear" w:color="auto" w:fill="FFFFFF"/>
              </w:rPr>
              <w:t>/</w:t>
            </w:r>
            <w:r>
              <w:rPr>
                <w:rFonts w:cs="Arial"/>
                <w:color w:val="333333"/>
                <w:shd w:val="clear" w:color="auto" w:fill="FFFFFF"/>
              </w:rPr>
              <w:t>11</w:t>
            </w:r>
            <w:r>
              <w:rPr>
                <w:rFonts w:cs="Arial" w:hint="eastAsia"/>
                <w:color w:val="333333"/>
                <w:shd w:val="clear" w:color="auto" w:fill="FFFFFF"/>
              </w:rPr>
              <w:t>/</w:t>
            </w:r>
            <w:r>
              <w:rPr>
                <w:rFonts w:cs="Arial"/>
                <w:color w:val="333333"/>
                <w:shd w:val="clear" w:color="auto" w:fill="FFFFFF"/>
              </w:rPr>
              <w:t>23</w:t>
            </w:r>
          </w:p>
        </w:tc>
        <w:tc>
          <w:tcPr>
            <w:tcW w:w="284" w:type="pct"/>
            <w:vAlign w:val="center"/>
          </w:tcPr>
          <w:p>
            <w:pPr>
              <w:jc w:val="right"/>
            </w:pPr>
            <w:r>
              <w:rPr>
                <w:rFonts w:hint="eastAsia"/>
              </w:rPr>
              <w:t>30</w:t>
            </w:r>
          </w:p>
        </w:tc>
        <w:tc>
          <w:tcPr>
            <w:tcW w:w="257" w:type="pct"/>
            <w:vAlign w:val="center"/>
          </w:tcPr>
          <w:p>
            <w:pPr>
              <w:jc w:val="right"/>
            </w:pPr>
            <w:r>
              <w:rPr>
                <w:rFonts w:hint="eastAsia"/>
              </w:rPr>
              <w:t>3.16</w:t>
            </w:r>
          </w:p>
        </w:tc>
        <w:tc>
          <w:tcPr>
            <w:tcW w:w="572" w:type="pct"/>
            <w:vAlign w:val="center"/>
          </w:tcPr>
          <w:p>
            <w:pPr>
              <w:rPr>
                <w:szCs w:val="21"/>
              </w:rPr>
            </w:pPr>
            <w:r>
              <w:rPr>
                <w:rFonts w:hint="eastAsia"/>
                <w:szCs w:val="21"/>
              </w:rPr>
              <w:t>每年付息一次，到期一次还本，</w:t>
            </w:r>
            <w:r>
              <w:rPr>
                <w:rFonts w:hint="eastAsia"/>
                <w:szCs w:val="21"/>
              </w:rPr>
              <w:lastRenderedPageBreak/>
              <w:t>最后一期利息随本金一起支付</w:t>
            </w:r>
          </w:p>
        </w:tc>
        <w:tc>
          <w:tcPr>
            <w:tcW w:w="239" w:type="pct"/>
            <w:vAlign w:val="center"/>
          </w:tcPr>
          <w:p>
            <w:pPr>
              <w:rPr>
                <w:szCs w:val="21"/>
              </w:rPr>
            </w:pPr>
            <w:r>
              <w:rPr>
                <w:rFonts w:hint="eastAsia"/>
                <w:szCs w:val="21"/>
              </w:rPr>
              <w:lastRenderedPageBreak/>
              <w:t>银行间债</w:t>
            </w:r>
            <w:r>
              <w:rPr>
                <w:rFonts w:hint="eastAsia"/>
                <w:szCs w:val="21"/>
              </w:rPr>
              <w:lastRenderedPageBreak/>
              <w:t>券市场</w:t>
            </w:r>
          </w:p>
        </w:tc>
        <w:tc>
          <w:tcPr>
            <w:tcW w:w="381" w:type="pct"/>
            <w:vAlign w:val="center"/>
          </w:tcPr>
          <w:p>
            <w:pPr>
              <w:rPr>
                <w:szCs w:val="21"/>
              </w:rPr>
            </w:pPr>
            <w:r>
              <w:rPr>
                <w:rFonts w:hint="eastAsia"/>
                <w:szCs w:val="21"/>
              </w:rPr>
              <w:lastRenderedPageBreak/>
              <w:t>面向银行间债券市</w:t>
            </w:r>
            <w:r>
              <w:rPr>
                <w:rFonts w:hint="eastAsia"/>
                <w:szCs w:val="21"/>
              </w:rPr>
              <w:lastRenderedPageBreak/>
              <w:t>场的机构投资者</w:t>
            </w:r>
          </w:p>
        </w:tc>
        <w:tc>
          <w:tcPr>
            <w:tcW w:w="377" w:type="pct"/>
            <w:vAlign w:val="center"/>
          </w:tcPr>
          <w:p>
            <w:pPr>
              <w:rPr>
                <w:szCs w:val="21"/>
              </w:rPr>
            </w:pPr>
            <w:r>
              <w:rPr>
                <w:rFonts w:hint="eastAsia"/>
                <w:szCs w:val="21"/>
              </w:rPr>
              <w:lastRenderedPageBreak/>
              <w:t>全国银行间债券市</w:t>
            </w:r>
            <w:r>
              <w:rPr>
                <w:rFonts w:hint="eastAsia"/>
                <w:szCs w:val="21"/>
              </w:rPr>
              <w:lastRenderedPageBreak/>
              <w:t>场流通转让</w:t>
            </w:r>
          </w:p>
        </w:tc>
        <w:tc>
          <w:tcPr>
            <w:tcW w:w="381" w:type="pct"/>
            <w:vAlign w:val="center"/>
          </w:tcPr>
          <w:p>
            <w:pPr>
              <w:jc w:val="center"/>
              <w:rPr>
                <w:szCs w:val="21"/>
              </w:rPr>
            </w:pPr>
            <w:r>
              <w:rPr>
                <w:rFonts w:hint="eastAsia"/>
                <w:szCs w:val="21"/>
              </w:rPr>
              <w:lastRenderedPageBreak/>
              <w:t>否</w:t>
            </w:r>
          </w:p>
        </w:tc>
      </w:tr>
      <w:tr>
        <w:trPr>
          <w:jc w:val="center"/>
        </w:trPr>
        <w:tc>
          <w:tcPr>
            <w:tcW w:w="408" w:type="pct"/>
            <w:vAlign w:val="center"/>
          </w:tcPr>
          <w:p>
            <w:pPr>
              <w:pStyle w:val="afffffffffffff8"/>
            </w:pPr>
            <w:r>
              <w:t>2024年度第一期中期票据(科创票据)</w:t>
            </w:r>
            <w:r>
              <w:rPr>
                <w:rFonts w:hint="eastAsia"/>
                <w:vertAlign w:val="superscript"/>
              </w:rPr>
              <w:t>⑥</w:t>
            </w:r>
          </w:p>
        </w:tc>
        <w:tc>
          <w:tcPr>
            <w:tcW w:w="390" w:type="pct"/>
            <w:vAlign w:val="center"/>
          </w:tcPr>
          <w:p>
            <w:pPr>
              <w:rPr>
                <w:rFonts w:cs="Arial"/>
                <w:color w:val="333333"/>
                <w:shd w:val="clear" w:color="auto" w:fill="FFFFFF"/>
              </w:rPr>
            </w:pPr>
            <w:r>
              <w:rPr>
                <w:rFonts w:cs="Arial"/>
                <w:color w:val="333333"/>
                <w:shd w:val="clear" w:color="auto" w:fill="FFFFFF"/>
              </w:rPr>
              <w:t>24兖矿能源MTN001(科创票据)</w:t>
            </w:r>
          </w:p>
        </w:tc>
        <w:tc>
          <w:tcPr>
            <w:tcW w:w="429" w:type="pct"/>
            <w:vAlign w:val="center"/>
          </w:tcPr>
          <w:p>
            <w:pPr>
              <w:rPr>
                <w:rFonts w:cs="Arial"/>
                <w:color w:val="333333"/>
                <w:shd w:val="clear" w:color="auto" w:fill="FFFFFF"/>
              </w:rPr>
            </w:pPr>
            <w:r>
              <w:rPr>
                <w:rFonts w:cs="Arial"/>
                <w:color w:val="333333"/>
                <w:shd w:val="clear" w:color="auto" w:fill="FFFFFF"/>
              </w:rPr>
              <w:t>102480413</w:t>
            </w:r>
          </w:p>
        </w:tc>
        <w:tc>
          <w:tcPr>
            <w:tcW w:w="427" w:type="pct"/>
            <w:vAlign w:val="center"/>
          </w:tcPr>
          <w:p>
            <w:pPr>
              <w:rPr>
                <w:rFonts w:cs="Arial"/>
                <w:color w:val="333333"/>
                <w:shd w:val="clear" w:color="auto" w:fill="FFFFFF"/>
              </w:rPr>
            </w:pPr>
            <w:r>
              <w:rPr>
                <w:rFonts w:cs="Arial"/>
                <w:color w:val="333333"/>
                <w:shd w:val="clear" w:color="auto" w:fill="FFFFFF"/>
              </w:rPr>
              <w:t>2024</w:t>
            </w:r>
            <w:r>
              <w:rPr>
                <w:rFonts w:cs="Arial" w:hint="eastAsia"/>
                <w:color w:val="333333"/>
                <w:shd w:val="clear" w:color="auto" w:fill="FFFFFF"/>
              </w:rPr>
              <w:t>/</w:t>
            </w:r>
            <w:r>
              <w:rPr>
                <w:rFonts w:cs="Arial"/>
                <w:color w:val="333333"/>
                <w:shd w:val="clear" w:color="auto" w:fill="FFFFFF"/>
              </w:rPr>
              <w:t>01</w:t>
            </w:r>
            <w:r>
              <w:rPr>
                <w:rFonts w:cs="Arial" w:hint="eastAsia"/>
                <w:color w:val="333333"/>
                <w:shd w:val="clear" w:color="auto" w:fill="FFFFFF"/>
              </w:rPr>
              <w:t>/</w:t>
            </w:r>
            <w:r>
              <w:rPr>
                <w:rFonts w:cs="Arial"/>
                <w:color w:val="333333"/>
                <w:shd w:val="clear" w:color="auto" w:fill="FFFFFF"/>
              </w:rPr>
              <w:t>31</w:t>
            </w:r>
          </w:p>
        </w:tc>
        <w:tc>
          <w:tcPr>
            <w:tcW w:w="427" w:type="pct"/>
            <w:vAlign w:val="center"/>
          </w:tcPr>
          <w:p>
            <w:pPr>
              <w:rPr>
                <w:rFonts w:cs="Arial"/>
                <w:color w:val="333333"/>
                <w:shd w:val="clear" w:color="auto" w:fill="FFFFFF"/>
              </w:rPr>
            </w:pPr>
            <w:r>
              <w:rPr>
                <w:rFonts w:cs="Arial"/>
                <w:color w:val="333333"/>
                <w:shd w:val="clear" w:color="auto" w:fill="FFFFFF"/>
              </w:rPr>
              <w:t>2024</w:t>
            </w:r>
            <w:r>
              <w:rPr>
                <w:rFonts w:cs="Arial" w:hint="eastAsia"/>
                <w:color w:val="333333"/>
                <w:shd w:val="clear" w:color="auto" w:fill="FFFFFF"/>
              </w:rPr>
              <w:t>/</w:t>
            </w:r>
            <w:r>
              <w:rPr>
                <w:rFonts w:cs="Arial"/>
                <w:color w:val="333333"/>
                <w:shd w:val="clear" w:color="auto" w:fill="FFFFFF"/>
              </w:rPr>
              <w:t>02</w:t>
            </w:r>
            <w:r>
              <w:rPr>
                <w:rFonts w:cs="Arial" w:hint="eastAsia"/>
                <w:color w:val="333333"/>
                <w:shd w:val="clear" w:color="auto" w:fill="FFFFFF"/>
              </w:rPr>
              <w:t>/</w:t>
            </w:r>
            <w:r>
              <w:rPr>
                <w:rFonts w:cs="Arial"/>
                <w:color w:val="333333"/>
                <w:shd w:val="clear" w:color="auto" w:fill="FFFFFF"/>
              </w:rPr>
              <w:t>02</w:t>
            </w:r>
          </w:p>
        </w:tc>
        <w:tc>
          <w:tcPr>
            <w:tcW w:w="427" w:type="pct"/>
            <w:vAlign w:val="center"/>
          </w:tcPr>
          <w:p>
            <w:pPr>
              <w:rPr>
                <w:rFonts w:cs="Arial"/>
                <w:color w:val="333333"/>
                <w:shd w:val="clear" w:color="auto" w:fill="FFFFFF"/>
              </w:rPr>
            </w:pPr>
            <w:r>
              <w:rPr>
                <w:rFonts w:cs="Arial"/>
                <w:color w:val="333333"/>
                <w:shd w:val="clear" w:color="auto" w:fill="FFFFFF"/>
              </w:rPr>
              <w:t>2027</w:t>
            </w:r>
            <w:r>
              <w:rPr>
                <w:rFonts w:cs="Arial" w:hint="eastAsia"/>
                <w:color w:val="333333"/>
                <w:shd w:val="clear" w:color="auto" w:fill="FFFFFF"/>
              </w:rPr>
              <w:t>/</w:t>
            </w:r>
            <w:r>
              <w:rPr>
                <w:rFonts w:cs="Arial"/>
                <w:color w:val="333333"/>
                <w:shd w:val="clear" w:color="auto" w:fill="FFFFFF"/>
              </w:rPr>
              <w:t>02</w:t>
            </w:r>
            <w:r>
              <w:rPr>
                <w:rFonts w:cs="Arial" w:hint="eastAsia"/>
                <w:color w:val="333333"/>
                <w:shd w:val="clear" w:color="auto" w:fill="FFFFFF"/>
              </w:rPr>
              <w:t>/</w:t>
            </w:r>
            <w:r>
              <w:rPr>
                <w:rFonts w:cs="Arial"/>
                <w:color w:val="333333"/>
                <w:shd w:val="clear" w:color="auto" w:fill="FFFFFF"/>
              </w:rPr>
              <w:t>02</w:t>
            </w:r>
          </w:p>
        </w:tc>
        <w:tc>
          <w:tcPr>
            <w:tcW w:w="284" w:type="pct"/>
            <w:vAlign w:val="center"/>
          </w:tcPr>
          <w:p>
            <w:pPr>
              <w:jc w:val="right"/>
            </w:pPr>
            <w:r>
              <w:rPr>
                <w:rFonts w:hint="eastAsia"/>
              </w:rPr>
              <w:t>30</w:t>
            </w:r>
          </w:p>
        </w:tc>
        <w:tc>
          <w:tcPr>
            <w:tcW w:w="257" w:type="pct"/>
            <w:vAlign w:val="center"/>
          </w:tcPr>
          <w:p>
            <w:pPr>
              <w:jc w:val="right"/>
            </w:pPr>
            <w:r>
              <w:rPr>
                <w:rFonts w:hint="eastAsia"/>
              </w:rPr>
              <w:t>2.85</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rPr>
                <w:rFonts w:hint="eastAsia"/>
              </w:rPr>
              <w:t>2024年度第二期中期票据(科创票据)</w:t>
            </w:r>
            <w:r>
              <w:rPr>
                <w:rFonts w:hint="eastAsia"/>
                <w:bCs/>
                <w:color w:val="000000" w:themeColor="text1"/>
                <w:vertAlign w:val="superscript"/>
              </w:rPr>
              <w:t>⑦</w:t>
            </w:r>
          </w:p>
        </w:tc>
        <w:tc>
          <w:tcPr>
            <w:tcW w:w="390" w:type="pct"/>
            <w:vAlign w:val="center"/>
          </w:tcPr>
          <w:p>
            <w:pPr>
              <w:pStyle w:val="afffffffffffff8"/>
            </w:pPr>
            <w:r>
              <w:rPr>
                <w:rFonts w:hint="eastAsia"/>
              </w:rPr>
              <w:t>24兖矿能源MTN002(科创票据)</w:t>
            </w:r>
          </w:p>
        </w:tc>
        <w:tc>
          <w:tcPr>
            <w:tcW w:w="429" w:type="pct"/>
            <w:vAlign w:val="center"/>
          </w:tcPr>
          <w:p>
            <w:pPr>
              <w:pStyle w:val="afffffffffffff8"/>
            </w:pPr>
            <w:r>
              <w:rPr>
                <w:rFonts w:hint="eastAsia"/>
              </w:rPr>
              <w:t>102484700</w:t>
            </w:r>
          </w:p>
        </w:tc>
        <w:tc>
          <w:tcPr>
            <w:tcW w:w="427" w:type="pct"/>
            <w:vAlign w:val="center"/>
          </w:tcPr>
          <w:p>
            <w:pPr>
              <w:pStyle w:val="afffffffffffff8"/>
            </w:pPr>
            <w:r>
              <w:rPr>
                <w:rFonts w:hint="eastAsia"/>
              </w:rPr>
              <w:t>2024/10/28</w:t>
            </w:r>
          </w:p>
        </w:tc>
        <w:tc>
          <w:tcPr>
            <w:tcW w:w="427" w:type="pct"/>
            <w:vAlign w:val="center"/>
          </w:tcPr>
          <w:p>
            <w:pPr>
              <w:pStyle w:val="afffffffffffff8"/>
            </w:pPr>
            <w:r>
              <w:t>2024/10/30</w:t>
            </w:r>
          </w:p>
        </w:tc>
        <w:tc>
          <w:tcPr>
            <w:tcW w:w="427" w:type="pct"/>
            <w:vAlign w:val="center"/>
          </w:tcPr>
          <w:p>
            <w:pPr>
              <w:pStyle w:val="afffffffffffff8"/>
            </w:pPr>
            <w:r>
              <w:t>2026/10/30</w:t>
            </w:r>
          </w:p>
        </w:tc>
        <w:tc>
          <w:tcPr>
            <w:tcW w:w="284" w:type="pct"/>
            <w:vAlign w:val="center"/>
          </w:tcPr>
          <w:p>
            <w:pPr>
              <w:jc w:val="right"/>
            </w:pPr>
            <w:r>
              <w:rPr>
                <w:rFonts w:hint="eastAsia"/>
              </w:rPr>
              <w:t>15</w:t>
            </w:r>
          </w:p>
        </w:tc>
        <w:tc>
          <w:tcPr>
            <w:tcW w:w="257" w:type="pct"/>
            <w:vAlign w:val="center"/>
          </w:tcPr>
          <w:p>
            <w:pPr>
              <w:jc w:val="right"/>
            </w:pPr>
            <w:r>
              <w:rPr>
                <w:rFonts w:hint="eastAsia"/>
              </w:rPr>
              <w:t>2.43</w:t>
            </w:r>
          </w:p>
        </w:tc>
        <w:tc>
          <w:tcPr>
            <w:tcW w:w="572" w:type="pct"/>
            <w:vAlign w:val="center"/>
          </w:tcPr>
          <w:p>
            <w:pPr>
              <w:rPr>
                <w:szCs w:val="21"/>
              </w:rPr>
            </w:pPr>
            <w:r>
              <w:rPr>
                <w:rFonts w:hint="eastAsia"/>
                <w:szCs w:val="21"/>
              </w:rPr>
              <w:t>每年付息一次，到期一次还本，最后一期利息随本金一起支付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rPr>
                <w:rFonts w:hint="eastAsia"/>
              </w:rPr>
              <w:t>2024年度第二期超短期融资券(科创票据)</w:t>
            </w:r>
          </w:p>
        </w:tc>
        <w:tc>
          <w:tcPr>
            <w:tcW w:w="390" w:type="pct"/>
            <w:vAlign w:val="center"/>
          </w:tcPr>
          <w:p>
            <w:pPr>
              <w:pStyle w:val="afffffffffffff8"/>
            </w:pPr>
            <w:r>
              <w:rPr>
                <w:rFonts w:hint="eastAsia"/>
              </w:rPr>
              <w:t>24兖矿能源SCP002(科创票据)</w:t>
            </w:r>
          </w:p>
        </w:tc>
        <w:tc>
          <w:tcPr>
            <w:tcW w:w="429" w:type="pct"/>
            <w:vAlign w:val="center"/>
          </w:tcPr>
          <w:p>
            <w:pPr>
              <w:pStyle w:val="afffffffffffff8"/>
            </w:pPr>
            <w:r>
              <w:rPr>
                <w:rFonts w:hint="eastAsia"/>
              </w:rPr>
              <w:t>012483592</w:t>
            </w:r>
          </w:p>
        </w:tc>
        <w:tc>
          <w:tcPr>
            <w:tcW w:w="427" w:type="pct"/>
            <w:vAlign w:val="center"/>
          </w:tcPr>
          <w:p>
            <w:pPr>
              <w:pStyle w:val="afffffffffffff8"/>
            </w:pPr>
            <w:r>
              <w:rPr>
                <w:rFonts w:hint="eastAsia"/>
              </w:rPr>
              <w:t>2024/11/14</w:t>
            </w:r>
          </w:p>
        </w:tc>
        <w:tc>
          <w:tcPr>
            <w:tcW w:w="427" w:type="pct"/>
            <w:vAlign w:val="center"/>
          </w:tcPr>
          <w:p>
            <w:pPr>
              <w:pStyle w:val="afffffffffffff8"/>
            </w:pPr>
            <w:r>
              <w:rPr>
                <w:rFonts w:hint="eastAsia"/>
              </w:rPr>
              <w:t>2024/11/15</w:t>
            </w:r>
          </w:p>
        </w:tc>
        <w:tc>
          <w:tcPr>
            <w:tcW w:w="427" w:type="pct"/>
            <w:vAlign w:val="center"/>
          </w:tcPr>
          <w:p>
            <w:pPr>
              <w:pStyle w:val="afffffffffffff8"/>
            </w:pPr>
            <w:r>
              <w:rPr>
                <w:rFonts w:hint="eastAsia"/>
              </w:rPr>
              <w:t>2025/08/12</w:t>
            </w:r>
          </w:p>
        </w:tc>
        <w:tc>
          <w:tcPr>
            <w:tcW w:w="284" w:type="pct"/>
            <w:vAlign w:val="center"/>
          </w:tcPr>
          <w:p>
            <w:pPr>
              <w:jc w:val="right"/>
            </w:pPr>
            <w:r>
              <w:rPr>
                <w:rFonts w:hint="eastAsia"/>
              </w:rPr>
              <w:t>30</w:t>
            </w:r>
          </w:p>
        </w:tc>
        <w:tc>
          <w:tcPr>
            <w:tcW w:w="257" w:type="pct"/>
            <w:vAlign w:val="center"/>
          </w:tcPr>
          <w:p>
            <w:pPr>
              <w:jc w:val="right"/>
            </w:pPr>
            <w:r>
              <w:rPr>
                <w:rFonts w:hint="eastAsia"/>
              </w:rPr>
              <w:t>2.02</w:t>
            </w:r>
          </w:p>
        </w:tc>
        <w:tc>
          <w:tcPr>
            <w:tcW w:w="572" w:type="pct"/>
            <w:vAlign w:val="center"/>
          </w:tcPr>
          <w:p>
            <w:pPr>
              <w:rPr>
                <w:szCs w:val="21"/>
              </w:rPr>
            </w:pPr>
            <w:r>
              <w:rPr>
                <w:rFonts w:hint="eastAsia"/>
                <w:szCs w:val="21"/>
              </w:rPr>
              <w:t>到期一次还本，利息随本金一起支付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rPr>
                <w:rFonts w:hint="eastAsia"/>
              </w:rPr>
              <w:t>2024年度第三期中期票据(科创票据)</w:t>
            </w:r>
            <w:r>
              <w:rPr>
                <w:rFonts w:hint="eastAsia"/>
                <w:vertAlign w:val="superscript"/>
              </w:rPr>
              <w:t>⑧</w:t>
            </w:r>
          </w:p>
        </w:tc>
        <w:tc>
          <w:tcPr>
            <w:tcW w:w="390" w:type="pct"/>
            <w:vAlign w:val="center"/>
          </w:tcPr>
          <w:p>
            <w:pPr>
              <w:pStyle w:val="afffffffffffff8"/>
            </w:pPr>
            <w:r>
              <w:rPr>
                <w:rFonts w:hint="eastAsia"/>
              </w:rPr>
              <w:t>24兖矿能源MTN003(科创票据)</w:t>
            </w:r>
          </w:p>
        </w:tc>
        <w:tc>
          <w:tcPr>
            <w:tcW w:w="429" w:type="pct"/>
            <w:vAlign w:val="center"/>
          </w:tcPr>
          <w:p>
            <w:pPr>
              <w:pStyle w:val="afffffffffffff8"/>
            </w:pPr>
            <w:r>
              <w:rPr>
                <w:rFonts w:hint="eastAsia"/>
              </w:rPr>
              <w:t>102485067</w:t>
            </w:r>
          </w:p>
        </w:tc>
        <w:tc>
          <w:tcPr>
            <w:tcW w:w="427" w:type="pct"/>
            <w:vAlign w:val="center"/>
          </w:tcPr>
          <w:p>
            <w:pPr>
              <w:pStyle w:val="afffffffffffff8"/>
            </w:pPr>
            <w:r>
              <w:rPr>
                <w:rFonts w:hint="eastAsia"/>
              </w:rPr>
              <w:t>2024/11/20</w:t>
            </w:r>
          </w:p>
        </w:tc>
        <w:tc>
          <w:tcPr>
            <w:tcW w:w="427" w:type="pct"/>
            <w:vAlign w:val="center"/>
          </w:tcPr>
          <w:p>
            <w:pPr>
              <w:pStyle w:val="afffffffffffff8"/>
            </w:pPr>
            <w:r>
              <w:rPr>
                <w:rFonts w:hint="eastAsia"/>
              </w:rPr>
              <w:t>2024/11/22</w:t>
            </w:r>
          </w:p>
        </w:tc>
        <w:tc>
          <w:tcPr>
            <w:tcW w:w="427" w:type="pct"/>
            <w:vAlign w:val="center"/>
          </w:tcPr>
          <w:p>
            <w:pPr>
              <w:pStyle w:val="afffffffffffff8"/>
            </w:pPr>
            <w:r>
              <w:rPr>
                <w:rFonts w:hint="eastAsia"/>
              </w:rPr>
              <w:t>2026/11/22</w:t>
            </w:r>
          </w:p>
        </w:tc>
        <w:tc>
          <w:tcPr>
            <w:tcW w:w="284" w:type="pct"/>
            <w:vAlign w:val="center"/>
          </w:tcPr>
          <w:p>
            <w:pPr>
              <w:jc w:val="right"/>
            </w:pPr>
            <w:r>
              <w:rPr>
                <w:rFonts w:hint="eastAsia"/>
              </w:rPr>
              <w:t>15</w:t>
            </w:r>
          </w:p>
        </w:tc>
        <w:tc>
          <w:tcPr>
            <w:tcW w:w="257" w:type="pct"/>
            <w:vAlign w:val="center"/>
          </w:tcPr>
          <w:p>
            <w:pPr>
              <w:jc w:val="right"/>
            </w:pPr>
            <w:r>
              <w:rPr>
                <w:rFonts w:hint="eastAsia"/>
              </w:rPr>
              <w:t>2.26</w:t>
            </w:r>
          </w:p>
        </w:tc>
        <w:tc>
          <w:tcPr>
            <w:tcW w:w="572" w:type="pct"/>
            <w:vAlign w:val="center"/>
          </w:tcPr>
          <w:p>
            <w:pPr>
              <w:rPr>
                <w:szCs w:val="21"/>
              </w:rPr>
            </w:pPr>
            <w:r>
              <w:rPr>
                <w:rFonts w:hint="eastAsia"/>
                <w:szCs w:val="21"/>
              </w:rPr>
              <w:t>到期一次还本，利息随本金一起支付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rPr>
                <w:rFonts w:hint="eastAsia"/>
              </w:rPr>
              <w:t>2024年度第四期中期票据</w:t>
            </w:r>
            <w:r>
              <w:rPr>
                <w:rFonts w:hint="eastAsia"/>
                <w:vertAlign w:val="superscript"/>
              </w:rPr>
              <w:t>⑨</w:t>
            </w:r>
          </w:p>
        </w:tc>
        <w:tc>
          <w:tcPr>
            <w:tcW w:w="390" w:type="pct"/>
            <w:vAlign w:val="center"/>
          </w:tcPr>
          <w:p>
            <w:pPr>
              <w:pStyle w:val="afffffffffffff8"/>
            </w:pPr>
            <w:r>
              <w:rPr>
                <w:rFonts w:hint="eastAsia"/>
              </w:rPr>
              <w:t>24兖矿能源MTN004</w:t>
            </w:r>
          </w:p>
        </w:tc>
        <w:tc>
          <w:tcPr>
            <w:tcW w:w="429" w:type="pct"/>
            <w:vAlign w:val="center"/>
          </w:tcPr>
          <w:p>
            <w:pPr>
              <w:pStyle w:val="afffffffffffff8"/>
            </w:pPr>
            <w:r>
              <w:rPr>
                <w:rFonts w:hint="eastAsia"/>
              </w:rPr>
              <w:t>102485351</w:t>
            </w:r>
          </w:p>
        </w:tc>
        <w:tc>
          <w:tcPr>
            <w:tcW w:w="427" w:type="pct"/>
            <w:vAlign w:val="center"/>
          </w:tcPr>
          <w:p>
            <w:pPr>
              <w:pStyle w:val="afffffffffffff8"/>
            </w:pPr>
            <w:r>
              <w:rPr>
                <w:rFonts w:hint="eastAsia"/>
              </w:rPr>
              <w:t>2024/12/09</w:t>
            </w:r>
          </w:p>
        </w:tc>
        <w:tc>
          <w:tcPr>
            <w:tcW w:w="427" w:type="pct"/>
            <w:vAlign w:val="center"/>
          </w:tcPr>
          <w:p>
            <w:pPr>
              <w:pStyle w:val="afffffffffffff8"/>
            </w:pPr>
            <w:r>
              <w:rPr>
                <w:rFonts w:hint="eastAsia"/>
              </w:rPr>
              <w:t>2024/12/11</w:t>
            </w:r>
          </w:p>
        </w:tc>
        <w:tc>
          <w:tcPr>
            <w:tcW w:w="427" w:type="pct"/>
            <w:vAlign w:val="center"/>
          </w:tcPr>
          <w:p>
            <w:pPr>
              <w:pStyle w:val="afffffffffffff8"/>
            </w:pPr>
            <w:r>
              <w:rPr>
                <w:rFonts w:hint="eastAsia"/>
              </w:rPr>
              <w:t>2026/12/11</w:t>
            </w:r>
          </w:p>
        </w:tc>
        <w:tc>
          <w:tcPr>
            <w:tcW w:w="284" w:type="pct"/>
            <w:vAlign w:val="center"/>
          </w:tcPr>
          <w:p>
            <w:pPr>
              <w:jc w:val="right"/>
            </w:pPr>
            <w:r>
              <w:rPr>
                <w:rFonts w:hint="eastAsia"/>
              </w:rPr>
              <w:t>20</w:t>
            </w:r>
          </w:p>
        </w:tc>
        <w:tc>
          <w:tcPr>
            <w:tcW w:w="257" w:type="pct"/>
            <w:vAlign w:val="center"/>
          </w:tcPr>
          <w:p>
            <w:pPr>
              <w:jc w:val="right"/>
            </w:pPr>
            <w:r>
              <w:rPr>
                <w:rFonts w:hint="eastAsia"/>
              </w:rPr>
              <w:t>2.06</w:t>
            </w:r>
          </w:p>
        </w:tc>
        <w:tc>
          <w:tcPr>
            <w:tcW w:w="572" w:type="pct"/>
            <w:vAlign w:val="center"/>
          </w:tcPr>
          <w:p>
            <w:pPr>
              <w:rPr>
                <w:szCs w:val="21"/>
              </w:rPr>
            </w:pPr>
            <w:r>
              <w:rPr>
                <w:rFonts w:hint="eastAsia"/>
                <w:szCs w:val="21"/>
              </w:rPr>
              <w:t>到期一次还本，利息随本金一起支付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r>
        <w:trPr>
          <w:jc w:val="center"/>
        </w:trPr>
        <w:tc>
          <w:tcPr>
            <w:tcW w:w="408" w:type="pct"/>
            <w:vAlign w:val="center"/>
          </w:tcPr>
          <w:p>
            <w:pPr>
              <w:pStyle w:val="afffffffffffff8"/>
            </w:pPr>
            <w:r>
              <w:rPr>
                <w:rFonts w:hint="eastAsia"/>
              </w:rPr>
              <w:t>2024年度第三期超短期融资券</w:t>
            </w:r>
          </w:p>
        </w:tc>
        <w:tc>
          <w:tcPr>
            <w:tcW w:w="390" w:type="pct"/>
            <w:vAlign w:val="center"/>
          </w:tcPr>
          <w:p>
            <w:pPr>
              <w:pStyle w:val="afffffffffffff8"/>
            </w:pPr>
            <w:r>
              <w:rPr>
                <w:rFonts w:hint="eastAsia"/>
              </w:rPr>
              <w:t>24兖矿能源SCP003</w:t>
            </w:r>
          </w:p>
        </w:tc>
        <w:tc>
          <w:tcPr>
            <w:tcW w:w="429" w:type="pct"/>
            <w:vAlign w:val="center"/>
          </w:tcPr>
          <w:p>
            <w:pPr>
              <w:pStyle w:val="afffffffffffff8"/>
            </w:pPr>
            <w:r>
              <w:rPr>
                <w:rFonts w:hint="eastAsia"/>
              </w:rPr>
              <w:t>012484031</w:t>
            </w:r>
          </w:p>
        </w:tc>
        <w:tc>
          <w:tcPr>
            <w:tcW w:w="427" w:type="pct"/>
            <w:vAlign w:val="center"/>
          </w:tcPr>
          <w:p>
            <w:pPr>
              <w:pStyle w:val="afffffffffffff8"/>
            </w:pPr>
            <w:r>
              <w:rPr>
                <w:rFonts w:hint="eastAsia"/>
              </w:rPr>
              <w:t>2024/12/25</w:t>
            </w:r>
          </w:p>
        </w:tc>
        <w:tc>
          <w:tcPr>
            <w:tcW w:w="427" w:type="pct"/>
            <w:vAlign w:val="center"/>
          </w:tcPr>
          <w:p>
            <w:pPr>
              <w:pStyle w:val="afffffffffffff8"/>
            </w:pPr>
            <w:r>
              <w:rPr>
                <w:rFonts w:hint="eastAsia"/>
              </w:rPr>
              <w:t>2024/12/26</w:t>
            </w:r>
          </w:p>
        </w:tc>
        <w:tc>
          <w:tcPr>
            <w:tcW w:w="427" w:type="pct"/>
            <w:vAlign w:val="center"/>
          </w:tcPr>
          <w:p>
            <w:pPr>
              <w:pStyle w:val="afffffffffffff8"/>
            </w:pPr>
            <w:r>
              <w:rPr>
                <w:rFonts w:hint="eastAsia"/>
              </w:rPr>
              <w:t>2025/09/19</w:t>
            </w:r>
          </w:p>
        </w:tc>
        <w:tc>
          <w:tcPr>
            <w:tcW w:w="284" w:type="pct"/>
            <w:vAlign w:val="center"/>
          </w:tcPr>
          <w:p>
            <w:pPr>
              <w:jc w:val="right"/>
            </w:pPr>
            <w:r>
              <w:rPr>
                <w:rFonts w:hint="eastAsia"/>
              </w:rPr>
              <w:t>20</w:t>
            </w:r>
          </w:p>
        </w:tc>
        <w:tc>
          <w:tcPr>
            <w:tcW w:w="257" w:type="pct"/>
            <w:vAlign w:val="center"/>
          </w:tcPr>
          <w:p>
            <w:pPr>
              <w:jc w:val="right"/>
            </w:pPr>
            <w:r>
              <w:rPr>
                <w:rFonts w:hint="eastAsia"/>
              </w:rPr>
              <w:t>1.75</w:t>
            </w:r>
          </w:p>
        </w:tc>
        <w:tc>
          <w:tcPr>
            <w:tcW w:w="572" w:type="pct"/>
            <w:vAlign w:val="center"/>
          </w:tcPr>
          <w:p>
            <w:pPr>
              <w:rPr>
                <w:szCs w:val="21"/>
              </w:rPr>
            </w:pPr>
            <w:r>
              <w:rPr>
                <w:rFonts w:hint="eastAsia"/>
                <w:szCs w:val="21"/>
              </w:rPr>
              <w:t>到期一次还本，利息随本金一起支付</w:t>
            </w:r>
          </w:p>
        </w:tc>
        <w:tc>
          <w:tcPr>
            <w:tcW w:w="239" w:type="pct"/>
            <w:vAlign w:val="center"/>
          </w:tcPr>
          <w:p>
            <w:pPr>
              <w:rPr>
                <w:szCs w:val="21"/>
              </w:rPr>
            </w:pPr>
            <w:r>
              <w:rPr>
                <w:rFonts w:hint="eastAsia"/>
                <w:szCs w:val="21"/>
              </w:rPr>
              <w:t>银行间债券市场</w:t>
            </w:r>
          </w:p>
        </w:tc>
        <w:tc>
          <w:tcPr>
            <w:tcW w:w="381" w:type="pct"/>
            <w:vAlign w:val="center"/>
          </w:tcPr>
          <w:p>
            <w:pPr>
              <w:rPr>
                <w:szCs w:val="21"/>
              </w:rPr>
            </w:pPr>
            <w:r>
              <w:rPr>
                <w:rFonts w:hint="eastAsia"/>
                <w:szCs w:val="21"/>
              </w:rPr>
              <w:t>面向银行间债券市场的机构投资者</w:t>
            </w:r>
          </w:p>
        </w:tc>
        <w:tc>
          <w:tcPr>
            <w:tcW w:w="377" w:type="pct"/>
            <w:vAlign w:val="center"/>
          </w:tcPr>
          <w:p>
            <w:pPr>
              <w:rPr>
                <w:szCs w:val="21"/>
              </w:rPr>
            </w:pPr>
            <w:r>
              <w:rPr>
                <w:rFonts w:hint="eastAsia"/>
                <w:szCs w:val="21"/>
              </w:rPr>
              <w:t>全国银行间债券市场流通转让</w:t>
            </w:r>
          </w:p>
        </w:tc>
        <w:tc>
          <w:tcPr>
            <w:tcW w:w="381" w:type="pct"/>
            <w:vAlign w:val="center"/>
          </w:tcPr>
          <w:p>
            <w:pPr>
              <w:jc w:val="center"/>
              <w:rPr>
                <w:szCs w:val="21"/>
              </w:rPr>
            </w:pPr>
            <w:r>
              <w:rPr>
                <w:rFonts w:hint="eastAsia"/>
                <w:szCs w:val="21"/>
              </w:rPr>
              <w:t>否</w:t>
            </w:r>
          </w:p>
        </w:tc>
      </w:tr>
    </w:tbl>
    <w:p>
      <w:pPr>
        <w:rPr>
          <w:szCs w:val="21"/>
        </w:rPr>
      </w:pPr>
    </w:p>
    <w:p>
      <w:pPr>
        <w:widowControl w:val="0"/>
        <w:ind w:firstLineChars="200" w:firstLine="420"/>
        <w:jc w:val="both"/>
        <w:rPr>
          <w:rFonts w:cs="Times New Roman"/>
          <w:bCs/>
          <w:color w:val="000000"/>
          <w:kern w:val="2"/>
          <w:szCs w:val="22"/>
        </w:rPr>
      </w:pPr>
      <w:bookmarkStart w:id="300" w:name="_Hlk192530025"/>
      <w:r>
        <w:rPr>
          <w:rFonts w:cs="Times New Roman" w:hint="eastAsia"/>
          <w:bCs/>
          <w:color w:val="000000"/>
          <w:kern w:val="2"/>
          <w:szCs w:val="22"/>
        </w:rPr>
        <w:t>注：</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①</w:t>
      </w:r>
      <w:r>
        <w:rPr>
          <w:rFonts w:cs="Times New Roman"/>
          <w:bCs/>
          <w:color w:val="000000"/>
          <w:kern w:val="2"/>
          <w:szCs w:val="22"/>
        </w:rPr>
        <w:t>2022年度第一期中期票据(品种一)以每3个计息年度为1个周期。在每个周期末，公司有权选择将本期中期票据期限延长1个周期（即延长3年），或选择在该周期末到期全额兑付本期中期票据。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lastRenderedPageBreak/>
        <w:t>②</w:t>
      </w:r>
      <w:r>
        <w:rPr>
          <w:rFonts w:cs="Times New Roman"/>
          <w:bCs/>
          <w:color w:val="000000"/>
          <w:kern w:val="2"/>
          <w:szCs w:val="22"/>
        </w:rPr>
        <w:t>2022年度第一期中期票据(品种二)以每5个计息年度为1个周期。在每个周期末，公司有权选择将本期中期票据期限延长1个周期（即延长5年），或选择在该周期末到期全额兑付本期中期票据。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③</w:t>
      </w:r>
      <w:r>
        <w:rPr>
          <w:rFonts w:cs="Times New Roman"/>
          <w:bCs/>
          <w:color w:val="000000"/>
          <w:kern w:val="2"/>
          <w:szCs w:val="22"/>
        </w:rPr>
        <w:t>2022年度第二期中期票据以每3个计息年度为1个周期。在每个周期末，公司有权选择将本期中期票据期限延长1个周期（即延长3年），或选择在该周期末到期全额兑付本期中期票据。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④</w:t>
      </w:r>
      <w:r>
        <w:rPr>
          <w:rFonts w:cs="Times New Roman"/>
          <w:bCs/>
          <w:color w:val="000000"/>
          <w:kern w:val="2"/>
          <w:szCs w:val="22"/>
        </w:rPr>
        <w:t>2023年度第一期中期票据以每2个计息年度为1个周期。在每个周期末，公司有权选择将本期中期票据期限延长1个周期（即延长2年），或选择在该周期末到期全额兑付本期中期票据。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⑤</w:t>
      </w:r>
      <w:r>
        <w:rPr>
          <w:rFonts w:cs="Times New Roman"/>
          <w:bCs/>
          <w:color w:val="000000"/>
          <w:kern w:val="2"/>
          <w:szCs w:val="22"/>
        </w:rPr>
        <w:t>2023年度第二期中期票据（科创票据）以每2个计息年度为1个周期。在每个周期末，公司有权选择将本期中期票据期限延长1个周期（即延长2年），或选择在该周期末到期全额兑付本期中期票据。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⑥</w:t>
      </w:r>
      <w:r>
        <w:rPr>
          <w:rFonts w:cs="Times New Roman"/>
          <w:bCs/>
          <w:color w:val="000000"/>
          <w:kern w:val="2"/>
          <w:szCs w:val="22"/>
        </w:rPr>
        <w:t>2024年度第一期中期票据（科创票据）以每3个计息年度为1个周期。在每个周期末，公司有权选择将本期中期票据期限延长1个周期（即延长3年），或选择在该周期末到期全额兑付本期中期票据。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⑦</w:t>
      </w:r>
      <w:r>
        <w:rPr>
          <w:rFonts w:cs="Times New Roman"/>
          <w:bCs/>
          <w:color w:val="000000"/>
          <w:kern w:val="2"/>
          <w:szCs w:val="22"/>
        </w:rPr>
        <w:t>2024年度第二期中期票据（科创票据）以每2个计息年度为1个周期。在每个周期末，公司有权选择将本期中期票据期限延长1个周期（即延长2年），或选择在该周期末到期全额兑付本期中期票据。</w:t>
      </w:r>
    </w:p>
    <w:p>
      <w:pPr>
        <w:widowControl w:val="0"/>
        <w:ind w:firstLineChars="200" w:firstLine="420"/>
        <w:jc w:val="both"/>
        <w:rPr>
          <w:rFonts w:cs="Times New Roman"/>
          <w:bCs/>
          <w:color w:val="000000"/>
          <w:kern w:val="2"/>
          <w:szCs w:val="22"/>
        </w:rPr>
      </w:pPr>
      <w:r>
        <w:rPr>
          <w:rFonts w:cs="Times New Roman" w:hint="eastAsia"/>
          <w:bCs/>
          <w:color w:val="000000"/>
          <w:kern w:val="2"/>
          <w:szCs w:val="22"/>
        </w:rPr>
        <w:t>⑧</w:t>
      </w:r>
      <w:r>
        <w:rPr>
          <w:rFonts w:cs="Times New Roman"/>
          <w:bCs/>
          <w:color w:val="000000"/>
          <w:kern w:val="2"/>
          <w:szCs w:val="22"/>
        </w:rPr>
        <w:t>2024年度第三期中期票据(科创票据)以每2个计息年度为1个周期。在每个周期末，公司有权选择将本期中期票据期限延长1个周期（即延长2年），或选择在该周期末到期全额兑付本期中期票据。</w:t>
      </w:r>
    </w:p>
    <w:p>
      <w:pPr>
        <w:widowControl w:val="0"/>
        <w:ind w:firstLineChars="200" w:firstLine="420"/>
        <w:jc w:val="both"/>
        <w:rPr>
          <w:rFonts w:cs="Times New Roman"/>
          <w:color w:val="000000"/>
          <w:kern w:val="2"/>
          <w:szCs w:val="22"/>
        </w:rPr>
      </w:pPr>
      <w:r>
        <w:rPr>
          <w:rFonts w:cs="Times New Roman" w:hint="eastAsia"/>
          <w:bCs/>
          <w:color w:val="000000"/>
          <w:kern w:val="2"/>
          <w:szCs w:val="22"/>
        </w:rPr>
        <w:t>⑨</w:t>
      </w:r>
      <w:r>
        <w:rPr>
          <w:rFonts w:cs="Times New Roman"/>
          <w:bCs/>
          <w:color w:val="000000"/>
          <w:kern w:val="2"/>
          <w:szCs w:val="22"/>
        </w:rPr>
        <w:t>2024年度第四期中期票据以每2个计息年度为1个周期。在每个周期末，公司有权选择将本期中期票据期限延长1个周期（即延长2年），或选择在该周期末到期全额兑付本期中期票据。</w:t>
      </w:r>
    </w:p>
    <w:p>
      <w:pPr>
        <w:rPr>
          <w:szCs w:val="21"/>
        </w:rPr>
      </w:pPr>
    </w:p>
    <w:bookmarkEnd w:id="300"/>
    <w:p>
      <w:pPr>
        <w:rPr>
          <w:szCs w:val="21"/>
        </w:rPr>
      </w:pPr>
    </w:p>
    <w:p>
      <w:pPr>
        <w:pStyle w:val="affffffd"/>
      </w:pPr>
      <w:r>
        <w:rPr>
          <w:rFonts w:hint="eastAsia"/>
        </w:rPr>
        <w:t>公司对债券终止上市交易风险的应对措施</w:t>
      </w:r>
    </w:p>
    <w:sdt>
      <w:sdtPr>
        <w:rPr>
          <w:rFonts w:cs="Times New Roman"/>
          <w:bCs/>
          <w:color w:val="000000" w:themeColor="text1"/>
          <w:kern w:val="2"/>
          <w:szCs w:val="21"/>
        </w:rPr>
        <w:alias w:val="是否适用：公司对债券终止上市交易风险的应对措施 [双击切换]"/>
        <w:tag w:val="_GBC_ec6b96e6a98d454dabeebd9fc4c288a4"/>
        <w:id w:val="540950407"/>
        <w:placeholder>
          <w:docPart w:val="GBC22222222222222222222222222222"/>
        </w:placeholder>
      </w:sdtPr>
      <w:sdtContent>
        <w:p>
          <w:pPr>
            <w:rPr>
              <w:color w:val="000000" w:themeColor="text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rFonts w:cs="Times New Roman"/>
          <w:bCs/>
          <w:color w:val="000000" w:themeColor="text1"/>
          <w:kern w:val="2"/>
          <w:szCs w:val="21"/>
        </w:rPr>
      </w:pPr>
    </w:p>
    <w:p>
      <w:pPr>
        <w:pStyle w:val="affffffd"/>
      </w:pPr>
      <w:r>
        <w:t>逾期未偿还债券</w:t>
      </w:r>
    </w:p>
    <w:sdt>
      <w:sdtPr>
        <w:rPr>
          <w:rFonts w:hint="eastAsia"/>
        </w:rPr>
        <w:alias w:val="是否适用：逾期未偿还债券[双击切换]"/>
        <w:tag w:val="_GBC_9c99cad987204456a655097fa5372558"/>
        <w:id w:val="2101523471"/>
        <w:placeholder>
          <w:docPart w:val="GBC22222222222222222222222222222"/>
        </w:placeholder>
      </w:sdtPr>
      <w:sdtContent>
        <w:p>
          <w:pPr>
            <w:pStyle w:val="affffffd"/>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d"/>
        <w:rPr>
          <w:rFonts w:cs="Times New Roman"/>
          <w:bCs/>
          <w:kern w:val="2"/>
          <w:szCs w:val="21"/>
        </w:rPr>
      </w:pPr>
    </w:p>
    <w:p>
      <w:pPr>
        <w:rPr>
          <w:rFonts w:ascii="Arial" w:hAnsi="Arial" w:cs="Times New Roman"/>
          <w:bCs/>
          <w:kern w:val="2"/>
          <w:szCs w:val="21"/>
        </w:rPr>
      </w:pPr>
      <w:r>
        <w:rPr>
          <w:rFonts w:ascii="Arial" w:hAnsi="Arial" w:cs="Times New Roman" w:hint="eastAsia"/>
          <w:bCs/>
          <w:kern w:val="2"/>
          <w:szCs w:val="21"/>
        </w:rPr>
        <w:t>报告期内债券付息兑付情况</w:t>
      </w:r>
    </w:p>
    <w:sdt>
      <w:sdtPr>
        <w:rPr>
          <w:rFonts w:cs="Times New Roman"/>
          <w:bCs/>
          <w:kern w:val="2"/>
          <w:szCs w:val="21"/>
        </w:rPr>
        <w:alias w:val="是否适用：公司债券付息兑付情况 [双击切换]"/>
        <w:tag w:val="_GBC_e28ce686151c403e9669ae8582b4c60f"/>
        <w:id w:val="269664999"/>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9333"/>
      </w:tblGrid>
      <w:tr>
        <w:sdt>
          <w:sdtPr>
            <w:tag w:val="_PLD_91af169d88c349b3a621df004e1105e0"/>
            <w:id w:val="1983030430"/>
          </w:sdtPr>
          <w:sdtContent>
            <w:tc>
              <w:tcPr>
                <w:tcW w:w="1634" w:type="pct"/>
              </w:tcPr>
              <w:p>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tag w:val="_PLD_1d46fa2250da44ce8ce8c06a97ac25e5"/>
            <w:id w:val="-1621984558"/>
          </w:sdtPr>
          <w:sdtContent>
            <w:tc>
              <w:tcPr>
                <w:tcW w:w="3366" w:type="pct"/>
              </w:tcPr>
              <w:p>
                <w:pPr>
                  <w:widowControl w:val="0"/>
                  <w:jc w:val="center"/>
                  <w:rPr>
                    <w:rFonts w:ascii="Arial" w:hAnsi="Arial" w:cs="Times New Roman"/>
                    <w:bCs/>
                    <w:kern w:val="2"/>
                    <w:szCs w:val="21"/>
                  </w:rPr>
                </w:pPr>
                <w:r>
                  <w:rPr>
                    <w:rFonts w:ascii="Arial" w:hAnsi="Arial" w:cs="Times New Roman" w:hint="eastAsia"/>
                    <w:bCs/>
                    <w:kern w:val="2"/>
                    <w:szCs w:val="21"/>
                  </w:rPr>
                  <w:t>付息兑付情况的说明</w:t>
                </w:r>
              </w:p>
            </w:tc>
          </w:sdtContent>
        </w:sdt>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2021年度第二期中期票据</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公司按期支付了本金及利息，未出现违约行为。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2024年度第一期超短期融资券</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公司按期兑付了本金及利息，未出现违约行为。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2021年度第一期中期票据</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2022年度第一期中期票据(品种一)</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lastRenderedPageBreak/>
              <w:t>2022年度第一期中期票据(品种二)</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2022年度第二期中期票据</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2023年度第一期中期票据</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r>
        <w:tc>
          <w:tcPr>
            <w:tcW w:w="1634" w:type="pct"/>
            <w:tcBorders>
              <w:top w:val="single" w:sz="4" w:space="0" w:color="auto"/>
              <w:left w:val="single" w:sz="4" w:space="0" w:color="auto"/>
              <w:bottom w:val="single" w:sz="4" w:space="0" w:color="auto"/>
              <w:right w:val="single" w:sz="4" w:space="0" w:color="auto"/>
            </w:tcBorders>
          </w:tcPr>
          <w:p>
            <w:pPr>
              <w:pStyle w:val="afffffffffffff8"/>
            </w:pPr>
            <w:r>
              <w:t>2023年度第二期中期票据(科创票据)</w:t>
            </w:r>
          </w:p>
        </w:tc>
        <w:tc>
          <w:tcPr>
            <w:tcW w:w="3366" w:type="pct"/>
            <w:tcBorders>
              <w:top w:val="single" w:sz="4" w:space="0" w:color="auto"/>
              <w:left w:val="single" w:sz="4" w:space="0" w:color="auto"/>
              <w:bottom w:val="single" w:sz="4" w:space="0" w:color="auto"/>
              <w:right w:val="single" w:sz="4" w:space="0" w:color="auto"/>
            </w:tcBorders>
          </w:tcPr>
          <w:p>
            <w:pPr>
              <w:pStyle w:val="afffffffffffff8"/>
            </w:pPr>
            <w:r>
              <w:t>公司按期支付了利息，未出现违约行为。</w:t>
            </w:r>
          </w:p>
        </w:tc>
      </w:tr>
    </w:tbl>
    <w:p>
      <w:pPr>
        <w:rPr>
          <w:rFonts w:cs="Times New Roman"/>
          <w:kern w:val="2"/>
          <w:szCs w:val="21"/>
        </w:rPr>
      </w:pPr>
    </w:p>
    <w:p>
      <w:pPr>
        <w:rPr>
          <w:rFonts w:cs="Times New Roman"/>
          <w:kern w:val="2"/>
          <w:szCs w:val="21"/>
        </w:rPr>
      </w:pPr>
      <w:r>
        <w:rPr>
          <w:rFonts w:cs="Times New Roman"/>
          <w:kern w:val="2"/>
          <w:szCs w:val="21"/>
        </w:rPr>
        <w:br w:type="page"/>
      </w:r>
    </w:p>
    <w:p>
      <w:pPr>
        <w:rPr>
          <w:rFonts w:cs="Times New Roman"/>
          <w:kern w:val="2"/>
          <w:szCs w:val="21"/>
        </w:rPr>
      </w:pPr>
    </w:p>
    <w:p>
      <w:pPr>
        <w:pStyle w:val="4"/>
        <w:numPr>
          <w:ilvl w:val="0"/>
          <w:numId w:val="29"/>
        </w:numPr>
        <w:rPr>
          <w:rFonts w:ascii="宋体" w:hAnsi="宋体" w:cs="宋体"/>
          <w:kern w:val="0"/>
          <w:szCs w:val="24"/>
        </w:rPr>
      </w:pPr>
      <w:r>
        <w:rPr>
          <w:rFonts w:ascii="宋体" w:hAnsi="宋体" w:cs="宋体"/>
          <w:kern w:val="0"/>
          <w:szCs w:val="24"/>
        </w:rPr>
        <w:t>公司或投资者选择权条款、投资者保护条款的触发和执行情况</w:t>
      </w:r>
    </w:p>
    <w:sdt>
      <w:sdtPr>
        <w:rPr>
          <w:rFonts w:cs="Times New Roman"/>
          <w:bCs/>
          <w:kern w:val="2"/>
          <w:szCs w:val="21"/>
        </w:rPr>
        <w:alias w:val="是否适用：发行人或投资者选择权条款、投资者保护条款的触发和执行情况[双击切换]"/>
        <w:tag w:val="_GBC_29b68446298e49dbadc3c1f0fccb04bd"/>
        <w:id w:val="594213315"/>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szCs w:val="21"/>
        </w:rPr>
      </w:pPr>
    </w:p>
    <w:p>
      <w:pPr>
        <w:pStyle w:val="4"/>
        <w:numPr>
          <w:ilvl w:val="0"/>
          <w:numId w:val="29"/>
        </w:numPr>
        <w:rPr>
          <w:rFonts w:ascii="宋体" w:hAnsi="宋体" w:cs="宋体"/>
          <w:kern w:val="0"/>
          <w:szCs w:val="24"/>
        </w:rPr>
      </w:pPr>
      <w:r>
        <w:rPr>
          <w:rFonts w:ascii="宋体" w:hAnsi="宋体" w:cs="宋体"/>
          <w:kern w:val="0"/>
          <w:szCs w:val="24"/>
        </w:rPr>
        <w:t>为债券发行及存续期业务提供服务的中介机构</w:t>
      </w:r>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772"/>
        <w:gridCol w:w="2773"/>
        <w:gridCol w:w="2773"/>
        <w:gridCol w:w="2773"/>
      </w:tblGrid>
      <w:tr>
        <w:trPr>
          <w:trHeight w:val="350"/>
        </w:trPr>
        <w:sdt>
          <w:sdtPr>
            <w:tag w:val="_PLD_8eb147e9f61749b38a4e80de160775ed"/>
            <w:id w:val="530082204"/>
          </w:sdtPr>
          <w:sdtEndPr>
            <w:rPr>
              <w:rFonts w:hint="eastAsia"/>
              <w:szCs w:val="21"/>
            </w:rPr>
          </w:sdtEndPr>
          <w:sdtContent>
            <w:tc>
              <w:tcPr>
                <w:tcW w:w="1000" w:type="pct"/>
                <w:vAlign w:val="center"/>
              </w:tcPr>
              <w:p>
                <w:pPr>
                  <w:widowControl w:val="0"/>
                  <w:jc w:val="center"/>
                  <w:rPr>
                    <w:szCs w:val="21"/>
                  </w:rPr>
                </w:pPr>
                <w:r>
                  <w:t>中介</w:t>
                </w:r>
                <w:r>
                  <w:rPr>
                    <w:rFonts w:hint="eastAsia"/>
                    <w:szCs w:val="21"/>
                  </w:rPr>
                  <w:t>机构名称</w:t>
                </w:r>
              </w:p>
            </w:tc>
          </w:sdtContent>
        </w:sdt>
        <w:sdt>
          <w:sdtPr>
            <w:tag w:val="_PLD_d8c755406d384402b6e9db83baed229e"/>
            <w:id w:val="-697930398"/>
          </w:sdtPr>
          <w:sdtContent>
            <w:tc>
              <w:tcPr>
                <w:tcW w:w="1000" w:type="pct"/>
                <w:vAlign w:val="center"/>
              </w:tcPr>
              <w:p>
                <w:pPr>
                  <w:widowControl w:val="0"/>
                  <w:jc w:val="center"/>
                  <w:rPr>
                    <w:szCs w:val="21"/>
                  </w:rPr>
                </w:pPr>
                <w:r>
                  <w:t>办公地址</w:t>
                </w:r>
              </w:p>
            </w:tc>
          </w:sdtContent>
        </w:sdt>
        <w:sdt>
          <w:sdtPr>
            <w:tag w:val="_PLD_5b3a890e8ee146f4b6998072bb63c99d"/>
            <w:id w:val="-1575969750"/>
          </w:sdtPr>
          <w:sdtContent>
            <w:tc>
              <w:tcPr>
                <w:tcW w:w="1000" w:type="pct"/>
                <w:vAlign w:val="center"/>
              </w:tcPr>
              <w:p>
                <w:pPr>
                  <w:widowControl w:val="0"/>
                  <w:jc w:val="center"/>
                  <w:rPr>
                    <w:szCs w:val="21"/>
                  </w:rPr>
                </w:pPr>
                <w:r>
                  <w:t>签字会计师姓名</w:t>
                </w:r>
              </w:p>
            </w:tc>
          </w:sdtContent>
        </w:sdt>
        <w:sdt>
          <w:sdtPr>
            <w:tag w:val="_PLD_05828c1db7714364bc3140c6b14aa392"/>
            <w:id w:val="1594513205"/>
          </w:sdtPr>
          <w:sdtContent>
            <w:tc>
              <w:tcPr>
                <w:tcW w:w="1000" w:type="pct"/>
                <w:vAlign w:val="center"/>
              </w:tcPr>
              <w:p>
                <w:pPr>
                  <w:widowControl w:val="0"/>
                  <w:jc w:val="center"/>
                  <w:rPr>
                    <w:szCs w:val="21"/>
                  </w:rPr>
                </w:pPr>
                <w:r>
                  <w:t>联系人</w:t>
                </w:r>
              </w:p>
            </w:tc>
          </w:sdtContent>
        </w:sdt>
        <w:sdt>
          <w:sdtPr>
            <w:tag w:val="_PLD_0b6d6104bec94adca921a304b7dab0d2"/>
            <w:id w:val="-618302989"/>
          </w:sdtPr>
          <w:sdtContent>
            <w:tc>
              <w:tcPr>
                <w:tcW w:w="1000" w:type="pct"/>
                <w:vAlign w:val="center"/>
              </w:tcPr>
              <w:p>
                <w:pPr>
                  <w:widowControl w:val="0"/>
                  <w:jc w:val="center"/>
                </w:pPr>
                <w:r>
                  <w:t>联系电话</w:t>
                </w:r>
              </w:p>
            </w:tc>
          </w:sdtContent>
        </w:sdt>
      </w:tr>
      <w:tr>
        <w:tc>
          <w:tcPr>
            <w:tcW w:w="1000" w:type="pct"/>
            <w:vAlign w:val="center"/>
          </w:tcPr>
          <w:p>
            <w:pPr>
              <w:jc w:val="both"/>
            </w:pPr>
            <w:r>
              <w:rPr>
                <w:rFonts w:hint="eastAsia"/>
              </w:rPr>
              <w:t>兴业银行股份有限公司</w:t>
            </w:r>
          </w:p>
        </w:tc>
        <w:tc>
          <w:tcPr>
            <w:tcW w:w="1000" w:type="pct"/>
            <w:vAlign w:val="center"/>
          </w:tcPr>
          <w:p>
            <w:pPr>
              <w:jc w:val="both"/>
            </w:pPr>
            <w:r>
              <w:t>福建省福州市台江区江滨中大道398号</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陈思杰、吴钟鸣</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刘春华</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0537-3295720</w:t>
            </w:r>
          </w:p>
        </w:tc>
      </w:tr>
      <w:tr>
        <w:tc>
          <w:tcPr>
            <w:tcW w:w="1000" w:type="pct"/>
            <w:vAlign w:val="center"/>
          </w:tcPr>
          <w:p>
            <w:pPr>
              <w:jc w:val="both"/>
            </w:pPr>
            <w:r>
              <w:rPr>
                <w:rFonts w:hint="eastAsia"/>
              </w:rPr>
              <w:t>招商银行股份有限公司</w:t>
            </w:r>
          </w:p>
        </w:tc>
        <w:tc>
          <w:tcPr>
            <w:tcW w:w="1000" w:type="pct"/>
            <w:vAlign w:val="center"/>
          </w:tcPr>
          <w:p>
            <w:pPr>
              <w:jc w:val="both"/>
            </w:pPr>
            <w:r>
              <w:t>广东省深圳市福田区深南大道7088 号</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吴凌志、孙维琦</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郭菲</w:t>
            </w:r>
          </w:p>
        </w:tc>
        <w:tc>
          <w:tcPr>
            <w:tcW w:w="1000" w:type="pct"/>
            <w:tcBorders>
              <w:top w:val="single" w:sz="4" w:space="0" w:color="auto"/>
              <w:left w:val="single" w:sz="4" w:space="0" w:color="auto"/>
              <w:bottom w:val="single" w:sz="4" w:space="0" w:color="auto"/>
              <w:right w:val="single" w:sz="4" w:space="0" w:color="auto"/>
            </w:tcBorders>
            <w:vAlign w:val="center"/>
          </w:tcPr>
          <w:p>
            <w:pPr>
              <w:widowControl w:val="0"/>
              <w:jc w:val="both"/>
              <w:rPr>
                <w:rFonts w:cs="Times New Roman"/>
                <w:kern w:val="2"/>
                <w:szCs w:val="21"/>
              </w:rPr>
            </w:pPr>
            <w:r>
              <w:rPr>
                <w:rFonts w:hint="eastAsia"/>
              </w:rPr>
              <w:t>0531-55663546</w:t>
            </w:r>
          </w:p>
        </w:tc>
      </w:tr>
      <w:tr>
        <w:tc>
          <w:tcPr>
            <w:tcW w:w="1000" w:type="pct"/>
            <w:vAlign w:val="center"/>
          </w:tcPr>
          <w:p>
            <w:pPr>
              <w:jc w:val="both"/>
            </w:pPr>
            <w:r>
              <w:rPr>
                <w:rFonts w:hint="eastAsia"/>
              </w:rPr>
              <w:t>联合资信评估股份有限公司</w:t>
            </w:r>
          </w:p>
        </w:tc>
        <w:tc>
          <w:tcPr>
            <w:tcW w:w="1000" w:type="pct"/>
            <w:vAlign w:val="center"/>
          </w:tcPr>
          <w:p>
            <w:pPr>
              <w:jc w:val="both"/>
            </w:pPr>
            <w:r>
              <w:t>北京市朝阳区建国门外大街2号中国人保财险大厦17层</w:t>
            </w:r>
          </w:p>
        </w:tc>
        <w:tc>
          <w:tcPr>
            <w:tcW w:w="1000" w:type="pct"/>
            <w:vAlign w:val="center"/>
          </w:tcPr>
          <w:p>
            <w:pPr>
              <w:jc w:val="both"/>
            </w:pPr>
            <w:r>
              <w:t>茆广勤</w:t>
            </w:r>
          </w:p>
        </w:tc>
        <w:tc>
          <w:tcPr>
            <w:tcW w:w="1000" w:type="pct"/>
            <w:vAlign w:val="center"/>
          </w:tcPr>
          <w:p>
            <w:pPr>
              <w:jc w:val="both"/>
            </w:pPr>
            <w:r>
              <w:t>黄烨</w:t>
            </w:r>
          </w:p>
        </w:tc>
        <w:tc>
          <w:tcPr>
            <w:tcW w:w="1000" w:type="pct"/>
            <w:vAlign w:val="center"/>
          </w:tcPr>
          <w:p>
            <w:pPr>
              <w:jc w:val="both"/>
            </w:pPr>
            <w:r>
              <w:t>010-85679696</w:t>
            </w:r>
          </w:p>
        </w:tc>
      </w:tr>
    </w:tbl>
    <w:p>
      <w:pPr>
        <w:rPr>
          <w:szCs w:val="21"/>
        </w:rPr>
      </w:pPr>
    </w:p>
    <w:p>
      <w:pPr>
        <w:pStyle w:val="affffffd"/>
      </w:pPr>
      <w:r>
        <w:t>上述中介机构发生变更的情况</w:t>
      </w:r>
    </w:p>
    <w:sdt>
      <w:sdtPr>
        <w:rPr>
          <w:rFonts w:cs="Times New Roman" w:hint="eastAsia"/>
          <w:bCs/>
          <w:kern w:val="2"/>
          <w:szCs w:val="21"/>
        </w:rPr>
        <w:alias w:val="是否适用：中介机构发生变更的情况[双击切换]"/>
        <w:tag w:val="_GBC_25ec7507c9ce4cc2be25b4cb88ba2dca"/>
        <w:id w:val="-706329109"/>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szCs w:val="21"/>
        </w:rPr>
      </w:pPr>
    </w:p>
    <w:p>
      <w:pPr>
        <w:pStyle w:val="4"/>
        <w:numPr>
          <w:ilvl w:val="0"/>
          <w:numId w:val="29"/>
        </w:numPr>
        <w:rPr>
          <w:rFonts w:ascii="宋体" w:hAnsi="宋体" w:cs="宋体"/>
          <w:kern w:val="0"/>
          <w:szCs w:val="24"/>
        </w:rPr>
      </w:pPr>
      <w:r>
        <w:rPr>
          <w:rFonts w:ascii="宋体" w:hAnsi="宋体" w:cs="宋体"/>
          <w:kern w:val="0"/>
          <w:szCs w:val="24"/>
        </w:rPr>
        <w:t>报告期末募集资金使用情况</w:t>
      </w:r>
    </w:p>
    <w:sdt>
      <w:sdtPr>
        <w:rPr>
          <w:rFonts w:cs="Times New Roman" w:hint="eastAsia"/>
          <w:bCs/>
          <w:kern w:val="2"/>
          <w:szCs w:val="21"/>
        </w:rPr>
        <w:alias w:val="是否适用：报告期末募集资金使用情况[双击切换]"/>
        <w:tag w:val="_GBC_e2bff90301e34c89b1186a3302473621"/>
        <w:id w:val="-1536030158"/>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jc w:val="right"/>
        <w:rPr>
          <w:szCs w:val="21"/>
        </w:rPr>
      </w:pPr>
      <w:r>
        <w:rPr>
          <w:rFonts w:hint="eastAsia"/>
          <w:szCs w:val="21"/>
        </w:rPr>
        <w:t>单位</w:t>
      </w:r>
      <w:r>
        <w:rPr>
          <w:szCs w:val="21"/>
        </w:rPr>
        <w:t>：</w:t>
      </w:r>
      <w:sdt>
        <w:sdtPr>
          <w:rPr>
            <w:szCs w:val="21"/>
          </w:rPr>
          <w:alias w:val="单位：报告期末募集资金使用情况"/>
          <w:tag w:val="_GBC_781679a1f58441f788ba00e507f2fcfc"/>
          <w:id w:val="81176060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szCs w:val="21"/>
            </w:rPr>
            <w:t>亿元</w:t>
          </w:r>
        </w:sdtContent>
      </w:sdt>
      <w:r>
        <w:rPr>
          <w:rFonts w:hint="eastAsia"/>
          <w:szCs w:val="21"/>
        </w:rPr>
        <w:t xml:space="preserve">  币种</w:t>
      </w:r>
      <w:r>
        <w:rPr>
          <w:szCs w:val="21"/>
        </w:rPr>
        <w:t>：</w:t>
      </w:r>
      <w:sdt>
        <w:sdtPr>
          <w:rPr>
            <w:szCs w:val="21"/>
          </w:rPr>
          <w:alias w:val="币种：报告期末募集资金使用情况"/>
          <w:tag w:val="_GBC_8e772a6c82fa412894a1f2364046bc19"/>
          <w:id w:val="307447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Style w:val="affffffffffff7"/>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1978"/>
        <w:gridCol w:w="1978"/>
        <w:gridCol w:w="1978"/>
        <w:gridCol w:w="1977"/>
        <w:gridCol w:w="1977"/>
        <w:gridCol w:w="1980"/>
      </w:tblGrid>
      <w:tr>
        <w:sdt>
          <w:sdtPr>
            <w:tag w:val="_PLD_21943ae0cc5e4a83a88ad7a140d8ae2d"/>
            <w:id w:val="-896356364"/>
          </w:sdtPr>
          <w:sdtContent>
            <w:tc>
              <w:tcPr>
                <w:tcW w:w="714" w:type="pct"/>
                <w:vAlign w:val="center"/>
              </w:tcPr>
              <w:p>
                <w:pPr>
                  <w:widowControl w:val="0"/>
                  <w:jc w:val="center"/>
                  <w:rPr>
                    <w:rFonts w:ascii="Arial" w:hAnsi="Arial" w:cs="Times New Roman"/>
                    <w:bCs/>
                    <w:kern w:val="2"/>
                    <w:szCs w:val="21"/>
                  </w:rPr>
                </w:pPr>
                <w:r>
                  <w:rPr>
                    <w:rFonts w:ascii="Arial" w:hAnsi="Arial" w:cs="Times New Roman"/>
                    <w:bCs/>
                    <w:kern w:val="2"/>
                    <w:szCs w:val="21"/>
                  </w:rPr>
                  <w:t>债券名称</w:t>
                </w:r>
              </w:p>
            </w:tc>
          </w:sdtContent>
        </w:sdt>
        <w:sdt>
          <w:sdtPr>
            <w:tag w:val="_PLD_34521678e26049cbac61848e15a7da9f"/>
            <w:id w:val="-1983995845"/>
          </w:sdtPr>
          <w:sdtContent>
            <w:tc>
              <w:tcPr>
                <w:tcW w:w="714"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募集资金总金额</w:t>
                </w:r>
              </w:p>
            </w:tc>
          </w:sdtContent>
        </w:sdt>
        <w:sdt>
          <w:sdtPr>
            <w:tag w:val="_PLD_83eeda2ccb4047c9b02dfcccd06b2dfa"/>
            <w:id w:val="1221480828"/>
          </w:sdtPr>
          <w:sdtContent>
            <w:tc>
              <w:tcPr>
                <w:tcW w:w="714"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已使用金额</w:t>
                </w:r>
              </w:p>
            </w:tc>
          </w:sdtContent>
        </w:sdt>
        <w:sdt>
          <w:sdtPr>
            <w:tag w:val="_PLD_07703d6483ba4ba28083f27c67e18ea8"/>
            <w:id w:val="1667902991"/>
          </w:sdtPr>
          <w:sdtContent>
            <w:tc>
              <w:tcPr>
                <w:tcW w:w="714"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未使用金额</w:t>
                </w:r>
              </w:p>
            </w:tc>
          </w:sdtContent>
        </w:sdt>
        <w:sdt>
          <w:sdtPr>
            <w:tag w:val="_PLD_25b6db4e0914413b9e918f93d084824e"/>
            <w:id w:val="879817665"/>
          </w:sdtPr>
          <w:sdtContent>
            <w:tc>
              <w:tcPr>
                <w:tcW w:w="714"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募集资金专项账户运作情况（如有）</w:t>
                </w:r>
              </w:p>
            </w:tc>
          </w:sdtContent>
        </w:sdt>
        <w:sdt>
          <w:sdtPr>
            <w:tag w:val="_PLD_928f8b809f424611bebdd3f6fc10174a"/>
            <w:id w:val="-1356570298"/>
          </w:sdtPr>
          <w:sdtContent>
            <w:tc>
              <w:tcPr>
                <w:tcW w:w="714"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募集资金违规使用的整改情况（如有）</w:t>
                </w:r>
              </w:p>
            </w:tc>
          </w:sdtContent>
        </w:sdt>
        <w:sdt>
          <w:sdtPr>
            <w:tag w:val="_PLD_225d8dc7a0b8436cb122184030834813"/>
            <w:id w:val="-11469279"/>
          </w:sdtPr>
          <w:sdtContent>
            <w:tc>
              <w:tcPr>
                <w:tcW w:w="715" w:type="pct"/>
                <w:vAlign w:val="center"/>
              </w:tcPr>
              <w:p>
                <w:pPr>
                  <w:widowControl w:val="0"/>
                  <w:jc w:val="center"/>
                  <w:rPr>
                    <w:rFonts w:ascii="Arial" w:hAnsi="Arial" w:cs="Times New Roman"/>
                    <w:bCs/>
                    <w:kern w:val="2"/>
                    <w:szCs w:val="21"/>
                  </w:rPr>
                </w:pPr>
                <w:r>
                  <w:rPr>
                    <w:rFonts w:ascii="Arial" w:hAnsi="Arial" w:cs="Times New Roman" w:hint="eastAsia"/>
                    <w:bCs/>
                    <w:kern w:val="2"/>
                    <w:szCs w:val="21"/>
                  </w:rPr>
                  <w:t>是否与募集说明书承诺的用途、使用计划及其他约定一致</w:t>
                </w:r>
              </w:p>
            </w:tc>
          </w:sdtContent>
        </w:sdt>
      </w:tr>
      <w:tr>
        <w:tc>
          <w:tcPr>
            <w:tcW w:w="714" w:type="pct"/>
            <w:shd w:val="clear" w:color="auto" w:fill="auto"/>
            <w:vAlign w:val="center"/>
          </w:tcPr>
          <w:p>
            <w:pPr>
              <w:jc w:val="both"/>
            </w:pPr>
            <w:r>
              <w:t>2024年度第一期中期票据(科创票据)</w:t>
            </w:r>
          </w:p>
        </w:tc>
        <w:tc>
          <w:tcPr>
            <w:tcW w:w="714" w:type="pct"/>
            <w:shd w:val="clear" w:color="auto" w:fill="auto"/>
            <w:vAlign w:val="center"/>
          </w:tcPr>
          <w:p>
            <w:pPr>
              <w:jc w:val="right"/>
            </w:pPr>
            <w:r>
              <w:rPr>
                <w:rFonts w:hint="eastAsia"/>
              </w:rPr>
              <w:t>30</w:t>
            </w:r>
          </w:p>
        </w:tc>
        <w:tc>
          <w:tcPr>
            <w:tcW w:w="714" w:type="pct"/>
            <w:shd w:val="clear" w:color="auto" w:fill="auto"/>
            <w:vAlign w:val="center"/>
          </w:tcPr>
          <w:p>
            <w:pPr>
              <w:jc w:val="right"/>
            </w:pPr>
            <w:r>
              <w:rPr>
                <w:rFonts w:hint="eastAsia"/>
              </w:rPr>
              <w:t>30</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sdt>
          <w:sdtPr>
            <w:rPr>
              <w:rFonts w:cs="Times New Roman" w:hint="eastAsia"/>
              <w:bCs/>
              <w:kern w:val="2"/>
              <w:szCs w:val="21"/>
            </w:rPr>
            <w:alias w:val="报告期末募集资金使用情况明细_是否与募集说明书承诺的用途、使用计划及其他约定一致"/>
            <w:tag w:val="_GBC_3cf15c1f62da41c2801ac3a1a5e23619"/>
            <w:id w:val="-1797064765"/>
            <w:comboBox>
              <w:listItem w:displayText="是" w:value="是"/>
              <w:listItem w:displayText="否" w:value="否"/>
            </w:comboBox>
          </w:sdtPr>
          <w:sdtContent>
            <w:tc>
              <w:tcPr>
                <w:tcW w:w="715" w:type="pct"/>
                <w:vAlign w:val="center"/>
              </w:tcPr>
              <w:p>
                <w:pPr>
                  <w:widowControl w:val="0"/>
                  <w:jc w:val="center"/>
                  <w:rPr>
                    <w:rFonts w:cs="Times New Roman"/>
                    <w:bCs/>
                    <w:kern w:val="2"/>
                    <w:szCs w:val="21"/>
                  </w:rPr>
                </w:pPr>
                <w:r>
                  <w:rPr>
                    <w:rFonts w:cs="Times New Roman" w:hint="eastAsia"/>
                    <w:bCs/>
                    <w:kern w:val="2"/>
                    <w:szCs w:val="21"/>
                  </w:rPr>
                  <w:t>是</w:t>
                </w:r>
              </w:p>
            </w:tc>
          </w:sdtContent>
        </w:sdt>
      </w:tr>
      <w:tr>
        <w:tc>
          <w:tcPr>
            <w:tcW w:w="714" w:type="pct"/>
            <w:shd w:val="clear" w:color="auto" w:fill="auto"/>
            <w:vAlign w:val="center"/>
          </w:tcPr>
          <w:p>
            <w:pPr>
              <w:jc w:val="both"/>
            </w:pPr>
            <w:r>
              <w:rPr>
                <w:rFonts w:hint="eastAsia"/>
              </w:rPr>
              <w:t>2024年度第二期中期票据(科创票据)</w:t>
            </w:r>
          </w:p>
        </w:tc>
        <w:tc>
          <w:tcPr>
            <w:tcW w:w="714" w:type="pct"/>
            <w:shd w:val="clear" w:color="auto" w:fill="auto"/>
            <w:vAlign w:val="center"/>
          </w:tcPr>
          <w:p>
            <w:pPr>
              <w:jc w:val="right"/>
            </w:pPr>
            <w:r>
              <w:rPr>
                <w:rFonts w:hint="eastAsia"/>
              </w:rPr>
              <w:t>15</w:t>
            </w:r>
          </w:p>
        </w:tc>
        <w:tc>
          <w:tcPr>
            <w:tcW w:w="714" w:type="pct"/>
            <w:shd w:val="clear" w:color="auto" w:fill="auto"/>
            <w:vAlign w:val="center"/>
          </w:tcPr>
          <w:p>
            <w:pPr>
              <w:jc w:val="right"/>
            </w:pPr>
            <w:r>
              <w:rPr>
                <w:rFonts w:hint="eastAsia"/>
              </w:rPr>
              <w:t>15</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tc>
          <w:tcPr>
            <w:tcW w:w="715" w:type="pct"/>
            <w:vAlign w:val="center"/>
          </w:tcPr>
          <w:p>
            <w:pPr>
              <w:widowControl w:val="0"/>
              <w:jc w:val="center"/>
              <w:rPr>
                <w:rFonts w:cs="Times New Roman"/>
                <w:bCs/>
                <w:kern w:val="2"/>
                <w:szCs w:val="21"/>
              </w:rPr>
            </w:pPr>
            <w:r>
              <w:rPr>
                <w:rFonts w:hint="eastAsia"/>
              </w:rPr>
              <w:t>是</w:t>
            </w:r>
          </w:p>
        </w:tc>
      </w:tr>
      <w:tr>
        <w:tc>
          <w:tcPr>
            <w:tcW w:w="714" w:type="pct"/>
            <w:shd w:val="clear" w:color="auto" w:fill="auto"/>
            <w:vAlign w:val="center"/>
          </w:tcPr>
          <w:p>
            <w:pPr>
              <w:jc w:val="both"/>
            </w:pPr>
            <w:r>
              <w:rPr>
                <w:rFonts w:hint="eastAsia"/>
              </w:rPr>
              <w:lastRenderedPageBreak/>
              <w:t>2024年度第二期超短期融资券(科创票据)</w:t>
            </w:r>
          </w:p>
        </w:tc>
        <w:tc>
          <w:tcPr>
            <w:tcW w:w="714" w:type="pct"/>
            <w:shd w:val="clear" w:color="auto" w:fill="auto"/>
            <w:vAlign w:val="center"/>
          </w:tcPr>
          <w:p>
            <w:pPr>
              <w:jc w:val="right"/>
            </w:pPr>
            <w:r>
              <w:rPr>
                <w:rFonts w:hint="eastAsia"/>
              </w:rPr>
              <w:t>30</w:t>
            </w:r>
          </w:p>
        </w:tc>
        <w:tc>
          <w:tcPr>
            <w:tcW w:w="714" w:type="pct"/>
            <w:shd w:val="clear" w:color="auto" w:fill="auto"/>
            <w:vAlign w:val="center"/>
          </w:tcPr>
          <w:p>
            <w:pPr>
              <w:jc w:val="right"/>
            </w:pPr>
            <w:r>
              <w:rPr>
                <w:rFonts w:hint="eastAsia"/>
              </w:rPr>
              <w:t>30</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tc>
          <w:tcPr>
            <w:tcW w:w="715" w:type="pct"/>
            <w:vAlign w:val="center"/>
          </w:tcPr>
          <w:p>
            <w:pPr>
              <w:jc w:val="center"/>
            </w:pPr>
            <w:r>
              <w:rPr>
                <w:rFonts w:hint="eastAsia"/>
              </w:rPr>
              <w:t>是</w:t>
            </w:r>
          </w:p>
        </w:tc>
      </w:tr>
      <w:tr>
        <w:tc>
          <w:tcPr>
            <w:tcW w:w="714" w:type="pct"/>
            <w:shd w:val="clear" w:color="auto" w:fill="auto"/>
            <w:vAlign w:val="center"/>
          </w:tcPr>
          <w:p>
            <w:pPr>
              <w:jc w:val="both"/>
            </w:pPr>
            <w:r>
              <w:rPr>
                <w:rFonts w:hint="eastAsia"/>
              </w:rPr>
              <w:t>2024年度第三期中期票据(科创票据)</w:t>
            </w:r>
          </w:p>
        </w:tc>
        <w:tc>
          <w:tcPr>
            <w:tcW w:w="714" w:type="pct"/>
            <w:shd w:val="clear" w:color="auto" w:fill="auto"/>
            <w:vAlign w:val="center"/>
          </w:tcPr>
          <w:p>
            <w:pPr>
              <w:jc w:val="right"/>
            </w:pPr>
            <w:r>
              <w:rPr>
                <w:rFonts w:hint="eastAsia"/>
              </w:rPr>
              <w:t>15</w:t>
            </w:r>
          </w:p>
        </w:tc>
        <w:tc>
          <w:tcPr>
            <w:tcW w:w="714" w:type="pct"/>
            <w:shd w:val="clear" w:color="auto" w:fill="auto"/>
            <w:vAlign w:val="center"/>
          </w:tcPr>
          <w:p>
            <w:pPr>
              <w:jc w:val="right"/>
            </w:pPr>
            <w:r>
              <w:rPr>
                <w:rFonts w:hint="eastAsia"/>
              </w:rPr>
              <w:t>15</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tc>
          <w:tcPr>
            <w:tcW w:w="715" w:type="pct"/>
            <w:vAlign w:val="center"/>
          </w:tcPr>
          <w:p>
            <w:pPr>
              <w:jc w:val="center"/>
            </w:pPr>
            <w:r>
              <w:rPr>
                <w:rFonts w:hint="eastAsia"/>
              </w:rPr>
              <w:t>是</w:t>
            </w:r>
          </w:p>
        </w:tc>
      </w:tr>
      <w:tr>
        <w:tc>
          <w:tcPr>
            <w:tcW w:w="714" w:type="pct"/>
            <w:shd w:val="clear" w:color="auto" w:fill="auto"/>
            <w:vAlign w:val="center"/>
          </w:tcPr>
          <w:p>
            <w:pPr>
              <w:jc w:val="both"/>
            </w:pPr>
            <w:r>
              <w:rPr>
                <w:rFonts w:hint="eastAsia"/>
              </w:rPr>
              <w:t>2024年度第四期中期票据</w:t>
            </w:r>
          </w:p>
        </w:tc>
        <w:tc>
          <w:tcPr>
            <w:tcW w:w="714" w:type="pct"/>
            <w:shd w:val="clear" w:color="auto" w:fill="auto"/>
            <w:vAlign w:val="center"/>
          </w:tcPr>
          <w:p>
            <w:pPr>
              <w:jc w:val="right"/>
            </w:pPr>
            <w:r>
              <w:rPr>
                <w:rFonts w:hint="eastAsia"/>
              </w:rPr>
              <w:t>20</w:t>
            </w:r>
          </w:p>
        </w:tc>
        <w:tc>
          <w:tcPr>
            <w:tcW w:w="714" w:type="pct"/>
            <w:shd w:val="clear" w:color="auto" w:fill="auto"/>
            <w:vAlign w:val="center"/>
          </w:tcPr>
          <w:p>
            <w:pPr>
              <w:jc w:val="right"/>
            </w:pPr>
            <w:r>
              <w:rPr>
                <w:rFonts w:hint="eastAsia"/>
              </w:rPr>
              <w:t>20</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tc>
          <w:tcPr>
            <w:tcW w:w="715" w:type="pct"/>
            <w:vAlign w:val="center"/>
          </w:tcPr>
          <w:p>
            <w:pPr>
              <w:jc w:val="center"/>
            </w:pPr>
            <w:r>
              <w:rPr>
                <w:rFonts w:hint="eastAsia"/>
              </w:rPr>
              <w:t>是</w:t>
            </w:r>
          </w:p>
        </w:tc>
      </w:tr>
      <w:tr>
        <w:tc>
          <w:tcPr>
            <w:tcW w:w="714" w:type="pct"/>
            <w:shd w:val="clear" w:color="auto" w:fill="auto"/>
            <w:vAlign w:val="center"/>
          </w:tcPr>
          <w:p>
            <w:pPr>
              <w:jc w:val="both"/>
            </w:pPr>
            <w:r>
              <w:rPr>
                <w:rFonts w:hint="eastAsia"/>
              </w:rPr>
              <w:t>2024年度第三期超短期融资券</w:t>
            </w:r>
          </w:p>
        </w:tc>
        <w:tc>
          <w:tcPr>
            <w:tcW w:w="714" w:type="pct"/>
            <w:shd w:val="clear" w:color="auto" w:fill="auto"/>
            <w:vAlign w:val="center"/>
          </w:tcPr>
          <w:p>
            <w:pPr>
              <w:jc w:val="right"/>
            </w:pPr>
            <w:r>
              <w:rPr>
                <w:rFonts w:hint="eastAsia"/>
              </w:rPr>
              <w:t>20</w:t>
            </w:r>
          </w:p>
        </w:tc>
        <w:tc>
          <w:tcPr>
            <w:tcW w:w="714" w:type="pct"/>
            <w:shd w:val="clear" w:color="auto" w:fill="auto"/>
            <w:vAlign w:val="center"/>
          </w:tcPr>
          <w:p>
            <w:pPr>
              <w:jc w:val="right"/>
            </w:pPr>
            <w:r>
              <w:rPr>
                <w:rFonts w:hint="eastAsia"/>
              </w:rPr>
              <w:t>20</w:t>
            </w:r>
          </w:p>
        </w:tc>
        <w:tc>
          <w:tcPr>
            <w:tcW w:w="714" w:type="pct"/>
            <w:vAlign w:val="center"/>
          </w:tcPr>
          <w:p>
            <w:pPr>
              <w:jc w:val="right"/>
            </w:pPr>
            <w:r>
              <w:rPr>
                <w:rFonts w:hint="eastAsia"/>
              </w:rPr>
              <w:t>0</w:t>
            </w:r>
          </w:p>
        </w:tc>
        <w:tc>
          <w:tcPr>
            <w:tcW w:w="714" w:type="pct"/>
            <w:vAlign w:val="center"/>
          </w:tcPr>
          <w:p>
            <w:pPr>
              <w:jc w:val="center"/>
            </w:pPr>
            <w:r>
              <w:rPr>
                <w:rFonts w:hint="eastAsia"/>
              </w:rPr>
              <w:t>不适用</w:t>
            </w:r>
          </w:p>
        </w:tc>
        <w:tc>
          <w:tcPr>
            <w:tcW w:w="714" w:type="pct"/>
            <w:shd w:val="clear" w:color="auto" w:fill="auto"/>
            <w:vAlign w:val="center"/>
          </w:tcPr>
          <w:p>
            <w:pPr>
              <w:jc w:val="center"/>
            </w:pPr>
            <w:r>
              <w:rPr>
                <w:rFonts w:hint="eastAsia"/>
              </w:rPr>
              <w:t>不适用</w:t>
            </w:r>
          </w:p>
        </w:tc>
        <w:tc>
          <w:tcPr>
            <w:tcW w:w="715" w:type="pct"/>
            <w:vAlign w:val="center"/>
          </w:tcPr>
          <w:p>
            <w:pPr>
              <w:jc w:val="center"/>
            </w:pPr>
            <w:r>
              <w:rPr>
                <w:rFonts w:hint="eastAsia"/>
              </w:rPr>
              <w:t>是</w:t>
            </w:r>
          </w:p>
        </w:tc>
      </w:tr>
    </w:tbl>
    <w:p>
      <w:pPr>
        <w:rPr>
          <w:rFonts w:cs="Times New Roman"/>
          <w:bCs/>
          <w:color w:val="333399"/>
          <w:kern w:val="2"/>
          <w:szCs w:val="21"/>
        </w:rPr>
      </w:pPr>
    </w:p>
    <w:p>
      <w:pPr>
        <w:rPr>
          <w:rFonts w:hAnsi="Arial" w:cs="Times New Roman"/>
          <w:bCs/>
          <w:kern w:val="2"/>
          <w:szCs w:val="21"/>
        </w:rPr>
      </w:pPr>
      <w:r>
        <w:rPr>
          <w:rFonts w:hAnsi="Arial" w:cs="Times New Roman" w:hint="eastAsia"/>
          <w:bCs/>
          <w:kern w:val="2"/>
          <w:szCs w:val="21"/>
        </w:rPr>
        <w:t>募集资金用于建设项目的进展情况及运营效益</w:t>
      </w:r>
    </w:p>
    <w:sdt>
      <w:sdtPr>
        <w:rPr>
          <w:szCs w:val="21"/>
        </w:rPr>
        <w:alias w:val="是否适用：募集资金用于建设项目的进展情况及运营效益[双击切换]"/>
        <w:tag w:val="_GBC_0158e16ca829406aab365a77c67abdd6"/>
        <w:id w:val="1956594418"/>
        <w:placeholder>
          <w:docPart w:val="GBC22222222222222222222222222222"/>
        </w:placeholder>
      </w:sdtPr>
      <w:sdtContent>
        <w:p>
          <w:pPr>
            <w:rPr>
              <w:rFonts w:cs="Times New Roman"/>
              <w:bCs/>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Cs/>
          <w:kern w:val="2"/>
          <w:szCs w:val="21"/>
        </w:rPr>
      </w:pPr>
    </w:p>
    <w:p>
      <w:pPr>
        <w:rPr>
          <w:rFonts w:hAnsi="Arial" w:cs="Times New Roman"/>
          <w:bCs/>
          <w:kern w:val="2"/>
          <w:szCs w:val="21"/>
        </w:rPr>
      </w:pPr>
      <w:r>
        <w:rPr>
          <w:rFonts w:hAnsi="Arial" w:cs="Times New Roman" w:hint="eastAsia"/>
          <w:bCs/>
          <w:kern w:val="2"/>
          <w:szCs w:val="21"/>
        </w:rPr>
        <w:t>报告期内变更上述债券募集资金用途的说明</w:t>
      </w:r>
    </w:p>
    <w:sdt>
      <w:sdtPr>
        <w:rPr>
          <w:szCs w:val="21"/>
        </w:rPr>
        <w:alias w:val="是否适用：报告期内变更上述债券募集资金用途的说明 [双击切换]"/>
        <w:tag w:val="_GBC_370a70d6b5eb4e249f9ee8eaed406096"/>
        <w:id w:val="-1737236689"/>
        <w:placeholder>
          <w:docPart w:val="GBC22222222222222222222222222222"/>
        </w:placeholder>
      </w:sdtPr>
      <w:sdtContent>
        <w:p>
          <w:pPr>
            <w:rPr>
              <w:rFonts w:cs="Times New Roman"/>
              <w:bCs/>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Cs/>
          <w:kern w:val="2"/>
          <w:szCs w:val="21"/>
        </w:rPr>
      </w:pPr>
    </w:p>
    <w:p>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bCs/>
          <w:kern w:val="2"/>
          <w:szCs w:val="21"/>
        </w:rPr>
        <w:alias w:val="是否适用：报告期末募集资金使用情况其他说明[双击切换]"/>
        <w:tag w:val="_GBC_8df3925221de4bd5ba94a9f7c198e0b4"/>
        <w:id w:val="-2044820809"/>
        <w:placeholder>
          <w:docPart w:val="GBC22222222222222222222222222222"/>
        </w:placeholder>
      </w:sdtPr>
      <w:sdtContent>
        <w:p>
          <w:pPr>
            <w:adjustRightInd w:val="0"/>
            <w:snapToGrid w:val="0"/>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rFonts w:cs="Times New Roman"/>
          <w:b/>
          <w:bCs/>
          <w:kern w:val="2"/>
          <w:szCs w:val="21"/>
        </w:rPr>
      </w:pPr>
    </w:p>
    <w:p>
      <w:pPr>
        <w:pStyle w:val="4"/>
        <w:numPr>
          <w:ilvl w:val="0"/>
          <w:numId w:val="29"/>
        </w:numPr>
        <w:rPr>
          <w:rFonts w:ascii="宋体" w:hAnsi="宋体" w:cs="宋体"/>
          <w:kern w:val="0"/>
          <w:szCs w:val="24"/>
        </w:rPr>
      </w:pPr>
      <w:r>
        <w:rPr>
          <w:rFonts w:ascii="宋体" w:hAnsi="宋体" w:cs="宋体"/>
          <w:kern w:val="0"/>
          <w:szCs w:val="24"/>
        </w:rPr>
        <w:t>信用评级结果调整情况</w:t>
      </w:r>
    </w:p>
    <w:sdt>
      <w:sdtPr>
        <w:rPr>
          <w:rFonts w:cs="Times New Roman" w:hint="eastAsia"/>
          <w:bCs/>
          <w:color w:val="000000" w:themeColor="text1"/>
          <w:kern w:val="2"/>
          <w:szCs w:val="21"/>
        </w:rPr>
        <w:alias w:val="是否适用：公司债券评级情况[双击切换]"/>
        <w:tag w:val="_GBC_115a5cf8143a47a693a12973b934caac"/>
        <w:id w:val="63457748"/>
        <w:placeholder>
          <w:docPart w:val="GBC22222222222222222222222222222"/>
        </w:placeholder>
      </w:sdtPr>
      <w:sdtContent>
        <w:p>
          <w:pPr>
            <w:rPr>
              <w:color w:val="000000" w:themeColor="text1"/>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color w:val="000000" w:themeColor="text1"/>
          <w:szCs w:val="21"/>
        </w:rPr>
      </w:pPr>
    </w:p>
    <w:p>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是否适用：信用评级结果调整情况其他说明[双击切换]"/>
        <w:tag w:val="_GBC_3883446d7d7345678f7e29fa32ad18f4"/>
        <w:id w:val="-1547357859"/>
        <w:placeholder>
          <w:docPart w:val="GBC22222222222222222222222222222"/>
        </w:placeholder>
      </w:sdtPr>
      <w:sdtContent>
        <w:p>
          <w:pPr>
            <w:adjustRightInd w:val="0"/>
            <w:snapToGrid w:val="0"/>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rFonts w:cs="Times New Roman"/>
          <w:b/>
          <w:bCs/>
          <w:kern w:val="2"/>
          <w:szCs w:val="21"/>
        </w:rPr>
      </w:pPr>
    </w:p>
    <w:p>
      <w:pPr>
        <w:pStyle w:val="4"/>
        <w:numPr>
          <w:ilvl w:val="0"/>
          <w:numId w:val="29"/>
        </w:numPr>
        <w:rPr>
          <w:rFonts w:ascii="宋体" w:hAnsi="宋体" w:cs="宋体"/>
          <w:kern w:val="0"/>
          <w:szCs w:val="24"/>
        </w:rPr>
      </w:pPr>
      <w:r>
        <w:rPr>
          <w:rFonts w:ascii="宋体" w:hAnsi="宋体" w:cs="宋体"/>
          <w:kern w:val="0"/>
          <w:szCs w:val="24"/>
        </w:rPr>
        <w:t>担保情况、偿债计划及其他偿债保障措施在报告期内的执行和变化情况及其影响</w:t>
      </w:r>
    </w:p>
    <w:sdt>
      <w:sdtPr>
        <w:rPr>
          <w:rFonts w:cs="Times New Roman"/>
          <w:bCs/>
          <w:color w:val="000000" w:themeColor="text1"/>
          <w:kern w:val="2"/>
          <w:szCs w:val="21"/>
        </w:rPr>
        <w:alias w:val="是否适用：担保情况、偿债计划及其他偿债保障措施在报告期内的执行情况和变化情况及对债券投资者权益的影响[双击切换]"/>
        <w:tag w:val="_GBC_4adf3afc9c9f48ddb549dc4296576ba1"/>
        <w:id w:val="536541298"/>
        <w:placeholder>
          <w:docPart w:val="GBC22222222222222222222222222222"/>
        </w:placeholder>
      </w:sdtPr>
      <w:sdtContent>
        <w:p>
          <w:pPr>
            <w:rPr>
              <w:rFonts w:cs="Times New Roman"/>
              <w:bCs/>
              <w:color w:val="000000" w:themeColor="text1"/>
              <w:kern w:val="2"/>
              <w:szCs w:val="21"/>
            </w:rPr>
          </w:pP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□适用 </w:instrText>
          </w:r>
          <w:r>
            <w:rPr>
              <w:rFonts w:cs="Times New Roman"/>
              <w:bCs/>
              <w:color w:val="000000" w:themeColor="text1"/>
              <w:kern w:val="2"/>
              <w:szCs w:val="21"/>
            </w:rPr>
            <w:fldChar w:fldCharType="end"/>
          </w:r>
          <w:r>
            <w:rPr>
              <w:rFonts w:cs="Times New Roman"/>
              <w:bCs/>
              <w:color w:val="000000" w:themeColor="text1"/>
              <w:kern w:val="2"/>
              <w:szCs w:val="21"/>
            </w:rPr>
            <w:fldChar w:fldCharType="begin"/>
          </w:r>
          <w:r>
            <w:rPr>
              <w:rFonts w:cs="Times New Roman"/>
              <w:bCs/>
              <w:color w:val="000000" w:themeColor="text1"/>
              <w:kern w:val="2"/>
              <w:szCs w:val="21"/>
            </w:rPr>
            <w:instrText xml:space="preserve"> MACROBUTTON  SnrToggleCheckbox √不适用 </w:instrText>
          </w:r>
          <w:r>
            <w:rPr>
              <w:rFonts w:cs="Times New Roman"/>
              <w:bCs/>
              <w:color w:val="000000" w:themeColor="text1"/>
              <w:kern w:val="2"/>
              <w:szCs w:val="21"/>
            </w:rPr>
            <w:fldChar w:fldCharType="end"/>
          </w:r>
        </w:p>
      </w:sdtContent>
    </w:sdt>
    <w:p>
      <w:pPr>
        <w:rPr>
          <w:rFonts w:cs="Times New Roman"/>
          <w:bCs/>
          <w:color w:val="000000" w:themeColor="text1"/>
          <w:kern w:val="2"/>
          <w:szCs w:val="21"/>
        </w:rPr>
      </w:pPr>
    </w:p>
    <w:p>
      <w:pPr>
        <w:pStyle w:val="4"/>
        <w:numPr>
          <w:ilvl w:val="0"/>
          <w:numId w:val="29"/>
        </w:numPr>
        <w:rPr>
          <w:rFonts w:ascii="宋体" w:hAnsi="宋体" w:cs="宋体"/>
          <w:kern w:val="0"/>
          <w:szCs w:val="24"/>
        </w:rPr>
      </w:pPr>
      <w:r>
        <w:rPr>
          <w:rFonts w:ascii="宋体" w:hAnsi="宋体" w:cs="宋体"/>
          <w:kern w:val="0"/>
          <w:szCs w:val="24"/>
        </w:rPr>
        <w:lastRenderedPageBreak/>
        <w:t>非金融企业债务融资工具其他情况的说明</w:t>
      </w:r>
    </w:p>
    <w:sdt>
      <w:sdtPr>
        <w:rPr>
          <w:rFonts w:cs="Times New Roman"/>
          <w:bCs/>
          <w:kern w:val="2"/>
          <w:szCs w:val="21"/>
        </w:rPr>
        <w:alias w:val="是否适用：非金融企业债务融资工具其他情况的说明[双击切换]"/>
        <w:tag w:val="_GBC_5899cb6b67de4f5780dbbe891f91a36a"/>
        <w:id w:val="-1867060303"/>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rPr>
          <w:szCs w:val="21"/>
        </w:rPr>
      </w:pPr>
    </w:p>
    <w:bookmarkEnd w:id="299"/>
    <w:p>
      <w:pPr>
        <w:rPr>
          <w:color w:val="000000" w:themeColor="text1"/>
        </w:rPr>
      </w:pPr>
    </w:p>
    <w:p>
      <w:pPr>
        <w:rPr>
          <w:color w:val="000000" w:themeColor="text1"/>
        </w:rPr>
        <w:sectPr>
          <w:pgSz w:w="16838" w:h="11906" w:orient="landscape"/>
          <w:pgMar w:top="1797" w:right="1525" w:bottom="1276" w:left="1440" w:header="856" w:footer="992" w:gutter="0"/>
          <w:cols w:space="425"/>
          <w:docGrid w:linePitch="312"/>
        </w:sectPr>
      </w:pPr>
    </w:p>
    <w:p>
      <w:pPr>
        <w:pStyle w:val="3"/>
        <w:numPr>
          <w:ilvl w:val="0"/>
          <w:numId w:val="24"/>
        </w:numPr>
        <w:ind w:left="425" w:hanging="425"/>
        <w:rPr>
          <w:rFonts w:ascii="宋体" w:hAnsi="宋体"/>
        </w:rPr>
      </w:pPr>
      <w:r>
        <w:rPr>
          <w:rFonts w:ascii="宋体" w:hAnsi="宋体" w:hint="eastAsia"/>
        </w:rPr>
        <w:lastRenderedPageBreak/>
        <w:t>公司报告期内合并报表范围亏损超过上年末净资产10%</w:t>
      </w:r>
    </w:p>
    <w:sdt>
      <w:sdtPr>
        <w:rPr>
          <w:rFonts w:cs="Times New Roman"/>
          <w:bCs/>
          <w:kern w:val="2"/>
          <w:szCs w:val="21"/>
        </w:rPr>
        <w:alias w:val="是否适用：公司报告期内合并报表范围亏损超过上年末净资产10% [双击切换]"/>
        <w:tag w:val="_GBC_a7df93b62ba940818039a51a119d0f02"/>
        <w:id w:val="1131908024"/>
        <w:placeholder>
          <w:docPart w:val="GBC22222222222222222222222222222"/>
        </w:placeholder>
      </w:sdtPr>
      <w:sdtContent>
        <w:p>
          <w:pPr>
            <w:adjustRightInd w:val="0"/>
            <w:snapToGrid w:val="0"/>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adjustRightInd w:val="0"/>
        <w:snapToGrid w:val="0"/>
        <w:rPr>
          <w:rFonts w:cs="Times New Roman"/>
          <w:bCs/>
          <w:kern w:val="2"/>
          <w:szCs w:val="21"/>
        </w:rPr>
      </w:pPr>
    </w:p>
    <w:p>
      <w:pPr>
        <w:pStyle w:val="3"/>
        <w:numPr>
          <w:ilvl w:val="0"/>
          <w:numId w:val="24"/>
        </w:numPr>
        <w:ind w:left="425" w:hanging="425"/>
        <w:rPr>
          <w:rFonts w:ascii="宋体" w:hAnsi="宋体"/>
        </w:rPr>
      </w:pPr>
      <w:bookmarkStart w:id="301" w:name="_Hlk89434058"/>
      <w:bookmarkEnd w:id="245"/>
      <w:r>
        <w:rPr>
          <w:rFonts w:ascii="宋体" w:hAnsi="宋体" w:hint="eastAsia"/>
        </w:rPr>
        <w:t>报告期末除债券外的有息债务逾期情况</w:t>
      </w:r>
    </w:p>
    <w:sdt>
      <w:sdtPr>
        <w:rPr>
          <w:rFonts w:ascii="Arial" w:hAnsi="Arial" w:cs="Times New Roman"/>
          <w:bCs/>
          <w:kern w:val="2"/>
          <w:szCs w:val="21"/>
        </w:rPr>
        <w:alias w:val="是否适用：报告期末除债券外的有息债务逾期情况[双击切换]"/>
        <w:tag w:val="_GBC_0fb37eae114040d9ac80c1e9f3088a62"/>
        <w:id w:val="1726330959"/>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pStyle w:val="affffff5"/>
        <w:rPr>
          <w:rFonts w:ascii="宋体" w:hAnsi="宋体"/>
          <w:strike/>
          <w:szCs w:val="21"/>
        </w:rPr>
      </w:pPr>
    </w:p>
    <w:p>
      <w:pPr>
        <w:pStyle w:val="3"/>
        <w:numPr>
          <w:ilvl w:val="0"/>
          <w:numId w:val="24"/>
        </w:numPr>
        <w:ind w:left="425" w:hanging="425"/>
        <w:rPr>
          <w:rFonts w:ascii="宋体" w:hAnsi="宋体"/>
        </w:rPr>
      </w:pPr>
      <w:bookmarkStart w:id="302" w:name="_Hlk89434062"/>
      <w:bookmarkEnd w:id="301"/>
      <w:r>
        <w:rPr>
          <w:rFonts w:ascii="宋体" w:hAnsi="宋体" w:hint="eastAsia"/>
        </w:rPr>
        <w:t xml:space="preserve"> 报告期内违反法律法规、公司章程、信息披露事务管理制度规定的情况以及债券募集说明书约定或承诺的情况对债券投资者权益的影响</w:t>
      </w:r>
    </w:p>
    <w:sdt>
      <w:sdtPr>
        <w:rPr>
          <w:rFonts w:ascii="Arial" w:hAnsi="Arial" w:cs="Times New Roman"/>
          <w:bCs/>
          <w:kern w:val="2"/>
          <w:szCs w:val="21"/>
        </w:rPr>
        <w:alias w:val="是否适用：报告期内违反情况以及对债券投资者权益的影响 [双击切换]"/>
        <w:tag w:val="_GBC_2a67f483721a40bba3fde88f6d6334e1"/>
        <w:id w:val="83892366"/>
        <w:placeholder>
          <w:docPart w:val="GBC22222222222222222222222222222"/>
        </w:placeholder>
      </w:sdtPr>
      <w:sdtContent>
        <w:p>
          <w:pPr>
            <w:rPr>
              <w:rFonts w:cs="Times New Roman"/>
              <w:bCs/>
              <w:kern w:val="2"/>
              <w:szCs w:val="21"/>
            </w:rPr>
          </w:pPr>
          <w:r>
            <w:rPr>
              <w:rFonts w:cs="Times New Roman"/>
              <w:bCs/>
              <w:kern w:val="2"/>
              <w:szCs w:val="21"/>
            </w:rPr>
            <w:fldChar w:fldCharType="begin"/>
          </w:r>
          <w:r>
            <w:rPr>
              <w:rFonts w:cs="Times New Roman"/>
              <w:bCs/>
              <w:kern w:val="2"/>
              <w:szCs w:val="21"/>
            </w:rPr>
            <w:instrText xml:space="preserve"> MACROBUTTON  SnrToggleCheckbox □适用 </w:instrText>
          </w:r>
          <w:r>
            <w:rPr>
              <w:rFonts w:cs="Times New Roman"/>
              <w:bCs/>
              <w:kern w:val="2"/>
              <w:szCs w:val="21"/>
            </w:rPr>
            <w:fldChar w:fldCharType="end"/>
          </w:r>
          <w:r>
            <w:rPr>
              <w:rFonts w:cs="Times New Roman"/>
              <w:bCs/>
              <w:kern w:val="2"/>
              <w:szCs w:val="21"/>
            </w:rPr>
            <w:fldChar w:fldCharType="begin"/>
          </w:r>
          <w:r>
            <w:rPr>
              <w:rFonts w:cs="Times New Roman"/>
              <w:bCs/>
              <w:kern w:val="2"/>
              <w:szCs w:val="21"/>
            </w:rPr>
            <w:instrText xml:space="preserve"> MACROBUTTON  SnrToggleCheckbox √不适用 </w:instrText>
          </w:r>
          <w:r>
            <w:rPr>
              <w:rFonts w:cs="Times New Roman"/>
              <w:bCs/>
              <w:kern w:val="2"/>
              <w:szCs w:val="21"/>
            </w:rPr>
            <w:fldChar w:fldCharType="end"/>
          </w:r>
        </w:p>
      </w:sdtContent>
    </w:sdt>
    <w:p>
      <w:pPr>
        <w:spacing w:line="360" w:lineRule="auto"/>
        <w:rPr>
          <w:rFonts w:cs="Times New Roman"/>
          <w:bCs/>
          <w:kern w:val="2"/>
          <w:szCs w:val="21"/>
        </w:rPr>
      </w:pPr>
    </w:p>
    <w:bookmarkEnd w:id="302"/>
    <w:p>
      <w:pPr>
        <w:pStyle w:val="3"/>
        <w:numPr>
          <w:ilvl w:val="0"/>
          <w:numId w:val="24"/>
        </w:numPr>
        <w:ind w:left="425" w:hanging="425"/>
        <w:rPr>
          <w:rFonts w:ascii="宋体" w:hAnsi="宋体"/>
        </w:rPr>
      </w:pPr>
      <w:r>
        <w:rPr>
          <w:rFonts w:ascii="宋体" w:hAnsi="宋体" w:hint="eastAsia"/>
        </w:rPr>
        <w:t>截至报告期末公司近2年的会计数据和财务指标</w:t>
      </w:r>
    </w:p>
    <w:sdt>
      <w:sdtPr>
        <w:alias w:val="是否适用：截至报告期末公司近2年的会计数据和财务指标 [双击切换]"/>
        <w:tag w:val="_GBC_9d2e3e6ec7ce4a28bb2670635d7fa055"/>
        <w:id w:val="1422685593"/>
        <w:placeholder>
          <w:docPart w:val="GBC22222222222222222222222222222"/>
        </w:placeholder>
      </w:sdtPr>
      <w:sdtContent>
        <w:p>
          <w:pPr>
            <w:pStyle w:val="affffffd"/>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9099966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szCs w:val="21"/>
            </w:rPr>
            <w:t>万元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505207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szCs w:val="21"/>
            </w:rPr>
            <w:t>人民币</w:t>
          </w:r>
        </w:sdtContent>
      </w:sdt>
    </w:p>
    <w:tbl>
      <w:tblPr>
        <w:tblStyle w:val="affffffffffff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0"/>
        <w:gridCol w:w="1558"/>
        <w:gridCol w:w="1419"/>
        <w:gridCol w:w="2386"/>
      </w:tblGrid>
      <w:tr>
        <w:bookmarkEnd w:id="247" w:displacedByCustomXml="next"/>
        <w:sdt>
          <w:sdtPr>
            <w:tag w:val="_PLD_c4a92f21073e443f9446ff7111fb6224"/>
            <w:id w:val="1819691923"/>
          </w:sdtPr>
          <w:sdtContent>
            <w:tc>
              <w:tcPr>
                <w:tcW w:w="1961" w:type="pct"/>
                <w:vAlign w:val="center"/>
              </w:tcPr>
              <w:p>
                <w:pPr>
                  <w:jc w:val="center"/>
                  <w:rPr>
                    <w:rFonts w:ascii="Arial" w:hAnsi="Arial" w:cs="Times New Roman"/>
                    <w:b/>
                    <w:bCs/>
                    <w:szCs w:val="21"/>
                  </w:rPr>
                </w:pPr>
                <w:r>
                  <w:rPr>
                    <w:rFonts w:hint="eastAsia"/>
                    <w:szCs w:val="21"/>
                  </w:rPr>
                  <w:t>主要指标</w:t>
                </w:r>
              </w:p>
            </w:tc>
          </w:sdtContent>
        </w:sdt>
        <w:sdt>
          <w:sdtPr>
            <w:tag w:val="_PLD_bf5e3f06dc4c4abe895553a22a037989"/>
            <w:id w:val="-1787342928"/>
          </w:sdtPr>
          <w:sdtContent>
            <w:tc>
              <w:tcPr>
                <w:tcW w:w="883" w:type="pct"/>
                <w:vAlign w:val="center"/>
              </w:tcPr>
              <w:p>
                <w:pPr>
                  <w:jc w:val="center"/>
                  <w:rPr>
                    <w:szCs w:val="21"/>
                  </w:rPr>
                </w:pPr>
                <w:r>
                  <w:rPr>
                    <w:rFonts w:hint="eastAsia"/>
                    <w:szCs w:val="21"/>
                  </w:rPr>
                  <w:t>2024年</w:t>
                </w:r>
              </w:p>
            </w:tc>
          </w:sdtContent>
        </w:sdt>
        <w:sdt>
          <w:sdtPr>
            <w:tag w:val="_PLD_69413ee8ca194bb698daae7502cf06f5"/>
            <w:id w:val="1884983737"/>
          </w:sdtPr>
          <w:sdtContent>
            <w:tc>
              <w:tcPr>
                <w:tcW w:w="804" w:type="pct"/>
                <w:vAlign w:val="center"/>
              </w:tcPr>
              <w:p>
                <w:pPr>
                  <w:jc w:val="center"/>
                  <w:rPr>
                    <w:szCs w:val="21"/>
                  </w:rPr>
                </w:pPr>
                <w:r>
                  <w:rPr>
                    <w:rFonts w:hint="eastAsia"/>
                    <w:szCs w:val="21"/>
                  </w:rPr>
                  <w:t>2023年</w:t>
                </w:r>
              </w:p>
            </w:tc>
          </w:sdtContent>
        </w:sdt>
        <w:sdt>
          <w:sdtPr>
            <w:tag w:val="_PLD_427de963d346444483f4ac9d33260078"/>
            <w:id w:val="-1223598229"/>
          </w:sdtPr>
          <w:sdtContent>
            <w:tc>
              <w:tcPr>
                <w:tcW w:w="1352" w:type="pct"/>
                <w:vAlign w:val="center"/>
              </w:tcPr>
              <w:p>
                <w:pPr>
                  <w:jc w:val="center"/>
                  <w:rPr>
                    <w:szCs w:val="21"/>
                  </w:rPr>
                </w:pPr>
                <w:r>
                  <w:rPr>
                    <w:rFonts w:hint="eastAsia"/>
                    <w:szCs w:val="21"/>
                  </w:rPr>
                  <w:t>本期比上年同期增减（%）</w:t>
                </w:r>
              </w:p>
            </w:tc>
          </w:sdtContent>
        </w:sdt>
      </w:tr>
      <w:tr>
        <w:tc>
          <w:tcPr>
            <w:tcW w:w="1961" w:type="pct"/>
          </w:tcPr>
          <w:p>
            <w:pPr>
              <w:pStyle w:val="affffffd"/>
            </w:pPr>
            <w:r>
              <w:rPr>
                <w:rFonts w:hint="eastAsia"/>
              </w:rPr>
              <w:t>归属于上市公司股东的扣除非经常性损益的净利润</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t>1,389,062</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t>1,859,095</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t xml:space="preserve">-25.28 </w:t>
            </w:r>
          </w:p>
        </w:tc>
      </w:tr>
      <w:tr>
        <w:tc>
          <w:tcPr>
            <w:tcW w:w="1961" w:type="pct"/>
          </w:tcPr>
          <w:p>
            <w:pPr>
              <w:rPr>
                <w:szCs w:val="21"/>
              </w:rPr>
            </w:pPr>
            <w:r>
              <w:rPr>
                <w:rFonts w:hint="eastAsia"/>
                <w:szCs w:val="21"/>
              </w:rPr>
              <w:t>流动比率</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t>0.83</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t>0.78</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t>6.21</w:t>
            </w:r>
          </w:p>
        </w:tc>
      </w:tr>
      <w:tr>
        <w:tc>
          <w:tcPr>
            <w:tcW w:w="1961" w:type="pct"/>
          </w:tcPr>
          <w:p>
            <w:pPr>
              <w:rPr>
                <w:szCs w:val="21"/>
              </w:rPr>
            </w:pPr>
            <w:r>
              <w:rPr>
                <w:rFonts w:hint="eastAsia"/>
                <w:szCs w:val="21"/>
              </w:rPr>
              <w:t>速动比率</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t>0.72</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t>0.67</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t>6.64</w:t>
            </w:r>
          </w:p>
        </w:tc>
      </w:tr>
      <w:tr>
        <w:tc>
          <w:tcPr>
            <w:tcW w:w="1961" w:type="pct"/>
          </w:tcPr>
          <w:p>
            <w:pPr>
              <w:rPr>
                <w:szCs w:val="21"/>
              </w:rPr>
            </w:pPr>
            <w:r>
              <w:rPr>
                <w:rFonts w:hint="eastAsia"/>
                <w:szCs w:val="21"/>
              </w:rPr>
              <w:t>资产负债率（%）</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t>62.90</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t>66.57</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rPr>
              <w:t>减少3</w:t>
            </w:r>
            <w:r>
              <w:t>.67</w:t>
            </w:r>
            <w:r>
              <w:rPr>
                <w:rFonts w:hint="eastAsia"/>
              </w:rPr>
              <w:t>个百分点</w:t>
            </w:r>
          </w:p>
        </w:tc>
      </w:tr>
      <w:tr>
        <w:tc>
          <w:tcPr>
            <w:tcW w:w="1961" w:type="pct"/>
          </w:tcPr>
          <w:p>
            <w:pPr>
              <w:rPr>
                <w:szCs w:val="21"/>
              </w:rPr>
            </w:pPr>
            <w:r>
              <w:rPr>
                <w:szCs w:val="21"/>
              </w:rPr>
              <w:t>EBITDA全部债务比</w:t>
            </w:r>
          </w:p>
        </w:tc>
        <w:tc>
          <w:tcPr>
            <w:tcW w:w="883" w:type="pct"/>
            <w:tcBorders>
              <w:top w:val="single" w:sz="4" w:space="0" w:color="auto"/>
              <w:left w:val="single" w:sz="4" w:space="0" w:color="auto"/>
              <w:bottom w:val="single" w:sz="4" w:space="0" w:color="auto"/>
              <w:right w:val="single" w:sz="4" w:space="0" w:color="auto"/>
            </w:tcBorders>
            <w:vAlign w:val="center"/>
          </w:tcPr>
          <w:p>
            <w:pPr>
              <w:jc w:val="right"/>
            </w:pPr>
            <w:r>
              <w:t>2.34</w:t>
            </w:r>
          </w:p>
        </w:tc>
        <w:tc>
          <w:tcPr>
            <w:tcW w:w="804" w:type="pct"/>
            <w:tcBorders>
              <w:top w:val="single" w:sz="4" w:space="0" w:color="auto"/>
              <w:left w:val="single" w:sz="4" w:space="0" w:color="auto"/>
              <w:bottom w:val="single" w:sz="4" w:space="0" w:color="auto"/>
              <w:right w:val="single" w:sz="4" w:space="0" w:color="auto"/>
            </w:tcBorders>
            <w:vAlign w:val="center"/>
          </w:tcPr>
          <w:p>
            <w:pPr>
              <w:jc w:val="right"/>
            </w:pPr>
            <w:r>
              <w:t>1.78</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pPr>
            <w:r>
              <w:t>31.65</w:t>
            </w:r>
          </w:p>
        </w:tc>
      </w:tr>
      <w:tr>
        <w:tc>
          <w:tcPr>
            <w:tcW w:w="1961" w:type="pct"/>
          </w:tcPr>
          <w:p>
            <w:pPr>
              <w:rPr>
                <w:szCs w:val="21"/>
              </w:rPr>
            </w:pPr>
            <w:r>
              <w:rPr>
                <w:rFonts w:hint="eastAsia"/>
                <w:szCs w:val="21"/>
              </w:rPr>
              <w:t>利息保障倍数</w:t>
            </w:r>
          </w:p>
        </w:tc>
        <w:tc>
          <w:tcPr>
            <w:tcW w:w="883" w:type="pct"/>
            <w:tcBorders>
              <w:top w:val="single" w:sz="4" w:space="0" w:color="auto"/>
              <w:left w:val="single" w:sz="4" w:space="0" w:color="auto"/>
              <w:bottom w:val="single" w:sz="4" w:space="0" w:color="auto"/>
              <w:right w:val="single" w:sz="4" w:space="0" w:color="auto"/>
            </w:tcBorders>
            <w:vAlign w:val="center"/>
          </w:tcPr>
          <w:p>
            <w:pPr>
              <w:jc w:val="right"/>
            </w:pPr>
            <w:r>
              <w:t>7.81</w:t>
            </w:r>
          </w:p>
        </w:tc>
        <w:tc>
          <w:tcPr>
            <w:tcW w:w="804" w:type="pct"/>
            <w:tcBorders>
              <w:top w:val="single" w:sz="4" w:space="0" w:color="auto"/>
              <w:left w:val="single" w:sz="4" w:space="0" w:color="auto"/>
              <w:bottom w:val="single" w:sz="4" w:space="0" w:color="auto"/>
              <w:right w:val="single" w:sz="4" w:space="0" w:color="auto"/>
            </w:tcBorders>
            <w:vAlign w:val="center"/>
          </w:tcPr>
          <w:p>
            <w:pPr>
              <w:jc w:val="right"/>
            </w:pPr>
            <w:r>
              <w:t>9.22</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pPr>
            <w:r>
              <w:t>-15.30</w:t>
            </w:r>
          </w:p>
        </w:tc>
      </w:tr>
      <w:tr>
        <w:tc>
          <w:tcPr>
            <w:tcW w:w="1961" w:type="pct"/>
          </w:tcPr>
          <w:p>
            <w:pPr>
              <w:rPr>
                <w:szCs w:val="21"/>
              </w:rPr>
            </w:pPr>
            <w:r>
              <w:rPr>
                <w:rFonts w:hint="eastAsia"/>
                <w:szCs w:val="21"/>
              </w:rPr>
              <w:t>现金利息保障倍数</w:t>
            </w:r>
          </w:p>
        </w:tc>
        <w:tc>
          <w:tcPr>
            <w:tcW w:w="883" w:type="pct"/>
            <w:tcBorders>
              <w:top w:val="single" w:sz="4" w:space="0" w:color="auto"/>
              <w:left w:val="single" w:sz="4" w:space="0" w:color="auto"/>
              <w:bottom w:val="single" w:sz="4" w:space="0" w:color="auto"/>
              <w:right w:val="single" w:sz="4" w:space="0" w:color="auto"/>
            </w:tcBorders>
            <w:vAlign w:val="center"/>
          </w:tcPr>
          <w:p>
            <w:pPr>
              <w:jc w:val="right"/>
            </w:pPr>
            <w:r>
              <w:t>6.00</w:t>
            </w:r>
          </w:p>
        </w:tc>
        <w:tc>
          <w:tcPr>
            <w:tcW w:w="804" w:type="pct"/>
            <w:tcBorders>
              <w:top w:val="single" w:sz="4" w:space="0" w:color="auto"/>
              <w:left w:val="single" w:sz="4" w:space="0" w:color="auto"/>
              <w:bottom w:val="single" w:sz="4" w:space="0" w:color="auto"/>
              <w:right w:val="single" w:sz="4" w:space="0" w:color="auto"/>
            </w:tcBorders>
            <w:vAlign w:val="center"/>
          </w:tcPr>
          <w:p>
            <w:pPr>
              <w:jc w:val="right"/>
            </w:pPr>
            <w:r>
              <w:t>5.87</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pPr>
            <w:r>
              <w:t>2.14</w:t>
            </w:r>
          </w:p>
        </w:tc>
      </w:tr>
      <w:tr>
        <w:trPr>
          <w:trHeight w:val="275"/>
        </w:trPr>
        <w:tc>
          <w:tcPr>
            <w:tcW w:w="1961" w:type="pct"/>
          </w:tcPr>
          <w:p>
            <w:pPr>
              <w:rPr>
                <w:szCs w:val="21"/>
              </w:rPr>
            </w:pPr>
            <w:r>
              <w:rPr>
                <w:szCs w:val="21"/>
              </w:rPr>
              <w:t>EBITDA利息保障倍数</w:t>
            </w:r>
          </w:p>
        </w:tc>
        <w:tc>
          <w:tcPr>
            <w:tcW w:w="883" w:type="pct"/>
            <w:tcBorders>
              <w:top w:val="single" w:sz="4" w:space="0" w:color="auto"/>
              <w:left w:val="single" w:sz="4" w:space="0" w:color="auto"/>
              <w:bottom w:val="single" w:sz="4" w:space="0" w:color="auto"/>
              <w:right w:val="single" w:sz="4" w:space="0" w:color="auto"/>
            </w:tcBorders>
            <w:vAlign w:val="center"/>
          </w:tcPr>
          <w:p>
            <w:pPr>
              <w:jc w:val="right"/>
            </w:pPr>
            <w:r>
              <w:t>12.62</w:t>
            </w:r>
          </w:p>
        </w:tc>
        <w:tc>
          <w:tcPr>
            <w:tcW w:w="804" w:type="pct"/>
            <w:tcBorders>
              <w:top w:val="single" w:sz="4" w:space="0" w:color="auto"/>
              <w:left w:val="single" w:sz="4" w:space="0" w:color="auto"/>
              <w:bottom w:val="single" w:sz="4" w:space="0" w:color="auto"/>
              <w:right w:val="single" w:sz="4" w:space="0" w:color="auto"/>
            </w:tcBorders>
            <w:vAlign w:val="center"/>
          </w:tcPr>
          <w:p>
            <w:pPr>
              <w:jc w:val="right"/>
            </w:pPr>
            <w:r>
              <w:t>13.27</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pPr>
            <w:r>
              <w:t>-4.86</w:t>
            </w:r>
          </w:p>
        </w:tc>
      </w:tr>
      <w:tr>
        <w:tc>
          <w:tcPr>
            <w:tcW w:w="1961" w:type="pct"/>
          </w:tcPr>
          <w:p>
            <w:pPr>
              <w:rPr>
                <w:szCs w:val="21"/>
              </w:rPr>
            </w:pPr>
            <w:r>
              <w:rPr>
                <w:rFonts w:hint="eastAsia"/>
                <w:szCs w:val="21"/>
              </w:rPr>
              <w:t>贷款偿还率（%）</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100</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100</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r>
        <w:tc>
          <w:tcPr>
            <w:tcW w:w="1961" w:type="pct"/>
          </w:tcPr>
          <w:p>
            <w:pPr>
              <w:rPr>
                <w:szCs w:val="21"/>
              </w:rPr>
            </w:pPr>
            <w:r>
              <w:rPr>
                <w:rFonts w:hint="eastAsia"/>
                <w:szCs w:val="21"/>
              </w:rPr>
              <w:t>利息偿付率（%）</w:t>
            </w:r>
          </w:p>
        </w:tc>
        <w:tc>
          <w:tcPr>
            <w:tcW w:w="88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100</w:t>
            </w:r>
          </w:p>
        </w:tc>
        <w:tc>
          <w:tcPr>
            <w:tcW w:w="80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100</w:t>
            </w:r>
          </w:p>
        </w:tc>
        <w:tc>
          <w:tcPr>
            <w:tcW w:w="135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bl>
    <w:p>
      <w:pPr>
        <w:pStyle w:val="affffffd"/>
      </w:pPr>
    </w:p>
    <w:p>
      <w:pPr>
        <w:pStyle w:val="2"/>
        <w:numPr>
          <w:ilvl w:val="0"/>
          <w:numId w:val="23"/>
        </w:numPr>
        <w:ind w:left="425" w:hanging="425"/>
        <w:rPr>
          <w:rFonts w:ascii="宋体" w:hAnsi="宋体"/>
        </w:rPr>
      </w:pPr>
      <w:r>
        <w:rPr>
          <w:rFonts w:ascii="宋体" w:hAnsi="宋体" w:hint="eastAsia"/>
        </w:rPr>
        <w:t>可转换公司债券情况</w:t>
      </w:r>
    </w:p>
    <w:sdt>
      <w:sdtPr>
        <w:rPr>
          <w:rFonts w:hint="eastAsia"/>
        </w:rPr>
        <w:alias w:val="是否适用：可转换公司债券情况[双击切换]"/>
        <w:tag w:val="_GBC_9680c57d3e6a4ee9b01aefbd4b8545db"/>
        <w:id w:val="-318804134"/>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spacing w:line="360" w:lineRule="exact"/>
        <w:ind w:right="5"/>
      </w:pPr>
    </w:p>
    <w:bookmarkEnd w:id="244"/>
    <w:bookmarkEnd w:id="246"/>
    <w:p>
      <w:pPr>
        <w:pStyle w:val="affffffd"/>
      </w:pPr>
      <w:r>
        <w:br w:type="page"/>
      </w:r>
    </w:p>
    <w:p>
      <w:pPr>
        <w:spacing w:line="360" w:lineRule="exact"/>
        <w:ind w:right="5"/>
      </w:pPr>
    </w:p>
    <w:p>
      <w:pPr>
        <w:pStyle w:val="1"/>
        <w:numPr>
          <w:ilvl w:val="0"/>
          <w:numId w:val="3"/>
        </w:numPr>
        <w:rPr>
          <w:u w:val="single"/>
        </w:rPr>
      </w:pPr>
      <w:bookmarkStart w:id="303" w:name="_Toc186787091"/>
      <w:bookmarkStart w:id="304" w:name="_Toc193794897"/>
      <w:bookmarkStart w:id="305" w:name="_Toc407111364"/>
      <w:r>
        <w:rPr>
          <w:rFonts w:hint="eastAsia"/>
        </w:rPr>
        <w:t>财务报告</w:t>
      </w:r>
      <w:bookmarkEnd w:id="303"/>
      <w:bookmarkEnd w:id="304"/>
    </w:p>
    <w:bookmarkEnd w:id="305"/>
    <w:p>
      <w:pPr>
        <w:pStyle w:val="affffffffffffffffffffff2"/>
        <w:numPr>
          <w:ilvl w:val="0"/>
          <w:numId w:val="155"/>
        </w:numPr>
        <w:rPr>
          <w:rFonts w:ascii="宋体" w:hAnsi="宋体"/>
        </w:rPr>
      </w:pPr>
      <w:r>
        <w:rPr>
          <w:rFonts w:hint="eastAsia"/>
        </w:rPr>
        <w:t>审计</w:t>
      </w:r>
      <w:r>
        <w:rPr>
          <w:rFonts w:ascii="宋体" w:hAnsi="宋体" w:hint="eastAsia"/>
        </w:rPr>
        <w:t>报告</w:t>
      </w:r>
    </w:p>
    <w:sdt>
      <w:sdtPr>
        <w:alias w:val="是否适用：审计报告[双击切换]"/>
        <w:tag w:val="_GBC_8a37b9861aa34a8d89cae86ad0133ffb"/>
        <w:id w:val="69982854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794745141"/>
        <w:placeholder>
          <w:docPart w:val="GBC22222222222222222222222222222"/>
        </w:placeholder>
      </w:sdtPr>
      <w:sdtContent>
        <w:bookmarkStart w:id="306" w:name="_Toc343000865" w:displacedByCustomXml="prev"/>
        <w:bookmarkStart w:id="307" w:name="_Hlk312745141" w:displacedByCustomXml="prev"/>
        <w:p>
          <w:pPr>
            <w:spacing w:afterLines="50" w:after="120" w:line="360" w:lineRule="exact"/>
            <w:jc w:val="center"/>
            <w:rPr>
              <w:rFonts w:ascii="黑体" w:eastAsia="黑体"/>
              <w:b/>
              <w:sz w:val="24"/>
            </w:rPr>
          </w:pPr>
          <w:r>
            <w:rPr>
              <w:rFonts w:ascii="黑体" w:eastAsia="黑体" w:hint="eastAsia"/>
              <w:b/>
              <w:sz w:val="24"/>
            </w:rPr>
            <w:t>审计报告</w:t>
          </w:r>
        </w:p>
        <w:p>
          <w:pPr>
            <w:spacing w:afterLines="50" w:after="120" w:line="360" w:lineRule="exact"/>
            <w:jc w:val="right"/>
            <w:rPr>
              <w:szCs w:val="21"/>
            </w:rPr>
          </w:pPr>
          <w:r>
            <w:rPr>
              <w:rFonts w:hint="eastAsia"/>
              <w:szCs w:val="21"/>
            </w:rPr>
            <w:t>天职业字[2025]6154号</w:t>
          </w:r>
        </w:p>
        <w:p>
          <w:pPr>
            <w:spacing w:beforeLines="100" w:before="240" w:afterLines="100" w:after="240" w:line="360" w:lineRule="exact"/>
            <w:rPr>
              <w:szCs w:val="21"/>
            </w:rPr>
          </w:pPr>
          <w:r>
            <w:rPr>
              <w:rFonts w:hint="eastAsia"/>
              <w:szCs w:val="21"/>
            </w:rPr>
            <w:t>兖矿能源集团股份有限公司全体股东：</w:t>
          </w:r>
        </w:p>
        <w:p>
          <w:pPr>
            <w:spacing w:beforeLines="100" w:before="240" w:afterLines="100" w:after="240" w:line="360" w:lineRule="exact"/>
            <w:ind w:firstLineChars="200" w:firstLine="482"/>
            <w:rPr>
              <w:rFonts w:ascii="黑体" w:eastAsia="黑体"/>
              <w:b/>
              <w:sz w:val="24"/>
            </w:rPr>
          </w:pPr>
          <w:r>
            <w:rPr>
              <w:rFonts w:ascii="黑体" w:eastAsia="黑体" w:hint="eastAsia"/>
              <w:b/>
              <w:sz w:val="24"/>
            </w:rPr>
            <w:t>一、审计意见</w:t>
          </w:r>
        </w:p>
        <w:p>
          <w:pPr>
            <w:spacing w:afterLines="50" w:after="120" w:line="360" w:lineRule="exact"/>
            <w:ind w:firstLineChars="200" w:firstLine="420"/>
            <w:rPr>
              <w:szCs w:val="21"/>
            </w:rPr>
          </w:pPr>
          <w:r>
            <w:rPr>
              <w:rFonts w:hint="eastAsia"/>
              <w:szCs w:val="21"/>
            </w:rPr>
            <w:t>我们审计了兖矿能源集团股份有限公司（以下简称“兖矿能源”）财务报表，包括202</w:t>
          </w:r>
          <w:r>
            <w:rPr>
              <w:szCs w:val="21"/>
            </w:rPr>
            <w:t>4</w:t>
          </w:r>
          <w:r>
            <w:rPr>
              <w:rFonts w:hint="eastAsia"/>
              <w:szCs w:val="21"/>
            </w:rPr>
            <w:t>年12月31日的合并及母公司资产负债表，</w:t>
          </w:r>
          <w:r>
            <w:rPr>
              <w:szCs w:val="21"/>
            </w:rPr>
            <w:t>2024</w:t>
          </w:r>
          <w:r>
            <w:rPr>
              <w:rFonts w:hint="eastAsia"/>
              <w:szCs w:val="21"/>
            </w:rPr>
            <w:t>年度的合并及母公司利润表、合并及母公司现金流量表、合并及母公司股东权益变动表，以及相关财务报表附注。</w:t>
          </w:r>
        </w:p>
        <w:p>
          <w:pPr>
            <w:spacing w:afterLines="50" w:after="120" w:line="360" w:lineRule="exact"/>
            <w:ind w:firstLineChars="200" w:firstLine="420"/>
            <w:rPr>
              <w:szCs w:val="21"/>
            </w:rPr>
          </w:pPr>
          <w:r>
            <w:rPr>
              <w:rFonts w:hint="eastAsia"/>
              <w:szCs w:val="21"/>
            </w:rPr>
            <w:t>我们认为，后附的财务报表在所有重大方面按照企业会计准则的规定编制，公允反映了兖矿能源202</w:t>
          </w:r>
          <w:r>
            <w:rPr>
              <w:szCs w:val="21"/>
            </w:rPr>
            <w:t>4</w:t>
          </w:r>
          <w:r>
            <w:rPr>
              <w:rFonts w:hint="eastAsia"/>
              <w:szCs w:val="21"/>
            </w:rPr>
            <w:t>年12月31日的合并及母公司财务状况以及202</w:t>
          </w:r>
          <w:r>
            <w:rPr>
              <w:szCs w:val="21"/>
            </w:rPr>
            <w:t>4</w:t>
          </w:r>
          <w:r>
            <w:rPr>
              <w:rFonts w:hint="eastAsia"/>
              <w:szCs w:val="21"/>
            </w:rPr>
            <w:t>年度的合并及母公司经营成果和现金流量。</w:t>
          </w:r>
        </w:p>
        <w:p>
          <w:pPr>
            <w:spacing w:beforeLines="100" w:before="240" w:afterLines="100" w:after="240" w:line="360" w:lineRule="exact"/>
            <w:ind w:firstLineChars="200" w:firstLine="482"/>
            <w:rPr>
              <w:rFonts w:ascii="黑体" w:eastAsia="黑体"/>
              <w:b/>
              <w:sz w:val="24"/>
            </w:rPr>
          </w:pPr>
          <w:r>
            <w:rPr>
              <w:rFonts w:ascii="黑体" w:eastAsia="黑体" w:hint="eastAsia"/>
              <w:b/>
              <w:sz w:val="24"/>
            </w:rPr>
            <w:t>二、形成审计意见的基础</w:t>
          </w:r>
        </w:p>
        <w:p>
          <w:pPr>
            <w:spacing w:afterLines="50" w:after="120" w:line="360" w:lineRule="exact"/>
            <w:ind w:firstLineChars="200" w:firstLine="420"/>
            <w:rPr>
              <w:szCs w:val="21"/>
            </w:rPr>
          </w:pPr>
          <w:r>
            <w:rPr>
              <w:rFonts w:hint="eastAsia"/>
              <w:szCs w:val="21"/>
            </w:rPr>
            <w:t>我们按照中国注册会计师审计准则的规定执行了审计工作。审计报告的“注册会计师对财务报表审计的责任”部分进一步阐述了我们在这些准则下的责任。按照中国注册会计师职业道德守则，我们独立于兖矿能源，并履行了职业道德方面的其他责任。我们相信，我们获取的审计证据是充分、适当的，为发表审计意见提供了基础。</w:t>
          </w:r>
        </w:p>
        <w:p>
          <w:pPr>
            <w:spacing w:beforeLines="100" w:before="240" w:afterLines="100" w:after="240" w:line="360" w:lineRule="exact"/>
            <w:ind w:firstLineChars="200" w:firstLine="482"/>
            <w:rPr>
              <w:rFonts w:ascii="黑体" w:eastAsia="黑体"/>
              <w:b/>
              <w:sz w:val="24"/>
            </w:rPr>
          </w:pPr>
          <w:r>
            <w:rPr>
              <w:rFonts w:ascii="黑体" w:eastAsia="黑体" w:hint="eastAsia"/>
              <w:b/>
              <w:sz w:val="24"/>
            </w:rPr>
            <w:t>三、关键审计事项</w:t>
          </w:r>
        </w:p>
        <w:p>
          <w:pPr>
            <w:spacing w:afterLines="50" w:after="120" w:line="360" w:lineRule="exact"/>
            <w:ind w:firstLineChars="200" w:firstLine="420"/>
            <w:rPr>
              <w:szCs w:val="21"/>
            </w:rPr>
          </w:pPr>
          <w:r>
            <w:rPr>
              <w:rFonts w:hint="eastAsia"/>
              <w:szCs w:val="21"/>
            </w:rPr>
            <w:t>关键审计事项是我们根据职业判断，认为对本期财务报表审计最为重要的事项。这些事项的应对以对财务报表整体进行审计并形成审计意见为背景，我们不对这些事项单独发表意见。</w:t>
          </w: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p>
        <w:p>
          <w:pPr>
            <w:spacing w:afterLines="50" w:after="120" w:line="360" w:lineRule="exact"/>
            <w:rPr>
              <w:szCs w:val="21"/>
            </w:rPr>
          </w:pPr>
          <w:r>
            <w:rPr>
              <w:rFonts w:hint="eastAsia"/>
              <w:szCs w:val="21"/>
            </w:rPr>
            <w:t>审计报告（续）</w:t>
          </w:r>
        </w:p>
        <w:p>
          <w:pPr>
            <w:spacing w:afterLines="50" w:after="120" w:line="360" w:lineRule="exact"/>
            <w:ind w:firstLineChars="2950" w:firstLine="6195"/>
            <w:jc w:val="right"/>
            <w:rPr>
              <w:szCs w:val="21"/>
            </w:rPr>
          </w:pPr>
          <w:r>
            <w:rPr>
              <w:rFonts w:hint="eastAsia"/>
              <w:szCs w:val="21"/>
            </w:rPr>
            <w:t>天职业字[2025]6154号</w:t>
          </w:r>
        </w:p>
        <w:tbl>
          <w:tblPr>
            <w:tblStyle w:val="g46"/>
            <w:tblW w:w="9351" w:type="dxa"/>
            <w:jc w:val="center"/>
            <w:tblInd w:w="0" w:type="dxa"/>
            <w:tblLook w:val="04A0" w:firstRow="1" w:lastRow="0" w:firstColumn="1" w:lastColumn="0" w:noHBand="0" w:noVBand="1"/>
          </w:tblPr>
          <w:tblGrid>
            <w:gridCol w:w="3964"/>
            <w:gridCol w:w="5387"/>
          </w:tblGrid>
          <w:tr>
            <w:trPr>
              <w:jc w:val="center"/>
            </w:trPr>
            <w:tc>
              <w:tcPr>
                <w:tcW w:w="3964" w:type="dxa"/>
                <w:vAlign w:val="center"/>
              </w:tcPr>
              <w:p>
                <w:pPr>
                  <w:jc w:val="center"/>
                  <w:rPr>
                    <w:rFonts w:cs="Times New Roman"/>
                    <w:b/>
                    <w:szCs w:val="21"/>
                    <w:lang w:eastAsia="zh-TW"/>
                  </w:rPr>
                </w:pPr>
                <w:r>
                  <w:rPr>
                    <w:rFonts w:cs="Times New Roman" w:hint="eastAsia"/>
                    <w:b/>
                    <w:iCs/>
                    <w:szCs w:val="21"/>
                  </w:rPr>
                  <w:t>关键审计事项</w:t>
                </w:r>
              </w:p>
            </w:tc>
            <w:tc>
              <w:tcPr>
                <w:tcW w:w="5387" w:type="dxa"/>
                <w:vAlign w:val="center"/>
              </w:tcPr>
              <w:p>
                <w:pPr>
                  <w:jc w:val="center"/>
                  <w:rPr>
                    <w:rFonts w:cs="Times New Roman"/>
                    <w:b/>
                    <w:szCs w:val="21"/>
                  </w:rPr>
                </w:pPr>
                <w:r>
                  <w:rPr>
                    <w:rFonts w:cs="Times New Roman" w:hint="eastAsia"/>
                    <w:b/>
                    <w:iCs/>
                    <w:szCs w:val="21"/>
                  </w:rPr>
                  <w:t>该事项在审计中是如何应对的</w:t>
                </w:r>
              </w:p>
            </w:tc>
          </w:tr>
          <w:tr>
            <w:trPr>
              <w:trHeight w:val="335"/>
              <w:jc w:val="center"/>
            </w:trPr>
            <w:tc>
              <w:tcPr>
                <w:tcW w:w="9351" w:type="dxa"/>
                <w:gridSpan w:val="2"/>
                <w:vAlign w:val="center"/>
              </w:tcPr>
              <w:p>
                <w:pPr>
                  <w:spacing w:line="240" w:lineRule="exact"/>
                  <w:rPr>
                    <w:rFonts w:ascii="Arial" w:hAnsi="Arial" w:cs="Times New Roman"/>
                    <w:b/>
                    <w:i/>
                    <w:iCs/>
                    <w:szCs w:val="21"/>
                  </w:rPr>
                </w:pPr>
                <w:r>
                  <w:rPr>
                    <w:rFonts w:cs="Times New Roman" w:hint="eastAsia"/>
                    <w:b/>
                    <w:iCs/>
                    <w:szCs w:val="21"/>
                  </w:rPr>
                  <w:t>长期资产减值事项</w:t>
                </w:r>
              </w:p>
            </w:tc>
          </w:tr>
          <w:tr>
            <w:trPr>
              <w:jc w:val="center"/>
            </w:trPr>
            <w:tc>
              <w:tcPr>
                <w:tcW w:w="3964" w:type="dxa"/>
                <w:vAlign w:val="center"/>
              </w:tcPr>
              <w:p>
                <w:pPr>
                  <w:spacing w:afterLines="50" w:after="120" w:line="360" w:lineRule="exact"/>
                  <w:ind w:firstLineChars="200" w:firstLine="420"/>
                  <w:rPr>
                    <w:szCs w:val="21"/>
                  </w:rPr>
                </w:pPr>
                <w:r>
                  <w:rPr>
                    <w:rFonts w:hint="eastAsia"/>
                    <w:szCs w:val="21"/>
                  </w:rPr>
                  <w:t>兖矿能源重要经营性长期资产包括投资性房地产、固定资产、在建工程、无形资产，截至2</w:t>
                </w:r>
                <w:r>
                  <w:rPr>
                    <w:szCs w:val="21"/>
                  </w:rPr>
                  <w:t>024</w:t>
                </w:r>
                <w:r>
                  <w:rPr>
                    <w:rFonts w:hint="eastAsia"/>
                    <w:szCs w:val="21"/>
                  </w:rPr>
                  <w:t>年1</w:t>
                </w:r>
                <w:r>
                  <w:rPr>
                    <w:szCs w:val="21"/>
                  </w:rPr>
                  <w:t>2</w:t>
                </w:r>
                <w:r>
                  <w:rPr>
                    <w:rFonts w:hint="eastAsia"/>
                    <w:szCs w:val="21"/>
                  </w:rPr>
                  <w:t>月3</w:t>
                </w:r>
                <w:r>
                  <w:rPr>
                    <w:szCs w:val="21"/>
                  </w:rPr>
                  <w:t>1</w:t>
                </w:r>
                <w:r>
                  <w:rPr>
                    <w:rFonts w:hint="eastAsia"/>
                    <w:szCs w:val="21"/>
                  </w:rPr>
                  <w:t>日兖矿能源上述长期资产期末余额</w:t>
                </w:r>
                <w:r>
                  <w:rPr>
                    <w:szCs w:val="21"/>
                  </w:rPr>
                  <w:t>2,004.91</w:t>
                </w:r>
                <w:r>
                  <w:rPr>
                    <w:rFonts w:hint="eastAsia"/>
                    <w:szCs w:val="21"/>
                  </w:rPr>
                  <w:t>亿元，占资产总额比例55.92%。</w:t>
                </w:r>
              </w:p>
              <w:p>
                <w:pPr>
                  <w:spacing w:afterLines="50" w:after="120" w:line="360" w:lineRule="exact"/>
                  <w:ind w:firstLineChars="200" w:firstLine="420"/>
                  <w:rPr>
                    <w:szCs w:val="21"/>
                  </w:rPr>
                </w:pPr>
                <w:r>
                  <w:rPr>
                    <w:rFonts w:hint="eastAsia"/>
                    <w:szCs w:val="21"/>
                  </w:rPr>
                  <w:t>鉴于长期资产减值涉及管理层的重大估计与判断，包括折现率以及基于未来市场供需情况的现金流量预测。因此，我们将长期资产的减值事项作为关键审计事项。</w:t>
                </w:r>
              </w:p>
              <w:p>
                <w:pPr>
                  <w:spacing w:afterLines="50" w:after="120" w:line="360" w:lineRule="exact"/>
                  <w:ind w:firstLineChars="200" w:firstLine="420"/>
                  <w:rPr>
                    <w:szCs w:val="21"/>
                  </w:rPr>
                </w:pPr>
                <w:r>
                  <w:rPr>
                    <w:szCs w:val="21"/>
                  </w:rPr>
                  <w:t>关于</w:t>
                </w:r>
                <w:r>
                  <w:rPr>
                    <w:rFonts w:hint="eastAsia"/>
                    <w:szCs w:val="21"/>
                  </w:rPr>
                  <w:t>长期资产</w:t>
                </w:r>
                <w:r>
                  <w:rPr>
                    <w:szCs w:val="21"/>
                  </w:rPr>
                  <w:t>减值的会计政策，详见财务报表附注 “</w:t>
                </w:r>
                <w:r>
                  <w:rPr>
                    <w:rFonts w:hint="eastAsia"/>
                    <w:szCs w:val="21"/>
                  </w:rPr>
                  <w:t>五、（二十一）投资性房地产、五、（二十二）固定资产、五、（二十三）在建工程、五、（二十七）无形资产、五、（二十九）长期资产减值”</w:t>
                </w:r>
                <w:r>
                  <w:rPr>
                    <w:szCs w:val="21"/>
                  </w:rPr>
                  <w:t>；</w:t>
                </w:r>
                <w:r>
                  <w:rPr>
                    <w:rFonts w:hint="eastAsia"/>
                    <w:szCs w:val="21"/>
                  </w:rPr>
                  <w:t>长期资产减值</w:t>
                </w:r>
                <w:r>
                  <w:rPr>
                    <w:szCs w:val="21"/>
                  </w:rPr>
                  <w:t>披露详见财务报表 “</w:t>
                </w:r>
                <w:r>
                  <w:rPr>
                    <w:rFonts w:hint="eastAsia"/>
                    <w:szCs w:val="21"/>
                  </w:rPr>
                  <w:t>七、（二十）投资性房地产、七、（二十一）固定资产、七、（二十二）在建工程、七、（二十六）无形资产、七、（七十二）资产减值损失</w:t>
                </w:r>
                <w:r>
                  <w:rPr>
                    <w:szCs w:val="21"/>
                  </w:rPr>
                  <w:t>。</w:t>
                </w:r>
              </w:p>
            </w:tc>
            <w:tc>
              <w:tcPr>
                <w:tcW w:w="5387" w:type="dxa"/>
                <w:vAlign w:val="center"/>
              </w:tcPr>
              <w:p>
                <w:pPr>
                  <w:spacing w:afterLines="50" w:after="120" w:line="360" w:lineRule="exact"/>
                  <w:rPr>
                    <w:szCs w:val="21"/>
                  </w:rPr>
                </w:pPr>
                <w:r>
                  <w:rPr>
                    <w:rFonts w:hint="eastAsia"/>
                    <w:szCs w:val="21"/>
                  </w:rPr>
                  <w:t>我们针对长期资产减值事项所执行的审计程序包括但不限于：</w:t>
                </w:r>
              </w:p>
              <w:p>
                <w:pPr>
                  <w:spacing w:afterLines="50" w:after="120" w:line="360" w:lineRule="exact"/>
                  <w:rPr>
                    <w:szCs w:val="21"/>
                  </w:rPr>
                </w:pPr>
                <w:r>
                  <w:rPr>
                    <w:rFonts w:hint="eastAsia"/>
                    <w:szCs w:val="21"/>
                  </w:rPr>
                  <w:t>（1）了解、评价并测试与减值相关控制设计及执行的有效性；</w:t>
                </w:r>
              </w:p>
              <w:p>
                <w:pPr>
                  <w:spacing w:afterLines="50" w:after="120" w:line="360" w:lineRule="exact"/>
                  <w:rPr>
                    <w:szCs w:val="21"/>
                  </w:rPr>
                </w:pPr>
                <w:r>
                  <w:rPr>
                    <w:rFonts w:hint="eastAsia"/>
                    <w:szCs w:val="21"/>
                  </w:rPr>
                  <w:t>（2）向管理层了解长期资产的使用计划，以及相关盈利情况，是否具有明显的减值迹象；</w:t>
                </w:r>
              </w:p>
              <w:p>
                <w:pPr>
                  <w:spacing w:afterLines="50" w:after="120" w:line="360" w:lineRule="exact"/>
                  <w:rPr>
                    <w:szCs w:val="21"/>
                  </w:rPr>
                </w:pPr>
                <w:r>
                  <w:rPr>
                    <w:rFonts w:hint="eastAsia"/>
                    <w:szCs w:val="21"/>
                  </w:rPr>
                  <w:t>（3）复核管理层对长期资产减值测试涉及的基本假设、方法、参数以及其他估计是否恰当；</w:t>
                </w:r>
              </w:p>
              <w:p>
                <w:pPr>
                  <w:spacing w:afterLines="50" w:after="120" w:line="360" w:lineRule="exact"/>
                  <w:rPr>
                    <w:szCs w:val="21"/>
                  </w:rPr>
                </w:pPr>
                <w:r>
                  <w:rPr>
                    <w:rFonts w:hint="eastAsia"/>
                    <w:szCs w:val="21"/>
                  </w:rPr>
                  <w:t>（4）对于具有明显减值迹象的长期资产，提请兖矿能源聘请具有证券资格的评估机构开展基于减值测试为目的的评估；</w:t>
                </w:r>
              </w:p>
              <w:p>
                <w:pPr>
                  <w:spacing w:afterLines="50" w:after="120" w:line="360" w:lineRule="exact"/>
                  <w:rPr>
                    <w:szCs w:val="21"/>
                  </w:rPr>
                </w:pPr>
                <w:r>
                  <w:rPr>
                    <w:rFonts w:hint="eastAsia"/>
                    <w:szCs w:val="21"/>
                  </w:rPr>
                  <w:t>（5）根据审计准则执行复核并评价专家工作的审计程序，评估专家的胜任能力，对其工作成果进行复核并评价合理性，包括各项假设、参数、指标等数据；</w:t>
                </w:r>
              </w:p>
              <w:p>
                <w:pPr>
                  <w:spacing w:afterLines="50" w:after="120" w:line="360" w:lineRule="exact"/>
                  <w:rPr>
                    <w:szCs w:val="21"/>
                  </w:rPr>
                </w:pPr>
                <w:r>
                  <w:rPr>
                    <w:rFonts w:hint="eastAsia"/>
                    <w:szCs w:val="21"/>
                  </w:rPr>
                  <w:t>（6）结合上述审计程序执行的结果，评估兖矿能源长期资产减值金额的准确性及财务报表披露的恰当性。</w:t>
                </w:r>
              </w:p>
            </w:tc>
          </w:tr>
        </w:tbl>
        <w:p>
          <w:pPr>
            <w:spacing w:beforeLines="100" w:before="240" w:afterLines="100" w:after="240" w:line="360" w:lineRule="exact"/>
            <w:ind w:firstLineChars="200" w:firstLine="482"/>
            <w:rPr>
              <w:rFonts w:ascii="黑体" w:eastAsia="黑体"/>
              <w:b/>
              <w:sz w:val="24"/>
            </w:rPr>
          </w:pPr>
          <w:r>
            <w:rPr>
              <w:rFonts w:ascii="黑体" w:eastAsia="黑体" w:hint="eastAsia"/>
              <w:b/>
              <w:sz w:val="24"/>
            </w:rPr>
            <w:t>四、其他信息</w:t>
          </w:r>
        </w:p>
        <w:p>
          <w:pPr>
            <w:spacing w:afterLines="50" w:after="120" w:line="360" w:lineRule="exact"/>
            <w:ind w:firstLineChars="200" w:firstLine="420"/>
            <w:rPr>
              <w:rFonts w:cs="Times New Roman"/>
              <w:szCs w:val="21"/>
            </w:rPr>
          </w:pPr>
          <w:r>
            <w:rPr>
              <w:rFonts w:cs="Times New Roman" w:hint="eastAsia"/>
              <w:szCs w:val="21"/>
            </w:rPr>
            <w:t>兖矿能源管理层（以下简称“管理层”）对其他信息负责。其他信息包括202</w:t>
          </w:r>
          <w:r>
            <w:rPr>
              <w:rFonts w:cs="Times New Roman"/>
              <w:szCs w:val="21"/>
            </w:rPr>
            <w:t>4</w:t>
          </w:r>
          <w:r>
            <w:rPr>
              <w:rFonts w:cs="Times New Roman" w:hint="eastAsia"/>
              <w:szCs w:val="21"/>
            </w:rPr>
            <w:t>年财务报告中涵盖的信息，但不包括财务报表和我们的审计报告。</w:t>
          </w:r>
        </w:p>
        <w:p>
          <w:pPr>
            <w:spacing w:afterLines="50" w:after="120" w:line="360" w:lineRule="exact"/>
            <w:ind w:firstLineChars="200" w:firstLine="420"/>
            <w:rPr>
              <w:rFonts w:cs="Times New Roman"/>
              <w:szCs w:val="21"/>
            </w:rPr>
          </w:pPr>
          <w:r>
            <w:rPr>
              <w:rFonts w:cs="Times New Roman" w:hint="eastAsia"/>
              <w:szCs w:val="21"/>
            </w:rPr>
            <w:t>我们对财务报表发表的审计意见不涵盖其他信息，我们也不对其他信息发表任何形式的鉴证结论。</w:t>
          </w:r>
        </w:p>
        <w:p>
          <w:pPr>
            <w:spacing w:afterLines="50" w:after="120" w:line="360" w:lineRule="exact"/>
            <w:ind w:firstLineChars="200" w:firstLine="420"/>
            <w:rPr>
              <w:rFonts w:cs="Times New Roman"/>
              <w:szCs w:val="21"/>
            </w:rPr>
          </w:pPr>
          <w:r>
            <w:rPr>
              <w:rFonts w:cs="Times New Roman" w:hint="eastAsia"/>
              <w:szCs w:val="21"/>
            </w:rPr>
            <w:t>结合我们对财务报表的审计，我们的责任是阅读其他信息，在此过程中，考虑其他信息是否与财务报表或我们在审计过程中了解到的情况存在重大不一致或者似乎存在重大错报。</w:t>
          </w:r>
        </w:p>
        <w:p>
          <w:pPr>
            <w:spacing w:afterLines="50" w:after="120" w:line="360" w:lineRule="exact"/>
            <w:ind w:firstLineChars="200" w:firstLine="420"/>
            <w:rPr>
              <w:rFonts w:cs="Times New Roman"/>
              <w:szCs w:val="21"/>
            </w:rPr>
          </w:pPr>
          <w:r>
            <w:rPr>
              <w:rFonts w:cs="Times New Roman" w:hint="eastAsia"/>
              <w:szCs w:val="21"/>
            </w:rPr>
            <w:t>基于我们已执行的工作，如果我们确定其他信息存在重大错报，我们应当报告该事实。在这方面，我们无任何事项需要报告。</w:t>
          </w:r>
        </w:p>
        <w:p>
          <w:pPr>
            <w:spacing w:afterLines="50" w:after="120" w:line="360" w:lineRule="exact"/>
            <w:ind w:firstLineChars="200" w:firstLine="420"/>
            <w:rPr>
              <w:rFonts w:cs="Times New Roman"/>
              <w:szCs w:val="21"/>
            </w:rPr>
          </w:pPr>
        </w:p>
        <w:p>
          <w:pPr>
            <w:spacing w:afterLines="50" w:after="120" w:line="360" w:lineRule="exact"/>
            <w:rPr>
              <w:szCs w:val="21"/>
            </w:rPr>
          </w:pPr>
          <w:r>
            <w:rPr>
              <w:rFonts w:hint="eastAsia"/>
              <w:szCs w:val="21"/>
            </w:rPr>
            <w:t>审计报告（续）</w:t>
          </w:r>
        </w:p>
        <w:p>
          <w:pPr>
            <w:spacing w:afterLines="50" w:after="120" w:line="360" w:lineRule="exact"/>
            <w:ind w:firstLineChars="2950" w:firstLine="6195"/>
            <w:jc w:val="right"/>
            <w:rPr>
              <w:szCs w:val="21"/>
            </w:rPr>
          </w:pPr>
          <w:r>
            <w:rPr>
              <w:rFonts w:hint="eastAsia"/>
              <w:szCs w:val="21"/>
            </w:rPr>
            <w:t>天职业字[2025]6154号</w:t>
          </w:r>
        </w:p>
        <w:p>
          <w:pPr>
            <w:spacing w:beforeLines="100" w:before="240" w:afterLines="100" w:after="240" w:line="360" w:lineRule="exact"/>
            <w:ind w:firstLineChars="200" w:firstLine="482"/>
            <w:rPr>
              <w:rFonts w:asciiTheme="minorEastAsia" w:hAnsiTheme="minorEastAsia"/>
              <w:szCs w:val="21"/>
            </w:rPr>
          </w:pPr>
          <w:r>
            <w:rPr>
              <w:rFonts w:ascii="黑体" w:eastAsia="黑体" w:hint="eastAsia"/>
              <w:b/>
              <w:sz w:val="24"/>
            </w:rPr>
            <w:t>五、管理层和治理层对财务报表的责任</w:t>
          </w:r>
        </w:p>
        <w:p>
          <w:pPr>
            <w:spacing w:afterLines="50" w:after="120" w:line="360" w:lineRule="exact"/>
            <w:ind w:firstLineChars="200" w:firstLine="420"/>
            <w:rPr>
              <w:rFonts w:cs="Times New Roman"/>
              <w:szCs w:val="21"/>
            </w:rPr>
          </w:pPr>
          <w:r>
            <w:rPr>
              <w:rFonts w:cs="Times New Roman" w:hint="eastAsia"/>
              <w:szCs w:val="21"/>
            </w:rPr>
            <w:t>管理层负责按照企业会计准则的规定编制财务报表，使其实现公允反映，并设计、执行和维护必要的内部控制，以使财务报表不存在由于舞弊或错误导致的重大错报。</w:t>
          </w:r>
        </w:p>
        <w:p>
          <w:pPr>
            <w:spacing w:afterLines="50" w:after="120" w:line="360" w:lineRule="exact"/>
            <w:ind w:firstLineChars="200" w:firstLine="420"/>
            <w:rPr>
              <w:rFonts w:cs="Times New Roman"/>
              <w:szCs w:val="21"/>
            </w:rPr>
          </w:pPr>
          <w:r>
            <w:rPr>
              <w:rFonts w:cs="Times New Roman" w:hint="eastAsia"/>
              <w:szCs w:val="21"/>
            </w:rPr>
            <w:t>在编制财务报表时，管理层负责评估兖矿能源的持续经营能力，披露与持续经营相关的事项（如适用），并运用持续经营假设，除非管理层计划清算兖矿能源、终止运营或别无其他现实的选择。</w:t>
          </w:r>
        </w:p>
        <w:p>
          <w:pPr>
            <w:spacing w:afterLines="50" w:after="120" w:line="360" w:lineRule="exact"/>
            <w:ind w:firstLineChars="200" w:firstLine="420"/>
            <w:rPr>
              <w:rFonts w:cs="Times New Roman"/>
              <w:szCs w:val="21"/>
            </w:rPr>
          </w:pPr>
          <w:r>
            <w:rPr>
              <w:rFonts w:cs="Times New Roman" w:hint="eastAsia"/>
              <w:szCs w:val="21"/>
            </w:rPr>
            <w:t>治理层负责监督兖矿能源的财务报告过程。</w:t>
          </w:r>
        </w:p>
        <w:p>
          <w:pPr>
            <w:spacing w:beforeLines="100" w:before="240" w:afterLines="100" w:after="240" w:line="360" w:lineRule="exact"/>
            <w:ind w:firstLineChars="200" w:firstLine="482"/>
            <w:rPr>
              <w:rFonts w:ascii="黑体" w:eastAsia="黑体"/>
              <w:b/>
              <w:sz w:val="24"/>
            </w:rPr>
          </w:pPr>
          <w:r>
            <w:rPr>
              <w:rFonts w:ascii="黑体" w:eastAsia="黑体" w:hint="eastAsia"/>
              <w:b/>
              <w:sz w:val="24"/>
            </w:rPr>
            <w:t>六、注册会计师对财务报表审计的责任</w:t>
          </w:r>
        </w:p>
        <w:p>
          <w:pPr>
            <w:spacing w:afterLines="50" w:after="120" w:line="360" w:lineRule="exact"/>
            <w:ind w:firstLineChars="200" w:firstLine="420"/>
            <w:rPr>
              <w:rFonts w:cs="Times New Roman"/>
              <w:szCs w:val="21"/>
            </w:rPr>
          </w:pPr>
          <w:r>
            <w:rPr>
              <w:rFonts w:cs="Times New Roman" w:hint="eastAsia"/>
              <w:szCs w:val="21"/>
            </w:rPr>
            <w:t>我们的目标是对财务报表整体是否不存在由于舞弊或错误导致的重大错报获取合理保证，并出具包含审计意见的审计报告。合理保证是高水平的保证，但并不能保证按照审计准则执行</w:t>
          </w:r>
          <w:r>
            <w:rPr>
              <w:rFonts w:cs="Times New Roman" w:hint="eastAsia"/>
              <w:spacing w:val="-2"/>
              <w:szCs w:val="21"/>
            </w:rPr>
            <w:t>的审计在某一重大错报存在时总能发现。错报可能由于舞弊或错误导致，如果合理预期错报单独或汇总起来可能影响财务报表使用者依据财务报表作出的经济决策，则通常认为错报是重大的。</w:t>
          </w:r>
        </w:p>
        <w:p>
          <w:pPr>
            <w:spacing w:afterLines="50" w:after="120" w:line="360" w:lineRule="exact"/>
            <w:ind w:firstLineChars="200" w:firstLine="420"/>
            <w:rPr>
              <w:rFonts w:cs="Times New Roman"/>
              <w:szCs w:val="21"/>
            </w:rPr>
          </w:pPr>
          <w:r>
            <w:rPr>
              <w:rFonts w:cs="Times New Roman" w:hint="eastAsia"/>
              <w:szCs w:val="21"/>
            </w:rPr>
            <w:t>在按照审计准则执行审计工作的过程中，我们运用职业判断，并保持职业怀疑。同时，我们也执行以下工作：</w:t>
          </w:r>
        </w:p>
        <w:p>
          <w:pPr>
            <w:spacing w:afterLines="50" w:after="120" w:line="360" w:lineRule="exact"/>
            <w:ind w:firstLineChars="200" w:firstLine="420"/>
            <w:rPr>
              <w:szCs w:val="21"/>
            </w:rPr>
          </w:pPr>
          <w:r>
            <w:rPr>
              <w:rFonts w:cs="Times New Roman" w:hint="eastAsia"/>
              <w:szCs w:val="21"/>
            </w:rPr>
            <w:t>（1）识别和评估由于舞弊或错误导致的财务报表重大错报风险，设计和实施审计程序以</w:t>
          </w:r>
          <w:r>
            <w:rPr>
              <w:rFonts w:hint="eastAsia"/>
              <w:szCs w:val="21"/>
            </w:rPr>
            <w:t>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spacing w:afterLines="50" w:after="120" w:line="360" w:lineRule="exact"/>
            <w:ind w:firstLineChars="200" w:firstLine="420"/>
            <w:rPr>
              <w:szCs w:val="21"/>
            </w:rPr>
          </w:pPr>
          <w:r>
            <w:rPr>
              <w:rFonts w:hint="eastAsia"/>
              <w:szCs w:val="21"/>
            </w:rPr>
            <w:t>（2）了解与审计相关的内部控制，以设计恰当的审计程序。</w:t>
          </w:r>
        </w:p>
        <w:p>
          <w:pPr>
            <w:spacing w:afterLines="50" w:after="120" w:line="360" w:lineRule="exact"/>
            <w:ind w:firstLineChars="200" w:firstLine="420"/>
            <w:rPr>
              <w:szCs w:val="21"/>
            </w:rPr>
          </w:pPr>
          <w:r>
            <w:rPr>
              <w:rFonts w:hint="eastAsia"/>
              <w:szCs w:val="21"/>
            </w:rPr>
            <w:t>（3）评价管理层选用会计政策的恰当性和作出会计估计及相关披露的合理性。</w:t>
          </w:r>
        </w:p>
        <w:p>
          <w:pPr>
            <w:spacing w:line="360" w:lineRule="exact"/>
            <w:ind w:firstLineChars="200" w:firstLine="420"/>
            <w:rPr>
              <w:szCs w:val="21"/>
            </w:rPr>
          </w:pPr>
          <w:r>
            <w:rPr>
              <w:rFonts w:hint="eastAsia"/>
              <w:szCs w:val="21"/>
            </w:rPr>
            <w:t>（4）对管理层使用持续经营假设的恰当性得出结论。同时，根据获取的审计证据，就可能导致对兖矿能源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兖矿能源不能持续经营。</w:t>
          </w:r>
        </w:p>
        <w:p>
          <w:pPr>
            <w:spacing w:beforeLines="50" w:before="120" w:afterLines="50" w:after="120" w:line="360" w:lineRule="exact"/>
            <w:ind w:firstLineChars="200" w:firstLine="404"/>
            <w:rPr>
              <w:spacing w:val="-4"/>
              <w:szCs w:val="21"/>
            </w:rPr>
          </w:pPr>
          <w:r>
            <w:rPr>
              <w:rFonts w:hint="eastAsia"/>
              <w:spacing w:val="-4"/>
              <w:szCs w:val="21"/>
            </w:rPr>
            <w:t>（5）评价财务报表的总体列报、结构和内容，并评价财务报表是否公允反映相关交易和事项。</w:t>
          </w:r>
        </w:p>
        <w:p>
          <w:pPr>
            <w:spacing w:beforeLines="50" w:before="120" w:afterLines="50" w:after="120" w:line="360" w:lineRule="exact"/>
            <w:ind w:firstLineChars="200" w:firstLine="404"/>
            <w:rPr>
              <w:spacing w:val="-4"/>
              <w:szCs w:val="21"/>
            </w:rPr>
          </w:pPr>
          <w:r>
            <w:rPr>
              <w:rFonts w:hint="eastAsia"/>
              <w:spacing w:val="-4"/>
              <w:szCs w:val="21"/>
            </w:rPr>
            <w:t>（6）就兖矿能源中实体或业务活动的财务信息获取充分、适当的审计证据，对以财务报表发表审计意见。我们负责指导、监督和执行集团审计，并对审计意见承担全部责任。</w:t>
          </w:r>
        </w:p>
        <w:p>
          <w:pPr>
            <w:spacing w:afterLines="50" w:after="120" w:line="360" w:lineRule="exact"/>
            <w:rPr>
              <w:szCs w:val="21"/>
            </w:rPr>
          </w:pPr>
          <w:r>
            <w:rPr>
              <w:rFonts w:hint="eastAsia"/>
              <w:szCs w:val="21"/>
            </w:rPr>
            <w:lastRenderedPageBreak/>
            <w:t>审计报告（续）</w:t>
          </w:r>
        </w:p>
        <w:p>
          <w:pPr>
            <w:spacing w:afterLines="50" w:after="120" w:line="360" w:lineRule="exact"/>
            <w:ind w:firstLineChars="2950" w:firstLine="6195"/>
            <w:jc w:val="right"/>
            <w:rPr>
              <w:szCs w:val="21"/>
            </w:rPr>
          </w:pPr>
          <w:r>
            <w:rPr>
              <w:rFonts w:hint="eastAsia"/>
              <w:szCs w:val="21"/>
            </w:rPr>
            <w:t>天职业字[2025]6154号</w:t>
          </w:r>
        </w:p>
        <w:p>
          <w:pPr>
            <w:spacing w:afterLines="50" w:after="120" w:line="360" w:lineRule="exact"/>
            <w:ind w:firstLineChars="200" w:firstLine="420"/>
            <w:rPr>
              <w:szCs w:val="21"/>
            </w:rPr>
          </w:pPr>
          <w:r>
            <w:rPr>
              <w:rFonts w:hint="eastAsia"/>
              <w:szCs w:val="21"/>
            </w:rPr>
            <w:t>我们与治理层就计划的审计范围、时间安排和重大审计发现等事项进行沟通，包括沟通我们在审计中识别出的值得关注的内部控制缺陷。</w:t>
          </w:r>
        </w:p>
        <w:p>
          <w:pPr>
            <w:spacing w:afterLines="50" w:after="120" w:line="360" w:lineRule="exact"/>
            <w:ind w:firstLineChars="200" w:firstLine="420"/>
            <w:rPr>
              <w:szCs w:val="21"/>
            </w:rPr>
          </w:pPr>
          <w:r>
            <w:rPr>
              <w:rFonts w:hint="eastAsia"/>
              <w:szCs w:val="21"/>
            </w:rPr>
            <w:t>我们还就已遵守与独立性相关的职业道德要求向治理层提供声明，并与治理层沟通可能被合理认为影响我们独立性的所有关系和其他事项，以及相关的防范措施（如适用）。</w:t>
          </w:r>
        </w:p>
        <w:p>
          <w:pPr>
            <w:spacing w:afterLines="50" w:after="120" w:line="360" w:lineRule="exact"/>
            <w:ind w:firstLineChars="200" w:firstLine="420"/>
            <w:rPr>
              <w:szCs w:val="21"/>
            </w:rPr>
          </w:pPr>
          <w:r>
            <w:rPr>
              <w:rFonts w:hint="eastAsia"/>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spacing w:line="360" w:lineRule="exact"/>
            <w:ind w:firstLineChars="200" w:firstLine="420"/>
            <w:rPr>
              <w:szCs w:val="21"/>
            </w:rPr>
          </w:pPr>
          <w:r>
            <w:rPr>
              <w:rFonts w:hint="eastAsia"/>
              <w:szCs w:val="21"/>
            </w:rPr>
            <w:t xml:space="preserve"> [以下无正文]</w:t>
          </w: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p>
          <w:pPr>
            <w:spacing w:line="360" w:lineRule="exact"/>
            <w:ind w:firstLineChars="200" w:firstLine="420"/>
            <w:rPr>
              <w:szCs w:val="21"/>
            </w:rPr>
          </w:pPr>
        </w:p>
        <w:tbl>
          <w:tblPr>
            <w:tblStyle w:val="affffffffff8"/>
            <w:tblW w:w="0" w:type="auto"/>
            <w:jc w:val="center"/>
            <w:tblLook w:val="04A0" w:firstRow="1" w:lastRow="0" w:firstColumn="1" w:lastColumn="0" w:noHBand="0" w:noVBand="1"/>
          </w:tblPr>
          <w:tblGrid>
            <w:gridCol w:w="4284"/>
            <w:gridCol w:w="2320"/>
            <w:gridCol w:w="1964"/>
          </w:tblGrid>
          <w:tr>
            <w:trPr>
              <w:cantSplit/>
              <w:trHeight w:val="1355"/>
              <w:jc w:val="center"/>
            </w:trPr>
            <w:tc>
              <w:tcPr>
                <w:tcW w:w="4284" w:type="dxa"/>
                <w:vMerge w:val="restart"/>
                <w:vAlign w:val="center"/>
              </w:tcPr>
              <w:p>
                <w:pPr>
                  <w:spacing w:line="500" w:lineRule="exact"/>
                  <w:jc w:val="center"/>
                  <w:rPr>
                    <w:szCs w:val="21"/>
                  </w:rPr>
                </w:pPr>
                <w:r>
                  <w:rPr>
                    <w:rFonts w:hint="eastAsia"/>
                    <w:szCs w:val="21"/>
                  </w:rPr>
                  <w:t>中国·北京</w:t>
                </w:r>
              </w:p>
              <w:p>
                <w:pPr>
                  <w:spacing w:line="500" w:lineRule="exact"/>
                  <w:jc w:val="center"/>
                  <w:rPr>
                    <w:szCs w:val="21"/>
                  </w:rPr>
                </w:pPr>
                <w:r>
                  <w:rPr>
                    <w:rFonts w:hint="eastAsia"/>
                    <w:szCs w:val="21"/>
                  </w:rPr>
                  <w:t>二○二五年三月二十八日</w:t>
                </w:r>
              </w:p>
            </w:tc>
            <w:tc>
              <w:tcPr>
                <w:tcW w:w="2320" w:type="dxa"/>
                <w:vAlign w:val="center"/>
              </w:tcPr>
              <w:p>
                <w:pPr>
                  <w:spacing w:afterLines="50" w:after="120" w:line="360" w:lineRule="exact"/>
                  <w:jc w:val="center"/>
                  <w:rPr>
                    <w:szCs w:val="21"/>
                  </w:rPr>
                </w:pPr>
                <w:r>
                  <w:rPr>
                    <w:rFonts w:hint="eastAsia"/>
                    <w:szCs w:val="21"/>
                  </w:rPr>
                  <w:t>中国注册会计师</w:t>
                </w:r>
              </w:p>
              <w:p>
                <w:pPr>
                  <w:spacing w:afterLines="50" w:after="120" w:line="360" w:lineRule="exact"/>
                  <w:jc w:val="center"/>
                  <w:rPr>
                    <w:szCs w:val="21"/>
                  </w:rPr>
                </w:pPr>
                <w:r>
                  <w:rPr>
                    <w:rFonts w:asciiTheme="minorEastAsia" w:hAnsiTheme="minorEastAsia" w:hint="eastAsia"/>
                    <w:szCs w:val="21"/>
                  </w:rPr>
                  <w:t>（项目合伙人）</w:t>
                </w:r>
                <w:r>
                  <w:rPr>
                    <w:rFonts w:hint="eastAsia"/>
                    <w:szCs w:val="21"/>
                  </w:rPr>
                  <w:t>：</w:t>
                </w:r>
              </w:p>
            </w:tc>
            <w:tc>
              <w:tcPr>
                <w:tcW w:w="1964" w:type="dxa"/>
                <w:tcBorders>
                  <w:bottom w:val="single" w:sz="4" w:space="0" w:color="auto"/>
                </w:tcBorders>
                <w:vAlign w:val="center"/>
              </w:tcPr>
              <w:p>
                <w:pPr>
                  <w:spacing w:beforeLines="50" w:before="120" w:line="500" w:lineRule="exact"/>
                  <w:jc w:val="center"/>
                  <w:rPr>
                    <w:szCs w:val="21"/>
                  </w:rPr>
                </w:pPr>
              </w:p>
            </w:tc>
          </w:tr>
          <w:tr>
            <w:trPr>
              <w:cantSplit/>
              <w:trHeight w:val="1355"/>
              <w:jc w:val="center"/>
            </w:trPr>
            <w:tc>
              <w:tcPr>
                <w:tcW w:w="4284" w:type="dxa"/>
                <w:vMerge/>
                <w:vAlign w:val="center"/>
              </w:tcPr>
              <w:p>
                <w:pPr>
                  <w:spacing w:line="500" w:lineRule="exact"/>
                  <w:jc w:val="center"/>
                  <w:rPr>
                    <w:szCs w:val="21"/>
                  </w:rPr>
                </w:pPr>
              </w:p>
            </w:tc>
            <w:tc>
              <w:tcPr>
                <w:tcW w:w="2320" w:type="dxa"/>
                <w:vAlign w:val="center"/>
              </w:tcPr>
              <w:p>
                <w:pPr>
                  <w:spacing w:afterLines="50" w:after="120" w:line="360" w:lineRule="exact"/>
                  <w:jc w:val="center"/>
                  <w:rPr>
                    <w:szCs w:val="21"/>
                  </w:rPr>
                </w:pPr>
                <w:r>
                  <w:rPr>
                    <w:rFonts w:hint="eastAsia"/>
                    <w:szCs w:val="21"/>
                  </w:rPr>
                  <w:t>中国注册会计师：</w:t>
                </w:r>
              </w:p>
            </w:tc>
            <w:tc>
              <w:tcPr>
                <w:tcW w:w="1964" w:type="dxa"/>
                <w:tcBorders>
                  <w:top w:val="single" w:sz="4" w:space="0" w:color="auto"/>
                  <w:bottom w:val="single" w:sz="4" w:space="0" w:color="auto"/>
                </w:tcBorders>
                <w:vAlign w:val="center"/>
              </w:tcPr>
              <w:p>
                <w:pPr>
                  <w:spacing w:beforeLines="50" w:before="120" w:line="500" w:lineRule="exact"/>
                  <w:jc w:val="center"/>
                  <w:rPr>
                    <w:szCs w:val="21"/>
                  </w:rPr>
                </w:pPr>
              </w:p>
            </w:tc>
          </w:tr>
          <w:tr>
            <w:trPr>
              <w:cantSplit/>
              <w:trHeight w:val="1355"/>
              <w:jc w:val="center"/>
            </w:trPr>
            <w:tc>
              <w:tcPr>
                <w:tcW w:w="4284" w:type="dxa"/>
                <w:vMerge/>
                <w:vAlign w:val="center"/>
              </w:tcPr>
              <w:p>
                <w:pPr>
                  <w:spacing w:line="500" w:lineRule="exact"/>
                  <w:jc w:val="center"/>
                  <w:rPr>
                    <w:szCs w:val="21"/>
                  </w:rPr>
                </w:pPr>
              </w:p>
            </w:tc>
            <w:tc>
              <w:tcPr>
                <w:tcW w:w="2320" w:type="dxa"/>
                <w:vAlign w:val="center"/>
              </w:tcPr>
              <w:p>
                <w:pPr>
                  <w:spacing w:afterLines="50" w:after="120" w:line="360" w:lineRule="exact"/>
                  <w:jc w:val="center"/>
                  <w:rPr>
                    <w:szCs w:val="21"/>
                  </w:rPr>
                </w:pPr>
                <w:r>
                  <w:rPr>
                    <w:rFonts w:hint="eastAsia"/>
                    <w:szCs w:val="21"/>
                  </w:rPr>
                  <w:t>中国注册会计师：</w:t>
                </w:r>
              </w:p>
            </w:tc>
            <w:tc>
              <w:tcPr>
                <w:tcW w:w="1964" w:type="dxa"/>
                <w:tcBorders>
                  <w:top w:val="single" w:sz="4" w:space="0" w:color="auto"/>
                  <w:bottom w:val="single" w:sz="4" w:space="0" w:color="auto"/>
                </w:tcBorders>
                <w:vAlign w:val="center"/>
              </w:tcPr>
              <w:p>
                <w:pPr>
                  <w:spacing w:beforeLines="50" w:before="120" w:line="500" w:lineRule="exact"/>
                  <w:jc w:val="center"/>
                  <w:rPr>
                    <w:szCs w:val="21"/>
                  </w:rPr>
                </w:pPr>
              </w:p>
            </w:tc>
          </w:tr>
        </w:tbl>
        <w:p>
          <w:pPr>
            <w:pStyle w:val="affffffffffffffffffffffffffffffffe"/>
          </w:pPr>
        </w:p>
        <w:bookmarkEnd w:id="306" w:displacedByCustomXml="next"/>
        <w:bookmarkEnd w:id="307" w:displacedByCustomXml="next"/>
      </w:sdtContent>
    </w:sdt>
    <w:p>
      <w:pPr>
        <w:pStyle w:val="affffffffffffffffffffffffffffffffe"/>
      </w:pPr>
    </w:p>
    <w:p>
      <w:pPr>
        <w:pStyle w:val="affffffffffffffffffffff2"/>
        <w:numPr>
          <w:ilvl w:val="0"/>
          <w:numId w:val="155"/>
        </w:numPr>
        <w:rPr>
          <w:rFonts w:ascii="宋体" w:hAnsi="宋体"/>
        </w:rPr>
      </w:pPr>
      <w:r>
        <w:rPr>
          <w:rFonts w:ascii="宋体" w:hAnsi="宋体" w:hint="eastAsia"/>
        </w:rPr>
        <w:lastRenderedPageBreak/>
        <w:t>财务报表</w:t>
      </w:r>
    </w:p>
    <w:p>
      <w:pPr>
        <w:pStyle w:val="afffffffffffffffffffffffffffffffff0"/>
        <w:jc w:val="center"/>
      </w:pPr>
      <w:bookmarkStart w:id="308" w:name="_Hlk24034092"/>
      <w:bookmarkStart w:id="309" w:name="_Hlk182475374"/>
      <w:bookmarkEnd w:id="308"/>
      <w:r>
        <w:rPr>
          <w:rFonts w:hint="eastAsia"/>
        </w:rPr>
        <w:t>合并资产负债表</w:t>
      </w:r>
    </w:p>
    <w:p>
      <w:pPr>
        <w:snapToGrid w:val="0"/>
        <w:spacing w:line="240" w:lineRule="atLeast"/>
        <w:jc w:val="center"/>
        <w:rPr>
          <w:b/>
          <w:szCs w:val="21"/>
        </w:rPr>
      </w:pPr>
      <w:r>
        <w:rPr>
          <w:szCs w:val="21"/>
        </w:rPr>
        <w:t>2024年12月31日</w:t>
      </w:r>
    </w:p>
    <w:p>
      <w:pPr>
        <w:rPr>
          <w:szCs w:val="21"/>
        </w:rPr>
      </w:pPr>
      <w:r>
        <w:rPr>
          <w:szCs w:val="21"/>
        </w:rPr>
        <w:t>编制单位</w:t>
      </w:r>
      <w:r>
        <w:rPr>
          <w:rFonts w:hint="eastAsia"/>
          <w:szCs w:val="21"/>
        </w:rPr>
        <w:t>：</w:t>
      </w:r>
      <w:sdt>
        <w:sdtPr>
          <w:rPr>
            <w:szCs w:val="21"/>
          </w:rPr>
          <w:alias w:val="公司法定中文名称"/>
          <w:tag w:val="_GBC_22071e1c4bb04578b94539b252cb1c67"/>
          <w:id w:val="2065599162"/>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rPr>
            <w:t>兖矿能源集团股份有限公司</w:t>
          </w:r>
        </w:sdtContent>
      </w:sdt>
    </w:p>
    <w:p>
      <w:pPr>
        <w:jc w:val="right"/>
        <w:rPr>
          <w:szCs w:val="21"/>
        </w:rPr>
      </w:pPr>
      <w:r>
        <w:rPr>
          <w:szCs w:val="21"/>
        </w:rPr>
        <w:t>单位：</w:t>
      </w:r>
      <w:sdt>
        <w:sdtPr>
          <w:rPr>
            <w:szCs w:val="21"/>
          </w:rPr>
          <w:alias w:val="单位：合并资产负债表"/>
          <w:tag w:val="_GBC_8c6918f285a44e0f8fb06fefffa27df4"/>
          <w:id w:val="15690803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合并资产负债表"/>
          <w:tag w:val="_GBC_0953b26208a64010937af0b40efed509"/>
          <w:id w:val="7165531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8"/>
        <w:gridCol w:w="1803"/>
        <w:gridCol w:w="1786"/>
        <w:gridCol w:w="2349"/>
      </w:tblGrid>
      <w:tr>
        <w:bookmarkStart w:id="310" w:name="_Hlk137046697" w:displacedByCustomXml="next"/>
        <w:sdt>
          <w:sdtPr>
            <w:tag w:val="_PLD_e88f994cf669436ebd34aa04979abc4a"/>
            <w:id w:val="199524177"/>
          </w:sdtPr>
          <w:sdtContent>
            <w:tc>
              <w:tcPr>
                <w:tcW w:w="1628" w:type="pct"/>
                <w:tcBorders>
                  <w:top w:val="outset" w:sz="6" w:space="0" w:color="auto"/>
                  <w:left w:val="outset" w:sz="6" w:space="0" w:color="auto"/>
                  <w:bottom w:val="outset" w:sz="6" w:space="0" w:color="auto"/>
                  <w:right w:val="outset" w:sz="6" w:space="0" w:color="auto"/>
                </w:tcBorders>
                <w:vAlign w:val="center"/>
              </w:tcPr>
              <w:p>
                <w:pPr>
                  <w:jc w:val="center"/>
                  <w:rPr>
                    <w:b/>
                    <w:color w:val="000000" w:themeColor="text1"/>
                  </w:rPr>
                </w:pPr>
                <w:r>
                  <w:rPr>
                    <w:b/>
                    <w:color w:val="000000" w:themeColor="text1"/>
                  </w:rPr>
                  <w:t>项目</w:t>
                </w:r>
              </w:p>
            </w:tc>
          </w:sdtContent>
        </w:sdt>
        <w:sdt>
          <w:sdtPr>
            <w:tag w:val="_PLD_1b1f75a08f0046c7a2abc9d59780d042"/>
            <w:id w:val="-1661840915"/>
          </w:sdtPr>
          <w:sdtContent>
            <w:tc>
              <w:tcPr>
                <w:tcW w:w="1024" w:type="pct"/>
                <w:tcBorders>
                  <w:top w:val="outset" w:sz="6" w:space="0" w:color="auto"/>
                  <w:left w:val="outset" w:sz="6" w:space="0" w:color="auto"/>
                  <w:bottom w:val="outset" w:sz="6" w:space="0" w:color="auto"/>
                  <w:right w:val="outset" w:sz="6" w:space="0" w:color="auto"/>
                </w:tcBorders>
                <w:vAlign w:val="center"/>
              </w:tcPr>
              <w:p>
                <w:pPr>
                  <w:jc w:val="center"/>
                  <w:rPr>
                    <w:b/>
                    <w:color w:val="000000" w:themeColor="text1"/>
                  </w:rPr>
                </w:pPr>
                <w:r>
                  <w:rPr>
                    <w:rFonts w:hint="eastAsia"/>
                    <w:b/>
                    <w:color w:val="000000" w:themeColor="text1"/>
                  </w:rPr>
                  <w:t>附注</w:t>
                </w:r>
              </w:p>
            </w:tc>
          </w:sdtContent>
        </w:sdt>
        <w:sdt>
          <w:sdtPr>
            <w:tag w:val="_PLD_afa4cd62e5184f80ba13c8e19e91baa5"/>
            <w:id w:val="1439565772"/>
          </w:sdtPr>
          <w:sdtContent>
            <w:tc>
              <w:tcPr>
                <w:tcW w:w="1014" w:type="pct"/>
                <w:tcBorders>
                  <w:top w:val="outset" w:sz="6" w:space="0" w:color="auto"/>
                  <w:left w:val="outset" w:sz="6" w:space="0" w:color="auto"/>
                  <w:bottom w:val="outset" w:sz="6" w:space="0" w:color="auto"/>
                  <w:right w:val="outset" w:sz="6" w:space="0" w:color="auto"/>
                </w:tcBorders>
                <w:vAlign w:val="center"/>
              </w:tcPr>
              <w:p>
                <w:pPr>
                  <w:jc w:val="center"/>
                  <w:rPr>
                    <w:b/>
                    <w:color w:val="000000" w:themeColor="text1"/>
                  </w:rPr>
                </w:pPr>
                <w:r>
                  <w:rPr>
                    <w:rFonts w:hint="eastAsia"/>
                    <w:b/>
                    <w:color w:val="000000" w:themeColor="text1"/>
                  </w:rPr>
                  <w:t>2024年12月</w:t>
                </w:r>
                <w:r>
                  <w:rPr>
                    <w:b/>
                    <w:color w:val="000000" w:themeColor="text1"/>
                  </w:rPr>
                  <w:t>3</w:t>
                </w:r>
                <w:r>
                  <w:rPr>
                    <w:rFonts w:hint="eastAsia"/>
                    <w:b/>
                    <w:color w:val="000000" w:themeColor="text1"/>
                  </w:rPr>
                  <w:t>1日</w:t>
                </w:r>
              </w:p>
            </w:tc>
          </w:sdtContent>
        </w:sdt>
        <w:sdt>
          <w:sdtPr>
            <w:tag w:val="_PLD_af2c4ec348eb42cba64145c988fe0f69"/>
            <w:id w:val="1442489590"/>
          </w:sdtPr>
          <w:sdtContent>
            <w:tc>
              <w:tcPr>
                <w:tcW w:w="1335" w:type="pct"/>
                <w:tcBorders>
                  <w:top w:val="outset" w:sz="6" w:space="0" w:color="auto"/>
                  <w:left w:val="outset" w:sz="6" w:space="0" w:color="auto"/>
                  <w:bottom w:val="outset" w:sz="6" w:space="0" w:color="auto"/>
                  <w:right w:val="outset" w:sz="6" w:space="0" w:color="auto"/>
                </w:tcBorders>
                <w:vAlign w:val="center"/>
              </w:tcPr>
              <w:p>
                <w:pPr>
                  <w:jc w:val="center"/>
                  <w:rPr>
                    <w:b/>
                    <w:color w:val="000000" w:themeColor="text1"/>
                  </w:rPr>
                </w:pPr>
                <w:r>
                  <w:rPr>
                    <w:b/>
                    <w:color w:val="000000" w:themeColor="text1"/>
                  </w:rPr>
                  <w:t>2023年12月31日</w:t>
                </w:r>
              </w:p>
            </w:tc>
          </w:sdtContent>
        </w:sdt>
      </w:tr>
      <w:tr>
        <w:sdt>
          <w:sdtPr>
            <w:tag w:val="_PLD_38b46463546242c595dc585220b1a4b3"/>
            <w:id w:val="-723063904"/>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b/>
                    <w:color w:val="000000" w:themeColor="text1"/>
                  </w:rPr>
                </w:pPr>
                <w:r>
                  <w:rPr>
                    <w:rFonts w:hint="eastAsia"/>
                    <w:b/>
                    <w:color w:val="000000" w:themeColor="text1"/>
                  </w:rPr>
                  <w:t>流动资产：</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货币资金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七、（一）</w:t>
            </w:r>
          </w:p>
        </w:tc>
        <w:tc>
          <w:tcPr>
            <w:tcW w:w="1014" w:type="pct"/>
            <w:tcBorders>
              <w:top w:val="outset" w:sz="6" w:space="0" w:color="auto"/>
              <w:left w:val="outset" w:sz="6" w:space="0" w:color="auto"/>
              <w:bottom w:val="outset" w:sz="6" w:space="0" w:color="auto"/>
              <w:right w:val="outset" w:sz="6" w:space="0" w:color="auto"/>
            </w:tcBorders>
          </w:tcPr>
          <w:p>
            <w:pPr>
              <w:jc w:val="right"/>
            </w:pPr>
            <w:r>
              <w:t>38,344,865</w:t>
            </w:r>
          </w:p>
        </w:tc>
        <w:tc>
          <w:tcPr>
            <w:tcW w:w="1335" w:type="pct"/>
            <w:tcBorders>
              <w:top w:val="outset" w:sz="6" w:space="0" w:color="auto"/>
              <w:left w:val="outset" w:sz="6" w:space="0" w:color="auto"/>
              <w:bottom w:val="outset" w:sz="6" w:space="0" w:color="auto"/>
              <w:right w:val="outset" w:sz="6" w:space="0" w:color="auto"/>
            </w:tcBorders>
          </w:tcPr>
          <w:p>
            <w:pPr>
              <w:jc w:val="right"/>
            </w:pPr>
            <w:r>
              <w:t>37,691,295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结算备付金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拆出资金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交易性金融资产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七、（二）</w:t>
            </w:r>
          </w:p>
        </w:tc>
        <w:tc>
          <w:tcPr>
            <w:tcW w:w="1014" w:type="pct"/>
            <w:tcBorders>
              <w:top w:val="outset" w:sz="6" w:space="0" w:color="auto"/>
              <w:left w:val="outset" w:sz="6" w:space="0" w:color="auto"/>
              <w:bottom w:val="outset" w:sz="6" w:space="0" w:color="auto"/>
              <w:right w:val="outset" w:sz="6" w:space="0" w:color="auto"/>
            </w:tcBorders>
          </w:tcPr>
          <w:p>
            <w:pPr>
              <w:jc w:val="right"/>
            </w:pPr>
            <w:r>
              <w:t>166,772</w:t>
            </w:r>
          </w:p>
        </w:tc>
        <w:tc>
          <w:tcPr>
            <w:tcW w:w="1335" w:type="pct"/>
            <w:tcBorders>
              <w:top w:val="outset" w:sz="6" w:space="0" w:color="auto"/>
              <w:left w:val="outset" w:sz="6" w:space="0" w:color="auto"/>
              <w:bottom w:val="outset" w:sz="6" w:space="0" w:color="auto"/>
              <w:right w:val="outset" w:sz="6" w:space="0" w:color="auto"/>
            </w:tcBorders>
          </w:tcPr>
          <w:p>
            <w:pPr>
              <w:jc w:val="right"/>
            </w:pPr>
            <w:r>
              <w:t>107,472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衍生金融资产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应收票据</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七、（四）</w:t>
            </w:r>
          </w:p>
        </w:tc>
        <w:tc>
          <w:tcPr>
            <w:tcW w:w="1014" w:type="pct"/>
            <w:tcBorders>
              <w:top w:val="outset" w:sz="6" w:space="0" w:color="auto"/>
              <w:left w:val="outset" w:sz="6" w:space="0" w:color="auto"/>
              <w:bottom w:val="outset" w:sz="6" w:space="0" w:color="auto"/>
              <w:right w:val="outset" w:sz="6" w:space="0" w:color="auto"/>
            </w:tcBorders>
          </w:tcPr>
          <w:p>
            <w:pPr>
              <w:jc w:val="right"/>
            </w:pPr>
            <w:r>
              <w:t>947,303</w:t>
            </w:r>
          </w:p>
        </w:tc>
        <w:tc>
          <w:tcPr>
            <w:tcW w:w="1335" w:type="pct"/>
            <w:tcBorders>
              <w:top w:val="outset" w:sz="6" w:space="0" w:color="auto"/>
              <w:left w:val="outset" w:sz="6" w:space="0" w:color="auto"/>
              <w:bottom w:val="outset" w:sz="6" w:space="0" w:color="auto"/>
              <w:right w:val="outset" w:sz="6" w:space="0" w:color="auto"/>
            </w:tcBorders>
          </w:tcPr>
          <w:p>
            <w:pPr>
              <w:jc w:val="right"/>
            </w:pPr>
            <w:r>
              <w:t>873,079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应收账款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七、（五）</w:t>
            </w:r>
          </w:p>
        </w:tc>
        <w:tc>
          <w:tcPr>
            <w:tcW w:w="1014" w:type="pct"/>
            <w:tcBorders>
              <w:top w:val="outset" w:sz="6" w:space="0" w:color="auto"/>
              <w:left w:val="outset" w:sz="6" w:space="0" w:color="auto"/>
              <w:bottom w:val="outset" w:sz="6" w:space="0" w:color="auto"/>
              <w:right w:val="outset" w:sz="6" w:space="0" w:color="auto"/>
            </w:tcBorders>
          </w:tcPr>
          <w:p>
            <w:pPr>
              <w:jc w:val="right"/>
            </w:pPr>
            <w:r>
              <w:t>9,261,230</w:t>
            </w:r>
          </w:p>
        </w:tc>
        <w:tc>
          <w:tcPr>
            <w:tcW w:w="1335" w:type="pct"/>
            <w:tcBorders>
              <w:top w:val="outset" w:sz="6" w:space="0" w:color="auto"/>
              <w:left w:val="outset" w:sz="6" w:space="0" w:color="auto"/>
              <w:bottom w:val="outset" w:sz="6" w:space="0" w:color="auto"/>
              <w:right w:val="outset" w:sz="6" w:space="0" w:color="auto"/>
            </w:tcBorders>
          </w:tcPr>
          <w:p>
            <w:pPr>
              <w:jc w:val="right"/>
            </w:pPr>
            <w:r>
              <w:t>6,973,075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应收款项融资</w:t>
            </w:r>
          </w:p>
        </w:tc>
        <w:tc>
          <w:tcPr>
            <w:tcW w:w="1024" w:type="pct"/>
            <w:tcBorders>
              <w:top w:val="outset" w:sz="6" w:space="0" w:color="auto"/>
              <w:left w:val="outset" w:sz="6" w:space="0" w:color="auto"/>
              <w:bottom w:val="outset" w:sz="6" w:space="0" w:color="auto"/>
              <w:right w:val="outset" w:sz="6" w:space="0" w:color="auto"/>
            </w:tcBorders>
          </w:tcPr>
          <w:p>
            <w:pPr>
              <w:rPr>
                <w:sz w:val="22"/>
                <w:szCs w:val="22"/>
              </w:rPr>
            </w:pPr>
            <w:r>
              <w:rPr>
                <w:rFonts w:hint="eastAsia"/>
                <w:sz w:val="22"/>
                <w:szCs w:val="22"/>
              </w:rPr>
              <w:t>七、（七）</w:t>
            </w:r>
          </w:p>
        </w:tc>
        <w:tc>
          <w:tcPr>
            <w:tcW w:w="1014" w:type="pct"/>
            <w:tcBorders>
              <w:top w:val="outset" w:sz="6" w:space="0" w:color="auto"/>
              <w:left w:val="outset" w:sz="6" w:space="0" w:color="auto"/>
              <w:bottom w:val="outset" w:sz="6" w:space="0" w:color="auto"/>
              <w:right w:val="outset" w:sz="6" w:space="0" w:color="auto"/>
            </w:tcBorders>
          </w:tcPr>
          <w:p>
            <w:pPr>
              <w:jc w:val="right"/>
            </w:pPr>
            <w:r>
              <w:t>2,979,968</w:t>
            </w:r>
          </w:p>
        </w:tc>
        <w:tc>
          <w:tcPr>
            <w:tcW w:w="1335" w:type="pct"/>
            <w:tcBorders>
              <w:top w:val="outset" w:sz="6" w:space="0" w:color="auto"/>
              <w:left w:val="outset" w:sz="6" w:space="0" w:color="auto"/>
              <w:bottom w:val="outset" w:sz="6" w:space="0" w:color="auto"/>
              <w:right w:val="outset" w:sz="6" w:space="0" w:color="auto"/>
            </w:tcBorders>
          </w:tcPr>
          <w:p>
            <w:pPr>
              <w:jc w:val="right"/>
            </w:pPr>
            <w:r>
              <w:t>4,670,846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预付款项</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七、（八）</w:t>
            </w:r>
          </w:p>
        </w:tc>
        <w:tc>
          <w:tcPr>
            <w:tcW w:w="1014" w:type="pct"/>
            <w:tcBorders>
              <w:top w:val="outset" w:sz="6" w:space="0" w:color="auto"/>
              <w:left w:val="outset" w:sz="6" w:space="0" w:color="auto"/>
              <w:bottom w:val="outset" w:sz="6" w:space="0" w:color="auto"/>
              <w:right w:val="outset" w:sz="6" w:space="0" w:color="auto"/>
            </w:tcBorders>
          </w:tcPr>
          <w:p>
            <w:pPr>
              <w:jc w:val="right"/>
            </w:pPr>
            <w:r>
              <w:t>4,747,067</w:t>
            </w:r>
          </w:p>
        </w:tc>
        <w:tc>
          <w:tcPr>
            <w:tcW w:w="1335" w:type="pct"/>
            <w:tcBorders>
              <w:top w:val="outset" w:sz="6" w:space="0" w:color="auto"/>
              <w:left w:val="outset" w:sz="6" w:space="0" w:color="auto"/>
              <w:bottom w:val="outset" w:sz="6" w:space="0" w:color="auto"/>
              <w:right w:val="outset" w:sz="6" w:space="0" w:color="auto"/>
            </w:tcBorders>
          </w:tcPr>
          <w:p>
            <w:pPr>
              <w:jc w:val="right"/>
            </w:pPr>
            <w:r>
              <w:t>5,082,936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应收保费</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应收分保账款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应收分保合同准备金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其他应收款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七、（九）</w:t>
            </w:r>
          </w:p>
        </w:tc>
        <w:tc>
          <w:tcPr>
            <w:tcW w:w="1014" w:type="pct"/>
            <w:tcBorders>
              <w:top w:val="outset" w:sz="6" w:space="0" w:color="auto"/>
              <w:left w:val="outset" w:sz="6" w:space="0" w:color="auto"/>
              <w:bottom w:val="outset" w:sz="6" w:space="0" w:color="auto"/>
              <w:right w:val="outset" w:sz="6" w:space="0" w:color="auto"/>
            </w:tcBorders>
          </w:tcPr>
          <w:p>
            <w:pPr>
              <w:jc w:val="right"/>
            </w:pPr>
            <w:r>
              <w:t>3,483,938</w:t>
            </w:r>
          </w:p>
        </w:tc>
        <w:tc>
          <w:tcPr>
            <w:tcW w:w="1335" w:type="pct"/>
            <w:tcBorders>
              <w:top w:val="outset" w:sz="6" w:space="0" w:color="auto"/>
              <w:left w:val="outset" w:sz="6" w:space="0" w:color="auto"/>
              <w:bottom w:val="outset" w:sz="6" w:space="0" w:color="auto"/>
              <w:right w:val="outset" w:sz="6" w:space="0" w:color="auto"/>
            </w:tcBorders>
          </w:tcPr>
          <w:p>
            <w:pPr>
              <w:jc w:val="right"/>
            </w:pPr>
            <w:r>
              <w:t>4,201,228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其中：应收利息</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400" w:firstLine="840"/>
              <w:rPr>
                <w:color w:val="000000" w:themeColor="text1"/>
              </w:rPr>
            </w:pPr>
            <w:r>
              <w:rPr>
                <w:rFonts w:hint="eastAsia"/>
                <w:color w:val="000000" w:themeColor="text1"/>
              </w:rPr>
              <w:t>应收股利</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七、（九）</w:t>
            </w:r>
          </w:p>
        </w:tc>
        <w:tc>
          <w:tcPr>
            <w:tcW w:w="1014" w:type="pct"/>
            <w:tcBorders>
              <w:top w:val="outset" w:sz="6" w:space="0" w:color="auto"/>
              <w:left w:val="outset" w:sz="6" w:space="0" w:color="auto"/>
              <w:bottom w:val="outset" w:sz="6" w:space="0" w:color="auto"/>
              <w:right w:val="outset" w:sz="6" w:space="0" w:color="auto"/>
            </w:tcBorders>
          </w:tcPr>
          <w:p>
            <w:pPr>
              <w:jc w:val="right"/>
            </w:pPr>
            <w:r>
              <w:t>45,974</w:t>
            </w:r>
          </w:p>
        </w:tc>
        <w:tc>
          <w:tcPr>
            <w:tcW w:w="1335" w:type="pct"/>
            <w:tcBorders>
              <w:top w:val="outset" w:sz="6" w:space="0" w:color="auto"/>
              <w:left w:val="outset" w:sz="6" w:space="0" w:color="auto"/>
              <w:bottom w:val="outset" w:sz="6" w:space="0" w:color="auto"/>
              <w:right w:val="outset" w:sz="6" w:space="0" w:color="auto"/>
            </w:tcBorders>
          </w:tcPr>
          <w:p>
            <w:pPr>
              <w:jc w:val="right"/>
            </w:pPr>
            <w:r>
              <w:t>455,230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买入返售金融资产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存货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七、（十）</w:t>
            </w:r>
          </w:p>
        </w:tc>
        <w:tc>
          <w:tcPr>
            <w:tcW w:w="1014" w:type="pct"/>
            <w:tcBorders>
              <w:top w:val="outset" w:sz="6" w:space="0" w:color="auto"/>
              <w:left w:val="outset" w:sz="6" w:space="0" w:color="auto"/>
              <w:bottom w:val="outset" w:sz="6" w:space="0" w:color="auto"/>
              <w:right w:val="outset" w:sz="6" w:space="0" w:color="auto"/>
            </w:tcBorders>
          </w:tcPr>
          <w:p>
            <w:pPr>
              <w:jc w:val="right"/>
            </w:pPr>
            <w:r>
              <w:t>7,624,810</w:t>
            </w:r>
          </w:p>
        </w:tc>
        <w:tc>
          <w:tcPr>
            <w:tcW w:w="1335" w:type="pct"/>
            <w:tcBorders>
              <w:top w:val="outset" w:sz="6" w:space="0" w:color="auto"/>
              <w:left w:val="outset" w:sz="6" w:space="0" w:color="auto"/>
              <w:bottom w:val="outset" w:sz="6" w:space="0" w:color="auto"/>
              <w:right w:val="outset" w:sz="6" w:space="0" w:color="auto"/>
            </w:tcBorders>
          </w:tcPr>
          <w:p>
            <w:pPr>
              <w:jc w:val="right"/>
            </w:pPr>
            <w:r>
              <w:t>7,742,151</w:t>
            </w:r>
          </w:p>
        </w:tc>
      </w:tr>
      <w:tr>
        <w:tc>
          <w:tcPr>
            <w:tcW w:w="1628" w:type="pct"/>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color w:val="000000" w:themeColor="text1"/>
              </w:rPr>
              <w:t xml:space="preserve">  其中：数据资源</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合同资产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79,812</w:t>
            </w:r>
          </w:p>
        </w:tc>
        <w:tc>
          <w:tcPr>
            <w:tcW w:w="1335" w:type="pct"/>
            <w:tcBorders>
              <w:top w:val="outset" w:sz="6" w:space="0" w:color="auto"/>
              <w:left w:val="outset" w:sz="6" w:space="0" w:color="auto"/>
              <w:bottom w:val="outset" w:sz="6" w:space="0" w:color="auto"/>
              <w:right w:val="outset" w:sz="6" w:space="0" w:color="auto"/>
            </w:tcBorders>
          </w:tcPr>
          <w:p>
            <w:pPr>
              <w:jc w:val="right"/>
            </w:pPr>
            <w:r>
              <w:t>20,875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持有待售资产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r>
              <w:t>8,291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一年内到期的非流动资产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七、（十二）</w:t>
            </w:r>
          </w:p>
        </w:tc>
        <w:tc>
          <w:tcPr>
            <w:tcW w:w="1014" w:type="pct"/>
            <w:tcBorders>
              <w:top w:val="outset" w:sz="6" w:space="0" w:color="auto"/>
              <w:left w:val="outset" w:sz="6" w:space="0" w:color="auto"/>
              <w:bottom w:val="outset" w:sz="6" w:space="0" w:color="auto"/>
              <w:right w:val="outset" w:sz="6" w:space="0" w:color="auto"/>
            </w:tcBorders>
          </w:tcPr>
          <w:p>
            <w:pPr>
              <w:jc w:val="right"/>
            </w:pPr>
            <w:r>
              <w:t>4,619,076</w:t>
            </w:r>
          </w:p>
        </w:tc>
        <w:tc>
          <w:tcPr>
            <w:tcW w:w="1335" w:type="pct"/>
            <w:tcBorders>
              <w:top w:val="outset" w:sz="6" w:space="0" w:color="auto"/>
              <w:left w:val="outset" w:sz="6" w:space="0" w:color="auto"/>
              <w:bottom w:val="outset" w:sz="6" w:space="0" w:color="auto"/>
              <w:right w:val="outset" w:sz="6" w:space="0" w:color="auto"/>
            </w:tcBorders>
          </w:tcPr>
          <w:p>
            <w:pPr>
              <w:jc w:val="right"/>
            </w:pPr>
            <w:r>
              <w:t>2,185,928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其他流动资产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七、（十三）</w:t>
            </w:r>
          </w:p>
        </w:tc>
        <w:tc>
          <w:tcPr>
            <w:tcW w:w="1014" w:type="pct"/>
            <w:tcBorders>
              <w:top w:val="outset" w:sz="6" w:space="0" w:color="auto"/>
              <w:left w:val="outset" w:sz="6" w:space="0" w:color="auto"/>
              <w:bottom w:val="outset" w:sz="6" w:space="0" w:color="auto"/>
              <w:right w:val="outset" w:sz="6" w:space="0" w:color="auto"/>
            </w:tcBorders>
          </w:tcPr>
          <w:p>
            <w:pPr>
              <w:jc w:val="right"/>
            </w:pPr>
            <w:r>
              <w:t>25,099,689</w:t>
            </w:r>
          </w:p>
        </w:tc>
        <w:tc>
          <w:tcPr>
            <w:tcW w:w="1335" w:type="pct"/>
            <w:tcBorders>
              <w:top w:val="outset" w:sz="6" w:space="0" w:color="auto"/>
              <w:left w:val="outset" w:sz="6" w:space="0" w:color="auto"/>
              <w:bottom w:val="outset" w:sz="6" w:space="0" w:color="auto"/>
              <w:right w:val="outset" w:sz="6" w:space="0" w:color="auto"/>
            </w:tcBorders>
          </w:tcPr>
          <w:p>
            <w:pPr>
              <w:jc w:val="right"/>
            </w:pPr>
            <w:r>
              <w:t>26,747,002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流动资产合计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97,354,530</w:t>
            </w:r>
          </w:p>
        </w:tc>
        <w:tc>
          <w:tcPr>
            <w:tcW w:w="1335" w:type="pct"/>
            <w:tcBorders>
              <w:top w:val="outset" w:sz="6" w:space="0" w:color="auto"/>
              <w:left w:val="outset" w:sz="6" w:space="0" w:color="auto"/>
              <w:bottom w:val="outset" w:sz="6" w:space="0" w:color="auto"/>
              <w:right w:val="outset" w:sz="6" w:space="0" w:color="auto"/>
            </w:tcBorders>
          </w:tcPr>
          <w:p>
            <w:pPr>
              <w:jc w:val="right"/>
            </w:pPr>
            <w:r>
              <w:t>96,304,178</w:t>
            </w:r>
          </w:p>
        </w:tc>
      </w:tr>
      <w:tr>
        <w:sdt>
          <w:sdtPr>
            <w:tag w:val="_PLD_2b01add84ac3492abc16500182326d8e"/>
            <w:id w:val="-73878438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非流动资产：</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发放贷款和垫款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债权投资</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七、（十四）</w:t>
            </w:r>
          </w:p>
        </w:tc>
        <w:tc>
          <w:tcPr>
            <w:tcW w:w="1014" w:type="pct"/>
            <w:tcBorders>
              <w:top w:val="outset" w:sz="6" w:space="0" w:color="auto"/>
              <w:left w:val="outset" w:sz="6" w:space="0" w:color="auto"/>
              <w:bottom w:val="outset" w:sz="6" w:space="0" w:color="auto"/>
              <w:right w:val="outset" w:sz="6" w:space="0" w:color="auto"/>
            </w:tcBorders>
          </w:tcPr>
          <w:p>
            <w:pPr>
              <w:jc w:val="right"/>
            </w:pPr>
            <w:r>
              <w:t>63,999</w:t>
            </w:r>
          </w:p>
        </w:tc>
        <w:tc>
          <w:tcPr>
            <w:tcW w:w="1335" w:type="pct"/>
            <w:tcBorders>
              <w:top w:val="outset" w:sz="6" w:space="0" w:color="auto"/>
              <w:left w:val="outset" w:sz="6" w:space="0" w:color="auto"/>
              <w:bottom w:val="outset" w:sz="6" w:space="0" w:color="auto"/>
              <w:right w:val="outset" w:sz="6" w:space="0" w:color="auto"/>
            </w:tcBorders>
          </w:tcPr>
          <w:p>
            <w:pPr>
              <w:jc w:val="right"/>
            </w:pPr>
            <w:r>
              <w:t>68,847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其他债权投资</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长期应收款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七、（十六）</w:t>
            </w:r>
          </w:p>
        </w:tc>
        <w:tc>
          <w:tcPr>
            <w:tcW w:w="1014" w:type="pct"/>
            <w:tcBorders>
              <w:top w:val="outset" w:sz="6" w:space="0" w:color="auto"/>
              <w:left w:val="outset" w:sz="6" w:space="0" w:color="auto"/>
              <w:bottom w:val="outset" w:sz="6" w:space="0" w:color="auto"/>
              <w:right w:val="outset" w:sz="6" w:space="0" w:color="auto"/>
            </w:tcBorders>
          </w:tcPr>
          <w:p>
            <w:pPr>
              <w:jc w:val="right"/>
            </w:pPr>
            <w:r>
              <w:t>2,043,492</w:t>
            </w:r>
          </w:p>
        </w:tc>
        <w:tc>
          <w:tcPr>
            <w:tcW w:w="1335" w:type="pct"/>
            <w:tcBorders>
              <w:top w:val="outset" w:sz="6" w:space="0" w:color="auto"/>
              <w:left w:val="outset" w:sz="6" w:space="0" w:color="auto"/>
              <w:bottom w:val="outset" w:sz="6" w:space="0" w:color="auto"/>
              <w:right w:val="outset" w:sz="6" w:space="0" w:color="auto"/>
            </w:tcBorders>
          </w:tcPr>
          <w:p>
            <w:pPr>
              <w:jc w:val="right"/>
            </w:pPr>
            <w:r>
              <w:t>2,333,518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长期股权投资</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七、（十七）</w:t>
            </w:r>
          </w:p>
        </w:tc>
        <w:tc>
          <w:tcPr>
            <w:tcW w:w="1014" w:type="pct"/>
            <w:tcBorders>
              <w:top w:val="outset" w:sz="6" w:space="0" w:color="auto"/>
              <w:left w:val="outset" w:sz="6" w:space="0" w:color="auto"/>
              <w:bottom w:val="outset" w:sz="6" w:space="0" w:color="auto"/>
              <w:right w:val="outset" w:sz="6" w:space="0" w:color="auto"/>
            </w:tcBorders>
          </w:tcPr>
          <w:p>
            <w:pPr>
              <w:jc w:val="right"/>
            </w:pPr>
            <w:r>
              <w:t>25,642,978</w:t>
            </w:r>
          </w:p>
        </w:tc>
        <w:tc>
          <w:tcPr>
            <w:tcW w:w="1335" w:type="pct"/>
            <w:tcBorders>
              <w:top w:val="outset" w:sz="6" w:space="0" w:color="auto"/>
              <w:left w:val="outset" w:sz="6" w:space="0" w:color="auto"/>
              <w:bottom w:val="outset" w:sz="6" w:space="0" w:color="auto"/>
              <w:right w:val="outset" w:sz="6" w:space="0" w:color="auto"/>
            </w:tcBorders>
          </w:tcPr>
          <w:p>
            <w:pPr>
              <w:jc w:val="right"/>
            </w:pPr>
            <w:r>
              <w:t>23,992,605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其他权益工具投资</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七、（十八）</w:t>
            </w:r>
          </w:p>
        </w:tc>
        <w:tc>
          <w:tcPr>
            <w:tcW w:w="1014" w:type="pct"/>
            <w:tcBorders>
              <w:top w:val="outset" w:sz="6" w:space="0" w:color="auto"/>
              <w:left w:val="outset" w:sz="6" w:space="0" w:color="auto"/>
              <w:bottom w:val="outset" w:sz="6" w:space="0" w:color="auto"/>
              <w:right w:val="outset" w:sz="6" w:space="0" w:color="auto"/>
            </w:tcBorders>
          </w:tcPr>
          <w:p>
            <w:pPr>
              <w:jc w:val="right"/>
            </w:pPr>
            <w:r>
              <w:t>116,625</w:t>
            </w:r>
          </w:p>
        </w:tc>
        <w:tc>
          <w:tcPr>
            <w:tcW w:w="1335" w:type="pct"/>
            <w:tcBorders>
              <w:top w:val="outset" w:sz="6" w:space="0" w:color="auto"/>
              <w:left w:val="outset" w:sz="6" w:space="0" w:color="auto"/>
              <w:bottom w:val="outset" w:sz="6" w:space="0" w:color="auto"/>
              <w:right w:val="outset" w:sz="6" w:space="0" w:color="auto"/>
            </w:tcBorders>
          </w:tcPr>
          <w:p>
            <w:pPr>
              <w:jc w:val="right"/>
            </w:pPr>
            <w:r>
              <w:t>116,646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其他非流动金融资产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七、（十九）</w:t>
            </w:r>
          </w:p>
        </w:tc>
        <w:tc>
          <w:tcPr>
            <w:tcW w:w="1014" w:type="pct"/>
            <w:tcBorders>
              <w:top w:val="outset" w:sz="6" w:space="0" w:color="auto"/>
              <w:left w:val="outset" w:sz="6" w:space="0" w:color="auto"/>
              <w:bottom w:val="outset" w:sz="6" w:space="0" w:color="auto"/>
              <w:right w:val="outset" w:sz="6" w:space="0" w:color="auto"/>
            </w:tcBorders>
          </w:tcPr>
          <w:p>
            <w:pPr>
              <w:jc w:val="right"/>
            </w:pPr>
            <w:r>
              <w:t>1,447,143</w:t>
            </w:r>
          </w:p>
        </w:tc>
        <w:tc>
          <w:tcPr>
            <w:tcW w:w="1335" w:type="pct"/>
            <w:tcBorders>
              <w:top w:val="outset" w:sz="6" w:space="0" w:color="auto"/>
              <w:left w:val="outset" w:sz="6" w:space="0" w:color="auto"/>
              <w:bottom w:val="outset" w:sz="6" w:space="0" w:color="auto"/>
              <w:right w:val="outset" w:sz="6" w:space="0" w:color="auto"/>
            </w:tcBorders>
          </w:tcPr>
          <w:p>
            <w:pPr>
              <w:jc w:val="right"/>
            </w:pPr>
            <w:r>
              <w:t>1,503,449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投资性房地产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w:t>
            </w:r>
          </w:p>
        </w:tc>
        <w:tc>
          <w:tcPr>
            <w:tcW w:w="1014" w:type="pct"/>
            <w:tcBorders>
              <w:top w:val="outset" w:sz="6" w:space="0" w:color="auto"/>
              <w:left w:val="outset" w:sz="6" w:space="0" w:color="auto"/>
              <w:bottom w:val="outset" w:sz="6" w:space="0" w:color="auto"/>
              <w:right w:val="outset" w:sz="6" w:space="0" w:color="auto"/>
            </w:tcBorders>
          </w:tcPr>
          <w:p>
            <w:pPr>
              <w:jc w:val="right"/>
            </w:pPr>
            <w:r>
              <w:t>1,234,824</w:t>
            </w:r>
          </w:p>
        </w:tc>
        <w:tc>
          <w:tcPr>
            <w:tcW w:w="1335" w:type="pct"/>
            <w:tcBorders>
              <w:top w:val="outset" w:sz="6" w:space="0" w:color="auto"/>
              <w:left w:val="outset" w:sz="6" w:space="0" w:color="auto"/>
              <w:bottom w:val="outset" w:sz="6" w:space="0" w:color="auto"/>
              <w:right w:val="outset" w:sz="6" w:space="0" w:color="auto"/>
            </w:tcBorders>
          </w:tcPr>
          <w:p>
            <w:pPr>
              <w:jc w:val="right"/>
            </w:pPr>
            <w:r>
              <w:t>1,109,569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固定资产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七、（二十一）</w:t>
            </w:r>
          </w:p>
        </w:tc>
        <w:tc>
          <w:tcPr>
            <w:tcW w:w="1014" w:type="pct"/>
            <w:tcBorders>
              <w:top w:val="outset" w:sz="6" w:space="0" w:color="auto"/>
              <w:left w:val="outset" w:sz="6" w:space="0" w:color="auto"/>
              <w:bottom w:val="outset" w:sz="6" w:space="0" w:color="auto"/>
              <w:right w:val="outset" w:sz="6" w:space="0" w:color="auto"/>
            </w:tcBorders>
          </w:tcPr>
          <w:p>
            <w:pPr>
              <w:jc w:val="right"/>
            </w:pPr>
            <w:r>
              <w:t>112,709,308</w:t>
            </w:r>
          </w:p>
        </w:tc>
        <w:tc>
          <w:tcPr>
            <w:tcW w:w="1335" w:type="pct"/>
            <w:tcBorders>
              <w:top w:val="outset" w:sz="6" w:space="0" w:color="auto"/>
              <w:left w:val="outset" w:sz="6" w:space="0" w:color="auto"/>
              <w:bottom w:val="outset" w:sz="6" w:space="0" w:color="auto"/>
              <w:right w:val="outset" w:sz="6" w:space="0" w:color="auto"/>
            </w:tcBorders>
          </w:tcPr>
          <w:p>
            <w:pPr>
              <w:jc w:val="right"/>
            </w:pPr>
            <w:r>
              <w:t>112,477,338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在建工程</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七、（二十二）</w:t>
            </w:r>
          </w:p>
        </w:tc>
        <w:tc>
          <w:tcPr>
            <w:tcW w:w="1014" w:type="pct"/>
            <w:tcBorders>
              <w:top w:val="outset" w:sz="6" w:space="0" w:color="auto"/>
              <w:left w:val="outset" w:sz="6" w:space="0" w:color="auto"/>
              <w:bottom w:val="outset" w:sz="6" w:space="0" w:color="auto"/>
              <w:right w:val="outset" w:sz="6" w:space="0" w:color="auto"/>
            </w:tcBorders>
          </w:tcPr>
          <w:p>
            <w:pPr>
              <w:jc w:val="right"/>
            </w:pPr>
            <w:r>
              <w:t>22,526,980</w:t>
            </w:r>
          </w:p>
        </w:tc>
        <w:tc>
          <w:tcPr>
            <w:tcW w:w="1335" w:type="pct"/>
            <w:tcBorders>
              <w:top w:val="outset" w:sz="6" w:space="0" w:color="auto"/>
              <w:left w:val="outset" w:sz="6" w:space="0" w:color="auto"/>
              <w:bottom w:val="outset" w:sz="6" w:space="0" w:color="auto"/>
              <w:right w:val="outset" w:sz="6" w:space="0" w:color="auto"/>
            </w:tcBorders>
          </w:tcPr>
          <w:p>
            <w:pPr>
              <w:jc w:val="right"/>
            </w:pPr>
            <w:r>
              <w:t>20,204,957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生产性生物资产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油气资产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使用权资产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七、（二十五）</w:t>
            </w:r>
          </w:p>
        </w:tc>
        <w:tc>
          <w:tcPr>
            <w:tcW w:w="1014" w:type="pct"/>
            <w:tcBorders>
              <w:top w:val="outset" w:sz="6" w:space="0" w:color="auto"/>
              <w:left w:val="outset" w:sz="6" w:space="0" w:color="auto"/>
              <w:bottom w:val="outset" w:sz="6" w:space="0" w:color="auto"/>
              <w:right w:val="outset" w:sz="6" w:space="0" w:color="auto"/>
            </w:tcBorders>
          </w:tcPr>
          <w:p>
            <w:pPr>
              <w:jc w:val="right"/>
            </w:pPr>
            <w:r>
              <w:t>500,845</w:t>
            </w:r>
          </w:p>
        </w:tc>
        <w:tc>
          <w:tcPr>
            <w:tcW w:w="1335" w:type="pct"/>
            <w:tcBorders>
              <w:top w:val="outset" w:sz="6" w:space="0" w:color="auto"/>
              <w:left w:val="outset" w:sz="6" w:space="0" w:color="auto"/>
              <w:bottom w:val="outset" w:sz="6" w:space="0" w:color="auto"/>
              <w:right w:val="outset" w:sz="6" w:space="0" w:color="auto"/>
            </w:tcBorders>
          </w:tcPr>
          <w:p>
            <w:pPr>
              <w:jc w:val="right"/>
            </w:pPr>
            <w:r>
              <w:t>619,975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无形资产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七、（二十六）</w:t>
            </w:r>
          </w:p>
        </w:tc>
        <w:tc>
          <w:tcPr>
            <w:tcW w:w="1014" w:type="pct"/>
            <w:tcBorders>
              <w:top w:val="outset" w:sz="6" w:space="0" w:color="auto"/>
              <w:left w:val="outset" w:sz="6" w:space="0" w:color="auto"/>
              <w:bottom w:val="outset" w:sz="6" w:space="0" w:color="auto"/>
              <w:right w:val="outset" w:sz="6" w:space="0" w:color="auto"/>
            </w:tcBorders>
          </w:tcPr>
          <w:p>
            <w:pPr>
              <w:jc w:val="right"/>
            </w:pPr>
            <w:r>
              <w:t>64,019,429</w:t>
            </w:r>
          </w:p>
        </w:tc>
        <w:tc>
          <w:tcPr>
            <w:tcW w:w="1335" w:type="pct"/>
            <w:tcBorders>
              <w:top w:val="outset" w:sz="6" w:space="0" w:color="auto"/>
              <w:left w:val="outset" w:sz="6" w:space="0" w:color="auto"/>
              <w:bottom w:val="outset" w:sz="6" w:space="0" w:color="auto"/>
              <w:right w:val="outset" w:sz="6" w:space="0" w:color="auto"/>
            </w:tcBorders>
          </w:tcPr>
          <w:p>
            <w:pPr>
              <w:jc w:val="right"/>
            </w:pPr>
            <w:r>
              <w:t>67,155,552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其中：数据资源</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lastRenderedPageBreak/>
              <w:t>开发支出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其中：数据资源</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商誉</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七、（二十七）</w:t>
            </w:r>
          </w:p>
        </w:tc>
        <w:tc>
          <w:tcPr>
            <w:tcW w:w="1014" w:type="pct"/>
            <w:tcBorders>
              <w:top w:val="outset" w:sz="6" w:space="0" w:color="auto"/>
              <w:left w:val="outset" w:sz="6" w:space="0" w:color="auto"/>
              <w:bottom w:val="outset" w:sz="6" w:space="0" w:color="auto"/>
              <w:right w:val="outset" w:sz="6" w:space="0" w:color="auto"/>
            </w:tcBorders>
          </w:tcPr>
          <w:p>
            <w:pPr>
              <w:jc w:val="right"/>
            </w:pPr>
            <w:r>
              <w:t>297,169</w:t>
            </w:r>
          </w:p>
        </w:tc>
        <w:tc>
          <w:tcPr>
            <w:tcW w:w="1335" w:type="pct"/>
            <w:tcBorders>
              <w:top w:val="outset" w:sz="6" w:space="0" w:color="auto"/>
              <w:left w:val="outset" w:sz="6" w:space="0" w:color="auto"/>
              <w:bottom w:val="outset" w:sz="6" w:space="0" w:color="auto"/>
              <w:right w:val="outset" w:sz="6" w:space="0" w:color="auto"/>
            </w:tcBorders>
          </w:tcPr>
          <w:p>
            <w:pPr>
              <w:jc w:val="right"/>
            </w:pPr>
            <w:r>
              <w:t>318,918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长期待摊费用</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785,468</w:t>
            </w:r>
          </w:p>
        </w:tc>
        <w:tc>
          <w:tcPr>
            <w:tcW w:w="1335" w:type="pct"/>
            <w:tcBorders>
              <w:top w:val="outset" w:sz="6" w:space="0" w:color="auto"/>
              <w:left w:val="outset" w:sz="6" w:space="0" w:color="auto"/>
              <w:bottom w:val="outset" w:sz="6" w:space="0" w:color="auto"/>
              <w:right w:val="outset" w:sz="6" w:space="0" w:color="auto"/>
            </w:tcBorders>
          </w:tcPr>
          <w:p>
            <w:pPr>
              <w:jc w:val="right"/>
            </w:pPr>
            <w:r>
              <w:t>525,828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递延所得税资产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七、（二十九）</w:t>
            </w:r>
          </w:p>
        </w:tc>
        <w:tc>
          <w:tcPr>
            <w:tcW w:w="1014" w:type="pct"/>
            <w:tcBorders>
              <w:top w:val="outset" w:sz="6" w:space="0" w:color="auto"/>
              <w:left w:val="outset" w:sz="6" w:space="0" w:color="auto"/>
              <w:bottom w:val="outset" w:sz="6" w:space="0" w:color="auto"/>
              <w:right w:val="outset" w:sz="6" w:space="0" w:color="auto"/>
            </w:tcBorders>
          </w:tcPr>
          <w:p>
            <w:pPr>
              <w:jc w:val="right"/>
            </w:pPr>
            <w:r>
              <w:t>4,866,276</w:t>
            </w:r>
          </w:p>
        </w:tc>
        <w:tc>
          <w:tcPr>
            <w:tcW w:w="1335" w:type="pct"/>
            <w:tcBorders>
              <w:top w:val="outset" w:sz="6" w:space="0" w:color="auto"/>
              <w:left w:val="outset" w:sz="6" w:space="0" w:color="auto"/>
              <w:bottom w:val="outset" w:sz="6" w:space="0" w:color="auto"/>
              <w:right w:val="outset" w:sz="6" w:space="0" w:color="auto"/>
            </w:tcBorders>
          </w:tcPr>
          <w:p>
            <w:pPr>
              <w:jc w:val="right"/>
            </w:pPr>
            <w:r>
              <w:t>5,484,717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其他非流动资产</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w:t>
            </w:r>
          </w:p>
        </w:tc>
        <w:tc>
          <w:tcPr>
            <w:tcW w:w="1014" w:type="pct"/>
            <w:tcBorders>
              <w:top w:val="outset" w:sz="6" w:space="0" w:color="auto"/>
              <w:left w:val="outset" w:sz="6" w:space="0" w:color="auto"/>
              <w:bottom w:val="outset" w:sz="6" w:space="0" w:color="auto"/>
              <w:right w:val="outset" w:sz="6" w:space="0" w:color="auto"/>
            </w:tcBorders>
          </w:tcPr>
          <w:p>
            <w:pPr>
              <w:jc w:val="right"/>
            </w:pPr>
            <w:r>
              <w:t>24,945,405</w:t>
            </w:r>
          </w:p>
        </w:tc>
        <w:tc>
          <w:tcPr>
            <w:tcW w:w="1335" w:type="pct"/>
            <w:tcBorders>
              <w:top w:val="outset" w:sz="6" w:space="0" w:color="auto"/>
              <w:left w:val="outset" w:sz="6" w:space="0" w:color="auto"/>
              <w:bottom w:val="outset" w:sz="6" w:space="0" w:color="auto"/>
              <w:right w:val="outset" w:sz="6" w:space="0" w:color="auto"/>
            </w:tcBorders>
          </w:tcPr>
          <w:p>
            <w:pPr>
              <w:jc w:val="right"/>
            </w:pPr>
            <w:r>
              <w:t>22,248,239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非流动资产合计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261,199,941</w:t>
            </w:r>
          </w:p>
        </w:tc>
        <w:tc>
          <w:tcPr>
            <w:tcW w:w="1335" w:type="pct"/>
            <w:tcBorders>
              <w:top w:val="outset" w:sz="6" w:space="0" w:color="auto"/>
              <w:left w:val="outset" w:sz="6" w:space="0" w:color="auto"/>
              <w:bottom w:val="outset" w:sz="6" w:space="0" w:color="auto"/>
              <w:right w:val="outset" w:sz="6" w:space="0" w:color="auto"/>
            </w:tcBorders>
          </w:tcPr>
          <w:p>
            <w:pPr>
              <w:jc w:val="right"/>
            </w:pPr>
            <w:r>
              <w:t>258,160,158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资产总计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358,554,471</w:t>
            </w:r>
          </w:p>
        </w:tc>
        <w:tc>
          <w:tcPr>
            <w:tcW w:w="1335" w:type="pct"/>
            <w:tcBorders>
              <w:top w:val="outset" w:sz="6" w:space="0" w:color="auto"/>
              <w:left w:val="outset" w:sz="6" w:space="0" w:color="auto"/>
              <w:bottom w:val="outset" w:sz="6" w:space="0" w:color="auto"/>
              <w:right w:val="outset" w:sz="6" w:space="0" w:color="auto"/>
            </w:tcBorders>
          </w:tcPr>
          <w:p>
            <w:pPr>
              <w:jc w:val="right"/>
            </w:pPr>
            <w:r>
              <w:t>354,464,336</w:t>
            </w:r>
          </w:p>
        </w:tc>
      </w:tr>
      <w:tr>
        <w:sdt>
          <w:sdtPr>
            <w:tag w:val="_PLD_411fdd3766f04bf1851e3afed0dd2f74"/>
            <w:id w:val="-71458265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流动负债：</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短期借款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七、（三十二）</w:t>
            </w:r>
          </w:p>
        </w:tc>
        <w:tc>
          <w:tcPr>
            <w:tcW w:w="1014" w:type="pct"/>
            <w:tcBorders>
              <w:top w:val="outset" w:sz="6" w:space="0" w:color="auto"/>
              <w:left w:val="outset" w:sz="6" w:space="0" w:color="auto"/>
              <w:bottom w:val="outset" w:sz="6" w:space="0" w:color="auto"/>
              <w:right w:val="outset" w:sz="6" w:space="0" w:color="auto"/>
            </w:tcBorders>
          </w:tcPr>
          <w:p>
            <w:pPr>
              <w:jc w:val="right"/>
            </w:pPr>
            <w:r>
              <w:t>7,693,092</w:t>
            </w:r>
          </w:p>
        </w:tc>
        <w:tc>
          <w:tcPr>
            <w:tcW w:w="1335" w:type="pct"/>
            <w:tcBorders>
              <w:top w:val="outset" w:sz="6" w:space="0" w:color="auto"/>
              <w:left w:val="outset" w:sz="6" w:space="0" w:color="auto"/>
              <w:bottom w:val="outset" w:sz="6" w:space="0" w:color="auto"/>
              <w:right w:val="outset" w:sz="6" w:space="0" w:color="auto"/>
            </w:tcBorders>
          </w:tcPr>
          <w:p>
            <w:pPr>
              <w:jc w:val="right"/>
            </w:pPr>
            <w:r>
              <w:t>4,084,299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向中央银行借款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拆入资金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交易性金融负债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538,427</w:t>
            </w:r>
          </w:p>
        </w:tc>
        <w:tc>
          <w:tcPr>
            <w:tcW w:w="1335" w:type="pct"/>
            <w:tcBorders>
              <w:top w:val="outset" w:sz="6" w:space="0" w:color="auto"/>
              <w:left w:val="outset" w:sz="6" w:space="0" w:color="auto"/>
              <w:bottom w:val="outset" w:sz="6" w:space="0" w:color="auto"/>
              <w:right w:val="outset" w:sz="6" w:space="0" w:color="auto"/>
            </w:tcBorders>
          </w:tcPr>
          <w:p>
            <w:pPr>
              <w:jc w:val="right"/>
            </w:pPr>
            <w:r>
              <w:t>550,761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衍生金融负债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应付票据</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七、（三十五）</w:t>
            </w:r>
          </w:p>
        </w:tc>
        <w:tc>
          <w:tcPr>
            <w:tcW w:w="1014" w:type="pct"/>
            <w:tcBorders>
              <w:top w:val="outset" w:sz="6" w:space="0" w:color="auto"/>
              <w:left w:val="outset" w:sz="6" w:space="0" w:color="auto"/>
              <w:bottom w:val="outset" w:sz="6" w:space="0" w:color="auto"/>
              <w:right w:val="outset" w:sz="6" w:space="0" w:color="auto"/>
            </w:tcBorders>
          </w:tcPr>
          <w:p>
            <w:pPr>
              <w:jc w:val="right"/>
            </w:pPr>
            <w:r>
              <w:t>11,927,646</w:t>
            </w:r>
          </w:p>
        </w:tc>
        <w:tc>
          <w:tcPr>
            <w:tcW w:w="1335" w:type="pct"/>
            <w:tcBorders>
              <w:top w:val="outset" w:sz="6" w:space="0" w:color="auto"/>
              <w:left w:val="outset" w:sz="6" w:space="0" w:color="auto"/>
              <w:bottom w:val="outset" w:sz="6" w:space="0" w:color="auto"/>
              <w:right w:val="outset" w:sz="6" w:space="0" w:color="auto"/>
            </w:tcBorders>
          </w:tcPr>
          <w:p>
            <w:pPr>
              <w:jc w:val="right"/>
            </w:pPr>
            <w:r>
              <w:t>11,887,224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应付账款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七、（三十六）</w:t>
            </w:r>
          </w:p>
        </w:tc>
        <w:tc>
          <w:tcPr>
            <w:tcW w:w="1014" w:type="pct"/>
            <w:tcBorders>
              <w:top w:val="outset" w:sz="6" w:space="0" w:color="auto"/>
              <w:left w:val="outset" w:sz="6" w:space="0" w:color="auto"/>
              <w:bottom w:val="outset" w:sz="6" w:space="0" w:color="auto"/>
              <w:right w:val="outset" w:sz="6" w:space="0" w:color="auto"/>
            </w:tcBorders>
          </w:tcPr>
          <w:p>
            <w:pPr>
              <w:jc w:val="right"/>
            </w:pPr>
            <w:r>
              <w:t>20,394,796</w:t>
            </w:r>
          </w:p>
        </w:tc>
        <w:tc>
          <w:tcPr>
            <w:tcW w:w="1335" w:type="pct"/>
            <w:tcBorders>
              <w:top w:val="outset" w:sz="6" w:space="0" w:color="auto"/>
              <w:left w:val="outset" w:sz="6" w:space="0" w:color="auto"/>
              <w:bottom w:val="outset" w:sz="6" w:space="0" w:color="auto"/>
              <w:right w:val="outset" w:sz="6" w:space="0" w:color="auto"/>
            </w:tcBorders>
          </w:tcPr>
          <w:p>
            <w:pPr>
              <w:jc w:val="right"/>
            </w:pPr>
            <w:r>
              <w:t>19,567,560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预收款项</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合同负债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七、（三十八）</w:t>
            </w:r>
          </w:p>
        </w:tc>
        <w:tc>
          <w:tcPr>
            <w:tcW w:w="1014" w:type="pct"/>
            <w:tcBorders>
              <w:top w:val="outset" w:sz="6" w:space="0" w:color="auto"/>
              <w:left w:val="outset" w:sz="6" w:space="0" w:color="auto"/>
              <w:bottom w:val="outset" w:sz="6" w:space="0" w:color="auto"/>
              <w:right w:val="outset" w:sz="6" w:space="0" w:color="auto"/>
            </w:tcBorders>
          </w:tcPr>
          <w:p>
            <w:pPr>
              <w:jc w:val="right"/>
            </w:pPr>
            <w:r>
              <w:t>4,788,213</w:t>
            </w:r>
          </w:p>
        </w:tc>
        <w:tc>
          <w:tcPr>
            <w:tcW w:w="1335" w:type="pct"/>
            <w:tcBorders>
              <w:top w:val="outset" w:sz="6" w:space="0" w:color="auto"/>
              <w:left w:val="outset" w:sz="6" w:space="0" w:color="auto"/>
              <w:bottom w:val="outset" w:sz="6" w:space="0" w:color="auto"/>
              <w:right w:val="outset" w:sz="6" w:space="0" w:color="auto"/>
            </w:tcBorders>
          </w:tcPr>
          <w:p>
            <w:pPr>
              <w:jc w:val="right"/>
            </w:pPr>
            <w:r>
              <w:t>5,091,448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卖出回购金融资产款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吸收存款及同业存放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代理买卖证券款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代理承销证券款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应付职工薪酬</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七、（三十九）</w:t>
            </w:r>
          </w:p>
        </w:tc>
        <w:tc>
          <w:tcPr>
            <w:tcW w:w="1014" w:type="pct"/>
            <w:tcBorders>
              <w:top w:val="outset" w:sz="6" w:space="0" w:color="auto"/>
              <w:left w:val="outset" w:sz="6" w:space="0" w:color="auto"/>
              <w:bottom w:val="outset" w:sz="6" w:space="0" w:color="auto"/>
              <w:right w:val="outset" w:sz="6" w:space="0" w:color="auto"/>
            </w:tcBorders>
          </w:tcPr>
          <w:p>
            <w:pPr>
              <w:jc w:val="right"/>
            </w:pPr>
            <w:r>
              <w:t>2,022,553</w:t>
            </w:r>
          </w:p>
        </w:tc>
        <w:tc>
          <w:tcPr>
            <w:tcW w:w="1335" w:type="pct"/>
            <w:tcBorders>
              <w:top w:val="outset" w:sz="6" w:space="0" w:color="auto"/>
              <w:left w:val="outset" w:sz="6" w:space="0" w:color="auto"/>
              <w:bottom w:val="outset" w:sz="6" w:space="0" w:color="auto"/>
              <w:right w:val="outset" w:sz="6" w:space="0" w:color="auto"/>
            </w:tcBorders>
          </w:tcPr>
          <w:p>
            <w:pPr>
              <w:jc w:val="right"/>
            </w:pPr>
            <w:r>
              <w:t>2,578,433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应交税费</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w:t>
            </w:r>
          </w:p>
        </w:tc>
        <w:tc>
          <w:tcPr>
            <w:tcW w:w="1014" w:type="pct"/>
            <w:tcBorders>
              <w:top w:val="outset" w:sz="6" w:space="0" w:color="auto"/>
              <w:left w:val="outset" w:sz="6" w:space="0" w:color="auto"/>
              <w:bottom w:val="outset" w:sz="6" w:space="0" w:color="auto"/>
              <w:right w:val="outset" w:sz="6" w:space="0" w:color="auto"/>
            </w:tcBorders>
          </w:tcPr>
          <w:p>
            <w:pPr>
              <w:jc w:val="right"/>
            </w:pPr>
            <w:r>
              <w:t>2,225,635</w:t>
            </w:r>
          </w:p>
        </w:tc>
        <w:tc>
          <w:tcPr>
            <w:tcW w:w="1335" w:type="pct"/>
            <w:tcBorders>
              <w:top w:val="outset" w:sz="6" w:space="0" w:color="auto"/>
              <w:left w:val="outset" w:sz="6" w:space="0" w:color="auto"/>
              <w:bottom w:val="outset" w:sz="6" w:space="0" w:color="auto"/>
              <w:right w:val="outset" w:sz="6" w:space="0" w:color="auto"/>
            </w:tcBorders>
          </w:tcPr>
          <w:p>
            <w:pPr>
              <w:jc w:val="right"/>
            </w:pPr>
            <w:r>
              <w:t>4,050,459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其他应付款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七、（四十一）</w:t>
            </w:r>
          </w:p>
        </w:tc>
        <w:tc>
          <w:tcPr>
            <w:tcW w:w="1014" w:type="pct"/>
            <w:tcBorders>
              <w:top w:val="outset" w:sz="6" w:space="0" w:color="auto"/>
              <w:left w:val="outset" w:sz="6" w:space="0" w:color="auto"/>
              <w:bottom w:val="outset" w:sz="6" w:space="0" w:color="auto"/>
              <w:right w:val="outset" w:sz="6" w:space="0" w:color="auto"/>
            </w:tcBorders>
          </w:tcPr>
          <w:p>
            <w:pPr>
              <w:jc w:val="right"/>
            </w:pPr>
            <w:r>
              <w:t>34,736,699</w:t>
            </w:r>
          </w:p>
        </w:tc>
        <w:tc>
          <w:tcPr>
            <w:tcW w:w="1335" w:type="pct"/>
            <w:tcBorders>
              <w:top w:val="outset" w:sz="6" w:space="0" w:color="auto"/>
              <w:left w:val="outset" w:sz="6" w:space="0" w:color="auto"/>
              <w:bottom w:val="outset" w:sz="6" w:space="0" w:color="auto"/>
              <w:right w:val="outset" w:sz="6" w:space="0" w:color="auto"/>
            </w:tcBorders>
          </w:tcPr>
          <w:p>
            <w:pPr>
              <w:jc w:val="right"/>
            </w:pPr>
            <w:r>
              <w:t>53,387,530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其中：应付利息</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400" w:firstLine="840"/>
              <w:rPr>
                <w:color w:val="000000" w:themeColor="text1"/>
              </w:rPr>
            </w:pPr>
            <w:r>
              <w:rPr>
                <w:rFonts w:hint="eastAsia"/>
                <w:color w:val="000000" w:themeColor="text1"/>
              </w:rPr>
              <w:t>应付股利</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七、（四十一）</w:t>
            </w:r>
          </w:p>
        </w:tc>
        <w:tc>
          <w:tcPr>
            <w:tcW w:w="1014" w:type="pct"/>
            <w:tcBorders>
              <w:top w:val="outset" w:sz="6" w:space="0" w:color="auto"/>
              <w:left w:val="outset" w:sz="6" w:space="0" w:color="auto"/>
              <w:bottom w:val="outset" w:sz="6" w:space="0" w:color="auto"/>
              <w:right w:val="outset" w:sz="6" w:space="0" w:color="auto"/>
            </w:tcBorders>
          </w:tcPr>
          <w:p>
            <w:pPr>
              <w:jc w:val="right"/>
            </w:pPr>
            <w:r>
              <w:t>3,169,768</w:t>
            </w:r>
          </w:p>
        </w:tc>
        <w:tc>
          <w:tcPr>
            <w:tcW w:w="1335" w:type="pct"/>
            <w:tcBorders>
              <w:top w:val="outset" w:sz="6" w:space="0" w:color="auto"/>
              <w:left w:val="outset" w:sz="6" w:space="0" w:color="auto"/>
              <w:bottom w:val="outset" w:sz="6" w:space="0" w:color="auto"/>
              <w:right w:val="outset" w:sz="6" w:space="0" w:color="auto"/>
            </w:tcBorders>
          </w:tcPr>
          <w:p>
            <w:pPr>
              <w:jc w:val="right"/>
            </w:pPr>
            <w:r>
              <w:t>2,931,471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应付手续费及佣金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应付分保账款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持有待售负债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一年内到期的非流动负债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七、（四十三）</w:t>
            </w:r>
          </w:p>
        </w:tc>
        <w:tc>
          <w:tcPr>
            <w:tcW w:w="1014" w:type="pct"/>
            <w:tcBorders>
              <w:top w:val="outset" w:sz="6" w:space="0" w:color="auto"/>
              <w:left w:val="outset" w:sz="6" w:space="0" w:color="auto"/>
              <w:bottom w:val="outset" w:sz="6" w:space="0" w:color="auto"/>
              <w:right w:val="outset" w:sz="6" w:space="0" w:color="auto"/>
            </w:tcBorders>
          </w:tcPr>
          <w:p>
            <w:pPr>
              <w:jc w:val="right"/>
            </w:pPr>
            <w:r>
              <w:t>31,837,842</w:t>
            </w:r>
          </w:p>
        </w:tc>
        <w:tc>
          <w:tcPr>
            <w:tcW w:w="1335" w:type="pct"/>
            <w:tcBorders>
              <w:top w:val="outset" w:sz="6" w:space="0" w:color="auto"/>
              <w:left w:val="outset" w:sz="6" w:space="0" w:color="auto"/>
              <w:bottom w:val="outset" w:sz="6" w:space="0" w:color="auto"/>
              <w:right w:val="outset" w:sz="6" w:space="0" w:color="auto"/>
            </w:tcBorders>
          </w:tcPr>
          <w:p>
            <w:pPr>
              <w:jc w:val="right"/>
            </w:pPr>
            <w:r>
              <w:t>20,805,714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其他流动负债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七、（四十四）</w:t>
            </w:r>
          </w:p>
        </w:tc>
        <w:tc>
          <w:tcPr>
            <w:tcW w:w="1014" w:type="pct"/>
            <w:tcBorders>
              <w:top w:val="outset" w:sz="6" w:space="0" w:color="auto"/>
              <w:left w:val="outset" w:sz="6" w:space="0" w:color="auto"/>
              <w:bottom w:val="outset" w:sz="6" w:space="0" w:color="auto"/>
              <w:right w:val="outset" w:sz="6" w:space="0" w:color="auto"/>
            </w:tcBorders>
          </w:tcPr>
          <w:p>
            <w:pPr>
              <w:jc w:val="right"/>
            </w:pPr>
            <w:r>
              <w:t>1,037,409</w:t>
            </w:r>
          </w:p>
        </w:tc>
        <w:tc>
          <w:tcPr>
            <w:tcW w:w="1335" w:type="pct"/>
            <w:tcBorders>
              <w:top w:val="outset" w:sz="6" w:space="0" w:color="auto"/>
              <w:left w:val="outset" w:sz="6" w:space="0" w:color="auto"/>
              <w:bottom w:val="outset" w:sz="6" w:space="0" w:color="auto"/>
              <w:right w:val="outset" w:sz="6" w:space="0" w:color="auto"/>
            </w:tcBorders>
          </w:tcPr>
          <w:p>
            <w:pPr>
              <w:jc w:val="right"/>
            </w:pPr>
            <w:r>
              <w:t>1,138,462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流动负债合计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117,202,312</w:t>
            </w:r>
          </w:p>
        </w:tc>
        <w:tc>
          <w:tcPr>
            <w:tcW w:w="1335" w:type="pct"/>
            <w:tcBorders>
              <w:top w:val="outset" w:sz="6" w:space="0" w:color="auto"/>
              <w:left w:val="outset" w:sz="6" w:space="0" w:color="auto"/>
              <w:bottom w:val="outset" w:sz="6" w:space="0" w:color="auto"/>
              <w:right w:val="outset" w:sz="6" w:space="0" w:color="auto"/>
            </w:tcBorders>
          </w:tcPr>
          <w:p>
            <w:pPr>
              <w:jc w:val="right"/>
            </w:pPr>
            <w:r>
              <w:t>123,141,890</w:t>
            </w:r>
          </w:p>
        </w:tc>
      </w:tr>
      <w:tr>
        <w:sdt>
          <w:sdtPr>
            <w:tag w:val="_PLD_371b1fd441234f58b41e1d581fa3f62e"/>
            <w:id w:val="202989836"/>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非流动负债：</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保险合同准备金</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长期借款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七、（四十五）</w:t>
            </w:r>
          </w:p>
        </w:tc>
        <w:tc>
          <w:tcPr>
            <w:tcW w:w="1014" w:type="pct"/>
            <w:tcBorders>
              <w:top w:val="outset" w:sz="6" w:space="0" w:color="auto"/>
              <w:left w:val="outset" w:sz="6" w:space="0" w:color="auto"/>
              <w:bottom w:val="outset" w:sz="6" w:space="0" w:color="auto"/>
              <w:right w:val="outset" w:sz="6" w:space="0" w:color="auto"/>
            </w:tcBorders>
          </w:tcPr>
          <w:p>
            <w:pPr>
              <w:jc w:val="right"/>
            </w:pPr>
            <w:r>
              <w:t>55,699,723</w:t>
            </w:r>
          </w:p>
        </w:tc>
        <w:tc>
          <w:tcPr>
            <w:tcW w:w="1335" w:type="pct"/>
            <w:tcBorders>
              <w:top w:val="outset" w:sz="6" w:space="0" w:color="auto"/>
              <w:left w:val="outset" w:sz="6" w:space="0" w:color="auto"/>
              <w:bottom w:val="outset" w:sz="6" w:space="0" w:color="auto"/>
              <w:right w:val="outset" w:sz="6" w:space="0" w:color="auto"/>
            </w:tcBorders>
          </w:tcPr>
          <w:p>
            <w:pPr>
              <w:jc w:val="right"/>
            </w:pPr>
            <w:r>
              <w:t>61,355,220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应付债券</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七、（四十六）</w:t>
            </w:r>
          </w:p>
        </w:tc>
        <w:tc>
          <w:tcPr>
            <w:tcW w:w="1014" w:type="pct"/>
            <w:tcBorders>
              <w:top w:val="outset" w:sz="6" w:space="0" w:color="auto"/>
              <w:left w:val="outset" w:sz="6" w:space="0" w:color="auto"/>
              <w:bottom w:val="outset" w:sz="6" w:space="0" w:color="auto"/>
              <w:right w:val="outset" w:sz="6" w:space="0" w:color="auto"/>
            </w:tcBorders>
          </w:tcPr>
          <w:p>
            <w:pPr>
              <w:jc w:val="right"/>
            </w:pPr>
            <w:r>
              <w:t>15,973,544</w:t>
            </w:r>
          </w:p>
        </w:tc>
        <w:tc>
          <w:tcPr>
            <w:tcW w:w="1335" w:type="pct"/>
            <w:tcBorders>
              <w:top w:val="outset" w:sz="6" w:space="0" w:color="auto"/>
              <w:left w:val="outset" w:sz="6" w:space="0" w:color="auto"/>
              <w:bottom w:val="outset" w:sz="6" w:space="0" w:color="auto"/>
              <w:right w:val="outset" w:sz="6" w:space="0" w:color="auto"/>
            </w:tcBorders>
          </w:tcPr>
          <w:p>
            <w:pPr>
              <w:jc w:val="right"/>
            </w:pPr>
            <w:r>
              <w:t>12,172,858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其中：优先股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color w:val="000000" w:themeColor="text1"/>
              </w:rPr>
            </w:pPr>
            <w:r>
              <w:rPr>
                <w:rFonts w:hint="eastAsia"/>
                <w:color w:val="000000" w:themeColor="text1"/>
              </w:rPr>
              <w:t>永续债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租赁负债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七、（四十七）</w:t>
            </w:r>
          </w:p>
        </w:tc>
        <w:tc>
          <w:tcPr>
            <w:tcW w:w="1014" w:type="pct"/>
            <w:tcBorders>
              <w:top w:val="outset" w:sz="6" w:space="0" w:color="auto"/>
              <w:left w:val="outset" w:sz="6" w:space="0" w:color="auto"/>
              <w:bottom w:val="outset" w:sz="6" w:space="0" w:color="auto"/>
              <w:right w:val="outset" w:sz="6" w:space="0" w:color="auto"/>
            </w:tcBorders>
          </w:tcPr>
          <w:p>
            <w:pPr>
              <w:jc w:val="right"/>
            </w:pPr>
            <w:r>
              <w:t>301,244</w:t>
            </w:r>
          </w:p>
        </w:tc>
        <w:tc>
          <w:tcPr>
            <w:tcW w:w="1335" w:type="pct"/>
            <w:tcBorders>
              <w:top w:val="outset" w:sz="6" w:space="0" w:color="auto"/>
              <w:left w:val="outset" w:sz="6" w:space="0" w:color="auto"/>
              <w:bottom w:val="outset" w:sz="6" w:space="0" w:color="auto"/>
              <w:right w:val="outset" w:sz="6" w:space="0" w:color="auto"/>
            </w:tcBorders>
          </w:tcPr>
          <w:p>
            <w:pPr>
              <w:jc w:val="right"/>
            </w:pPr>
            <w:r>
              <w:t>327,018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长期应付款</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七、（四十八）</w:t>
            </w:r>
          </w:p>
        </w:tc>
        <w:tc>
          <w:tcPr>
            <w:tcW w:w="1014" w:type="pct"/>
            <w:tcBorders>
              <w:top w:val="outset" w:sz="6" w:space="0" w:color="auto"/>
              <w:left w:val="outset" w:sz="6" w:space="0" w:color="auto"/>
              <w:bottom w:val="outset" w:sz="6" w:space="0" w:color="auto"/>
              <w:right w:val="outset" w:sz="6" w:space="0" w:color="auto"/>
            </w:tcBorders>
          </w:tcPr>
          <w:p>
            <w:pPr>
              <w:jc w:val="right"/>
            </w:pPr>
            <w:r>
              <w:t>8,032,521</w:t>
            </w:r>
          </w:p>
        </w:tc>
        <w:tc>
          <w:tcPr>
            <w:tcW w:w="1335" w:type="pct"/>
            <w:tcBorders>
              <w:top w:val="outset" w:sz="6" w:space="0" w:color="auto"/>
              <w:left w:val="outset" w:sz="6" w:space="0" w:color="auto"/>
              <w:bottom w:val="outset" w:sz="6" w:space="0" w:color="auto"/>
              <w:right w:val="outset" w:sz="6" w:space="0" w:color="auto"/>
            </w:tcBorders>
          </w:tcPr>
          <w:p>
            <w:pPr>
              <w:jc w:val="right"/>
            </w:pPr>
            <w:r>
              <w:t>9,295,914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长期应付职工薪酬</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七、（四十九）</w:t>
            </w:r>
          </w:p>
        </w:tc>
        <w:tc>
          <w:tcPr>
            <w:tcW w:w="1014" w:type="pct"/>
            <w:tcBorders>
              <w:top w:val="outset" w:sz="6" w:space="0" w:color="auto"/>
              <w:left w:val="outset" w:sz="6" w:space="0" w:color="auto"/>
              <w:bottom w:val="outset" w:sz="6" w:space="0" w:color="auto"/>
              <w:right w:val="outset" w:sz="6" w:space="0" w:color="auto"/>
            </w:tcBorders>
          </w:tcPr>
          <w:p>
            <w:pPr>
              <w:jc w:val="right"/>
            </w:pPr>
            <w:r>
              <w:t>5,659,465</w:t>
            </w:r>
          </w:p>
        </w:tc>
        <w:tc>
          <w:tcPr>
            <w:tcW w:w="1335" w:type="pct"/>
            <w:tcBorders>
              <w:top w:val="outset" w:sz="6" w:space="0" w:color="auto"/>
              <w:left w:val="outset" w:sz="6" w:space="0" w:color="auto"/>
              <w:bottom w:val="outset" w:sz="6" w:space="0" w:color="auto"/>
              <w:right w:val="outset" w:sz="6" w:space="0" w:color="auto"/>
            </w:tcBorders>
          </w:tcPr>
          <w:p>
            <w:pPr>
              <w:jc w:val="right"/>
            </w:pPr>
            <w:r>
              <w:t>5,880,638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预计负债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w:t>
            </w:r>
          </w:p>
        </w:tc>
        <w:tc>
          <w:tcPr>
            <w:tcW w:w="1014" w:type="pct"/>
            <w:tcBorders>
              <w:top w:val="outset" w:sz="6" w:space="0" w:color="auto"/>
              <w:left w:val="outset" w:sz="6" w:space="0" w:color="auto"/>
              <w:bottom w:val="outset" w:sz="6" w:space="0" w:color="auto"/>
              <w:right w:val="outset" w:sz="6" w:space="0" w:color="auto"/>
            </w:tcBorders>
          </w:tcPr>
          <w:p>
            <w:pPr>
              <w:jc w:val="right"/>
            </w:pPr>
            <w:r>
              <w:t>12,830,938</w:t>
            </w:r>
          </w:p>
        </w:tc>
        <w:tc>
          <w:tcPr>
            <w:tcW w:w="1335" w:type="pct"/>
            <w:tcBorders>
              <w:top w:val="outset" w:sz="6" w:space="0" w:color="auto"/>
              <w:left w:val="outset" w:sz="6" w:space="0" w:color="auto"/>
              <w:bottom w:val="outset" w:sz="6" w:space="0" w:color="auto"/>
              <w:right w:val="outset" w:sz="6" w:space="0" w:color="auto"/>
            </w:tcBorders>
          </w:tcPr>
          <w:p>
            <w:pPr>
              <w:jc w:val="right"/>
            </w:pPr>
            <w:r>
              <w:t>13,690,558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递延收益</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354,412</w:t>
            </w:r>
          </w:p>
        </w:tc>
        <w:tc>
          <w:tcPr>
            <w:tcW w:w="1335" w:type="pct"/>
            <w:tcBorders>
              <w:top w:val="outset" w:sz="6" w:space="0" w:color="auto"/>
              <w:left w:val="outset" w:sz="6" w:space="0" w:color="auto"/>
              <w:bottom w:val="outset" w:sz="6" w:space="0" w:color="auto"/>
              <w:right w:val="outset" w:sz="6" w:space="0" w:color="auto"/>
            </w:tcBorders>
          </w:tcPr>
          <w:p>
            <w:pPr>
              <w:jc w:val="right"/>
            </w:pPr>
            <w:r>
              <w:t>329,318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递延所得税负债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七、（二十九）</w:t>
            </w:r>
          </w:p>
        </w:tc>
        <w:tc>
          <w:tcPr>
            <w:tcW w:w="1014" w:type="pct"/>
            <w:tcBorders>
              <w:top w:val="outset" w:sz="6" w:space="0" w:color="auto"/>
              <w:left w:val="outset" w:sz="6" w:space="0" w:color="auto"/>
              <w:bottom w:val="outset" w:sz="6" w:space="0" w:color="auto"/>
              <w:right w:val="outset" w:sz="6" w:space="0" w:color="auto"/>
            </w:tcBorders>
          </w:tcPr>
          <w:p>
            <w:pPr>
              <w:jc w:val="right"/>
            </w:pPr>
            <w:r>
              <w:t>9,479,769</w:t>
            </w:r>
          </w:p>
        </w:tc>
        <w:tc>
          <w:tcPr>
            <w:tcW w:w="1335" w:type="pct"/>
            <w:tcBorders>
              <w:top w:val="outset" w:sz="6" w:space="0" w:color="auto"/>
              <w:left w:val="outset" w:sz="6" w:space="0" w:color="auto"/>
              <w:bottom w:val="outset" w:sz="6" w:space="0" w:color="auto"/>
              <w:right w:val="outset" w:sz="6" w:space="0" w:color="auto"/>
            </w:tcBorders>
          </w:tcPr>
          <w:p>
            <w:pPr>
              <w:jc w:val="right"/>
            </w:pPr>
            <w:r>
              <w:t>9,786,191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其他非流动负债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10,284</w:t>
            </w:r>
          </w:p>
        </w:tc>
        <w:tc>
          <w:tcPr>
            <w:tcW w:w="1335" w:type="pct"/>
            <w:tcBorders>
              <w:top w:val="outset" w:sz="6" w:space="0" w:color="auto"/>
              <w:left w:val="outset" w:sz="6" w:space="0" w:color="auto"/>
              <w:bottom w:val="outset" w:sz="6" w:space="0" w:color="auto"/>
              <w:right w:val="outset" w:sz="6" w:space="0" w:color="auto"/>
            </w:tcBorders>
          </w:tcPr>
          <w:p>
            <w:pPr>
              <w:jc w:val="right"/>
            </w:pPr>
            <w:r>
              <w:t>2,121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非流动负债合计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108,341,900</w:t>
            </w:r>
          </w:p>
        </w:tc>
        <w:tc>
          <w:tcPr>
            <w:tcW w:w="1335" w:type="pct"/>
            <w:tcBorders>
              <w:top w:val="outset" w:sz="6" w:space="0" w:color="auto"/>
              <w:left w:val="outset" w:sz="6" w:space="0" w:color="auto"/>
              <w:bottom w:val="outset" w:sz="6" w:space="0" w:color="auto"/>
              <w:right w:val="outset" w:sz="6" w:space="0" w:color="auto"/>
            </w:tcBorders>
          </w:tcPr>
          <w:p>
            <w:pPr>
              <w:jc w:val="right"/>
            </w:pPr>
            <w:r>
              <w:t>112,839,836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负债合计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225,544,212</w:t>
            </w:r>
          </w:p>
        </w:tc>
        <w:tc>
          <w:tcPr>
            <w:tcW w:w="1335" w:type="pct"/>
            <w:tcBorders>
              <w:top w:val="outset" w:sz="6" w:space="0" w:color="auto"/>
              <w:left w:val="outset" w:sz="6" w:space="0" w:color="auto"/>
              <w:bottom w:val="outset" w:sz="6" w:space="0" w:color="auto"/>
              <w:right w:val="outset" w:sz="6" w:space="0" w:color="auto"/>
            </w:tcBorders>
          </w:tcPr>
          <w:p>
            <w:pPr>
              <w:jc w:val="right"/>
            </w:pPr>
            <w:r>
              <w:t>235,981,726</w:t>
            </w:r>
          </w:p>
        </w:tc>
      </w:tr>
      <w:tr>
        <w:sdt>
          <w:sdtPr>
            <w:tag w:val="_PLD_7d66d1050f504dbab14e7e96bff21c69"/>
            <w:id w:val="147595325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所有者权益（或股东权益）：</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实收资本（或股本）</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七、（五十三）</w:t>
            </w:r>
          </w:p>
        </w:tc>
        <w:tc>
          <w:tcPr>
            <w:tcW w:w="1014" w:type="pct"/>
            <w:tcBorders>
              <w:top w:val="outset" w:sz="6" w:space="0" w:color="auto"/>
              <w:left w:val="outset" w:sz="6" w:space="0" w:color="auto"/>
              <w:bottom w:val="outset" w:sz="6" w:space="0" w:color="auto"/>
              <w:right w:val="outset" w:sz="6" w:space="0" w:color="auto"/>
            </w:tcBorders>
          </w:tcPr>
          <w:p>
            <w:pPr>
              <w:jc w:val="right"/>
            </w:pPr>
            <w:r>
              <w:t>10,039,860</w:t>
            </w:r>
          </w:p>
        </w:tc>
        <w:tc>
          <w:tcPr>
            <w:tcW w:w="1335" w:type="pct"/>
            <w:tcBorders>
              <w:top w:val="outset" w:sz="6" w:space="0" w:color="auto"/>
              <w:left w:val="outset" w:sz="6" w:space="0" w:color="auto"/>
              <w:bottom w:val="outset" w:sz="6" w:space="0" w:color="auto"/>
              <w:right w:val="outset" w:sz="6" w:space="0" w:color="auto"/>
            </w:tcBorders>
          </w:tcPr>
          <w:p>
            <w:pPr>
              <w:jc w:val="right"/>
            </w:pPr>
            <w:r>
              <w:t>7,439,371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其他权益工具</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七、（五十四）</w:t>
            </w:r>
          </w:p>
        </w:tc>
        <w:tc>
          <w:tcPr>
            <w:tcW w:w="1014" w:type="pct"/>
            <w:tcBorders>
              <w:top w:val="outset" w:sz="6" w:space="0" w:color="auto"/>
              <w:left w:val="outset" w:sz="6" w:space="0" w:color="auto"/>
              <w:bottom w:val="outset" w:sz="6" w:space="0" w:color="auto"/>
              <w:right w:val="outset" w:sz="6" w:space="0" w:color="auto"/>
            </w:tcBorders>
          </w:tcPr>
          <w:p>
            <w:pPr>
              <w:jc w:val="right"/>
            </w:pPr>
            <w:r>
              <w:t>23,267,221</w:t>
            </w:r>
          </w:p>
        </w:tc>
        <w:tc>
          <w:tcPr>
            <w:tcW w:w="1335" w:type="pct"/>
            <w:tcBorders>
              <w:top w:val="outset" w:sz="6" w:space="0" w:color="auto"/>
              <w:left w:val="outset" w:sz="6" w:space="0" w:color="auto"/>
              <w:bottom w:val="outset" w:sz="6" w:space="0" w:color="auto"/>
              <w:right w:val="outset" w:sz="6" w:space="0" w:color="auto"/>
            </w:tcBorders>
          </w:tcPr>
          <w:p>
            <w:pPr>
              <w:jc w:val="right"/>
            </w:pPr>
            <w:r>
              <w:t>16,541,777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其中：优先股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color w:val="000000" w:themeColor="text1"/>
              </w:rPr>
            </w:pPr>
            <w:r>
              <w:rPr>
                <w:rFonts w:hint="eastAsia"/>
                <w:color w:val="000000" w:themeColor="text1"/>
              </w:rPr>
              <w:t>永续债</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七、（五十四）</w:t>
            </w:r>
          </w:p>
        </w:tc>
        <w:tc>
          <w:tcPr>
            <w:tcW w:w="1014" w:type="pct"/>
            <w:tcBorders>
              <w:top w:val="outset" w:sz="6" w:space="0" w:color="auto"/>
              <w:left w:val="outset" w:sz="6" w:space="0" w:color="auto"/>
              <w:bottom w:val="outset" w:sz="6" w:space="0" w:color="auto"/>
              <w:right w:val="outset" w:sz="6" w:space="0" w:color="auto"/>
            </w:tcBorders>
          </w:tcPr>
          <w:p>
            <w:pPr>
              <w:jc w:val="right"/>
            </w:pPr>
            <w:r>
              <w:t>23,267,221</w:t>
            </w:r>
          </w:p>
        </w:tc>
        <w:tc>
          <w:tcPr>
            <w:tcW w:w="1335" w:type="pct"/>
            <w:tcBorders>
              <w:top w:val="outset" w:sz="6" w:space="0" w:color="auto"/>
              <w:left w:val="outset" w:sz="6" w:space="0" w:color="auto"/>
              <w:bottom w:val="outset" w:sz="6" w:space="0" w:color="auto"/>
              <w:right w:val="outset" w:sz="6" w:space="0" w:color="auto"/>
            </w:tcBorders>
          </w:tcPr>
          <w:p>
            <w:pPr>
              <w:jc w:val="right"/>
            </w:pPr>
            <w:r>
              <w:t>16,541,777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资本公积</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七、（五十五）</w:t>
            </w:r>
          </w:p>
        </w:tc>
        <w:tc>
          <w:tcPr>
            <w:tcW w:w="1014" w:type="pct"/>
            <w:tcBorders>
              <w:top w:val="outset" w:sz="6" w:space="0" w:color="auto"/>
              <w:left w:val="outset" w:sz="6" w:space="0" w:color="auto"/>
              <w:bottom w:val="outset" w:sz="6" w:space="0" w:color="auto"/>
              <w:right w:val="outset" w:sz="6" w:space="0" w:color="auto"/>
            </w:tcBorders>
          </w:tcPr>
          <w:p>
            <w:pPr>
              <w:jc w:val="right"/>
            </w:pPr>
            <w:r>
              <w:t>4,130,699</w:t>
            </w:r>
          </w:p>
        </w:tc>
        <w:tc>
          <w:tcPr>
            <w:tcW w:w="1335" w:type="pct"/>
            <w:tcBorders>
              <w:top w:val="outset" w:sz="6" w:space="0" w:color="auto"/>
              <w:left w:val="outset" w:sz="6" w:space="0" w:color="auto"/>
              <w:bottom w:val="outset" w:sz="6" w:space="0" w:color="auto"/>
              <w:right w:val="outset" w:sz="6" w:space="0" w:color="auto"/>
            </w:tcBorders>
          </w:tcPr>
          <w:p>
            <w:pPr>
              <w:jc w:val="right"/>
            </w:pPr>
            <w:r>
              <w:t>-32,883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减：库存股</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七、（五十六）</w:t>
            </w:r>
          </w:p>
        </w:tc>
        <w:tc>
          <w:tcPr>
            <w:tcW w:w="1014" w:type="pct"/>
            <w:tcBorders>
              <w:top w:val="outset" w:sz="6" w:space="0" w:color="auto"/>
              <w:left w:val="outset" w:sz="6" w:space="0" w:color="auto"/>
              <w:bottom w:val="outset" w:sz="6" w:space="0" w:color="auto"/>
              <w:right w:val="outset" w:sz="6" w:space="0" w:color="auto"/>
            </w:tcBorders>
          </w:tcPr>
          <w:p>
            <w:pPr>
              <w:jc w:val="right"/>
            </w:pPr>
            <w:r>
              <w:t>112,417</w:t>
            </w:r>
          </w:p>
        </w:tc>
        <w:tc>
          <w:tcPr>
            <w:tcW w:w="1335" w:type="pct"/>
            <w:tcBorders>
              <w:top w:val="outset" w:sz="6" w:space="0" w:color="auto"/>
              <w:left w:val="outset" w:sz="6" w:space="0" w:color="auto"/>
              <w:bottom w:val="outset" w:sz="6" w:space="0" w:color="auto"/>
              <w:right w:val="outset" w:sz="6" w:space="0" w:color="auto"/>
            </w:tcBorders>
          </w:tcPr>
          <w:p>
            <w:pPr>
              <w:jc w:val="right"/>
            </w:pPr>
            <w:r>
              <w:t>324,980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其他综合收益</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七、（五十七）</w:t>
            </w:r>
          </w:p>
        </w:tc>
        <w:tc>
          <w:tcPr>
            <w:tcW w:w="1014" w:type="pct"/>
            <w:tcBorders>
              <w:top w:val="outset" w:sz="6" w:space="0" w:color="auto"/>
              <w:left w:val="outset" w:sz="6" w:space="0" w:color="auto"/>
              <w:bottom w:val="outset" w:sz="6" w:space="0" w:color="auto"/>
              <w:right w:val="outset" w:sz="6" w:space="0" w:color="auto"/>
            </w:tcBorders>
          </w:tcPr>
          <w:p>
            <w:pPr>
              <w:jc w:val="right"/>
            </w:pPr>
            <w:r>
              <w:t>-7,934,551</w:t>
            </w:r>
          </w:p>
        </w:tc>
        <w:tc>
          <w:tcPr>
            <w:tcW w:w="1335" w:type="pct"/>
            <w:tcBorders>
              <w:top w:val="outset" w:sz="6" w:space="0" w:color="auto"/>
              <w:left w:val="outset" w:sz="6" w:space="0" w:color="auto"/>
              <w:bottom w:val="outset" w:sz="6" w:space="0" w:color="auto"/>
              <w:right w:val="outset" w:sz="6" w:space="0" w:color="auto"/>
            </w:tcBorders>
          </w:tcPr>
          <w:p>
            <w:pPr>
              <w:jc w:val="right"/>
            </w:pPr>
            <w:r>
              <w:t>-6,334,716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专项储备</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七、（五十八）</w:t>
            </w:r>
          </w:p>
        </w:tc>
        <w:tc>
          <w:tcPr>
            <w:tcW w:w="1014" w:type="pct"/>
            <w:tcBorders>
              <w:top w:val="outset" w:sz="6" w:space="0" w:color="auto"/>
              <w:left w:val="outset" w:sz="6" w:space="0" w:color="auto"/>
              <w:bottom w:val="outset" w:sz="6" w:space="0" w:color="auto"/>
              <w:right w:val="outset" w:sz="6" w:space="0" w:color="auto"/>
            </w:tcBorders>
          </w:tcPr>
          <w:p>
            <w:pPr>
              <w:jc w:val="right"/>
            </w:pPr>
            <w:r>
              <w:t>3,107,501</w:t>
            </w:r>
          </w:p>
        </w:tc>
        <w:tc>
          <w:tcPr>
            <w:tcW w:w="1335" w:type="pct"/>
            <w:tcBorders>
              <w:top w:val="outset" w:sz="6" w:space="0" w:color="auto"/>
              <w:left w:val="outset" w:sz="6" w:space="0" w:color="auto"/>
              <w:bottom w:val="outset" w:sz="6" w:space="0" w:color="auto"/>
              <w:right w:val="outset" w:sz="6" w:space="0" w:color="auto"/>
            </w:tcBorders>
          </w:tcPr>
          <w:p>
            <w:pPr>
              <w:jc w:val="right"/>
            </w:pPr>
            <w:r>
              <w:t>3,586,505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盈余公积</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七、（五十九）</w:t>
            </w:r>
          </w:p>
        </w:tc>
        <w:tc>
          <w:tcPr>
            <w:tcW w:w="1014" w:type="pct"/>
            <w:tcBorders>
              <w:top w:val="outset" w:sz="6" w:space="0" w:color="auto"/>
              <w:left w:val="outset" w:sz="6" w:space="0" w:color="auto"/>
              <w:bottom w:val="outset" w:sz="6" w:space="0" w:color="auto"/>
              <w:right w:val="outset" w:sz="6" w:space="0" w:color="auto"/>
            </w:tcBorders>
          </w:tcPr>
          <w:p>
            <w:pPr>
              <w:jc w:val="right"/>
            </w:pPr>
            <w:r>
              <w:t>2,841,392</w:t>
            </w:r>
          </w:p>
        </w:tc>
        <w:tc>
          <w:tcPr>
            <w:tcW w:w="1335" w:type="pct"/>
            <w:tcBorders>
              <w:top w:val="outset" w:sz="6" w:space="0" w:color="auto"/>
              <w:left w:val="outset" w:sz="6" w:space="0" w:color="auto"/>
              <w:bottom w:val="outset" w:sz="6" w:space="0" w:color="auto"/>
              <w:right w:val="outset" w:sz="6" w:space="0" w:color="auto"/>
            </w:tcBorders>
          </w:tcPr>
          <w:p>
            <w:pPr>
              <w:jc w:val="right"/>
            </w:pPr>
            <w:r>
              <w:t>1,663,815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一般风险准备</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p>
        </w:tc>
        <w:tc>
          <w:tcPr>
            <w:tcW w:w="1335"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未分配利润</w:t>
            </w:r>
          </w:p>
        </w:tc>
        <w:tc>
          <w:tcPr>
            <w:tcW w:w="1024"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七、（六十）</w:t>
            </w:r>
          </w:p>
        </w:tc>
        <w:tc>
          <w:tcPr>
            <w:tcW w:w="1014" w:type="pct"/>
            <w:tcBorders>
              <w:top w:val="outset" w:sz="6" w:space="0" w:color="auto"/>
              <w:left w:val="outset" w:sz="6" w:space="0" w:color="auto"/>
              <w:bottom w:val="outset" w:sz="6" w:space="0" w:color="auto"/>
              <w:right w:val="outset" w:sz="6" w:space="0" w:color="auto"/>
            </w:tcBorders>
          </w:tcPr>
          <w:p>
            <w:pPr>
              <w:jc w:val="right"/>
            </w:pPr>
            <w:r>
              <w:t>47,254,751</w:t>
            </w:r>
          </w:p>
        </w:tc>
        <w:tc>
          <w:tcPr>
            <w:tcW w:w="1335" w:type="pct"/>
            <w:tcBorders>
              <w:top w:val="outset" w:sz="6" w:space="0" w:color="auto"/>
              <w:left w:val="outset" w:sz="6" w:space="0" w:color="auto"/>
              <w:bottom w:val="outset" w:sz="6" w:space="0" w:color="auto"/>
              <w:right w:val="outset" w:sz="6" w:space="0" w:color="auto"/>
            </w:tcBorders>
          </w:tcPr>
          <w:p>
            <w:pPr>
              <w:jc w:val="right"/>
            </w:pPr>
            <w:r>
              <w:t>50,289,076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归属于母公司所有者权益（或股东权益）合计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82,594,456</w:t>
            </w:r>
          </w:p>
        </w:tc>
        <w:tc>
          <w:tcPr>
            <w:tcW w:w="1335" w:type="pct"/>
            <w:tcBorders>
              <w:top w:val="outset" w:sz="6" w:space="0" w:color="auto"/>
              <w:left w:val="outset" w:sz="6" w:space="0" w:color="auto"/>
              <w:bottom w:val="outset" w:sz="6" w:space="0" w:color="auto"/>
              <w:right w:val="outset" w:sz="6" w:space="0" w:color="auto"/>
            </w:tcBorders>
          </w:tcPr>
          <w:p>
            <w:pPr>
              <w:jc w:val="right"/>
            </w:pPr>
            <w:r>
              <w:t>72,827,965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少数股东权益</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50,415,803</w:t>
            </w:r>
          </w:p>
        </w:tc>
        <w:tc>
          <w:tcPr>
            <w:tcW w:w="1335" w:type="pct"/>
            <w:tcBorders>
              <w:top w:val="outset" w:sz="6" w:space="0" w:color="auto"/>
              <w:left w:val="outset" w:sz="6" w:space="0" w:color="auto"/>
              <w:bottom w:val="outset" w:sz="6" w:space="0" w:color="auto"/>
              <w:right w:val="outset" w:sz="6" w:space="0" w:color="auto"/>
            </w:tcBorders>
          </w:tcPr>
          <w:p>
            <w:pPr>
              <w:jc w:val="right"/>
            </w:pPr>
            <w:r>
              <w:t>45,654,645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所有者权益（或股东权益）合计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133,010,259</w:t>
            </w:r>
          </w:p>
        </w:tc>
        <w:tc>
          <w:tcPr>
            <w:tcW w:w="1335" w:type="pct"/>
            <w:tcBorders>
              <w:top w:val="outset" w:sz="6" w:space="0" w:color="auto"/>
              <w:left w:val="outset" w:sz="6" w:space="0" w:color="auto"/>
              <w:bottom w:val="outset" w:sz="6" w:space="0" w:color="auto"/>
              <w:right w:val="outset" w:sz="6" w:space="0" w:color="auto"/>
            </w:tcBorders>
          </w:tcPr>
          <w:p>
            <w:pPr>
              <w:jc w:val="right"/>
            </w:pPr>
            <w:r>
              <w:t>118,482,610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负债和所有者权益（或股东权益）总计</w:t>
            </w:r>
          </w:p>
        </w:tc>
        <w:tc>
          <w:tcPr>
            <w:tcW w:w="1024"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014" w:type="pct"/>
            <w:tcBorders>
              <w:top w:val="outset" w:sz="6" w:space="0" w:color="auto"/>
              <w:left w:val="outset" w:sz="6" w:space="0" w:color="auto"/>
              <w:bottom w:val="outset" w:sz="6" w:space="0" w:color="auto"/>
              <w:right w:val="outset" w:sz="6" w:space="0" w:color="auto"/>
            </w:tcBorders>
          </w:tcPr>
          <w:p>
            <w:pPr>
              <w:jc w:val="right"/>
            </w:pPr>
            <w:r>
              <w:t>358,554,471</w:t>
            </w:r>
          </w:p>
        </w:tc>
        <w:tc>
          <w:tcPr>
            <w:tcW w:w="1335" w:type="pct"/>
            <w:tcBorders>
              <w:top w:val="outset" w:sz="6" w:space="0" w:color="auto"/>
              <w:left w:val="outset" w:sz="6" w:space="0" w:color="auto"/>
              <w:bottom w:val="outset" w:sz="6" w:space="0" w:color="auto"/>
              <w:right w:val="outset" w:sz="6" w:space="0" w:color="auto"/>
            </w:tcBorders>
          </w:tcPr>
          <w:p>
            <w:pPr>
              <w:jc w:val="right"/>
            </w:pPr>
            <w:r>
              <w:t>354,464,336</w:t>
            </w:r>
          </w:p>
        </w:tc>
      </w:tr>
    </w:tbl>
    <w:bookmarkEnd w:id="310"/>
    <w:p>
      <w:pPr>
        <w:ind w:rightChars="-73" w:right="-15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988673467"/>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095c1df7dd6b412590466f3e711cd1e6"/>
          <w:id w:val="-2023463027"/>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b9cb47d6db784ba8a6b148d9331df451"/>
          <w:id w:val="-223297784"/>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pStyle w:val="affffffffffffffffffffffffffffffffe"/>
      </w:pPr>
    </w:p>
    <w:p>
      <w:pPr>
        <w:pStyle w:val="affffffffffffffffffffffffffffffffe"/>
      </w:pPr>
    </w:p>
    <w:p>
      <w:pPr>
        <w:rPr>
          <w:rFonts w:ascii="Calibri" w:hAnsi="Calibri" w:cs="Times New Roman"/>
          <w:b/>
          <w:bCs/>
          <w:kern w:val="2"/>
          <w:szCs w:val="32"/>
        </w:rPr>
      </w:pPr>
      <w:bookmarkStart w:id="311" w:name="_Hlk24034197"/>
      <w:r>
        <w:br w:type="page"/>
      </w:r>
    </w:p>
    <w:p>
      <w:pPr>
        <w:pStyle w:val="afffffffffffffffffffffffffffffffff0"/>
        <w:jc w:val="center"/>
      </w:pPr>
      <w:r>
        <w:rPr>
          <w:rFonts w:hint="eastAsia"/>
        </w:rPr>
        <w:lastRenderedPageBreak/>
        <w:t>母公司</w:t>
      </w:r>
      <w:r>
        <w:t>资产负债表</w:t>
      </w:r>
    </w:p>
    <w:p>
      <w:pPr>
        <w:jc w:val="center"/>
        <w:rPr>
          <w:b/>
          <w:bCs/>
          <w:szCs w:val="21"/>
        </w:rPr>
      </w:pPr>
      <w:r>
        <w:rPr>
          <w:szCs w:val="21"/>
        </w:rPr>
        <w:t>2024年12月31日</w:t>
      </w:r>
    </w:p>
    <w:p>
      <w:pPr>
        <w:rPr>
          <w:szCs w:val="21"/>
        </w:rPr>
      </w:pPr>
      <w:r>
        <w:rPr>
          <w:szCs w:val="21"/>
        </w:rPr>
        <w:t>编制单位</w:t>
      </w:r>
      <w:r>
        <w:rPr>
          <w:rFonts w:hint="eastAsia"/>
          <w:szCs w:val="21"/>
        </w:rPr>
        <w:t>：</w:t>
      </w:r>
      <w:sdt>
        <w:sdtPr>
          <w:rPr>
            <w:szCs w:val="21"/>
          </w:rPr>
          <w:alias w:val="公司法定中文名称"/>
          <w:tag w:val="_GBC_476f9df1cf8d4d36868d3058a4da7d15"/>
          <w:id w:val="-168493332"/>
          <w:placeholder>
            <w:docPart w:val="GBC22222222222222222222222222222"/>
          </w:placeholder>
          <w:dataBinding w:prefixMappings="xmlns:clcid-cgi='clcid-cgi'" w:xpath="/*/clcid-cgi:GongSiFaDingZhongWenMingCheng[not(@periodRef)]" w:storeItemID="{89EBAB94-44A0-46A2-B712-30D997D04A6D}"/>
          <w:text/>
        </w:sdtPr>
        <w:sdtContent>
          <w:r>
            <w:rPr>
              <w:rFonts w:hint="eastAsia"/>
              <w:szCs w:val="21"/>
            </w:rPr>
            <w:t>兖矿能源集团股份有限公司</w:t>
          </w:r>
        </w:sdtContent>
      </w:sdt>
      <w:r>
        <w:rPr>
          <w:szCs w:val="21"/>
        </w:rPr>
        <w:t> </w:t>
      </w:r>
    </w:p>
    <w:p>
      <w:pPr>
        <w:jc w:val="right"/>
        <w:rPr>
          <w:szCs w:val="21"/>
        </w:rPr>
      </w:pPr>
      <w:r>
        <w:rPr>
          <w:szCs w:val="21"/>
        </w:rPr>
        <w:t>单位：</w:t>
      </w:r>
      <w:sdt>
        <w:sdtPr>
          <w:rPr>
            <w:szCs w:val="21"/>
          </w:rPr>
          <w:alias w:val="单位：母公司资产负债表"/>
          <w:tag w:val="_GBC_e3e6bb2b9b89482085daf4528af32780"/>
          <w:id w:val="3284951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母公司资产负债表"/>
          <w:tag w:val="_GBC_31e3f7c7e30144c684d9b3387d64ec2f"/>
          <w:id w:val="-5034358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4994"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67"/>
        <w:gridCol w:w="1520"/>
        <w:gridCol w:w="2071"/>
        <w:gridCol w:w="2348"/>
      </w:tblGrid>
      <w:tr>
        <w:bookmarkStart w:id="312" w:name="_Hlk105686791" w:displacedByCustomXml="next"/>
        <w:sdt>
          <w:sdtPr>
            <w:tag w:val="_PLD_e123561b4eea486cbee629a83db9ddc0"/>
            <w:id w:val="593519363"/>
          </w:sdtPr>
          <w:sdtContent>
            <w:tc>
              <w:tcPr>
                <w:tcW w:w="1628" w:type="pct"/>
                <w:tcBorders>
                  <w:top w:val="outset" w:sz="6" w:space="0" w:color="auto"/>
                  <w:left w:val="outset" w:sz="6" w:space="0" w:color="auto"/>
                  <w:bottom w:val="outset" w:sz="6" w:space="0" w:color="auto"/>
                  <w:right w:val="outset" w:sz="6" w:space="0" w:color="auto"/>
                </w:tcBorders>
                <w:vAlign w:val="center"/>
              </w:tcPr>
              <w:p>
                <w:pPr>
                  <w:jc w:val="center"/>
                  <w:rPr>
                    <w:b/>
                    <w:bCs/>
                    <w:color w:val="000000" w:themeColor="text1"/>
                  </w:rPr>
                </w:pPr>
                <w:r>
                  <w:rPr>
                    <w:b/>
                    <w:color w:val="000000" w:themeColor="text1"/>
                  </w:rPr>
                  <w:t>项目</w:t>
                </w:r>
              </w:p>
            </w:tc>
          </w:sdtContent>
        </w:sdt>
        <w:sdt>
          <w:sdtPr>
            <w:tag w:val="_PLD_06c4ac69e0084d108604170c58444649"/>
            <w:id w:val="-990713511"/>
          </w:sdtPr>
          <w:sdtContent>
            <w:tc>
              <w:tcPr>
                <w:tcW w:w="863" w:type="pct"/>
                <w:tcBorders>
                  <w:top w:val="outset" w:sz="6" w:space="0" w:color="auto"/>
                  <w:left w:val="outset" w:sz="6" w:space="0" w:color="auto"/>
                  <w:bottom w:val="outset" w:sz="6" w:space="0" w:color="auto"/>
                  <w:right w:val="outset" w:sz="6" w:space="0" w:color="auto"/>
                </w:tcBorders>
                <w:vAlign w:val="center"/>
              </w:tcPr>
              <w:p>
                <w:pPr>
                  <w:jc w:val="center"/>
                  <w:rPr>
                    <w:b/>
                    <w:bCs/>
                    <w:color w:val="000000" w:themeColor="text1"/>
                  </w:rPr>
                </w:pPr>
                <w:r>
                  <w:rPr>
                    <w:rFonts w:hint="eastAsia"/>
                    <w:b/>
                    <w:color w:val="000000" w:themeColor="text1"/>
                  </w:rPr>
                  <w:t>附注</w:t>
                </w:r>
              </w:p>
            </w:tc>
          </w:sdtContent>
        </w:sdt>
        <w:sdt>
          <w:sdtPr>
            <w:tag w:val="_PLD_b1c54371985a4504b749b9d71cf1412e"/>
            <w:id w:val="1901777236"/>
          </w:sdtPr>
          <w:sdtContent>
            <w:tc>
              <w:tcPr>
                <w:tcW w:w="1176" w:type="pct"/>
                <w:tcBorders>
                  <w:top w:val="outset" w:sz="6" w:space="0" w:color="auto"/>
                  <w:left w:val="outset" w:sz="6" w:space="0" w:color="auto"/>
                  <w:bottom w:val="outset" w:sz="6" w:space="0" w:color="auto"/>
                  <w:right w:val="outset" w:sz="6" w:space="0" w:color="auto"/>
                </w:tcBorders>
                <w:vAlign w:val="center"/>
              </w:tcPr>
              <w:p>
                <w:pPr>
                  <w:jc w:val="center"/>
                  <w:rPr>
                    <w:b/>
                    <w:bCs/>
                    <w:color w:val="000000" w:themeColor="text1"/>
                  </w:rPr>
                </w:pPr>
                <w:r>
                  <w:rPr>
                    <w:rFonts w:hint="eastAsia"/>
                    <w:b/>
                    <w:color w:val="000000" w:themeColor="text1"/>
                  </w:rPr>
                  <w:t>2024年12月</w:t>
                </w:r>
                <w:r>
                  <w:rPr>
                    <w:b/>
                    <w:color w:val="000000" w:themeColor="text1"/>
                  </w:rPr>
                  <w:t>3</w:t>
                </w:r>
                <w:r>
                  <w:rPr>
                    <w:rFonts w:hint="eastAsia"/>
                    <w:b/>
                    <w:color w:val="000000" w:themeColor="text1"/>
                  </w:rPr>
                  <w:t>1日</w:t>
                </w:r>
              </w:p>
            </w:tc>
          </w:sdtContent>
        </w:sdt>
        <w:sdt>
          <w:sdtPr>
            <w:tag w:val="_PLD_26edb5cd36ce4083a97dc26772b099ab"/>
            <w:id w:val="-230922441"/>
          </w:sdtPr>
          <w:sdtContent>
            <w:tc>
              <w:tcPr>
                <w:tcW w:w="1333" w:type="pct"/>
                <w:tcBorders>
                  <w:top w:val="outset" w:sz="6" w:space="0" w:color="auto"/>
                  <w:left w:val="outset" w:sz="6" w:space="0" w:color="auto"/>
                  <w:bottom w:val="outset" w:sz="6" w:space="0" w:color="auto"/>
                  <w:right w:val="outset" w:sz="6" w:space="0" w:color="auto"/>
                </w:tcBorders>
                <w:vAlign w:val="center"/>
              </w:tcPr>
              <w:p>
                <w:pPr>
                  <w:jc w:val="center"/>
                  <w:rPr>
                    <w:b/>
                    <w:bCs/>
                    <w:color w:val="000000" w:themeColor="text1"/>
                  </w:rPr>
                </w:pPr>
                <w:r>
                  <w:rPr>
                    <w:b/>
                    <w:color w:val="000000" w:themeColor="text1"/>
                  </w:rPr>
                  <w:t>2023年12月31日</w:t>
                </w:r>
              </w:p>
            </w:tc>
          </w:sdtContent>
        </w:sdt>
      </w:tr>
      <w:tr>
        <w:sdt>
          <w:sdtPr>
            <w:tag w:val="_PLD_b54d834a04b8464892f4dccc28fbd9e0"/>
            <w:id w:val="156345121"/>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b/>
                    <w:color w:val="000000" w:themeColor="text1"/>
                  </w:rPr>
                </w:pPr>
                <w:r>
                  <w:rPr>
                    <w:rFonts w:hint="eastAsia"/>
                    <w:b/>
                    <w:color w:val="000000" w:themeColor="text1"/>
                  </w:rPr>
                  <w:t>流动资产：</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货币资金</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4,672,436</w:t>
            </w:r>
          </w:p>
        </w:tc>
        <w:tc>
          <w:tcPr>
            <w:tcW w:w="1333" w:type="pct"/>
            <w:tcBorders>
              <w:top w:val="outset" w:sz="6" w:space="0" w:color="auto"/>
              <w:left w:val="outset" w:sz="6" w:space="0" w:color="auto"/>
              <w:bottom w:val="outset" w:sz="6" w:space="0" w:color="auto"/>
              <w:right w:val="outset" w:sz="6" w:space="0" w:color="auto"/>
            </w:tcBorders>
          </w:tcPr>
          <w:p>
            <w:pPr>
              <w:jc w:val="right"/>
            </w:pPr>
            <w:r>
              <w:t>6,178,032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交易性金融资产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481</w:t>
            </w:r>
          </w:p>
        </w:tc>
        <w:tc>
          <w:tcPr>
            <w:tcW w:w="1333" w:type="pct"/>
            <w:tcBorders>
              <w:top w:val="outset" w:sz="6" w:space="0" w:color="auto"/>
              <w:left w:val="outset" w:sz="6" w:space="0" w:color="auto"/>
              <w:bottom w:val="outset" w:sz="6" w:space="0" w:color="auto"/>
              <w:right w:val="outset" w:sz="6" w:space="0" w:color="auto"/>
            </w:tcBorders>
          </w:tcPr>
          <w:p>
            <w:pPr>
              <w:jc w:val="right"/>
            </w:pPr>
            <w:r>
              <w:t>225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衍生金融资产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应收票据</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应收账款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r>
              <w:rPr>
                <w:rFonts w:hint="eastAsia"/>
              </w:rPr>
              <w:t>十九、（一）</w:t>
            </w:r>
          </w:p>
        </w:tc>
        <w:tc>
          <w:tcPr>
            <w:tcW w:w="1176" w:type="pct"/>
            <w:tcBorders>
              <w:top w:val="outset" w:sz="6" w:space="0" w:color="auto"/>
              <w:left w:val="outset" w:sz="6" w:space="0" w:color="auto"/>
              <w:bottom w:val="outset" w:sz="6" w:space="0" w:color="auto"/>
              <w:right w:val="outset" w:sz="6" w:space="0" w:color="auto"/>
            </w:tcBorders>
          </w:tcPr>
          <w:p>
            <w:pPr>
              <w:jc w:val="right"/>
            </w:pPr>
            <w:r>
              <w:t>2,360,288</w:t>
            </w:r>
          </w:p>
        </w:tc>
        <w:tc>
          <w:tcPr>
            <w:tcW w:w="1333" w:type="pct"/>
            <w:tcBorders>
              <w:top w:val="outset" w:sz="6" w:space="0" w:color="auto"/>
              <w:left w:val="outset" w:sz="6" w:space="0" w:color="auto"/>
              <w:bottom w:val="outset" w:sz="6" w:space="0" w:color="auto"/>
              <w:right w:val="outset" w:sz="6" w:space="0" w:color="auto"/>
            </w:tcBorders>
          </w:tcPr>
          <w:p>
            <w:pPr>
              <w:jc w:val="right"/>
            </w:pPr>
            <w:r>
              <w:t>2,179,125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应收款项融资</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1,744,868</w:t>
            </w:r>
          </w:p>
        </w:tc>
        <w:tc>
          <w:tcPr>
            <w:tcW w:w="1333" w:type="pct"/>
            <w:tcBorders>
              <w:top w:val="outset" w:sz="6" w:space="0" w:color="auto"/>
              <w:left w:val="outset" w:sz="6" w:space="0" w:color="auto"/>
              <w:bottom w:val="outset" w:sz="6" w:space="0" w:color="auto"/>
              <w:right w:val="outset" w:sz="6" w:space="0" w:color="auto"/>
            </w:tcBorders>
          </w:tcPr>
          <w:p>
            <w:pPr>
              <w:jc w:val="right"/>
            </w:pPr>
            <w:r>
              <w:t>2,213,028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预付款项</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5,089</w:t>
            </w:r>
          </w:p>
        </w:tc>
        <w:tc>
          <w:tcPr>
            <w:tcW w:w="1333" w:type="pct"/>
            <w:tcBorders>
              <w:top w:val="outset" w:sz="6" w:space="0" w:color="auto"/>
              <w:left w:val="outset" w:sz="6" w:space="0" w:color="auto"/>
              <w:bottom w:val="outset" w:sz="6" w:space="0" w:color="auto"/>
              <w:right w:val="outset" w:sz="6" w:space="0" w:color="auto"/>
            </w:tcBorders>
          </w:tcPr>
          <w:p>
            <w:pPr>
              <w:jc w:val="right"/>
            </w:pPr>
            <w:r>
              <w:t>11,800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其他应收款</w:t>
            </w:r>
          </w:p>
        </w:tc>
        <w:tc>
          <w:tcPr>
            <w:tcW w:w="863"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十九、（二）</w:t>
            </w:r>
          </w:p>
        </w:tc>
        <w:tc>
          <w:tcPr>
            <w:tcW w:w="1176" w:type="pct"/>
            <w:tcBorders>
              <w:top w:val="outset" w:sz="6" w:space="0" w:color="auto"/>
              <w:left w:val="outset" w:sz="6" w:space="0" w:color="auto"/>
              <w:bottom w:val="outset" w:sz="6" w:space="0" w:color="auto"/>
              <w:right w:val="outset" w:sz="6" w:space="0" w:color="auto"/>
            </w:tcBorders>
          </w:tcPr>
          <w:p>
            <w:pPr>
              <w:jc w:val="right"/>
            </w:pPr>
            <w:r>
              <w:t>52,636,393</w:t>
            </w:r>
          </w:p>
        </w:tc>
        <w:tc>
          <w:tcPr>
            <w:tcW w:w="1333" w:type="pct"/>
            <w:tcBorders>
              <w:top w:val="outset" w:sz="6" w:space="0" w:color="auto"/>
              <w:left w:val="outset" w:sz="6" w:space="0" w:color="auto"/>
              <w:bottom w:val="outset" w:sz="6" w:space="0" w:color="auto"/>
              <w:right w:val="outset" w:sz="6" w:space="0" w:color="auto"/>
            </w:tcBorders>
          </w:tcPr>
          <w:p>
            <w:pPr>
              <w:jc w:val="right"/>
            </w:pPr>
            <w:r>
              <w:t>36,967,365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其中：应收利息</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400" w:firstLine="840"/>
              <w:rPr>
                <w:color w:val="000000" w:themeColor="text1"/>
              </w:rPr>
            </w:pPr>
            <w:r>
              <w:rPr>
                <w:rFonts w:hint="eastAsia"/>
                <w:color w:val="000000" w:themeColor="text1"/>
              </w:rPr>
              <w:t>应收股利</w:t>
            </w:r>
          </w:p>
        </w:tc>
        <w:tc>
          <w:tcPr>
            <w:tcW w:w="863"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十九、（二）</w:t>
            </w:r>
          </w:p>
        </w:tc>
        <w:tc>
          <w:tcPr>
            <w:tcW w:w="1176" w:type="pct"/>
            <w:tcBorders>
              <w:top w:val="outset" w:sz="6" w:space="0" w:color="auto"/>
              <w:left w:val="outset" w:sz="6" w:space="0" w:color="auto"/>
              <w:bottom w:val="outset" w:sz="6" w:space="0" w:color="auto"/>
              <w:right w:val="outset" w:sz="6" w:space="0" w:color="auto"/>
            </w:tcBorders>
          </w:tcPr>
          <w:p>
            <w:pPr>
              <w:jc w:val="right"/>
            </w:pPr>
            <w:r>
              <w:t>10,657,134</w:t>
            </w:r>
          </w:p>
        </w:tc>
        <w:tc>
          <w:tcPr>
            <w:tcW w:w="1333" w:type="pct"/>
            <w:tcBorders>
              <w:top w:val="outset" w:sz="6" w:space="0" w:color="auto"/>
              <w:left w:val="outset" w:sz="6" w:space="0" w:color="auto"/>
              <w:bottom w:val="outset" w:sz="6" w:space="0" w:color="auto"/>
              <w:right w:val="outset" w:sz="6" w:space="0" w:color="auto"/>
            </w:tcBorders>
          </w:tcPr>
          <w:p>
            <w:pPr>
              <w:jc w:val="right"/>
            </w:pPr>
            <w:r>
              <w:t>4,949,900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存货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187,495</w:t>
            </w:r>
          </w:p>
        </w:tc>
        <w:tc>
          <w:tcPr>
            <w:tcW w:w="1333" w:type="pct"/>
            <w:tcBorders>
              <w:top w:val="outset" w:sz="6" w:space="0" w:color="auto"/>
              <w:left w:val="outset" w:sz="6" w:space="0" w:color="auto"/>
              <w:bottom w:val="outset" w:sz="6" w:space="0" w:color="auto"/>
              <w:right w:val="outset" w:sz="6" w:space="0" w:color="auto"/>
            </w:tcBorders>
          </w:tcPr>
          <w:p>
            <w:pPr>
              <w:jc w:val="right"/>
            </w:pPr>
            <w:r>
              <w:t>471,414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其中：数据资源</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合同资产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持有待售资产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一年内到期的非流动资产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其他流动资产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2,970,131</w:t>
            </w:r>
          </w:p>
        </w:tc>
        <w:tc>
          <w:tcPr>
            <w:tcW w:w="1333" w:type="pct"/>
            <w:tcBorders>
              <w:top w:val="outset" w:sz="6" w:space="0" w:color="auto"/>
              <w:left w:val="outset" w:sz="6" w:space="0" w:color="auto"/>
              <w:bottom w:val="outset" w:sz="6" w:space="0" w:color="auto"/>
              <w:right w:val="outset" w:sz="6" w:space="0" w:color="auto"/>
            </w:tcBorders>
          </w:tcPr>
          <w:p>
            <w:pPr>
              <w:jc w:val="right"/>
            </w:pPr>
            <w:r>
              <w:t>2,729,658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流动资产合计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64,577,181</w:t>
            </w:r>
          </w:p>
        </w:tc>
        <w:tc>
          <w:tcPr>
            <w:tcW w:w="1333" w:type="pct"/>
            <w:tcBorders>
              <w:top w:val="outset" w:sz="6" w:space="0" w:color="auto"/>
              <w:left w:val="outset" w:sz="6" w:space="0" w:color="auto"/>
              <w:bottom w:val="outset" w:sz="6" w:space="0" w:color="auto"/>
              <w:right w:val="outset" w:sz="6" w:space="0" w:color="auto"/>
            </w:tcBorders>
          </w:tcPr>
          <w:p>
            <w:pPr>
              <w:jc w:val="right"/>
            </w:pPr>
            <w:r>
              <w:t>50,750,647</w:t>
            </w:r>
          </w:p>
        </w:tc>
      </w:tr>
      <w:tr>
        <w:sdt>
          <w:sdtPr>
            <w:tag w:val="_PLD_3bf4878ec6d14b78be43557bc0d9a302"/>
            <w:id w:val="-1697457037"/>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非流动资产：</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债权投资</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其他债权投资</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长期应收款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长期股权投资</w:t>
            </w:r>
          </w:p>
        </w:tc>
        <w:tc>
          <w:tcPr>
            <w:tcW w:w="863" w:type="pct"/>
            <w:tcBorders>
              <w:top w:val="outset" w:sz="6" w:space="0" w:color="auto"/>
              <w:left w:val="outset" w:sz="6" w:space="0" w:color="auto"/>
              <w:bottom w:val="outset" w:sz="6" w:space="0" w:color="auto"/>
              <w:right w:val="outset" w:sz="6" w:space="0" w:color="auto"/>
            </w:tcBorders>
          </w:tcPr>
          <w:p>
            <w:pPr>
              <w:pStyle w:val="affffffffffffffffff3"/>
            </w:pPr>
            <w:r>
              <w:rPr>
                <w:rFonts w:hint="eastAsia"/>
              </w:rPr>
              <w:t>十九、（三）</w:t>
            </w:r>
          </w:p>
        </w:tc>
        <w:tc>
          <w:tcPr>
            <w:tcW w:w="1176" w:type="pct"/>
            <w:tcBorders>
              <w:top w:val="outset" w:sz="6" w:space="0" w:color="auto"/>
              <w:left w:val="outset" w:sz="6" w:space="0" w:color="auto"/>
              <w:bottom w:val="outset" w:sz="6" w:space="0" w:color="auto"/>
              <w:right w:val="outset" w:sz="6" w:space="0" w:color="auto"/>
            </w:tcBorders>
          </w:tcPr>
          <w:p>
            <w:pPr>
              <w:jc w:val="right"/>
            </w:pPr>
            <w:r>
              <w:t>106,162,570</w:t>
            </w:r>
          </w:p>
        </w:tc>
        <w:tc>
          <w:tcPr>
            <w:tcW w:w="1333" w:type="pct"/>
            <w:tcBorders>
              <w:top w:val="outset" w:sz="6" w:space="0" w:color="auto"/>
              <w:left w:val="outset" w:sz="6" w:space="0" w:color="auto"/>
              <w:bottom w:val="outset" w:sz="6" w:space="0" w:color="auto"/>
              <w:right w:val="outset" w:sz="6" w:space="0" w:color="auto"/>
            </w:tcBorders>
          </w:tcPr>
          <w:p>
            <w:pPr>
              <w:jc w:val="right"/>
            </w:pPr>
            <w:r>
              <w:t>103,473,639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其他权益工具投资</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4,073</w:t>
            </w:r>
          </w:p>
        </w:tc>
        <w:tc>
          <w:tcPr>
            <w:tcW w:w="1333" w:type="pct"/>
            <w:tcBorders>
              <w:top w:val="outset" w:sz="6" w:space="0" w:color="auto"/>
              <w:left w:val="outset" w:sz="6" w:space="0" w:color="auto"/>
              <w:bottom w:val="outset" w:sz="6" w:space="0" w:color="auto"/>
              <w:right w:val="outset" w:sz="6" w:space="0" w:color="auto"/>
            </w:tcBorders>
          </w:tcPr>
          <w:p>
            <w:pPr>
              <w:jc w:val="right"/>
            </w:pPr>
            <w:r>
              <w:t>4,093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其他非流动金融资产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投资性房地产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28,838</w:t>
            </w: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固定资产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12,418,036</w:t>
            </w:r>
          </w:p>
        </w:tc>
        <w:tc>
          <w:tcPr>
            <w:tcW w:w="1333" w:type="pct"/>
            <w:tcBorders>
              <w:top w:val="outset" w:sz="6" w:space="0" w:color="auto"/>
              <w:left w:val="outset" w:sz="6" w:space="0" w:color="auto"/>
              <w:bottom w:val="outset" w:sz="6" w:space="0" w:color="auto"/>
              <w:right w:val="outset" w:sz="6" w:space="0" w:color="auto"/>
            </w:tcBorders>
          </w:tcPr>
          <w:p>
            <w:pPr>
              <w:jc w:val="right"/>
            </w:pPr>
            <w:r>
              <w:t>12,447,635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在建工程</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2,349,171</w:t>
            </w:r>
          </w:p>
        </w:tc>
        <w:tc>
          <w:tcPr>
            <w:tcW w:w="1333" w:type="pct"/>
            <w:tcBorders>
              <w:top w:val="outset" w:sz="6" w:space="0" w:color="auto"/>
              <w:left w:val="outset" w:sz="6" w:space="0" w:color="auto"/>
              <w:bottom w:val="outset" w:sz="6" w:space="0" w:color="auto"/>
              <w:right w:val="outset" w:sz="6" w:space="0" w:color="auto"/>
            </w:tcBorders>
          </w:tcPr>
          <w:p>
            <w:pPr>
              <w:jc w:val="right"/>
            </w:pPr>
            <w:r>
              <w:t>1,798,755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生产性生物资产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油气资产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使用权资产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7,974,824</w:t>
            </w:r>
          </w:p>
        </w:tc>
        <w:tc>
          <w:tcPr>
            <w:tcW w:w="1333" w:type="pct"/>
            <w:tcBorders>
              <w:top w:val="outset" w:sz="6" w:space="0" w:color="auto"/>
              <w:left w:val="outset" w:sz="6" w:space="0" w:color="auto"/>
              <w:bottom w:val="outset" w:sz="6" w:space="0" w:color="auto"/>
              <w:right w:val="outset" w:sz="6" w:space="0" w:color="auto"/>
            </w:tcBorders>
          </w:tcPr>
          <w:p>
            <w:pPr>
              <w:jc w:val="right"/>
            </w:pPr>
            <w:r>
              <w:t>6,416,083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无形资产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851,852</w:t>
            </w:r>
          </w:p>
        </w:tc>
        <w:tc>
          <w:tcPr>
            <w:tcW w:w="1333" w:type="pct"/>
            <w:tcBorders>
              <w:top w:val="outset" w:sz="6" w:space="0" w:color="auto"/>
              <w:left w:val="outset" w:sz="6" w:space="0" w:color="auto"/>
              <w:bottom w:val="outset" w:sz="6" w:space="0" w:color="auto"/>
              <w:right w:val="outset" w:sz="6" w:space="0" w:color="auto"/>
            </w:tcBorders>
          </w:tcPr>
          <w:p>
            <w:pPr>
              <w:jc w:val="right"/>
            </w:pPr>
            <w:r>
              <w:t>925,133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其中：数据资源</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开发支出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其中：数据资源</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商誉</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长期待摊费用</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767</w:t>
            </w:r>
          </w:p>
        </w:tc>
        <w:tc>
          <w:tcPr>
            <w:tcW w:w="1333" w:type="pct"/>
            <w:tcBorders>
              <w:top w:val="outset" w:sz="6" w:space="0" w:color="auto"/>
              <w:left w:val="outset" w:sz="6" w:space="0" w:color="auto"/>
              <w:bottom w:val="outset" w:sz="6" w:space="0" w:color="auto"/>
              <w:right w:val="outset" w:sz="6" w:space="0" w:color="auto"/>
            </w:tcBorders>
          </w:tcPr>
          <w:p>
            <w:pPr>
              <w:jc w:val="right"/>
            </w:pPr>
            <w:r>
              <w:t>1,534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递延所得税资产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3,094,231</w:t>
            </w:r>
          </w:p>
        </w:tc>
        <w:tc>
          <w:tcPr>
            <w:tcW w:w="1333" w:type="pct"/>
            <w:tcBorders>
              <w:top w:val="outset" w:sz="6" w:space="0" w:color="auto"/>
              <w:left w:val="outset" w:sz="6" w:space="0" w:color="auto"/>
              <w:bottom w:val="outset" w:sz="6" w:space="0" w:color="auto"/>
              <w:right w:val="outset" w:sz="6" w:space="0" w:color="auto"/>
            </w:tcBorders>
          </w:tcPr>
          <w:p>
            <w:pPr>
              <w:jc w:val="right"/>
            </w:pPr>
            <w:r>
              <w:t>1,124,170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其他非流动资产</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3,839,158</w:t>
            </w:r>
          </w:p>
        </w:tc>
        <w:tc>
          <w:tcPr>
            <w:tcW w:w="1333" w:type="pct"/>
            <w:tcBorders>
              <w:top w:val="outset" w:sz="6" w:space="0" w:color="auto"/>
              <w:left w:val="outset" w:sz="6" w:space="0" w:color="auto"/>
              <w:bottom w:val="outset" w:sz="6" w:space="0" w:color="auto"/>
              <w:right w:val="outset" w:sz="6" w:space="0" w:color="auto"/>
            </w:tcBorders>
          </w:tcPr>
          <w:p>
            <w:pPr>
              <w:jc w:val="right"/>
            </w:pPr>
            <w:r>
              <w:t>3,834,864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非流动资产合计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136,723,520</w:t>
            </w:r>
          </w:p>
        </w:tc>
        <w:tc>
          <w:tcPr>
            <w:tcW w:w="1333" w:type="pct"/>
            <w:tcBorders>
              <w:top w:val="outset" w:sz="6" w:space="0" w:color="auto"/>
              <w:left w:val="outset" w:sz="6" w:space="0" w:color="auto"/>
              <w:bottom w:val="outset" w:sz="6" w:space="0" w:color="auto"/>
              <w:right w:val="outset" w:sz="6" w:space="0" w:color="auto"/>
            </w:tcBorders>
          </w:tcPr>
          <w:p>
            <w:pPr>
              <w:jc w:val="right"/>
            </w:pPr>
            <w:r>
              <w:t>130,025,906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资产总计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201,300,701</w:t>
            </w:r>
          </w:p>
        </w:tc>
        <w:tc>
          <w:tcPr>
            <w:tcW w:w="1333" w:type="pct"/>
            <w:tcBorders>
              <w:top w:val="outset" w:sz="6" w:space="0" w:color="auto"/>
              <w:left w:val="outset" w:sz="6" w:space="0" w:color="auto"/>
              <w:bottom w:val="outset" w:sz="6" w:space="0" w:color="auto"/>
              <w:right w:val="outset" w:sz="6" w:space="0" w:color="auto"/>
            </w:tcBorders>
          </w:tcPr>
          <w:p>
            <w:pPr>
              <w:jc w:val="right"/>
            </w:pPr>
            <w:r>
              <w:t>180,776,553</w:t>
            </w:r>
          </w:p>
        </w:tc>
      </w:tr>
      <w:tr>
        <w:sdt>
          <w:sdtPr>
            <w:tag w:val="_PLD_3c4382c3caa043de84ae1c13bc2ce793"/>
            <w:id w:val="-1542747985"/>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流动负债：</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lastRenderedPageBreak/>
              <w:t>短期借款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6,850,000</w:t>
            </w:r>
          </w:p>
        </w:tc>
        <w:tc>
          <w:tcPr>
            <w:tcW w:w="1333" w:type="pct"/>
            <w:tcBorders>
              <w:top w:val="outset" w:sz="6" w:space="0" w:color="auto"/>
              <w:left w:val="outset" w:sz="6" w:space="0" w:color="auto"/>
              <w:bottom w:val="outset" w:sz="6" w:space="0" w:color="auto"/>
              <w:right w:val="outset" w:sz="6" w:space="0" w:color="auto"/>
            </w:tcBorders>
          </w:tcPr>
          <w:p>
            <w:pPr>
              <w:jc w:val="right"/>
            </w:pPr>
            <w:r>
              <w:t>4,100,000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交易性金融负债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衍生金融负债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应付票据</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3,141,444</w:t>
            </w:r>
          </w:p>
        </w:tc>
        <w:tc>
          <w:tcPr>
            <w:tcW w:w="1333" w:type="pct"/>
            <w:tcBorders>
              <w:top w:val="outset" w:sz="6" w:space="0" w:color="auto"/>
              <w:left w:val="outset" w:sz="6" w:space="0" w:color="auto"/>
              <w:bottom w:val="outset" w:sz="6" w:space="0" w:color="auto"/>
              <w:right w:val="outset" w:sz="6" w:space="0" w:color="auto"/>
            </w:tcBorders>
          </w:tcPr>
          <w:p>
            <w:pPr>
              <w:jc w:val="right"/>
            </w:pPr>
            <w:r>
              <w:t>3,068,894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应付账款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3,942,896</w:t>
            </w:r>
          </w:p>
        </w:tc>
        <w:tc>
          <w:tcPr>
            <w:tcW w:w="1333" w:type="pct"/>
            <w:tcBorders>
              <w:top w:val="outset" w:sz="6" w:space="0" w:color="auto"/>
              <w:left w:val="outset" w:sz="6" w:space="0" w:color="auto"/>
              <w:bottom w:val="outset" w:sz="6" w:space="0" w:color="auto"/>
              <w:right w:val="outset" w:sz="6" w:space="0" w:color="auto"/>
            </w:tcBorders>
          </w:tcPr>
          <w:p>
            <w:pPr>
              <w:jc w:val="right"/>
            </w:pPr>
            <w:r>
              <w:t>4,867,257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预收款项</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合同负债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524,564</w:t>
            </w:r>
          </w:p>
        </w:tc>
        <w:tc>
          <w:tcPr>
            <w:tcW w:w="1333" w:type="pct"/>
            <w:tcBorders>
              <w:top w:val="outset" w:sz="6" w:space="0" w:color="auto"/>
              <w:left w:val="outset" w:sz="6" w:space="0" w:color="auto"/>
              <w:bottom w:val="outset" w:sz="6" w:space="0" w:color="auto"/>
              <w:right w:val="outset" w:sz="6" w:space="0" w:color="auto"/>
            </w:tcBorders>
          </w:tcPr>
          <w:p>
            <w:pPr>
              <w:jc w:val="right"/>
            </w:pPr>
            <w:r>
              <w:t>695,517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应付职工薪酬</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105,367</w:t>
            </w:r>
          </w:p>
        </w:tc>
        <w:tc>
          <w:tcPr>
            <w:tcW w:w="1333" w:type="pct"/>
            <w:tcBorders>
              <w:top w:val="outset" w:sz="6" w:space="0" w:color="auto"/>
              <w:left w:val="outset" w:sz="6" w:space="0" w:color="auto"/>
              <w:bottom w:val="outset" w:sz="6" w:space="0" w:color="auto"/>
              <w:right w:val="outset" w:sz="6" w:space="0" w:color="auto"/>
            </w:tcBorders>
          </w:tcPr>
          <w:p>
            <w:pPr>
              <w:jc w:val="right"/>
            </w:pPr>
            <w:r>
              <w:t>317,272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应交税费</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354,202</w:t>
            </w:r>
          </w:p>
        </w:tc>
        <w:tc>
          <w:tcPr>
            <w:tcW w:w="1333" w:type="pct"/>
            <w:tcBorders>
              <w:top w:val="outset" w:sz="6" w:space="0" w:color="auto"/>
              <w:left w:val="outset" w:sz="6" w:space="0" w:color="auto"/>
              <w:bottom w:val="outset" w:sz="6" w:space="0" w:color="auto"/>
              <w:right w:val="outset" w:sz="6" w:space="0" w:color="auto"/>
            </w:tcBorders>
          </w:tcPr>
          <w:p>
            <w:pPr>
              <w:jc w:val="right"/>
            </w:pPr>
            <w:r>
              <w:t>1,129,406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其他应付款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38,614,385</w:t>
            </w:r>
          </w:p>
        </w:tc>
        <w:tc>
          <w:tcPr>
            <w:tcW w:w="1333" w:type="pct"/>
            <w:tcBorders>
              <w:top w:val="outset" w:sz="6" w:space="0" w:color="auto"/>
              <w:left w:val="outset" w:sz="6" w:space="0" w:color="auto"/>
              <w:bottom w:val="outset" w:sz="6" w:space="0" w:color="auto"/>
              <w:right w:val="outset" w:sz="6" w:space="0" w:color="auto"/>
            </w:tcBorders>
          </w:tcPr>
          <w:p>
            <w:pPr>
              <w:jc w:val="right"/>
            </w:pPr>
            <w:r>
              <w:t>45,227,424</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其中：应付利息</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400" w:firstLine="840"/>
              <w:rPr>
                <w:color w:val="000000" w:themeColor="text1"/>
              </w:rPr>
            </w:pPr>
            <w:r>
              <w:rPr>
                <w:rFonts w:hint="eastAsia"/>
                <w:color w:val="000000" w:themeColor="text1"/>
              </w:rPr>
              <w:t>应付股利</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持有待售负债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一年内到期的非流动负债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26,282,910</w:t>
            </w:r>
          </w:p>
        </w:tc>
        <w:tc>
          <w:tcPr>
            <w:tcW w:w="1333" w:type="pct"/>
            <w:tcBorders>
              <w:top w:val="outset" w:sz="6" w:space="0" w:color="auto"/>
              <w:left w:val="outset" w:sz="6" w:space="0" w:color="auto"/>
              <w:bottom w:val="outset" w:sz="6" w:space="0" w:color="auto"/>
              <w:right w:val="outset" w:sz="6" w:space="0" w:color="auto"/>
            </w:tcBorders>
          </w:tcPr>
          <w:p>
            <w:pPr>
              <w:jc w:val="right"/>
            </w:pPr>
            <w:r>
              <w:t>15,537,958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其他流动负债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77,842</w:t>
            </w:r>
          </w:p>
        </w:tc>
        <w:tc>
          <w:tcPr>
            <w:tcW w:w="1333" w:type="pct"/>
            <w:tcBorders>
              <w:top w:val="outset" w:sz="6" w:space="0" w:color="auto"/>
              <w:left w:val="outset" w:sz="6" w:space="0" w:color="auto"/>
              <w:bottom w:val="outset" w:sz="6" w:space="0" w:color="auto"/>
              <w:right w:val="outset" w:sz="6" w:space="0" w:color="auto"/>
            </w:tcBorders>
          </w:tcPr>
          <w:p>
            <w:pPr>
              <w:jc w:val="right"/>
            </w:pPr>
            <w:r>
              <w:t>90,392</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流动负债合计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79,893,610</w:t>
            </w:r>
          </w:p>
        </w:tc>
        <w:tc>
          <w:tcPr>
            <w:tcW w:w="1333" w:type="pct"/>
            <w:tcBorders>
              <w:top w:val="outset" w:sz="6" w:space="0" w:color="auto"/>
              <w:left w:val="outset" w:sz="6" w:space="0" w:color="auto"/>
              <w:bottom w:val="outset" w:sz="6" w:space="0" w:color="auto"/>
              <w:right w:val="outset" w:sz="6" w:space="0" w:color="auto"/>
            </w:tcBorders>
          </w:tcPr>
          <w:p>
            <w:pPr>
              <w:jc w:val="right"/>
            </w:pPr>
            <w:r>
              <w:t>75,034,120</w:t>
            </w:r>
          </w:p>
        </w:tc>
      </w:tr>
      <w:tr>
        <w:sdt>
          <w:sdtPr>
            <w:tag w:val="_PLD_96b3279b94864dce855f778a549d0817"/>
            <w:id w:val="-166710962"/>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非流动负债：</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长期借款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41,180,900</w:t>
            </w:r>
          </w:p>
        </w:tc>
        <w:tc>
          <w:tcPr>
            <w:tcW w:w="1333" w:type="pct"/>
            <w:tcBorders>
              <w:top w:val="outset" w:sz="6" w:space="0" w:color="auto"/>
              <w:left w:val="outset" w:sz="6" w:space="0" w:color="auto"/>
              <w:bottom w:val="outset" w:sz="6" w:space="0" w:color="auto"/>
              <w:right w:val="outset" w:sz="6" w:space="0" w:color="auto"/>
            </w:tcBorders>
          </w:tcPr>
          <w:p>
            <w:pPr>
              <w:jc w:val="right"/>
            </w:pPr>
            <w:r>
              <w:t>44,433,570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应付债券</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15,973,544</w:t>
            </w:r>
          </w:p>
        </w:tc>
        <w:tc>
          <w:tcPr>
            <w:tcW w:w="1333" w:type="pct"/>
            <w:tcBorders>
              <w:top w:val="outset" w:sz="6" w:space="0" w:color="auto"/>
              <w:left w:val="outset" w:sz="6" w:space="0" w:color="auto"/>
              <w:bottom w:val="outset" w:sz="6" w:space="0" w:color="auto"/>
              <w:right w:val="outset" w:sz="6" w:space="0" w:color="auto"/>
            </w:tcBorders>
          </w:tcPr>
          <w:p>
            <w:pPr>
              <w:jc w:val="right"/>
            </w:pPr>
            <w:r>
              <w:t>12,172,858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其中：优先股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color w:val="000000" w:themeColor="text1"/>
              </w:rPr>
            </w:pPr>
            <w:r>
              <w:rPr>
                <w:rFonts w:hint="eastAsia"/>
                <w:color w:val="000000" w:themeColor="text1"/>
              </w:rPr>
              <w:t>永续债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租赁负债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8,574,096</w:t>
            </w:r>
          </w:p>
        </w:tc>
        <w:tc>
          <w:tcPr>
            <w:tcW w:w="1333" w:type="pct"/>
            <w:tcBorders>
              <w:top w:val="outset" w:sz="6" w:space="0" w:color="auto"/>
              <w:left w:val="outset" w:sz="6" w:space="0" w:color="auto"/>
              <w:bottom w:val="outset" w:sz="6" w:space="0" w:color="auto"/>
              <w:right w:val="outset" w:sz="6" w:space="0" w:color="auto"/>
            </w:tcBorders>
          </w:tcPr>
          <w:p>
            <w:pPr>
              <w:jc w:val="right"/>
            </w:pPr>
            <w:r>
              <w:t>5,313,078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长期应付款</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426,421</w:t>
            </w:r>
          </w:p>
        </w:tc>
        <w:tc>
          <w:tcPr>
            <w:tcW w:w="1333" w:type="pct"/>
            <w:tcBorders>
              <w:top w:val="outset" w:sz="6" w:space="0" w:color="auto"/>
              <w:left w:val="outset" w:sz="6" w:space="0" w:color="auto"/>
              <w:bottom w:val="outset" w:sz="6" w:space="0" w:color="auto"/>
              <w:right w:val="outset" w:sz="6" w:space="0" w:color="auto"/>
            </w:tcBorders>
          </w:tcPr>
          <w:p>
            <w:pPr>
              <w:jc w:val="right"/>
            </w:pPr>
            <w:r>
              <w:t>296,833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长期应付职工薪酬</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预计负债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1,367,542</w:t>
            </w:r>
          </w:p>
        </w:tc>
        <w:tc>
          <w:tcPr>
            <w:tcW w:w="1333" w:type="pct"/>
            <w:tcBorders>
              <w:top w:val="outset" w:sz="6" w:space="0" w:color="auto"/>
              <w:left w:val="outset" w:sz="6" w:space="0" w:color="auto"/>
              <w:bottom w:val="outset" w:sz="6" w:space="0" w:color="auto"/>
              <w:right w:val="outset" w:sz="6" w:space="0" w:color="auto"/>
            </w:tcBorders>
          </w:tcPr>
          <w:p>
            <w:pPr>
              <w:jc w:val="right"/>
            </w:pPr>
            <w:r>
              <w:t>1,161,403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递延收益</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184,497</w:t>
            </w:r>
          </w:p>
        </w:tc>
        <w:tc>
          <w:tcPr>
            <w:tcW w:w="1333" w:type="pct"/>
            <w:tcBorders>
              <w:top w:val="outset" w:sz="6" w:space="0" w:color="auto"/>
              <w:left w:val="outset" w:sz="6" w:space="0" w:color="auto"/>
              <w:bottom w:val="outset" w:sz="6" w:space="0" w:color="auto"/>
              <w:right w:val="outset" w:sz="6" w:space="0" w:color="auto"/>
            </w:tcBorders>
          </w:tcPr>
          <w:p>
            <w:pPr>
              <w:jc w:val="right"/>
            </w:pPr>
            <w:r>
              <w:t>135,626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递延所得税负债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2,281,349</w:t>
            </w:r>
          </w:p>
        </w:tc>
        <w:tc>
          <w:tcPr>
            <w:tcW w:w="1333" w:type="pct"/>
            <w:tcBorders>
              <w:top w:val="outset" w:sz="6" w:space="0" w:color="auto"/>
              <w:left w:val="outset" w:sz="6" w:space="0" w:color="auto"/>
              <w:bottom w:val="outset" w:sz="6" w:space="0" w:color="auto"/>
              <w:right w:val="outset" w:sz="6" w:space="0" w:color="auto"/>
            </w:tcBorders>
          </w:tcPr>
          <w:p>
            <w:pPr>
              <w:jc w:val="right"/>
            </w:pPr>
            <w:r>
              <w:t>269,819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其他非流动负债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p>
        </w:tc>
        <w:tc>
          <w:tcPr>
            <w:tcW w:w="1333" w:type="pct"/>
            <w:tcBorders>
              <w:top w:val="outset" w:sz="6" w:space="0" w:color="auto"/>
              <w:left w:val="outset" w:sz="6" w:space="0" w:color="auto"/>
              <w:bottom w:val="outset" w:sz="6" w:space="0" w:color="auto"/>
              <w:right w:val="outset" w:sz="6" w:space="0" w:color="auto"/>
            </w:tcBorders>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非流动负债合计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69,988,349</w:t>
            </w:r>
          </w:p>
        </w:tc>
        <w:tc>
          <w:tcPr>
            <w:tcW w:w="1333" w:type="pct"/>
            <w:tcBorders>
              <w:top w:val="outset" w:sz="6" w:space="0" w:color="auto"/>
              <w:left w:val="outset" w:sz="6" w:space="0" w:color="auto"/>
              <w:bottom w:val="outset" w:sz="6" w:space="0" w:color="auto"/>
              <w:right w:val="outset" w:sz="6" w:space="0" w:color="auto"/>
            </w:tcBorders>
          </w:tcPr>
          <w:p>
            <w:pPr>
              <w:jc w:val="right"/>
            </w:pPr>
            <w:r>
              <w:t>63,783,187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负债合计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tcPr>
          <w:p>
            <w:pPr>
              <w:jc w:val="right"/>
            </w:pPr>
            <w:r>
              <w:t>149,881,959</w:t>
            </w:r>
          </w:p>
        </w:tc>
        <w:tc>
          <w:tcPr>
            <w:tcW w:w="1333" w:type="pct"/>
            <w:tcBorders>
              <w:top w:val="outset" w:sz="6" w:space="0" w:color="auto"/>
              <w:left w:val="outset" w:sz="6" w:space="0" w:color="auto"/>
              <w:bottom w:val="outset" w:sz="6" w:space="0" w:color="auto"/>
              <w:right w:val="outset" w:sz="6" w:space="0" w:color="auto"/>
            </w:tcBorders>
          </w:tcPr>
          <w:p>
            <w:pPr>
              <w:jc w:val="right"/>
            </w:pPr>
            <w:r>
              <w:t>138,817,307</w:t>
            </w:r>
          </w:p>
        </w:tc>
      </w:tr>
      <w:tr>
        <w:sdt>
          <w:sdtPr>
            <w:tag w:val="_PLD_2b8d2554b6394d8daf706f571f2c850a"/>
            <w:id w:val="-984549798"/>
          </w:sdtPr>
          <w:sdtContent>
            <w:tc>
              <w:tcPr>
                <w:tcW w:w="5000" w:type="pct"/>
                <w:gridSpan w:val="4"/>
                <w:tcBorders>
                  <w:top w:val="outset" w:sz="6" w:space="0" w:color="auto"/>
                  <w:left w:val="outset" w:sz="6" w:space="0" w:color="auto"/>
                  <w:bottom w:val="outset" w:sz="6" w:space="0" w:color="auto"/>
                  <w:right w:val="outset" w:sz="6" w:space="0" w:color="auto"/>
                </w:tcBorders>
                <w:vAlign w:val="center"/>
              </w:tcPr>
              <w:p>
                <w:pPr>
                  <w:rPr>
                    <w:color w:val="000000" w:themeColor="text1"/>
                  </w:rPr>
                </w:pPr>
                <w:r>
                  <w:rPr>
                    <w:rFonts w:hint="eastAsia"/>
                    <w:b/>
                    <w:color w:val="000000" w:themeColor="text1"/>
                  </w:rPr>
                  <w:t>所有者权益（或股东权益）：</w:t>
                </w:r>
              </w:p>
            </w:tc>
          </w:sdtContent>
        </w:sdt>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实收资本（或股本）</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10,039,860</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7,439,371</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其他权益工具</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23,267,221</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16,541,777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其中：优先股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p>
        </w:tc>
      </w:tr>
      <w:tr>
        <w:tc>
          <w:tcPr>
            <w:tcW w:w="1628" w:type="pct"/>
            <w:tcBorders>
              <w:top w:val="outset" w:sz="6" w:space="0" w:color="auto"/>
              <w:left w:val="outset" w:sz="6" w:space="0" w:color="auto"/>
              <w:bottom w:val="outset" w:sz="6" w:space="0" w:color="auto"/>
              <w:right w:val="outset" w:sz="6" w:space="0" w:color="auto"/>
            </w:tcBorders>
            <w:vAlign w:val="center"/>
          </w:tcPr>
          <w:p>
            <w:pPr>
              <w:ind w:leftChars="300" w:left="630" w:firstLineChars="100" w:firstLine="210"/>
              <w:rPr>
                <w:color w:val="000000" w:themeColor="text1"/>
              </w:rPr>
            </w:pPr>
            <w:r>
              <w:rPr>
                <w:rFonts w:hint="eastAsia"/>
                <w:color w:val="000000" w:themeColor="text1"/>
              </w:rPr>
              <w:t>永续债</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23,267,221</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16,541,777</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资本公积</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4,628,743</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282,863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减：库存股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112,417</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324,980</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其他综合收益</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439,219</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215,583</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专项储备</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1,140,167</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1,431,178</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盈余公积</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2,841,392</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1,663,815</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100" w:firstLine="210"/>
              <w:rPr>
                <w:color w:val="000000" w:themeColor="text1"/>
              </w:rPr>
            </w:pPr>
            <w:r>
              <w:rPr>
                <w:rFonts w:hint="eastAsia"/>
                <w:color w:val="000000" w:themeColor="text1"/>
              </w:rPr>
              <w:t>未分配利润</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9,174,557</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14,709,639</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200" w:firstLine="420"/>
              <w:rPr>
                <w:color w:val="000000" w:themeColor="text1"/>
              </w:rPr>
            </w:pPr>
            <w:r>
              <w:rPr>
                <w:rFonts w:hint="eastAsia"/>
                <w:color w:val="000000" w:themeColor="text1"/>
              </w:rPr>
              <w:t>所有者权益（或股东权益）合计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51,418,742</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41,959,246</w:t>
            </w:r>
          </w:p>
        </w:tc>
      </w:tr>
      <w:tr>
        <w:tc>
          <w:tcPr>
            <w:tcW w:w="1628" w:type="pct"/>
            <w:tcBorders>
              <w:top w:val="outset" w:sz="6" w:space="0" w:color="auto"/>
              <w:left w:val="outset" w:sz="6" w:space="0" w:color="auto"/>
              <w:bottom w:val="outset" w:sz="6" w:space="0" w:color="auto"/>
              <w:right w:val="outset" w:sz="6" w:space="0" w:color="auto"/>
            </w:tcBorders>
            <w:vAlign w:val="center"/>
          </w:tcPr>
          <w:p>
            <w:pPr>
              <w:ind w:firstLineChars="300" w:firstLine="630"/>
              <w:rPr>
                <w:color w:val="000000" w:themeColor="text1"/>
              </w:rPr>
            </w:pPr>
            <w:r>
              <w:rPr>
                <w:rFonts w:hint="eastAsia"/>
                <w:color w:val="000000" w:themeColor="text1"/>
              </w:rPr>
              <w:t>负债和所有者权益（或股东权益）总计</w:t>
            </w:r>
          </w:p>
        </w:tc>
        <w:tc>
          <w:tcPr>
            <w:tcW w:w="863" w:type="pct"/>
            <w:tcBorders>
              <w:top w:val="outset" w:sz="6" w:space="0" w:color="auto"/>
              <w:left w:val="outset" w:sz="6" w:space="0" w:color="auto"/>
              <w:bottom w:val="outset" w:sz="6" w:space="0" w:color="auto"/>
              <w:right w:val="outset" w:sz="6" w:space="0" w:color="auto"/>
            </w:tcBorders>
          </w:tcPr>
          <w:p>
            <w:pPr>
              <w:pStyle w:val="affffffffffffffffffffffffffffffffe"/>
            </w:pPr>
          </w:p>
        </w:tc>
        <w:tc>
          <w:tcPr>
            <w:tcW w:w="1176" w:type="pct"/>
            <w:tcBorders>
              <w:top w:val="outset" w:sz="6" w:space="0" w:color="auto"/>
              <w:left w:val="outset" w:sz="6" w:space="0" w:color="auto"/>
              <w:bottom w:val="outset" w:sz="6" w:space="0" w:color="auto"/>
              <w:right w:val="outset" w:sz="6" w:space="0" w:color="auto"/>
            </w:tcBorders>
            <w:vAlign w:val="center"/>
          </w:tcPr>
          <w:p>
            <w:pPr>
              <w:jc w:val="right"/>
            </w:pPr>
            <w:r>
              <w:t>201,300,701</w:t>
            </w:r>
          </w:p>
        </w:tc>
        <w:tc>
          <w:tcPr>
            <w:tcW w:w="1333" w:type="pct"/>
            <w:tcBorders>
              <w:top w:val="outset" w:sz="6" w:space="0" w:color="auto"/>
              <w:left w:val="outset" w:sz="6" w:space="0" w:color="auto"/>
              <w:bottom w:val="outset" w:sz="6" w:space="0" w:color="auto"/>
              <w:right w:val="outset" w:sz="6" w:space="0" w:color="auto"/>
            </w:tcBorders>
            <w:vAlign w:val="center"/>
          </w:tcPr>
          <w:p>
            <w:pPr>
              <w:jc w:val="right"/>
            </w:pPr>
            <w:r>
              <w:t>180,776,553</w:t>
            </w:r>
          </w:p>
        </w:tc>
      </w:tr>
    </w:tbl>
    <w:bookmarkEnd w:id="312"/>
    <w:p>
      <w:pPr>
        <w:ind w:rightChars="-73" w:right="-15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126826852"/>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12b89d18f9094da18899493b997b98a8"/>
          <w:id w:val="1429314131"/>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80397291c44b4713afb5a711c98f3ea6"/>
          <w:id w:val="-742952325"/>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pStyle w:val="affffffffffffffffffffffffffffffffe"/>
      </w:pPr>
    </w:p>
    <w:p>
      <w:pPr>
        <w:rPr>
          <w:color w:val="FF0000"/>
          <w:szCs w:val="21"/>
        </w:rPr>
      </w:pPr>
      <w:bookmarkStart w:id="313" w:name="_Hlk24033458"/>
      <w:bookmarkEnd w:id="309"/>
      <w:bookmarkEnd w:id="311"/>
      <w:bookmarkEnd w:id="313"/>
      <w:r>
        <w:rPr>
          <w:color w:val="FF0000"/>
          <w:szCs w:val="21"/>
        </w:rPr>
        <w:br w:type="page"/>
      </w:r>
    </w:p>
    <w:p>
      <w:pPr>
        <w:pStyle w:val="afffffffffffffffffffffffffffffffff0"/>
        <w:jc w:val="center"/>
      </w:pPr>
      <w:bookmarkStart w:id="314" w:name="_Hlk24038378"/>
      <w:r>
        <w:rPr>
          <w:rFonts w:hint="eastAsia"/>
        </w:rPr>
        <w:lastRenderedPageBreak/>
        <w:t>合并</w:t>
      </w:r>
      <w:r>
        <w:t>利润表</w:t>
      </w:r>
    </w:p>
    <w:p>
      <w:pPr>
        <w:jc w:val="center"/>
        <w:rPr>
          <w:b/>
          <w:bCs/>
          <w:szCs w:val="21"/>
        </w:rPr>
      </w:pPr>
      <w:r>
        <w:rPr>
          <w:szCs w:val="21"/>
        </w:rPr>
        <w:t>2024年</w:t>
      </w:r>
      <w:r>
        <w:rPr>
          <w:rFonts w:hint="eastAsia"/>
          <w:szCs w:val="21"/>
        </w:rPr>
        <w:t>1—</w:t>
      </w:r>
      <w:r>
        <w:rPr>
          <w:szCs w:val="21"/>
        </w:rPr>
        <w:t>12月</w:t>
      </w:r>
    </w:p>
    <w:p>
      <w:pPr>
        <w:jc w:val="right"/>
        <w:rPr>
          <w:szCs w:val="21"/>
        </w:rPr>
      </w:pPr>
      <w:r>
        <w:rPr>
          <w:szCs w:val="21"/>
        </w:rPr>
        <w:t>单位：</w:t>
      </w:r>
      <w:sdt>
        <w:sdtPr>
          <w:rPr>
            <w:szCs w:val="21"/>
          </w:rPr>
          <w:alias w:val="单位：合并利润表"/>
          <w:tag w:val="_GBC_95830fead96c480388a2e386c3331383"/>
          <w:id w:val="10749425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合并利润表"/>
          <w:tag w:val="_GBC_4902a1798447427ba99922213b04b39b"/>
          <w:id w:val="2071999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164" w:type="pct"/>
        <w:tblInd w:w="-289"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0"/>
        <w:gridCol w:w="1733"/>
        <w:gridCol w:w="1420"/>
        <w:gridCol w:w="1739"/>
      </w:tblGrid>
      <w:tr>
        <w:trPr>
          <w:cantSplit/>
        </w:trPr>
        <w:sdt>
          <w:sdtPr>
            <w:tag w:val="_PLD_2e3f33fcce354b339a86add10899a6c5"/>
            <w:id w:val="11190214"/>
          </w:sdtPr>
          <w:sdtContent>
            <w:tc>
              <w:tcPr>
                <w:tcW w:w="2316" w:type="pct"/>
                <w:tcBorders>
                  <w:top w:val="outset" w:sz="4" w:space="0" w:color="auto"/>
                  <w:left w:val="outset" w:sz="4" w:space="0" w:color="auto"/>
                  <w:bottom w:val="outset" w:sz="4" w:space="0" w:color="auto"/>
                  <w:right w:val="outset" w:sz="4" w:space="0" w:color="auto"/>
                </w:tcBorders>
                <w:vAlign w:val="center"/>
              </w:tcPr>
              <w:p>
                <w:pPr>
                  <w:ind w:leftChars="-19" w:hangingChars="19" w:hanging="40"/>
                  <w:jc w:val="center"/>
                  <w:rPr>
                    <w:b/>
                    <w:szCs w:val="21"/>
                  </w:rPr>
                </w:pPr>
                <w:r>
                  <w:rPr>
                    <w:b/>
                    <w:szCs w:val="21"/>
                  </w:rPr>
                  <w:t>项目</w:t>
                </w:r>
              </w:p>
            </w:tc>
          </w:sdtContent>
        </w:sdt>
        <w:sdt>
          <w:sdtPr>
            <w:tag w:val="_PLD_93edd7a3846d4cd58b14d043e9b33f2c"/>
            <w:id w:val="-2108728701"/>
          </w:sdtPr>
          <w:sdtContent>
            <w:tc>
              <w:tcPr>
                <w:tcW w:w="951" w:type="pct"/>
                <w:tcBorders>
                  <w:top w:val="outset" w:sz="4" w:space="0" w:color="auto"/>
                  <w:left w:val="outset" w:sz="4" w:space="0" w:color="auto"/>
                  <w:bottom w:val="outset" w:sz="4" w:space="0" w:color="auto"/>
                  <w:right w:val="outset" w:sz="4" w:space="0" w:color="auto"/>
                </w:tcBorders>
                <w:vAlign w:val="center"/>
              </w:tcPr>
              <w:p>
                <w:pPr>
                  <w:jc w:val="center"/>
                  <w:rPr>
                    <w:b/>
                    <w:szCs w:val="21"/>
                  </w:rPr>
                </w:pPr>
                <w:r>
                  <w:rPr>
                    <w:rFonts w:hint="eastAsia"/>
                    <w:b/>
                    <w:szCs w:val="21"/>
                  </w:rPr>
                  <w:t>附注</w:t>
                </w:r>
              </w:p>
            </w:tc>
          </w:sdtContent>
        </w:sdt>
        <w:sdt>
          <w:sdtPr>
            <w:tag w:val="_PLD_49f84cca199c45e7bc0f9fea5b73078c"/>
            <w:id w:val="-1494020975"/>
          </w:sdtPr>
          <w:sdtContent>
            <w:tc>
              <w:tcPr>
                <w:tcW w:w="779" w:type="pct"/>
                <w:tcBorders>
                  <w:top w:val="outset" w:sz="4" w:space="0" w:color="auto"/>
                  <w:left w:val="outset" w:sz="4" w:space="0" w:color="auto"/>
                  <w:bottom w:val="outset" w:sz="4" w:space="0" w:color="auto"/>
                  <w:right w:val="outset" w:sz="4" w:space="0" w:color="auto"/>
                </w:tcBorders>
                <w:vAlign w:val="center"/>
              </w:tcPr>
              <w:p>
                <w:pPr>
                  <w:jc w:val="center"/>
                  <w:rPr>
                    <w:b/>
                    <w:szCs w:val="21"/>
                  </w:rPr>
                </w:pPr>
                <w:r>
                  <w:rPr>
                    <w:rFonts w:hint="eastAsia"/>
                    <w:b/>
                    <w:szCs w:val="21"/>
                  </w:rPr>
                  <w:t>2024年度</w:t>
                </w:r>
              </w:p>
            </w:tc>
          </w:sdtContent>
        </w:sdt>
        <w:sdt>
          <w:sdtPr>
            <w:tag w:val="_PLD_8b5fde21bc974404b892a88906dec352"/>
            <w:id w:val="1714540369"/>
          </w:sdtPr>
          <w:sdtContent>
            <w:tc>
              <w:tcPr>
                <w:tcW w:w="955" w:type="pct"/>
                <w:tcBorders>
                  <w:top w:val="outset" w:sz="4" w:space="0" w:color="auto"/>
                  <w:left w:val="outset" w:sz="4" w:space="0" w:color="auto"/>
                  <w:bottom w:val="outset" w:sz="4" w:space="0" w:color="auto"/>
                  <w:right w:val="outset" w:sz="4" w:space="0" w:color="auto"/>
                </w:tcBorders>
                <w:vAlign w:val="center"/>
              </w:tcPr>
              <w:p>
                <w:pPr>
                  <w:jc w:val="center"/>
                  <w:rPr>
                    <w:b/>
                    <w:szCs w:val="21"/>
                  </w:rPr>
                </w:pPr>
                <w:r>
                  <w:rPr>
                    <w:rFonts w:hint="eastAsia"/>
                    <w:b/>
                    <w:szCs w:val="21"/>
                  </w:rPr>
                  <w:t>2023年度</w:t>
                </w:r>
              </w:p>
            </w:tc>
          </w:sdtContent>
        </w:sdt>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一、营业总收入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139,124,434</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150,067,937</w:t>
            </w: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其中：营业收入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七、（六十一）</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139,124,434</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150,067,937</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color w:val="000000"/>
                <w:szCs w:val="21"/>
              </w:rPr>
            </w:pPr>
            <w:r>
              <w:rPr>
                <w:rFonts w:hint="eastAsia"/>
                <w:szCs w:val="21"/>
              </w:rPr>
              <w:t>利息收入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已赚保费</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手续费及佣金收入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二、营业总成本</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114,069,839</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115,820,715</w:t>
            </w: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其中：营业成本</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七、（六十一）</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89,311,820</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89,078,619</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利息支出</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手续费及佣金支出</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退保金</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赔付支出净额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提取保险责任准备金净额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保单红利支出</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分保费用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税金及附加</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七、（六十二）</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5,944,125</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6,431,991</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销售费用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七、（六十三）</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4,712,641</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5,001,995</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管理费用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七、（六十四）</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8,574,548</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8,492,697</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研发费用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七、（六十五）</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2,734,537</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2,912,240</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财务费用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七、（六十六）</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2,792,168</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3,903,173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其中：利息费用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七、（六十六）</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4,137,324</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4,502,850</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600" w:firstLine="1260"/>
            </w:pPr>
            <w:r>
              <w:rPr>
                <w:rFonts w:hint="eastAsia"/>
              </w:rPr>
              <w:t>利息收入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七、（六十六）</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943,811</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838,914</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rPr>
              <w:t>加：</w:t>
            </w:r>
            <w:r>
              <w:rPr>
                <w:rFonts w:hint="eastAsia"/>
                <w:szCs w:val="21"/>
              </w:rPr>
              <w:t>其他收益</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七、（六十七）</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315,026</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260,875</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投资收益（损失以“－”号填列）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七、（六十八）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2,625,582</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2,258,873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其中：对联营企业和合营企业的投资收益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七、（六十八）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2,289,670</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2,261,043</w:t>
            </w:r>
          </w:p>
        </w:tc>
      </w:tr>
      <w:tr>
        <w:tc>
          <w:tcPr>
            <w:tcW w:w="2316" w:type="pct"/>
            <w:tcBorders>
              <w:top w:val="outset" w:sz="4" w:space="0" w:color="auto"/>
              <w:left w:val="outset" w:sz="4" w:space="0" w:color="auto"/>
              <w:bottom w:val="outset" w:sz="4" w:space="0" w:color="auto"/>
              <w:right w:val="outset" w:sz="4" w:space="0" w:color="auto"/>
            </w:tcBorders>
          </w:tcPr>
          <w:p>
            <w:pPr>
              <w:ind w:firstLineChars="550" w:firstLine="1155"/>
            </w:pPr>
            <w:r>
              <w:rPr>
                <w:rFonts w:hint="eastAsia"/>
              </w:rPr>
              <w:t>以摊余成本计量的金融资产终止确认收益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汇兑收益（损失以“－”号填列）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净敞口套期收益（损失以“</w:t>
            </w:r>
            <w: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七、（六十九）</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 w:val="22"/>
              </w:rPr>
            </w:pPr>
            <w:r>
              <w:rPr>
                <w:sz w:val="22"/>
              </w:rPr>
              <w:t>-</w:t>
            </w:r>
            <w:r>
              <w:rPr>
                <w:rFonts w:hint="eastAsia"/>
                <w:sz w:val="22"/>
              </w:rPr>
              <w:t xml:space="preserve">586,825 </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28,412</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color w:val="000000"/>
                <w:szCs w:val="21"/>
              </w:rPr>
            </w:pPr>
            <w:r>
              <w:rPr>
                <w:rFonts w:hint="eastAsia"/>
                <w:szCs w:val="21"/>
              </w:rPr>
              <w:t>公允价值变动收益（损失以“－”号填列）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 w:val="22"/>
              </w:rPr>
            </w:pPr>
            <w:r>
              <w:rPr>
                <w:rFonts w:hint="eastAsia"/>
                <w:sz w:val="22"/>
              </w:rPr>
              <w:t xml:space="preserve">-57,092 </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89,903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信用减值损失（损失以“</w:t>
            </w:r>
            <w: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七、（七十一）</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 w:val="22"/>
              </w:rPr>
            </w:pPr>
            <w:r>
              <w:rPr>
                <w:rFonts w:hint="eastAsia"/>
                <w:sz w:val="22"/>
              </w:rPr>
              <w:t>-589,849</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121,163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资产减值损失</w:t>
            </w:r>
            <w:r>
              <w:rPr>
                <w:rFonts w:hint="eastAsia"/>
              </w:rPr>
              <w:t>（损失以“</w:t>
            </w:r>
            <w: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七、（七十二）</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 w:val="22"/>
              </w:rPr>
            </w:pPr>
            <w:r>
              <w:rPr>
                <w:rFonts w:hint="eastAsia"/>
                <w:sz w:val="22"/>
              </w:rPr>
              <w:t xml:space="preserve">-10,708 </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 w:val="22"/>
              </w:rPr>
            </w:pPr>
            <w:r>
              <w:rPr>
                <w:rFonts w:hint="eastAsia"/>
                <w:sz w:val="22"/>
              </w:rPr>
              <w:t xml:space="preserve">-39,981 </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资产处置收益（损失以“－”号填列）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七、（七十三）</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106,409</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1,154</w:t>
            </w: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三、营业利润（亏损以“－”号填列）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26,857,138</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36,967,621</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szCs w:val="21"/>
              </w:rPr>
              <w:t>加：营业外收入</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七、（七十四）</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953,086</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368,460</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szCs w:val="21"/>
              </w:rPr>
              <w:t>减：营业外支出</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七、（七十五）</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518,446</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322,996</w:t>
            </w: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27,291,778</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37,013,085</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color w:val="000000"/>
                <w:szCs w:val="21"/>
              </w:rPr>
            </w:pPr>
            <w:r>
              <w:rPr>
                <w:rFonts w:hint="eastAsia"/>
                <w:szCs w:val="21"/>
              </w:rPr>
              <w:t>减：所得税费用</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七、（七十六）</w:t>
            </w: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6,359,486</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9,856,750</w:t>
            </w:r>
          </w:p>
        </w:tc>
      </w:tr>
      <w:tr>
        <w:tc>
          <w:tcPr>
            <w:tcW w:w="2316" w:type="pct"/>
            <w:tcBorders>
              <w:top w:val="outset" w:sz="4" w:space="0" w:color="auto"/>
              <w:left w:val="outset" w:sz="4" w:space="0" w:color="auto"/>
              <w:bottom w:val="outset" w:sz="4" w:space="0" w:color="auto"/>
              <w:right w:val="outset" w:sz="4" w:space="0" w:color="auto"/>
            </w:tcBorders>
            <w:vAlign w:val="center"/>
          </w:tcPr>
          <w:p>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20,932,292</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27,156,335</w:t>
            </w:r>
          </w:p>
        </w:tc>
      </w:tr>
      <w:tr>
        <w:sdt>
          <w:sdtPr>
            <w:tag w:val="_PLD_9445f61075384ccaafee7a9aff738d9c"/>
            <w:id w:val="-916016724"/>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（一）</w:t>
                </w:r>
                <w:r>
                  <w:t>按经营持续性分类</w:t>
                </w:r>
              </w:p>
            </w:tc>
          </w:sdtContent>
        </w:sdt>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pPr>
            <w:r>
              <w:t>1.持续经营净利润（净亏损以“－”号填列）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20,932,292</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27,156,335</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pPr>
            <w:r>
              <w:t>2.终止经营净利润（净亏损以“－”号填列）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sdt>
          <w:sdtPr>
            <w:tag w:val="_PLD_5703d86636cb476dab82350c9f6475fc"/>
            <w:id w:val="-2099699916"/>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（二）</w:t>
                </w:r>
                <w:r>
                  <w:t>按所有权归属分类</w:t>
                </w:r>
              </w:p>
            </w:tc>
          </w:sdtContent>
        </w:sdt>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14,425,051</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20,143,947</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t>2.归属于母公司其他权益工具持有者的净利润</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631,865</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444,743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t>3.</w:t>
            </w:r>
            <w:r>
              <w:rPr>
                <w:rFonts w:hint="eastAsia"/>
                <w:szCs w:val="21"/>
              </w:rPr>
              <w:t>少数股东损益（净亏损以“</w:t>
            </w:r>
            <w:r>
              <w:rPr>
                <w:szCs w:val="21"/>
              </w:rPr>
              <w:t>-”号填列）</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5,875,376</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6,567,645</w:t>
            </w:r>
          </w:p>
        </w:tc>
      </w:tr>
      <w:tr>
        <w:tc>
          <w:tcPr>
            <w:tcW w:w="2316"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六、其他综合收益的税后净额</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-2,603,426</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1,142,606</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szCs w:val="21"/>
              </w:rPr>
              <w:t>（一）归属母公司所有者的其他综合收益的税后净额</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-1,599,835</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820,879</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szCs w:val="21"/>
              </w:rPr>
              <w:t>1</w:t>
            </w:r>
            <w:r>
              <w:rPr>
                <w:rFonts w:hint="eastAsia"/>
                <w:szCs w:val="21"/>
              </w:rPr>
              <w:t>．不能重分类进损益的其他综合收益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9,673</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487</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rPr>
              <w:t>（1）</w:t>
            </w:r>
            <w:r>
              <w:rPr>
                <w:szCs w:val="21"/>
              </w:rPr>
              <w:t>重新计量设定受益计划变动额</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9,688</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-5,208</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rPr>
              <w:t>（2）</w:t>
            </w:r>
            <w:r>
              <w:t>权益法下不能转损益的其他综合收益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5,884</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（3）</w:t>
            </w:r>
            <w:r>
              <w:t>其他权益工具投资公允价值变动</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-15</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-189</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（4）</w:t>
            </w:r>
            <w:r>
              <w:t>企业自身信用风险公允价值变动</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rFonts w:hint="eastAsia"/>
              </w:rPr>
              <w:t>（5）其他</w:t>
            </w:r>
          </w:p>
        </w:tc>
        <w:sdt>
          <w:sdtPr>
            <w:alias w:val="附注_5.其他"/>
            <w:tag w:val="_GBC_bb5ba8dc322f4cff8e5114ccf573ffcf"/>
            <w:id w:val="1757632161"/>
          </w:sdtPr>
          <w:sdtContent>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sdtContent>
        </w:sdt>
        <w:sdt>
          <w:sdtPr>
            <w:alias w:val="5.其他"/>
            <w:tag w:val="_GBC_0f21f3f5fa6e45d3af870845ceff68ac"/>
            <w:id w:val="-1476295620"/>
          </w:sdtPr>
          <w:sdtContent>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sdtContent>
        </w:sdt>
        <w:sdt>
          <w:sdtPr>
            <w:alias w:val="5.其他"/>
            <w:tag w:val="_GBC_684caa9d1a7c4b728e305148e878a1fd"/>
            <w:id w:val="1055282940"/>
          </w:sdtPr>
          <w:sdtContent>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sdtContent>
        </w:sdt>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szCs w:val="21"/>
              </w:rPr>
              <w:t>2</w:t>
            </w:r>
            <w:r>
              <w:rPr>
                <w:rFonts w:hint="eastAsia"/>
                <w:szCs w:val="21"/>
              </w:rPr>
              <w:t>．将重分类进损益的其他综合收益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-1,609,508</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820,392</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rPr>
              <w:t>（1）</w:t>
            </w:r>
            <w:r>
              <w:t>权益法下可转损益的其他综合收益</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248,811</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49,734</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（2）</w:t>
            </w:r>
            <w:r>
              <w:t>其他债权投资公允价值变动</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（3）</w:t>
            </w:r>
            <w:r>
              <w:t>金融资产重分类计入其他综合收益的金额</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1,032.00</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（4）</w:t>
            </w:r>
            <w:r>
              <w:t>其他债权投资信用减值准备</w:t>
            </w:r>
          </w:p>
        </w:tc>
        <w:tc>
          <w:tcPr>
            <w:tcW w:w="951"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（5）</w:t>
            </w:r>
            <w:r>
              <w:t>现金流量套期储备</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255,750</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-30,588</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（6）</w:t>
            </w:r>
            <w:r>
              <w:t>外币财务报表折算差额</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-2,114,069</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800,214</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pPr>
            <w:r>
              <w:rPr>
                <w:rFonts w:hint="eastAsia"/>
              </w:rPr>
              <w:t>（7）</w:t>
            </w:r>
            <w:r>
              <w:t>其他</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szCs w:val="21"/>
              </w:rPr>
              <w:t>（二）</w:t>
            </w:r>
            <w:r>
              <w:rPr>
                <w:rFonts w:hint="eastAsia"/>
                <w:szCs w:val="21"/>
              </w:rPr>
              <w:t>归属于少数股东的其他综合收益的税后净额</w:t>
            </w:r>
          </w:p>
        </w:tc>
        <w:tc>
          <w:tcPr>
            <w:tcW w:w="951"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七、（七十七）</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-1,003,591</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321,727</w:t>
            </w:r>
          </w:p>
        </w:tc>
      </w:tr>
      <w:tr>
        <w:tc>
          <w:tcPr>
            <w:tcW w:w="2316"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七、综合收益总额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18,328,866</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28,298,941</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szCs w:val="21"/>
              </w:rPr>
              <w:t>（一）</w:t>
            </w:r>
            <w:r>
              <w:rPr>
                <w:rFonts w:hint="eastAsia"/>
                <w:szCs w:val="21"/>
              </w:rPr>
              <w:t>归属于母公司所有者的综合收益总额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12,825,216</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20,964,826</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t>(</w:t>
            </w:r>
            <w:r>
              <w:rPr>
                <w:rFonts w:hint="eastAsia"/>
              </w:rPr>
              <w:t>二</w:t>
            </w:r>
            <w:r>
              <w:t>)归属于母公司其他权益工具持有者的综合收益总额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631,865</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444,743</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szCs w:val="21"/>
              </w:rPr>
              <w:t>（</w:t>
            </w:r>
            <w:r>
              <w:rPr>
                <w:rFonts w:hint="eastAsia"/>
                <w:szCs w:val="21"/>
              </w:rPr>
              <w:t>三</w:t>
            </w:r>
            <w:r>
              <w:rPr>
                <w:szCs w:val="21"/>
              </w:rPr>
              <w:t>）</w:t>
            </w:r>
            <w:r>
              <w:rPr>
                <w:rFonts w:hint="eastAsia"/>
                <w:szCs w:val="21"/>
              </w:rPr>
              <w:t>归属于少数股东的综合收益总额</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4,871,785</w:t>
            </w:r>
          </w:p>
        </w:tc>
        <w:tc>
          <w:tcPr>
            <w:tcW w:w="955"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6,889,372</w:t>
            </w:r>
          </w:p>
        </w:tc>
      </w:tr>
      <w:tr>
        <w:sdt>
          <w:sdtPr>
            <w:tag w:val="_PLD_6e9655fe2b7c48e3964f7a74f9c6deea"/>
            <w:id w:val="1239835319"/>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color w:val="008000"/>
                    <w:szCs w:val="21"/>
                  </w:rPr>
                </w:pPr>
                <w:r>
                  <w:rPr>
                    <w:rFonts w:hint="eastAsia"/>
                    <w:szCs w:val="21"/>
                  </w:rPr>
                  <w:t>八、每股收益：</w:t>
                </w:r>
              </w:p>
            </w:tc>
          </w:sdtContent>
        </w:sdt>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szCs w:val="21"/>
              </w:rPr>
              <w:t>（一）基本每股收益</w:t>
            </w:r>
            <w:r>
              <w:rPr>
                <w:rFonts w:hint="eastAsia"/>
                <w:szCs w:val="21"/>
              </w:rPr>
              <w:t>(元/股)</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1.4574</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2.1098</w:t>
            </w:r>
          </w:p>
        </w:tc>
      </w:tr>
      <w:tr>
        <w:tc>
          <w:tcPr>
            <w:tcW w:w="2316"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szCs w:val="21"/>
              </w:rPr>
              <w:t>（二）稀释每股收益</w:t>
            </w:r>
            <w:r>
              <w:rPr>
                <w:rFonts w:hint="eastAsia"/>
                <w:szCs w:val="21"/>
              </w:rPr>
              <w:t>(元/股)</w:t>
            </w:r>
          </w:p>
        </w:tc>
        <w:tc>
          <w:tcPr>
            <w:tcW w:w="951" w:type="pct"/>
            <w:tcBorders>
              <w:top w:val="outset" w:sz="4" w:space="0" w:color="auto"/>
              <w:left w:val="outset" w:sz="4" w:space="0" w:color="auto"/>
              <w:bottom w:val="outset" w:sz="4" w:space="0" w:color="auto"/>
              <w:right w:val="outset" w:sz="4" w:space="0" w:color="auto"/>
            </w:tcBorders>
          </w:tcPr>
          <w:p>
            <w:pPr>
              <w:rPr>
                <w:szCs w:val="21"/>
              </w:rPr>
            </w:pPr>
          </w:p>
        </w:tc>
        <w:tc>
          <w:tcPr>
            <w:tcW w:w="779"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1.4472</w:t>
            </w:r>
          </w:p>
        </w:tc>
        <w:tc>
          <w:tcPr>
            <w:tcW w:w="955"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2.0983</w:t>
            </w:r>
          </w:p>
        </w:tc>
      </w:tr>
    </w:tbl>
    <w:p>
      <w:pPr>
        <w:pStyle w:val="affffffffffffffffff3"/>
      </w:pPr>
    </w:p>
    <w:p>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1797321323"/>
          <w:placeholder>
            <w:docPart w:val="GBC22222222222222222222222222222"/>
          </w:placeholder>
        </w:sdtPr>
        <w:sdtContent>
          <w:r>
            <w:rPr>
              <w:szCs w:val="21"/>
            </w:rPr>
            <w:t>-8,675</w:t>
          </w:r>
        </w:sdtContent>
      </w:sdt>
      <w:r>
        <w:rPr>
          <w:rFonts w:hint="eastAsia"/>
          <w:szCs w:val="21"/>
        </w:rPr>
        <w:t xml:space="preserve"> 千元, 上期被合并方实现的净利润为： </w:t>
      </w:r>
      <w:sdt>
        <w:sdtPr>
          <w:rPr>
            <w:rFonts w:hint="eastAsia"/>
            <w:szCs w:val="21"/>
          </w:rPr>
          <w:alias w:val="同一控制下的企业合并中被合并方在合并前实现的净利润"/>
          <w:tag w:val="_GBC_12f9ba898e4e450d82ca7ea5336921ae"/>
          <w:id w:val="1778527190"/>
          <w:placeholder>
            <w:docPart w:val="GBC22222222222222222222222222222"/>
          </w:placeholder>
        </w:sdtPr>
        <w:sdtEndPr>
          <w:rPr>
            <w:rFonts w:hint="default"/>
          </w:rPr>
        </w:sdtEndPr>
        <w:sdtContent>
          <w:r>
            <w:rPr>
              <w:szCs w:val="21"/>
            </w:rPr>
            <w:t>4,946</w:t>
          </w:r>
        </w:sdtContent>
      </w:sdt>
      <w:r>
        <w:rPr>
          <w:rFonts w:hint="eastAsia"/>
          <w:szCs w:val="21"/>
        </w:rPr>
        <w:t xml:space="preserve"> 千元。</w:t>
      </w:r>
    </w:p>
    <w:p>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180586107"/>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d5d5ec398a544491b9394eef54a56ec6"/>
          <w:id w:val="955218852"/>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b776bf38628747739bf5cfe3f08d63a8"/>
          <w:id w:val="-1560089878"/>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bookmarkEnd w:id="314"/>
    <w:p>
      <w:pPr>
        <w:rPr>
          <w:color w:val="FF0000"/>
          <w:szCs w:val="21"/>
        </w:rPr>
      </w:pPr>
      <w:r>
        <w:rPr>
          <w:color w:val="FF0000"/>
          <w:szCs w:val="21"/>
        </w:rPr>
        <w:br w:type="page"/>
      </w:r>
    </w:p>
    <w:p>
      <w:pPr>
        <w:pStyle w:val="afffffffffffffffffffffffffffffffff0"/>
        <w:jc w:val="center"/>
      </w:pPr>
      <w:bookmarkStart w:id="315" w:name="_Hlk24038476"/>
      <w:r>
        <w:rPr>
          <w:rFonts w:hint="eastAsia"/>
        </w:rPr>
        <w:lastRenderedPageBreak/>
        <w:t>母公司</w:t>
      </w:r>
      <w:r>
        <w:t>利润表</w:t>
      </w:r>
    </w:p>
    <w:p>
      <w:pPr>
        <w:jc w:val="center"/>
        <w:rPr>
          <w:b/>
          <w:bCs/>
          <w:szCs w:val="21"/>
        </w:rPr>
      </w:pPr>
      <w:r>
        <w:rPr>
          <w:szCs w:val="21"/>
        </w:rPr>
        <w:t>2024年</w:t>
      </w:r>
      <w:r>
        <w:rPr>
          <w:rFonts w:hint="eastAsia"/>
          <w:szCs w:val="21"/>
        </w:rPr>
        <w:t>1—</w:t>
      </w:r>
      <w:r>
        <w:rPr>
          <w:szCs w:val="21"/>
        </w:rPr>
        <w:t>12月</w:t>
      </w:r>
    </w:p>
    <w:p>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19551244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母公司利润表"/>
          <w:tag w:val="_GBC_514289adafbe4fe995f8f3791e23e392"/>
          <w:id w:val="10815624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485" w:type="pct"/>
        <w:tblInd w:w="-85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219"/>
        <w:gridCol w:w="1508"/>
        <w:gridCol w:w="1976"/>
        <w:gridCol w:w="1976"/>
      </w:tblGrid>
      <w:tr>
        <w:trPr>
          <w:cantSplit/>
        </w:trPr>
        <w:tc>
          <w:tcPr>
            <w:tcW w:w="2179" w:type="pct"/>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1673635304"/>
            </w:sdtPr>
            <w:sdtContent>
              <w:p>
                <w:pPr>
                  <w:ind w:leftChars="-19" w:hangingChars="19" w:hanging="40"/>
                  <w:jc w:val="center"/>
                  <w:rPr>
                    <w:b/>
                  </w:rPr>
                </w:pPr>
                <w:r>
                  <w:rPr>
                    <w:rFonts w:hint="eastAsia"/>
                    <w:b/>
                  </w:rPr>
                  <w:t>项目</w:t>
                </w:r>
              </w:p>
            </w:sdtContent>
          </w:sdt>
        </w:tc>
        <w:tc>
          <w:tcPr>
            <w:tcW w:w="779" w:type="pct"/>
            <w:tcBorders>
              <w:top w:val="outset" w:sz="4" w:space="0" w:color="auto"/>
              <w:left w:val="outset" w:sz="4" w:space="0" w:color="auto"/>
              <w:bottom w:val="outset" w:sz="4" w:space="0" w:color="auto"/>
              <w:right w:val="outset" w:sz="4" w:space="0" w:color="auto"/>
            </w:tcBorders>
          </w:tcPr>
          <w:sdt>
            <w:sdtPr>
              <w:tag w:val="_PLD_4bea71a35f204b56bca2b7ea223d4b71"/>
              <w:id w:val="-1710793923"/>
            </w:sdtPr>
            <w:sdtContent>
              <w:p>
                <w:pPr>
                  <w:jc w:val="center"/>
                  <w:rPr>
                    <w:b/>
                  </w:rPr>
                </w:pPr>
                <w:r>
                  <w:rPr>
                    <w:rFonts w:hint="eastAsia"/>
                    <w:b/>
                  </w:rPr>
                  <w:t>附注</w:t>
                </w:r>
              </w:p>
            </w:sdtContent>
          </w:sdt>
        </w:tc>
        <w:tc>
          <w:tcPr>
            <w:tcW w:w="1021" w:type="pct"/>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2018030523"/>
            </w:sdtPr>
            <w:sdtContent>
              <w:p>
                <w:pPr>
                  <w:jc w:val="center"/>
                  <w:rPr>
                    <w:b/>
                  </w:rPr>
                </w:pPr>
                <w:r>
                  <w:rPr>
                    <w:rFonts w:hint="eastAsia"/>
                    <w:b/>
                  </w:rPr>
                  <w:t>2024年度</w:t>
                </w:r>
              </w:p>
            </w:sdtContent>
          </w:sdt>
        </w:tc>
        <w:tc>
          <w:tcPr>
            <w:tcW w:w="1021" w:type="pct"/>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1631591239"/>
            </w:sdtPr>
            <w:sdtContent>
              <w:p>
                <w:pPr>
                  <w:jc w:val="center"/>
                  <w:rPr>
                    <w:b/>
                  </w:rPr>
                </w:pPr>
                <w:r>
                  <w:rPr>
                    <w:rFonts w:hint="eastAsia"/>
                    <w:b/>
                  </w:rPr>
                  <w:t>2023年度</w:t>
                </w:r>
              </w:p>
            </w:sdtContent>
          </w:sdt>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color w:val="000000"/>
                <w:szCs w:val="21"/>
              </w:rPr>
            </w:pPr>
            <w:r>
              <w:rPr>
                <w:rFonts w:hint="eastAsia"/>
                <w:szCs w:val="21"/>
              </w:rPr>
              <w:t>一、营业收入</w:t>
            </w:r>
          </w:p>
        </w:tc>
        <w:tc>
          <w:tcPr>
            <w:tcW w:w="779"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十九、（四）</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23,072,525</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26,261,022</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color w:val="000000"/>
                <w:szCs w:val="21"/>
              </w:rPr>
            </w:pPr>
            <w:r>
              <w:rPr>
                <w:rFonts w:hint="eastAsia"/>
                <w:szCs w:val="21"/>
              </w:rPr>
              <w:t>减：营业成本</w:t>
            </w:r>
          </w:p>
        </w:tc>
        <w:tc>
          <w:tcPr>
            <w:tcW w:w="779" w:type="pct"/>
            <w:tcBorders>
              <w:top w:val="outset" w:sz="4" w:space="0" w:color="auto"/>
              <w:left w:val="outset" w:sz="4" w:space="0" w:color="auto"/>
              <w:bottom w:val="outset" w:sz="4" w:space="0" w:color="auto"/>
              <w:right w:val="outset" w:sz="4" w:space="0" w:color="auto"/>
            </w:tcBorders>
          </w:tcPr>
          <w:p>
            <w:pPr>
              <w:rPr>
                <w:szCs w:val="21"/>
              </w:rPr>
            </w:pPr>
            <w:r>
              <w:rPr>
                <w:rFonts w:hint="eastAsia"/>
                <w:szCs w:val="21"/>
              </w:rPr>
              <w:t>十九、（四）</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14,712,911</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13,136,650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税金及附加</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1,068,512</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1,261,666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销售费用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239,648</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166,277</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管理费用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2,874,295</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2,875,061</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研发费用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366,536</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457,415</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财务费用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1,667,825</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1,605,863</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其中：利息费用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3,254,046</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3,278,132</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600" w:firstLine="1260"/>
            </w:pPr>
            <w:r>
              <w:rPr>
                <w:rFonts w:hint="eastAsia"/>
              </w:rPr>
              <w:t>利息收入</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1,602,840</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1,607,000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rPr>
              <w:t>加：</w:t>
            </w:r>
            <w:r>
              <w:rPr>
                <w:rFonts w:hint="eastAsia"/>
                <w:szCs w:val="21"/>
              </w:rPr>
              <w:t>其他收益</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43,600</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30,652</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投资收益（损失以“－”号填列）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十九、（五）</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10,805,804</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11,723,325</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其中：对联营企业和合营企业的投资收益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十九、（五）</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516,747</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493,282</w:t>
            </w:r>
          </w:p>
        </w:tc>
      </w:tr>
      <w:tr>
        <w:tc>
          <w:tcPr>
            <w:tcW w:w="2179" w:type="pct"/>
            <w:tcBorders>
              <w:top w:val="outset" w:sz="4" w:space="0" w:color="auto"/>
              <w:left w:val="outset" w:sz="4" w:space="0" w:color="auto"/>
              <w:bottom w:val="outset" w:sz="4" w:space="0" w:color="auto"/>
              <w:right w:val="outset" w:sz="4" w:space="0" w:color="auto"/>
            </w:tcBorders>
          </w:tcPr>
          <w:p>
            <w:pPr>
              <w:ind w:firstLineChars="550" w:firstLine="1155"/>
            </w:pPr>
            <w:r>
              <w:rPr>
                <w:rFonts w:hint="eastAsia"/>
              </w:rPr>
              <w:t>以摊余成本计量的金融资产终止确认收益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bCs/>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净敞口套期收益（损失以“</w:t>
            </w:r>
            <w:r>
              <w:t>-”号填列）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34,199</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color w:val="000000"/>
                <w:szCs w:val="21"/>
              </w:rPr>
            </w:pPr>
            <w:r>
              <w:rPr>
                <w:rFonts w:hint="eastAsia"/>
                <w:szCs w:val="21"/>
              </w:rPr>
              <w:t>公允价值变动收益（损失以“－”号填列）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261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信用减值损失（损失以“</w:t>
            </w:r>
            <w:r>
              <w:t>-”号填列）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101,238</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48,953</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rPr>
                <w:szCs w:val="21"/>
              </w:rPr>
            </w:pPr>
            <w:r>
              <w:rPr>
                <w:rFonts w:hint="eastAsia"/>
                <w:szCs w:val="21"/>
              </w:rPr>
              <w:t>资产减值损失（损失以“</w:t>
            </w:r>
            <w:r>
              <w:rPr>
                <w:szCs w:val="21"/>
              </w:rPr>
              <w:t>-”号填列）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300" w:firstLine="630"/>
            </w:pPr>
            <w:r>
              <w:rPr>
                <w:rFonts w:hint="eastAsia"/>
              </w:rPr>
              <w:t>资产处置收益（损失以“－”号填列）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14,445</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2,292</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color w:val="000000"/>
                <w:szCs w:val="21"/>
              </w:rPr>
            </w:pPr>
            <w:r>
              <w:rPr>
                <w:rFonts w:hint="eastAsia"/>
                <w:szCs w:val="21"/>
              </w:rPr>
              <w:t>二、营业利润（亏损以“－”号填列）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13,108,146</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18,597,311</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color w:val="000000"/>
                <w:szCs w:val="21"/>
              </w:rPr>
            </w:pPr>
            <w:r>
              <w:rPr>
                <w:rFonts w:hint="eastAsia"/>
                <w:szCs w:val="21"/>
              </w:rPr>
              <w:t>加：营业外收入</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227,066</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223,368</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color w:val="000000"/>
                <w:szCs w:val="21"/>
              </w:rPr>
            </w:pPr>
            <w:r>
              <w:rPr>
                <w:rFonts w:hint="eastAsia"/>
                <w:szCs w:val="21"/>
              </w:rPr>
              <w:t>减：营业外支出</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32,104</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89,133</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color w:val="000000"/>
                <w:szCs w:val="21"/>
              </w:rPr>
            </w:pPr>
            <w:r>
              <w:rPr>
                <w:rFonts w:hint="eastAsia"/>
                <w:szCs w:val="21"/>
              </w:rPr>
              <w:t>三、利润总额（亏损总额以“－”号填列）</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13,303,108</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18,731,546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firstLineChars="200" w:firstLine="420"/>
              <w:rPr>
                <w:color w:val="000000"/>
                <w:szCs w:val="21"/>
              </w:rPr>
            </w:pPr>
            <w:r>
              <w:rPr>
                <w:rFonts w:hint="eastAsia"/>
                <w:szCs w:val="21"/>
              </w:rPr>
              <w:t>减：所得税费用</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895,467</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1,648,656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color w:val="000000"/>
                <w:szCs w:val="21"/>
              </w:rPr>
            </w:pPr>
            <w:r>
              <w:rPr>
                <w:rFonts w:hint="eastAsia"/>
                <w:szCs w:val="21"/>
              </w:rPr>
              <w:t>四、净利润（净亏损以“－”号填列）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12,407,641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17,082,890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8" w:firstLine="227"/>
            </w:pPr>
            <w:r>
              <w:rPr>
                <w:rFonts w:hint="eastAsia"/>
              </w:rPr>
              <w:t>（一）</w:t>
            </w:r>
            <w:r>
              <w:t>按经营性质分类</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12,407,641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17,082,890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8" w:firstLine="227"/>
            </w:pPr>
            <w:r>
              <w:rPr>
                <w:rFonts w:hint="eastAsia"/>
                <w:szCs w:val="21"/>
              </w:rPr>
              <w:t>1</w:t>
            </w:r>
            <w:r>
              <w:rPr>
                <w:szCs w:val="21"/>
              </w:rPr>
              <w:t>.</w:t>
            </w:r>
            <w:r>
              <w:t>持续经营净利润（净亏损以“－”号填列）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12,407,641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17,082,890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8" w:firstLine="227"/>
            </w:pPr>
            <w:r>
              <w:rPr>
                <w:rFonts w:hint="eastAsia"/>
              </w:rPr>
              <w:t>2</w:t>
            </w:r>
            <w:r>
              <w:t>.</w:t>
            </w:r>
            <w:r>
              <w:rPr>
                <w:rFonts w:hint="eastAsia"/>
              </w:rPr>
              <w:t>终止经营净利润（净亏损以“－”号填列）</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leftChars="-19" w:hangingChars="19" w:hanging="40"/>
              <w:rPr>
                <w:szCs w:val="21"/>
              </w:rPr>
            </w:pPr>
            <w:r>
              <w:t>（二）按所有者权属分类</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12,407,641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17,082,890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Chars="-19" w:hangingChars="19" w:hanging="40"/>
            </w:pPr>
            <w:r>
              <w:rPr>
                <w:rFonts w:hint="eastAsia"/>
              </w:rPr>
              <w:t>1</w:t>
            </w:r>
            <w:r>
              <w:t>.</w:t>
            </w:r>
            <w:r>
              <w:rPr>
                <w:rFonts w:hint="eastAsia"/>
              </w:rPr>
              <w:t>归属于母公司所有者的净利润（净亏损以“-”列示）</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11,775,778</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16,638,147</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Chars="-19" w:hangingChars="19" w:hanging="40"/>
            </w:pPr>
            <w:r>
              <w:rPr>
                <w:rFonts w:hint="eastAsia"/>
              </w:rPr>
              <w:t>2</w:t>
            </w:r>
            <w:r>
              <w:t>.</w:t>
            </w:r>
            <w:r>
              <w:rPr>
                <w:rFonts w:hint="eastAsia"/>
              </w:rPr>
              <w:t>归属于母公司其他权益工具持有者的净利润</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631,863</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pPr>
            <w:r>
              <w:t>444,743</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Chars="-19" w:hangingChars="19" w:hanging="40"/>
              <w:rPr>
                <w:szCs w:val="21"/>
              </w:rPr>
            </w:pPr>
            <w:r>
              <w:rPr>
                <w:rFonts w:hint="eastAsia"/>
                <w:szCs w:val="21"/>
              </w:rPr>
              <w:t>五、其他综合收益的税后净额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223,636</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28,116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szCs w:val="21"/>
              </w:rPr>
              <w:t>（一）不能重分类进损益的其他综合收益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-15</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-88</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szCs w:val="21"/>
              </w:rPr>
              <w:t>1.重新计量设定受益计划变动额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szCs w:val="21"/>
              </w:rPr>
              <w:t>2.权益法下不能转损益的其他综合收益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lastRenderedPageBreak/>
              <w:t>3.其他权益工具投资公允价值变动</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-15</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-88</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4.企业自身信用风险公允价值变动</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t>5.</w:t>
            </w:r>
            <w:r>
              <w:rPr>
                <w:rFonts w:hint="eastAsia"/>
              </w:rPr>
              <w:t>其他</w:t>
            </w:r>
          </w:p>
        </w:tc>
        <w:sdt>
          <w:sdtPr>
            <w:alias w:val="附注_5.其他"/>
            <w:tag w:val="_GBC_a6e8620d74c942cf8c2a7c354629d99b"/>
            <w:id w:val="-1049292634"/>
          </w:sdtPr>
          <w:sdtContent>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sdtContent>
        </w:sdt>
        <w:sdt>
          <w:sdtPr>
            <w:alias w:val="5.其他"/>
            <w:tag w:val="_GBC_bf4ee06596b641ac97d177d619f5eb1b"/>
            <w:id w:val="233907670"/>
          </w:sdtPr>
          <w:sdtContent>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sdtContent>
        </w:sdt>
        <w:sdt>
          <w:sdtPr>
            <w:alias w:val="5.其他"/>
            <w:tag w:val="_GBC_acfa8d987aab4c76ac15b44496a03688"/>
            <w:id w:val="-521870161"/>
          </w:sdtPr>
          <w:sdtContent>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sdtContent>
        </w:sdt>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100" w:firstLine="210"/>
              <w:rPr>
                <w:szCs w:val="21"/>
              </w:rPr>
            </w:pPr>
            <w:r>
              <w:rPr>
                <w:rFonts w:hint="eastAsia"/>
                <w:szCs w:val="21"/>
              </w:rPr>
              <w:t>（二）将重分类进损益的其他综合收益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223,651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28,204</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rPr>
                <w:szCs w:val="21"/>
              </w:rPr>
            </w:pPr>
            <w:r>
              <w:rPr>
                <w:szCs w:val="21"/>
              </w:rPr>
              <w:t>1.权益法下可转损益的其他综合收益</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223,651</w:t>
            </w: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51,700</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rPr>
                <w:szCs w:val="21"/>
              </w:rPr>
              <w:t>2.</w:t>
            </w:r>
            <w:r>
              <w:t>其他债权投资公允价值变动</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3.金融资产重分类计入其他综合收益的金额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4.其他债权投资信用减值准备</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5.现金流量套期储备</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-23,496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6.外币财务报表折算差额</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firstLineChars="200" w:firstLine="420"/>
            </w:pPr>
            <w:r>
              <w:t>7.其他</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szCs w:val="21"/>
              </w:rPr>
            </w:pPr>
            <w:r>
              <w:rPr>
                <w:rFonts w:hint="eastAsia"/>
                <w:szCs w:val="21"/>
              </w:rPr>
              <w:t>六、综合收益总额</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12,631,277</w:t>
            </w:r>
          </w:p>
        </w:tc>
        <w:tc>
          <w:tcPr>
            <w:tcW w:w="1021" w:type="pct"/>
            <w:tcBorders>
              <w:top w:val="outset" w:sz="4" w:space="0" w:color="auto"/>
              <w:left w:val="outset" w:sz="4" w:space="0" w:color="auto"/>
              <w:bottom w:val="outset" w:sz="4" w:space="0" w:color="auto"/>
              <w:right w:val="outset" w:sz="4" w:space="0" w:color="auto"/>
            </w:tcBorders>
          </w:tcPr>
          <w:p>
            <w:pPr>
              <w:jc w:val="right"/>
              <w:rPr>
                <w:szCs w:val="21"/>
              </w:rPr>
            </w:pPr>
            <w:r>
              <w:rPr>
                <w:szCs w:val="21"/>
              </w:rPr>
              <w:t>17,111,006</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rPr>
                <w:szCs w:val="21"/>
              </w:rPr>
            </w:pPr>
            <w:r>
              <w:t>归属于母公司股东的综合收益总额</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ind w:right="660"/>
              <w:jc w:val="right"/>
              <w:rPr>
                <w:sz w:val="22"/>
                <w:szCs w:val="22"/>
              </w:rPr>
            </w:pPr>
            <w:r>
              <w:rPr>
                <w:rFonts w:hint="eastAsia"/>
                <w:sz w:val="22"/>
                <w:szCs w:val="22"/>
              </w:rPr>
              <w:t xml:space="preserve">11,999,414 </w:t>
            </w:r>
          </w:p>
        </w:tc>
        <w:tc>
          <w:tcPr>
            <w:tcW w:w="1021" w:type="pct"/>
            <w:tcBorders>
              <w:top w:val="outset" w:sz="4" w:space="0" w:color="auto"/>
              <w:left w:val="outset" w:sz="4" w:space="0" w:color="auto"/>
              <w:bottom w:val="outset" w:sz="4" w:space="0" w:color="auto"/>
              <w:right w:val="outset" w:sz="4" w:space="0" w:color="auto"/>
            </w:tcBorders>
            <w:vAlign w:val="center"/>
          </w:tcPr>
          <w:p>
            <w:pPr>
              <w:ind w:right="660"/>
              <w:jc w:val="right"/>
              <w:rPr>
                <w:sz w:val="22"/>
                <w:szCs w:val="22"/>
              </w:rPr>
            </w:pPr>
            <w:r>
              <w:rPr>
                <w:rFonts w:hint="eastAsia"/>
                <w:sz w:val="22"/>
                <w:szCs w:val="22"/>
              </w:rPr>
              <w:t xml:space="preserve">16,666,263 </w:t>
            </w:r>
          </w:p>
        </w:tc>
      </w:tr>
      <w:tr>
        <w:tc>
          <w:tcPr>
            <w:tcW w:w="2179" w:type="pct"/>
            <w:tcBorders>
              <w:top w:val="outset" w:sz="4" w:space="0" w:color="auto"/>
              <w:left w:val="outset" w:sz="4" w:space="0" w:color="auto"/>
              <w:bottom w:val="outset" w:sz="4" w:space="0" w:color="auto"/>
              <w:right w:val="outset" w:sz="4" w:space="0" w:color="auto"/>
            </w:tcBorders>
            <w:vAlign w:val="center"/>
          </w:tcPr>
          <w:p>
            <w:pPr>
              <w:ind w:left="-19"/>
            </w:pPr>
            <w:r>
              <w:rPr>
                <w:rFonts w:hint="eastAsia"/>
              </w:rPr>
              <w:t>归属于母公司其他权益工具持有者的综合收益总额</w:t>
            </w:r>
          </w:p>
        </w:tc>
        <w:tc>
          <w:tcPr>
            <w:tcW w:w="779" w:type="pct"/>
            <w:tcBorders>
              <w:top w:val="outset" w:sz="4" w:space="0" w:color="auto"/>
              <w:left w:val="outset" w:sz="4" w:space="0" w:color="auto"/>
              <w:bottom w:val="outset" w:sz="4" w:space="0" w:color="auto"/>
              <w:right w:val="outset" w:sz="4" w:space="0" w:color="auto"/>
            </w:tcBorders>
          </w:tcPr>
          <w:p>
            <w:pPr>
              <w:rPr>
                <w:szCs w:val="21"/>
              </w:rPr>
            </w:pPr>
          </w:p>
        </w:tc>
        <w:tc>
          <w:tcPr>
            <w:tcW w:w="1021" w:type="pct"/>
            <w:tcBorders>
              <w:top w:val="outset" w:sz="4" w:space="0" w:color="auto"/>
              <w:left w:val="outset" w:sz="4" w:space="0" w:color="auto"/>
              <w:bottom w:val="outset" w:sz="4" w:space="0" w:color="auto"/>
              <w:right w:val="outset" w:sz="4" w:space="0" w:color="auto"/>
            </w:tcBorders>
            <w:vAlign w:val="center"/>
          </w:tcPr>
          <w:p>
            <w:pPr>
              <w:ind w:right="880"/>
              <w:jc w:val="right"/>
              <w:rPr>
                <w:sz w:val="22"/>
                <w:szCs w:val="22"/>
              </w:rPr>
            </w:pPr>
            <w:r>
              <w:rPr>
                <w:rFonts w:hint="eastAsia"/>
                <w:sz w:val="22"/>
                <w:szCs w:val="22"/>
              </w:rPr>
              <w:t xml:space="preserve">631,863 </w:t>
            </w:r>
          </w:p>
        </w:tc>
        <w:tc>
          <w:tcPr>
            <w:tcW w:w="1021" w:type="pct"/>
            <w:tcBorders>
              <w:top w:val="outset" w:sz="4" w:space="0" w:color="auto"/>
              <w:left w:val="outset" w:sz="4" w:space="0" w:color="auto"/>
              <w:bottom w:val="outset" w:sz="4" w:space="0" w:color="auto"/>
              <w:right w:val="outset" w:sz="4" w:space="0" w:color="auto"/>
            </w:tcBorders>
            <w:vAlign w:val="center"/>
          </w:tcPr>
          <w:p>
            <w:pPr>
              <w:ind w:right="880"/>
              <w:jc w:val="right"/>
              <w:rPr>
                <w:sz w:val="22"/>
                <w:szCs w:val="22"/>
              </w:rPr>
            </w:pPr>
            <w:r>
              <w:rPr>
                <w:rFonts w:hint="eastAsia"/>
                <w:sz w:val="22"/>
                <w:szCs w:val="22"/>
              </w:rPr>
              <w:t xml:space="preserve">444,743 </w:t>
            </w:r>
          </w:p>
        </w:tc>
      </w:tr>
    </w:tbl>
    <w:p>
      <w:pPr>
        <w:pStyle w:val="affffffffffffffffff3"/>
      </w:pPr>
    </w:p>
    <w:p>
      <w:pPr>
        <w:snapToGrid w:val="0"/>
        <w:spacing w:line="240" w:lineRule="atLeast"/>
        <w:ind w:rightChars="-73" w:right="-15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755239161"/>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37d9f750e6c04845b9e34ad6da976b56"/>
          <w:id w:val="-15547578"/>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b8515644d08d42edafc210cf569b9b08"/>
          <w:id w:val="-1297300204"/>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rPr>
          <w:color w:val="FF0000"/>
          <w:szCs w:val="21"/>
        </w:rPr>
      </w:pPr>
    </w:p>
    <w:p>
      <w:pPr>
        <w:rPr>
          <w:color w:val="FF0000"/>
          <w:szCs w:val="21"/>
        </w:rPr>
      </w:pPr>
      <w:bookmarkStart w:id="316" w:name="_Hlk24038756"/>
      <w:bookmarkEnd w:id="315"/>
      <w:bookmarkEnd w:id="316"/>
    </w:p>
    <w:p>
      <w:pPr>
        <w:rPr>
          <w:color w:val="FF0000"/>
          <w:szCs w:val="21"/>
        </w:rPr>
      </w:pPr>
      <w:r>
        <w:rPr>
          <w:color w:val="FF0000"/>
          <w:szCs w:val="21"/>
        </w:rPr>
        <w:br w:type="page"/>
      </w:r>
    </w:p>
    <w:p>
      <w:pPr>
        <w:jc w:val="center"/>
        <w:outlineLvl w:val="2"/>
        <w:rPr>
          <w:b/>
          <w:bCs/>
          <w:szCs w:val="21"/>
        </w:rPr>
      </w:pPr>
      <w:bookmarkStart w:id="317" w:name="_Hlk1156136"/>
      <w:r>
        <w:rPr>
          <w:rFonts w:hint="eastAsia"/>
          <w:b/>
          <w:bCs/>
          <w:szCs w:val="21"/>
        </w:rPr>
        <w:lastRenderedPageBreak/>
        <w:t>合并</w:t>
      </w:r>
      <w:r>
        <w:rPr>
          <w:b/>
          <w:bCs/>
          <w:szCs w:val="21"/>
        </w:rPr>
        <w:t>现金流量表</w:t>
      </w:r>
    </w:p>
    <w:p>
      <w:pPr>
        <w:jc w:val="center"/>
        <w:rPr>
          <w:b/>
          <w:bCs/>
          <w:szCs w:val="21"/>
        </w:rPr>
      </w:pPr>
      <w:r>
        <w:rPr>
          <w:szCs w:val="21"/>
        </w:rPr>
        <w:t>2024年</w:t>
      </w:r>
      <w:r>
        <w:rPr>
          <w:rFonts w:hint="eastAsia"/>
          <w:szCs w:val="21"/>
        </w:rPr>
        <w:t>1—12</w:t>
      </w:r>
      <w:r>
        <w:rPr>
          <w:szCs w:val="21"/>
        </w:rPr>
        <w:t>月</w:t>
      </w:r>
    </w:p>
    <w:p>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51248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3920875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164" w:type="pct"/>
        <w:tblInd w:w="-289"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37"/>
        <w:gridCol w:w="1416"/>
        <w:gridCol w:w="1420"/>
        <w:gridCol w:w="1739"/>
      </w:tblGrid>
      <w:tr>
        <w:tc>
          <w:tcPr>
            <w:tcW w:w="2490" w:type="pct"/>
            <w:tcBorders>
              <w:top w:val="outset" w:sz="4" w:space="0" w:color="auto"/>
              <w:left w:val="outset" w:sz="4" w:space="0" w:color="auto"/>
              <w:bottom w:val="outset" w:sz="4" w:space="0" w:color="auto"/>
              <w:right w:val="outset" w:sz="4" w:space="0" w:color="auto"/>
            </w:tcBorders>
          </w:tcPr>
          <w:sdt>
            <w:sdtPr>
              <w:tag w:val="_PLD_5a1e687815424d54a4dd8744648aa3cb"/>
              <w:id w:val="-1962493727"/>
            </w:sdtPr>
            <w:sdtContent>
              <w:p>
                <w:pPr>
                  <w:jc w:val="center"/>
                  <w:rPr>
                    <w:b/>
                  </w:rPr>
                </w:pPr>
                <w:r>
                  <w:rPr>
                    <w:rFonts w:hint="eastAsia"/>
                    <w:b/>
                  </w:rPr>
                  <w:t>项目</w:t>
                </w:r>
              </w:p>
            </w:sdtContent>
          </w:sdt>
        </w:tc>
        <w:tc>
          <w:tcPr>
            <w:tcW w:w="777" w:type="pct"/>
            <w:tcBorders>
              <w:top w:val="outset" w:sz="4" w:space="0" w:color="auto"/>
              <w:left w:val="outset" w:sz="4" w:space="0" w:color="auto"/>
              <w:bottom w:val="outset" w:sz="4" w:space="0" w:color="auto"/>
              <w:right w:val="outset" w:sz="4" w:space="0" w:color="auto"/>
            </w:tcBorders>
          </w:tcPr>
          <w:sdt>
            <w:sdtPr>
              <w:tag w:val="_PLD_3c902166982f4ea18b3f3d11c1fe2190"/>
              <w:id w:val="-268163983"/>
            </w:sdtPr>
            <w:sdtContent>
              <w:p>
                <w:pPr>
                  <w:jc w:val="center"/>
                  <w:rPr>
                    <w:b/>
                  </w:rPr>
                </w:pPr>
                <w:r>
                  <w:rPr>
                    <w:rFonts w:hint="eastAsia"/>
                    <w:b/>
                  </w:rPr>
                  <w:t>附注</w:t>
                </w:r>
              </w:p>
            </w:sdtContent>
          </w:sdt>
        </w:tc>
        <w:tc>
          <w:tcPr>
            <w:tcW w:w="779" w:type="pct"/>
            <w:tcBorders>
              <w:top w:val="outset" w:sz="4" w:space="0" w:color="auto"/>
              <w:left w:val="outset" w:sz="4" w:space="0" w:color="auto"/>
              <w:bottom w:val="outset" w:sz="4" w:space="0" w:color="auto"/>
              <w:right w:val="outset" w:sz="4" w:space="0" w:color="auto"/>
            </w:tcBorders>
          </w:tcPr>
          <w:sdt>
            <w:sdtPr>
              <w:tag w:val="_PLD_29a06cc719e5467e82013eb798ebb143"/>
              <w:id w:val="1438169096"/>
            </w:sdtPr>
            <w:sdtContent>
              <w:p>
                <w:pPr>
                  <w:autoSpaceDE w:val="0"/>
                  <w:autoSpaceDN w:val="0"/>
                  <w:adjustRightInd w:val="0"/>
                  <w:jc w:val="center"/>
                  <w:rPr>
                    <w:b/>
                  </w:rPr>
                </w:pPr>
                <w:r>
                  <w:rPr>
                    <w:rFonts w:hint="eastAsia"/>
                    <w:b/>
                  </w:rPr>
                  <w:t>2024年度</w:t>
                </w:r>
              </w:p>
            </w:sdtContent>
          </w:sdt>
        </w:tc>
        <w:tc>
          <w:tcPr>
            <w:tcW w:w="954" w:type="pct"/>
            <w:tcBorders>
              <w:top w:val="outset" w:sz="4" w:space="0" w:color="auto"/>
              <w:left w:val="outset" w:sz="4" w:space="0" w:color="auto"/>
              <w:bottom w:val="outset" w:sz="4" w:space="0" w:color="auto"/>
              <w:right w:val="outset" w:sz="4" w:space="0" w:color="auto"/>
            </w:tcBorders>
          </w:tcPr>
          <w:sdt>
            <w:sdtPr>
              <w:tag w:val="_PLD_0bd5effed8234e5eb21199f6669657c2"/>
              <w:id w:val="1984036218"/>
            </w:sdtPr>
            <w:sdtContent>
              <w:p>
                <w:pPr>
                  <w:autoSpaceDE w:val="0"/>
                  <w:autoSpaceDN w:val="0"/>
                  <w:adjustRightInd w:val="0"/>
                  <w:jc w:val="center"/>
                  <w:rPr>
                    <w:b/>
                  </w:rPr>
                </w:pPr>
                <w:r>
                  <w:rPr>
                    <w:rFonts w:hint="eastAsia"/>
                    <w:b/>
                  </w:rPr>
                  <w:t>2023年度</w:t>
                </w:r>
              </w:p>
            </w:sdtContent>
          </w:sdt>
        </w:tc>
      </w:tr>
      <w:tr>
        <w:sdt>
          <w:sdtPr>
            <w:tag w:val="_PLD_c03c8258c1684fb989d96332af6834de"/>
            <w:id w:val="-1456403094"/>
          </w:sdtPr>
          <w:sdtContent>
            <w:tc>
              <w:tcPr>
                <w:tcW w:w="5000" w:type="pct"/>
                <w:gridSpan w:val="4"/>
                <w:tcBorders>
                  <w:top w:val="outset" w:sz="4" w:space="0" w:color="auto"/>
                  <w:left w:val="outset" w:sz="4" w:space="0" w:color="auto"/>
                  <w:bottom w:val="outset" w:sz="4" w:space="0" w:color="auto"/>
                  <w:right w:val="outset" w:sz="4" w:space="0" w:color="auto"/>
                </w:tcBorders>
              </w:tcPr>
              <w:p>
                <w:pPr>
                  <w:rPr>
                    <w:szCs w:val="21"/>
                  </w:rPr>
                </w:pPr>
                <w:r>
                  <w:rPr>
                    <w:rFonts w:hint="eastAsia"/>
                    <w:b/>
                    <w:bCs/>
                    <w:szCs w:val="21"/>
                  </w:rPr>
                  <w:t>一、经营活动产生的现金流量：</w:t>
                </w:r>
              </w:p>
            </w:tc>
          </w:sdtContent>
        </w:sdt>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销售商品、提供劳务收到的现金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128,229,257</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206,034,221</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客户存款和同业存放款项净增加额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-2,390,816</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-8,350,838</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向中央银行借款净增加额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向其他金融机构拆入资金净增加额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收到原保险合同保费取得的现金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收到再保业务现金净额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保户储金及投资款净增加额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收取利息、手续费及佣金的现金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拆入资金净增加额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回购业务资金净增加额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pPr>
            <w:r>
              <w:rPr>
                <w:rFonts w:hint="eastAsia"/>
              </w:rPr>
              <w:t>代理买卖证券收到的现金净额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收到的税费返还</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2,198,325</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1,944,014</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收到其他与经营活动有关的现金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37,966,589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5,265,435</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经营活动现金流入小计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166,003,355</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204,892,832</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购买商品、接受劳务支付的现金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50,010,947</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114,188,271</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客户贷款及垫款净增加额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-393,050</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1,943,936</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存放中央银行和同业款项净增加额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-291,587</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支付原保险合同赔付款项的现金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pPr>
            <w:r>
              <w:rPr>
                <w:rFonts w:hint="eastAsia"/>
              </w:rPr>
              <w:t>拆出资金净增加额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支付利息、手续费及佣金的现金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支付保单红利的现金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支付给职工及为职工支付的现金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25,278,580</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22,254,286</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支付的各项税费</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22,005,249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31,864,765</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支付其他与经营活动有关的现金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47,051,290</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18,482,940</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经营活动现金流出小计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143,661,429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188,734,198</w:t>
            </w:r>
          </w:p>
        </w:tc>
      </w:tr>
      <w:tr>
        <w:tc>
          <w:tcPr>
            <w:tcW w:w="2490" w:type="pct"/>
            <w:tcBorders>
              <w:top w:val="outset" w:sz="4" w:space="0" w:color="auto"/>
              <w:left w:val="outset" w:sz="4" w:space="0" w:color="auto"/>
              <w:bottom w:val="outset" w:sz="4" w:space="0" w:color="auto"/>
              <w:right w:val="outset" w:sz="4" w:space="0" w:color="auto"/>
            </w:tcBorders>
          </w:tcPr>
          <w:p>
            <w:pPr>
              <w:ind w:firstLineChars="300" w:firstLine="630"/>
              <w:rPr>
                <w:color w:val="000000"/>
                <w:szCs w:val="21"/>
              </w:rPr>
            </w:pPr>
            <w:r>
              <w:rPr>
                <w:rFonts w:hint="eastAsia"/>
                <w:szCs w:val="21"/>
              </w:rPr>
              <w:t>经营活动产生的现金流量净额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22,341,926</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16,158,634</w:t>
            </w:r>
          </w:p>
        </w:tc>
      </w:tr>
      <w:tr>
        <w:sdt>
          <w:sdtPr>
            <w:tag w:val="_PLD_cb59aa0e2bd944b8ba7271368c6da00a"/>
            <w:id w:val="-488482535"/>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color w:val="008000"/>
                    <w:szCs w:val="21"/>
                  </w:rPr>
                </w:pPr>
                <w:r>
                  <w:rPr>
                    <w:rFonts w:hint="eastAsia"/>
                    <w:b/>
                    <w:bCs/>
                    <w:szCs w:val="21"/>
                  </w:rPr>
                  <w:t>二、投资活动产生的现金流量：</w:t>
                </w:r>
              </w:p>
            </w:tc>
          </w:sdtContent>
        </w:sdt>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收回投资收到的现金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5,611,934</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4,627,469</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取得投资收益收到的现金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1,176,100</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1,020,631</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处置固定资产、无形资产和其他长期资产收回的现金净额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33,677</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203,742</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处置子公司及其他营业单位收到的现金净额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收到其他与投资活动有关的现金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879,693</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1,547,176</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投资活动现金流入小计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7,701,404</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7,399,018</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购建固定资产、无形资产和其他长期资产支付的现金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17,076,800</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18,191,087</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投资支付的现金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204,342</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1,384,868</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质押贷款净增加额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取得子公司及其他营业单位支付的现金净额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1,148</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支付其他与投资活动有关的现金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146,509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25,200</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lastRenderedPageBreak/>
              <w:t>投资活动现金流出小计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17,427,651</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19,602,303</w:t>
            </w:r>
          </w:p>
        </w:tc>
      </w:tr>
      <w:tr>
        <w:tc>
          <w:tcPr>
            <w:tcW w:w="2490" w:type="pct"/>
            <w:tcBorders>
              <w:top w:val="outset" w:sz="4" w:space="0" w:color="auto"/>
              <w:left w:val="outset" w:sz="4" w:space="0" w:color="auto"/>
              <w:bottom w:val="outset" w:sz="4" w:space="0" w:color="auto"/>
              <w:right w:val="outset" w:sz="4" w:space="0" w:color="auto"/>
            </w:tcBorders>
          </w:tcPr>
          <w:p>
            <w:pPr>
              <w:ind w:firstLineChars="300" w:firstLine="630"/>
              <w:rPr>
                <w:color w:val="000000"/>
                <w:szCs w:val="21"/>
              </w:rPr>
            </w:pPr>
            <w:r>
              <w:rPr>
                <w:rFonts w:hint="eastAsia"/>
                <w:szCs w:val="21"/>
              </w:rPr>
              <w:t>投资活动产生的现金流量净额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-9,726,247</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-12,203,285</w:t>
            </w:r>
          </w:p>
        </w:tc>
      </w:tr>
      <w:tr>
        <w:sdt>
          <w:sdtPr>
            <w:tag w:val="_PLD_8e0d926902804b5baefad8990e4523b4"/>
            <w:id w:val="2013333513"/>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color w:val="008000"/>
                    <w:szCs w:val="21"/>
                  </w:rPr>
                </w:pPr>
                <w:r>
                  <w:rPr>
                    <w:rFonts w:hint="eastAsia"/>
                    <w:b/>
                    <w:bCs/>
                    <w:szCs w:val="21"/>
                  </w:rPr>
                  <w:t>三、筹资活动产生的现金流量：</w:t>
                </w:r>
              </w:p>
            </w:tc>
          </w:sdtContent>
        </w:sdt>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吸收投资收到的现金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17,489,128</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5,118,809</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其中：子公司吸收少数股东投资收到的现金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64</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t>发行其他权益工具收到的现金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pPr>
            <w:r>
              <w:t>12,995,862</w:t>
            </w:r>
          </w:p>
        </w:tc>
        <w:tc>
          <w:tcPr>
            <w:tcW w:w="954" w:type="pct"/>
            <w:tcBorders>
              <w:top w:val="outset" w:sz="4" w:space="0" w:color="auto"/>
              <w:left w:val="outset" w:sz="4" w:space="0" w:color="auto"/>
              <w:bottom w:val="outset" w:sz="4" w:space="0" w:color="auto"/>
              <w:right w:val="outset" w:sz="4" w:space="0" w:color="auto"/>
            </w:tcBorders>
            <w:vAlign w:val="center"/>
          </w:tcPr>
          <w:p>
            <w:pPr>
              <w:jc w:val="right"/>
            </w:pPr>
            <w:r>
              <w:t>4,998,000</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取得借款收到的现金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50,972,031</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57,085,691</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收到其他与筹资活动有关的现金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4,047,755</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4,699,889</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筹资活动现金流入小计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72,508,914</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66,904,389</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偿还债务支付的现金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43,294,409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47,481,105</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分配股利、利润或偿付利息支付的现金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22,329,002</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29,879,599</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其中：子公司支付给少数股东的股利、利润</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3,015,169</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4,226,356</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支付其他与筹资活动有关的现金</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七、（七十八）</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19,271,635</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22,058,764</w:t>
            </w:r>
          </w:p>
        </w:tc>
      </w:tr>
      <w:tr>
        <w:tc>
          <w:tcPr>
            <w:tcW w:w="2490"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筹资活动现金流出小计</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84,895,046</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99,419,468</w:t>
            </w:r>
          </w:p>
        </w:tc>
      </w:tr>
      <w:tr>
        <w:tc>
          <w:tcPr>
            <w:tcW w:w="2490" w:type="pct"/>
            <w:tcBorders>
              <w:top w:val="outset" w:sz="4" w:space="0" w:color="auto"/>
              <w:left w:val="outset" w:sz="4" w:space="0" w:color="auto"/>
              <w:bottom w:val="outset" w:sz="4" w:space="0" w:color="auto"/>
              <w:right w:val="outset" w:sz="4" w:space="0" w:color="auto"/>
            </w:tcBorders>
          </w:tcPr>
          <w:p>
            <w:pPr>
              <w:ind w:firstLineChars="300" w:firstLine="630"/>
              <w:rPr>
                <w:color w:val="000000"/>
                <w:szCs w:val="21"/>
              </w:rPr>
            </w:pPr>
            <w:r>
              <w:rPr>
                <w:rFonts w:hint="eastAsia"/>
                <w:szCs w:val="21"/>
              </w:rPr>
              <w:t>筹资活动产生的现金流量净额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-12,386,132</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-32,515,079</w:t>
            </w:r>
          </w:p>
        </w:tc>
      </w:tr>
      <w:tr>
        <w:tc>
          <w:tcPr>
            <w:tcW w:w="2490"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四、汇率变动对现金及现金等价物的影响</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-86,683</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503,728</w:t>
            </w:r>
          </w:p>
        </w:tc>
      </w:tr>
      <w:tr>
        <w:tc>
          <w:tcPr>
            <w:tcW w:w="2490"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五、现金及现金等价物净增加额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七、（七十九）</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142,864</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-28,056,002</w:t>
            </w:r>
          </w:p>
        </w:tc>
      </w:tr>
      <w:tr>
        <w:tc>
          <w:tcPr>
            <w:tcW w:w="2490"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加：期初现金及现金等价物余额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七、（七十九）</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30,352,358</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58,408,360</w:t>
            </w:r>
          </w:p>
        </w:tc>
      </w:tr>
      <w:tr>
        <w:tc>
          <w:tcPr>
            <w:tcW w:w="2490"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六、期末现金及现金等价物余额</w:t>
            </w:r>
          </w:p>
        </w:tc>
        <w:tc>
          <w:tcPr>
            <w:tcW w:w="777" w:type="pct"/>
            <w:tcBorders>
              <w:top w:val="outset" w:sz="4" w:space="0" w:color="auto"/>
              <w:left w:val="outset" w:sz="4" w:space="0" w:color="auto"/>
              <w:bottom w:val="outset" w:sz="4" w:space="0" w:color="auto"/>
              <w:right w:val="outset" w:sz="4" w:space="0" w:color="auto"/>
            </w:tcBorders>
            <w:vAlign w:val="center"/>
          </w:tcPr>
          <w:p>
            <w:pPr>
              <w:rPr>
                <w:szCs w:val="21"/>
              </w:rPr>
            </w:pPr>
            <w:r>
              <w:rPr>
                <w:rFonts w:hint="eastAsia"/>
                <w:szCs w:val="21"/>
              </w:rPr>
              <w:t>七、（七十九）</w:t>
            </w:r>
          </w:p>
        </w:tc>
        <w:tc>
          <w:tcPr>
            <w:tcW w:w="779"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30,495,222</w:t>
            </w:r>
          </w:p>
        </w:tc>
        <w:tc>
          <w:tcPr>
            <w:tcW w:w="95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30,352,358</w:t>
            </w:r>
          </w:p>
        </w:tc>
      </w:tr>
    </w:tbl>
    <w:p>
      <w:pPr>
        <w:pStyle w:val="affffffffffffffffff3"/>
      </w:pPr>
    </w:p>
    <w:p>
      <w:pPr>
        <w:snapToGrid w:val="0"/>
        <w:spacing w:line="240" w:lineRule="atLeast"/>
        <w:ind w:rightChars="12" w:right="25"/>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1700082171"/>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45110b4746914613a7aad68cef7b1bed"/>
          <w:id w:val="-313177812"/>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e7d70223996e482d9871cfff87704452"/>
          <w:id w:val="-332072004"/>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rPr>
          <w:b/>
          <w:bCs/>
          <w:szCs w:val="21"/>
        </w:rPr>
      </w:pPr>
      <w:r>
        <w:rPr>
          <w:b/>
          <w:bCs/>
          <w:szCs w:val="21"/>
        </w:rPr>
        <w:br w:type="page"/>
      </w:r>
    </w:p>
    <w:p>
      <w:pPr>
        <w:jc w:val="center"/>
        <w:outlineLvl w:val="2"/>
        <w:rPr>
          <w:b/>
          <w:bCs/>
          <w:szCs w:val="21"/>
        </w:rPr>
      </w:pPr>
      <w:r>
        <w:rPr>
          <w:rFonts w:hint="eastAsia"/>
          <w:b/>
          <w:bCs/>
          <w:szCs w:val="21"/>
        </w:rPr>
        <w:lastRenderedPageBreak/>
        <w:t>母公司</w:t>
      </w:r>
      <w:r>
        <w:rPr>
          <w:b/>
          <w:bCs/>
          <w:szCs w:val="21"/>
        </w:rPr>
        <w:t>现金流量表</w:t>
      </w:r>
    </w:p>
    <w:p>
      <w:pPr>
        <w:jc w:val="center"/>
        <w:rPr>
          <w:b/>
          <w:bCs/>
          <w:szCs w:val="21"/>
        </w:rPr>
      </w:pPr>
      <w:r>
        <w:rPr>
          <w:szCs w:val="21"/>
        </w:rPr>
        <w:t>2024年</w:t>
      </w:r>
      <w:r>
        <w:rPr>
          <w:rFonts w:hint="eastAsia"/>
          <w:szCs w:val="21"/>
        </w:rPr>
        <w:t>1—12</w:t>
      </w:r>
      <w:r>
        <w:rPr>
          <w:szCs w:val="21"/>
        </w:rPr>
        <w:t>月</w:t>
      </w:r>
    </w:p>
    <w:p>
      <w:pPr>
        <w:jc w:val="right"/>
        <w:rPr>
          <w:szCs w:val="21"/>
        </w:rPr>
      </w:pPr>
      <w:r>
        <w:rPr>
          <w:szCs w:val="21"/>
        </w:rPr>
        <w:t>单位</w:t>
      </w:r>
      <w:r>
        <w:rPr>
          <w:rFonts w:hint="eastAsia"/>
          <w:szCs w:val="21"/>
        </w:rPr>
        <w:t>：</w:t>
      </w:r>
      <w:sdt>
        <w:sdtPr>
          <w:rPr>
            <w:szCs w:val="21"/>
          </w:rPr>
          <w:alias w:val="单位：母公司现金流量表"/>
          <w:tag w:val="_GBC_993ead81b27a41dfaccaacfaec8b7c78"/>
          <w:id w:val="-6875953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r>
        <w:rPr>
          <w:rFonts w:hint="eastAsia"/>
          <w:szCs w:val="21"/>
        </w:rPr>
        <w:t>：</w:t>
      </w:r>
      <w:sdt>
        <w:sdtPr>
          <w:rPr>
            <w:szCs w:val="21"/>
          </w:rPr>
          <w:alias w:val="币种：母公司现金流量表"/>
          <w:tag w:val="_GBC_2dd4b706d0a244a4b4c21166025356cc"/>
          <w:id w:val="18547681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566" w:type="pct"/>
        <w:tblInd w:w="-9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4"/>
        <w:gridCol w:w="1530"/>
        <w:gridCol w:w="2118"/>
        <w:gridCol w:w="2110"/>
      </w:tblGrid>
      <w:tr>
        <w:tc>
          <w:tcPr>
            <w:tcW w:w="2069" w:type="pct"/>
            <w:tcBorders>
              <w:top w:val="outset" w:sz="4" w:space="0" w:color="auto"/>
              <w:left w:val="outset" w:sz="4" w:space="0" w:color="auto"/>
              <w:bottom w:val="outset" w:sz="4" w:space="0" w:color="auto"/>
              <w:right w:val="outset" w:sz="4" w:space="0" w:color="auto"/>
            </w:tcBorders>
          </w:tcPr>
          <w:sdt>
            <w:sdtPr>
              <w:tag w:val="_PLD_fa8a4a4fe8df4f0086d4a3f59744ef0c"/>
              <w:id w:val="1713918744"/>
            </w:sdtPr>
            <w:sdtContent>
              <w:p>
                <w:pPr>
                  <w:jc w:val="center"/>
                  <w:rPr>
                    <w:b/>
                  </w:rPr>
                </w:pPr>
                <w:r>
                  <w:rPr>
                    <w:rFonts w:hint="eastAsia"/>
                    <w:b/>
                  </w:rPr>
                  <w:t>项目</w:t>
                </w:r>
              </w:p>
            </w:sdtContent>
          </w:sdt>
        </w:tc>
        <w:tc>
          <w:tcPr>
            <w:tcW w:w="779" w:type="pct"/>
            <w:tcBorders>
              <w:top w:val="outset" w:sz="4" w:space="0" w:color="auto"/>
              <w:left w:val="outset" w:sz="4" w:space="0" w:color="auto"/>
              <w:bottom w:val="outset" w:sz="4" w:space="0" w:color="auto"/>
              <w:right w:val="outset" w:sz="4" w:space="0" w:color="auto"/>
            </w:tcBorders>
          </w:tcPr>
          <w:sdt>
            <w:sdtPr>
              <w:tag w:val="_PLD_e2b9d4cf46994f4f99a9560554670b54"/>
              <w:id w:val="78881287"/>
            </w:sdtPr>
            <w:sdtContent>
              <w:p>
                <w:pPr>
                  <w:autoSpaceDE w:val="0"/>
                  <w:autoSpaceDN w:val="0"/>
                  <w:adjustRightInd w:val="0"/>
                  <w:jc w:val="center"/>
                  <w:rPr>
                    <w:b/>
                  </w:rPr>
                </w:pPr>
                <w:r>
                  <w:rPr>
                    <w:rFonts w:hint="eastAsia"/>
                    <w:b/>
                  </w:rPr>
                  <w:t>附注</w:t>
                </w:r>
              </w:p>
            </w:sdtContent>
          </w:sdt>
        </w:tc>
        <w:tc>
          <w:tcPr>
            <w:tcW w:w="1078" w:type="pct"/>
            <w:tcBorders>
              <w:top w:val="outset" w:sz="4" w:space="0" w:color="auto"/>
              <w:left w:val="outset" w:sz="4" w:space="0" w:color="auto"/>
              <w:bottom w:val="outset" w:sz="4" w:space="0" w:color="auto"/>
              <w:right w:val="outset" w:sz="4" w:space="0" w:color="auto"/>
            </w:tcBorders>
          </w:tcPr>
          <w:sdt>
            <w:sdtPr>
              <w:tag w:val="_PLD_a5e1076b6ae14d71abde0e9180405588"/>
              <w:id w:val="1284688106"/>
            </w:sdtPr>
            <w:sdtContent>
              <w:p>
                <w:pPr>
                  <w:autoSpaceDE w:val="0"/>
                  <w:autoSpaceDN w:val="0"/>
                  <w:adjustRightInd w:val="0"/>
                  <w:jc w:val="center"/>
                  <w:rPr>
                    <w:b/>
                  </w:rPr>
                </w:pPr>
                <w:r>
                  <w:rPr>
                    <w:rFonts w:hint="eastAsia"/>
                    <w:b/>
                  </w:rPr>
                  <w:t>2024年度</w:t>
                </w:r>
              </w:p>
            </w:sdtContent>
          </w:sdt>
        </w:tc>
        <w:tc>
          <w:tcPr>
            <w:tcW w:w="1074" w:type="pct"/>
            <w:tcBorders>
              <w:top w:val="outset" w:sz="4" w:space="0" w:color="auto"/>
              <w:left w:val="outset" w:sz="4" w:space="0" w:color="auto"/>
              <w:bottom w:val="outset" w:sz="4" w:space="0" w:color="auto"/>
              <w:right w:val="outset" w:sz="4" w:space="0" w:color="auto"/>
            </w:tcBorders>
          </w:tcPr>
          <w:sdt>
            <w:sdtPr>
              <w:tag w:val="_PLD_9f1994ac47d2487c870c64df42698a51"/>
              <w:id w:val="803742945"/>
            </w:sdtPr>
            <w:sdtContent>
              <w:p>
                <w:pPr>
                  <w:autoSpaceDE w:val="0"/>
                  <w:autoSpaceDN w:val="0"/>
                  <w:adjustRightInd w:val="0"/>
                  <w:jc w:val="center"/>
                  <w:rPr>
                    <w:b/>
                  </w:rPr>
                </w:pPr>
                <w:r>
                  <w:rPr>
                    <w:rFonts w:hint="eastAsia"/>
                    <w:b/>
                  </w:rPr>
                  <w:t>2023年度</w:t>
                </w:r>
              </w:p>
            </w:sdtContent>
          </w:sdt>
        </w:tc>
      </w:tr>
      <w:tr>
        <w:sdt>
          <w:sdtPr>
            <w:tag w:val="_PLD_d5384e7a1c2841c78793ee2e647fdb97"/>
            <w:id w:val="422314577"/>
          </w:sdtPr>
          <w:sdtContent>
            <w:tc>
              <w:tcPr>
                <w:tcW w:w="5000" w:type="pct"/>
                <w:gridSpan w:val="4"/>
                <w:tcBorders>
                  <w:top w:val="outset" w:sz="4" w:space="0" w:color="auto"/>
                  <w:left w:val="outset" w:sz="4" w:space="0" w:color="auto"/>
                  <w:bottom w:val="outset" w:sz="4" w:space="0" w:color="auto"/>
                  <w:right w:val="outset" w:sz="4" w:space="0" w:color="auto"/>
                </w:tcBorders>
              </w:tcPr>
              <w:p>
                <w:pPr>
                  <w:rPr>
                    <w:szCs w:val="21"/>
                  </w:rPr>
                </w:pPr>
                <w:r>
                  <w:rPr>
                    <w:rFonts w:hint="eastAsia"/>
                    <w:b/>
                    <w:bCs/>
                    <w:szCs w:val="21"/>
                  </w:rPr>
                  <w:t>一、经营活动产生的现金流量：</w:t>
                </w:r>
              </w:p>
            </w:tc>
          </w:sdtContent>
        </w:sdt>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销售商品、提供劳务收到的现金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23,099,244</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32,371,998</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收到的税费返还</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8,609</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收到其他与经营活动有关的现金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2,200,218</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762,249</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经营活动现金流入小计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25,308,071</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33,134,247</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购买商品、接受劳务支付的现金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7,170,563</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10,704,051</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支付给职工及为职工支付的现金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7,795,745</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6,938,746</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支付的各项税费</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3,880,290</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5,727,111</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支付其他与经营活动有关的现金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2,860,789</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3,232,101</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经营活动现金流出小计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21,707,387</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26,602,009</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经营活动产生的现金流量净额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3,600,684</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6,532,238</w:t>
            </w:r>
          </w:p>
        </w:tc>
      </w:tr>
      <w:tr>
        <w:sdt>
          <w:sdtPr>
            <w:tag w:val="_PLD_ea89a8f6b76943769d484d535b94417c"/>
            <w:id w:val="456762569"/>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color w:val="008000"/>
                    <w:szCs w:val="21"/>
                  </w:rPr>
                </w:pPr>
                <w:r>
                  <w:rPr>
                    <w:rFonts w:hint="eastAsia"/>
                    <w:b/>
                    <w:bCs/>
                    <w:szCs w:val="21"/>
                  </w:rPr>
                  <w:t>二、投资活动产生的现金流量：</w:t>
                </w:r>
              </w:p>
            </w:tc>
          </w:sdtContent>
        </w:sdt>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收回投资收到的现金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取得投资收益收到的现金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4,776,789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6,359,415</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处置固定资产、无形资产和其他长期资产收回的现金净额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sz w:val="22"/>
                <w:szCs w:val="22"/>
              </w:rPr>
              <w:t>332</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36,413</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处置子公司及其他营业单位收到的现金净额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收到其他与投资活动有关的现金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8,624,342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9,652,372</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投资活动现金流入小计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13,401,463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16,048,200</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购建固定资产、无形资产和其他长期资产支付的现金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3,946,533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3,975,043</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投资支付的现金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11,933,994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18,682,198</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取得子公司及其他营业单位支付的现金净额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支付其他与投资活动有关的现金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17,358,370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5,132,680</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投资活动现金流出小计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33,238,897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27,789,921</w:t>
            </w:r>
          </w:p>
        </w:tc>
      </w:tr>
      <w:tr>
        <w:tc>
          <w:tcPr>
            <w:tcW w:w="2069" w:type="pct"/>
            <w:tcBorders>
              <w:top w:val="outset" w:sz="4" w:space="0" w:color="auto"/>
              <w:left w:val="outset" w:sz="4" w:space="0" w:color="auto"/>
              <w:bottom w:val="outset" w:sz="4" w:space="0" w:color="auto"/>
              <w:right w:val="outset" w:sz="4" w:space="0" w:color="auto"/>
            </w:tcBorders>
          </w:tcPr>
          <w:p>
            <w:pPr>
              <w:ind w:firstLineChars="300" w:firstLine="630"/>
              <w:rPr>
                <w:color w:val="000000"/>
                <w:szCs w:val="21"/>
              </w:rPr>
            </w:pPr>
            <w:r>
              <w:rPr>
                <w:rFonts w:hint="eastAsia"/>
                <w:szCs w:val="21"/>
              </w:rPr>
              <w:t>投资活动产生的现金流量净额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jc w:val="right"/>
              <w:rPr>
                <w:sz w:val="22"/>
                <w:szCs w:val="22"/>
              </w:rPr>
            </w:pPr>
            <w:r>
              <w:rPr>
                <w:rFonts w:hint="eastAsia"/>
                <w:sz w:val="22"/>
                <w:szCs w:val="22"/>
              </w:rPr>
              <w:t xml:space="preserve">-19,837,434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-11,741,721</w:t>
            </w:r>
          </w:p>
        </w:tc>
      </w:tr>
      <w:tr>
        <w:sdt>
          <w:sdtPr>
            <w:tag w:val="_PLD_8b6929c78db14ee1bde1ca4b9a47a65c"/>
            <w:id w:val="466402123"/>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pPr>
                  <w:rPr>
                    <w:color w:val="008000"/>
                    <w:szCs w:val="21"/>
                  </w:rPr>
                </w:pPr>
                <w:r>
                  <w:rPr>
                    <w:rFonts w:hint="eastAsia"/>
                    <w:b/>
                    <w:bCs/>
                    <w:szCs w:val="21"/>
                  </w:rPr>
                  <w:t>三、筹资活动产生的现金流量：</w:t>
                </w:r>
              </w:p>
            </w:tc>
          </w:sdtContent>
        </w:sdt>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吸收投资收到的现金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17,487,402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5,055,209</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取得借款收到的现金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45,933,323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42,438,850</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收到其他与筹资活动有关的现金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4,580,263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5,018,860</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筹资活动现金流入小计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68,000,988 </w:t>
            </w:r>
          </w:p>
        </w:tc>
        <w:tc>
          <w:tcPr>
            <w:tcW w:w="1074" w:type="pct"/>
            <w:tcBorders>
              <w:top w:val="outset" w:sz="4" w:space="0" w:color="auto"/>
              <w:left w:val="outset" w:sz="4" w:space="0" w:color="auto"/>
              <w:bottom w:val="outset" w:sz="4" w:space="0" w:color="auto"/>
              <w:right w:val="outset" w:sz="4" w:space="0" w:color="auto"/>
            </w:tcBorders>
            <w:vAlign w:val="center"/>
          </w:tcPr>
          <w:p>
            <w:pPr>
              <w:tabs>
                <w:tab w:val="center" w:pos="989"/>
                <w:tab w:val="right" w:pos="1979"/>
              </w:tabs>
              <w:jc w:val="right"/>
              <w:rPr>
                <w:szCs w:val="21"/>
              </w:rPr>
            </w:pPr>
            <w:r>
              <w:rPr>
                <w:szCs w:val="21"/>
              </w:rPr>
              <w:t>52,512,919</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偿还债务支付的现金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30,385,486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25,612,091</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szCs w:val="21"/>
              </w:rPr>
            </w:pPr>
            <w:r>
              <w:rPr>
                <w:rFonts w:hint="eastAsia"/>
                <w:szCs w:val="21"/>
              </w:rPr>
              <w:t>分配股利、利润或偿付利息支付的现金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16,721,331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24,131,483</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支付其他与筹资活动有关的现金</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6,307,696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6,024,083</w:t>
            </w:r>
          </w:p>
        </w:tc>
      </w:tr>
      <w:tr>
        <w:tc>
          <w:tcPr>
            <w:tcW w:w="2069" w:type="pct"/>
            <w:tcBorders>
              <w:top w:val="outset" w:sz="4" w:space="0" w:color="auto"/>
              <w:left w:val="outset" w:sz="4" w:space="0" w:color="auto"/>
              <w:bottom w:val="outset" w:sz="4" w:space="0" w:color="auto"/>
              <w:right w:val="outset" w:sz="4" w:space="0" w:color="auto"/>
            </w:tcBorders>
          </w:tcPr>
          <w:p>
            <w:pPr>
              <w:ind w:firstLineChars="200" w:firstLine="420"/>
              <w:rPr>
                <w:color w:val="000000"/>
                <w:szCs w:val="21"/>
              </w:rPr>
            </w:pPr>
            <w:r>
              <w:rPr>
                <w:rFonts w:hint="eastAsia"/>
                <w:szCs w:val="21"/>
              </w:rPr>
              <w:t>筹资活动现金流出小计</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53,414,513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55,767,657</w:t>
            </w:r>
          </w:p>
        </w:tc>
      </w:tr>
      <w:tr>
        <w:tc>
          <w:tcPr>
            <w:tcW w:w="2069" w:type="pct"/>
            <w:tcBorders>
              <w:top w:val="outset" w:sz="4" w:space="0" w:color="auto"/>
              <w:left w:val="outset" w:sz="4" w:space="0" w:color="auto"/>
              <w:bottom w:val="outset" w:sz="4" w:space="0" w:color="auto"/>
              <w:right w:val="outset" w:sz="4" w:space="0" w:color="auto"/>
            </w:tcBorders>
          </w:tcPr>
          <w:p>
            <w:pPr>
              <w:ind w:firstLineChars="300" w:firstLine="630"/>
              <w:rPr>
                <w:color w:val="000000"/>
                <w:szCs w:val="21"/>
              </w:rPr>
            </w:pPr>
            <w:r>
              <w:rPr>
                <w:rFonts w:hint="eastAsia"/>
                <w:szCs w:val="21"/>
              </w:rPr>
              <w:t>筹资活动产生的现金流量净额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14,586,475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-3,254,738</w:t>
            </w:r>
          </w:p>
        </w:tc>
      </w:tr>
      <w:tr>
        <w:tc>
          <w:tcPr>
            <w:tcW w:w="2069"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四、汇率变动对现金及现金等价物的影响</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61,157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108,243</w:t>
            </w:r>
          </w:p>
        </w:tc>
      </w:tr>
      <w:tr>
        <w:tc>
          <w:tcPr>
            <w:tcW w:w="2069"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五、现金及现金等价物净增加额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-1,589,118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-8,355,978</w:t>
            </w:r>
          </w:p>
        </w:tc>
      </w:tr>
      <w:tr>
        <w:tc>
          <w:tcPr>
            <w:tcW w:w="2069" w:type="pct"/>
            <w:tcBorders>
              <w:top w:val="outset" w:sz="4" w:space="0" w:color="auto"/>
              <w:left w:val="outset" w:sz="4" w:space="0" w:color="auto"/>
              <w:bottom w:val="outset" w:sz="4" w:space="0" w:color="auto"/>
              <w:right w:val="outset" w:sz="4" w:space="0" w:color="auto"/>
            </w:tcBorders>
          </w:tcPr>
          <w:p>
            <w:pPr>
              <w:ind w:firstLineChars="100" w:firstLine="210"/>
              <w:rPr>
                <w:color w:val="000000"/>
                <w:szCs w:val="21"/>
              </w:rPr>
            </w:pPr>
            <w:r>
              <w:rPr>
                <w:rFonts w:hint="eastAsia"/>
                <w:szCs w:val="21"/>
              </w:rPr>
              <w:t>加：期初现金及现金等价物余额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5,445,387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13,801,365</w:t>
            </w:r>
          </w:p>
        </w:tc>
      </w:tr>
      <w:tr>
        <w:tc>
          <w:tcPr>
            <w:tcW w:w="2069" w:type="pct"/>
            <w:tcBorders>
              <w:top w:val="outset" w:sz="4" w:space="0" w:color="auto"/>
              <w:left w:val="outset" w:sz="4" w:space="0" w:color="auto"/>
              <w:bottom w:val="outset" w:sz="4" w:space="0" w:color="auto"/>
              <w:right w:val="outset" w:sz="4" w:space="0" w:color="auto"/>
            </w:tcBorders>
          </w:tcPr>
          <w:p>
            <w:pPr>
              <w:rPr>
                <w:color w:val="000000"/>
                <w:szCs w:val="21"/>
              </w:rPr>
            </w:pPr>
            <w:r>
              <w:rPr>
                <w:rFonts w:hint="eastAsia"/>
                <w:b/>
                <w:bCs/>
                <w:szCs w:val="21"/>
              </w:rPr>
              <w:t>六、期末现金及现金等价物余额</w:t>
            </w:r>
          </w:p>
        </w:tc>
        <w:tc>
          <w:tcPr>
            <w:tcW w:w="779" w:type="pct"/>
            <w:tcBorders>
              <w:top w:val="outset" w:sz="4" w:space="0" w:color="auto"/>
              <w:left w:val="outset" w:sz="4" w:space="0" w:color="auto"/>
              <w:bottom w:val="outset" w:sz="4" w:space="0" w:color="auto"/>
              <w:right w:val="outset" w:sz="4" w:space="0" w:color="auto"/>
            </w:tcBorders>
            <w:vAlign w:val="center"/>
          </w:tcPr>
          <w:p>
            <w:pPr>
              <w:rPr>
                <w:szCs w:val="21"/>
              </w:rPr>
            </w:pPr>
          </w:p>
        </w:tc>
        <w:tc>
          <w:tcPr>
            <w:tcW w:w="1078" w:type="pct"/>
            <w:tcBorders>
              <w:top w:val="outset" w:sz="4" w:space="0" w:color="auto"/>
              <w:left w:val="outset" w:sz="4" w:space="0" w:color="auto"/>
              <w:bottom w:val="outset" w:sz="4" w:space="0" w:color="auto"/>
              <w:right w:val="outset" w:sz="4" w:space="0" w:color="auto"/>
            </w:tcBorders>
            <w:vAlign w:val="center"/>
          </w:tcPr>
          <w:p>
            <w:pPr>
              <w:ind w:right="220"/>
              <w:jc w:val="right"/>
              <w:rPr>
                <w:sz w:val="22"/>
                <w:szCs w:val="22"/>
              </w:rPr>
            </w:pPr>
            <w:r>
              <w:rPr>
                <w:rFonts w:hint="eastAsia"/>
                <w:sz w:val="22"/>
                <w:szCs w:val="22"/>
              </w:rPr>
              <w:t xml:space="preserve">3,856,269 </w:t>
            </w:r>
          </w:p>
        </w:tc>
        <w:tc>
          <w:tcPr>
            <w:tcW w:w="1074" w:type="pct"/>
            <w:tcBorders>
              <w:top w:val="outset" w:sz="4" w:space="0" w:color="auto"/>
              <w:left w:val="outset" w:sz="4" w:space="0" w:color="auto"/>
              <w:bottom w:val="outset" w:sz="4" w:space="0" w:color="auto"/>
              <w:right w:val="outset" w:sz="4" w:space="0" w:color="auto"/>
            </w:tcBorders>
            <w:vAlign w:val="center"/>
          </w:tcPr>
          <w:p>
            <w:pPr>
              <w:jc w:val="right"/>
              <w:rPr>
                <w:szCs w:val="21"/>
              </w:rPr>
            </w:pPr>
            <w:r>
              <w:rPr>
                <w:szCs w:val="21"/>
              </w:rPr>
              <w:t>5,445,387</w:t>
            </w:r>
          </w:p>
        </w:tc>
      </w:tr>
    </w:tbl>
    <w:p>
      <w:pPr>
        <w:pStyle w:val="affffffffffffffffffffffffffffffffe"/>
      </w:pPr>
    </w:p>
    <w:p>
      <w:pPr>
        <w:snapToGrid w:val="0"/>
        <w:spacing w:line="240" w:lineRule="atLeast"/>
        <w:ind w:rightChars="-73" w:right="-15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589756917"/>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t>主管会计工作负责人</w:t>
      </w:r>
      <w:r>
        <w:rPr>
          <w:rFonts w:hint="eastAsia"/>
          <w:szCs w:val="21"/>
        </w:rPr>
        <w:t>：</w:t>
      </w:r>
      <w:sdt>
        <w:sdtPr>
          <w:rPr>
            <w:rFonts w:hint="eastAsia"/>
            <w:szCs w:val="21"/>
          </w:rPr>
          <w:alias w:val="主管会计工作负责人姓名"/>
          <w:tag w:val="_GBC_29443dd8858043c68f8217b05d1e3346"/>
          <w:id w:val="-1045599258"/>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t>会计机构负责人</w:t>
      </w:r>
      <w:r>
        <w:rPr>
          <w:rFonts w:hint="eastAsia"/>
          <w:szCs w:val="21"/>
        </w:rPr>
        <w:t>：</w:t>
      </w:r>
      <w:sdt>
        <w:sdtPr>
          <w:rPr>
            <w:rFonts w:hint="eastAsia"/>
            <w:szCs w:val="21"/>
          </w:rPr>
          <w:alias w:val="会计机构负责人姓名"/>
          <w:tag w:val="_GBC_952065710c0f41709539d877935c1903"/>
          <w:id w:val="-1657754542"/>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bookmarkEnd w:id="317"/>
    <w:p>
      <w:pPr>
        <w:snapToGrid w:val="0"/>
        <w:spacing w:line="240" w:lineRule="atLeast"/>
        <w:ind w:rightChars="-73" w:right="-153"/>
        <w:rPr>
          <w:szCs w:val="21"/>
        </w:rPr>
        <w:sectPr>
          <w:pgSz w:w="11906" w:h="16838"/>
          <w:pgMar w:top="1525" w:right="1276" w:bottom="1440" w:left="1797" w:header="856" w:footer="992" w:gutter="0"/>
          <w:cols w:space="425"/>
          <w:docGrid w:linePitch="312"/>
        </w:sectPr>
      </w:pPr>
    </w:p>
    <w:p>
      <w:pPr>
        <w:tabs>
          <w:tab w:val="left" w:pos="10080"/>
        </w:tabs>
        <w:snapToGrid w:val="0"/>
        <w:spacing w:line="240" w:lineRule="atLeast"/>
        <w:ind w:rightChars="12" w:right="25"/>
        <w:jc w:val="center"/>
        <w:rPr>
          <w:b/>
          <w:szCs w:val="21"/>
        </w:rPr>
      </w:pPr>
      <w:bookmarkStart w:id="318" w:name="_Hlk533930052"/>
    </w:p>
    <w:p>
      <w:pPr>
        <w:tabs>
          <w:tab w:val="left" w:pos="10080"/>
        </w:tabs>
        <w:snapToGrid w:val="0"/>
        <w:spacing w:line="240" w:lineRule="atLeast"/>
        <w:ind w:rightChars="12" w:right="25"/>
        <w:jc w:val="center"/>
        <w:outlineLvl w:val="2"/>
        <w:rPr>
          <w:b/>
          <w:szCs w:val="21"/>
        </w:rPr>
      </w:pPr>
      <w:r>
        <w:rPr>
          <w:b/>
          <w:szCs w:val="21"/>
        </w:rPr>
        <w:t>合并</w:t>
      </w:r>
      <w:r>
        <w:rPr>
          <w:rFonts w:hint="eastAsia"/>
          <w:b/>
          <w:szCs w:val="21"/>
        </w:rPr>
        <w:t>所有者权益变动表</w:t>
      </w:r>
    </w:p>
    <w:p>
      <w:pPr>
        <w:tabs>
          <w:tab w:val="left" w:pos="10080"/>
        </w:tabs>
        <w:snapToGrid w:val="0"/>
        <w:spacing w:line="240" w:lineRule="atLeast"/>
        <w:ind w:rightChars="12" w:right="25"/>
        <w:jc w:val="center"/>
        <w:rPr>
          <w:szCs w:val="21"/>
        </w:rPr>
      </w:pPr>
      <w:r>
        <w:rPr>
          <w:szCs w:val="21"/>
        </w:rPr>
        <w:t>2024年</w:t>
      </w:r>
      <w:r>
        <w:rPr>
          <w:rFonts w:hint="eastAsia"/>
          <w:szCs w:val="21"/>
        </w:rPr>
        <w:t>1—12月</w:t>
      </w:r>
    </w:p>
    <w:p>
      <w:pPr>
        <w:tabs>
          <w:tab w:val="left" w:pos="10080"/>
        </w:tabs>
        <w:snapToGrid w:val="0"/>
        <w:spacing w:line="240" w:lineRule="atLeast"/>
        <w:jc w:val="right"/>
        <w:rPr>
          <w:szCs w:val="21"/>
        </w:rPr>
      </w:pPr>
      <w:r>
        <w:rPr>
          <w:szCs w:val="21"/>
        </w:rPr>
        <w:t>单位</w:t>
      </w:r>
      <w:r>
        <w:rPr>
          <w:rFonts w:hint="eastAsia"/>
          <w:szCs w:val="21"/>
        </w:rPr>
        <w:t>：</w:t>
      </w:r>
      <w:sdt>
        <w:sdtPr>
          <w:rPr>
            <w:szCs w:val="21"/>
          </w:rPr>
          <w:alias w:val="单位：合并股东权益调节表"/>
          <w:tag w:val="_GBC_57faea4e453e49ad93821b7dd6ce8bc4"/>
          <w:id w:val="976109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r>
        <w:rPr>
          <w:rFonts w:hint="eastAsia"/>
          <w:szCs w:val="21"/>
        </w:rPr>
        <w:t>：</w:t>
      </w:r>
      <w:sdt>
        <w:sdtPr>
          <w:rPr>
            <w:szCs w:val="21"/>
          </w:rPr>
          <w:alias w:val="币种：合并股东权益调节表"/>
          <w:tag w:val="_GBC_cef77704267643d794145c73763360e5"/>
          <w:id w:val="210236935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4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80"/>
        <w:gridCol w:w="1161"/>
        <w:gridCol w:w="385"/>
        <w:gridCol w:w="1079"/>
        <w:gridCol w:w="506"/>
        <w:gridCol w:w="870"/>
        <w:gridCol w:w="818"/>
        <w:gridCol w:w="991"/>
        <w:gridCol w:w="991"/>
        <w:gridCol w:w="991"/>
        <w:gridCol w:w="388"/>
        <w:gridCol w:w="1349"/>
        <w:gridCol w:w="236"/>
        <w:gridCol w:w="1079"/>
        <w:gridCol w:w="1079"/>
        <w:gridCol w:w="1152"/>
      </w:tblGrid>
      <w:tr>
        <w:trPr>
          <w:jc w:val="center"/>
        </w:trPr>
        <w:tc>
          <w:tcPr>
            <w:tcW w:w="686" w:type="pct"/>
            <w:vMerge w:val="restart"/>
            <w:vAlign w:val="center"/>
          </w:tcPr>
          <w:sdt>
            <w:sdtPr>
              <w:rPr>
                <w:sz w:val="18"/>
                <w:szCs w:val="18"/>
              </w:rPr>
              <w:tag w:val="_PLD_245a9e71ca1b403fad3a821efeb272de"/>
              <w:id w:val="1034462522"/>
            </w:sdtPr>
            <w:sdtContent>
              <w:p>
                <w:pPr>
                  <w:snapToGrid w:val="0"/>
                  <w:spacing w:line="240" w:lineRule="atLeast"/>
                  <w:jc w:val="center"/>
                  <w:rPr>
                    <w:sz w:val="18"/>
                    <w:szCs w:val="18"/>
                  </w:rPr>
                </w:pPr>
                <w:r>
                  <w:rPr>
                    <w:rFonts w:hint="eastAsia"/>
                    <w:sz w:val="18"/>
                    <w:szCs w:val="18"/>
                  </w:rPr>
                  <w:t>项目</w:t>
                </w:r>
              </w:p>
            </w:sdtContent>
          </w:sdt>
        </w:tc>
        <w:tc>
          <w:tcPr>
            <w:tcW w:w="4314" w:type="pct"/>
            <w:gridSpan w:val="15"/>
            <w:vAlign w:val="center"/>
          </w:tcPr>
          <w:p>
            <w:pPr>
              <w:snapToGrid w:val="0"/>
              <w:spacing w:line="240" w:lineRule="atLeast"/>
              <w:ind w:rightChars="-759" w:right="-1594"/>
              <w:jc w:val="center"/>
              <w:rPr>
                <w:sz w:val="18"/>
                <w:szCs w:val="18"/>
              </w:rPr>
            </w:pPr>
            <w:r>
              <w:rPr>
                <w:rFonts w:hint="eastAsia"/>
                <w:sz w:val="18"/>
                <w:szCs w:val="18"/>
              </w:rPr>
              <w:t xml:space="preserve"> </w:t>
            </w:r>
            <w:sdt>
              <w:sdtPr>
                <w:rPr>
                  <w:sz w:val="18"/>
                  <w:szCs w:val="18"/>
                </w:rPr>
                <w:tag w:val="_PLD_74b2c30f72fb403387c8b0e2a353f994"/>
                <w:id w:val="39101627"/>
              </w:sdtPr>
              <w:sdtContent>
                <w:r>
                  <w:rPr>
                    <w:rFonts w:hint="eastAsia"/>
                    <w:sz w:val="18"/>
                    <w:szCs w:val="18"/>
                  </w:rPr>
                  <w:t>2024年度</w:t>
                </w:r>
              </w:sdtContent>
            </w:sdt>
          </w:p>
        </w:tc>
      </w:tr>
      <w:tr>
        <w:trPr>
          <w:trHeight w:val="540"/>
          <w:jc w:val="center"/>
        </w:trPr>
        <w:tc>
          <w:tcPr>
            <w:tcW w:w="686" w:type="pct"/>
            <w:vMerge/>
          </w:tcPr>
          <w:p>
            <w:pPr>
              <w:snapToGrid w:val="0"/>
              <w:spacing w:line="240" w:lineRule="atLeast"/>
              <w:ind w:rightChars="-759" w:right="-1594"/>
              <w:rPr>
                <w:sz w:val="18"/>
                <w:szCs w:val="18"/>
              </w:rPr>
            </w:pPr>
          </w:p>
        </w:tc>
        <w:sdt>
          <w:sdtPr>
            <w:rPr>
              <w:sz w:val="18"/>
              <w:szCs w:val="18"/>
            </w:rPr>
            <w:tag w:val="_PLD_48b1c4daa55343f0a820ecc94c441958"/>
            <w:id w:val="115188095"/>
          </w:sdtPr>
          <w:sdtContent>
            <w:tc>
              <w:tcPr>
                <w:tcW w:w="3578" w:type="pct"/>
                <w:gridSpan w:val="13"/>
                <w:vAlign w:val="center"/>
              </w:tcPr>
              <w:p>
                <w:pPr>
                  <w:jc w:val="center"/>
                  <w:rPr>
                    <w:sz w:val="18"/>
                    <w:szCs w:val="18"/>
                  </w:rPr>
                </w:pPr>
                <w:r>
                  <w:rPr>
                    <w:sz w:val="18"/>
                    <w:szCs w:val="18"/>
                  </w:rPr>
                  <w:t>归属于母公司所有者权益</w:t>
                </w:r>
              </w:p>
            </w:tc>
          </w:sdtContent>
        </w:sdt>
        <w:sdt>
          <w:sdtPr>
            <w:rPr>
              <w:sz w:val="18"/>
              <w:szCs w:val="18"/>
            </w:rPr>
            <w:tag w:val="_PLD_de4010a56d78401ebd4bb48e62167082"/>
            <w:id w:val="-609590549"/>
          </w:sdtPr>
          <w:sdtContent>
            <w:tc>
              <w:tcPr>
                <w:tcW w:w="356" w:type="pct"/>
                <w:vMerge w:val="restart"/>
                <w:vAlign w:val="center"/>
              </w:tcPr>
              <w:p>
                <w:pPr>
                  <w:jc w:val="center"/>
                  <w:rPr>
                    <w:sz w:val="18"/>
                    <w:szCs w:val="18"/>
                  </w:rPr>
                </w:pPr>
                <w:r>
                  <w:rPr>
                    <w:sz w:val="18"/>
                    <w:szCs w:val="18"/>
                  </w:rPr>
                  <w:t>少数股东权益</w:t>
                </w:r>
              </w:p>
            </w:tc>
          </w:sdtContent>
        </w:sdt>
        <w:sdt>
          <w:sdtPr>
            <w:rPr>
              <w:sz w:val="18"/>
              <w:szCs w:val="18"/>
            </w:rPr>
            <w:tag w:val="_PLD_ff9bc6143ed9429e80e1ed144f5ff16d"/>
            <w:id w:val="1004632041"/>
          </w:sdtPr>
          <w:sdtContent>
            <w:tc>
              <w:tcPr>
                <w:tcW w:w="380" w:type="pct"/>
                <w:vMerge w:val="restart"/>
                <w:vAlign w:val="center"/>
              </w:tcPr>
              <w:p>
                <w:pPr>
                  <w:jc w:val="center"/>
                  <w:rPr>
                    <w:sz w:val="18"/>
                    <w:szCs w:val="18"/>
                  </w:rPr>
                </w:pPr>
                <w:r>
                  <w:rPr>
                    <w:sz w:val="18"/>
                    <w:szCs w:val="18"/>
                  </w:rPr>
                  <w:t>所有者权益合计</w:t>
                </w:r>
              </w:p>
            </w:tc>
          </w:sdtContent>
        </w:sdt>
      </w:tr>
      <w:tr>
        <w:trPr>
          <w:trHeight w:val="352"/>
          <w:jc w:val="center"/>
        </w:trPr>
        <w:tc>
          <w:tcPr>
            <w:tcW w:w="686" w:type="pct"/>
            <w:vMerge/>
          </w:tcPr>
          <w:p>
            <w:pPr>
              <w:snapToGrid w:val="0"/>
              <w:spacing w:line="240" w:lineRule="atLeast"/>
              <w:ind w:rightChars="-759" w:right="-1594"/>
              <w:rPr>
                <w:sz w:val="18"/>
                <w:szCs w:val="18"/>
              </w:rPr>
            </w:pPr>
          </w:p>
        </w:tc>
        <w:sdt>
          <w:sdtPr>
            <w:rPr>
              <w:sz w:val="18"/>
              <w:szCs w:val="18"/>
            </w:rPr>
            <w:tag w:val="_PLD_2a43f0f223d141f0855f6cbb9e60b12f"/>
            <w:id w:val="1896162388"/>
          </w:sdtPr>
          <w:sdtContent>
            <w:tc>
              <w:tcPr>
                <w:tcW w:w="383" w:type="pct"/>
                <w:vMerge w:val="restart"/>
                <w:vAlign w:val="center"/>
              </w:tcPr>
              <w:p>
                <w:pPr>
                  <w:snapToGrid w:val="0"/>
                  <w:spacing w:line="240" w:lineRule="atLeast"/>
                  <w:jc w:val="center"/>
                  <w:rPr>
                    <w:sz w:val="18"/>
                    <w:szCs w:val="18"/>
                  </w:rPr>
                </w:pPr>
                <w:r>
                  <w:rPr>
                    <w:rFonts w:hint="eastAsia"/>
                    <w:sz w:val="18"/>
                    <w:szCs w:val="18"/>
                  </w:rPr>
                  <w:t>实收资本(或股本)</w:t>
                </w:r>
              </w:p>
            </w:tc>
          </w:sdtContent>
        </w:sdt>
        <w:sdt>
          <w:sdtPr>
            <w:rPr>
              <w:sz w:val="18"/>
              <w:szCs w:val="18"/>
            </w:rPr>
            <w:tag w:val="_PLD_39cb94703877409e9e50d4bf964d43e4"/>
            <w:id w:val="86201589"/>
          </w:sdtPr>
          <w:sdtContent>
            <w:tc>
              <w:tcPr>
                <w:tcW w:w="650"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rPr>
              <w:sz w:val="18"/>
              <w:szCs w:val="18"/>
            </w:rPr>
            <w:tag w:val="_PLD_0a2a84969d8f4cc5ab2f59451a4cf45c"/>
            <w:id w:val="-1937668843"/>
          </w:sdtPr>
          <w:sdtContent>
            <w:tc>
              <w:tcPr>
                <w:tcW w:w="287"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rPr>
              <w:sz w:val="18"/>
              <w:szCs w:val="18"/>
            </w:rPr>
            <w:tag w:val="_PLD_3eb4af6d758d4787987e21e90e79351d"/>
            <w:id w:val="-805464880"/>
          </w:sdtPr>
          <w:sdtContent>
            <w:tc>
              <w:tcPr>
                <w:tcW w:w="270"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rPr>
              <w:sz w:val="18"/>
              <w:szCs w:val="18"/>
            </w:rPr>
            <w:tag w:val="_PLD_63b36aa6d5e74a289a4f2e40e95da929"/>
            <w:id w:val="1392304682"/>
          </w:sdtPr>
          <w:sdtContent>
            <w:tc>
              <w:tcPr>
                <w:tcW w:w="327"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rPr>
              <w:sz w:val="18"/>
              <w:szCs w:val="18"/>
            </w:rPr>
            <w:tag w:val="_PLD_1560331b8c2f411cb5a844cb35b3d2b6"/>
            <w:id w:val="-977298941"/>
          </w:sdtPr>
          <w:sdtContent>
            <w:tc>
              <w:tcPr>
                <w:tcW w:w="327"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rPr>
              <w:sz w:val="18"/>
              <w:szCs w:val="18"/>
            </w:rPr>
            <w:tag w:val="_PLD_6f43f79cacca48dca49685537156084f"/>
            <w:id w:val="-1123385763"/>
          </w:sdtPr>
          <w:sdtContent>
            <w:tc>
              <w:tcPr>
                <w:tcW w:w="327"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rPr>
              <w:sz w:val="18"/>
              <w:szCs w:val="18"/>
            </w:rPr>
            <w:tag w:val="_PLD_56a430dce9564c199812862caead59b2"/>
            <w:id w:val="501250659"/>
          </w:sdtPr>
          <w:sdtContent>
            <w:tc>
              <w:tcPr>
                <w:tcW w:w="128"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rPr>
              <w:sz w:val="18"/>
              <w:szCs w:val="18"/>
            </w:rPr>
            <w:tag w:val="_PLD_cbc8cc4f323b4146bc3e0b624cb6a030"/>
            <w:id w:val="1917981823"/>
          </w:sdtPr>
          <w:sdtContent>
            <w:tc>
              <w:tcPr>
                <w:tcW w:w="445"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78" w:type="pct"/>
            <w:vMerge w:val="restart"/>
            <w:vAlign w:val="center"/>
          </w:tcPr>
          <w:sdt>
            <w:sdtPr>
              <w:rPr>
                <w:sz w:val="18"/>
                <w:szCs w:val="18"/>
              </w:rPr>
              <w:tag w:val="_PLD_b504a77359e042b99ce9a2513e44008d"/>
              <w:id w:val="-1934123478"/>
            </w:sdtPr>
            <w:sdtContent>
              <w:p>
                <w:pPr>
                  <w:jc w:val="center"/>
                  <w:rPr>
                    <w:sz w:val="18"/>
                    <w:szCs w:val="18"/>
                  </w:rPr>
                </w:pPr>
                <w:r>
                  <w:rPr>
                    <w:rFonts w:hint="eastAsia"/>
                    <w:sz w:val="18"/>
                    <w:szCs w:val="18"/>
                  </w:rPr>
                  <w:t>其他</w:t>
                </w:r>
              </w:p>
            </w:sdtContent>
          </w:sdt>
        </w:tc>
        <w:tc>
          <w:tcPr>
            <w:tcW w:w="356" w:type="pct"/>
            <w:vMerge w:val="restart"/>
            <w:vAlign w:val="center"/>
          </w:tcPr>
          <w:sdt>
            <w:sdtPr>
              <w:rPr>
                <w:sz w:val="18"/>
                <w:szCs w:val="18"/>
              </w:rPr>
              <w:tag w:val="_PLD_30b039ff7c714652865f3029df27082b"/>
              <w:id w:val="510273512"/>
            </w:sdtPr>
            <w:sdtContent>
              <w:p>
                <w:pPr>
                  <w:jc w:val="center"/>
                  <w:rPr>
                    <w:sz w:val="18"/>
                    <w:szCs w:val="18"/>
                  </w:rPr>
                </w:pPr>
                <w:r>
                  <w:rPr>
                    <w:rFonts w:hint="eastAsia"/>
                    <w:sz w:val="18"/>
                    <w:szCs w:val="18"/>
                  </w:rPr>
                  <w:t>小计</w:t>
                </w:r>
              </w:p>
            </w:sdtContent>
          </w:sdt>
        </w:tc>
        <w:tc>
          <w:tcPr>
            <w:tcW w:w="356" w:type="pct"/>
            <w:vMerge/>
          </w:tcPr>
          <w:p>
            <w:pPr>
              <w:jc w:val="center"/>
              <w:rPr>
                <w:sz w:val="18"/>
                <w:szCs w:val="18"/>
              </w:rPr>
            </w:pPr>
          </w:p>
        </w:tc>
        <w:tc>
          <w:tcPr>
            <w:tcW w:w="380" w:type="pct"/>
            <w:vMerge/>
          </w:tcPr>
          <w:p>
            <w:pPr>
              <w:jc w:val="center"/>
              <w:rPr>
                <w:sz w:val="18"/>
                <w:szCs w:val="18"/>
              </w:rPr>
            </w:pPr>
          </w:p>
        </w:tc>
      </w:tr>
      <w:tr>
        <w:trPr>
          <w:trHeight w:val="345"/>
          <w:jc w:val="center"/>
        </w:trPr>
        <w:tc>
          <w:tcPr>
            <w:tcW w:w="686" w:type="pct"/>
            <w:vMerge/>
          </w:tcPr>
          <w:p>
            <w:pPr>
              <w:snapToGrid w:val="0"/>
              <w:spacing w:line="240" w:lineRule="atLeast"/>
              <w:ind w:rightChars="-759" w:right="-1594"/>
              <w:rPr>
                <w:sz w:val="18"/>
                <w:szCs w:val="18"/>
              </w:rPr>
            </w:pPr>
          </w:p>
        </w:tc>
        <w:tc>
          <w:tcPr>
            <w:tcW w:w="383" w:type="pct"/>
            <w:vMerge/>
          </w:tcPr>
          <w:p>
            <w:pPr>
              <w:snapToGrid w:val="0"/>
              <w:spacing w:line="240" w:lineRule="atLeast"/>
              <w:jc w:val="center"/>
              <w:rPr>
                <w:sz w:val="18"/>
                <w:szCs w:val="18"/>
              </w:rPr>
            </w:pPr>
          </w:p>
        </w:tc>
        <w:sdt>
          <w:sdtPr>
            <w:rPr>
              <w:sz w:val="18"/>
              <w:szCs w:val="18"/>
            </w:rPr>
            <w:tag w:val="_PLD_b607c17c743149d295a2a79708dbacd2"/>
            <w:id w:val="910198759"/>
          </w:sdtPr>
          <w:sdtContent>
            <w:tc>
              <w:tcPr>
                <w:tcW w:w="127" w:type="pct"/>
                <w:vAlign w:val="center"/>
              </w:tcPr>
              <w:p>
                <w:pPr>
                  <w:snapToGrid w:val="0"/>
                  <w:spacing w:line="240" w:lineRule="atLeast"/>
                  <w:jc w:val="center"/>
                  <w:rPr>
                    <w:sz w:val="18"/>
                    <w:szCs w:val="18"/>
                  </w:rPr>
                </w:pPr>
                <w:r>
                  <w:rPr>
                    <w:rFonts w:hint="eastAsia"/>
                    <w:sz w:val="18"/>
                    <w:szCs w:val="18"/>
                  </w:rPr>
                  <w:t>优先股</w:t>
                </w:r>
              </w:p>
            </w:tc>
          </w:sdtContent>
        </w:sdt>
        <w:sdt>
          <w:sdtPr>
            <w:rPr>
              <w:sz w:val="18"/>
              <w:szCs w:val="18"/>
            </w:rPr>
            <w:tag w:val="_PLD_ff95d9a5f43c439aac9ba6d07675d878"/>
            <w:id w:val="-10606680"/>
          </w:sdtPr>
          <w:sdtContent>
            <w:tc>
              <w:tcPr>
                <w:tcW w:w="356" w:type="pct"/>
                <w:vAlign w:val="center"/>
              </w:tcPr>
              <w:p>
                <w:pPr>
                  <w:snapToGrid w:val="0"/>
                  <w:spacing w:line="240" w:lineRule="atLeast"/>
                  <w:jc w:val="center"/>
                  <w:rPr>
                    <w:sz w:val="18"/>
                    <w:szCs w:val="18"/>
                  </w:rPr>
                </w:pPr>
                <w:r>
                  <w:rPr>
                    <w:rFonts w:hint="eastAsia"/>
                    <w:sz w:val="18"/>
                    <w:szCs w:val="18"/>
                  </w:rPr>
                  <w:t>永续债</w:t>
                </w:r>
              </w:p>
            </w:tc>
          </w:sdtContent>
        </w:sdt>
        <w:sdt>
          <w:sdtPr>
            <w:rPr>
              <w:sz w:val="18"/>
              <w:szCs w:val="18"/>
            </w:rPr>
            <w:tag w:val="_PLD_172b1cd40c094b6fa71aba6fe6a10f81"/>
            <w:id w:val="-1285722808"/>
          </w:sdtPr>
          <w:sdtContent>
            <w:tc>
              <w:tcPr>
                <w:tcW w:w="167" w:type="pct"/>
                <w:vAlign w:val="center"/>
              </w:tcPr>
              <w:p>
                <w:pPr>
                  <w:snapToGrid w:val="0"/>
                  <w:spacing w:line="240" w:lineRule="atLeast"/>
                  <w:jc w:val="center"/>
                  <w:rPr>
                    <w:sz w:val="18"/>
                    <w:szCs w:val="18"/>
                  </w:rPr>
                </w:pPr>
                <w:r>
                  <w:rPr>
                    <w:rFonts w:hint="eastAsia"/>
                    <w:sz w:val="18"/>
                    <w:szCs w:val="18"/>
                  </w:rPr>
                  <w:t>其他</w:t>
                </w:r>
              </w:p>
            </w:tc>
          </w:sdtContent>
        </w:sdt>
        <w:tc>
          <w:tcPr>
            <w:tcW w:w="287" w:type="pct"/>
            <w:vMerge/>
          </w:tcPr>
          <w:p>
            <w:pPr>
              <w:snapToGrid w:val="0"/>
              <w:spacing w:line="240" w:lineRule="atLeast"/>
              <w:jc w:val="center"/>
              <w:rPr>
                <w:sz w:val="18"/>
                <w:szCs w:val="18"/>
              </w:rPr>
            </w:pPr>
          </w:p>
        </w:tc>
        <w:tc>
          <w:tcPr>
            <w:tcW w:w="270" w:type="pct"/>
            <w:vMerge/>
          </w:tcPr>
          <w:p>
            <w:pPr>
              <w:snapToGrid w:val="0"/>
              <w:spacing w:line="240" w:lineRule="atLeast"/>
              <w:jc w:val="center"/>
              <w:rPr>
                <w:sz w:val="18"/>
                <w:szCs w:val="18"/>
              </w:rPr>
            </w:pPr>
          </w:p>
        </w:tc>
        <w:tc>
          <w:tcPr>
            <w:tcW w:w="327" w:type="pct"/>
            <w:vMerge/>
          </w:tcPr>
          <w:p>
            <w:pPr>
              <w:snapToGrid w:val="0"/>
              <w:spacing w:line="240" w:lineRule="atLeast"/>
              <w:jc w:val="center"/>
              <w:rPr>
                <w:sz w:val="18"/>
                <w:szCs w:val="18"/>
              </w:rPr>
            </w:pPr>
          </w:p>
        </w:tc>
        <w:tc>
          <w:tcPr>
            <w:tcW w:w="327" w:type="pct"/>
            <w:vMerge/>
          </w:tcPr>
          <w:p>
            <w:pPr>
              <w:snapToGrid w:val="0"/>
              <w:spacing w:line="240" w:lineRule="atLeast"/>
              <w:jc w:val="center"/>
              <w:rPr>
                <w:sz w:val="18"/>
                <w:szCs w:val="18"/>
              </w:rPr>
            </w:pPr>
          </w:p>
        </w:tc>
        <w:tc>
          <w:tcPr>
            <w:tcW w:w="327" w:type="pct"/>
            <w:vMerge/>
          </w:tcPr>
          <w:p>
            <w:pPr>
              <w:snapToGrid w:val="0"/>
              <w:spacing w:line="240" w:lineRule="atLeast"/>
              <w:jc w:val="center"/>
              <w:rPr>
                <w:sz w:val="18"/>
                <w:szCs w:val="18"/>
              </w:rPr>
            </w:pPr>
          </w:p>
        </w:tc>
        <w:tc>
          <w:tcPr>
            <w:tcW w:w="128" w:type="pct"/>
            <w:vMerge/>
          </w:tcPr>
          <w:p>
            <w:pPr>
              <w:snapToGrid w:val="0"/>
              <w:spacing w:line="240" w:lineRule="atLeast"/>
              <w:jc w:val="center"/>
              <w:rPr>
                <w:sz w:val="18"/>
                <w:szCs w:val="18"/>
              </w:rPr>
            </w:pPr>
          </w:p>
        </w:tc>
        <w:tc>
          <w:tcPr>
            <w:tcW w:w="445" w:type="pct"/>
            <w:vMerge/>
          </w:tcPr>
          <w:p>
            <w:pPr>
              <w:snapToGrid w:val="0"/>
              <w:spacing w:line="240" w:lineRule="atLeast"/>
              <w:jc w:val="center"/>
              <w:rPr>
                <w:sz w:val="18"/>
                <w:szCs w:val="18"/>
              </w:rPr>
            </w:pPr>
          </w:p>
        </w:tc>
        <w:tc>
          <w:tcPr>
            <w:tcW w:w="78" w:type="pct"/>
            <w:vMerge/>
          </w:tcPr>
          <w:p>
            <w:pPr>
              <w:jc w:val="center"/>
              <w:rPr>
                <w:sz w:val="18"/>
                <w:szCs w:val="18"/>
              </w:rPr>
            </w:pPr>
          </w:p>
        </w:tc>
        <w:tc>
          <w:tcPr>
            <w:tcW w:w="356" w:type="pct"/>
            <w:vMerge/>
          </w:tcPr>
          <w:p>
            <w:pPr>
              <w:jc w:val="center"/>
              <w:rPr>
                <w:sz w:val="18"/>
                <w:szCs w:val="18"/>
              </w:rPr>
            </w:pPr>
          </w:p>
        </w:tc>
        <w:tc>
          <w:tcPr>
            <w:tcW w:w="356" w:type="pct"/>
            <w:vMerge/>
          </w:tcPr>
          <w:p>
            <w:pPr>
              <w:jc w:val="center"/>
              <w:rPr>
                <w:sz w:val="18"/>
                <w:szCs w:val="18"/>
              </w:rPr>
            </w:pPr>
          </w:p>
        </w:tc>
        <w:tc>
          <w:tcPr>
            <w:tcW w:w="380" w:type="pct"/>
            <w:vMerge/>
            <w:tcBorders>
              <w:bottom w:val="nil"/>
            </w:tcBorders>
          </w:tcPr>
          <w:p>
            <w:pPr>
              <w:jc w:val="center"/>
              <w:rPr>
                <w:sz w:val="18"/>
                <w:szCs w:val="18"/>
              </w:rPr>
            </w:pPr>
          </w:p>
        </w:tc>
      </w:tr>
      <w:tr>
        <w:trPr>
          <w:jc w:val="center"/>
        </w:trPr>
        <w:sdt>
          <w:sdtPr>
            <w:rPr>
              <w:sz w:val="18"/>
              <w:szCs w:val="18"/>
            </w:rPr>
            <w:tag w:val="_PLD_4fdfc5e6b5c34cfdb08e5d5e3943966e"/>
            <w:id w:val="-843933565"/>
          </w:sdtPr>
          <w:sdtContent>
            <w:tc>
              <w:tcPr>
                <w:tcW w:w="686" w:type="pct"/>
              </w:tcPr>
              <w:p>
                <w:pPr>
                  <w:rPr>
                    <w:sz w:val="18"/>
                    <w:szCs w:val="18"/>
                  </w:rPr>
                </w:pPr>
                <w:r>
                  <w:rPr>
                    <w:sz w:val="18"/>
                    <w:szCs w:val="18"/>
                  </w:rPr>
                  <w:t>一、上年</w:t>
                </w:r>
                <w:r>
                  <w:rPr>
                    <w:rFonts w:hint="eastAsia"/>
                    <w:sz w:val="18"/>
                    <w:szCs w:val="18"/>
                  </w:rPr>
                  <w:t>年</w:t>
                </w:r>
                <w:r>
                  <w:rPr>
                    <w:sz w:val="18"/>
                    <w:szCs w:val="18"/>
                  </w:rPr>
                  <w:t>末余额</w:t>
                </w:r>
              </w:p>
            </w:tc>
          </w:sdtContent>
        </w:sdt>
        <w:tc>
          <w:tcPr>
            <w:tcW w:w="383" w:type="pct"/>
            <w:vAlign w:val="center"/>
          </w:tcPr>
          <w:p>
            <w:pPr>
              <w:jc w:val="right"/>
              <w:rPr>
                <w:sz w:val="18"/>
                <w:szCs w:val="18"/>
              </w:rPr>
            </w:pPr>
            <w:r>
              <w:rPr>
                <w:sz w:val="18"/>
                <w:szCs w:val="18"/>
              </w:rPr>
              <w:t>7,439,371</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16,541,777</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-79,104</w:t>
            </w:r>
          </w:p>
        </w:tc>
        <w:tc>
          <w:tcPr>
            <w:tcW w:w="270" w:type="pct"/>
            <w:vAlign w:val="center"/>
          </w:tcPr>
          <w:p>
            <w:pPr>
              <w:jc w:val="right"/>
              <w:rPr>
                <w:sz w:val="18"/>
                <w:szCs w:val="18"/>
              </w:rPr>
            </w:pPr>
            <w:r>
              <w:rPr>
                <w:sz w:val="18"/>
                <w:szCs w:val="18"/>
              </w:rPr>
              <w:t>324,980</w:t>
            </w:r>
          </w:p>
        </w:tc>
        <w:tc>
          <w:tcPr>
            <w:tcW w:w="327" w:type="pct"/>
            <w:vAlign w:val="center"/>
          </w:tcPr>
          <w:p>
            <w:pPr>
              <w:jc w:val="right"/>
              <w:rPr>
                <w:sz w:val="18"/>
                <w:szCs w:val="18"/>
              </w:rPr>
            </w:pPr>
            <w:r>
              <w:rPr>
                <w:sz w:val="18"/>
                <w:szCs w:val="18"/>
              </w:rPr>
              <w:t>-6,334,716</w:t>
            </w:r>
          </w:p>
        </w:tc>
        <w:tc>
          <w:tcPr>
            <w:tcW w:w="327" w:type="pct"/>
            <w:vAlign w:val="center"/>
          </w:tcPr>
          <w:p>
            <w:pPr>
              <w:jc w:val="right"/>
              <w:rPr>
                <w:sz w:val="18"/>
                <w:szCs w:val="18"/>
              </w:rPr>
            </w:pPr>
            <w:r>
              <w:rPr>
                <w:sz w:val="18"/>
                <w:szCs w:val="18"/>
              </w:rPr>
              <w:t>3,586,505</w:t>
            </w:r>
          </w:p>
        </w:tc>
        <w:tc>
          <w:tcPr>
            <w:tcW w:w="327" w:type="pct"/>
            <w:vAlign w:val="center"/>
          </w:tcPr>
          <w:p>
            <w:pPr>
              <w:jc w:val="right"/>
              <w:rPr>
                <w:sz w:val="18"/>
                <w:szCs w:val="18"/>
              </w:rPr>
            </w:pPr>
            <w:r>
              <w:rPr>
                <w:sz w:val="18"/>
                <w:szCs w:val="18"/>
              </w:rPr>
              <w:t>1,663,815</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50,201,234</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72,693,902</w:t>
            </w:r>
          </w:p>
        </w:tc>
        <w:tc>
          <w:tcPr>
            <w:tcW w:w="356" w:type="pct"/>
            <w:vAlign w:val="center"/>
          </w:tcPr>
          <w:p>
            <w:pPr>
              <w:jc w:val="right"/>
              <w:rPr>
                <w:sz w:val="18"/>
                <w:szCs w:val="18"/>
              </w:rPr>
            </w:pPr>
            <w:r>
              <w:rPr>
                <w:sz w:val="18"/>
                <w:szCs w:val="18"/>
              </w:rPr>
              <w:t>45,639,782</w:t>
            </w:r>
          </w:p>
        </w:tc>
        <w:tc>
          <w:tcPr>
            <w:tcW w:w="380" w:type="pct"/>
            <w:vAlign w:val="center"/>
          </w:tcPr>
          <w:p>
            <w:pPr>
              <w:jc w:val="right"/>
              <w:rPr>
                <w:sz w:val="18"/>
                <w:szCs w:val="18"/>
              </w:rPr>
            </w:pPr>
            <w:r>
              <w:rPr>
                <w:sz w:val="18"/>
                <w:szCs w:val="18"/>
              </w:rPr>
              <w:t>118,333,684</w:t>
            </w:r>
          </w:p>
        </w:tc>
      </w:tr>
      <w:tr>
        <w:trPr>
          <w:jc w:val="center"/>
        </w:trPr>
        <w:sdt>
          <w:sdtPr>
            <w:rPr>
              <w:sz w:val="18"/>
              <w:szCs w:val="18"/>
            </w:rPr>
            <w:tag w:val="_PLD_90f04cf20717467298c2824a1c7b2f71"/>
            <w:id w:val="734120751"/>
          </w:sdtPr>
          <w:sdtContent>
            <w:tc>
              <w:tcPr>
                <w:tcW w:w="686" w:type="pct"/>
              </w:tcPr>
              <w:p>
                <w:pPr>
                  <w:rPr>
                    <w:sz w:val="18"/>
                    <w:szCs w:val="18"/>
                  </w:rPr>
                </w:pPr>
                <w:r>
                  <w:rPr>
                    <w:rFonts w:hint="eastAsia"/>
                    <w:sz w:val="18"/>
                    <w:szCs w:val="18"/>
                  </w:rPr>
                  <w:t>加：</w:t>
                </w:r>
                <w:r>
                  <w:rPr>
                    <w:sz w:val="18"/>
                    <w:szCs w:val="18"/>
                  </w:rPr>
                  <w:t>会计政策变更</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d724580d38484f718fafd008f24a7505"/>
            <w:id w:val="1114184809"/>
          </w:sdtPr>
          <w:sdtContent>
            <w:tc>
              <w:tcPr>
                <w:tcW w:w="686" w:type="pct"/>
              </w:tcPr>
              <w:p>
                <w:pPr>
                  <w:ind w:firstLineChars="200" w:firstLine="360"/>
                  <w:rPr>
                    <w:sz w:val="18"/>
                    <w:szCs w:val="18"/>
                  </w:rPr>
                </w:pPr>
                <w:r>
                  <w:rPr>
                    <w:sz w:val="18"/>
                    <w:szCs w:val="18"/>
                  </w:rPr>
                  <w:t>前期差错更正</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tc>
          <w:tcPr>
            <w:tcW w:w="686" w:type="pct"/>
            <w:vAlign w:val="center"/>
          </w:tcPr>
          <w:p>
            <w:pPr>
              <w:rPr>
                <w:sz w:val="18"/>
                <w:szCs w:val="18"/>
              </w:rPr>
            </w:pPr>
            <w:r>
              <w:rPr>
                <w:rFonts w:hint="eastAsia"/>
                <w:sz w:val="18"/>
                <w:szCs w:val="18"/>
              </w:rPr>
              <w:t>同一控制下企业合并</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46,221</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87,842</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134,063</w:t>
            </w:r>
          </w:p>
        </w:tc>
        <w:tc>
          <w:tcPr>
            <w:tcW w:w="356" w:type="pct"/>
            <w:vAlign w:val="center"/>
          </w:tcPr>
          <w:p>
            <w:pPr>
              <w:jc w:val="right"/>
              <w:rPr>
                <w:sz w:val="18"/>
                <w:szCs w:val="18"/>
              </w:rPr>
            </w:pPr>
            <w:r>
              <w:rPr>
                <w:rFonts w:hint="eastAsia"/>
                <w:sz w:val="18"/>
                <w:szCs w:val="18"/>
              </w:rPr>
              <w:t>14,863</w:t>
            </w:r>
          </w:p>
        </w:tc>
        <w:tc>
          <w:tcPr>
            <w:tcW w:w="380" w:type="pct"/>
            <w:vAlign w:val="center"/>
          </w:tcPr>
          <w:p>
            <w:pPr>
              <w:jc w:val="right"/>
              <w:rPr>
                <w:sz w:val="18"/>
                <w:szCs w:val="18"/>
              </w:rPr>
            </w:pPr>
            <w:r>
              <w:rPr>
                <w:rFonts w:hint="eastAsia"/>
                <w:sz w:val="18"/>
                <w:szCs w:val="18"/>
              </w:rPr>
              <w:t>148,926</w:t>
            </w:r>
          </w:p>
        </w:tc>
      </w:tr>
      <w:tr>
        <w:trPr>
          <w:jc w:val="center"/>
        </w:trPr>
        <w:tc>
          <w:tcPr>
            <w:tcW w:w="686" w:type="pct"/>
            <w:vAlign w:val="center"/>
          </w:tcPr>
          <w:p>
            <w:pPr>
              <w:rPr>
                <w:sz w:val="18"/>
                <w:szCs w:val="18"/>
              </w:rPr>
            </w:pPr>
            <w:r>
              <w:rPr>
                <w:rFonts w:hint="eastAsia"/>
                <w:sz w:val="18"/>
                <w:szCs w:val="18"/>
              </w:rPr>
              <w:t>其他</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 xml:space="preserve">　</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80" w:type="pct"/>
            <w:vAlign w:val="center"/>
          </w:tcPr>
          <w:p>
            <w:pPr>
              <w:jc w:val="right"/>
              <w:rPr>
                <w:sz w:val="18"/>
                <w:szCs w:val="18"/>
              </w:rPr>
            </w:pPr>
            <w:r>
              <w:rPr>
                <w:rFonts w:hint="eastAsia"/>
                <w:sz w:val="18"/>
                <w:szCs w:val="18"/>
              </w:rPr>
              <w:t xml:space="preserve">　</w:t>
            </w:r>
          </w:p>
        </w:tc>
      </w:tr>
      <w:tr>
        <w:trPr>
          <w:jc w:val="center"/>
        </w:trPr>
        <w:sdt>
          <w:sdtPr>
            <w:rPr>
              <w:sz w:val="18"/>
              <w:szCs w:val="18"/>
            </w:rPr>
            <w:tag w:val="_PLD_04db836e110543eab1bb1c6fb46bd857"/>
            <w:id w:val="1203836639"/>
          </w:sdtPr>
          <w:sdtContent>
            <w:tc>
              <w:tcPr>
                <w:tcW w:w="686" w:type="pct"/>
              </w:tcPr>
              <w:p>
                <w:pPr>
                  <w:rPr>
                    <w:sz w:val="18"/>
                    <w:szCs w:val="18"/>
                  </w:rPr>
                </w:pPr>
                <w:r>
                  <w:rPr>
                    <w:sz w:val="18"/>
                    <w:szCs w:val="18"/>
                  </w:rPr>
                  <w:t>二、本年</w:t>
                </w:r>
                <w:r>
                  <w:rPr>
                    <w:rFonts w:hint="eastAsia"/>
                    <w:sz w:val="18"/>
                    <w:szCs w:val="18"/>
                  </w:rPr>
                  <w:t>期</w:t>
                </w:r>
                <w:r>
                  <w:rPr>
                    <w:sz w:val="18"/>
                    <w:szCs w:val="18"/>
                  </w:rPr>
                  <w:t>初余额</w:t>
                </w:r>
              </w:p>
            </w:tc>
          </w:sdtContent>
        </w:sdt>
        <w:tc>
          <w:tcPr>
            <w:tcW w:w="383" w:type="pct"/>
            <w:vAlign w:val="center"/>
          </w:tcPr>
          <w:p>
            <w:pPr>
              <w:jc w:val="right"/>
              <w:rPr>
                <w:sz w:val="18"/>
                <w:szCs w:val="18"/>
              </w:rPr>
            </w:pPr>
            <w:r>
              <w:rPr>
                <w:sz w:val="18"/>
                <w:szCs w:val="18"/>
              </w:rPr>
              <w:t>7,439,371</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16,541,777</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-32,883</w:t>
            </w:r>
          </w:p>
        </w:tc>
        <w:tc>
          <w:tcPr>
            <w:tcW w:w="270" w:type="pct"/>
            <w:vAlign w:val="center"/>
          </w:tcPr>
          <w:p>
            <w:pPr>
              <w:jc w:val="right"/>
              <w:rPr>
                <w:sz w:val="18"/>
                <w:szCs w:val="18"/>
              </w:rPr>
            </w:pPr>
            <w:r>
              <w:rPr>
                <w:sz w:val="18"/>
                <w:szCs w:val="18"/>
              </w:rPr>
              <w:t>324,980</w:t>
            </w:r>
          </w:p>
        </w:tc>
        <w:tc>
          <w:tcPr>
            <w:tcW w:w="327" w:type="pct"/>
            <w:vAlign w:val="center"/>
          </w:tcPr>
          <w:p>
            <w:pPr>
              <w:jc w:val="right"/>
              <w:rPr>
                <w:sz w:val="18"/>
                <w:szCs w:val="18"/>
              </w:rPr>
            </w:pPr>
            <w:r>
              <w:rPr>
                <w:sz w:val="18"/>
                <w:szCs w:val="18"/>
              </w:rPr>
              <w:t>-6,334,716</w:t>
            </w:r>
          </w:p>
        </w:tc>
        <w:tc>
          <w:tcPr>
            <w:tcW w:w="327" w:type="pct"/>
            <w:vAlign w:val="center"/>
          </w:tcPr>
          <w:p>
            <w:pPr>
              <w:jc w:val="right"/>
              <w:rPr>
                <w:sz w:val="18"/>
                <w:szCs w:val="18"/>
              </w:rPr>
            </w:pPr>
            <w:r>
              <w:rPr>
                <w:sz w:val="18"/>
                <w:szCs w:val="18"/>
              </w:rPr>
              <w:t>3,586,505</w:t>
            </w:r>
          </w:p>
        </w:tc>
        <w:tc>
          <w:tcPr>
            <w:tcW w:w="327" w:type="pct"/>
            <w:vAlign w:val="center"/>
          </w:tcPr>
          <w:p>
            <w:pPr>
              <w:jc w:val="right"/>
              <w:rPr>
                <w:sz w:val="18"/>
                <w:szCs w:val="18"/>
              </w:rPr>
            </w:pPr>
            <w:r>
              <w:rPr>
                <w:sz w:val="18"/>
                <w:szCs w:val="18"/>
              </w:rPr>
              <w:t>1,663,815</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50,289,076</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72,827,965</w:t>
            </w:r>
          </w:p>
        </w:tc>
        <w:tc>
          <w:tcPr>
            <w:tcW w:w="356" w:type="pct"/>
            <w:vAlign w:val="center"/>
          </w:tcPr>
          <w:p>
            <w:pPr>
              <w:jc w:val="right"/>
              <w:rPr>
                <w:sz w:val="18"/>
                <w:szCs w:val="18"/>
              </w:rPr>
            </w:pPr>
            <w:r>
              <w:rPr>
                <w:sz w:val="18"/>
                <w:szCs w:val="18"/>
              </w:rPr>
              <w:t>45,654,645</w:t>
            </w:r>
          </w:p>
        </w:tc>
        <w:tc>
          <w:tcPr>
            <w:tcW w:w="380" w:type="pct"/>
            <w:vAlign w:val="center"/>
          </w:tcPr>
          <w:p>
            <w:pPr>
              <w:jc w:val="right"/>
              <w:rPr>
                <w:sz w:val="18"/>
                <w:szCs w:val="18"/>
              </w:rPr>
            </w:pPr>
            <w:r>
              <w:rPr>
                <w:sz w:val="18"/>
                <w:szCs w:val="18"/>
              </w:rPr>
              <w:t>118,482,610</w:t>
            </w:r>
          </w:p>
        </w:tc>
      </w:tr>
      <w:tr>
        <w:trPr>
          <w:jc w:val="center"/>
        </w:trPr>
        <w:sdt>
          <w:sdtPr>
            <w:rPr>
              <w:sz w:val="18"/>
              <w:szCs w:val="18"/>
            </w:rPr>
            <w:tag w:val="_PLD_1ca4768a663c4afc8e9fee3a8dc71bc6"/>
            <w:id w:val="-1351791157"/>
          </w:sdtPr>
          <w:sdtContent>
            <w:tc>
              <w:tcPr>
                <w:tcW w:w="686" w:type="pct"/>
              </w:tcPr>
              <w:p>
                <w:pPr>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83" w:type="pct"/>
            <w:vAlign w:val="center"/>
          </w:tcPr>
          <w:p>
            <w:pPr>
              <w:jc w:val="right"/>
              <w:rPr>
                <w:sz w:val="18"/>
                <w:szCs w:val="18"/>
              </w:rPr>
            </w:pPr>
            <w:r>
              <w:rPr>
                <w:sz w:val="18"/>
                <w:szCs w:val="18"/>
              </w:rPr>
              <w:t>2,600,489</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6,725,444</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4,163,582</w:t>
            </w:r>
          </w:p>
        </w:tc>
        <w:tc>
          <w:tcPr>
            <w:tcW w:w="270" w:type="pct"/>
            <w:vAlign w:val="center"/>
          </w:tcPr>
          <w:p>
            <w:pPr>
              <w:jc w:val="right"/>
              <w:rPr>
                <w:sz w:val="18"/>
                <w:szCs w:val="18"/>
              </w:rPr>
            </w:pPr>
            <w:r>
              <w:rPr>
                <w:sz w:val="18"/>
                <w:szCs w:val="18"/>
              </w:rPr>
              <w:t>-212,563</w:t>
            </w:r>
          </w:p>
        </w:tc>
        <w:tc>
          <w:tcPr>
            <w:tcW w:w="327" w:type="pct"/>
            <w:vAlign w:val="center"/>
          </w:tcPr>
          <w:p>
            <w:pPr>
              <w:jc w:val="right"/>
              <w:rPr>
                <w:sz w:val="18"/>
                <w:szCs w:val="18"/>
              </w:rPr>
            </w:pPr>
            <w:r>
              <w:rPr>
                <w:sz w:val="18"/>
                <w:szCs w:val="18"/>
              </w:rPr>
              <w:t>-1,599,835</w:t>
            </w:r>
          </w:p>
        </w:tc>
        <w:tc>
          <w:tcPr>
            <w:tcW w:w="327" w:type="pct"/>
            <w:vAlign w:val="center"/>
          </w:tcPr>
          <w:p>
            <w:pPr>
              <w:jc w:val="right"/>
              <w:rPr>
                <w:sz w:val="18"/>
                <w:szCs w:val="18"/>
              </w:rPr>
            </w:pPr>
            <w:r>
              <w:rPr>
                <w:sz w:val="18"/>
                <w:szCs w:val="18"/>
              </w:rPr>
              <w:t>-479,004</w:t>
            </w:r>
          </w:p>
        </w:tc>
        <w:tc>
          <w:tcPr>
            <w:tcW w:w="327" w:type="pct"/>
            <w:vAlign w:val="center"/>
          </w:tcPr>
          <w:p>
            <w:pPr>
              <w:jc w:val="right"/>
              <w:rPr>
                <w:sz w:val="18"/>
                <w:szCs w:val="18"/>
              </w:rPr>
            </w:pPr>
            <w:r>
              <w:rPr>
                <w:sz w:val="18"/>
                <w:szCs w:val="18"/>
              </w:rPr>
              <w:t>1,177,577</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-3,034,325</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9,766,491</w:t>
            </w:r>
          </w:p>
        </w:tc>
        <w:tc>
          <w:tcPr>
            <w:tcW w:w="356" w:type="pct"/>
            <w:vAlign w:val="center"/>
          </w:tcPr>
          <w:p>
            <w:pPr>
              <w:jc w:val="right"/>
              <w:rPr>
                <w:sz w:val="18"/>
                <w:szCs w:val="18"/>
              </w:rPr>
            </w:pPr>
            <w:r>
              <w:rPr>
                <w:sz w:val="18"/>
                <w:szCs w:val="18"/>
              </w:rPr>
              <w:t>4,761,158</w:t>
            </w:r>
          </w:p>
        </w:tc>
        <w:tc>
          <w:tcPr>
            <w:tcW w:w="380" w:type="pct"/>
            <w:vAlign w:val="center"/>
          </w:tcPr>
          <w:p>
            <w:pPr>
              <w:jc w:val="right"/>
              <w:rPr>
                <w:sz w:val="18"/>
                <w:szCs w:val="18"/>
              </w:rPr>
            </w:pPr>
            <w:r>
              <w:rPr>
                <w:sz w:val="18"/>
                <w:szCs w:val="18"/>
              </w:rPr>
              <w:t>14,527,649</w:t>
            </w:r>
          </w:p>
        </w:tc>
      </w:tr>
      <w:tr>
        <w:trPr>
          <w:jc w:val="center"/>
        </w:trPr>
        <w:sdt>
          <w:sdtPr>
            <w:rPr>
              <w:sz w:val="18"/>
              <w:szCs w:val="18"/>
            </w:rPr>
            <w:tag w:val="_PLD_55a20255a0a245fd951d5eb42c559389"/>
            <w:id w:val="-1471511104"/>
          </w:sdtPr>
          <w:sdtContent>
            <w:tc>
              <w:tcPr>
                <w:tcW w:w="686" w:type="pct"/>
              </w:tcPr>
              <w:p>
                <w:pPr>
                  <w:rPr>
                    <w:sz w:val="18"/>
                    <w:szCs w:val="18"/>
                  </w:rPr>
                </w:pPr>
                <w:r>
                  <w:rPr>
                    <w:rFonts w:hint="eastAsia"/>
                    <w:sz w:val="18"/>
                    <w:szCs w:val="18"/>
                  </w:rPr>
                  <w:t>（一）综合收益总额</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631,865</w:t>
            </w: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r>
              <w:rPr>
                <w:sz w:val="18"/>
                <w:szCs w:val="18"/>
              </w:rPr>
              <w:t>-1,599,835</w:t>
            </w: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14,425,051</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13,457,081</w:t>
            </w:r>
          </w:p>
        </w:tc>
        <w:tc>
          <w:tcPr>
            <w:tcW w:w="356" w:type="pct"/>
            <w:vAlign w:val="center"/>
          </w:tcPr>
          <w:p>
            <w:pPr>
              <w:jc w:val="right"/>
              <w:rPr>
                <w:sz w:val="18"/>
                <w:szCs w:val="18"/>
              </w:rPr>
            </w:pPr>
            <w:r>
              <w:rPr>
                <w:sz w:val="18"/>
                <w:szCs w:val="18"/>
              </w:rPr>
              <w:t>4,871,785</w:t>
            </w:r>
          </w:p>
        </w:tc>
        <w:tc>
          <w:tcPr>
            <w:tcW w:w="380" w:type="pct"/>
            <w:vAlign w:val="center"/>
          </w:tcPr>
          <w:p>
            <w:pPr>
              <w:jc w:val="right"/>
              <w:rPr>
                <w:sz w:val="18"/>
                <w:szCs w:val="18"/>
              </w:rPr>
            </w:pPr>
            <w:r>
              <w:rPr>
                <w:sz w:val="18"/>
                <w:szCs w:val="18"/>
              </w:rPr>
              <w:t>18,328,866</w:t>
            </w:r>
          </w:p>
        </w:tc>
      </w:tr>
      <w:tr>
        <w:trPr>
          <w:jc w:val="center"/>
        </w:trPr>
        <w:sdt>
          <w:sdtPr>
            <w:rPr>
              <w:sz w:val="18"/>
              <w:szCs w:val="18"/>
            </w:rPr>
            <w:tag w:val="_PLD_cabd5a3f22a849b08cf8df11a07115b5"/>
            <w:id w:val="-2116358441"/>
          </w:sdtPr>
          <w:sdtContent>
            <w:tc>
              <w:tcPr>
                <w:tcW w:w="686" w:type="pct"/>
              </w:tcPr>
              <w:p>
                <w:pPr>
                  <w:rPr>
                    <w:sz w:val="18"/>
                    <w:szCs w:val="18"/>
                  </w:rPr>
                </w:pPr>
                <w:r>
                  <w:rPr>
                    <w:sz w:val="18"/>
                    <w:szCs w:val="18"/>
                  </w:rPr>
                  <w:t>（</w:t>
                </w:r>
                <w:r>
                  <w:rPr>
                    <w:rFonts w:hint="eastAsia"/>
                    <w:sz w:val="18"/>
                    <w:szCs w:val="18"/>
                  </w:rPr>
                  <w:t>二</w:t>
                </w:r>
                <w:r>
                  <w:rPr>
                    <w:sz w:val="18"/>
                    <w:szCs w:val="18"/>
                  </w:rPr>
                  <w:t>）所有者投入和减少资本</w:t>
                </w:r>
              </w:p>
            </w:tc>
          </w:sdtContent>
        </w:sdt>
        <w:tc>
          <w:tcPr>
            <w:tcW w:w="383" w:type="pct"/>
            <w:vAlign w:val="center"/>
          </w:tcPr>
          <w:p>
            <w:pPr>
              <w:jc w:val="right"/>
              <w:rPr>
                <w:sz w:val="18"/>
                <w:szCs w:val="18"/>
              </w:rPr>
            </w:pPr>
            <w:r>
              <w:rPr>
                <w:sz w:val="18"/>
                <w:szCs w:val="18"/>
              </w:rPr>
              <w:t>283,599</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6,712,330</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4,154,917</w:t>
            </w:r>
          </w:p>
        </w:tc>
        <w:tc>
          <w:tcPr>
            <w:tcW w:w="270" w:type="pct"/>
            <w:vAlign w:val="center"/>
          </w:tcPr>
          <w:p>
            <w:pPr>
              <w:jc w:val="right"/>
              <w:rPr>
                <w:sz w:val="18"/>
                <w:szCs w:val="18"/>
              </w:rPr>
            </w:pPr>
            <w:r>
              <w:rPr>
                <w:sz w:val="18"/>
                <w:szCs w:val="18"/>
              </w:rPr>
              <w:t>-212,563</w:t>
            </w: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11,363,409</w:t>
            </w:r>
          </w:p>
        </w:tc>
        <w:tc>
          <w:tcPr>
            <w:tcW w:w="356" w:type="pct"/>
            <w:vAlign w:val="center"/>
          </w:tcPr>
          <w:p>
            <w:pPr>
              <w:jc w:val="right"/>
              <w:rPr>
                <w:sz w:val="18"/>
                <w:szCs w:val="18"/>
              </w:rPr>
            </w:pPr>
            <w:r>
              <w:rPr>
                <w:sz w:val="18"/>
                <w:szCs w:val="18"/>
              </w:rPr>
              <w:t>1,637,186</w:t>
            </w:r>
          </w:p>
        </w:tc>
        <w:tc>
          <w:tcPr>
            <w:tcW w:w="380" w:type="pct"/>
            <w:vAlign w:val="center"/>
          </w:tcPr>
          <w:p>
            <w:pPr>
              <w:jc w:val="right"/>
              <w:rPr>
                <w:sz w:val="18"/>
                <w:szCs w:val="18"/>
              </w:rPr>
            </w:pPr>
            <w:r>
              <w:rPr>
                <w:sz w:val="18"/>
                <w:szCs w:val="18"/>
              </w:rPr>
              <w:t>13,000,595</w:t>
            </w:r>
          </w:p>
        </w:tc>
      </w:tr>
      <w:tr>
        <w:trPr>
          <w:jc w:val="center"/>
        </w:trPr>
        <w:sdt>
          <w:sdtPr>
            <w:rPr>
              <w:sz w:val="18"/>
              <w:szCs w:val="18"/>
            </w:rPr>
            <w:tag w:val="_PLD_4d4d24462cb048579eb01f9b1c8956b1"/>
            <w:id w:val="651720460"/>
          </w:sdtPr>
          <w:sdtContent>
            <w:tc>
              <w:tcPr>
                <w:tcW w:w="686" w:type="pct"/>
              </w:tcPr>
              <w:p>
                <w:pPr>
                  <w:rPr>
                    <w:sz w:val="18"/>
                    <w:szCs w:val="18"/>
                  </w:rPr>
                </w:pPr>
                <w:r>
                  <w:rPr>
                    <w:rFonts w:hint="eastAsia"/>
                    <w:sz w:val="18"/>
                    <w:szCs w:val="18"/>
                  </w:rPr>
                  <w:t>1．所有者投入的普通股</w:t>
                </w:r>
              </w:p>
            </w:tc>
          </w:sdtContent>
        </w:sdt>
        <w:tc>
          <w:tcPr>
            <w:tcW w:w="383" w:type="pct"/>
            <w:vAlign w:val="center"/>
          </w:tcPr>
          <w:p>
            <w:pPr>
              <w:jc w:val="right"/>
              <w:rPr>
                <w:sz w:val="18"/>
                <w:szCs w:val="18"/>
              </w:rPr>
            </w:pPr>
            <w:r>
              <w:rPr>
                <w:sz w:val="18"/>
                <w:szCs w:val="18"/>
              </w:rPr>
              <w:t>285,000</w:t>
            </w: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4,229,108</w:t>
            </w: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4,514,108</w:t>
            </w:r>
          </w:p>
        </w:tc>
        <w:tc>
          <w:tcPr>
            <w:tcW w:w="356" w:type="pct"/>
            <w:vAlign w:val="center"/>
          </w:tcPr>
          <w:p>
            <w:pPr>
              <w:jc w:val="right"/>
              <w:rPr>
                <w:sz w:val="18"/>
                <w:szCs w:val="18"/>
              </w:rPr>
            </w:pPr>
            <w:r>
              <w:rPr>
                <w:sz w:val="18"/>
                <w:szCs w:val="18"/>
              </w:rPr>
              <w:t>1,646,222</w:t>
            </w:r>
          </w:p>
        </w:tc>
        <w:tc>
          <w:tcPr>
            <w:tcW w:w="380" w:type="pct"/>
            <w:vAlign w:val="center"/>
          </w:tcPr>
          <w:p>
            <w:pPr>
              <w:jc w:val="right"/>
              <w:rPr>
                <w:sz w:val="18"/>
                <w:szCs w:val="18"/>
              </w:rPr>
            </w:pPr>
            <w:r>
              <w:rPr>
                <w:sz w:val="18"/>
                <w:szCs w:val="18"/>
              </w:rPr>
              <w:t>6,160,330</w:t>
            </w:r>
          </w:p>
        </w:tc>
      </w:tr>
      <w:tr>
        <w:trPr>
          <w:jc w:val="center"/>
        </w:trPr>
        <w:sdt>
          <w:sdtPr>
            <w:rPr>
              <w:sz w:val="18"/>
              <w:szCs w:val="18"/>
            </w:rPr>
            <w:tag w:val="_PLD_2b1df3030d9b41699f4a3e651f6c74e7"/>
            <w:id w:val="1707449449"/>
          </w:sdtPr>
          <w:sdtContent>
            <w:tc>
              <w:tcPr>
                <w:tcW w:w="686" w:type="pct"/>
              </w:tcPr>
              <w:p>
                <w:pPr>
                  <w:rPr>
                    <w:sz w:val="18"/>
                    <w:szCs w:val="18"/>
                  </w:rPr>
                </w:pPr>
                <w:r>
                  <w:rPr>
                    <w:rFonts w:hint="eastAsia"/>
                    <w:sz w:val="18"/>
                    <w:szCs w:val="18"/>
                  </w:rPr>
                  <w:t>2．其他权益工具持有者投入资本</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6,712,330</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-22,245</w:t>
            </w: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6,690,085</w:t>
            </w:r>
          </w:p>
        </w:tc>
        <w:tc>
          <w:tcPr>
            <w:tcW w:w="356" w:type="pct"/>
            <w:vAlign w:val="center"/>
          </w:tcPr>
          <w:p>
            <w:pPr>
              <w:jc w:val="right"/>
              <w:rPr>
                <w:sz w:val="18"/>
                <w:szCs w:val="18"/>
              </w:rPr>
            </w:pPr>
          </w:p>
        </w:tc>
        <w:tc>
          <w:tcPr>
            <w:tcW w:w="380" w:type="pct"/>
            <w:vAlign w:val="center"/>
          </w:tcPr>
          <w:p>
            <w:pPr>
              <w:jc w:val="right"/>
              <w:rPr>
                <w:sz w:val="18"/>
                <w:szCs w:val="18"/>
              </w:rPr>
            </w:pPr>
            <w:r>
              <w:rPr>
                <w:sz w:val="18"/>
                <w:szCs w:val="18"/>
              </w:rPr>
              <w:t>6,690,085</w:t>
            </w:r>
          </w:p>
        </w:tc>
      </w:tr>
      <w:tr>
        <w:trPr>
          <w:jc w:val="center"/>
        </w:trPr>
        <w:sdt>
          <w:sdtPr>
            <w:rPr>
              <w:sz w:val="18"/>
              <w:szCs w:val="18"/>
            </w:rPr>
            <w:tag w:val="_PLD_bf20c7d29dbe4ecc8acea7b1a1149bd3"/>
            <w:id w:val="-814957876"/>
          </w:sdtPr>
          <w:sdtContent>
            <w:tc>
              <w:tcPr>
                <w:tcW w:w="686" w:type="pct"/>
              </w:tcPr>
              <w:p>
                <w:pPr>
                  <w:rPr>
                    <w:sz w:val="18"/>
                    <w:szCs w:val="18"/>
                  </w:rPr>
                </w:pPr>
                <w:r>
                  <w:rPr>
                    <w:rFonts w:hint="eastAsia"/>
                    <w:sz w:val="18"/>
                    <w:szCs w:val="18"/>
                  </w:rPr>
                  <w:t>3</w:t>
                </w:r>
                <w:r>
                  <w:rPr>
                    <w:sz w:val="18"/>
                    <w:szCs w:val="18"/>
                  </w:rPr>
                  <w:t>．股份支付计入所有者权益的金额</w:t>
                </w:r>
              </w:p>
            </w:tc>
          </w:sdtContent>
        </w:sdt>
        <w:tc>
          <w:tcPr>
            <w:tcW w:w="383" w:type="pct"/>
            <w:vAlign w:val="center"/>
          </w:tcPr>
          <w:p>
            <w:pPr>
              <w:jc w:val="right"/>
              <w:rPr>
                <w:sz w:val="18"/>
                <w:szCs w:val="18"/>
              </w:rPr>
            </w:pPr>
            <w:r>
              <w:rPr>
                <w:sz w:val="18"/>
                <w:szCs w:val="18"/>
              </w:rPr>
              <w:t>-1,401</w:t>
            </w: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147,543</w:t>
            </w:r>
          </w:p>
        </w:tc>
        <w:tc>
          <w:tcPr>
            <w:tcW w:w="270" w:type="pct"/>
            <w:vAlign w:val="center"/>
          </w:tcPr>
          <w:p>
            <w:pPr>
              <w:jc w:val="right"/>
              <w:rPr>
                <w:sz w:val="18"/>
                <w:szCs w:val="18"/>
              </w:rPr>
            </w:pPr>
            <w:r>
              <w:rPr>
                <w:sz w:val="18"/>
                <w:szCs w:val="18"/>
              </w:rPr>
              <w:t>-212,563</w:t>
            </w: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358,705</w:t>
            </w:r>
          </w:p>
        </w:tc>
        <w:tc>
          <w:tcPr>
            <w:tcW w:w="356" w:type="pct"/>
            <w:vAlign w:val="center"/>
          </w:tcPr>
          <w:p>
            <w:pPr>
              <w:jc w:val="right"/>
              <w:rPr>
                <w:sz w:val="18"/>
                <w:szCs w:val="18"/>
              </w:rPr>
            </w:pPr>
            <w:r>
              <w:rPr>
                <w:sz w:val="18"/>
                <w:szCs w:val="18"/>
              </w:rPr>
              <w:t>-17,083</w:t>
            </w:r>
          </w:p>
        </w:tc>
        <w:tc>
          <w:tcPr>
            <w:tcW w:w="380" w:type="pct"/>
            <w:vAlign w:val="center"/>
          </w:tcPr>
          <w:p>
            <w:pPr>
              <w:jc w:val="right"/>
              <w:rPr>
                <w:sz w:val="18"/>
                <w:szCs w:val="18"/>
              </w:rPr>
            </w:pPr>
            <w:r>
              <w:rPr>
                <w:sz w:val="18"/>
                <w:szCs w:val="18"/>
              </w:rPr>
              <w:t>341,622</w:t>
            </w:r>
          </w:p>
        </w:tc>
      </w:tr>
      <w:tr>
        <w:trPr>
          <w:jc w:val="center"/>
        </w:trPr>
        <w:tc>
          <w:tcPr>
            <w:tcW w:w="686" w:type="pct"/>
            <w:vAlign w:val="center"/>
          </w:tcPr>
          <w:p>
            <w:pPr>
              <w:rPr>
                <w:sz w:val="18"/>
                <w:szCs w:val="18"/>
              </w:rPr>
            </w:pPr>
            <w:r>
              <w:rPr>
                <w:rFonts w:hint="eastAsia"/>
                <w:sz w:val="18"/>
                <w:szCs w:val="18"/>
              </w:rPr>
              <w:t>4.同一控制下企业合并</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-133,505</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-133,505</w:t>
            </w:r>
          </w:p>
        </w:tc>
        <w:tc>
          <w:tcPr>
            <w:tcW w:w="356" w:type="pct"/>
            <w:vAlign w:val="center"/>
          </w:tcPr>
          <w:p>
            <w:pPr>
              <w:jc w:val="right"/>
              <w:rPr>
                <w:sz w:val="18"/>
                <w:szCs w:val="18"/>
              </w:rPr>
            </w:pPr>
            <w:r>
              <w:rPr>
                <w:rFonts w:hint="eastAsia"/>
                <w:sz w:val="18"/>
                <w:szCs w:val="18"/>
              </w:rPr>
              <w:t xml:space="preserve">　</w:t>
            </w:r>
          </w:p>
        </w:tc>
        <w:tc>
          <w:tcPr>
            <w:tcW w:w="380" w:type="pct"/>
            <w:vAlign w:val="center"/>
          </w:tcPr>
          <w:p>
            <w:pPr>
              <w:jc w:val="right"/>
              <w:rPr>
                <w:sz w:val="18"/>
                <w:szCs w:val="18"/>
              </w:rPr>
            </w:pPr>
            <w:r>
              <w:rPr>
                <w:rFonts w:hint="eastAsia"/>
                <w:sz w:val="18"/>
                <w:szCs w:val="18"/>
              </w:rPr>
              <w:t>-133,505</w:t>
            </w:r>
          </w:p>
        </w:tc>
      </w:tr>
      <w:tr>
        <w:trPr>
          <w:jc w:val="center"/>
        </w:trPr>
        <w:tc>
          <w:tcPr>
            <w:tcW w:w="686" w:type="pct"/>
            <w:vAlign w:val="center"/>
          </w:tcPr>
          <w:p>
            <w:pPr>
              <w:rPr>
                <w:sz w:val="18"/>
                <w:szCs w:val="18"/>
              </w:rPr>
            </w:pPr>
            <w:r>
              <w:rPr>
                <w:rFonts w:hint="eastAsia"/>
                <w:sz w:val="18"/>
                <w:szCs w:val="18"/>
              </w:rPr>
              <w:t>5.收购少数股东股权</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-65,984</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-65,984</w:t>
            </w:r>
          </w:p>
        </w:tc>
        <w:tc>
          <w:tcPr>
            <w:tcW w:w="356" w:type="pct"/>
            <w:vAlign w:val="center"/>
          </w:tcPr>
          <w:p>
            <w:pPr>
              <w:jc w:val="right"/>
              <w:rPr>
                <w:sz w:val="18"/>
                <w:szCs w:val="18"/>
              </w:rPr>
            </w:pPr>
            <w:r>
              <w:rPr>
                <w:rFonts w:hint="eastAsia"/>
                <w:sz w:val="18"/>
                <w:szCs w:val="18"/>
              </w:rPr>
              <w:t>-385,033</w:t>
            </w:r>
          </w:p>
        </w:tc>
        <w:tc>
          <w:tcPr>
            <w:tcW w:w="380" w:type="pct"/>
            <w:vAlign w:val="center"/>
          </w:tcPr>
          <w:p>
            <w:pPr>
              <w:jc w:val="right"/>
              <w:rPr>
                <w:sz w:val="18"/>
                <w:szCs w:val="18"/>
              </w:rPr>
            </w:pPr>
            <w:r>
              <w:rPr>
                <w:rFonts w:hint="eastAsia"/>
                <w:sz w:val="18"/>
                <w:szCs w:val="18"/>
              </w:rPr>
              <w:t>-451,017</w:t>
            </w:r>
          </w:p>
        </w:tc>
      </w:tr>
      <w:tr>
        <w:trPr>
          <w:jc w:val="center"/>
        </w:trPr>
        <w:tc>
          <w:tcPr>
            <w:tcW w:w="686" w:type="pct"/>
            <w:vAlign w:val="center"/>
          </w:tcPr>
          <w:p>
            <w:pPr>
              <w:rPr>
                <w:sz w:val="18"/>
                <w:szCs w:val="18"/>
              </w:rPr>
            </w:pPr>
            <w:r>
              <w:rPr>
                <w:rFonts w:hint="eastAsia"/>
                <w:sz w:val="18"/>
                <w:szCs w:val="18"/>
              </w:rPr>
              <w:t>6.未丧失控股权持股比例下降</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 xml:space="preserve">　</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80" w:type="pct"/>
            <w:vAlign w:val="center"/>
          </w:tcPr>
          <w:p>
            <w:pPr>
              <w:jc w:val="right"/>
              <w:rPr>
                <w:sz w:val="18"/>
                <w:szCs w:val="18"/>
              </w:rPr>
            </w:pPr>
            <w:r>
              <w:rPr>
                <w:rFonts w:hint="eastAsia"/>
                <w:sz w:val="18"/>
                <w:szCs w:val="18"/>
              </w:rPr>
              <w:t xml:space="preserve">　</w:t>
            </w:r>
          </w:p>
        </w:tc>
      </w:tr>
      <w:tr>
        <w:trPr>
          <w:jc w:val="center"/>
        </w:trPr>
        <w:tc>
          <w:tcPr>
            <w:tcW w:w="686" w:type="pct"/>
            <w:vAlign w:val="center"/>
          </w:tcPr>
          <w:p>
            <w:pPr>
              <w:rPr>
                <w:sz w:val="18"/>
                <w:szCs w:val="18"/>
              </w:rPr>
            </w:pPr>
            <w:r>
              <w:rPr>
                <w:rFonts w:hint="eastAsia"/>
                <w:sz w:val="18"/>
                <w:szCs w:val="18"/>
              </w:rPr>
              <w:t>7.其他</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 xml:space="preserve">　</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393,080</w:t>
            </w:r>
          </w:p>
        </w:tc>
        <w:tc>
          <w:tcPr>
            <w:tcW w:w="380" w:type="pct"/>
            <w:vAlign w:val="center"/>
          </w:tcPr>
          <w:p>
            <w:pPr>
              <w:jc w:val="right"/>
              <w:rPr>
                <w:sz w:val="18"/>
                <w:szCs w:val="18"/>
              </w:rPr>
            </w:pPr>
            <w:r>
              <w:rPr>
                <w:rFonts w:hint="eastAsia"/>
                <w:sz w:val="18"/>
                <w:szCs w:val="18"/>
              </w:rPr>
              <w:t>393,080</w:t>
            </w:r>
          </w:p>
        </w:tc>
      </w:tr>
      <w:tr>
        <w:trPr>
          <w:jc w:val="center"/>
        </w:trPr>
        <w:sdt>
          <w:sdtPr>
            <w:rPr>
              <w:sz w:val="18"/>
              <w:szCs w:val="18"/>
            </w:rPr>
            <w:tag w:val="_PLD_e5ace973797c4072b589e43841b34142"/>
            <w:id w:val="-1899664935"/>
          </w:sdtPr>
          <w:sdtContent>
            <w:tc>
              <w:tcPr>
                <w:tcW w:w="686" w:type="pct"/>
              </w:tcPr>
              <w:p>
                <w:pPr>
                  <w:rPr>
                    <w:sz w:val="18"/>
                    <w:szCs w:val="18"/>
                  </w:rPr>
                </w:pPr>
                <w:r>
                  <w:rPr>
                    <w:sz w:val="18"/>
                    <w:szCs w:val="18"/>
                  </w:rPr>
                  <w:t>（</w:t>
                </w:r>
                <w:r>
                  <w:rPr>
                    <w:rFonts w:hint="eastAsia"/>
                    <w:sz w:val="18"/>
                    <w:szCs w:val="18"/>
                  </w:rPr>
                  <w:t>三</w:t>
                </w:r>
                <w:r>
                  <w:rPr>
                    <w:sz w:val="18"/>
                    <w:szCs w:val="18"/>
                  </w:rPr>
                  <w:t>）利润分配</w:t>
                </w:r>
              </w:p>
            </w:tc>
          </w:sdtContent>
        </w:sdt>
        <w:tc>
          <w:tcPr>
            <w:tcW w:w="383" w:type="pct"/>
            <w:vAlign w:val="center"/>
          </w:tcPr>
          <w:p>
            <w:pPr>
              <w:jc w:val="right"/>
              <w:rPr>
                <w:sz w:val="18"/>
                <w:szCs w:val="18"/>
              </w:rPr>
            </w:pPr>
            <w:r>
              <w:rPr>
                <w:sz w:val="18"/>
                <w:szCs w:val="18"/>
              </w:rPr>
              <w:t>2,316,890</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-618,751</w:t>
            </w: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r>
              <w:rPr>
                <w:sz w:val="18"/>
                <w:szCs w:val="18"/>
              </w:rPr>
              <w:t>1,177,577</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-17,310,861</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-14,435,145</w:t>
            </w:r>
          </w:p>
        </w:tc>
        <w:tc>
          <w:tcPr>
            <w:tcW w:w="356" w:type="pct"/>
            <w:vAlign w:val="center"/>
          </w:tcPr>
          <w:p>
            <w:pPr>
              <w:jc w:val="right"/>
              <w:rPr>
                <w:sz w:val="18"/>
                <w:szCs w:val="18"/>
              </w:rPr>
            </w:pPr>
            <w:r>
              <w:rPr>
                <w:sz w:val="18"/>
                <w:szCs w:val="18"/>
              </w:rPr>
              <w:t>-2,964,137</w:t>
            </w:r>
          </w:p>
        </w:tc>
        <w:tc>
          <w:tcPr>
            <w:tcW w:w="380" w:type="pct"/>
            <w:vAlign w:val="center"/>
          </w:tcPr>
          <w:p>
            <w:pPr>
              <w:jc w:val="right"/>
              <w:rPr>
                <w:sz w:val="18"/>
                <w:szCs w:val="18"/>
              </w:rPr>
            </w:pPr>
            <w:r>
              <w:rPr>
                <w:sz w:val="18"/>
                <w:szCs w:val="18"/>
              </w:rPr>
              <w:t>-17,399,282</w:t>
            </w:r>
          </w:p>
        </w:tc>
      </w:tr>
      <w:tr>
        <w:trPr>
          <w:jc w:val="center"/>
        </w:trPr>
        <w:sdt>
          <w:sdtPr>
            <w:rPr>
              <w:sz w:val="18"/>
              <w:szCs w:val="18"/>
            </w:rPr>
            <w:tag w:val="_PLD_56984731c08d48a08692b6a589fbe555"/>
            <w:id w:val="-138428371"/>
          </w:sdtPr>
          <w:sdtContent>
            <w:tc>
              <w:tcPr>
                <w:tcW w:w="686" w:type="pct"/>
              </w:tcPr>
              <w:p>
                <w:pPr>
                  <w:rPr>
                    <w:sz w:val="18"/>
                    <w:szCs w:val="18"/>
                  </w:rPr>
                </w:pPr>
                <w:r>
                  <w:rPr>
                    <w:sz w:val="18"/>
                    <w:szCs w:val="18"/>
                  </w:rPr>
                  <w:t>1．提取盈余公积</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r>
              <w:rPr>
                <w:sz w:val="18"/>
                <w:szCs w:val="18"/>
              </w:rPr>
              <w:t>1,177,577</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-1,177,577</w:t>
            </w: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d30e7cefb4de4113b5c1abddf8a241d4"/>
            <w:id w:val="-197546515"/>
          </w:sdtPr>
          <w:sdtContent>
            <w:tc>
              <w:tcPr>
                <w:tcW w:w="686" w:type="pct"/>
              </w:tcPr>
              <w:p>
                <w:pPr>
                  <w:rPr>
                    <w:sz w:val="18"/>
                    <w:szCs w:val="18"/>
                  </w:rPr>
                </w:pPr>
                <w:r>
                  <w:rPr>
                    <w:sz w:val="18"/>
                    <w:szCs w:val="18"/>
                  </w:rPr>
                  <w:t>2．提取一般风险准备</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6d573481d9af49e2a8ab22ecd061ccf7"/>
            <w:id w:val="-1287036551"/>
          </w:sdtPr>
          <w:sdtContent>
            <w:tc>
              <w:tcPr>
                <w:tcW w:w="686" w:type="pct"/>
              </w:tcPr>
              <w:p>
                <w:pPr>
                  <w:rPr>
                    <w:sz w:val="18"/>
                    <w:szCs w:val="18"/>
                  </w:rPr>
                </w:pPr>
                <w:r>
                  <w:rPr>
                    <w:sz w:val="18"/>
                    <w:szCs w:val="18"/>
                  </w:rPr>
                  <w:t>3．对所有者（或股东）的分配</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-13,816,393</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-13,816,393</w:t>
            </w:r>
          </w:p>
        </w:tc>
        <w:tc>
          <w:tcPr>
            <w:tcW w:w="356" w:type="pct"/>
            <w:vAlign w:val="center"/>
          </w:tcPr>
          <w:p>
            <w:pPr>
              <w:jc w:val="right"/>
              <w:rPr>
                <w:sz w:val="18"/>
                <w:szCs w:val="18"/>
              </w:rPr>
            </w:pPr>
            <w:r>
              <w:rPr>
                <w:sz w:val="18"/>
                <w:szCs w:val="18"/>
              </w:rPr>
              <w:t>-2,964,137</w:t>
            </w:r>
          </w:p>
        </w:tc>
        <w:tc>
          <w:tcPr>
            <w:tcW w:w="380" w:type="pct"/>
            <w:vAlign w:val="center"/>
          </w:tcPr>
          <w:p>
            <w:pPr>
              <w:jc w:val="right"/>
              <w:rPr>
                <w:sz w:val="18"/>
                <w:szCs w:val="18"/>
              </w:rPr>
            </w:pPr>
            <w:r>
              <w:rPr>
                <w:sz w:val="18"/>
                <w:szCs w:val="18"/>
              </w:rPr>
              <w:t>-16,780,530</w:t>
            </w:r>
          </w:p>
        </w:tc>
      </w:tr>
      <w:tr>
        <w:trPr>
          <w:jc w:val="center"/>
        </w:trPr>
        <w:tc>
          <w:tcPr>
            <w:tcW w:w="686" w:type="pct"/>
            <w:vAlign w:val="center"/>
          </w:tcPr>
          <w:p>
            <w:pPr>
              <w:rPr>
                <w:sz w:val="18"/>
                <w:szCs w:val="18"/>
              </w:rPr>
            </w:pPr>
            <w:r>
              <w:rPr>
                <w:rFonts w:hint="eastAsia"/>
                <w:sz w:val="18"/>
                <w:szCs w:val="18"/>
              </w:rPr>
              <w:t>4.对其他权益工具持有者的分配</w:t>
            </w:r>
          </w:p>
        </w:tc>
        <w:tc>
          <w:tcPr>
            <w:tcW w:w="383" w:type="pct"/>
            <w:vAlign w:val="center"/>
          </w:tcPr>
          <w:p>
            <w:pPr>
              <w:jc w:val="right"/>
              <w:rPr>
                <w:sz w:val="18"/>
                <w:szCs w:val="18"/>
              </w:rPr>
            </w:pPr>
            <w:r>
              <w:rPr>
                <w:rFonts w:hint="eastAsia"/>
                <w:sz w:val="18"/>
                <w:szCs w:val="18"/>
              </w:rPr>
              <w:t xml:space="preserve">　</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 xml:space="preserve">　</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rFonts w:hint="eastAsia"/>
                <w:sz w:val="18"/>
                <w:szCs w:val="18"/>
              </w:rPr>
              <w:t xml:space="preserve">　</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 xml:space="preserve">　</w:t>
            </w:r>
          </w:p>
        </w:tc>
        <w:tc>
          <w:tcPr>
            <w:tcW w:w="380" w:type="pct"/>
            <w:vAlign w:val="center"/>
          </w:tcPr>
          <w:p>
            <w:pPr>
              <w:jc w:val="right"/>
              <w:rPr>
                <w:sz w:val="18"/>
                <w:szCs w:val="18"/>
              </w:rPr>
            </w:pPr>
            <w:r>
              <w:rPr>
                <w:rFonts w:hint="eastAsia"/>
                <w:sz w:val="18"/>
                <w:szCs w:val="18"/>
              </w:rPr>
              <w:t xml:space="preserve">　</w:t>
            </w:r>
          </w:p>
        </w:tc>
      </w:tr>
      <w:tr>
        <w:trPr>
          <w:jc w:val="center"/>
        </w:trPr>
        <w:tc>
          <w:tcPr>
            <w:tcW w:w="686" w:type="pct"/>
            <w:vAlign w:val="center"/>
          </w:tcPr>
          <w:p>
            <w:pPr>
              <w:rPr>
                <w:sz w:val="18"/>
                <w:szCs w:val="18"/>
              </w:rPr>
            </w:pPr>
            <w:r>
              <w:rPr>
                <w:rFonts w:hint="eastAsia"/>
                <w:sz w:val="18"/>
                <w:szCs w:val="18"/>
              </w:rPr>
              <w:t>5.其他</w:t>
            </w:r>
          </w:p>
        </w:tc>
        <w:tc>
          <w:tcPr>
            <w:tcW w:w="383" w:type="pct"/>
            <w:vAlign w:val="center"/>
          </w:tcPr>
          <w:p>
            <w:pPr>
              <w:jc w:val="right"/>
              <w:rPr>
                <w:sz w:val="18"/>
                <w:szCs w:val="18"/>
              </w:rPr>
            </w:pPr>
            <w:r>
              <w:rPr>
                <w:rFonts w:hint="eastAsia"/>
                <w:sz w:val="18"/>
                <w:szCs w:val="18"/>
              </w:rPr>
              <w:t>2,316,890</w:t>
            </w:r>
          </w:p>
        </w:tc>
        <w:tc>
          <w:tcPr>
            <w:tcW w:w="127"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-618,751</w:t>
            </w:r>
          </w:p>
        </w:tc>
        <w:tc>
          <w:tcPr>
            <w:tcW w:w="167" w:type="pct"/>
            <w:vAlign w:val="center"/>
          </w:tcPr>
          <w:p>
            <w:pPr>
              <w:jc w:val="right"/>
              <w:rPr>
                <w:sz w:val="18"/>
                <w:szCs w:val="18"/>
              </w:rPr>
            </w:pPr>
            <w:r>
              <w:rPr>
                <w:rFonts w:hint="eastAsia"/>
                <w:sz w:val="18"/>
                <w:szCs w:val="18"/>
              </w:rPr>
              <w:t xml:space="preserve">　</w:t>
            </w:r>
          </w:p>
        </w:tc>
        <w:tc>
          <w:tcPr>
            <w:tcW w:w="287" w:type="pct"/>
            <w:vAlign w:val="center"/>
          </w:tcPr>
          <w:p>
            <w:pPr>
              <w:jc w:val="right"/>
              <w:rPr>
                <w:sz w:val="18"/>
                <w:szCs w:val="18"/>
              </w:rPr>
            </w:pPr>
            <w:r>
              <w:rPr>
                <w:rFonts w:hint="eastAsia"/>
                <w:sz w:val="18"/>
                <w:szCs w:val="18"/>
              </w:rPr>
              <w:t xml:space="preserve">　</w:t>
            </w:r>
          </w:p>
        </w:tc>
        <w:tc>
          <w:tcPr>
            <w:tcW w:w="270"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327" w:type="pct"/>
            <w:vAlign w:val="center"/>
          </w:tcPr>
          <w:p>
            <w:pPr>
              <w:jc w:val="right"/>
              <w:rPr>
                <w:sz w:val="18"/>
                <w:szCs w:val="18"/>
              </w:rPr>
            </w:pPr>
            <w:r>
              <w:rPr>
                <w:rFonts w:hint="eastAsia"/>
                <w:sz w:val="18"/>
                <w:szCs w:val="18"/>
              </w:rPr>
              <w:t xml:space="preserve">　</w:t>
            </w:r>
          </w:p>
        </w:tc>
        <w:tc>
          <w:tcPr>
            <w:tcW w:w="128" w:type="pct"/>
            <w:vAlign w:val="center"/>
          </w:tcPr>
          <w:p>
            <w:pPr>
              <w:jc w:val="right"/>
              <w:rPr>
                <w:sz w:val="18"/>
                <w:szCs w:val="18"/>
              </w:rPr>
            </w:pPr>
            <w:r>
              <w:rPr>
                <w:rFonts w:hint="eastAsia"/>
                <w:sz w:val="18"/>
                <w:szCs w:val="18"/>
              </w:rPr>
              <w:t xml:space="preserve">　</w:t>
            </w:r>
          </w:p>
        </w:tc>
        <w:tc>
          <w:tcPr>
            <w:tcW w:w="445" w:type="pct"/>
            <w:vAlign w:val="center"/>
          </w:tcPr>
          <w:p>
            <w:pPr>
              <w:jc w:val="right"/>
              <w:rPr>
                <w:sz w:val="18"/>
                <w:szCs w:val="18"/>
              </w:rPr>
            </w:pPr>
            <w:r>
              <w:rPr>
                <w:sz w:val="18"/>
                <w:szCs w:val="18"/>
              </w:rPr>
              <w:t>-2,316,891</w:t>
            </w:r>
          </w:p>
        </w:tc>
        <w:tc>
          <w:tcPr>
            <w:tcW w:w="78" w:type="pct"/>
            <w:vAlign w:val="center"/>
          </w:tcPr>
          <w:p>
            <w:pPr>
              <w:jc w:val="right"/>
              <w:rPr>
                <w:sz w:val="18"/>
                <w:szCs w:val="18"/>
              </w:rPr>
            </w:pPr>
            <w:r>
              <w:rPr>
                <w:rFonts w:hint="eastAsia"/>
                <w:sz w:val="18"/>
                <w:szCs w:val="18"/>
              </w:rPr>
              <w:t xml:space="preserve">　</w:t>
            </w:r>
          </w:p>
        </w:tc>
        <w:tc>
          <w:tcPr>
            <w:tcW w:w="356" w:type="pct"/>
            <w:vAlign w:val="center"/>
          </w:tcPr>
          <w:p>
            <w:pPr>
              <w:jc w:val="right"/>
              <w:rPr>
                <w:sz w:val="18"/>
                <w:szCs w:val="18"/>
              </w:rPr>
            </w:pPr>
            <w:r>
              <w:rPr>
                <w:rFonts w:hint="eastAsia"/>
                <w:sz w:val="18"/>
                <w:szCs w:val="18"/>
              </w:rPr>
              <w:t>-618,752</w:t>
            </w:r>
          </w:p>
        </w:tc>
        <w:tc>
          <w:tcPr>
            <w:tcW w:w="356" w:type="pct"/>
            <w:vAlign w:val="center"/>
          </w:tcPr>
          <w:p>
            <w:pPr>
              <w:jc w:val="right"/>
              <w:rPr>
                <w:sz w:val="18"/>
                <w:szCs w:val="18"/>
              </w:rPr>
            </w:pPr>
            <w:r>
              <w:rPr>
                <w:rFonts w:hint="eastAsia"/>
                <w:sz w:val="18"/>
                <w:szCs w:val="18"/>
              </w:rPr>
              <w:t xml:space="preserve">　</w:t>
            </w:r>
          </w:p>
        </w:tc>
        <w:tc>
          <w:tcPr>
            <w:tcW w:w="380" w:type="pct"/>
            <w:vAlign w:val="center"/>
          </w:tcPr>
          <w:p>
            <w:pPr>
              <w:jc w:val="right"/>
              <w:rPr>
                <w:sz w:val="18"/>
                <w:szCs w:val="18"/>
              </w:rPr>
            </w:pPr>
            <w:r>
              <w:rPr>
                <w:rFonts w:hint="eastAsia"/>
                <w:sz w:val="18"/>
                <w:szCs w:val="18"/>
              </w:rPr>
              <w:t>-618,752</w:t>
            </w:r>
          </w:p>
        </w:tc>
      </w:tr>
      <w:tr>
        <w:trPr>
          <w:jc w:val="center"/>
        </w:trPr>
        <w:sdt>
          <w:sdtPr>
            <w:rPr>
              <w:sz w:val="18"/>
              <w:szCs w:val="18"/>
            </w:rPr>
            <w:tag w:val="_PLD_92da940e723e49d8b19944c326b0a372"/>
            <w:id w:val="-1429108547"/>
          </w:sdtPr>
          <w:sdtContent>
            <w:tc>
              <w:tcPr>
                <w:tcW w:w="686"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88fb253c66e143fa8d6fda4d400657ec"/>
            <w:id w:val="458925439"/>
          </w:sdtPr>
          <w:sdtContent>
            <w:tc>
              <w:tcPr>
                <w:tcW w:w="686" w:type="pct"/>
              </w:tcPr>
              <w:p>
                <w:pPr>
                  <w:rPr>
                    <w:sz w:val="18"/>
                    <w:szCs w:val="18"/>
                  </w:rPr>
                </w:pPr>
                <w:r>
                  <w:rPr>
                    <w:sz w:val="18"/>
                    <w:szCs w:val="18"/>
                  </w:rPr>
                  <w:t>1．资本公积转增资本（或股本）</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15cc23aa9ca343c08333ba7ee1b1325c"/>
            <w:id w:val="1495685243"/>
          </w:sdtPr>
          <w:sdtContent>
            <w:tc>
              <w:tcPr>
                <w:tcW w:w="686" w:type="pct"/>
              </w:tcPr>
              <w:p>
                <w:pPr>
                  <w:rPr>
                    <w:sz w:val="18"/>
                    <w:szCs w:val="18"/>
                  </w:rPr>
                </w:pPr>
                <w:r>
                  <w:rPr>
                    <w:sz w:val="18"/>
                    <w:szCs w:val="18"/>
                  </w:rPr>
                  <w:t>2．盈余公积转增资本（或股本）</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9db953ff4eb242bd9b2d516481ce5c51"/>
            <w:id w:val="-839932702"/>
          </w:sdtPr>
          <w:sdtContent>
            <w:tc>
              <w:tcPr>
                <w:tcW w:w="686" w:type="pct"/>
              </w:tcPr>
              <w:p>
                <w:pPr>
                  <w:rPr>
                    <w:sz w:val="18"/>
                    <w:szCs w:val="18"/>
                  </w:rPr>
                </w:pPr>
                <w:r>
                  <w:rPr>
                    <w:sz w:val="18"/>
                    <w:szCs w:val="18"/>
                  </w:rPr>
                  <w:t>3．盈余公积弥补亏损</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tc>
          <w:tcPr>
            <w:tcW w:w="686" w:type="pct"/>
          </w:tcPr>
          <w:sdt>
            <w:sdtPr>
              <w:rPr>
                <w:sz w:val="18"/>
                <w:szCs w:val="18"/>
              </w:rPr>
              <w:tag w:val="_PLD_4cff15a1162840c480701077d824f063"/>
              <w:id w:val="-771559069"/>
            </w:sdtPr>
            <w:sdtContent>
              <w:p>
                <w:pPr>
                  <w:pStyle w:val="affffffffffffffffff3"/>
                  <w:rPr>
                    <w:sz w:val="18"/>
                    <w:szCs w:val="18"/>
                  </w:rPr>
                </w:pPr>
                <w:r>
                  <w:rPr>
                    <w:sz w:val="18"/>
                    <w:szCs w:val="18"/>
                  </w:rPr>
                  <w:t>4．设定受益计划变动额结转留存收益</w:t>
                </w:r>
              </w:p>
            </w:sdtContent>
          </w:sdt>
        </w:tc>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tc>
          <w:tcPr>
            <w:tcW w:w="686" w:type="pct"/>
          </w:tcPr>
          <w:sdt>
            <w:sdtPr>
              <w:rPr>
                <w:sz w:val="18"/>
                <w:szCs w:val="18"/>
              </w:rPr>
              <w:tag w:val="_PLD_01b44dab85214948b610b65ce91a85dd"/>
              <w:id w:val="-775105237"/>
            </w:sdtPr>
            <w:sdtContent>
              <w:p>
                <w:pPr>
                  <w:rPr>
                    <w:sz w:val="18"/>
                    <w:szCs w:val="18"/>
                  </w:rPr>
                </w:pPr>
                <w:r>
                  <w:rPr>
                    <w:sz w:val="18"/>
                    <w:szCs w:val="18"/>
                  </w:rPr>
                  <w:t>5．其他综合收益结转留存收益</w:t>
                </w:r>
              </w:p>
            </w:sdtContent>
          </w:sdt>
        </w:tc>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3ac599075bf24593ba41b1bec2fb0e9e"/>
            <w:id w:val="891927791"/>
          </w:sdtPr>
          <w:sdtContent>
            <w:tc>
              <w:tcPr>
                <w:tcW w:w="686" w:type="pct"/>
              </w:tcPr>
              <w:p>
                <w:pPr>
                  <w:rPr>
                    <w:sz w:val="18"/>
                    <w:szCs w:val="18"/>
                  </w:rPr>
                </w:pPr>
                <w:r>
                  <w:rPr>
                    <w:sz w:val="18"/>
                    <w:szCs w:val="18"/>
                  </w:rPr>
                  <w:t>6．其他</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p>
        </w:tc>
        <w:tc>
          <w:tcPr>
            <w:tcW w:w="356" w:type="pct"/>
            <w:vAlign w:val="center"/>
          </w:tcPr>
          <w:p>
            <w:pPr>
              <w:jc w:val="right"/>
              <w:rPr>
                <w:sz w:val="18"/>
                <w:szCs w:val="18"/>
              </w:rPr>
            </w:pPr>
          </w:p>
        </w:tc>
        <w:tc>
          <w:tcPr>
            <w:tcW w:w="380" w:type="pct"/>
            <w:vAlign w:val="center"/>
          </w:tcPr>
          <w:p>
            <w:pPr>
              <w:jc w:val="right"/>
              <w:rPr>
                <w:sz w:val="18"/>
                <w:szCs w:val="18"/>
              </w:rPr>
            </w:pPr>
          </w:p>
        </w:tc>
      </w:tr>
      <w:tr>
        <w:trPr>
          <w:jc w:val="center"/>
        </w:trPr>
        <w:sdt>
          <w:sdtPr>
            <w:rPr>
              <w:sz w:val="18"/>
              <w:szCs w:val="18"/>
            </w:rPr>
            <w:tag w:val="_PLD_e606d8680d944e6999b3743f1fcf75f9"/>
            <w:id w:val="2080555036"/>
          </w:sdtPr>
          <w:sdtContent>
            <w:tc>
              <w:tcPr>
                <w:tcW w:w="686" w:type="pct"/>
              </w:tcPr>
              <w:p>
                <w:pPr>
                  <w:rPr>
                    <w:sz w:val="18"/>
                    <w:szCs w:val="18"/>
                  </w:rPr>
                </w:pPr>
                <w:r>
                  <w:rPr>
                    <w:rFonts w:hint="eastAsia"/>
                    <w:sz w:val="18"/>
                    <w:szCs w:val="18"/>
                  </w:rPr>
                  <w:t>（五）专项储备</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r>
              <w:rPr>
                <w:sz w:val="18"/>
                <w:szCs w:val="18"/>
              </w:rPr>
              <w:t>-479,004</w:t>
            </w: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-479,004</w:t>
            </w:r>
          </w:p>
        </w:tc>
        <w:tc>
          <w:tcPr>
            <w:tcW w:w="356" w:type="pct"/>
            <w:vAlign w:val="center"/>
          </w:tcPr>
          <w:p>
            <w:pPr>
              <w:jc w:val="right"/>
              <w:rPr>
                <w:sz w:val="18"/>
                <w:szCs w:val="18"/>
              </w:rPr>
            </w:pPr>
            <w:r>
              <w:rPr>
                <w:sz w:val="18"/>
                <w:szCs w:val="18"/>
              </w:rPr>
              <w:t>86,161</w:t>
            </w:r>
          </w:p>
        </w:tc>
        <w:tc>
          <w:tcPr>
            <w:tcW w:w="380" w:type="pct"/>
            <w:vAlign w:val="center"/>
          </w:tcPr>
          <w:p>
            <w:pPr>
              <w:jc w:val="right"/>
              <w:rPr>
                <w:sz w:val="18"/>
                <w:szCs w:val="18"/>
              </w:rPr>
            </w:pPr>
            <w:r>
              <w:rPr>
                <w:sz w:val="18"/>
                <w:szCs w:val="18"/>
              </w:rPr>
              <w:t>-392,843</w:t>
            </w:r>
          </w:p>
        </w:tc>
      </w:tr>
      <w:tr>
        <w:trPr>
          <w:jc w:val="center"/>
        </w:trPr>
        <w:sdt>
          <w:sdtPr>
            <w:rPr>
              <w:sz w:val="18"/>
              <w:szCs w:val="18"/>
            </w:rPr>
            <w:tag w:val="_PLD_c1e7a107b4eb42c48000b98a786d499c"/>
            <w:id w:val="1618948845"/>
          </w:sdtPr>
          <w:sdtContent>
            <w:tc>
              <w:tcPr>
                <w:tcW w:w="686" w:type="pct"/>
              </w:tcPr>
              <w:p>
                <w:pPr>
                  <w:rPr>
                    <w:sz w:val="18"/>
                    <w:szCs w:val="18"/>
                  </w:rPr>
                </w:pPr>
                <w:r>
                  <w:rPr>
                    <w:rFonts w:hint="eastAsia"/>
                    <w:sz w:val="18"/>
                    <w:szCs w:val="18"/>
                  </w:rPr>
                  <w:t>1．本期提取</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r>
              <w:rPr>
                <w:sz w:val="18"/>
                <w:szCs w:val="18"/>
              </w:rPr>
              <w:t>3,869,302</w:t>
            </w: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3,869,302</w:t>
            </w:r>
          </w:p>
        </w:tc>
        <w:tc>
          <w:tcPr>
            <w:tcW w:w="356" w:type="pct"/>
            <w:vAlign w:val="center"/>
          </w:tcPr>
          <w:p>
            <w:pPr>
              <w:jc w:val="right"/>
              <w:rPr>
                <w:sz w:val="18"/>
                <w:szCs w:val="18"/>
              </w:rPr>
            </w:pPr>
            <w:r>
              <w:rPr>
                <w:sz w:val="18"/>
                <w:szCs w:val="18"/>
              </w:rPr>
              <w:t>1,539,484</w:t>
            </w:r>
          </w:p>
        </w:tc>
        <w:tc>
          <w:tcPr>
            <w:tcW w:w="380" w:type="pct"/>
            <w:vAlign w:val="center"/>
          </w:tcPr>
          <w:p>
            <w:pPr>
              <w:jc w:val="right"/>
              <w:rPr>
                <w:sz w:val="18"/>
                <w:szCs w:val="18"/>
              </w:rPr>
            </w:pPr>
            <w:r>
              <w:rPr>
                <w:sz w:val="18"/>
                <w:szCs w:val="18"/>
              </w:rPr>
              <w:t>5,408,786</w:t>
            </w:r>
          </w:p>
        </w:tc>
      </w:tr>
      <w:tr>
        <w:trPr>
          <w:jc w:val="center"/>
        </w:trPr>
        <w:sdt>
          <w:sdtPr>
            <w:rPr>
              <w:sz w:val="18"/>
              <w:szCs w:val="18"/>
            </w:rPr>
            <w:tag w:val="_PLD_69b59bbd4f7a49708a1fc0c2a96e3869"/>
            <w:id w:val="-276957143"/>
          </w:sdtPr>
          <w:sdtContent>
            <w:tc>
              <w:tcPr>
                <w:tcW w:w="686" w:type="pct"/>
              </w:tcPr>
              <w:p>
                <w:pPr>
                  <w:rPr>
                    <w:sz w:val="18"/>
                    <w:szCs w:val="18"/>
                  </w:rPr>
                </w:pPr>
                <w:r>
                  <w:rPr>
                    <w:rFonts w:hint="eastAsia"/>
                    <w:sz w:val="18"/>
                    <w:szCs w:val="18"/>
                  </w:rPr>
                  <w:t>2．本期使用</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r>
              <w:rPr>
                <w:sz w:val="18"/>
                <w:szCs w:val="18"/>
              </w:rPr>
              <w:t>-4,348,306</w:t>
            </w: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-4,348,306</w:t>
            </w:r>
          </w:p>
        </w:tc>
        <w:tc>
          <w:tcPr>
            <w:tcW w:w="356" w:type="pct"/>
            <w:vAlign w:val="center"/>
          </w:tcPr>
          <w:p>
            <w:pPr>
              <w:jc w:val="right"/>
              <w:rPr>
                <w:sz w:val="18"/>
                <w:szCs w:val="18"/>
              </w:rPr>
            </w:pPr>
            <w:r>
              <w:rPr>
                <w:sz w:val="18"/>
                <w:szCs w:val="18"/>
              </w:rPr>
              <w:t>-1,453,323</w:t>
            </w:r>
          </w:p>
        </w:tc>
        <w:tc>
          <w:tcPr>
            <w:tcW w:w="380" w:type="pct"/>
            <w:vAlign w:val="center"/>
          </w:tcPr>
          <w:p>
            <w:pPr>
              <w:jc w:val="right"/>
              <w:rPr>
                <w:sz w:val="18"/>
                <w:szCs w:val="18"/>
              </w:rPr>
            </w:pPr>
            <w:r>
              <w:rPr>
                <w:sz w:val="18"/>
                <w:szCs w:val="18"/>
              </w:rPr>
              <w:t>-5,801,629</w:t>
            </w:r>
          </w:p>
        </w:tc>
      </w:tr>
      <w:tr>
        <w:trPr>
          <w:jc w:val="center"/>
        </w:trPr>
        <w:sdt>
          <w:sdtPr>
            <w:rPr>
              <w:sz w:val="18"/>
              <w:szCs w:val="18"/>
            </w:rPr>
            <w:tag w:val="_PLD_8e6f5912872d41cc910f3bdca18b82d0"/>
            <w:id w:val="-1383939267"/>
          </w:sdtPr>
          <w:sdtContent>
            <w:tc>
              <w:tcPr>
                <w:tcW w:w="686" w:type="pct"/>
              </w:tcPr>
              <w:p>
                <w:pPr>
                  <w:rPr>
                    <w:sz w:val="18"/>
                    <w:szCs w:val="18"/>
                  </w:rPr>
                </w:pPr>
                <w:r>
                  <w:rPr>
                    <w:rFonts w:hint="eastAsia"/>
                    <w:sz w:val="18"/>
                    <w:szCs w:val="18"/>
                  </w:rPr>
                  <w:t>（六）其他</w:t>
                </w:r>
              </w:p>
            </w:tc>
          </w:sdtContent>
        </w:sdt>
        <w:tc>
          <w:tcPr>
            <w:tcW w:w="383" w:type="pct"/>
            <w:vAlign w:val="center"/>
          </w:tcPr>
          <w:p>
            <w:pPr>
              <w:jc w:val="right"/>
              <w:rPr>
                <w:sz w:val="18"/>
                <w:szCs w:val="18"/>
              </w:rPr>
            </w:pPr>
          </w:p>
        </w:tc>
        <w:tc>
          <w:tcPr>
            <w:tcW w:w="127" w:type="pct"/>
            <w:vAlign w:val="center"/>
          </w:tcPr>
          <w:p>
            <w:pPr>
              <w:jc w:val="right"/>
              <w:rPr>
                <w:sz w:val="18"/>
                <w:szCs w:val="18"/>
              </w:rPr>
            </w:pPr>
          </w:p>
        </w:tc>
        <w:tc>
          <w:tcPr>
            <w:tcW w:w="356" w:type="pct"/>
            <w:vAlign w:val="center"/>
          </w:tcPr>
          <w:p>
            <w:pPr>
              <w:jc w:val="right"/>
              <w:rPr>
                <w:sz w:val="18"/>
                <w:szCs w:val="18"/>
              </w:rPr>
            </w:pP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8,665</w:t>
            </w:r>
          </w:p>
        </w:tc>
        <w:tc>
          <w:tcPr>
            <w:tcW w:w="270"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327" w:type="pct"/>
            <w:vAlign w:val="center"/>
          </w:tcPr>
          <w:p>
            <w:pPr>
              <w:jc w:val="right"/>
              <w:rPr>
                <w:sz w:val="18"/>
                <w:szCs w:val="18"/>
              </w:rPr>
            </w:pP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-148,515</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-139,850</w:t>
            </w:r>
          </w:p>
        </w:tc>
        <w:tc>
          <w:tcPr>
            <w:tcW w:w="356" w:type="pct"/>
            <w:vAlign w:val="center"/>
          </w:tcPr>
          <w:p>
            <w:pPr>
              <w:jc w:val="right"/>
              <w:rPr>
                <w:sz w:val="18"/>
                <w:szCs w:val="18"/>
              </w:rPr>
            </w:pPr>
            <w:r>
              <w:rPr>
                <w:sz w:val="18"/>
                <w:szCs w:val="18"/>
              </w:rPr>
              <w:t>1,130,163</w:t>
            </w:r>
          </w:p>
        </w:tc>
        <w:tc>
          <w:tcPr>
            <w:tcW w:w="380" w:type="pct"/>
            <w:vAlign w:val="center"/>
          </w:tcPr>
          <w:p>
            <w:pPr>
              <w:jc w:val="right"/>
              <w:rPr>
                <w:sz w:val="18"/>
                <w:szCs w:val="18"/>
              </w:rPr>
            </w:pPr>
            <w:r>
              <w:rPr>
                <w:sz w:val="18"/>
                <w:szCs w:val="18"/>
              </w:rPr>
              <w:t>990,313</w:t>
            </w:r>
          </w:p>
        </w:tc>
      </w:tr>
      <w:tr>
        <w:trPr>
          <w:jc w:val="center"/>
        </w:trPr>
        <w:sdt>
          <w:sdtPr>
            <w:rPr>
              <w:sz w:val="18"/>
              <w:szCs w:val="18"/>
            </w:rPr>
            <w:tag w:val="_PLD_f6ec7abefe954758b48497b1b1440546"/>
            <w:id w:val="1458450929"/>
          </w:sdtPr>
          <w:sdtContent>
            <w:tc>
              <w:tcPr>
                <w:tcW w:w="686" w:type="pct"/>
              </w:tcPr>
              <w:p>
                <w:pPr>
                  <w:rPr>
                    <w:sz w:val="18"/>
                    <w:szCs w:val="18"/>
                  </w:rPr>
                </w:pPr>
                <w:r>
                  <w:rPr>
                    <w:sz w:val="18"/>
                    <w:szCs w:val="18"/>
                  </w:rPr>
                  <w:t>四、本期期末余额</w:t>
                </w:r>
              </w:p>
            </w:tc>
          </w:sdtContent>
        </w:sdt>
        <w:tc>
          <w:tcPr>
            <w:tcW w:w="383" w:type="pct"/>
            <w:vAlign w:val="center"/>
          </w:tcPr>
          <w:p>
            <w:pPr>
              <w:jc w:val="right"/>
              <w:rPr>
                <w:sz w:val="18"/>
                <w:szCs w:val="18"/>
              </w:rPr>
            </w:pPr>
            <w:r>
              <w:rPr>
                <w:sz w:val="18"/>
                <w:szCs w:val="18"/>
              </w:rPr>
              <w:t>10,039,860</w:t>
            </w:r>
          </w:p>
        </w:tc>
        <w:tc>
          <w:tcPr>
            <w:tcW w:w="127" w:type="pct"/>
            <w:vAlign w:val="center"/>
          </w:tcPr>
          <w:p>
            <w:pPr>
              <w:jc w:val="right"/>
              <w:rPr>
                <w:sz w:val="18"/>
                <w:szCs w:val="18"/>
              </w:rPr>
            </w:pPr>
          </w:p>
        </w:tc>
        <w:tc>
          <w:tcPr>
            <w:tcW w:w="356" w:type="pct"/>
            <w:vAlign w:val="center"/>
          </w:tcPr>
          <w:p>
            <w:pPr>
              <w:jc w:val="right"/>
              <w:rPr>
                <w:sz w:val="18"/>
                <w:szCs w:val="18"/>
              </w:rPr>
            </w:pPr>
            <w:r>
              <w:rPr>
                <w:sz w:val="18"/>
                <w:szCs w:val="18"/>
              </w:rPr>
              <w:t>23,267,221</w:t>
            </w:r>
          </w:p>
        </w:tc>
        <w:tc>
          <w:tcPr>
            <w:tcW w:w="167" w:type="pct"/>
            <w:vAlign w:val="center"/>
          </w:tcPr>
          <w:p>
            <w:pPr>
              <w:jc w:val="right"/>
              <w:rPr>
                <w:sz w:val="18"/>
                <w:szCs w:val="18"/>
              </w:rPr>
            </w:pPr>
          </w:p>
        </w:tc>
        <w:tc>
          <w:tcPr>
            <w:tcW w:w="287" w:type="pct"/>
            <w:vAlign w:val="center"/>
          </w:tcPr>
          <w:p>
            <w:pPr>
              <w:jc w:val="right"/>
              <w:rPr>
                <w:sz w:val="18"/>
                <w:szCs w:val="18"/>
              </w:rPr>
            </w:pPr>
            <w:r>
              <w:rPr>
                <w:sz w:val="18"/>
                <w:szCs w:val="18"/>
              </w:rPr>
              <w:t>4,130,699</w:t>
            </w:r>
          </w:p>
        </w:tc>
        <w:tc>
          <w:tcPr>
            <w:tcW w:w="270" w:type="pct"/>
            <w:vAlign w:val="center"/>
          </w:tcPr>
          <w:p>
            <w:pPr>
              <w:jc w:val="right"/>
              <w:rPr>
                <w:sz w:val="18"/>
                <w:szCs w:val="18"/>
              </w:rPr>
            </w:pPr>
            <w:r>
              <w:rPr>
                <w:sz w:val="18"/>
                <w:szCs w:val="18"/>
              </w:rPr>
              <w:t>112,417</w:t>
            </w:r>
          </w:p>
        </w:tc>
        <w:tc>
          <w:tcPr>
            <w:tcW w:w="327" w:type="pct"/>
            <w:vAlign w:val="center"/>
          </w:tcPr>
          <w:p>
            <w:pPr>
              <w:jc w:val="right"/>
              <w:rPr>
                <w:sz w:val="18"/>
                <w:szCs w:val="18"/>
              </w:rPr>
            </w:pPr>
            <w:r>
              <w:rPr>
                <w:sz w:val="18"/>
                <w:szCs w:val="18"/>
              </w:rPr>
              <w:t>-7,934,551</w:t>
            </w:r>
          </w:p>
        </w:tc>
        <w:tc>
          <w:tcPr>
            <w:tcW w:w="327" w:type="pct"/>
            <w:vAlign w:val="center"/>
          </w:tcPr>
          <w:p>
            <w:pPr>
              <w:jc w:val="right"/>
              <w:rPr>
                <w:sz w:val="18"/>
                <w:szCs w:val="18"/>
              </w:rPr>
            </w:pPr>
            <w:r>
              <w:rPr>
                <w:sz w:val="18"/>
                <w:szCs w:val="18"/>
              </w:rPr>
              <w:t>3,107,501</w:t>
            </w:r>
          </w:p>
        </w:tc>
        <w:tc>
          <w:tcPr>
            <w:tcW w:w="327" w:type="pct"/>
            <w:vAlign w:val="center"/>
          </w:tcPr>
          <w:p>
            <w:pPr>
              <w:jc w:val="right"/>
              <w:rPr>
                <w:sz w:val="18"/>
                <w:szCs w:val="18"/>
              </w:rPr>
            </w:pPr>
            <w:r>
              <w:rPr>
                <w:sz w:val="18"/>
                <w:szCs w:val="18"/>
              </w:rPr>
              <w:t>2,841,392</w:t>
            </w:r>
          </w:p>
        </w:tc>
        <w:tc>
          <w:tcPr>
            <w:tcW w:w="128" w:type="pct"/>
            <w:vAlign w:val="center"/>
          </w:tcPr>
          <w:p>
            <w:pPr>
              <w:jc w:val="right"/>
              <w:rPr>
                <w:sz w:val="18"/>
                <w:szCs w:val="18"/>
              </w:rPr>
            </w:pPr>
          </w:p>
        </w:tc>
        <w:tc>
          <w:tcPr>
            <w:tcW w:w="445" w:type="pct"/>
            <w:vAlign w:val="center"/>
          </w:tcPr>
          <w:p>
            <w:pPr>
              <w:jc w:val="right"/>
              <w:rPr>
                <w:sz w:val="18"/>
                <w:szCs w:val="18"/>
              </w:rPr>
            </w:pPr>
            <w:r>
              <w:rPr>
                <w:sz w:val="18"/>
                <w:szCs w:val="18"/>
              </w:rPr>
              <w:t>47,254,751</w:t>
            </w:r>
          </w:p>
        </w:tc>
        <w:tc>
          <w:tcPr>
            <w:tcW w:w="78" w:type="pct"/>
            <w:vAlign w:val="center"/>
          </w:tcPr>
          <w:p>
            <w:pPr>
              <w:jc w:val="right"/>
              <w:rPr>
                <w:sz w:val="18"/>
                <w:szCs w:val="18"/>
              </w:rPr>
            </w:pPr>
          </w:p>
        </w:tc>
        <w:tc>
          <w:tcPr>
            <w:tcW w:w="356" w:type="pct"/>
            <w:vAlign w:val="center"/>
          </w:tcPr>
          <w:p>
            <w:pPr>
              <w:jc w:val="right"/>
              <w:rPr>
                <w:sz w:val="18"/>
                <w:szCs w:val="18"/>
              </w:rPr>
            </w:pPr>
            <w:r>
              <w:rPr>
                <w:sz w:val="18"/>
                <w:szCs w:val="18"/>
              </w:rPr>
              <w:t>82,594,456</w:t>
            </w:r>
          </w:p>
        </w:tc>
        <w:tc>
          <w:tcPr>
            <w:tcW w:w="356" w:type="pct"/>
            <w:vAlign w:val="center"/>
          </w:tcPr>
          <w:p>
            <w:pPr>
              <w:jc w:val="right"/>
              <w:rPr>
                <w:sz w:val="18"/>
                <w:szCs w:val="18"/>
              </w:rPr>
            </w:pPr>
            <w:r>
              <w:rPr>
                <w:sz w:val="18"/>
                <w:szCs w:val="18"/>
              </w:rPr>
              <w:t>50,415,803</w:t>
            </w:r>
          </w:p>
        </w:tc>
        <w:tc>
          <w:tcPr>
            <w:tcW w:w="380" w:type="pct"/>
            <w:vAlign w:val="center"/>
          </w:tcPr>
          <w:p>
            <w:pPr>
              <w:jc w:val="right"/>
              <w:rPr>
                <w:sz w:val="18"/>
                <w:szCs w:val="18"/>
              </w:rPr>
            </w:pPr>
            <w:r>
              <w:rPr>
                <w:sz w:val="18"/>
                <w:szCs w:val="18"/>
              </w:rPr>
              <w:t>133,010,259</w:t>
            </w:r>
          </w:p>
        </w:tc>
      </w:tr>
    </w:tbl>
    <w:p>
      <w:pPr>
        <w:pStyle w:val="affffffffffffffffff3"/>
      </w:pPr>
    </w:p>
    <w:p>
      <w:pPr>
        <w:rPr>
          <w:szCs w:val="21"/>
        </w:rPr>
      </w:pPr>
      <w:r>
        <w:rPr>
          <w:szCs w:val="21"/>
        </w:rPr>
        <w:br w:type="page"/>
      </w:r>
    </w:p>
    <w:p>
      <w:pPr>
        <w:snapToGrid w:val="0"/>
        <w:spacing w:line="240" w:lineRule="atLeast"/>
        <w:ind w:rightChars="-759" w:right="-1594"/>
        <w:rPr>
          <w:szCs w:val="21"/>
        </w:rPr>
      </w:pPr>
    </w:p>
    <w:tbl>
      <w:tblPr>
        <w:tblStyle w:val="affffffffff8"/>
        <w:tblW w:w="5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82"/>
        <w:gridCol w:w="1135"/>
        <w:gridCol w:w="423"/>
        <w:gridCol w:w="1134"/>
        <w:gridCol w:w="423"/>
        <w:gridCol w:w="1134"/>
        <w:gridCol w:w="995"/>
        <w:gridCol w:w="1273"/>
        <w:gridCol w:w="1134"/>
        <w:gridCol w:w="850"/>
        <w:gridCol w:w="566"/>
        <w:gridCol w:w="1280"/>
        <w:gridCol w:w="281"/>
        <w:gridCol w:w="1154"/>
        <w:gridCol w:w="1138"/>
        <w:gridCol w:w="1257"/>
      </w:tblGrid>
      <w:tr>
        <w:trPr>
          <w:jc w:val="center"/>
        </w:trPr>
        <w:tc>
          <w:tcPr>
            <w:tcW w:w="613" w:type="pct"/>
            <w:vMerge w:val="restart"/>
            <w:vAlign w:val="center"/>
          </w:tcPr>
          <w:sdt>
            <w:sdtPr>
              <w:rPr>
                <w:sz w:val="18"/>
                <w:szCs w:val="18"/>
              </w:rPr>
              <w:tag w:val="_PLD_229212c664af43faa41821d5eec551b8"/>
              <w:id w:val="1082640707"/>
            </w:sdtPr>
            <w:sdtContent>
              <w:p>
                <w:pPr>
                  <w:snapToGrid w:val="0"/>
                  <w:spacing w:line="240" w:lineRule="atLeast"/>
                  <w:jc w:val="center"/>
                  <w:rPr>
                    <w:sz w:val="18"/>
                    <w:szCs w:val="18"/>
                  </w:rPr>
                </w:pPr>
                <w:r>
                  <w:rPr>
                    <w:rFonts w:hint="eastAsia"/>
                    <w:sz w:val="18"/>
                    <w:szCs w:val="18"/>
                  </w:rPr>
                  <w:t>项目</w:t>
                </w:r>
              </w:p>
            </w:sdtContent>
          </w:sdt>
        </w:tc>
        <w:tc>
          <w:tcPr>
            <w:tcW w:w="4387" w:type="pct"/>
            <w:gridSpan w:val="15"/>
          </w:tcPr>
          <w:p>
            <w:pPr>
              <w:snapToGrid w:val="0"/>
              <w:spacing w:line="240" w:lineRule="atLeast"/>
              <w:ind w:rightChars="-759" w:right="-1594"/>
              <w:jc w:val="center"/>
              <w:rPr>
                <w:sz w:val="18"/>
                <w:szCs w:val="18"/>
              </w:rPr>
            </w:pPr>
            <w:sdt>
              <w:sdtPr>
                <w:rPr>
                  <w:sz w:val="18"/>
                  <w:szCs w:val="18"/>
                </w:rPr>
                <w:tag w:val="_PLD_5c8dcea3749f4f92b2d283c717162a73"/>
                <w:id w:val="-1991625814"/>
              </w:sdtPr>
              <w:sdtContent>
                <w:r>
                  <w:rPr>
                    <w:rFonts w:hint="eastAsia"/>
                    <w:sz w:val="18"/>
                    <w:szCs w:val="18"/>
                  </w:rPr>
                  <w:t>2023年度</w:t>
                </w:r>
              </w:sdtContent>
            </w:sdt>
          </w:p>
        </w:tc>
      </w:tr>
      <w:tr>
        <w:trPr>
          <w:trHeight w:val="471"/>
          <w:jc w:val="center"/>
        </w:trPr>
        <w:tc>
          <w:tcPr>
            <w:tcW w:w="613" w:type="pct"/>
            <w:vMerge/>
          </w:tcPr>
          <w:p>
            <w:pPr>
              <w:snapToGrid w:val="0"/>
              <w:spacing w:line="240" w:lineRule="atLeast"/>
              <w:ind w:rightChars="-759" w:right="-1594"/>
              <w:rPr>
                <w:sz w:val="18"/>
                <w:szCs w:val="18"/>
              </w:rPr>
            </w:pPr>
          </w:p>
        </w:tc>
        <w:sdt>
          <w:sdtPr>
            <w:rPr>
              <w:sz w:val="18"/>
              <w:szCs w:val="18"/>
            </w:rPr>
            <w:tag w:val="_PLD_e725a8cacf9d4d1abedbfeae17c394e0"/>
            <w:id w:val="1659034815"/>
          </w:sdtPr>
          <w:sdtContent>
            <w:tc>
              <w:tcPr>
                <w:tcW w:w="3646" w:type="pct"/>
                <w:gridSpan w:val="13"/>
                <w:vAlign w:val="center"/>
              </w:tcPr>
              <w:p>
                <w:pPr>
                  <w:jc w:val="center"/>
                  <w:rPr>
                    <w:sz w:val="18"/>
                    <w:szCs w:val="18"/>
                  </w:rPr>
                </w:pPr>
                <w:r>
                  <w:rPr>
                    <w:sz w:val="18"/>
                    <w:szCs w:val="18"/>
                  </w:rPr>
                  <w:t>归属于母公司所有者权益</w:t>
                </w:r>
              </w:p>
            </w:tc>
          </w:sdtContent>
        </w:sdt>
        <w:sdt>
          <w:sdtPr>
            <w:rPr>
              <w:sz w:val="18"/>
              <w:szCs w:val="18"/>
            </w:rPr>
            <w:tag w:val="_PLD_fe6c49384f0941088b29ad945caeb72b"/>
            <w:id w:val="-460270431"/>
          </w:sdtPr>
          <w:sdtContent>
            <w:tc>
              <w:tcPr>
                <w:tcW w:w="352" w:type="pct"/>
                <w:vMerge w:val="restart"/>
                <w:vAlign w:val="center"/>
              </w:tcPr>
              <w:p>
                <w:pPr>
                  <w:jc w:val="center"/>
                  <w:rPr>
                    <w:sz w:val="18"/>
                    <w:szCs w:val="18"/>
                  </w:rPr>
                </w:pPr>
                <w:r>
                  <w:rPr>
                    <w:sz w:val="18"/>
                    <w:szCs w:val="18"/>
                  </w:rPr>
                  <w:t>少数股东权益</w:t>
                </w:r>
              </w:p>
            </w:tc>
          </w:sdtContent>
        </w:sdt>
        <w:sdt>
          <w:sdtPr>
            <w:rPr>
              <w:sz w:val="18"/>
              <w:szCs w:val="18"/>
            </w:rPr>
            <w:tag w:val="_PLD_bbe71d4307504d648ce52638ee90ccd4"/>
            <w:id w:val="-1921941828"/>
          </w:sdtPr>
          <w:sdtContent>
            <w:tc>
              <w:tcPr>
                <w:tcW w:w="389" w:type="pct"/>
                <w:vMerge w:val="restart"/>
                <w:vAlign w:val="center"/>
              </w:tcPr>
              <w:p>
                <w:pPr>
                  <w:jc w:val="center"/>
                  <w:rPr>
                    <w:sz w:val="18"/>
                    <w:szCs w:val="18"/>
                  </w:rPr>
                </w:pPr>
                <w:r>
                  <w:rPr>
                    <w:sz w:val="18"/>
                    <w:szCs w:val="18"/>
                  </w:rPr>
                  <w:t>所有者权益合计</w:t>
                </w:r>
              </w:p>
            </w:tc>
          </w:sdtContent>
        </w:sdt>
      </w:tr>
      <w:tr>
        <w:trPr>
          <w:trHeight w:val="383"/>
          <w:jc w:val="center"/>
        </w:trPr>
        <w:tc>
          <w:tcPr>
            <w:tcW w:w="613" w:type="pct"/>
            <w:vMerge/>
          </w:tcPr>
          <w:p>
            <w:pPr>
              <w:snapToGrid w:val="0"/>
              <w:spacing w:line="240" w:lineRule="atLeast"/>
              <w:ind w:rightChars="-759" w:right="-1594"/>
              <w:rPr>
                <w:sz w:val="18"/>
                <w:szCs w:val="18"/>
              </w:rPr>
            </w:pPr>
          </w:p>
        </w:tc>
        <w:sdt>
          <w:sdtPr>
            <w:rPr>
              <w:sz w:val="18"/>
              <w:szCs w:val="18"/>
            </w:rPr>
            <w:tag w:val="_PLD_941585ba85eb48fa931876151974e425"/>
            <w:id w:val="1162272115"/>
          </w:sdtPr>
          <w:sdtContent>
            <w:tc>
              <w:tcPr>
                <w:tcW w:w="351" w:type="pct"/>
                <w:vMerge w:val="restart"/>
                <w:vAlign w:val="center"/>
              </w:tcPr>
              <w:p>
                <w:pPr>
                  <w:snapToGrid w:val="0"/>
                  <w:spacing w:line="240" w:lineRule="atLeast"/>
                  <w:jc w:val="center"/>
                  <w:rPr>
                    <w:sz w:val="18"/>
                    <w:szCs w:val="18"/>
                  </w:rPr>
                </w:pPr>
                <w:r>
                  <w:rPr>
                    <w:sz w:val="18"/>
                    <w:szCs w:val="18"/>
                  </w:rPr>
                  <w:t>实收资本(或股本)</w:t>
                </w:r>
              </w:p>
            </w:tc>
          </w:sdtContent>
        </w:sdt>
        <w:sdt>
          <w:sdtPr>
            <w:rPr>
              <w:sz w:val="18"/>
              <w:szCs w:val="18"/>
            </w:rPr>
            <w:tag w:val="_PLD_4097b1c4c4f449ef94e9dedb67cf7c3a"/>
            <w:id w:val="-485711483"/>
          </w:sdtPr>
          <w:sdtContent>
            <w:tc>
              <w:tcPr>
                <w:tcW w:w="613"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rPr>
              <w:sz w:val="18"/>
              <w:szCs w:val="18"/>
            </w:rPr>
            <w:tag w:val="_PLD_f8441471f9a041ac884142e2c9e87055"/>
            <w:id w:val="-934201598"/>
          </w:sdtPr>
          <w:sdtContent>
            <w:tc>
              <w:tcPr>
                <w:tcW w:w="351"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rPr>
              <w:sz w:val="18"/>
              <w:szCs w:val="18"/>
            </w:rPr>
            <w:tag w:val="_PLD_f972a7ccc15d4f409243ecc02ea77629"/>
            <w:id w:val="-1953390607"/>
          </w:sdtPr>
          <w:sdtContent>
            <w:tc>
              <w:tcPr>
                <w:tcW w:w="308"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rPr>
              <w:sz w:val="18"/>
              <w:szCs w:val="18"/>
            </w:rPr>
            <w:tag w:val="_PLD_32394603dc124fdb904af0ad8606aa79"/>
            <w:id w:val="1173686932"/>
          </w:sdtPr>
          <w:sdtContent>
            <w:tc>
              <w:tcPr>
                <w:tcW w:w="394"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rPr>
              <w:sz w:val="18"/>
              <w:szCs w:val="18"/>
            </w:rPr>
            <w:tag w:val="_PLD_af29ec23e072452c89c8447237a4831e"/>
            <w:id w:val="652723204"/>
          </w:sdtPr>
          <w:sdtContent>
            <w:tc>
              <w:tcPr>
                <w:tcW w:w="351"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rPr>
              <w:sz w:val="18"/>
              <w:szCs w:val="18"/>
            </w:rPr>
            <w:tag w:val="_PLD_81a68447a616402b99500dae3d54a22d"/>
            <w:id w:val="995226587"/>
          </w:sdtPr>
          <w:sdtContent>
            <w:tc>
              <w:tcPr>
                <w:tcW w:w="263"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rPr>
              <w:sz w:val="18"/>
              <w:szCs w:val="18"/>
            </w:rPr>
            <w:tag w:val="_PLD_ad0dadbaf28f45779fefb69d05b7215d"/>
            <w:id w:val="-1885633889"/>
          </w:sdtPr>
          <w:sdtContent>
            <w:tc>
              <w:tcPr>
                <w:tcW w:w="175"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rPr>
              <w:sz w:val="18"/>
              <w:szCs w:val="18"/>
            </w:rPr>
            <w:tag w:val="_PLD_a51f5c6bdac744979b275b09b6a9d1d8"/>
            <w:id w:val="1733190112"/>
          </w:sdtPr>
          <w:sdtContent>
            <w:tc>
              <w:tcPr>
                <w:tcW w:w="396"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87" w:type="pct"/>
            <w:vMerge w:val="restart"/>
            <w:vAlign w:val="center"/>
          </w:tcPr>
          <w:sdt>
            <w:sdtPr>
              <w:rPr>
                <w:sz w:val="18"/>
                <w:szCs w:val="18"/>
              </w:rPr>
              <w:tag w:val="_PLD_ae449a7a80f64d56b34968f1f21d2198"/>
              <w:id w:val="899255319"/>
            </w:sdtPr>
            <w:sdtContent>
              <w:p>
                <w:pPr>
                  <w:jc w:val="center"/>
                  <w:rPr>
                    <w:sz w:val="18"/>
                    <w:szCs w:val="18"/>
                  </w:rPr>
                </w:pPr>
                <w:r>
                  <w:rPr>
                    <w:rFonts w:hint="eastAsia"/>
                    <w:sz w:val="18"/>
                    <w:szCs w:val="18"/>
                  </w:rPr>
                  <w:t>其他</w:t>
                </w:r>
              </w:p>
            </w:sdtContent>
          </w:sdt>
        </w:tc>
        <w:tc>
          <w:tcPr>
            <w:tcW w:w="357" w:type="pct"/>
            <w:vMerge w:val="restart"/>
            <w:vAlign w:val="center"/>
          </w:tcPr>
          <w:sdt>
            <w:sdtPr>
              <w:rPr>
                <w:sz w:val="18"/>
                <w:szCs w:val="18"/>
              </w:rPr>
              <w:tag w:val="_PLD_f2691f33b2164ad8b83415f8cd404dea"/>
              <w:id w:val="-1228607104"/>
            </w:sdtPr>
            <w:sdtContent>
              <w:p>
                <w:pPr>
                  <w:jc w:val="center"/>
                  <w:rPr>
                    <w:sz w:val="18"/>
                    <w:szCs w:val="18"/>
                  </w:rPr>
                </w:pPr>
                <w:r>
                  <w:rPr>
                    <w:rFonts w:hint="eastAsia"/>
                    <w:sz w:val="18"/>
                    <w:szCs w:val="18"/>
                  </w:rPr>
                  <w:t>小计</w:t>
                </w:r>
              </w:p>
            </w:sdtContent>
          </w:sdt>
        </w:tc>
        <w:tc>
          <w:tcPr>
            <w:tcW w:w="352" w:type="pct"/>
            <w:vMerge/>
          </w:tcPr>
          <w:p>
            <w:pPr>
              <w:jc w:val="center"/>
              <w:rPr>
                <w:sz w:val="18"/>
                <w:szCs w:val="18"/>
              </w:rPr>
            </w:pPr>
          </w:p>
        </w:tc>
        <w:tc>
          <w:tcPr>
            <w:tcW w:w="389" w:type="pct"/>
            <w:vMerge/>
          </w:tcPr>
          <w:p>
            <w:pPr>
              <w:jc w:val="center"/>
              <w:rPr>
                <w:sz w:val="18"/>
                <w:szCs w:val="18"/>
              </w:rPr>
            </w:pPr>
          </w:p>
        </w:tc>
      </w:tr>
      <w:tr>
        <w:trPr>
          <w:trHeight w:val="303"/>
          <w:jc w:val="center"/>
        </w:trPr>
        <w:tc>
          <w:tcPr>
            <w:tcW w:w="613" w:type="pct"/>
            <w:vMerge/>
          </w:tcPr>
          <w:p>
            <w:pPr>
              <w:snapToGrid w:val="0"/>
              <w:spacing w:line="240" w:lineRule="atLeast"/>
              <w:ind w:rightChars="-759" w:right="-1594"/>
              <w:rPr>
                <w:sz w:val="18"/>
                <w:szCs w:val="18"/>
              </w:rPr>
            </w:pPr>
          </w:p>
        </w:tc>
        <w:tc>
          <w:tcPr>
            <w:tcW w:w="351" w:type="pct"/>
            <w:vMerge/>
          </w:tcPr>
          <w:p>
            <w:pPr>
              <w:snapToGrid w:val="0"/>
              <w:spacing w:line="240" w:lineRule="atLeast"/>
              <w:jc w:val="center"/>
              <w:rPr>
                <w:sz w:val="18"/>
                <w:szCs w:val="18"/>
              </w:rPr>
            </w:pPr>
          </w:p>
        </w:tc>
        <w:sdt>
          <w:sdtPr>
            <w:rPr>
              <w:sz w:val="18"/>
              <w:szCs w:val="18"/>
            </w:rPr>
            <w:tag w:val="_PLD_c8e4e3f938444f399262729a0267aa59"/>
            <w:id w:val="455919018"/>
          </w:sdtPr>
          <w:sdtContent>
            <w:tc>
              <w:tcPr>
                <w:tcW w:w="131" w:type="pct"/>
                <w:vAlign w:val="center"/>
              </w:tcPr>
              <w:p>
                <w:pPr>
                  <w:jc w:val="center"/>
                  <w:rPr>
                    <w:sz w:val="18"/>
                    <w:szCs w:val="18"/>
                  </w:rPr>
                </w:pPr>
                <w:r>
                  <w:rPr>
                    <w:rFonts w:hint="eastAsia"/>
                    <w:sz w:val="18"/>
                    <w:szCs w:val="18"/>
                  </w:rPr>
                  <w:t>优先股</w:t>
                </w:r>
              </w:p>
            </w:tc>
          </w:sdtContent>
        </w:sdt>
        <w:sdt>
          <w:sdtPr>
            <w:rPr>
              <w:sz w:val="18"/>
              <w:szCs w:val="18"/>
            </w:rPr>
            <w:tag w:val="_PLD_70f3796cf4ab4ecbb92343a346942a09"/>
            <w:id w:val="2123647212"/>
          </w:sdtPr>
          <w:sdtContent>
            <w:tc>
              <w:tcPr>
                <w:tcW w:w="351" w:type="pct"/>
                <w:vAlign w:val="center"/>
              </w:tcPr>
              <w:p>
                <w:pPr>
                  <w:jc w:val="center"/>
                  <w:rPr>
                    <w:sz w:val="18"/>
                    <w:szCs w:val="18"/>
                  </w:rPr>
                </w:pPr>
                <w:r>
                  <w:rPr>
                    <w:rFonts w:hint="eastAsia"/>
                    <w:sz w:val="18"/>
                    <w:szCs w:val="18"/>
                  </w:rPr>
                  <w:t>永续债</w:t>
                </w:r>
              </w:p>
            </w:tc>
          </w:sdtContent>
        </w:sdt>
        <w:sdt>
          <w:sdtPr>
            <w:rPr>
              <w:sz w:val="18"/>
              <w:szCs w:val="18"/>
            </w:rPr>
            <w:tag w:val="_PLD_a3d4853d11ed4217a1c5e27cfc45c1c9"/>
            <w:id w:val="-916777483"/>
          </w:sdtPr>
          <w:sdtContent>
            <w:tc>
              <w:tcPr>
                <w:tcW w:w="131" w:type="pct"/>
                <w:vAlign w:val="center"/>
              </w:tcPr>
              <w:p>
                <w:pPr>
                  <w:jc w:val="center"/>
                  <w:rPr>
                    <w:sz w:val="18"/>
                    <w:szCs w:val="18"/>
                  </w:rPr>
                </w:pPr>
                <w:r>
                  <w:rPr>
                    <w:rFonts w:hint="eastAsia"/>
                    <w:sz w:val="18"/>
                    <w:szCs w:val="18"/>
                  </w:rPr>
                  <w:t>其他</w:t>
                </w:r>
              </w:p>
            </w:tc>
          </w:sdtContent>
        </w:sdt>
        <w:tc>
          <w:tcPr>
            <w:tcW w:w="351" w:type="pct"/>
            <w:vMerge/>
          </w:tcPr>
          <w:p>
            <w:pPr>
              <w:snapToGrid w:val="0"/>
              <w:spacing w:line="240" w:lineRule="atLeast"/>
              <w:jc w:val="center"/>
              <w:rPr>
                <w:sz w:val="18"/>
                <w:szCs w:val="18"/>
              </w:rPr>
            </w:pPr>
          </w:p>
        </w:tc>
        <w:tc>
          <w:tcPr>
            <w:tcW w:w="308" w:type="pct"/>
            <w:vMerge/>
          </w:tcPr>
          <w:p>
            <w:pPr>
              <w:snapToGrid w:val="0"/>
              <w:spacing w:line="240" w:lineRule="atLeast"/>
              <w:jc w:val="center"/>
              <w:rPr>
                <w:sz w:val="18"/>
                <w:szCs w:val="18"/>
              </w:rPr>
            </w:pPr>
          </w:p>
        </w:tc>
        <w:tc>
          <w:tcPr>
            <w:tcW w:w="394" w:type="pct"/>
            <w:vMerge/>
          </w:tcPr>
          <w:p>
            <w:pPr>
              <w:snapToGrid w:val="0"/>
              <w:spacing w:line="240" w:lineRule="atLeast"/>
              <w:jc w:val="center"/>
              <w:rPr>
                <w:sz w:val="18"/>
                <w:szCs w:val="18"/>
              </w:rPr>
            </w:pPr>
          </w:p>
        </w:tc>
        <w:tc>
          <w:tcPr>
            <w:tcW w:w="351" w:type="pct"/>
            <w:vMerge/>
          </w:tcPr>
          <w:p>
            <w:pPr>
              <w:snapToGrid w:val="0"/>
              <w:spacing w:line="240" w:lineRule="atLeast"/>
              <w:jc w:val="center"/>
              <w:rPr>
                <w:sz w:val="18"/>
                <w:szCs w:val="18"/>
              </w:rPr>
            </w:pPr>
          </w:p>
        </w:tc>
        <w:tc>
          <w:tcPr>
            <w:tcW w:w="263" w:type="pct"/>
            <w:vMerge/>
          </w:tcPr>
          <w:p>
            <w:pPr>
              <w:snapToGrid w:val="0"/>
              <w:spacing w:line="240" w:lineRule="atLeast"/>
              <w:jc w:val="center"/>
              <w:rPr>
                <w:sz w:val="18"/>
                <w:szCs w:val="18"/>
              </w:rPr>
            </w:pPr>
          </w:p>
        </w:tc>
        <w:tc>
          <w:tcPr>
            <w:tcW w:w="175" w:type="pct"/>
            <w:vMerge/>
          </w:tcPr>
          <w:p>
            <w:pPr>
              <w:snapToGrid w:val="0"/>
              <w:spacing w:line="240" w:lineRule="atLeast"/>
              <w:jc w:val="center"/>
              <w:rPr>
                <w:sz w:val="18"/>
                <w:szCs w:val="18"/>
              </w:rPr>
            </w:pPr>
          </w:p>
        </w:tc>
        <w:tc>
          <w:tcPr>
            <w:tcW w:w="396" w:type="pct"/>
            <w:vMerge/>
          </w:tcPr>
          <w:p>
            <w:pPr>
              <w:snapToGrid w:val="0"/>
              <w:spacing w:line="240" w:lineRule="atLeast"/>
              <w:jc w:val="center"/>
              <w:rPr>
                <w:sz w:val="18"/>
                <w:szCs w:val="18"/>
              </w:rPr>
            </w:pPr>
          </w:p>
        </w:tc>
        <w:tc>
          <w:tcPr>
            <w:tcW w:w="87" w:type="pct"/>
            <w:vMerge/>
          </w:tcPr>
          <w:p>
            <w:pPr>
              <w:jc w:val="center"/>
              <w:rPr>
                <w:sz w:val="18"/>
                <w:szCs w:val="18"/>
              </w:rPr>
            </w:pPr>
          </w:p>
        </w:tc>
        <w:tc>
          <w:tcPr>
            <w:tcW w:w="357" w:type="pct"/>
            <w:vMerge/>
          </w:tcPr>
          <w:p>
            <w:pPr>
              <w:jc w:val="center"/>
              <w:rPr>
                <w:sz w:val="18"/>
                <w:szCs w:val="18"/>
              </w:rPr>
            </w:pPr>
          </w:p>
        </w:tc>
        <w:tc>
          <w:tcPr>
            <w:tcW w:w="352" w:type="pct"/>
            <w:vMerge/>
          </w:tcPr>
          <w:p>
            <w:pPr>
              <w:jc w:val="center"/>
              <w:rPr>
                <w:sz w:val="18"/>
                <w:szCs w:val="18"/>
              </w:rPr>
            </w:pPr>
          </w:p>
        </w:tc>
        <w:tc>
          <w:tcPr>
            <w:tcW w:w="389" w:type="pct"/>
            <w:vMerge/>
            <w:tcBorders>
              <w:bottom w:val="nil"/>
            </w:tcBorders>
          </w:tcPr>
          <w:p>
            <w:pPr>
              <w:jc w:val="center"/>
              <w:rPr>
                <w:sz w:val="18"/>
                <w:szCs w:val="18"/>
              </w:rPr>
            </w:pPr>
          </w:p>
        </w:tc>
      </w:tr>
      <w:tr>
        <w:trPr>
          <w:jc w:val="center"/>
        </w:trPr>
        <w:sdt>
          <w:sdtPr>
            <w:rPr>
              <w:sz w:val="18"/>
              <w:szCs w:val="18"/>
            </w:rPr>
            <w:tag w:val="_PLD_24c39056f5874862855dc37ef7f0d558"/>
            <w:id w:val="-1398824427"/>
          </w:sdtPr>
          <w:sdtContent>
            <w:tc>
              <w:tcPr>
                <w:tcW w:w="613" w:type="pct"/>
                <w:vAlign w:val="center"/>
              </w:tcPr>
              <w:p>
                <w:pPr>
                  <w:jc w:val="both"/>
                  <w:rPr>
                    <w:sz w:val="18"/>
                    <w:szCs w:val="18"/>
                  </w:rPr>
                </w:pPr>
                <w:r>
                  <w:rPr>
                    <w:sz w:val="18"/>
                    <w:szCs w:val="18"/>
                  </w:rPr>
                  <w:t>一、上年</w:t>
                </w:r>
                <w:r>
                  <w:rPr>
                    <w:rFonts w:hint="eastAsia"/>
                    <w:sz w:val="18"/>
                    <w:szCs w:val="18"/>
                  </w:rPr>
                  <w:t>年</w:t>
                </w:r>
                <w:r>
                  <w:rPr>
                    <w:sz w:val="18"/>
                    <w:szCs w:val="18"/>
                  </w:rPr>
                  <w:t>末余额</w:t>
                </w:r>
              </w:p>
            </w:tc>
          </w:sdtContent>
        </w:sdt>
        <w:tc>
          <w:tcPr>
            <w:tcW w:w="351" w:type="pct"/>
            <w:vAlign w:val="center"/>
          </w:tcPr>
          <w:p>
            <w:pPr>
              <w:jc w:val="right"/>
              <w:rPr>
                <w:sz w:val="18"/>
                <w:szCs w:val="18"/>
              </w:rPr>
            </w:pPr>
            <w:r>
              <w:rPr>
                <w:sz w:val="18"/>
                <w:szCs w:val="18"/>
              </w:rPr>
              <w:t>4,948,704</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13,248,614</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1,713,353</w:t>
            </w:r>
          </w:p>
        </w:tc>
        <w:tc>
          <w:tcPr>
            <w:tcW w:w="308" w:type="pct"/>
            <w:vAlign w:val="center"/>
          </w:tcPr>
          <w:p>
            <w:pPr>
              <w:jc w:val="right"/>
              <w:rPr>
                <w:sz w:val="18"/>
                <w:szCs w:val="18"/>
              </w:rPr>
            </w:pPr>
            <w:r>
              <w:rPr>
                <w:sz w:val="18"/>
                <w:szCs w:val="18"/>
              </w:rPr>
              <w:t>723,593</w:t>
            </w:r>
          </w:p>
        </w:tc>
        <w:tc>
          <w:tcPr>
            <w:tcW w:w="394" w:type="pct"/>
            <w:vAlign w:val="center"/>
          </w:tcPr>
          <w:p>
            <w:pPr>
              <w:jc w:val="right"/>
              <w:rPr>
                <w:sz w:val="18"/>
                <w:szCs w:val="18"/>
              </w:rPr>
            </w:pPr>
            <w:r>
              <w:rPr>
                <w:sz w:val="18"/>
                <w:szCs w:val="18"/>
              </w:rPr>
              <w:t>-7,151,945</w:t>
            </w:r>
          </w:p>
        </w:tc>
        <w:tc>
          <w:tcPr>
            <w:tcW w:w="351" w:type="pct"/>
            <w:vAlign w:val="center"/>
          </w:tcPr>
          <w:p>
            <w:pPr>
              <w:jc w:val="right"/>
              <w:rPr>
                <w:sz w:val="18"/>
                <w:szCs w:val="18"/>
              </w:rPr>
            </w:pPr>
            <w:r>
              <w:rPr>
                <w:sz w:val="18"/>
                <w:szCs w:val="18"/>
              </w:rPr>
              <w:t>4,522,237</w:t>
            </w:r>
          </w:p>
        </w:tc>
        <w:tc>
          <w:tcPr>
            <w:tcW w:w="263" w:type="pct"/>
            <w:vAlign w:val="center"/>
          </w:tcPr>
          <w:p>
            <w:pPr>
              <w:jc w:val="right"/>
              <w:rPr>
                <w:sz w:val="18"/>
                <w:szCs w:val="18"/>
              </w:rPr>
            </w:pPr>
            <w:r>
              <w:rPr>
                <w:sz w:val="18"/>
                <w:szCs w:val="18"/>
              </w:rPr>
              <w:t>912,701</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77,265,236</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94,735,307</w:t>
            </w:r>
          </w:p>
        </w:tc>
        <w:tc>
          <w:tcPr>
            <w:tcW w:w="352" w:type="pct"/>
            <w:vAlign w:val="center"/>
          </w:tcPr>
          <w:p>
            <w:pPr>
              <w:jc w:val="right"/>
              <w:rPr>
                <w:sz w:val="18"/>
                <w:szCs w:val="18"/>
              </w:rPr>
            </w:pPr>
            <w:r>
              <w:rPr>
                <w:sz w:val="18"/>
                <w:szCs w:val="18"/>
              </w:rPr>
              <w:t>33,349,965</w:t>
            </w:r>
          </w:p>
        </w:tc>
        <w:tc>
          <w:tcPr>
            <w:tcW w:w="389" w:type="pct"/>
            <w:vAlign w:val="center"/>
          </w:tcPr>
          <w:p>
            <w:pPr>
              <w:jc w:val="right"/>
              <w:rPr>
                <w:sz w:val="18"/>
                <w:szCs w:val="18"/>
              </w:rPr>
            </w:pPr>
            <w:r>
              <w:rPr>
                <w:sz w:val="18"/>
                <w:szCs w:val="18"/>
              </w:rPr>
              <w:t>128,085,272</w:t>
            </w:r>
          </w:p>
        </w:tc>
      </w:tr>
      <w:tr>
        <w:trPr>
          <w:jc w:val="center"/>
        </w:trPr>
        <w:sdt>
          <w:sdtPr>
            <w:rPr>
              <w:sz w:val="18"/>
              <w:szCs w:val="18"/>
            </w:rPr>
            <w:tag w:val="_PLD_5feb351bb250466a8fad5b20d2922c70"/>
            <w:id w:val="1371723551"/>
          </w:sdtPr>
          <w:sdtContent>
            <w:tc>
              <w:tcPr>
                <w:tcW w:w="613" w:type="pct"/>
                <w:vAlign w:val="center"/>
              </w:tcPr>
              <w:p>
                <w:pPr>
                  <w:jc w:val="both"/>
                  <w:rPr>
                    <w:sz w:val="18"/>
                    <w:szCs w:val="18"/>
                  </w:rPr>
                </w:pPr>
                <w:r>
                  <w:rPr>
                    <w:rFonts w:hint="eastAsia"/>
                    <w:sz w:val="18"/>
                    <w:szCs w:val="18"/>
                  </w:rPr>
                  <w:t>加：</w:t>
                </w:r>
                <w:r>
                  <w:rPr>
                    <w:sz w:val="18"/>
                    <w:szCs w:val="18"/>
                  </w:rPr>
                  <w:t>会计政策变更</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r>
              <w:rPr>
                <w:sz w:val="18"/>
                <w:szCs w:val="18"/>
              </w:rPr>
              <w:t>-436</w:t>
            </w:r>
          </w:p>
        </w:tc>
        <w:tc>
          <w:tcPr>
            <w:tcW w:w="389" w:type="pct"/>
            <w:vAlign w:val="center"/>
          </w:tcPr>
          <w:p>
            <w:pPr>
              <w:jc w:val="right"/>
              <w:rPr>
                <w:sz w:val="18"/>
                <w:szCs w:val="18"/>
              </w:rPr>
            </w:pPr>
            <w:r>
              <w:rPr>
                <w:sz w:val="18"/>
                <w:szCs w:val="18"/>
              </w:rPr>
              <w:t>-436</w:t>
            </w:r>
          </w:p>
        </w:tc>
      </w:tr>
      <w:tr>
        <w:trPr>
          <w:jc w:val="center"/>
        </w:trPr>
        <w:sdt>
          <w:sdtPr>
            <w:rPr>
              <w:sz w:val="18"/>
              <w:szCs w:val="18"/>
            </w:rPr>
            <w:tag w:val="_PLD_b3480764b7144ae885e5b5b29f4f4705"/>
            <w:id w:val="771592211"/>
          </w:sdtPr>
          <w:sdtContent>
            <w:tc>
              <w:tcPr>
                <w:tcW w:w="613" w:type="pct"/>
                <w:vAlign w:val="center"/>
              </w:tcPr>
              <w:p>
                <w:pPr>
                  <w:ind w:firstLineChars="200" w:firstLine="360"/>
                  <w:jc w:val="both"/>
                  <w:rPr>
                    <w:sz w:val="18"/>
                    <w:szCs w:val="18"/>
                  </w:rPr>
                </w:pPr>
                <w:r>
                  <w:rPr>
                    <w:sz w:val="18"/>
                    <w:szCs w:val="18"/>
                  </w:rPr>
                  <w:t>前期差错更正</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tc>
          <w:tcPr>
            <w:tcW w:w="613" w:type="pct"/>
            <w:vAlign w:val="center"/>
          </w:tcPr>
          <w:p>
            <w:pPr>
              <w:jc w:val="both"/>
              <w:rPr>
                <w:sz w:val="18"/>
                <w:szCs w:val="18"/>
              </w:rPr>
            </w:pPr>
            <w:r>
              <w:rPr>
                <w:rFonts w:hint="eastAsia"/>
                <w:sz w:val="18"/>
                <w:szCs w:val="18"/>
              </w:rPr>
              <w:t>同一控制下企业合并</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4,912,193</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-3,649</w:t>
            </w:r>
          </w:p>
        </w:tc>
        <w:tc>
          <w:tcPr>
            <w:tcW w:w="351" w:type="pct"/>
            <w:vAlign w:val="center"/>
          </w:tcPr>
          <w:p>
            <w:pPr>
              <w:jc w:val="right"/>
              <w:rPr>
                <w:sz w:val="18"/>
                <w:szCs w:val="18"/>
              </w:rPr>
            </w:pPr>
            <w:r>
              <w:rPr>
                <w:rFonts w:hint="eastAsia"/>
                <w:sz w:val="18"/>
                <w:szCs w:val="18"/>
              </w:rPr>
              <w:t>280,397</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57,010</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5,245,951</w:t>
            </w:r>
          </w:p>
        </w:tc>
        <w:tc>
          <w:tcPr>
            <w:tcW w:w="352" w:type="pct"/>
            <w:vAlign w:val="center"/>
          </w:tcPr>
          <w:p>
            <w:pPr>
              <w:jc w:val="right"/>
              <w:rPr>
                <w:sz w:val="18"/>
                <w:szCs w:val="18"/>
              </w:rPr>
            </w:pPr>
            <w:r>
              <w:rPr>
                <w:rFonts w:hint="eastAsia"/>
                <w:sz w:val="18"/>
                <w:szCs w:val="18"/>
              </w:rPr>
              <w:t>10,724,953</w:t>
            </w:r>
          </w:p>
        </w:tc>
        <w:tc>
          <w:tcPr>
            <w:tcW w:w="389" w:type="pct"/>
            <w:vAlign w:val="center"/>
          </w:tcPr>
          <w:p>
            <w:pPr>
              <w:jc w:val="right"/>
              <w:rPr>
                <w:sz w:val="18"/>
                <w:szCs w:val="18"/>
              </w:rPr>
            </w:pPr>
            <w:r>
              <w:rPr>
                <w:rFonts w:hint="eastAsia"/>
                <w:sz w:val="18"/>
                <w:szCs w:val="18"/>
              </w:rPr>
              <w:t>15,970,904</w:t>
            </w:r>
          </w:p>
        </w:tc>
      </w:tr>
      <w:tr>
        <w:trPr>
          <w:jc w:val="center"/>
        </w:trPr>
        <w:tc>
          <w:tcPr>
            <w:tcW w:w="613" w:type="pct"/>
            <w:vAlign w:val="center"/>
          </w:tcPr>
          <w:p>
            <w:pPr>
              <w:jc w:val="both"/>
              <w:rPr>
                <w:sz w:val="18"/>
                <w:szCs w:val="18"/>
              </w:rPr>
            </w:pPr>
            <w:r>
              <w:rPr>
                <w:rFonts w:hint="eastAsia"/>
                <w:sz w:val="18"/>
                <w:szCs w:val="18"/>
              </w:rPr>
              <w:t>其他</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 xml:space="preserve">　</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 xml:space="preserve">　</w:t>
            </w:r>
          </w:p>
        </w:tc>
        <w:tc>
          <w:tcPr>
            <w:tcW w:w="352" w:type="pct"/>
            <w:vAlign w:val="center"/>
          </w:tcPr>
          <w:p>
            <w:pPr>
              <w:jc w:val="right"/>
              <w:rPr>
                <w:sz w:val="18"/>
                <w:szCs w:val="18"/>
              </w:rPr>
            </w:pPr>
            <w:r>
              <w:rPr>
                <w:rFonts w:hint="eastAsia"/>
                <w:sz w:val="18"/>
                <w:szCs w:val="18"/>
              </w:rPr>
              <w:t xml:space="preserve">　</w:t>
            </w:r>
          </w:p>
        </w:tc>
        <w:tc>
          <w:tcPr>
            <w:tcW w:w="389" w:type="pct"/>
            <w:vAlign w:val="center"/>
          </w:tcPr>
          <w:p>
            <w:pPr>
              <w:jc w:val="right"/>
              <w:rPr>
                <w:sz w:val="18"/>
                <w:szCs w:val="18"/>
              </w:rPr>
            </w:pPr>
            <w:r>
              <w:rPr>
                <w:rFonts w:hint="eastAsia"/>
                <w:sz w:val="18"/>
                <w:szCs w:val="18"/>
              </w:rPr>
              <w:t xml:space="preserve">　</w:t>
            </w:r>
          </w:p>
        </w:tc>
      </w:tr>
      <w:tr>
        <w:trPr>
          <w:jc w:val="center"/>
        </w:trPr>
        <w:sdt>
          <w:sdtPr>
            <w:rPr>
              <w:sz w:val="18"/>
              <w:szCs w:val="18"/>
            </w:rPr>
            <w:tag w:val="_PLD_6438083d485a4ed1a2cb2a35b3d400f3"/>
            <w:id w:val="-1886332226"/>
          </w:sdtPr>
          <w:sdtContent>
            <w:tc>
              <w:tcPr>
                <w:tcW w:w="613" w:type="pct"/>
                <w:vAlign w:val="center"/>
              </w:tcPr>
              <w:p>
                <w:pPr>
                  <w:jc w:val="both"/>
                  <w:rPr>
                    <w:sz w:val="18"/>
                    <w:szCs w:val="18"/>
                  </w:rPr>
                </w:pPr>
                <w:r>
                  <w:rPr>
                    <w:sz w:val="18"/>
                    <w:szCs w:val="18"/>
                  </w:rPr>
                  <w:t>二、本年</w:t>
                </w:r>
                <w:r>
                  <w:rPr>
                    <w:rFonts w:hint="eastAsia"/>
                    <w:sz w:val="18"/>
                    <w:szCs w:val="18"/>
                  </w:rPr>
                  <w:t>期</w:t>
                </w:r>
                <w:r>
                  <w:rPr>
                    <w:sz w:val="18"/>
                    <w:szCs w:val="18"/>
                  </w:rPr>
                  <w:t>初余额</w:t>
                </w:r>
              </w:p>
            </w:tc>
          </w:sdtContent>
        </w:sdt>
        <w:tc>
          <w:tcPr>
            <w:tcW w:w="351" w:type="pct"/>
            <w:vAlign w:val="center"/>
          </w:tcPr>
          <w:p>
            <w:pPr>
              <w:jc w:val="right"/>
              <w:rPr>
                <w:sz w:val="18"/>
                <w:szCs w:val="18"/>
              </w:rPr>
            </w:pPr>
            <w:r>
              <w:rPr>
                <w:sz w:val="18"/>
                <w:szCs w:val="18"/>
              </w:rPr>
              <w:t>4,948,704</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13,248,614</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6,625,546</w:t>
            </w:r>
          </w:p>
        </w:tc>
        <w:tc>
          <w:tcPr>
            <w:tcW w:w="308" w:type="pct"/>
            <w:vAlign w:val="center"/>
          </w:tcPr>
          <w:p>
            <w:pPr>
              <w:jc w:val="right"/>
              <w:rPr>
                <w:sz w:val="18"/>
                <w:szCs w:val="18"/>
              </w:rPr>
            </w:pPr>
            <w:r>
              <w:rPr>
                <w:sz w:val="18"/>
                <w:szCs w:val="18"/>
              </w:rPr>
              <w:t>723,593</w:t>
            </w:r>
          </w:p>
        </w:tc>
        <w:tc>
          <w:tcPr>
            <w:tcW w:w="394" w:type="pct"/>
            <w:vAlign w:val="center"/>
          </w:tcPr>
          <w:p>
            <w:pPr>
              <w:jc w:val="right"/>
              <w:rPr>
                <w:sz w:val="18"/>
                <w:szCs w:val="18"/>
              </w:rPr>
            </w:pPr>
            <w:r>
              <w:rPr>
                <w:sz w:val="18"/>
                <w:szCs w:val="18"/>
              </w:rPr>
              <w:t>-7,155,594</w:t>
            </w:r>
          </w:p>
        </w:tc>
        <w:tc>
          <w:tcPr>
            <w:tcW w:w="351" w:type="pct"/>
            <w:vAlign w:val="center"/>
          </w:tcPr>
          <w:p>
            <w:pPr>
              <w:jc w:val="right"/>
              <w:rPr>
                <w:sz w:val="18"/>
                <w:szCs w:val="18"/>
              </w:rPr>
            </w:pPr>
            <w:r>
              <w:rPr>
                <w:sz w:val="18"/>
                <w:szCs w:val="18"/>
              </w:rPr>
              <w:t>4,802,634</w:t>
            </w:r>
          </w:p>
        </w:tc>
        <w:tc>
          <w:tcPr>
            <w:tcW w:w="263" w:type="pct"/>
            <w:vAlign w:val="center"/>
          </w:tcPr>
          <w:p>
            <w:pPr>
              <w:jc w:val="right"/>
              <w:rPr>
                <w:sz w:val="18"/>
                <w:szCs w:val="18"/>
              </w:rPr>
            </w:pPr>
            <w:r>
              <w:rPr>
                <w:sz w:val="18"/>
                <w:szCs w:val="18"/>
              </w:rPr>
              <w:t>912,701</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77,322,246</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99,981,258</w:t>
            </w:r>
          </w:p>
        </w:tc>
        <w:tc>
          <w:tcPr>
            <w:tcW w:w="352" w:type="pct"/>
            <w:vAlign w:val="center"/>
          </w:tcPr>
          <w:p>
            <w:pPr>
              <w:jc w:val="right"/>
              <w:rPr>
                <w:sz w:val="18"/>
                <w:szCs w:val="18"/>
              </w:rPr>
            </w:pPr>
            <w:r>
              <w:rPr>
                <w:sz w:val="18"/>
                <w:szCs w:val="18"/>
              </w:rPr>
              <w:t>44,074,482</w:t>
            </w:r>
          </w:p>
        </w:tc>
        <w:tc>
          <w:tcPr>
            <w:tcW w:w="389" w:type="pct"/>
            <w:vAlign w:val="center"/>
          </w:tcPr>
          <w:p>
            <w:pPr>
              <w:jc w:val="right"/>
              <w:rPr>
                <w:sz w:val="18"/>
                <w:szCs w:val="18"/>
              </w:rPr>
            </w:pPr>
            <w:r>
              <w:rPr>
                <w:sz w:val="18"/>
                <w:szCs w:val="18"/>
              </w:rPr>
              <w:t>144,055,740</w:t>
            </w:r>
          </w:p>
        </w:tc>
      </w:tr>
      <w:tr>
        <w:trPr>
          <w:jc w:val="center"/>
        </w:trPr>
        <w:sdt>
          <w:sdtPr>
            <w:rPr>
              <w:sz w:val="18"/>
              <w:szCs w:val="18"/>
            </w:rPr>
            <w:tag w:val="_PLD_a0d70a8ecfa64251bc0240cb363e3dd7"/>
            <w:id w:val="324023505"/>
          </w:sdtPr>
          <w:sdtContent>
            <w:tc>
              <w:tcPr>
                <w:tcW w:w="613" w:type="pct"/>
                <w:vAlign w:val="center"/>
              </w:tcPr>
              <w:p>
                <w:pPr>
                  <w:jc w:val="both"/>
                  <w:rPr>
                    <w:sz w:val="18"/>
                    <w:szCs w:val="18"/>
                  </w:rPr>
                </w:pPr>
                <w:r>
                  <w:rPr>
                    <w:sz w:val="18"/>
                    <w:szCs w:val="18"/>
                  </w:rPr>
                  <w:t>三、本</w:t>
                </w:r>
                <w:r>
                  <w:rPr>
                    <w:rFonts w:hint="eastAsia"/>
                    <w:sz w:val="18"/>
                    <w:szCs w:val="18"/>
                  </w:rPr>
                  <w:t>期</w:t>
                </w:r>
                <w:r>
                  <w:rPr>
                    <w:sz w:val="18"/>
                    <w:szCs w:val="18"/>
                  </w:rPr>
                  <w:t>增减变动金额（减少以“－”号填列）</w:t>
                </w:r>
              </w:p>
            </w:tc>
          </w:sdtContent>
        </w:sdt>
        <w:tc>
          <w:tcPr>
            <w:tcW w:w="351" w:type="pct"/>
            <w:vAlign w:val="center"/>
          </w:tcPr>
          <w:p>
            <w:pPr>
              <w:jc w:val="right"/>
              <w:rPr>
                <w:sz w:val="18"/>
                <w:szCs w:val="18"/>
              </w:rPr>
            </w:pPr>
            <w:r>
              <w:rPr>
                <w:sz w:val="18"/>
                <w:szCs w:val="18"/>
              </w:rPr>
              <w:t>2,490,667</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3,293,163</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-6,658,429</w:t>
            </w:r>
          </w:p>
        </w:tc>
        <w:tc>
          <w:tcPr>
            <w:tcW w:w="308" w:type="pct"/>
            <w:vAlign w:val="center"/>
          </w:tcPr>
          <w:p>
            <w:pPr>
              <w:jc w:val="right"/>
              <w:rPr>
                <w:sz w:val="18"/>
                <w:szCs w:val="18"/>
              </w:rPr>
            </w:pPr>
            <w:r>
              <w:rPr>
                <w:sz w:val="18"/>
                <w:szCs w:val="18"/>
              </w:rPr>
              <w:t>-398,613</w:t>
            </w:r>
          </w:p>
        </w:tc>
        <w:tc>
          <w:tcPr>
            <w:tcW w:w="394" w:type="pct"/>
            <w:vAlign w:val="center"/>
          </w:tcPr>
          <w:p>
            <w:pPr>
              <w:jc w:val="right"/>
              <w:rPr>
                <w:sz w:val="18"/>
                <w:szCs w:val="18"/>
              </w:rPr>
            </w:pPr>
            <w:r>
              <w:rPr>
                <w:sz w:val="18"/>
                <w:szCs w:val="18"/>
              </w:rPr>
              <w:t>820,878</w:t>
            </w:r>
          </w:p>
        </w:tc>
        <w:tc>
          <w:tcPr>
            <w:tcW w:w="351" w:type="pct"/>
            <w:vAlign w:val="center"/>
          </w:tcPr>
          <w:p>
            <w:pPr>
              <w:jc w:val="right"/>
              <w:rPr>
                <w:sz w:val="18"/>
                <w:szCs w:val="18"/>
              </w:rPr>
            </w:pPr>
            <w:r>
              <w:rPr>
                <w:sz w:val="18"/>
                <w:szCs w:val="18"/>
              </w:rPr>
              <w:t>-1,216,129</w:t>
            </w:r>
          </w:p>
        </w:tc>
        <w:tc>
          <w:tcPr>
            <w:tcW w:w="263" w:type="pct"/>
            <w:vAlign w:val="center"/>
          </w:tcPr>
          <w:p>
            <w:pPr>
              <w:jc w:val="right"/>
              <w:rPr>
                <w:sz w:val="18"/>
                <w:szCs w:val="18"/>
              </w:rPr>
            </w:pPr>
            <w:r>
              <w:rPr>
                <w:sz w:val="18"/>
                <w:szCs w:val="18"/>
              </w:rPr>
              <w:t>751,114</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-27,033,170</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-27,153,293</w:t>
            </w:r>
          </w:p>
        </w:tc>
        <w:tc>
          <w:tcPr>
            <w:tcW w:w="352" w:type="pct"/>
            <w:vAlign w:val="center"/>
          </w:tcPr>
          <w:p>
            <w:pPr>
              <w:jc w:val="right"/>
              <w:rPr>
                <w:sz w:val="18"/>
                <w:szCs w:val="18"/>
              </w:rPr>
            </w:pPr>
            <w:r>
              <w:rPr>
                <w:sz w:val="18"/>
                <w:szCs w:val="18"/>
              </w:rPr>
              <w:t>1,580,163</w:t>
            </w:r>
          </w:p>
        </w:tc>
        <w:tc>
          <w:tcPr>
            <w:tcW w:w="389" w:type="pct"/>
            <w:vAlign w:val="center"/>
          </w:tcPr>
          <w:p>
            <w:pPr>
              <w:jc w:val="right"/>
              <w:rPr>
                <w:sz w:val="18"/>
                <w:szCs w:val="18"/>
              </w:rPr>
            </w:pPr>
            <w:r>
              <w:rPr>
                <w:sz w:val="18"/>
                <w:szCs w:val="18"/>
              </w:rPr>
              <w:t>-25,573,130</w:t>
            </w:r>
          </w:p>
        </w:tc>
      </w:tr>
      <w:tr>
        <w:trPr>
          <w:jc w:val="center"/>
        </w:trPr>
        <w:sdt>
          <w:sdtPr>
            <w:rPr>
              <w:sz w:val="18"/>
              <w:szCs w:val="18"/>
            </w:rPr>
            <w:tag w:val="_PLD_d3b5283bf10a4a3c8882e3f3c30046c5"/>
            <w:id w:val="-1717510045"/>
          </w:sdtPr>
          <w:sdtContent>
            <w:tc>
              <w:tcPr>
                <w:tcW w:w="613" w:type="pct"/>
                <w:vAlign w:val="center"/>
              </w:tcPr>
              <w:p>
                <w:pPr>
                  <w:jc w:val="both"/>
                  <w:rPr>
                    <w:sz w:val="18"/>
                    <w:szCs w:val="18"/>
                  </w:rPr>
                </w:pPr>
                <w:r>
                  <w:rPr>
                    <w:rFonts w:hint="eastAsia"/>
                    <w:sz w:val="18"/>
                    <w:szCs w:val="18"/>
                  </w:rPr>
                  <w:t>（一）综合收益总额</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444,743</w:t>
            </w: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r>
              <w:rPr>
                <w:sz w:val="18"/>
                <w:szCs w:val="18"/>
              </w:rPr>
              <w:t>820,878</w:t>
            </w: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20,143,947</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21,409,568</w:t>
            </w:r>
          </w:p>
        </w:tc>
        <w:tc>
          <w:tcPr>
            <w:tcW w:w="352" w:type="pct"/>
            <w:vAlign w:val="center"/>
          </w:tcPr>
          <w:p>
            <w:pPr>
              <w:jc w:val="right"/>
              <w:rPr>
                <w:sz w:val="18"/>
                <w:szCs w:val="18"/>
              </w:rPr>
            </w:pPr>
            <w:r>
              <w:rPr>
                <w:sz w:val="18"/>
                <w:szCs w:val="18"/>
              </w:rPr>
              <w:t>6,889,372</w:t>
            </w:r>
          </w:p>
        </w:tc>
        <w:tc>
          <w:tcPr>
            <w:tcW w:w="389" w:type="pct"/>
            <w:vAlign w:val="center"/>
          </w:tcPr>
          <w:p>
            <w:pPr>
              <w:jc w:val="right"/>
              <w:rPr>
                <w:sz w:val="18"/>
                <w:szCs w:val="18"/>
              </w:rPr>
            </w:pPr>
            <w:r>
              <w:rPr>
                <w:sz w:val="18"/>
                <w:szCs w:val="18"/>
              </w:rPr>
              <w:t>28,298,940</w:t>
            </w:r>
          </w:p>
        </w:tc>
      </w:tr>
      <w:tr>
        <w:trPr>
          <w:jc w:val="center"/>
        </w:trPr>
        <w:sdt>
          <w:sdtPr>
            <w:rPr>
              <w:sz w:val="18"/>
              <w:szCs w:val="18"/>
            </w:rPr>
            <w:tag w:val="_PLD_ecb1a0919fe148e5893e9977ac112e36"/>
            <w:id w:val="-1381172940"/>
          </w:sdtPr>
          <w:sdtContent>
            <w:tc>
              <w:tcPr>
                <w:tcW w:w="613" w:type="pct"/>
                <w:vAlign w:val="center"/>
              </w:tcPr>
              <w:p>
                <w:pPr>
                  <w:jc w:val="both"/>
                  <w:rPr>
                    <w:sz w:val="18"/>
                    <w:szCs w:val="18"/>
                  </w:rPr>
                </w:pPr>
                <w:r>
                  <w:rPr>
                    <w:sz w:val="18"/>
                    <w:szCs w:val="18"/>
                  </w:rPr>
                  <w:t>（</w:t>
                </w:r>
                <w:r>
                  <w:rPr>
                    <w:rFonts w:hint="eastAsia"/>
                    <w:sz w:val="18"/>
                    <w:szCs w:val="18"/>
                  </w:rPr>
                  <w:t>二</w:t>
                </w:r>
                <w:r>
                  <w:rPr>
                    <w:sz w:val="18"/>
                    <w:szCs w:val="18"/>
                  </w:rPr>
                  <w:t>）所有者投入和减少资本</w:t>
                </w:r>
              </w:p>
            </w:tc>
          </w:sdtContent>
        </w:sdt>
        <w:tc>
          <w:tcPr>
            <w:tcW w:w="351" w:type="pct"/>
            <w:vAlign w:val="center"/>
          </w:tcPr>
          <w:p>
            <w:pPr>
              <w:jc w:val="right"/>
              <w:rPr>
                <w:sz w:val="18"/>
                <w:szCs w:val="18"/>
              </w:rPr>
            </w:pPr>
            <w:r>
              <w:rPr>
                <w:sz w:val="18"/>
                <w:szCs w:val="18"/>
              </w:rPr>
              <w:t>9,987</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3,301,400</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-5,234,377</w:t>
            </w:r>
          </w:p>
        </w:tc>
        <w:tc>
          <w:tcPr>
            <w:tcW w:w="308" w:type="pct"/>
            <w:vAlign w:val="center"/>
          </w:tcPr>
          <w:p>
            <w:pPr>
              <w:jc w:val="right"/>
              <w:rPr>
                <w:sz w:val="18"/>
                <w:szCs w:val="18"/>
              </w:rPr>
            </w:pPr>
            <w:r>
              <w:rPr>
                <w:sz w:val="18"/>
                <w:szCs w:val="18"/>
              </w:rPr>
              <w:t>-398,613</w:t>
            </w: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r>
              <w:rPr>
                <w:sz w:val="18"/>
                <w:szCs w:val="18"/>
              </w:rPr>
              <w:t>-912,701</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-21,085,553</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-23,522,631</w:t>
            </w:r>
          </w:p>
        </w:tc>
        <w:tc>
          <w:tcPr>
            <w:tcW w:w="352" w:type="pct"/>
            <w:vAlign w:val="center"/>
          </w:tcPr>
          <w:p>
            <w:pPr>
              <w:jc w:val="right"/>
              <w:rPr>
                <w:sz w:val="18"/>
                <w:szCs w:val="18"/>
              </w:rPr>
            </w:pPr>
            <w:r>
              <w:rPr>
                <w:sz w:val="18"/>
                <w:szCs w:val="18"/>
              </w:rPr>
              <w:t>-214,063</w:t>
            </w:r>
          </w:p>
        </w:tc>
        <w:tc>
          <w:tcPr>
            <w:tcW w:w="389" w:type="pct"/>
            <w:vAlign w:val="center"/>
          </w:tcPr>
          <w:p>
            <w:pPr>
              <w:jc w:val="right"/>
              <w:rPr>
                <w:sz w:val="18"/>
                <w:szCs w:val="18"/>
              </w:rPr>
            </w:pPr>
            <w:r>
              <w:rPr>
                <w:sz w:val="18"/>
                <w:szCs w:val="18"/>
              </w:rPr>
              <w:t>-23,736,694</w:t>
            </w:r>
          </w:p>
        </w:tc>
      </w:tr>
      <w:tr>
        <w:trPr>
          <w:jc w:val="center"/>
        </w:trPr>
        <w:sdt>
          <w:sdtPr>
            <w:rPr>
              <w:sz w:val="18"/>
              <w:szCs w:val="18"/>
            </w:rPr>
            <w:tag w:val="_PLD_611ba2ed8c6b439788c9acf67433da0c"/>
            <w:id w:val="-1490470081"/>
          </w:sdtPr>
          <w:sdtContent>
            <w:tc>
              <w:tcPr>
                <w:tcW w:w="613" w:type="pct"/>
                <w:vAlign w:val="center"/>
              </w:tcPr>
              <w:p>
                <w:pPr>
                  <w:jc w:val="both"/>
                  <w:rPr>
                    <w:sz w:val="18"/>
                    <w:szCs w:val="18"/>
                  </w:rPr>
                </w:pPr>
                <w:r>
                  <w:rPr>
                    <w:rFonts w:hint="eastAsia"/>
                    <w:sz w:val="18"/>
                    <w:szCs w:val="18"/>
                  </w:rPr>
                  <w:t>1．所有者投入的普通股</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r>
              <w:rPr>
                <w:sz w:val="18"/>
                <w:szCs w:val="18"/>
              </w:rPr>
              <w:t>63,600</w:t>
            </w:r>
          </w:p>
        </w:tc>
        <w:tc>
          <w:tcPr>
            <w:tcW w:w="389" w:type="pct"/>
            <w:vAlign w:val="center"/>
          </w:tcPr>
          <w:p>
            <w:pPr>
              <w:jc w:val="right"/>
              <w:rPr>
                <w:sz w:val="18"/>
                <w:szCs w:val="18"/>
              </w:rPr>
            </w:pPr>
            <w:r>
              <w:rPr>
                <w:sz w:val="18"/>
                <w:szCs w:val="18"/>
              </w:rPr>
              <w:t>63,600</w:t>
            </w:r>
          </w:p>
        </w:tc>
      </w:tr>
      <w:tr>
        <w:trPr>
          <w:jc w:val="center"/>
        </w:trPr>
        <w:sdt>
          <w:sdtPr>
            <w:rPr>
              <w:sz w:val="18"/>
              <w:szCs w:val="18"/>
            </w:rPr>
            <w:tag w:val="_PLD_c90ad87987d54aec9ebb059ca9fe2d83"/>
            <w:id w:val="998315901"/>
          </w:sdtPr>
          <w:sdtContent>
            <w:tc>
              <w:tcPr>
                <w:tcW w:w="613" w:type="pct"/>
                <w:vAlign w:val="center"/>
              </w:tcPr>
              <w:p>
                <w:pPr>
                  <w:jc w:val="both"/>
                  <w:rPr>
                    <w:sz w:val="18"/>
                    <w:szCs w:val="18"/>
                  </w:rPr>
                </w:pPr>
                <w:r>
                  <w:rPr>
                    <w:rFonts w:hint="eastAsia"/>
                    <w:sz w:val="18"/>
                    <w:szCs w:val="18"/>
                  </w:rPr>
                  <w:t>2．其他权益工具持有者投入资本</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3,301,400</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-3,400</w:t>
            </w: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3,298,000</w:t>
            </w:r>
          </w:p>
        </w:tc>
        <w:tc>
          <w:tcPr>
            <w:tcW w:w="352" w:type="pct"/>
            <w:vAlign w:val="center"/>
          </w:tcPr>
          <w:p>
            <w:pPr>
              <w:jc w:val="right"/>
              <w:rPr>
                <w:sz w:val="18"/>
                <w:szCs w:val="18"/>
              </w:rPr>
            </w:pPr>
          </w:p>
        </w:tc>
        <w:tc>
          <w:tcPr>
            <w:tcW w:w="389" w:type="pct"/>
            <w:vAlign w:val="center"/>
          </w:tcPr>
          <w:p>
            <w:pPr>
              <w:jc w:val="right"/>
              <w:rPr>
                <w:sz w:val="18"/>
                <w:szCs w:val="18"/>
              </w:rPr>
            </w:pPr>
            <w:r>
              <w:rPr>
                <w:sz w:val="18"/>
                <w:szCs w:val="18"/>
              </w:rPr>
              <w:t>3,298,000</w:t>
            </w:r>
          </w:p>
        </w:tc>
      </w:tr>
      <w:tr>
        <w:trPr>
          <w:jc w:val="center"/>
        </w:trPr>
        <w:sdt>
          <w:sdtPr>
            <w:rPr>
              <w:sz w:val="18"/>
              <w:szCs w:val="18"/>
            </w:rPr>
            <w:tag w:val="_PLD_d73580ad15ab461695606b09453b2233"/>
            <w:id w:val="1726713167"/>
          </w:sdtPr>
          <w:sdtContent>
            <w:tc>
              <w:tcPr>
                <w:tcW w:w="613" w:type="pct"/>
                <w:vAlign w:val="center"/>
              </w:tcPr>
              <w:p>
                <w:pPr>
                  <w:jc w:val="both"/>
                  <w:rPr>
                    <w:sz w:val="18"/>
                    <w:szCs w:val="18"/>
                  </w:rPr>
                </w:pPr>
                <w:r>
                  <w:rPr>
                    <w:rFonts w:hint="eastAsia"/>
                    <w:sz w:val="18"/>
                    <w:szCs w:val="18"/>
                  </w:rPr>
                  <w:t>3</w:t>
                </w:r>
                <w:r>
                  <w:rPr>
                    <w:sz w:val="18"/>
                    <w:szCs w:val="18"/>
                  </w:rPr>
                  <w:t>．股份支付计入所有者权益的金额</w:t>
                </w:r>
              </w:p>
            </w:tc>
          </w:sdtContent>
        </w:sdt>
        <w:tc>
          <w:tcPr>
            <w:tcW w:w="351" w:type="pct"/>
            <w:vAlign w:val="center"/>
          </w:tcPr>
          <w:p>
            <w:pPr>
              <w:jc w:val="right"/>
              <w:rPr>
                <w:sz w:val="18"/>
                <w:szCs w:val="18"/>
              </w:rPr>
            </w:pPr>
            <w:r>
              <w:rPr>
                <w:sz w:val="18"/>
                <w:szCs w:val="18"/>
              </w:rPr>
              <w:t>9,987</w:t>
            </w: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319,495</w:t>
            </w:r>
          </w:p>
        </w:tc>
        <w:tc>
          <w:tcPr>
            <w:tcW w:w="308" w:type="pct"/>
            <w:vAlign w:val="center"/>
          </w:tcPr>
          <w:p>
            <w:pPr>
              <w:jc w:val="right"/>
              <w:rPr>
                <w:sz w:val="18"/>
                <w:szCs w:val="18"/>
              </w:rPr>
            </w:pPr>
            <w:r>
              <w:rPr>
                <w:sz w:val="18"/>
                <w:szCs w:val="18"/>
              </w:rPr>
              <w:t>-398,613</w:t>
            </w: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728,095</w:t>
            </w:r>
          </w:p>
        </w:tc>
        <w:tc>
          <w:tcPr>
            <w:tcW w:w="352" w:type="pct"/>
            <w:vAlign w:val="center"/>
          </w:tcPr>
          <w:p>
            <w:pPr>
              <w:jc w:val="right"/>
              <w:rPr>
                <w:sz w:val="18"/>
                <w:szCs w:val="18"/>
              </w:rPr>
            </w:pPr>
            <w:r>
              <w:rPr>
                <w:sz w:val="18"/>
                <w:szCs w:val="18"/>
              </w:rPr>
              <w:t>8,150</w:t>
            </w:r>
          </w:p>
        </w:tc>
        <w:tc>
          <w:tcPr>
            <w:tcW w:w="389" w:type="pct"/>
            <w:vAlign w:val="center"/>
          </w:tcPr>
          <w:p>
            <w:pPr>
              <w:jc w:val="right"/>
              <w:rPr>
                <w:sz w:val="18"/>
                <w:szCs w:val="18"/>
              </w:rPr>
            </w:pPr>
            <w:r>
              <w:rPr>
                <w:sz w:val="18"/>
                <w:szCs w:val="18"/>
              </w:rPr>
              <w:t>736,245</w:t>
            </w:r>
          </w:p>
        </w:tc>
      </w:tr>
      <w:tr>
        <w:trPr>
          <w:jc w:val="center"/>
        </w:trPr>
        <w:tc>
          <w:tcPr>
            <w:tcW w:w="613" w:type="pct"/>
            <w:vAlign w:val="center"/>
          </w:tcPr>
          <w:p>
            <w:pPr>
              <w:jc w:val="both"/>
              <w:rPr>
                <w:sz w:val="18"/>
                <w:szCs w:val="18"/>
              </w:rPr>
            </w:pPr>
            <w:r>
              <w:rPr>
                <w:rFonts w:hint="eastAsia"/>
                <w:sz w:val="18"/>
                <w:szCs w:val="18"/>
              </w:rPr>
              <w:t>4.同一控制下企业合并</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-5,899,818</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-912,701</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-20,951,944</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-27,764,463</w:t>
            </w:r>
          </w:p>
        </w:tc>
        <w:tc>
          <w:tcPr>
            <w:tcW w:w="352" w:type="pct"/>
            <w:vAlign w:val="center"/>
          </w:tcPr>
          <w:p>
            <w:pPr>
              <w:jc w:val="right"/>
              <w:rPr>
                <w:sz w:val="18"/>
                <w:szCs w:val="18"/>
              </w:rPr>
            </w:pPr>
            <w:r>
              <w:rPr>
                <w:rFonts w:hint="eastAsia"/>
                <w:sz w:val="18"/>
                <w:szCs w:val="18"/>
              </w:rPr>
              <w:t>215,250</w:t>
            </w:r>
          </w:p>
        </w:tc>
        <w:tc>
          <w:tcPr>
            <w:tcW w:w="389" w:type="pct"/>
            <w:vAlign w:val="center"/>
          </w:tcPr>
          <w:p>
            <w:pPr>
              <w:jc w:val="right"/>
              <w:rPr>
                <w:sz w:val="18"/>
                <w:szCs w:val="18"/>
              </w:rPr>
            </w:pPr>
            <w:r>
              <w:rPr>
                <w:rFonts w:hint="eastAsia"/>
                <w:sz w:val="18"/>
                <w:szCs w:val="18"/>
              </w:rPr>
              <w:t>-27,549,213</w:t>
            </w:r>
          </w:p>
        </w:tc>
      </w:tr>
      <w:tr>
        <w:trPr>
          <w:jc w:val="center"/>
        </w:trPr>
        <w:tc>
          <w:tcPr>
            <w:tcW w:w="613" w:type="pct"/>
            <w:vAlign w:val="center"/>
          </w:tcPr>
          <w:p>
            <w:pPr>
              <w:jc w:val="both"/>
              <w:rPr>
                <w:sz w:val="18"/>
                <w:szCs w:val="18"/>
              </w:rPr>
            </w:pPr>
            <w:r>
              <w:rPr>
                <w:rFonts w:hint="eastAsia"/>
                <w:sz w:val="18"/>
                <w:szCs w:val="18"/>
              </w:rPr>
              <w:t>5.收购少数股东股权</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 xml:space="preserve">　</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 xml:space="preserve">　</w:t>
            </w:r>
          </w:p>
        </w:tc>
        <w:tc>
          <w:tcPr>
            <w:tcW w:w="352" w:type="pct"/>
            <w:vAlign w:val="center"/>
          </w:tcPr>
          <w:p>
            <w:pPr>
              <w:jc w:val="right"/>
              <w:rPr>
                <w:sz w:val="18"/>
                <w:szCs w:val="18"/>
              </w:rPr>
            </w:pPr>
            <w:r>
              <w:rPr>
                <w:rFonts w:hint="eastAsia"/>
                <w:sz w:val="18"/>
                <w:szCs w:val="18"/>
              </w:rPr>
              <w:t>18,016</w:t>
            </w:r>
          </w:p>
        </w:tc>
        <w:tc>
          <w:tcPr>
            <w:tcW w:w="389" w:type="pct"/>
            <w:vAlign w:val="center"/>
          </w:tcPr>
          <w:p>
            <w:pPr>
              <w:jc w:val="right"/>
              <w:rPr>
                <w:sz w:val="18"/>
                <w:szCs w:val="18"/>
              </w:rPr>
            </w:pPr>
            <w:r>
              <w:rPr>
                <w:rFonts w:hint="eastAsia"/>
                <w:sz w:val="18"/>
                <w:szCs w:val="18"/>
              </w:rPr>
              <w:t>18,016</w:t>
            </w:r>
          </w:p>
        </w:tc>
      </w:tr>
      <w:tr>
        <w:trPr>
          <w:jc w:val="center"/>
        </w:trPr>
        <w:tc>
          <w:tcPr>
            <w:tcW w:w="613" w:type="pct"/>
            <w:vAlign w:val="center"/>
          </w:tcPr>
          <w:p>
            <w:pPr>
              <w:jc w:val="both"/>
              <w:rPr>
                <w:sz w:val="18"/>
                <w:szCs w:val="18"/>
              </w:rPr>
            </w:pPr>
            <w:r>
              <w:rPr>
                <w:rFonts w:hint="eastAsia"/>
                <w:sz w:val="18"/>
                <w:szCs w:val="18"/>
              </w:rPr>
              <w:t>6.未丧失控股权持股比例下降</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 xml:space="preserve">　</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 xml:space="preserve">　</w:t>
            </w:r>
          </w:p>
        </w:tc>
        <w:tc>
          <w:tcPr>
            <w:tcW w:w="352" w:type="pct"/>
            <w:vAlign w:val="center"/>
          </w:tcPr>
          <w:p>
            <w:pPr>
              <w:jc w:val="right"/>
              <w:rPr>
                <w:sz w:val="18"/>
                <w:szCs w:val="18"/>
              </w:rPr>
            </w:pPr>
            <w:r>
              <w:rPr>
                <w:rFonts w:hint="eastAsia"/>
                <w:sz w:val="18"/>
                <w:szCs w:val="18"/>
              </w:rPr>
              <w:t xml:space="preserve">　</w:t>
            </w:r>
          </w:p>
        </w:tc>
        <w:tc>
          <w:tcPr>
            <w:tcW w:w="389" w:type="pct"/>
            <w:vAlign w:val="center"/>
          </w:tcPr>
          <w:p>
            <w:pPr>
              <w:jc w:val="right"/>
              <w:rPr>
                <w:sz w:val="18"/>
                <w:szCs w:val="18"/>
              </w:rPr>
            </w:pPr>
            <w:r>
              <w:rPr>
                <w:rFonts w:hint="eastAsia"/>
                <w:sz w:val="18"/>
                <w:szCs w:val="18"/>
              </w:rPr>
              <w:t xml:space="preserve">　</w:t>
            </w:r>
          </w:p>
        </w:tc>
      </w:tr>
      <w:tr>
        <w:trPr>
          <w:jc w:val="center"/>
        </w:trPr>
        <w:tc>
          <w:tcPr>
            <w:tcW w:w="613" w:type="pct"/>
            <w:vAlign w:val="center"/>
          </w:tcPr>
          <w:p>
            <w:pPr>
              <w:jc w:val="both"/>
              <w:rPr>
                <w:sz w:val="18"/>
                <w:szCs w:val="18"/>
              </w:rPr>
            </w:pPr>
            <w:r>
              <w:rPr>
                <w:rFonts w:hint="eastAsia"/>
                <w:sz w:val="18"/>
                <w:szCs w:val="18"/>
              </w:rPr>
              <w:t>7.其他</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349,346</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-133,609</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215,737</w:t>
            </w:r>
          </w:p>
        </w:tc>
        <w:tc>
          <w:tcPr>
            <w:tcW w:w="352" w:type="pct"/>
            <w:vAlign w:val="center"/>
          </w:tcPr>
          <w:p>
            <w:pPr>
              <w:jc w:val="right"/>
              <w:rPr>
                <w:sz w:val="18"/>
                <w:szCs w:val="18"/>
              </w:rPr>
            </w:pPr>
            <w:r>
              <w:rPr>
                <w:rFonts w:hint="eastAsia"/>
                <w:sz w:val="18"/>
                <w:szCs w:val="18"/>
              </w:rPr>
              <w:t>-519,079</w:t>
            </w:r>
          </w:p>
        </w:tc>
        <w:tc>
          <w:tcPr>
            <w:tcW w:w="389" w:type="pct"/>
            <w:vAlign w:val="center"/>
          </w:tcPr>
          <w:p>
            <w:pPr>
              <w:jc w:val="right"/>
              <w:rPr>
                <w:sz w:val="18"/>
                <w:szCs w:val="18"/>
              </w:rPr>
            </w:pPr>
            <w:r>
              <w:rPr>
                <w:rFonts w:hint="eastAsia"/>
                <w:sz w:val="18"/>
                <w:szCs w:val="18"/>
              </w:rPr>
              <w:t>-303,342</w:t>
            </w:r>
          </w:p>
        </w:tc>
      </w:tr>
      <w:tr>
        <w:trPr>
          <w:jc w:val="center"/>
        </w:trPr>
        <w:sdt>
          <w:sdtPr>
            <w:rPr>
              <w:sz w:val="18"/>
              <w:szCs w:val="18"/>
            </w:rPr>
            <w:tag w:val="_PLD_4f4c1a0d22784a4a81a90a7b772560b9"/>
            <w:id w:val="2100906480"/>
          </w:sdtPr>
          <w:sdtContent>
            <w:tc>
              <w:tcPr>
                <w:tcW w:w="613" w:type="pct"/>
                <w:vAlign w:val="center"/>
              </w:tcPr>
              <w:p>
                <w:pPr>
                  <w:jc w:val="both"/>
                  <w:rPr>
                    <w:sz w:val="18"/>
                    <w:szCs w:val="18"/>
                  </w:rPr>
                </w:pPr>
                <w:r>
                  <w:rPr>
                    <w:sz w:val="18"/>
                    <w:szCs w:val="18"/>
                  </w:rPr>
                  <w:t>（</w:t>
                </w:r>
                <w:r>
                  <w:rPr>
                    <w:rFonts w:hint="eastAsia"/>
                    <w:sz w:val="18"/>
                    <w:szCs w:val="18"/>
                  </w:rPr>
                  <w:t>三</w:t>
                </w:r>
                <w:r>
                  <w:rPr>
                    <w:sz w:val="18"/>
                    <w:szCs w:val="18"/>
                  </w:rPr>
                  <w:t>）利润分配</w:t>
                </w:r>
              </w:p>
            </w:tc>
          </w:sdtContent>
        </w:sdt>
        <w:tc>
          <w:tcPr>
            <w:tcW w:w="351" w:type="pct"/>
            <w:vAlign w:val="center"/>
          </w:tcPr>
          <w:p>
            <w:pPr>
              <w:jc w:val="right"/>
              <w:rPr>
                <w:sz w:val="18"/>
                <w:szCs w:val="18"/>
              </w:rPr>
            </w:pPr>
            <w:r>
              <w:rPr>
                <w:sz w:val="18"/>
                <w:szCs w:val="18"/>
              </w:rPr>
              <w:t>2,480,680</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-452,980</w:t>
            </w: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r>
              <w:rPr>
                <w:sz w:val="18"/>
                <w:szCs w:val="18"/>
              </w:rPr>
              <w:t>1,663,815</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-26,096,425</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-22,404,910</w:t>
            </w:r>
          </w:p>
        </w:tc>
        <w:tc>
          <w:tcPr>
            <w:tcW w:w="352" w:type="pct"/>
            <w:vAlign w:val="center"/>
          </w:tcPr>
          <w:p>
            <w:pPr>
              <w:jc w:val="right"/>
              <w:rPr>
                <w:sz w:val="18"/>
                <w:szCs w:val="18"/>
              </w:rPr>
            </w:pPr>
            <w:r>
              <w:rPr>
                <w:sz w:val="18"/>
                <w:szCs w:val="18"/>
              </w:rPr>
              <w:t>-4,989,184</w:t>
            </w:r>
          </w:p>
        </w:tc>
        <w:tc>
          <w:tcPr>
            <w:tcW w:w="389" w:type="pct"/>
            <w:vAlign w:val="center"/>
          </w:tcPr>
          <w:p>
            <w:pPr>
              <w:jc w:val="right"/>
              <w:rPr>
                <w:sz w:val="18"/>
                <w:szCs w:val="18"/>
              </w:rPr>
            </w:pPr>
            <w:r>
              <w:rPr>
                <w:sz w:val="18"/>
                <w:szCs w:val="18"/>
              </w:rPr>
              <w:t>-27,394,094</w:t>
            </w:r>
          </w:p>
        </w:tc>
      </w:tr>
      <w:tr>
        <w:trPr>
          <w:jc w:val="center"/>
        </w:trPr>
        <w:sdt>
          <w:sdtPr>
            <w:rPr>
              <w:sz w:val="18"/>
              <w:szCs w:val="18"/>
            </w:rPr>
            <w:tag w:val="_PLD_73a49eb420a24cdbb4f7f5ce05660344"/>
            <w:id w:val="-912083387"/>
          </w:sdtPr>
          <w:sdtContent>
            <w:tc>
              <w:tcPr>
                <w:tcW w:w="613" w:type="pct"/>
                <w:vAlign w:val="center"/>
              </w:tcPr>
              <w:p>
                <w:pPr>
                  <w:jc w:val="both"/>
                  <w:rPr>
                    <w:sz w:val="18"/>
                    <w:szCs w:val="18"/>
                  </w:rPr>
                </w:pPr>
                <w:r>
                  <w:rPr>
                    <w:sz w:val="18"/>
                    <w:szCs w:val="18"/>
                  </w:rPr>
                  <w:t>1．提取盈余公积</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r>
              <w:rPr>
                <w:sz w:val="18"/>
                <w:szCs w:val="18"/>
              </w:rPr>
              <w:t>1,663,815</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-1,663,815</w:t>
            </w: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230083ca1b684aa0b92b69b31995ea1b"/>
            <w:id w:val="-732156320"/>
          </w:sdtPr>
          <w:sdtContent>
            <w:tc>
              <w:tcPr>
                <w:tcW w:w="613" w:type="pct"/>
                <w:vAlign w:val="center"/>
              </w:tcPr>
              <w:p>
                <w:pPr>
                  <w:jc w:val="both"/>
                  <w:rPr>
                    <w:sz w:val="18"/>
                    <w:szCs w:val="18"/>
                  </w:rPr>
                </w:pPr>
                <w:r>
                  <w:rPr>
                    <w:sz w:val="18"/>
                    <w:szCs w:val="18"/>
                  </w:rPr>
                  <w:t>2．提取一般风险准备</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d19b1d04bab14e67b22ee23afd215d76"/>
            <w:id w:val="1921676018"/>
          </w:sdtPr>
          <w:sdtContent>
            <w:tc>
              <w:tcPr>
                <w:tcW w:w="613" w:type="pct"/>
              </w:tcPr>
              <w:p>
                <w:pPr>
                  <w:rPr>
                    <w:sz w:val="18"/>
                    <w:szCs w:val="18"/>
                  </w:rPr>
                </w:pPr>
                <w:r>
                  <w:rPr>
                    <w:sz w:val="18"/>
                    <w:szCs w:val="18"/>
                  </w:rPr>
                  <w:t>3．对所有者（或股东）的分配</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-21,951,930</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-21,951,930</w:t>
            </w:r>
          </w:p>
        </w:tc>
        <w:tc>
          <w:tcPr>
            <w:tcW w:w="352" w:type="pct"/>
            <w:vAlign w:val="center"/>
          </w:tcPr>
          <w:p>
            <w:pPr>
              <w:jc w:val="right"/>
              <w:rPr>
                <w:sz w:val="18"/>
                <w:szCs w:val="18"/>
              </w:rPr>
            </w:pPr>
            <w:r>
              <w:rPr>
                <w:sz w:val="18"/>
                <w:szCs w:val="18"/>
              </w:rPr>
              <w:t>-4,989,184</w:t>
            </w:r>
          </w:p>
        </w:tc>
        <w:tc>
          <w:tcPr>
            <w:tcW w:w="389" w:type="pct"/>
            <w:vAlign w:val="center"/>
          </w:tcPr>
          <w:p>
            <w:pPr>
              <w:jc w:val="right"/>
              <w:rPr>
                <w:sz w:val="18"/>
                <w:szCs w:val="18"/>
              </w:rPr>
            </w:pPr>
            <w:r>
              <w:rPr>
                <w:sz w:val="18"/>
                <w:szCs w:val="18"/>
              </w:rPr>
              <w:t>-26,941,114</w:t>
            </w:r>
          </w:p>
        </w:tc>
      </w:tr>
      <w:tr>
        <w:trPr>
          <w:jc w:val="center"/>
        </w:trPr>
        <w:tc>
          <w:tcPr>
            <w:tcW w:w="613" w:type="pct"/>
            <w:vAlign w:val="center"/>
          </w:tcPr>
          <w:p>
            <w:pPr>
              <w:rPr>
                <w:sz w:val="18"/>
                <w:szCs w:val="18"/>
              </w:rPr>
            </w:pPr>
            <w:r>
              <w:rPr>
                <w:rFonts w:hint="eastAsia"/>
                <w:sz w:val="18"/>
                <w:szCs w:val="18"/>
              </w:rPr>
              <w:lastRenderedPageBreak/>
              <w:t>4.对其他权益工具持有者的分配</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-452,980</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 xml:space="preserve">　</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-452,980</w:t>
            </w:r>
          </w:p>
        </w:tc>
        <w:tc>
          <w:tcPr>
            <w:tcW w:w="352" w:type="pct"/>
            <w:vAlign w:val="center"/>
          </w:tcPr>
          <w:p>
            <w:pPr>
              <w:jc w:val="right"/>
              <w:rPr>
                <w:sz w:val="18"/>
                <w:szCs w:val="18"/>
              </w:rPr>
            </w:pPr>
            <w:r>
              <w:rPr>
                <w:rFonts w:hint="eastAsia"/>
                <w:sz w:val="18"/>
                <w:szCs w:val="18"/>
              </w:rPr>
              <w:t xml:space="preserve">　</w:t>
            </w:r>
          </w:p>
        </w:tc>
        <w:tc>
          <w:tcPr>
            <w:tcW w:w="389" w:type="pct"/>
            <w:vAlign w:val="center"/>
          </w:tcPr>
          <w:p>
            <w:pPr>
              <w:jc w:val="right"/>
              <w:rPr>
                <w:sz w:val="18"/>
                <w:szCs w:val="18"/>
              </w:rPr>
            </w:pPr>
            <w:r>
              <w:rPr>
                <w:rFonts w:hint="eastAsia"/>
                <w:sz w:val="18"/>
                <w:szCs w:val="18"/>
              </w:rPr>
              <w:t>-452,980</w:t>
            </w:r>
          </w:p>
        </w:tc>
      </w:tr>
      <w:tr>
        <w:trPr>
          <w:jc w:val="center"/>
        </w:trPr>
        <w:tc>
          <w:tcPr>
            <w:tcW w:w="613" w:type="pct"/>
            <w:vAlign w:val="center"/>
          </w:tcPr>
          <w:p>
            <w:pPr>
              <w:rPr>
                <w:sz w:val="18"/>
                <w:szCs w:val="18"/>
              </w:rPr>
            </w:pPr>
            <w:r>
              <w:rPr>
                <w:rFonts w:hint="eastAsia"/>
                <w:sz w:val="18"/>
                <w:szCs w:val="18"/>
              </w:rPr>
              <w:t>5.其他</w:t>
            </w:r>
          </w:p>
        </w:tc>
        <w:tc>
          <w:tcPr>
            <w:tcW w:w="351" w:type="pct"/>
            <w:vAlign w:val="center"/>
          </w:tcPr>
          <w:p>
            <w:pPr>
              <w:jc w:val="right"/>
              <w:rPr>
                <w:sz w:val="18"/>
                <w:szCs w:val="18"/>
              </w:rPr>
            </w:pPr>
            <w:r>
              <w:rPr>
                <w:rFonts w:hint="eastAsia"/>
                <w:sz w:val="18"/>
                <w:szCs w:val="18"/>
              </w:rPr>
              <w:t>2,480,680</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131"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308" w:type="pct"/>
            <w:vAlign w:val="center"/>
          </w:tcPr>
          <w:p>
            <w:pPr>
              <w:jc w:val="right"/>
              <w:rPr>
                <w:sz w:val="18"/>
                <w:szCs w:val="18"/>
              </w:rPr>
            </w:pPr>
            <w:r>
              <w:rPr>
                <w:rFonts w:hint="eastAsia"/>
                <w:sz w:val="18"/>
                <w:szCs w:val="18"/>
              </w:rPr>
              <w:t xml:space="preserve">　</w:t>
            </w:r>
          </w:p>
        </w:tc>
        <w:tc>
          <w:tcPr>
            <w:tcW w:w="394" w:type="pct"/>
            <w:vAlign w:val="center"/>
          </w:tcPr>
          <w:p>
            <w:pPr>
              <w:jc w:val="right"/>
              <w:rPr>
                <w:sz w:val="18"/>
                <w:szCs w:val="18"/>
              </w:rPr>
            </w:pPr>
            <w:r>
              <w:rPr>
                <w:rFonts w:hint="eastAsia"/>
                <w:sz w:val="18"/>
                <w:szCs w:val="18"/>
              </w:rPr>
              <w:t xml:space="preserve">　</w:t>
            </w:r>
          </w:p>
        </w:tc>
        <w:tc>
          <w:tcPr>
            <w:tcW w:w="351" w:type="pct"/>
            <w:vAlign w:val="center"/>
          </w:tcPr>
          <w:p>
            <w:pPr>
              <w:jc w:val="right"/>
              <w:rPr>
                <w:sz w:val="18"/>
                <w:szCs w:val="18"/>
              </w:rPr>
            </w:pPr>
            <w:r>
              <w:rPr>
                <w:rFonts w:hint="eastAsia"/>
                <w:sz w:val="18"/>
                <w:szCs w:val="18"/>
              </w:rPr>
              <w:t xml:space="preserve">　</w:t>
            </w:r>
          </w:p>
        </w:tc>
        <w:tc>
          <w:tcPr>
            <w:tcW w:w="263" w:type="pct"/>
            <w:vAlign w:val="center"/>
          </w:tcPr>
          <w:p>
            <w:pPr>
              <w:jc w:val="right"/>
              <w:rPr>
                <w:sz w:val="18"/>
                <w:szCs w:val="18"/>
              </w:rPr>
            </w:pPr>
            <w:r>
              <w:rPr>
                <w:rFonts w:hint="eastAsia"/>
                <w:sz w:val="18"/>
                <w:szCs w:val="18"/>
              </w:rPr>
              <w:t xml:space="preserve">　</w:t>
            </w:r>
          </w:p>
        </w:tc>
        <w:tc>
          <w:tcPr>
            <w:tcW w:w="175" w:type="pct"/>
            <w:vAlign w:val="center"/>
          </w:tcPr>
          <w:p>
            <w:pPr>
              <w:jc w:val="right"/>
              <w:rPr>
                <w:sz w:val="18"/>
                <w:szCs w:val="18"/>
              </w:rPr>
            </w:pPr>
            <w:r>
              <w:rPr>
                <w:rFonts w:hint="eastAsia"/>
                <w:sz w:val="18"/>
                <w:szCs w:val="18"/>
              </w:rPr>
              <w:t xml:space="preserve">　</w:t>
            </w:r>
          </w:p>
        </w:tc>
        <w:tc>
          <w:tcPr>
            <w:tcW w:w="396" w:type="pct"/>
            <w:vAlign w:val="center"/>
          </w:tcPr>
          <w:p>
            <w:pPr>
              <w:jc w:val="right"/>
              <w:rPr>
                <w:sz w:val="18"/>
                <w:szCs w:val="18"/>
              </w:rPr>
            </w:pPr>
            <w:r>
              <w:rPr>
                <w:rFonts w:hint="eastAsia"/>
                <w:sz w:val="18"/>
                <w:szCs w:val="18"/>
              </w:rPr>
              <w:t>-2,480,680</w:t>
            </w:r>
          </w:p>
        </w:tc>
        <w:tc>
          <w:tcPr>
            <w:tcW w:w="87" w:type="pct"/>
            <w:vAlign w:val="center"/>
          </w:tcPr>
          <w:p>
            <w:pPr>
              <w:jc w:val="right"/>
              <w:rPr>
                <w:sz w:val="18"/>
                <w:szCs w:val="18"/>
              </w:rPr>
            </w:pPr>
            <w:r>
              <w:rPr>
                <w:rFonts w:hint="eastAsia"/>
                <w:sz w:val="18"/>
                <w:szCs w:val="18"/>
              </w:rPr>
              <w:t xml:space="preserve">　</w:t>
            </w:r>
          </w:p>
        </w:tc>
        <w:tc>
          <w:tcPr>
            <w:tcW w:w="357" w:type="pct"/>
            <w:vAlign w:val="center"/>
          </w:tcPr>
          <w:p>
            <w:pPr>
              <w:jc w:val="right"/>
              <w:rPr>
                <w:sz w:val="18"/>
                <w:szCs w:val="18"/>
              </w:rPr>
            </w:pPr>
            <w:r>
              <w:rPr>
                <w:rFonts w:hint="eastAsia"/>
                <w:sz w:val="18"/>
                <w:szCs w:val="18"/>
              </w:rPr>
              <w:t xml:space="preserve">　</w:t>
            </w:r>
          </w:p>
        </w:tc>
        <w:tc>
          <w:tcPr>
            <w:tcW w:w="352" w:type="pct"/>
            <w:vAlign w:val="center"/>
          </w:tcPr>
          <w:p>
            <w:pPr>
              <w:jc w:val="right"/>
              <w:rPr>
                <w:sz w:val="18"/>
                <w:szCs w:val="18"/>
              </w:rPr>
            </w:pPr>
            <w:r>
              <w:rPr>
                <w:rFonts w:hint="eastAsia"/>
                <w:sz w:val="18"/>
                <w:szCs w:val="18"/>
              </w:rPr>
              <w:t xml:space="preserve">　</w:t>
            </w:r>
          </w:p>
        </w:tc>
        <w:tc>
          <w:tcPr>
            <w:tcW w:w="389" w:type="pct"/>
            <w:vAlign w:val="center"/>
          </w:tcPr>
          <w:p>
            <w:pPr>
              <w:jc w:val="right"/>
              <w:rPr>
                <w:sz w:val="18"/>
                <w:szCs w:val="18"/>
              </w:rPr>
            </w:pPr>
            <w:r>
              <w:rPr>
                <w:rFonts w:hint="eastAsia"/>
                <w:sz w:val="18"/>
                <w:szCs w:val="18"/>
              </w:rPr>
              <w:t xml:space="preserve">　</w:t>
            </w:r>
          </w:p>
        </w:tc>
      </w:tr>
      <w:tr>
        <w:trPr>
          <w:jc w:val="center"/>
        </w:trPr>
        <w:sdt>
          <w:sdtPr>
            <w:rPr>
              <w:sz w:val="18"/>
              <w:szCs w:val="18"/>
            </w:rPr>
            <w:tag w:val="_PLD_a953b61d69004a7a91974afa1318df0a"/>
            <w:id w:val="85668572"/>
          </w:sdtPr>
          <w:sdtContent>
            <w:tc>
              <w:tcPr>
                <w:tcW w:w="613" w:type="pct"/>
              </w:tcPr>
              <w:p>
                <w:pPr>
                  <w:rPr>
                    <w:sz w:val="18"/>
                    <w:szCs w:val="18"/>
                  </w:rPr>
                </w:pPr>
                <w:r>
                  <w:rPr>
                    <w:sz w:val="18"/>
                    <w:szCs w:val="18"/>
                  </w:rPr>
                  <w:t>（</w:t>
                </w:r>
                <w:r>
                  <w:rPr>
                    <w:rFonts w:hint="eastAsia"/>
                    <w:sz w:val="18"/>
                    <w:szCs w:val="18"/>
                  </w:rPr>
                  <w:t>四</w:t>
                </w:r>
                <w:r>
                  <w:rPr>
                    <w:sz w:val="18"/>
                    <w:szCs w:val="18"/>
                  </w:rPr>
                  <w:t>）所有者权益内部结转</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278fa3d290b3473aacd1d849016a2959"/>
            <w:id w:val="-2089689854"/>
          </w:sdtPr>
          <w:sdtContent>
            <w:tc>
              <w:tcPr>
                <w:tcW w:w="613" w:type="pct"/>
              </w:tcPr>
              <w:p>
                <w:pPr>
                  <w:rPr>
                    <w:sz w:val="18"/>
                    <w:szCs w:val="18"/>
                  </w:rPr>
                </w:pPr>
                <w:r>
                  <w:rPr>
                    <w:sz w:val="18"/>
                    <w:szCs w:val="18"/>
                  </w:rPr>
                  <w:t>1．资本公积转增资本（或股本）</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2dbeb2e6cbbd4ba2a65e4f369c7e7929"/>
            <w:id w:val="-77759776"/>
          </w:sdtPr>
          <w:sdtContent>
            <w:tc>
              <w:tcPr>
                <w:tcW w:w="613" w:type="pct"/>
              </w:tcPr>
              <w:p>
                <w:pPr>
                  <w:rPr>
                    <w:sz w:val="18"/>
                    <w:szCs w:val="18"/>
                  </w:rPr>
                </w:pPr>
                <w:r>
                  <w:rPr>
                    <w:sz w:val="18"/>
                    <w:szCs w:val="18"/>
                  </w:rPr>
                  <w:t>2．盈余公积转增资本（或股本）</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58f2b570df754e85bb72c0f63cdd3f1c"/>
            <w:id w:val="1315608193"/>
          </w:sdtPr>
          <w:sdtContent>
            <w:tc>
              <w:tcPr>
                <w:tcW w:w="613" w:type="pct"/>
              </w:tcPr>
              <w:p>
                <w:pPr>
                  <w:rPr>
                    <w:sz w:val="18"/>
                    <w:szCs w:val="18"/>
                  </w:rPr>
                </w:pPr>
                <w:r>
                  <w:rPr>
                    <w:sz w:val="18"/>
                    <w:szCs w:val="18"/>
                  </w:rPr>
                  <w:t>3．盈余公积弥补亏损</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tc>
          <w:tcPr>
            <w:tcW w:w="613" w:type="pct"/>
          </w:tcPr>
          <w:sdt>
            <w:sdtPr>
              <w:rPr>
                <w:sz w:val="18"/>
                <w:szCs w:val="18"/>
              </w:rPr>
              <w:tag w:val="_PLD_88022ba02c7c4775ba5e9f75f6b07fa4"/>
              <w:id w:val="949896389"/>
            </w:sdtPr>
            <w:sdtContent>
              <w:p>
                <w:pPr>
                  <w:pStyle w:val="affffffffffffffffff3"/>
                  <w:rPr>
                    <w:sz w:val="18"/>
                    <w:szCs w:val="18"/>
                  </w:rPr>
                </w:pPr>
                <w:r>
                  <w:rPr>
                    <w:sz w:val="18"/>
                    <w:szCs w:val="18"/>
                  </w:rPr>
                  <w:t>4．设定受益计划变动额结转留存收益</w:t>
                </w:r>
              </w:p>
            </w:sdtContent>
          </w:sdt>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tc>
          <w:tcPr>
            <w:tcW w:w="613" w:type="pct"/>
          </w:tcPr>
          <w:sdt>
            <w:sdtPr>
              <w:rPr>
                <w:sz w:val="18"/>
                <w:szCs w:val="18"/>
              </w:rPr>
              <w:tag w:val="_PLD_0259028a18dd4c059a8b77a9e4fe86f9"/>
              <w:id w:val="2125647772"/>
            </w:sdtPr>
            <w:sdtContent>
              <w:p>
                <w:pPr>
                  <w:rPr>
                    <w:sz w:val="18"/>
                    <w:szCs w:val="18"/>
                  </w:rPr>
                </w:pPr>
                <w:r>
                  <w:rPr>
                    <w:sz w:val="18"/>
                    <w:szCs w:val="18"/>
                  </w:rPr>
                  <w:t>5．其他综合收益结转留存收益</w:t>
                </w:r>
              </w:p>
            </w:sdtContent>
          </w:sdt>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5844253ac18b45ceaa765e5b2f55d052"/>
            <w:id w:val="-218591183"/>
          </w:sdtPr>
          <w:sdtContent>
            <w:tc>
              <w:tcPr>
                <w:tcW w:w="613" w:type="pct"/>
              </w:tcPr>
              <w:p>
                <w:pPr>
                  <w:rPr>
                    <w:sz w:val="18"/>
                    <w:szCs w:val="18"/>
                  </w:rPr>
                </w:pPr>
                <w:r>
                  <w:rPr>
                    <w:sz w:val="18"/>
                    <w:szCs w:val="18"/>
                  </w:rPr>
                  <w:t>6．其他</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p>
        </w:tc>
        <w:tc>
          <w:tcPr>
            <w:tcW w:w="352" w:type="pct"/>
            <w:vAlign w:val="center"/>
          </w:tcPr>
          <w:p>
            <w:pPr>
              <w:jc w:val="right"/>
              <w:rPr>
                <w:sz w:val="18"/>
                <w:szCs w:val="18"/>
              </w:rPr>
            </w:pPr>
          </w:p>
        </w:tc>
        <w:tc>
          <w:tcPr>
            <w:tcW w:w="389" w:type="pct"/>
            <w:vAlign w:val="center"/>
          </w:tcPr>
          <w:p>
            <w:pPr>
              <w:jc w:val="right"/>
              <w:rPr>
                <w:sz w:val="18"/>
                <w:szCs w:val="18"/>
              </w:rPr>
            </w:pPr>
          </w:p>
        </w:tc>
      </w:tr>
      <w:tr>
        <w:trPr>
          <w:jc w:val="center"/>
        </w:trPr>
        <w:sdt>
          <w:sdtPr>
            <w:rPr>
              <w:sz w:val="18"/>
              <w:szCs w:val="18"/>
            </w:rPr>
            <w:tag w:val="_PLD_3bbf2260615f4991a49bda77fd1fc28b"/>
            <w:id w:val="564998332"/>
          </w:sdtPr>
          <w:sdtContent>
            <w:tc>
              <w:tcPr>
                <w:tcW w:w="613" w:type="pct"/>
              </w:tcPr>
              <w:p>
                <w:pPr>
                  <w:rPr>
                    <w:sz w:val="18"/>
                    <w:szCs w:val="18"/>
                  </w:rPr>
                </w:pPr>
                <w:r>
                  <w:rPr>
                    <w:rFonts w:hint="eastAsia"/>
                    <w:sz w:val="18"/>
                    <w:szCs w:val="18"/>
                  </w:rPr>
                  <w:t>（五）专项储备</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r>
              <w:rPr>
                <w:sz w:val="18"/>
                <w:szCs w:val="18"/>
              </w:rPr>
              <w:t>-1,216,129</w:t>
            </w: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-1,216,129</w:t>
            </w:r>
          </w:p>
        </w:tc>
        <w:tc>
          <w:tcPr>
            <w:tcW w:w="352" w:type="pct"/>
            <w:vAlign w:val="center"/>
          </w:tcPr>
          <w:p>
            <w:pPr>
              <w:jc w:val="right"/>
              <w:rPr>
                <w:sz w:val="18"/>
                <w:szCs w:val="18"/>
              </w:rPr>
            </w:pPr>
            <w:r>
              <w:rPr>
                <w:sz w:val="18"/>
                <w:szCs w:val="18"/>
              </w:rPr>
              <w:t>-106,521</w:t>
            </w:r>
          </w:p>
        </w:tc>
        <w:tc>
          <w:tcPr>
            <w:tcW w:w="389" w:type="pct"/>
            <w:vAlign w:val="center"/>
          </w:tcPr>
          <w:p>
            <w:pPr>
              <w:jc w:val="right"/>
              <w:rPr>
                <w:sz w:val="18"/>
                <w:szCs w:val="18"/>
              </w:rPr>
            </w:pPr>
            <w:r>
              <w:rPr>
                <w:sz w:val="18"/>
                <w:szCs w:val="18"/>
              </w:rPr>
              <w:t>-1,322,650</w:t>
            </w:r>
          </w:p>
        </w:tc>
      </w:tr>
      <w:tr>
        <w:trPr>
          <w:jc w:val="center"/>
        </w:trPr>
        <w:sdt>
          <w:sdtPr>
            <w:rPr>
              <w:sz w:val="18"/>
              <w:szCs w:val="18"/>
            </w:rPr>
            <w:tag w:val="_PLD_f1e833fa15ec452384f3784c7a9b36fe"/>
            <w:id w:val="-136731767"/>
          </w:sdtPr>
          <w:sdtContent>
            <w:tc>
              <w:tcPr>
                <w:tcW w:w="613" w:type="pct"/>
              </w:tcPr>
              <w:p>
                <w:pPr>
                  <w:rPr>
                    <w:sz w:val="18"/>
                    <w:szCs w:val="18"/>
                  </w:rPr>
                </w:pPr>
                <w:r>
                  <w:rPr>
                    <w:rFonts w:hint="eastAsia"/>
                    <w:sz w:val="18"/>
                    <w:szCs w:val="18"/>
                  </w:rPr>
                  <w:t>1．本期提取</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r>
              <w:rPr>
                <w:sz w:val="18"/>
                <w:szCs w:val="18"/>
              </w:rPr>
              <w:t>3,497,833</w:t>
            </w: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3,497,833</w:t>
            </w:r>
          </w:p>
        </w:tc>
        <w:tc>
          <w:tcPr>
            <w:tcW w:w="352" w:type="pct"/>
            <w:vAlign w:val="center"/>
          </w:tcPr>
          <w:p>
            <w:pPr>
              <w:jc w:val="right"/>
              <w:rPr>
                <w:sz w:val="18"/>
                <w:szCs w:val="18"/>
              </w:rPr>
            </w:pPr>
            <w:r>
              <w:rPr>
                <w:sz w:val="18"/>
                <w:szCs w:val="18"/>
              </w:rPr>
              <w:t>1,254,456</w:t>
            </w:r>
          </w:p>
        </w:tc>
        <w:tc>
          <w:tcPr>
            <w:tcW w:w="389" w:type="pct"/>
            <w:vAlign w:val="center"/>
          </w:tcPr>
          <w:p>
            <w:pPr>
              <w:jc w:val="right"/>
              <w:rPr>
                <w:sz w:val="18"/>
                <w:szCs w:val="18"/>
              </w:rPr>
            </w:pPr>
            <w:r>
              <w:rPr>
                <w:sz w:val="18"/>
                <w:szCs w:val="18"/>
              </w:rPr>
              <w:t>4,752,289</w:t>
            </w:r>
          </w:p>
        </w:tc>
      </w:tr>
      <w:tr>
        <w:trPr>
          <w:jc w:val="center"/>
        </w:trPr>
        <w:sdt>
          <w:sdtPr>
            <w:rPr>
              <w:sz w:val="18"/>
              <w:szCs w:val="18"/>
            </w:rPr>
            <w:tag w:val="_PLD_301fc21ab7954268be9851ddd0cf2d8a"/>
            <w:id w:val="815230481"/>
          </w:sdtPr>
          <w:sdtContent>
            <w:tc>
              <w:tcPr>
                <w:tcW w:w="613" w:type="pct"/>
              </w:tcPr>
              <w:p>
                <w:pPr>
                  <w:rPr>
                    <w:sz w:val="18"/>
                    <w:szCs w:val="18"/>
                  </w:rPr>
                </w:pPr>
                <w:r>
                  <w:rPr>
                    <w:rFonts w:hint="eastAsia"/>
                    <w:sz w:val="18"/>
                    <w:szCs w:val="18"/>
                  </w:rPr>
                  <w:t>2．本期使用</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r>
              <w:rPr>
                <w:sz w:val="18"/>
                <w:szCs w:val="18"/>
              </w:rPr>
              <w:t>-4,713,962</w:t>
            </w: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-4,713,962</w:t>
            </w:r>
          </w:p>
        </w:tc>
        <w:tc>
          <w:tcPr>
            <w:tcW w:w="352" w:type="pct"/>
            <w:vAlign w:val="center"/>
          </w:tcPr>
          <w:p>
            <w:pPr>
              <w:jc w:val="right"/>
              <w:rPr>
                <w:sz w:val="18"/>
                <w:szCs w:val="18"/>
              </w:rPr>
            </w:pPr>
            <w:r>
              <w:rPr>
                <w:sz w:val="18"/>
                <w:szCs w:val="18"/>
              </w:rPr>
              <w:t>-1,360,977</w:t>
            </w:r>
          </w:p>
        </w:tc>
        <w:tc>
          <w:tcPr>
            <w:tcW w:w="389" w:type="pct"/>
            <w:vAlign w:val="center"/>
          </w:tcPr>
          <w:p>
            <w:pPr>
              <w:jc w:val="right"/>
              <w:rPr>
                <w:sz w:val="18"/>
                <w:szCs w:val="18"/>
              </w:rPr>
            </w:pPr>
            <w:r>
              <w:rPr>
                <w:sz w:val="18"/>
                <w:szCs w:val="18"/>
              </w:rPr>
              <w:t>-6,074,939</w:t>
            </w:r>
          </w:p>
        </w:tc>
      </w:tr>
      <w:tr>
        <w:trPr>
          <w:jc w:val="center"/>
        </w:trPr>
        <w:sdt>
          <w:sdtPr>
            <w:rPr>
              <w:sz w:val="18"/>
              <w:szCs w:val="18"/>
            </w:rPr>
            <w:tag w:val="_PLD_43b1e5b489b047e98cf38f8c5f130759"/>
            <w:id w:val="-913859117"/>
          </w:sdtPr>
          <w:sdtContent>
            <w:tc>
              <w:tcPr>
                <w:tcW w:w="613" w:type="pct"/>
              </w:tcPr>
              <w:p>
                <w:pPr>
                  <w:rPr>
                    <w:sz w:val="18"/>
                    <w:szCs w:val="18"/>
                  </w:rPr>
                </w:pPr>
                <w:r>
                  <w:rPr>
                    <w:rFonts w:hint="eastAsia"/>
                    <w:sz w:val="18"/>
                    <w:szCs w:val="18"/>
                  </w:rPr>
                  <w:t>（六）其他</w:t>
                </w:r>
              </w:p>
            </w:tc>
          </w:sdtContent>
        </w:sdt>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-1,424,052</w:t>
            </w:r>
          </w:p>
        </w:tc>
        <w:tc>
          <w:tcPr>
            <w:tcW w:w="308" w:type="pct"/>
            <w:vAlign w:val="center"/>
          </w:tcPr>
          <w:p>
            <w:pPr>
              <w:jc w:val="right"/>
              <w:rPr>
                <w:sz w:val="18"/>
                <w:szCs w:val="18"/>
              </w:rPr>
            </w:pPr>
          </w:p>
        </w:tc>
        <w:tc>
          <w:tcPr>
            <w:tcW w:w="394" w:type="pct"/>
            <w:vAlign w:val="center"/>
          </w:tcPr>
          <w:p>
            <w:pPr>
              <w:jc w:val="right"/>
              <w:rPr>
                <w:sz w:val="18"/>
                <w:szCs w:val="18"/>
              </w:rPr>
            </w:pPr>
          </w:p>
        </w:tc>
        <w:tc>
          <w:tcPr>
            <w:tcW w:w="351" w:type="pct"/>
            <w:vAlign w:val="center"/>
          </w:tcPr>
          <w:p>
            <w:pPr>
              <w:jc w:val="right"/>
              <w:rPr>
                <w:sz w:val="18"/>
                <w:szCs w:val="18"/>
              </w:rPr>
            </w:pPr>
          </w:p>
        </w:tc>
        <w:tc>
          <w:tcPr>
            <w:tcW w:w="263" w:type="pct"/>
            <w:vAlign w:val="center"/>
          </w:tcPr>
          <w:p>
            <w:pPr>
              <w:jc w:val="right"/>
              <w:rPr>
                <w:sz w:val="18"/>
                <w:szCs w:val="18"/>
              </w:rPr>
            </w:pP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4,861</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-1,419,191</w:t>
            </w:r>
          </w:p>
        </w:tc>
        <w:tc>
          <w:tcPr>
            <w:tcW w:w="352" w:type="pct"/>
            <w:vAlign w:val="center"/>
          </w:tcPr>
          <w:p>
            <w:pPr>
              <w:jc w:val="right"/>
              <w:rPr>
                <w:sz w:val="18"/>
                <w:szCs w:val="18"/>
              </w:rPr>
            </w:pPr>
            <w:r>
              <w:rPr>
                <w:sz w:val="18"/>
                <w:szCs w:val="18"/>
              </w:rPr>
              <w:t>559</w:t>
            </w:r>
          </w:p>
        </w:tc>
        <w:tc>
          <w:tcPr>
            <w:tcW w:w="389" w:type="pct"/>
            <w:vAlign w:val="center"/>
          </w:tcPr>
          <w:p>
            <w:pPr>
              <w:jc w:val="right"/>
              <w:rPr>
                <w:sz w:val="18"/>
                <w:szCs w:val="18"/>
              </w:rPr>
            </w:pPr>
            <w:r>
              <w:rPr>
                <w:sz w:val="18"/>
                <w:szCs w:val="18"/>
              </w:rPr>
              <w:t>-1,418,632</w:t>
            </w:r>
          </w:p>
        </w:tc>
      </w:tr>
      <w:tr>
        <w:trPr>
          <w:jc w:val="center"/>
        </w:trPr>
        <w:sdt>
          <w:sdtPr>
            <w:rPr>
              <w:sz w:val="18"/>
              <w:szCs w:val="18"/>
            </w:rPr>
            <w:tag w:val="_PLD_7355d7c321c84166a15737d2581911bf"/>
            <w:id w:val="33707794"/>
          </w:sdtPr>
          <w:sdtContent>
            <w:tc>
              <w:tcPr>
                <w:tcW w:w="613" w:type="pct"/>
              </w:tcPr>
              <w:p>
                <w:pPr>
                  <w:rPr>
                    <w:sz w:val="18"/>
                    <w:szCs w:val="18"/>
                  </w:rPr>
                </w:pPr>
                <w:r>
                  <w:rPr>
                    <w:sz w:val="18"/>
                    <w:szCs w:val="18"/>
                  </w:rPr>
                  <w:t>四、本期期末余额</w:t>
                </w:r>
              </w:p>
            </w:tc>
          </w:sdtContent>
        </w:sdt>
        <w:tc>
          <w:tcPr>
            <w:tcW w:w="351" w:type="pct"/>
            <w:vAlign w:val="center"/>
          </w:tcPr>
          <w:p>
            <w:pPr>
              <w:jc w:val="right"/>
              <w:rPr>
                <w:sz w:val="18"/>
                <w:szCs w:val="18"/>
              </w:rPr>
            </w:pPr>
            <w:r>
              <w:rPr>
                <w:sz w:val="18"/>
                <w:szCs w:val="18"/>
              </w:rPr>
              <w:t>7,439,371</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16,541,777</w:t>
            </w:r>
          </w:p>
        </w:tc>
        <w:tc>
          <w:tcPr>
            <w:tcW w:w="131" w:type="pct"/>
            <w:vAlign w:val="center"/>
          </w:tcPr>
          <w:p>
            <w:pPr>
              <w:jc w:val="right"/>
              <w:rPr>
                <w:sz w:val="18"/>
                <w:szCs w:val="18"/>
              </w:rPr>
            </w:pPr>
          </w:p>
        </w:tc>
        <w:tc>
          <w:tcPr>
            <w:tcW w:w="351" w:type="pct"/>
            <w:vAlign w:val="center"/>
          </w:tcPr>
          <w:p>
            <w:pPr>
              <w:jc w:val="right"/>
              <w:rPr>
                <w:sz w:val="18"/>
                <w:szCs w:val="18"/>
              </w:rPr>
            </w:pPr>
            <w:r>
              <w:rPr>
                <w:sz w:val="18"/>
                <w:szCs w:val="18"/>
              </w:rPr>
              <w:t>-32,883</w:t>
            </w:r>
          </w:p>
        </w:tc>
        <w:tc>
          <w:tcPr>
            <w:tcW w:w="308" w:type="pct"/>
            <w:vAlign w:val="center"/>
          </w:tcPr>
          <w:p>
            <w:pPr>
              <w:jc w:val="right"/>
              <w:rPr>
                <w:sz w:val="18"/>
                <w:szCs w:val="18"/>
              </w:rPr>
            </w:pPr>
            <w:r>
              <w:rPr>
                <w:sz w:val="18"/>
                <w:szCs w:val="18"/>
              </w:rPr>
              <w:t>324,980</w:t>
            </w:r>
          </w:p>
        </w:tc>
        <w:tc>
          <w:tcPr>
            <w:tcW w:w="394" w:type="pct"/>
            <w:vAlign w:val="center"/>
          </w:tcPr>
          <w:p>
            <w:pPr>
              <w:jc w:val="right"/>
              <w:rPr>
                <w:sz w:val="18"/>
                <w:szCs w:val="18"/>
              </w:rPr>
            </w:pPr>
            <w:r>
              <w:rPr>
                <w:sz w:val="18"/>
                <w:szCs w:val="18"/>
              </w:rPr>
              <w:t>-6,334,716</w:t>
            </w:r>
          </w:p>
        </w:tc>
        <w:tc>
          <w:tcPr>
            <w:tcW w:w="351" w:type="pct"/>
            <w:vAlign w:val="center"/>
          </w:tcPr>
          <w:p>
            <w:pPr>
              <w:jc w:val="right"/>
              <w:rPr>
                <w:sz w:val="18"/>
                <w:szCs w:val="18"/>
              </w:rPr>
            </w:pPr>
            <w:r>
              <w:rPr>
                <w:sz w:val="18"/>
                <w:szCs w:val="18"/>
              </w:rPr>
              <w:t>3,586,505</w:t>
            </w:r>
          </w:p>
        </w:tc>
        <w:tc>
          <w:tcPr>
            <w:tcW w:w="263" w:type="pct"/>
            <w:vAlign w:val="center"/>
          </w:tcPr>
          <w:p>
            <w:pPr>
              <w:jc w:val="right"/>
              <w:rPr>
                <w:sz w:val="18"/>
                <w:szCs w:val="18"/>
              </w:rPr>
            </w:pPr>
            <w:r>
              <w:rPr>
                <w:sz w:val="18"/>
                <w:szCs w:val="18"/>
              </w:rPr>
              <w:t>1,663,815</w:t>
            </w:r>
          </w:p>
        </w:tc>
        <w:tc>
          <w:tcPr>
            <w:tcW w:w="175" w:type="pct"/>
            <w:vAlign w:val="center"/>
          </w:tcPr>
          <w:p>
            <w:pPr>
              <w:jc w:val="right"/>
              <w:rPr>
                <w:sz w:val="18"/>
                <w:szCs w:val="18"/>
              </w:rPr>
            </w:pPr>
          </w:p>
        </w:tc>
        <w:tc>
          <w:tcPr>
            <w:tcW w:w="396" w:type="pct"/>
            <w:vAlign w:val="center"/>
          </w:tcPr>
          <w:p>
            <w:pPr>
              <w:jc w:val="right"/>
              <w:rPr>
                <w:sz w:val="18"/>
                <w:szCs w:val="18"/>
              </w:rPr>
            </w:pPr>
            <w:r>
              <w:rPr>
                <w:sz w:val="18"/>
                <w:szCs w:val="18"/>
              </w:rPr>
              <w:t>50,289,076</w:t>
            </w:r>
          </w:p>
        </w:tc>
        <w:tc>
          <w:tcPr>
            <w:tcW w:w="87" w:type="pct"/>
            <w:vAlign w:val="center"/>
          </w:tcPr>
          <w:p>
            <w:pPr>
              <w:jc w:val="right"/>
              <w:rPr>
                <w:sz w:val="18"/>
                <w:szCs w:val="18"/>
              </w:rPr>
            </w:pPr>
          </w:p>
        </w:tc>
        <w:tc>
          <w:tcPr>
            <w:tcW w:w="357" w:type="pct"/>
            <w:vAlign w:val="center"/>
          </w:tcPr>
          <w:p>
            <w:pPr>
              <w:jc w:val="right"/>
              <w:rPr>
                <w:sz w:val="18"/>
                <w:szCs w:val="18"/>
              </w:rPr>
            </w:pPr>
            <w:r>
              <w:rPr>
                <w:sz w:val="18"/>
                <w:szCs w:val="18"/>
              </w:rPr>
              <w:t>72,827,965</w:t>
            </w:r>
          </w:p>
        </w:tc>
        <w:tc>
          <w:tcPr>
            <w:tcW w:w="352" w:type="pct"/>
            <w:vAlign w:val="center"/>
          </w:tcPr>
          <w:p>
            <w:pPr>
              <w:jc w:val="right"/>
              <w:rPr>
                <w:sz w:val="18"/>
                <w:szCs w:val="18"/>
              </w:rPr>
            </w:pPr>
            <w:r>
              <w:rPr>
                <w:sz w:val="18"/>
                <w:szCs w:val="18"/>
              </w:rPr>
              <w:t>45,654,645</w:t>
            </w:r>
          </w:p>
        </w:tc>
        <w:tc>
          <w:tcPr>
            <w:tcW w:w="389" w:type="pct"/>
            <w:vAlign w:val="center"/>
          </w:tcPr>
          <w:p>
            <w:pPr>
              <w:jc w:val="right"/>
              <w:rPr>
                <w:sz w:val="18"/>
                <w:szCs w:val="18"/>
              </w:rPr>
            </w:pPr>
            <w:r>
              <w:rPr>
                <w:sz w:val="18"/>
                <w:szCs w:val="18"/>
              </w:rPr>
              <w:t>118,482,610</w:t>
            </w:r>
          </w:p>
        </w:tc>
      </w:tr>
    </w:tbl>
    <w:p>
      <w:pPr>
        <w:pStyle w:val="affffffffffffffffff3"/>
      </w:pPr>
    </w:p>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1389795177"/>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r>
      <w:r>
        <w:rPr>
          <w:szCs w:val="21"/>
        </w:rPr>
        <w:tab/>
      </w:r>
      <w:r>
        <w:rPr>
          <w:szCs w:val="21"/>
        </w:rPr>
        <w:tab/>
      </w:r>
      <w:r>
        <w:rPr>
          <w:szCs w:val="21"/>
        </w:rPr>
        <w:tab/>
      </w:r>
      <w:r>
        <w:rPr>
          <w:szCs w:val="21"/>
        </w:rPr>
        <w:tab/>
      </w:r>
      <w:r>
        <w:rPr>
          <w:szCs w:val="21"/>
        </w:rPr>
        <w:tab/>
        <w:t>主管会计工作负责人</w:t>
      </w:r>
      <w:r>
        <w:rPr>
          <w:rFonts w:hint="eastAsia"/>
          <w:szCs w:val="21"/>
        </w:rPr>
        <w:t>：</w:t>
      </w:r>
      <w:sdt>
        <w:sdtPr>
          <w:rPr>
            <w:rFonts w:hint="eastAsia"/>
            <w:szCs w:val="21"/>
          </w:rPr>
          <w:alias w:val="主管会计工作负责人姓名"/>
          <w:tag w:val="_GBC_5b21002df9e248fa81a6770579ce76cd"/>
          <w:id w:val="-1084290802"/>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r>
      <w:r>
        <w:rPr>
          <w:szCs w:val="21"/>
        </w:rPr>
        <w:tab/>
      </w:r>
      <w:r>
        <w:rPr>
          <w:szCs w:val="21"/>
        </w:rPr>
        <w:tab/>
      </w:r>
      <w:r>
        <w:rPr>
          <w:szCs w:val="21"/>
        </w:rPr>
        <w:tab/>
      </w:r>
      <w:r>
        <w:rPr>
          <w:szCs w:val="21"/>
        </w:rPr>
        <w:tab/>
      </w:r>
      <w:r>
        <w:rPr>
          <w:szCs w:val="21"/>
        </w:rPr>
        <w:tab/>
        <w:t>会计机构负责人</w:t>
      </w:r>
      <w:r>
        <w:rPr>
          <w:rFonts w:hint="eastAsia"/>
          <w:szCs w:val="21"/>
        </w:rPr>
        <w:t>：</w:t>
      </w:r>
      <w:sdt>
        <w:sdtPr>
          <w:rPr>
            <w:rFonts w:hint="eastAsia"/>
            <w:szCs w:val="21"/>
          </w:rPr>
          <w:alias w:val="会计机构负责人姓名"/>
          <w:tag w:val="_GBC_6a446d6543174dc48c72d440eefb0b71"/>
          <w:id w:val="-1260436643"/>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rPr>
          <w:szCs w:val="21"/>
        </w:rPr>
      </w:pPr>
    </w:p>
    <w:p>
      <w:pPr>
        <w:rPr>
          <w:szCs w:val="21"/>
        </w:rPr>
      </w:pPr>
      <w:r>
        <w:rPr>
          <w:szCs w:val="21"/>
        </w:rPr>
        <w:br w:type="page"/>
      </w:r>
    </w:p>
    <w:p>
      <w:pPr>
        <w:rPr>
          <w:szCs w:val="21"/>
        </w:rPr>
      </w:pPr>
    </w:p>
    <w:p>
      <w:pPr>
        <w:tabs>
          <w:tab w:val="left" w:pos="10080"/>
        </w:tabs>
        <w:snapToGrid w:val="0"/>
        <w:spacing w:line="240" w:lineRule="atLeast"/>
        <w:ind w:rightChars="12" w:right="25"/>
        <w:jc w:val="center"/>
        <w:outlineLvl w:val="2"/>
        <w:rPr>
          <w:b/>
          <w:szCs w:val="21"/>
        </w:rPr>
      </w:pPr>
      <w:r>
        <w:rPr>
          <w:b/>
          <w:szCs w:val="21"/>
        </w:rPr>
        <w:t>母公司</w:t>
      </w:r>
      <w:r>
        <w:rPr>
          <w:rFonts w:hint="eastAsia"/>
          <w:b/>
          <w:szCs w:val="21"/>
        </w:rPr>
        <w:t>所有者权益变动表</w:t>
      </w:r>
    </w:p>
    <w:p>
      <w:pPr>
        <w:tabs>
          <w:tab w:val="left" w:pos="10080"/>
        </w:tabs>
        <w:snapToGrid w:val="0"/>
        <w:spacing w:line="240" w:lineRule="atLeast"/>
        <w:ind w:rightChars="12" w:right="25"/>
        <w:jc w:val="center"/>
        <w:rPr>
          <w:b/>
          <w:bCs/>
          <w:szCs w:val="21"/>
        </w:rPr>
      </w:pPr>
      <w:r>
        <w:rPr>
          <w:szCs w:val="21"/>
        </w:rPr>
        <w:t>2024年</w:t>
      </w:r>
      <w:r>
        <w:rPr>
          <w:rFonts w:hint="eastAsia"/>
          <w:szCs w:val="21"/>
        </w:rPr>
        <w:t>1—12</w:t>
      </w:r>
      <w:r>
        <w:rPr>
          <w:szCs w:val="21"/>
        </w:rPr>
        <w:t>月</w:t>
      </w:r>
    </w:p>
    <w:p>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702775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母公司股东权益调节表"/>
          <w:tag w:val="_GBC_5214b7a188334da286fc3038d017d072"/>
          <w:id w:val="142714739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15026"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firstRow="0" w:lastRow="0" w:firstColumn="0" w:lastColumn="0" w:noHBand="0" w:noVBand="0"/>
      </w:tblPr>
      <w:tblGrid>
        <w:gridCol w:w="2739"/>
        <w:gridCol w:w="1078"/>
        <w:gridCol w:w="1050"/>
        <w:gridCol w:w="1078"/>
        <w:gridCol w:w="1091"/>
        <w:gridCol w:w="1036"/>
        <w:gridCol w:w="1064"/>
        <w:gridCol w:w="1022"/>
        <w:gridCol w:w="1183"/>
        <w:gridCol w:w="1134"/>
        <w:gridCol w:w="1276"/>
        <w:gridCol w:w="1275"/>
      </w:tblGrid>
      <w:tr>
        <w:trPr>
          <w:trHeight w:val="20"/>
        </w:trPr>
        <w:sdt>
          <w:sdtPr>
            <w:rPr>
              <w:szCs w:val="21"/>
            </w:rPr>
            <w:tag w:val="_PLD_6243181199ca48faaab1b52ea7b6f562"/>
            <w:id w:val="-156465271"/>
          </w:sdtPr>
          <w:sdtContent>
            <w:tc>
              <w:tcPr>
                <w:tcW w:w="2739" w:type="dxa"/>
                <w:vMerge w:val="restart"/>
                <w:vAlign w:val="center"/>
              </w:tcPr>
              <w:p>
                <w:pPr>
                  <w:adjustRightInd w:val="0"/>
                  <w:snapToGrid w:val="0"/>
                  <w:jc w:val="center"/>
                  <w:rPr>
                    <w:szCs w:val="21"/>
                  </w:rPr>
                </w:pPr>
                <w:r>
                  <w:rPr>
                    <w:rFonts w:hint="eastAsia"/>
                    <w:szCs w:val="21"/>
                  </w:rPr>
                  <w:t>项目</w:t>
                </w:r>
              </w:p>
            </w:tc>
          </w:sdtContent>
        </w:sdt>
        <w:tc>
          <w:tcPr>
            <w:tcW w:w="12287" w:type="dxa"/>
            <w:gridSpan w:val="11"/>
            <w:vAlign w:val="center"/>
          </w:tcPr>
          <w:p>
            <w:pPr>
              <w:adjustRightInd w:val="0"/>
              <w:snapToGrid w:val="0"/>
              <w:jc w:val="center"/>
              <w:rPr>
                <w:szCs w:val="21"/>
              </w:rPr>
            </w:pPr>
            <w:r>
              <w:rPr>
                <w:rFonts w:hint="eastAsia"/>
                <w:szCs w:val="21"/>
              </w:rPr>
              <w:t xml:space="preserve"> </w:t>
            </w:r>
            <w:sdt>
              <w:sdtPr>
                <w:rPr>
                  <w:szCs w:val="21"/>
                </w:rPr>
                <w:tag w:val="_PLD_53ebc36a4faa4485960520df843f0c63"/>
                <w:id w:val="-508060620"/>
              </w:sdtPr>
              <w:sdtContent>
                <w:r>
                  <w:rPr>
                    <w:rFonts w:hint="eastAsia"/>
                    <w:szCs w:val="21"/>
                  </w:rPr>
                  <w:t>2024年度</w:t>
                </w:r>
              </w:sdtContent>
            </w:sdt>
          </w:p>
        </w:tc>
      </w:tr>
      <w:tr>
        <w:trPr>
          <w:trHeight w:val="315"/>
        </w:trPr>
        <w:tc>
          <w:tcPr>
            <w:tcW w:w="2739" w:type="dxa"/>
            <w:vMerge/>
          </w:tcPr>
          <w:p>
            <w:pPr>
              <w:adjustRightInd w:val="0"/>
              <w:snapToGrid w:val="0"/>
              <w:rPr>
                <w:szCs w:val="21"/>
              </w:rPr>
            </w:pPr>
          </w:p>
        </w:tc>
        <w:sdt>
          <w:sdtPr>
            <w:rPr>
              <w:szCs w:val="21"/>
            </w:rPr>
            <w:tag w:val="_PLD_d42b0ce5c44e4777bd36491652f20dd8"/>
            <w:id w:val="-962659393"/>
          </w:sdtPr>
          <w:sdtContent>
            <w:tc>
              <w:tcPr>
                <w:tcW w:w="1078" w:type="dxa"/>
                <w:vMerge w:val="restart"/>
                <w:tcBorders>
                  <w:right w:val="single" w:sz="4" w:space="0" w:color="auto"/>
                </w:tcBorders>
                <w:vAlign w:val="center"/>
              </w:tcPr>
              <w:p>
                <w:pPr>
                  <w:adjustRightInd w:val="0"/>
                  <w:snapToGrid w:val="0"/>
                  <w:jc w:val="center"/>
                  <w:rPr>
                    <w:szCs w:val="21"/>
                  </w:rPr>
                </w:pPr>
                <w:r>
                  <w:rPr>
                    <w:szCs w:val="21"/>
                  </w:rPr>
                  <w:t>实收资本 (或股本)</w:t>
                </w:r>
              </w:p>
            </w:tc>
          </w:sdtContent>
        </w:sdt>
        <w:sdt>
          <w:sdtPr>
            <w:rPr>
              <w:szCs w:val="21"/>
            </w:rPr>
            <w:tag w:val="_PLD_2b96b9233b354a859329aa59fac6fc9e"/>
            <w:id w:val="1230957961"/>
          </w:sdtPr>
          <w:sdtContent>
            <w:tc>
              <w:tcPr>
                <w:tcW w:w="3219" w:type="dxa"/>
                <w:gridSpan w:val="3"/>
                <w:tcBorders>
                  <w:left w:val="single" w:sz="4" w:space="0" w:color="auto"/>
                  <w:bottom w:val="single" w:sz="4" w:space="0" w:color="auto"/>
                </w:tcBorders>
                <w:vAlign w:val="center"/>
              </w:tcPr>
              <w:p>
                <w:pPr>
                  <w:adjustRightInd w:val="0"/>
                  <w:snapToGrid w:val="0"/>
                  <w:jc w:val="center"/>
                  <w:rPr>
                    <w:szCs w:val="21"/>
                  </w:rPr>
                </w:pPr>
                <w:r>
                  <w:rPr>
                    <w:rFonts w:hint="eastAsia"/>
                    <w:szCs w:val="21"/>
                  </w:rPr>
                  <w:t>其他权益工具</w:t>
                </w:r>
              </w:p>
            </w:tc>
          </w:sdtContent>
        </w:sdt>
        <w:sdt>
          <w:sdtPr>
            <w:rPr>
              <w:szCs w:val="21"/>
            </w:rPr>
            <w:tag w:val="_PLD_dafb11707213467d9f285bde7429767a"/>
            <w:id w:val="-60485838"/>
          </w:sdtPr>
          <w:sdtContent>
            <w:tc>
              <w:tcPr>
                <w:tcW w:w="1036" w:type="dxa"/>
                <w:vMerge w:val="restart"/>
                <w:vAlign w:val="center"/>
              </w:tcPr>
              <w:p>
                <w:pPr>
                  <w:adjustRightInd w:val="0"/>
                  <w:snapToGrid w:val="0"/>
                  <w:jc w:val="center"/>
                  <w:rPr>
                    <w:szCs w:val="21"/>
                  </w:rPr>
                </w:pPr>
                <w:r>
                  <w:rPr>
                    <w:szCs w:val="21"/>
                  </w:rPr>
                  <w:t>资本公积</w:t>
                </w:r>
              </w:p>
            </w:tc>
          </w:sdtContent>
        </w:sdt>
        <w:sdt>
          <w:sdtPr>
            <w:rPr>
              <w:szCs w:val="21"/>
            </w:rPr>
            <w:tag w:val="_PLD_2fb702eaa01c41839715d0f477a28608"/>
            <w:id w:val="759869587"/>
          </w:sdtPr>
          <w:sdtContent>
            <w:tc>
              <w:tcPr>
                <w:tcW w:w="1064" w:type="dxa"/>
                <w:vMerge w:val="restart"/>
                <w:vAlign w:val="center"/>
              </w:tcPr>
              <w:p>
                <w:pPr>
                  <w:adjustRightInd w:val="0"/>
                  <w:snapToGrid w:val="0"/>
                  <w:jc w:val="center"/>
                  <w:rPr>
                    <w:szCs w:val="21"/>
                  </w:rPr>
                </w:pPr>
                <w:r>
                  <w:rPr>
                    <w:szCs w:val="21"/>
                  </w:rPr>
                  <w:t>减：库存股</w:t>
                </w:r>
              </w:p>
            </w:tc>
          </w:sdtContent>
        </w:sdt>
        <w:sdt>
          <w:sdtPr>
            <w:rPr>
              <w:szCs w:val="21"/>
            </w:rPr>
            <w:tag w:val="_PLD_01fd07c61bdc4289ad848770e21829f0"/>
            <w:id w:val="1577168240"/>
          </w:sdtPr>
          <w:sdtContent>
            <w:tc>
              <w:tcPr>
                <w:tcW w:w="1022" w:type="dxa"/>
                <w:vMerge w:val="restart"/>
                <w:vAlign w:val="center"/>
              </w:tcPr>
              <w:p>
                <w:pPr>
                  <w:jc w:val="center"/>
                  <w:rPr>
                    <w:szCs w:val="21"/>
                  </w:rPr>
                </w:pPr>
                <w:r>
                  <w:rPr>
                    <w:rFonts w:hint="eastAsia"/>
                    <w:szCs w:val="21"/>
                  </w:rPr>
                  <w:t>其他综合收益</w:t>
                </w:r>
              </w:p>
            </w:tc>
          </w:sdtContent>
        </w:sdt>
        <w:sdt>
          <w:sdtPr>
            <w:rPr>
              <w:szCs w:val="21"/>
            </w:rPr>
            <w:tag w:val="_PLD_90a7206226784441ae3a059bd6e2aeb9"/>
            <w:id w:val="-137649090"/>
          </w:sdtPr>
          <w:sdtContent>
            <w:tc>
              <w:tcPr>
                <w:tcW w:w="1183" w:type="dxa"/>
                <w:vMerge w:val="restart"/>
                <w:vAlign w:val="center"/>
              </w:tcPr>
              <w:p>
                <w:pPr>
                  <w:adjustRightInd w:val="0"/>
                  <w:snapToGrid w:val="0"/>
                  <w:jc w:val="center"/>
                  <w:rPr>
                    <w:szCs w:val="21"/>
                  </w:rPr>
                </w:pPr>
                <w:r>
                  <w:rPr>
                    <w:rFonts w:hint="eastAsia"/>
                    <w:szCs w:val="21"/>
                  </w:rPr>
                  <w:t>专项储备</w:t>
                </w:r>
              </w:p>
            </w:tc>
          </w:sdtContent>
        </w:sdt>
        <w:sdt>
          <w:sdtPr>
            <w:rPr>
              <w:szCs w:val="21"/>
            </w:rPr>
            <w:tag w:val="_PLD_e9a70df1813948df997635772bea7de3"/>
            <w:id w:val="947120750"/>
          </w:sdtPr>
          <w:sdtContent>
            <w:tc>
              <w:tcPr>
                <w:tcW w:w="1134" w:type="dxa"/>
                <w:vMerge w:val="restart"/>
                <w:vAlign w:val="center"/>
              </w:tcPr>
              <w:p>
                <w:pPr>
                  <w:adjustRightInd w:val="0"/>
                  <w:snapToGrid w:val="0"/>
                  <w:jc w:val="center"/>
                  <w:rPr>
                    <w:szCs w:val="21"/>
                  </w:rPr>
                </w:pPr>
                <w:r>
                  <w:rPr>
                    <w:szCs w:val="21"/>
                  </w:rPr>
                  <w:t>盈余公积</w:t>
                </w:r>
              </w:p>
            </w:tc>
          </w:sdtContent>
        </w:sdt>
        <w:sdt>
          <w:sdtPr>
            <w:rPr>
              <w:szCs w:val="21"/>
            </w:rPr>
            <w:tag w:val="_PLD_9b2be5c2b4a3447c85cf695b1da440fa"/>
            <w:id w:val="-207021773"/>
          </w:sdtPr>
          <w:sdtContent>
            <w:tc>
              <w:tcPr>
                <w:tcW w:w="1276" w:type="dxa"/>
                <w:vMerge w:val="restart"/>
                <w:vAlign w:val="center"/>
              </w:tcPr>
              <w:p>
                <w:pPr>
                  <w:adjustRightInd w:val="0"/>
                  <w:snapToGrid w:val="0"/>
                  <w:jc w:val="center"/>
                  <w:rPr>
                    <w:szCs w:val="21"/>
                  </w:rPr>
                </w:pPr>
                <w:r>
                  <w:rPr>
                    <w:szCs w:val="21"/>
                  </w:rPr>
                  <w:t>未分配利润</w:t>
                </w:r>
              </w:p>
            </w:tc>
          </w:sdtContent>
        </w:sdt>
        <w:sdt>
          <w:sdtPr>
            <w:rPr>
              <w:szCs w:val="21"/>
            </w:rPr>
            <w:tag w:val="_PLD_61dd0378fbe645dfb87cfecfbc846206"/>
            <w:id w:val="63613257"/>
          </w:sdtPr>
          <w:sdtContent>
            <w:tc>
              <w:tcPr>
                <w:tcW w:w="1275" w:type="dxa"/>
                <w:vMerge w:val="restart"/>
                <w:vAlign w:val="center"/>
              </w:tcPr>
              <w:p>
                <w:pPr>
                  <w:adjustRightInd w:val="0"/>
                  <w:snapToGrid w:val="0"/>
                  <w:jc w:val="center"/>
                  <w:rPr>
                    <w:szCs w:val="21"/>
                  </w:rPr>
                </w:pPr>
                <w:r>
                  <w:rPr>
                    <w:szCs w:val="21"/>
                  </w:rPr>
                  <w:t>所有者权益合计</w:t>
                </w:r>
              </w:p>
            </w:tc>
          </w:sdtContent>
        </w:sdt>
      </w:tr>
      <w:tr>
        <w:trPr>
          <w:trHeight w:val="294"/>
        </w:trPr>
        <w:tc>
          <w:tcPr>
            <w:tcW w:w="2739" w:type="dxa"/>
            <w:vMerge/>
          </w:tcPr>
          <w:p>
            <w:pPr>
              <w:adjustRightInd w:val="0"/>
              <w:snapToGrid w:val="0"/>
              <w:rPr>
                <w:szCs w:val="21"/>
              </w:rPr>
            </w:pPr>
          </w:p>
        </w:tc>
        <w:tc>
          <w:tcPr>
            <w:tcW w:w="1078" w:type="dxa"/>
            <w:vMerge/>
            <w:tcBorders>
              <w:right w:val="single" w:sz="4" w:space="0" w:color="auto"/>
            </w:tcBorders>
            <w:vAlign w:val="center"/>
          </w:tcPr>
          <w:p>
            <w:pPr>
              <w:adjustRightInd w:val="0"/>
              <w:snapToGrid w:val="0"/>
              <w:jc w:val="center"/>
              <w:rPr>
                <w:szCs w:val="21"/>
              </w:rPr>
            </w:pPr>
          </w:p>
        </w:tc>
        <w:sdt>
          <w:sdtPr>
            <w:rPr>
              <w:szCs w:val="21"/>
            </w:rPr>
            <w:tag w:val="_PLD_506dd395f17d4bea92c50a0850471ea4"/>
            <w:id w:val="-1413163360"/>
          </w:sdtPr>
          <w:sdtContent>
            <w:tc>
              <w:tcPr>
                <w:tcW w:w="1050" w:type="dxa"/>
                <w:tcBorders>
                  <w:top w:val="single" w:sz="4" w:space="0" w:color="auto"/>
                  <w:left w:val="single" w:sz="4" w:space="0" w:color="auto"/>
                  <w:right w:val="single" w:sz="4" w:space="0" w:color="auto"/>
                </w:tcBorders>
                <w:vAlign w:val="center"/>
              </w:tcPr>
              <w:p>
                <w:pPr>
                  <w:adjustRightInd w:val="0"/>
                  <w:snapToGrid w:val="0"/>
                  <w:jc w:val="center"/>
                  <w:rPr>
                    <w:szCs w:val="21"/>
                  </w:rPr>
                </w:pPr>
                <w:r>
                  <w:rPr>
                    <w:rFonts w:hint="eastAsia"/>
                    <w:szCs w:val="21"/>
                  </w:rPr>
                  <w:t>优先股</w:t>
                </w:r>
              </w:p>
            </w:tc>
          </w:sdtContent>
        </w:sdt>
        <w:sdt>
          <w:sdtPr>
            <w:rPr>
              <w:szCs w:val="21"/>
            </w:rPr>
            <w:tag w:val="_PLD_d66ebd59f659426db31ba0d488ae47d0"/>
            <w:id w:val="761029546"/>
          </w:sdtPr>
          <w:sdtContent>
            <w:tc>
              <w:tcPr>
                <w:tcW w:w="1078" w:type="dxa"/>
                <w:tcBorders>
                  <w:top w:val="single" w:sz="4" w:space="0" w:color="auto"/>
                  <w:left w:val="single" w:sz="4" w:space="0" w:color="auto"/>
                  <w:right w:val="single" w:sz="4" w:space="0" w:color="auto"/>
                </w:tcBorders>
                <w:vAlign w:val="center"/>
              </w:tcPr>
              <w:p>
                <w:pPr>
                  <w:adjustRightInd w:val="0"/>
                  <w:snapToGrid w:val="0"/>
                  <w:jc w:val="center"/>
                  <w:rPr>
                    <w:szCs w:val="21"/>
                  </w:rPr>
                </w:pPr>
                <w:r>
                  <w:rPr>
                    <w:rFonts w:hint="eastAsia"/>
                    <w:szCs w:val="21"/>
                  </w:rPr>
                  <w:t>永续债</w:t>
                </w:r>
              </w:p>
            </w:tc>
          </w:sdtContent>
        </w:sdt>
        <w:sdt>
          <w:sdtPr>
            <w:rPr>
              <w:szCs w:val="21"/>
            </w:rPr>
            <w:tag w:val="_PLD_997e05d9124249eeb1a10ac094efcb41"/>
            <w:id w:val="-891805814"/>
          </w:sdtPr>
          <w:sdtContent>
            <w:tc>
              <w:tcPr>
                <w:tcW w:w="1091" w:type="dxa"/>
                <w:tcBorders>
                  <w:top w:val="single" w:sz="4" w:space="0" w:color="auto"/>
                  <w:left w:val="single" w:sz="4" w:space="0" w:color="auto"/>
                </w:tcBorders>
                <w:vAlign w:val="center"/>
              </w:tcPr>
              <w:p>
                <w:pPr>
                  <w:adjustRightInd w:val="0"/>
                  <w:snapToGrid w:val="0"/>
                  <w:jc w:val="center"/>
                  <w:rPr>
                    <w:szCs w:val="21"/>
                  </w:rPr>
                </w:pPr>
                <w:r>
                  <w:rPr>
                    <w:rFonts w:hint="eastAsia"/>
                    <w:szCs w:val="21"/>
                  </w:rPr>
                  <w:t>其他</w:t>
                </w:r>
              </w:p>
            </w:tc>
          </w:sdtContent>
        </w:sdt>
        <w:tc>
          <w:tcPr>
            <w:tcW w:w="1036" w:type="dxa"/>
            <w:vMerge/>
          </w:tcPr>
          <w:p>
            <w:pPr>
              <w:adjustRightInd w:val="0"/>
              <w:snapToGrid w:val="0"/>
              <w:jc w:val="center"/>
              <w:rPr>
                <w:szCs w:val="21"/>
              </w:rPr>
            </w:pPr>
          </w:p>
        </w:tc>
        <w:tc>
          <w:tcPr>
            <w:tcW w:w="1064" w:type="dxa"/>
            <w:vMerge/>
          </w:tcPr>
          <w:p>
            <w:pPr>
              <w:adjustRightInd w:val="0"/>
              <w:snapToGrid w:val="0"/>
              <w:jc w:val="center"/>
              <w:rPr>
                <w:szCs w:val="21"/>
              </w:rPr>
            </w:pPr>
          </w:p>
        </w:tc>
        <w:tc>
          <w:tcPr>
            <w:tcW w:w="1022" w:type="dxa"/>
            <w:vMerge/>
          </w:tcPr>
          <w:p>
            <w:pPr>
              <w:jc w:val="center"/>
              <w:rPr>
                <w:szCs w:val="21"/>
              </w:rPr>
            </w:pPr>
          </w:p>
        </w:tc>
        <w:tc>
          <w:tcPr>
            <w:tcW w:w="1183" w:type="dxa"/>
            <w:vMerge/>
          </w:tcPr>
          <w:p>
            <w:pPr>
              <w:adjustRightInd w:val="0"/>
              <w:snapToGrid w:val="0"/>
              <w:jc w:val="center"/>
              <w:rPr>
                <w:szCs w:val="21"/>
              </w:rPr>
            </w:pPr>
          </w:p>
        </w:tc>
        <w:tc>
          <w:tcPr>
            <w:tcW w:w="1134" w:type="dxa"/>
            <w:vMerge/>
          </w:tcPr>
          <w:p>
            <w:pPr>
              <w:adjustRightInd w:val="0"/>
              <w:snapToGrid w:val="0"/>
              <w:jc w:val="center"/>
              <w:rPr>
                <w:szCs w:val="21"/>
              </w:rPr>
            </w:pPr>
          </w:p>
        </w:tc>
        <w:tc>
          <w:tcPr>
            <w:tcW w:w="1276" w:type="dxa"/>
            <w:vMerge/>
          </w:tcPr>
          <w:p>
            <w:pPr>
              <w:adjustRightInd w:val="0"/>
              <w:snapToGrid w:val="0"/>
              <w:jc w:val="center"/>
              <w:rPr>
                <w:szCs w:val="21"/>
              </w:rPr>
            </w:pPr>
          </w:p>
        </w:tc>
        <w:tc>
          <w:tcPr>
            <w:tcW w:w="1275" w:type="dxa"/>
            <w:vMerge/>
          </w:tcPr>
          <w:p>
            <w:pPr>
              <w:adjustRightInd w:val="0"/>
              <w:snapToGrid w:val="0"/>
              <w:jc w:val="center"/>
              <w:rPr>
                <w:szCs w:val="21"/>
              </w:rPr>
            </w:pPr>
          </w:p>
        </w:tc>
      </w:tr>
      <w:tr>
        <w:trPr>
          <w:trHeight w:val="20"/>
        </w:trPr>
        <w:sdt>
          <w:sdtPr>
            <w:rPr>
              <w:szCs w:val="21"/>
            </w:rPr>
            <w:tag w:val="_PLD_08f8c5f19f2b42f7ae650f62c6878570"/>
            <w:id w:val="1149643680"/>
          </w:sdtPr>
          <w:sdtContent>
            <w:tc>
              <w:tcPr>
                <w:tcW w:w="2739" w:type="dxa"/>
                <w:vAlign w:val="center"/>
              </w:tcPr>
              <w:p>
                <w:pPr>
                  <w:jc w:val="both"/>
                  <w:rPr>
                    <w:szCs w:val="21"/>
                  </w:rPr>
                </w:pPr>
                <w:r>
                  <w:rPr>
                    <w:szCs w:val="21"/>
                  </w:rPr>
                  <w:t>一、上年</w:t>
                </w:r>
                <w:r>
                  <w:rPr>
                    <w:rFonts w:hint="eastAsia"/>
                    <w:szCs w:val="21"/>
                  </w:rPr>
                  <w:t>年</w:t>
                </w:r>
                <w:r>
                  <w:rPr>
                    <w:szCs w:val="21"/>
                  </w:rPr>
                  <w:t>末余额</w:t>
                </w:r>
              </w:p>
            </w:tc>
          </w:sdtContent>
        </w:sdt>
        <w:tc>
          <w:tcPr>
            <w:tcW w:w="1078" w:type="dxa"/>
            <w:tcBorders>
              <w:right w:val="single" w:sz="4" w:space="0" w:color="auto"/>
            </w:tcBorders>
            <w:vAlign w:val="center"/>
          </w:tcPr>
          <w:p>
            <w:pPr>
              <w:jc w:val="right"/>
              <w:rPr>
                <w:szCs w:val="21"/>
              </w:rPr>
            </w:pPr>
            <w:r>
              <w:rPr>
                <w:szCs w:val="21"/>
              </w:rPr>
              <w:t>7,439,371</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16,541,777</w:t>
            </w:r>
          </w:p>
        </w:tc>
        <w:tc>
          <w:tcPr>
            <w:tcW w:w="1091" w:type="dxa"/>
            <w:tcBorders>
              <w:left w:val="single" w:sz="4" w:space="0" w:color="auto"/>
              <w:right w:val="single" w:sz="4" w:space="0" w:color="auto"/>
            </w:tcBorders>
            <w:vAlign w:val="center"/>
          </w:tcPr>
          <w:p>
            <w:pPr>
              <w:jc w:val="right"/>
              <w:rPr>
                <w:szCs w:val="21"/>
              </w:rPr>
            </w:pPr>
          </w:p>
        </w:tc>
        <w:tc>
          <w:tcPr>
            <w:tcW w:w="1036" w:type="dxa"/>
            <w:tcBorders>
              <w:left w:val="single" w:sz="4" w:space="0" w:color="auto"/>
            </w:tcBorders>
            <w:vAlign w:val="center"/>
          </w:tcPr>
          <w:p>
            <w:pPr>
              <w:jc w:val="right"/>
              <w:rPr>
                <w:szCs w:val="21"/>
              </w:rPr>
            </w:pPr>
            <w:r>
              <w:rPr>
                <w:szCs w:val="21"/>
              </w:rPr>
              <w:t>282,863</w:t>
            </w:r>
          </w:p>
        </w:tc>
        <w:tc>
          <w:tcPr>
            <w:tcW w:w="1064" w:type="dxa"/>
            <w:vAlign w:val="center"/>
          </w:tcPr>
          <w:p>
            <w:pPr>
              <w:jc w:val="right"/>
              <w:rPr>
                <w:szCs w:val="21"/>
              </w:rPr>
            </w:pPr>
            <w:r>
              <w:rPr>
                <w:szCs w:val="21"/>
              </w:rPr>
              <w:t>324,980</w:t>
            </w:r>
          </w:p>
        </w:tc>
        <w:tc>
          <w:tcPr>
            <w:tcW w:w="1022" w:type="dxa"/>
            <w:vAlign w:val="center"/>
          </w:tcPr>
          <w:p>
            <w:pPr>
              <w:jc w:val="right"/>
              <w:rPr>
                <w:szCs w:val="21"/>
              </w:rPr>
            </w:pPr>
            <w:r>
              <w:rPr>
                <w:szCs w:val="21"/>
              </w:rPr>
              <w:t>215,583</w:t>
            </w:r>
          </w:p>
        </w:tc>
        <w:tc>
          <w:tcPr>
            <w:tcW w:w="1183" w:type="dxa"/>
            <w:vAlign w:val="center"/>
          </w:tcPr>
          <w:p>
            <w:pPr>
              <w:jc w:val="right"/>
              <w:rPr>
                <w:szCs w:val="21"/>
              </w:rPr>
            </w:pPr>
            <w:r>
              <w:rPr>
                <w:szCs w:val="21"/>
              </w:rPr>
              <w:t>1,431,178</w:t>
            </w: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14,709,639</w:t>
            </w:r>
          </w:p>
        </w:tc>
        <w:tc>
          <w:tcPr>
            <w:tcW w:w="1275" w:type="dxa"/>
            <w:vAlign w:val="center"/>
          </w:tcPr>
          <w:p>
            <w:pPr>
              <w:jc w:val="right"/>
              <w:rPr>
                <w:szCs w:val="21"/>
              </w:rPr>
            </w:pPr>
            <w:r>
              <w:rPr>
                <w:szCs w:val="21"/>
              </w:rPr>
              <w:t>41,959,246</w:t>
            </w:r>
          </w:p>
        </w:tc>
      </w:tr>
      <w:tr>
        <w:trPr>
          <w:trHeight w:val="20"/>
        </w:trPr>
        <w:sdt>
          <w:sdtPr>
            <w:rPr>
              <w:szCs w:val="21"/>
            </w:rPr>
            <w:tag w:val="_PLD_f977aa291b254801929edbd8e09eff6f"/>
            <w:id w:val="-531730947"/>
          </w:sdtPr>
          <w:sdtContent>
            <w:tc>
              <w:tcPr>
                <w:tcW w:w="2739" w:type="dxa"/>
                <w:vAlign w:val="center"/>
              </w:tcPr>
              <w:p>
                <w:pPr>
                  <w:jc w:val="both"/>
                  <w:rPr>
                    <w:szCs w:val="21"/>
                  </w:rPr>
                </w:pPr>
                <w:r>
                  <w:rPr>
                    <w:szCs w:val="21"/>
                  </w:rPr>
                  <w:t>加：会计政策变更</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right w:val="single" w:sz="4" w:space="0" w:color="auto"/>
            </w:tcBorders>
            <w:vAlign w:val="center"/>
          </w:tcPr>
          <w:p>
            <w:pPr>
              <w:jc w:val="right"/>
              <w:rPr>
                <w:szCs w:val="21"/>
              </w:rPr>
            </w:pPr>
          </w:p>
        </w:tc>
        <w:tc>
          <w:tcPr>
            <w:tcW w:w="1036" w:type="dxa"/>
            <w:tcBorders>
              <w:left w:val="single" w:sz="4" w:space="0" w:color="auto"/>
            </w:tcBorders>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1dcd3d26f66745c0b48a5fac832ef867"/>
            <w:id w:val="-776028398"/>
          </w:sdtPr>
          <w:sdtContent>
            <w:tc>
              <w:tcPr>
                <w:tcW w:w="2739" w:type="dxa"/>
                <w:vAlign w:val="center"/>
              </w:tcPr>
              <w:p>
                <w:pPr>
                  <w:ind w:firstLineChars="200" w:firstLine="420"/>
                  <w:jc w:val="both"/>
                  <w:rPr>
                    <w:szCs w:val="21"/>
                  </w:rPr>
                </w:pPr>
                <w:r>
                  <w:rPr>
                    <w:szCs w:val="21"/>
                  </w:rPr>
                  <w:t>前期差错更正</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right w:val="single" w:sz="4" w:space="0" w:color="auto"/>
            </w:tcBorders>
            <w:vAlign w:val="center"/>
          </w:tcPr>
          <w:p>
            <w:pPr>
              <w:jc w:val="right"/>
              <w:rPr>
                <w:szCs w:val="21"/>
              </w:rPr>
            </w:pPr>
          </w:p>
        </w:tc>
        <w:tc>
          <w:tcPr>
            <w:tcW w:w="1036" w:type="dxa"/>
            <w:tcBorders>
              <w:left w:val="single" w:sz="4" w:space="0" w:color="auto"/>
            </w:tcBorders>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1e1d4d884e6e401b8c40d08e9d6c5d32"/>
            <w:id w:val="1833556678"/>
          </w:sdtPr>
          <w:sdtContent>
            <w:tc>
              <w:tcPr>
                <w:tcW w:w="2739" w:type="dxa"/>
                <w:vAlign w:val="center"/>
              </w:tcPr>
              <w:p>
                <w:pPr>
                  <w:ind w:firstLineChars="200" w:firstLine="420"/>
                  <w:jc w:val="both"/>
                  <w:rPr>
                    <w:szCs w:val="21"/>
                  </w:rPr>
                </w:pPr>
                <w:r>
                  <w:rPr>
                    <w:rFonts w:hint="eastAsia"/>
                    <w:szCs w:val="21"/>
                  </w:rPr>
                  <w:t>其他</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right w:val="single" w:sz="4" w:space="0" w:color="auto"/>
            </w:tcBorders>
            <w:vAlign w:val="center"/>
          </w:tcPr>
          <w:p>
            <w:pPr>
              <w:jc w:val="right"/>
              <w:rPr>
                <w:szCs w:val="21"/>
              </w:rPr>
            </w:pPr>
          </w:p>
        </w:tc>
        <w:tc>
          <w:tcPr>
            <w:tcW w:w="1036" w:type="dxa"/>
            <w:tcBorders>
              <w:left w:val="single" w:sz="4" w:space="0" w:color="auto"/>
            </w:tcBorders>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abc6effbbaad4f92a93b112da199425f"/>
            <w:id w:val="983810704"/>
          </w:sdtPr>
          <w:sdtContent>
            <w:tc>
              <w:tcPr>
                <w:tcW w:w="2739" w:type="dxa"/>
                <w:vAlign w:val="center"/>
              </w:tcPr>
              <w:p>
                <w:pPr>
                  <w:jc w:val="both"/>
                  <w:rPr>
                    <w:szCs w:val="21"/>
                  </w:rPr>
                </w:pPr>
                <w:r>
                  <w:rPr>
                    <w:szCs w:val="21"/>
                  </w:rPr>
                  <w:t>二、本年</w:t>
                </w:r>
                <w:r>
                  <w:rPr>
                    <w:rFonts w:hint="eastAsia"/>
                    <w:szCs w:val="21"/>
                  </w:rPr>
                  <w:t>期</w:t>
                </w:r>
                <w:r>
                  <w:rPr>
                    <w:szCs w:val="21"/>
                  </w:rPr>
                  <w:t>初余额</w:t>
                </w:r>
              </w:p>
            </w:tc>
          </w:sdtContent>
        </w:sdt>
        <w:tc>
          <w:tcPr>
            <w:tcW w:w="1078" w:type="dxa"/>
            <w:tcBorders>
              <w:right w:val="single" w:sz="4" w:space="0" w:color="auto"/>
            </w:tcBorders>
            <w:vAlign w:val="center"/>
          </w:tcPr>
          <w:p>
            <w:pPr>
              <w:jc w:val="right"/>
              <w:rPr>
                <w:szCs w:val="21"/>
              </w:rPr>
            </w:pPr>
            <w:r>
              <w:rPr>
                <w:szCs w:val="21"/>
              </w:rPr>
              <w:t>7,439,371</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16,541,777</w:t>
            </w:r>
          </w:p>
        </w:tc>
        <w:tc>
          <w:tcPr>
            <w:tcW w:w="1091" w:type="dxa"/>
            <w:tcBorders>
              <w:left w:val="single" w:sz="4" w:space="0" w:color="auto"/>
              <w:right w:val="single" w:sz="4" w:space="0" w:color="auto"/>
            </w:tcBorders>
            <w:vAlign w:val="center"/>
          </w:tcPr>
          <w:p>
            <w:pPr>
              <w:jc w:val="right"/>
              <w:rPr>
                <w:szCs w:val="21"/>
              </w:rPr>
            </w:pPr>
          </w:p>
        </w:tc>
        <w:tc>
          <w:tcPr>
            <w:tcW w:w="1036" w:type="dxa"/>
            <w:tcBorders>
              <w:left w:val="single" w:sz="4" w:space="0" w:color="auto"/>
            </w:tcBorders>
            <w:vAlign w:val="center"/>
          </w:tcPr>
          <w:p>
            <w:pPr>
              <w:jc w:val="right"/>
              <w:rPr>
                <w:szCs w:val="21"/>
              </w:rPr>
            </w:pPr>
            <w:r>
              <w:rPr>
                <w:szCs w:val="21"/>
              </w:rPr>
              <w:t>282,863</w:t>
            </w:r>
          </w:p>
        </w:tc>
        <w:tc>
          <w:tcPr>
            <w:tcW w:w="1064" w:type="dxa"/>
            <w:vAlign w:val="center"/>
          </w:tcPr>
          <w:p>
            <w:pPr>
              <w:jc w:val="right"/>
              <w:rPr>
                <w:szCs w:val="21"/>
              </w:rPr>
            </w:pPr>
            <w:r>
              <w:rPr>
                <w:szCs w:val="21"/>
              </w:rPr>
              <w:t>324,980</w:t>
            </w:r>
          </w:p>
        </w:tc>
        <w:tc>
          <w:tcPr>
            <w:tcW w:w="1022" w:type="dxa"/>
            <w:vAlign w:val="center"/>
          </w:tcPr>
          <w:p>
            <w:pPr>
              <w:jc w:val="right"/>
              <w:rPr>
                <w:szCs w:val="21"/>
              </w:rPr>
            </w:pPr>
            <w:r>
              <w:rPr>
                <w:szCs w:val="21"/>
              </w:rPr>
              <w:t>215,583</w:t>
            </w:r>
          </w:p>
        </w:tc>
        <w:tc>
          <w:tcPr>
            <w:tcW w:w="1183" w:type="dxa"/>
            <w:vAlign w:val="center"/>
          </w:tcPr>
          <w:p>
            <w:pPr>
              <w:jc w:val="right"/>
              <w:rPr>
                <w:szCs w:val="21"/>
              </w:rPr>
            </w:pPr>
            <w:r>
              <w:rPr>
                <w:szCs w:val="21"/>
              </w:rPr>
              <w:t>1,431,178</w:t>
            </w: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14,709,639</w:t>
            </w:r>
          </w:p>
        </w:tc>
        <w:tc>
          <w:tcPr>
            <w:tcW w:w="1275" w:type="dxa"/>
            <w:vAlign w:val="center"/>
          </w:tcPr>
          <w:p>
            <w:pPr>
              <w:jc w:val="right"/>
              <w:rPr>
                <w:szCs w:val="21"/>
              </w:rPr>
            </w:pPr>
            <w:r>
              <w:rPr>
                <w:szCs w:val="21"/>
              </w:rPr>
              <w:t>41,959,246</w:t>
            </w:r>
          </w:p>
        </w:tc>
      </w:tr>
      <w:tr>
        <w:trPr>
          <w:trHeight w:val="20"/>
        </w:trPr>
        <w:sdt>
          <w:sdtPr>
            <w:rPr>
              <w:szCs w:val="21"/>
            </w:rPr>
            <w:tag w:val="_PLD_22eea8f5bd284adbb011ea489737927b"/>
            <w:id w:val="1867708197"/>
          </w:sdtPr>
          <w:sdtContent>
            <w:tc>
              <w:tcPr>
                <w:tcW w:w="2739" w:type="dxa"/>
                <w:vAlign w:val="center"/>
              </w:tcPr>
              <w:p>
                <w:pPr>
                  <w:jc w:val="both"/>
                  <w:rPr>
                    <w:szCs w:val="21"/>
                  </w:rPr>
                </w:pPr>
                <w:r>
                  <w:rPr>
                    <w:szCs w:val="21"/>
                  </w:rPr>
                  <w:t>三、本</w:t>
                </w:r>
                <w:r>
                  <w:rPr>
                    <w:rFonts w:hint="eastAsia"/>
                    <w:szCs w:val="21"/>
                  </w:rPr>
                  <w:t>期</w:t>
                </w:r>
                <w:r>
                  <w:rPr>
                    <w:szCs w:val="21"/>
                  </w:rPr>
                  <w:t>增减变动金额（减少以“－”号填列）</w:t>
                </w:r>
              </w:p>
            </w:tc>
          </w:sdtContent>
        </w:sdt>
        <w:tc>
          <w:tcPr>
            <w:tcW w:w="1078" w:type="dxa"/>
            <w:tcBorders>
              <w:right w:val="single" w:sz="4" w:space="0" w:color="auto"/>
            </w:tcBorders>
            <w:vAlign w:val="center"/>
          </w:tcPr>
          <w:p>
            <w:pPr>
              <w:jc w:val="right"/>
              <w:rPr>
                <w:szCs w:val="21"/>
              </w:rPr>
            </w:pPr>
            <w:r>
              <w:rPr>
                <w:szCs w:val="21"/>
              </w:rPr>
              <w:t>2,600,489</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6,725,444</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4,345,880</w:t>
            </w:r>
          </w:p>
        </w:tc>
        <w:tc>
          <w:tcPr>
            <w:tcW w:w="1064" w:type="dxa"/>
            <w:vAlign w:val="center"/>
          </w:tcPr>
          <w:p>
            <w:pPr>
              <w:jc w:val="right"/>
              <w:rPr>
                <w:szCs w:val="21"/>
              </w:rPr>
            </w:pPr>
            <w:r>
              <w:rPr>
                <w:szCs w:val="21"/>
              </w:rPr>
              <w:t>-212,563</w:t>
            </w:r>
          </w:p>
        </w:tc>
        <w:tc>
          <w:tcPr>
            <w:tcW w:w="1022" w:type="dxa"/>
            <w:vAlign w:val="center"/>
          </w:tcPr>
          <w:p>
            <w:pPr>
              <w:jc w:val="right"/>
              <w:rPr>
                <w:szCs w:val="21"/>
              </w:rPr>
            </w:pPr>
            <w:r>
              <w:rPr>
                <w:szCs w:val="21"/>
              </w:rPr>
              <w:t>223,636</w:t>
            </w:r>
          </w:p>
        </w:tc>
        <w:tc>
          <w:tcPr>
            <w:tcW w:w="1183" w:type="dxa"/>
            <w:vAlign w:val="center"/>
          </w:tcPr>
          <w:p>
            <w:pPr>
              <w:jc w:val="right"/>
              <w:rPr>
                <w:szCs w:val="21"/>
              </w:rPr>
            </w:pPr>
            <w:r>
              <w:rPr>
                <w:szCs w:val="21"/>
              </w:rPr>
              <w:t>-291,011</w:t>
            </w:r>
          </w:p>
        </w:tc>
        <w:tc>
          <w:tcPr>
            <w:tcW w:w="1134" w:type="dxa"/>
            <w:vAlign w:val="center"/>
          </w:tcPr>
          <w:p>
            <w:pPr>
              <w:jc w:val="right"/>
              <w:rPr>
                <w:szCs w:val="21"/>
              </w:rPr>
            </w:pPr>
            <w:r>
              <w:rPr>
                <w:szCs w:val="21"/>
              </w:rPr>
              <w:t>1,177,577</w:t>
            </w:r>
          </w:p>
        </w:tc>
        <w:tc>
          <w:tcPr>
            <w:tcW w:w="1276" w:type="dxa"/>
            <w:vAlign w:val="center"/>
          </w:tcPr>
          <w:p>
            <w:pPr>
              <w:jc w:val="right"/>
              <w:rPr>
                <w:szCs w:val="21"/>
              </w:rPr>
            </w:pPr>
            <w:r>
              <w:rPr>
                <w:szCs w:val="21"/>
              </w:rPr>
              <w:t>-5,535,082</w:t>
            </w:r>
          </w:p>
        </w:tc>
        <w:tc>
          <w:tcPr>
            <w:tcW w:w="1275" w:type="dxa"/>
            <w:vAlign w:val="center"/>
          </w:tcPr>
          <w:p>
            <w:pPr>
              <w:jc w:val="right"/>
              <w:rPr>
                <w:szCs w:val="21"/>
              </w:rPr>
            </w:pPr>
            <w:r>
              <w:rPr>
                <w:szCs w:val="21"/>
              </w:rPr>
              <w:t>9,459,496</w:t>
            </w:r>
          </w:p>
        </w:tc>
      </w:tr>
      <w:tr>
        <w:trPr>
          <w:trHeight w:val="20"/>
        </w:trPr>
        <w:sdt>
          <w:sdtPr>
            <w:rPr>
              <w:szCs w:val="21"/>
            </w:rPr>
            <w:tag w:val="_PLD_16bc7260292e4c19ad140bdfdf1ee46c"/>
            <w:id w:val="-1554222924"/>
          </w:sdtPr>
          <w:sdtContent>
            <w:tc>
              <w:tcPr>
                <w:tcW w:w="2739" w:type="dxa"/>
                <w:vAlign w:val="center"/>
              </w:tcPr>
              <w:p>
                <w:pPr>
                  <w:jc w:val="both"/>
                  <w:rPr>
                    <w:szCs w:val="21"/>
                  </w:rPr>
                </w:pPr>
                <w:r>
                  <w:rPr>
                    <w:rFonts w:hint="eastAsia"/>
                    <w:szCs w:val="21"/>
                  </w:rPr>
                  <w:t>（一）综合收益总额</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631,864</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r>
              <w:rPr>
                <w:szCs w:val="21"/>
              </w:rPr>
              <w:t>223,636</w:t>
            </w: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r>
              <w:rPr>
                <w:szCs w:val="21"/>
              </w:rPr>
              <w:t>11,775,779</w:t>
            </w:r>
          </w:p>
        </w:tc>
        <w:tc>
          <w:tcPr>
            <w:tcW w:w="1275" w:type="dxa"/>
            <w:vAlign w:val="center"/>
          </w:tcPr>
          <w:p>
            <w:pPr>
              <w:jc w:val="right"/>
              <w:rPr>
                <w:szCs w:val="21"/>
              </w:rPr>
            </w:pPr>
            <w:r>
              <w:rPr>
                <w:szCs w:val="21"/>
              </w:rPr>
              <w:t>12,631,279</w:t>
            </w:r>
          </w:p>
        </w:tc>
      </w:tr>
      <w:tr>
        <w:trPr>
          <w:trHeight w:val="20"/>
        </w:trPr>
        <w:sdt>
          <w:sdtPr>
            <w:rPr>
              <w:szCs w:val="21"/>
            </w:rPr>
            <w:tag w:val="_PLD_878006a38fe64d8788706ec54fa4a47b"/>
            <w:id w:val="-131028152"/>
          </w:sdtPr>
          <w:sdtContent>
            <w:tc>
              <w:tcPr>
                <w:tcW w:w="2739" w:type="dxa"/>
                <w:vAlign w:val="center"/>
              </w:tcPr>
              <w:p>
                <w:pPr>
                  <w:jc w:val="both"/>
                  <w:rPr>
                    <w:szCs w:val="21"/>
                  </w:rPr>
                </w:pPr>
                <w:r>
                  <w:rPr>
                    <w:szCs w:val="21"/>
                  </w:rPr>
                  <w:t>（</w:t>
                </w:r>
                <w:r>
                  <w:rPr>
                    <w:rFonts w:hint="eastAsia"/>
                    <w:szCs w:val="21"/>
                  </w:rPr>
                  <w:t>二</w:t>
                </w:r>
                <w:r>
                  <w:rPr>
                    <w:szCs w:val="21"/>
                  </w:rPr>
                  <w:t>）所有者投入和减少资本</w:t>
                </w:r>
              </w:p>
            </w:tc>
          </w:sdtContent>
        </w:sdt>
        <w:tc>
          <w:tcPr>
            <w:tcW w:w="1078" w:type="dxa"/>
            <w:tcBorders>
              <w:right w:val="single" w:sz="4" w:space="0" w:color="auto"/>
            </w:tcBorders>
            <w:vAlign w:val="center"/>
          </w:tcPr>
          <w:p>
            <w:pPr>
              <w:jc w:val="right"/>
              <w:rPr>
                <w:szCs w:val="21"/>
              </w:rPr>
            </w:pPr>
            <w:r>
              <w:rPr>
                <w:szCs w:val="21"/>
              </w:rPr>
              <w:t>283,599</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6,712,330</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4,351,559</w:t>
            </w:r>
          </w:p>
        </w:tc>
        <w:tc>
          <w:tcPr>
            <w:tcW w:w="1064" w:type="dxa"/>
            <w:vAlign w:val="center"/>
          </w:tcPr>
          <w:p>
            <w:pPr>
              <w:jc w:val="right"/>
              <w:rPr>
                <w:szCs w:val="21"/>
              </w:rPr>
            </w:pPr>
            <w:r>
              <w:rPr>
                <w:szCs w:val="21"/>
              </w:rPr>
              <w:t>-212,563</w:t>
            </w: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11,560,051</w:t>
            </w:r>
          </w:p>
        </w:tc>
      </w:tr>
      <w:tr>
        <w:trPr>
          <w:trHeight w:val="20"/>
        </w:trPr>
        <w:sdt>
          <w:sdtPr>
            <w:rPr>
              <w:szCs w:val="21"/>
            </w:rPr>
            <w:tag w:val="_PLD_87b7ce2356df4876b71161948845f6e6"/>
            <w:id w:val="1016964191"/>
          </w:sdtPr>
          <w:sdtContent>
            <w:tc>
              <w:tcPr>
                <w:tcW w:w="2739" w:type="dxa"/>
                <w:vAlign w:val="center"/>
              </w:tcPr>
              <w:p>
                <w:pPr>
                  <w:jc w:val="both"/>
                  <w:rPr>
                    <w:szCs w:val="21"/>
                  </w:rPr>
                </w:pPr>
                <w:r>
                  <w:rPr>
                    <w:rFonts w:hint="eastAsia"/>
                    <w:szCs w:val="21"/>
                  </w:rPr>
                  <w:t>1．所有者投入的普通股</w:t>
                </w:r>
              </w:p>
            </w:tc>
          </w:sdtContent>
        </w:sdt>
        <w:tc>
          <w:tcPr>
            <w:tcW w:w="1078" w:type="dxa"/>
            <w:tcBorders>
              <w:right w:val="single" w:sz="4" w:space="0" w:color="auto"/>
            </w:tcBorders>
            <w:vAlign w:val="center"/>
          </w:tcPr>
          <w:p>
            <w:pPr>
              <w:jc w:val="right"/>
              <w:rPr>
                <w:szCs w:val="21"/>
              </w:rPr>
            </w:pPr>
            <w:r>
              <w:rPr>
                <w:szCs w:val="21"/>
              </w:rPr>
              <w:t>285,000</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4,229,108</w:t>
            </w: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4,514,108</w:t>
            </w:r>
          </w:p>
        </w:tc>
      </w:tr>
      <w:tr>
        <w:trPr>
          <w:trHeight w:val="20"/>
        </w:trPr>
        <w:sdt>
          <w:sdtPr>
            <w:rPr>
              <w:szCs w:val="21"/>
            </w:rPr>
            <w:tag w:val="_PLD_364b722055ed48639a8a73b5223e270d"/>
            <w:id w:val="526453468"/>
          </w:sdtPr>
          <w:sdtContent>
            <w:tc>
              <w:tcPr>
                <w:tcW w:w="2739" w:type="dxa"/>
                <w:vAlign w:val="center"/>
              </w:tcPr>
              <w:p>
                <w:pPr>
                  <w:jc w:val="both"/>
                  <w:rPr>
                    <w:szCs w:val="21"/>
                  </w:rPr>
                </w:pPr>
                <w:r>
                  <w:rPr>
                    <w:rFonts w:hint="eastAsia"/>
                    <w:szCs w:val="21"/>
                  </w:rPr>
                  <w:t>2．其他权益工具持有者投入资本</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6,712,330</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-22,245</w:t>
            </w: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6,690,085</w:t>
            </w:r>
          </w:p>
        </w:tc>
      </w:tr>
      <w:tr>
        <w:trPr>
          <w:trHeight w:val="20"/>
        </w:trPr>
        <w:sdt>
          <w:sdtPr>
            <w:rPr>
              <w:szCs w:val="21"/>
            </w:rPr>
            <w:tag w:val="_PLD_224ee219054e4248b57b186593db85a6"/>
            <w:id w:val="-140737640"/>
          </w:sdtPr>
          <w:sdtContent>
            <w:tc>
              <w:tcPr>
                <w:tcW w:w="2739" w:type="dxa"/>
                <w:vAlign w:val="center"/>
              </w:tcPr>
              <w:p>
                <w:pPr>
                  <w:jc w:val="both"/>
                  <w:rPr>
                    <w:szCs w:val="21"/>
                  </w:rPr>
                </w:pPr>
                <w:r>
                  <w:rPr>
                    <w:rFonts w:hint="eastAsia"/>
                    <w:szCs w:val="21"/>
                  </w:rPr>
                  <w:t>3</w:t>
                </w:r>
                <w:r>
                  <w:rPr>
                    <w:szCs w:val="21"/>
                  </w:rPr>
                  <w:t>．股份支付计入所有者权益的金额</w:t>
                </w:r>
              </w:p>
            </w:tc>
          </w:sdtContent>
        </w:sdt>
        <w:tc>
          <w:tcPr>
            <w:tcW w:w="1078" w:type="dxa"/>
            <w:tcBorders>
              <w:right w:val="single" w:sz="4" w:space="0" w:color="auto"/>
            </w:tcBorders>
            <w:vAlign w:val="center"/>
          </w:tcPr>
          <w:p>
            <w:pPr>
              <w:jc w:val="right"/>
              <w:rPr>
                <w:szCs w:val="21"/>
              </w:rPr>
            </w:pPr>
            <w:r>
              <w:rPr>
                <w:szCs w:val="21"/>
              </w:rPr>
              <w:t>-1,401</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154,055</w:t>
            </w:r>
          </w:p>
        </w:tc>
        <w:tc>
          <w:tcPr>
            <w:tcW w:w="1064" w:type="dxa"/>
            <w:vAlign w:val="center"/>
          </w:tcPr>
          <w:p>
            <w:pPr>
              <w:jc w:val="right"/>
              <w:rPr>
                <w:szCs w:val="21"/>
              </w:rPr>
            </w:pPr>
            <w:r>
              <w:rPr>
                <w:szCs w:val="21"/>
              </w:rPr>
              <w:t>-212,563</w:t>
            </w: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365,217</w:t>
            </w:r>
          </w:p>
        </w:tc>
      </w:tr>
      <w:tr>
        <w:trPr>
          <w:trHeight w:val="20"/>
        </w:trPr>
        <w:tc>
          <w:tcPr>
            <w:tcW w:w="2739" w:type="dxa"/>
            <w:vAlign w:val="center"/>
          </w:tcPr>
          <w:p>
            <w:pPr>
              <w:jc w:val="both"/>
              <w:rPr>
                <w:szCs w:val="21"/>
              </w:rPr>
            </w:pPr>
            <w:r>
              <w:rPr>
                <w:rFonts w:hint="eastAsia"/>
                <w:szCs w:val="21"/>
              </w:rPr>
              <w:t>4.同一控制下企业合并</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1050"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78"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91" w:type="dxa"/>
            <w:tcBorders>
              <w:left w:val="single" w:sz="4" w:space="0" w:color="auto"/>
            </w:tcBorders>
            <w:vAlign w:val="center"/>
          </w:tcPr>
          <w:p>
            <w:pPr>
              <w:jc w:val="right"/>
              <w:rPr>
                <w:szCs w:val="21"/>
              </w:rPr>
            </w:pPr>
            <w:r>
              <w:rPr>
                <w:rFonts w:hint="eastAsia"/>
                <w:szCs w:val="21"/>
              </w:rPr>
              <w:t xml:space="preserve">　</w:t>
            </w:r>
          </w:p>
        </w:tc>
        <w:tc>
          <w:tcPr>
            <w:tcW w:w="1036" w:type="dxa"/>
            <w:vAlign w:val="center"/>
          </w:tcPr>
          <w:p>
            <w:pPr>
              <w:jc w:val="right"/>
              <w:rPr>
                <w:szCs w:val="21"/>
              </w:rPr>
            </w:pPr>
            <w:r>
              <w:rPr>
                <w:rFonts w:hint="eastAsia"/>
                <w:szCs w:val="21"/>
              </w:rPr>
              <w:t xml:space="preserve">　-</w:t>
            </w:r>
            <w:r>
              <w:rPr>
                <w:szCs w:val="21"/>
              </w:rPr>
              <w:t>9,359</w:t>
            </w:r>
          </w:p>
        </w:tc>
        <w:tc>
          <w:tcPr>
            <w:tcW w:w="1064" w:type="dxa"/>
            <w:vAlign w:val="center"/>
          </w:tcPr>
          <w:p>
            <w:pPr>
              <w:jc w:val="right"/>
              <w:rPr>
                <w:szCs w:val="21"/>
              </w:rPr>
            </w:pPr>
            <w:r>
              <w:rPr>
                <w:rFonts w:hint="eastAsia"/>
                <w:szCs w:val="21"/>
              </w:rPr>
              <w:t xml:space="preserve">         </w:t>
            </w:r>
          </w:p>
        </w:tc>
        <w:tc>
          <w:tcPr>
            <w:tcW w:w="1022" w:type="dxa"/>
            <w:vAlign w:val="center"/>
          </w:tcPr>
          <w:p>
            <w:pPr>
              <w:jc w:val="right"/>
              <w:rPr>
                <w:szCs w:val="21"/>
              </w:rPr>
            </w:pPr>
            <w:r>
              <w:rPr>
                <w:rFonts w:hint="eastAsia"/>
                <w:szCs w:val="21"/>
              </w:rPr>
              <w:t xml:space="preserve">　</w:t>
            </w:r>
          </w:p>
        </w:tc>
        <w:tc>
          <w:tcPr>
            <w:tcW w:w="1183"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　</w:t>
            </w:r>
          </w:p>
        </w:tc>
        <w:tc>
          <w:tcPr>
            <w:tcW w:w="1275" w:type="dxa"/>
            <w:vAlign w:val="center"/>
          </w:tcPr>
          <w:p>
            <w:pPr>
              <w:pStyle w:val="affffffffffffffffff3"/>
              <w:jc w:val="right"/>
              <w:rPr>
                <w:szCs w:val="21"/>
              </w:rPr>
            </w:pPr>
            <w:r>
              <w:rPr>
                <w:szCs w:val="21"/>
              </w:rPr>
              <w:t>-9,359</w:t>
            </w:r>
          </w:p>
        </w:tc>
      </w:tr>
      <w:tr>
        <w:trPr>
          <w:trHeight w:val="20"/>
        </w:trPr>
        <w:tc>
          <w:tcPr>
            <w:tcW w:w="2739" w:type="dxa"/>
            <w:vAlign w:val="center"/>
          </w:tcPr>
          <w:p>
            <w:pPr>
              <w:jc w:val="both"/>
              <w:rPr>
                <w:szCs w:val="21"/>
              </w:rPr>
            </w:pPr>
            <w:r>
              <w:rPr>
                <w:rFonts w:hint="eastAsia"/>
                <w:szCs w:val="21"/>
              </w:rPr>
              <w:t>5.其他</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1050"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78"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91" w:type="dxa"/>
            <w:tcBorders>
              <w:left w:val="single" w:sz="4" w:space="0" w:color="auto"/>
            </w:tcBorders>
            <w:vAlign w:val="center"/>
          </w:tcPr>
          <w:p>
            <w:pPr>
              <w:jc w:val="right"/>
              <w:rPr>
                <w:szCs w:val="21"/>
              </w:rPr>
            </w:pPr>
            <w:r>
              <w:rPr>
                <w:rFonts w:hint="eastAsia"/>
                <w:szCs w:val="21"/>
              </w:rPr>
              <w:t xml:space="preserve">　</w:t>
            </w:r>
          </w:p>
        </w:tc>
        <w:tc>
          <w:tcPr>
            <w:tcW w:w="1036" w:type="dxa"/>
            <w:vAlign w:val="center"/>
          </w:tcPr>
          <w:p>
            <w:pPr>
              <w:jc w:val="right"/>
              <w:rPr>
                <w:szCs w:val="21"/>
              </w:rPr>
            </w:pPr>
            <w:r>
              <w:rPr>
                <w:rFonts w:hint="eastAsia"/>
                <w:szCs w:val="21"/>
              </w:rPr>
              <w:t xml:space="preserve">　</w:t>
            </w:r>
          </w:p>
        </w:tc>
        <w:tc>
          <w:tcPr>
            <w:tcW w:w="1064" w:type="dxa"/>
            <w:vAlign w:val="center"/>
          </w:tcPr>
          <w:p>
            <w:pPr>
              <w:jc w:val="right"/>
              <w:rPr>
                <w:szCs w:val="21"/>
              </w:rPr>
            </w:pPr>
            <w:r>
              <w:rPr>
                <w:rFonts w:hint="eastAsia"/>
                <w:szCs w:val="21"/>
              </w:rPr>
              <w:t xml:space="preserve">　</w:t>
            </w:r>
          </w:p>
        </w:tc>
        <w:tc>
          <w:tcPr>
            <w:tcW w:w="1022" w:type="dxa"/>
            <w:vAlign w:val="center"/>
          </w:tcPr>
          <w:p>
            <w:pPr>
              <w:jc w:val="right"/>
              <w:rPr>
                <w:szCs w:val="21"/>
              </w:rPr>
            </w:pPr>
            <w:r>
              <w:rPr>
                <w:rFonts w:hint="eastAsia"/>
                <w:szCs w:val="21"/>
              </w:rPr>
              <w:t xml:space="preserve">　</w:t>
            </w:r>
          </w:p>
        </w:tc>
        <w:tc>
          <w:tcPr>
            <w:tcW w:w="1183"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　</w:t>
            </w:r>
          </w:p>
        </w:tc>
        <w:tc>
          <w:tcPr>
            <w:tcW w:w="1275" w:type="dxa"/>
            <w:vAlign w:val="center"/>
          </w:tcPr>
          <w:p>
            <w:pPr>
              <w:pStyle w:val="affffffffffffffffff3"/>
              <w:jc w:val="right"/>
              <w:rPr>
                <w:szCs w:val="21"/>
              </w:rPr>
            </w:pPr>
            <w:r>
              <w:rPr>
                <w:szCs w:val="21"/>
              </w:rPr>
              <w:t>-</w:t>
            </w:r>
          </w:p>
        </w:tc>
      </w:tr>
      <w:tr>
        <w:trPr>
          <w:trHeight w:val="20"/>
        </w:trPr>
        <w:sdt>
          <w:sdtPr>
            <w:rPr>
              <w:szCs w:val="21"/>
            </w:rPr>
            <w:tag w:val="_PLD_b280cf7ceeaa4dd8b4b782055ca20607"/>
            <w:id w:val="-1003658968"/>
          </w:sdtPr>
          <w:sdtContent>
            <w:tc>
              <w:tcPr>
                <w:tcW w:w="2739" w:type="dxa"/>
                <w:vAlign w:val="center"/>
              </w:tcPr>
              <w:p>
                <w:pPr>
                  <w:jc w:val="both"/>
                  <w:rPr>
                    <w:szCs w:val="21"/>
                  </w:rPr>
                </w:pPr>
                <w:r>
                  <w:rPr>
                    <w:szCs w:val="21"/>
                  </w:rPr>
                  <w:t>（</w:t>
                </w:r>
                <w:r>
                  <w:rPr>
                    <w:rFonts w:hint="eastAsia"/>
                    <w:szCs w:val="21"/>
                  </w:rPr>
                  <w:t>三</w:t>
                </w:r>
                <w:r>
                  <w:rPr>
                    <w:szCs w:val="21"/>
                  </w:rPr>
                  <w:t>）利润分配</w:t>
                </w:r>
              </w:p>
            </w:tc>
          </w:sdtContent>
        </w:sdt>
        <w:tc>
          <w:tcPr>
            <w:tcW w:w="1078" w:type="dxa"/>
            <w:tcBorders>
              <w:right w:val="single" w:sz="4" w:space="0" w:color="auto"/>
            </w:tcBorders>
            <w:vAlign w:val="center"/>
          </w:tcPr>
          <w:p>
            <w:pPr>
              <w:jc w:val="right"/>
              <w:rPr>
                <w:szCs w:val="21"/>
              </w:rPr>
            </w:pPr>
            <w:r>
              <w:rPr>
                <w:szCs w:val="21"/>
              </w:rPr>
              <w:t>2,316,890</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-618,750</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r>
              <w:rPr>
                <w:szCs w:val="21"/>
              </w:rPr>
              <w:t>1,177,577</w:t>
            </w:r>
          </w:p>
        </w:tc>
        <w:tc>
          <w:tcPr>
            <w:tcW w:w="1276" w:type="dxa"/>
            <w:vAlign w:val="center"/>
          </w:tcPr>
          <w:p>
            <w:pPr>
              <w:jc w:val="right"/>
              <w:rPr>
                <w:szCs w:val="21"/>
              </w:rPr>
            </w:pPr>
            <w:r>
              <w:rPr>
                <w:szCs w:val="21"/>
              </w:rPr>
              <w:t>-17,310,861</w:t>
            </w:r>
          </w:p>
        </w:tc>
        <w:tc>
          <w:tcPr>
            <w:tcW w:w="1275" w:type="dxa"/>
            <w:vAlign w:val="center"/>
          </w:tcPr>
          <w:p>
            <w:pPr>
              <w:jc w:val="right"/>
              <w:rPr>
                <w:szCs w:val="21"/>
              </w:rPr>
            </w:pPr>
            <w:r>
              <w:rPr>
                <w:szCs w:val="21"/>
              </w:rPr>
              <w:t>-14,435,144</w:t>
            </w:r>
          </w:p>
        </w:tc>
      </w:tr>
      <w:tr>
        <w:trPr>
          <w:trHeight w:val="20"/>
        </w:trPr>
        <w:sdt>
          <w:sdtPr>
            <w:rPr>
              <w:szCs w:val="21"/>
            </w:rPr>
            <w:tag w:val="_PLD_bae08be416ce4c01886da1cc65a38bd8"/>
            <w:id w:val="-2063012613"/>
          </w:sdtPr>
          <w:sdtContent>
            <w:tc>
              <w:tcPr>
                <w:tcW w:w="2739" w:type="dxa"/>
                <w:vAlign w:val="center"/>
              </w:tcPr>
              <w:p>
                <w:pPr>
                  <w:jc w:val="both"/>
                  <w:rPr>
                    <w:szCs w:val="21"/>
                  </w:rPr>
                </w:pPr>
                <w:r>
                  <w:rPr>
                    <w:szCs w:val="21"/>
                  </w:rPr>
                  <w:t>1．提取盈余公积</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r>
              <w:rPr>
                <w:szCs w:val="21"/>
              </w:rPr>
              <w:t>1,177,577</w:t>
            </w:r>
          </w:p>
        </w:tc>
        <w:tc>
          <w:tcPr>
            <w:tcW w:w="1276" w:type="dxa"/>
            <w:vAlign w:val="center"/>
          </w:tcPr>
          <w:p>
            <w:pPr>
              <w:jc w:val="right"/>
              <w:rPr>
                <w:szCs w:val="21"/>
              </w:rPr>
            </w:pPr>
            <w:r>
              <w:rPr>
                <w:szCs w:val="21"/>
              </w:rPr>
              <w:t>-1,177,577</w:t>
            </w:r>
          </w:p>
        </w:tc>
        <w:tc>
          <w:tcPr>
            <w:tcW w:w="1275" w:type="dxa"/>
            <w:vAlign w:val="center"/>
          </w:tcPr>
          <w:p>
            <w:pPr>
              <w:jc w:val="right"/>
              <w:rPr>
                <w:szCs w:val="21"/>
              </w:rPr>
            </w:pPr>
          </w:p>
        </w:tc>
      </w:tr>
      <w:tr>
        <w:trPr>
          <w:trHeight w:val="20"/>
        </w:trPr>
        <w:sdt>
          <w:sdtPr>
            <w:rPr>
              <w:szCs w:val="21"/>
            </w:rPr>
            <w:tag w:val="_PLD_4deac8941f8344f99337c17d7e8feb6f"/>
            <w:id w:val="-1157679071"/>
          </w:sdtPr>
          <w:sdtContent>
            <w:tc>
              <w:tcPr>
                <w:tcW w:w="2739" w:type="dxa"/>
                <w:vAlign w:val="center"/>
              </w:tcPr>
              <w:p>
                <w:pPr>
                  <w:jc w:val="both"/>
                  <w:rPr>
                    <w:szCs w:val="21"/>
                  </w:rPr>
                </w:pPr>
                <w:r>
                  <w:rPr>
                    <w:rFonts w:hint="eastAsia"/>
                    <w:szCs w:val="21"/>
                  </w:rPr>
                  <w:t>2</w:t>
                </w:r>
                <w:r>
                  <w:rPr>
                    <w:szCs w:val="21"/>
                  </w:rPr>
                  <w:t>．对所有者（或股东）的分配</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tc>
          <w:tcPr>
            <w:tcW w:w="2739" w:type="dxa"/>
            <w:vAlign w:val="center"/>
          </w:tcPr>
          <w:p>
            <w:pPr>
              <w:jc w:val="both"/>
              <w:rPr>
                <w:szCs w:val="21"/>
              </w:rPr>
            </w:pPr>
            <w:r>
              <w:rPr>
                <w:rFonts w:hint="eastAsia"/>
                <w:szCs w:val="21"/>
              </w:rPr>
              <w:t>3.对其他权益工具持有者的分配</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1050"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78"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91" w:type="dxa"/>
            <w:tcBorders>
              <w:left w:val="single" w:sz="4" w:space="0" w:color="auto"/>
            </w:tcBorders>
            <w:vAlign w:val="center"/>
          </w:tcPr>
          <w:p>
            <w:pPr>
              <w:jc w:val="right"/>
              <w:rPr>
                <w:szCs w:val="21"/>
              </w:rPr>
            </w:pPr>
            <w:r>
              <w:rPr>
                <w:rFonts w:hint="eastAsia"/>
                <w:szCs w:val="21"/>
              </w:rPr>
              <w:t xml:space="preserve">　</w:t>
            </w:r>
          </w:p>
        </w:tc>
        <w:tc>
          <w:tcPr>
            <w:tcW w:w="1036" w:type="dxa"/>
            <w:vAlign w:val="center"/>
          </w:tcPr>
          <w:p>
            <w:pPr>
              <w:jc w:val="right"/>
              <w:rPr>
                <w:szCs w:val="21"/>
              </w:rPr>
            </w:pPr>
            <w:r>
              <w:rPr>
                <w:rFonts w:hint="eastAsia"/>
                <w:szCs w:val="21"/>
              </w:rPr>
              <w:t xml:space="preserve">　</w:t>
            </w:r>
          </w:p>
        </w:tc>
        <w:tc>
          <w:tcPr>
            <w:tcW w:w="1064" w:type="dxa"/>
            <w:vAlign w:val="center"/>
          </w:tcPr>
          <w:p>
            <w:pPr>
              <w:jc w:val="right"/>
              <w:rPr>
                <w:szCs w:val="21"/>
              </w:rPr>
            </w:pPr>
            <w:r>
              <w:rPr>
                <w:rFonts w:hint="eastAsia"/>
                <w:szCs w:val="21"/>
              </w:rPr>
              <w:t xml:space="preserve">　</w:t>
            </w:r>
          </w:p>
        </w:tc>
        <w:tc>
          <w:tcPr>
            <w:tcW w:w="1022" w:type="dxa"/>
            <w:vAlign w:val="center"/>
          </w:tcPr>
          <w:p>
            <w:pPr>
              <w:jc w:val="right"/>
              <w:rPr>
                <w:szCs w:val="21"/>
              </w:rPr>
            </w:pPr>
            <w:r>
              <w:rPr>
                <w:rFonts w:hint="eastAsia"/>
                <w:szCs w:val="21"/>
              </w:rPr>
              <w:t xml:space="preserve">　</w:t>
            </w:r>
          </w:p>
        </w:tc>
        <w:tc>
          <w:tcPr>
            <w:tcW w:w="1183"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szCs w:val="21"/>
              </w:rPr>
              <w:t>-13,816,393</w:t>
            </w:r>
          </w:p>
        </w:tc>
        <w:tc>
          <w:tcPr>
            <w:tcW w:w="1275" w:type="dxa"/>
            <w:vAlign w:val="center"/>
          </w:tcPr>
          <w:p>
            <w:pPr>
              <w:jc w:val="right"/>
              <w:rPr>
                <w:szCs w:val="21"/>
              </w:rPr>
            </w:pPr>
            <w:r>
              <w:rPr>
                <w:szCs w:val="21"/>
              </w:rPr>
              <w:t>-13,816,393</w:t>
            </w:r>
          </w:p>
        </w:tc>
      </w:tr>
      <w:tr>
        <w:trPr>
          <w:trHeight w:val="20"/>
        </w:trPr>
        <w:tc>
          <w:tcPr>
            <w:tcW w:w="2739" w:type="dxa"/>
            <w:vAlign w:val="center"/>
          </w:tcPr>
          <w:p>
            <w:pPr>
              <w:jc w:val="both"/>
              <w:rPr>
                <w:szCs w:val="21"/>
              </w:rPr>
            </w:pPr>
            <w:r>
              <w:rPr>
                <w:rFonts w:hint="eastAsia"/>
                <w:szCs w:val="21"/>
              </w:rPr>
              <w:t>4.其他</w:t>
            </w:r>
          </w:p>
        </w:tc>
        <w:tc>
          <w:tcPr>
            <w:tcW w:w="1078" w:type="dxa"/>
            <w:tcBorders>
              <w:right w:val="single" w:sz="4" w:space="0" w:color="auto"/>
            </w:tcBorders>
            <w:vAlign w:val="center"/>
          </w:tcPr>
          <w:p>
            <w:pPr>
              <w:jc w:val="right"/>
              <w:rPr>
                <w:szCs w:val="21"/>
              </w:rPr>
            </w:pPr>
            <w:r>
              <w:rPr>
                <w:rFonts w:hint="eastAsia"/>
                <w:szCs w:val="21"/>
              </w:rPr>
              <w:t xml:space="preserve">2,316,890 </w:t>
            </w:r>
          </w:p>
        </w:tc>
        <w:tc>
          <w:tcPr>
            <w:tcW w:w="1050"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078" w:type="dxa"/>
            <w:tcBorders>
              <w:left w:val="single" w:sz="4" w:space="0" w:color="auto"/>
              <w:right w:val="single" w:sz="4" w:space="0" w:color="auto"/>
            </w:tcBorders>
            <w:vAlign w:val="center"/>
          </w:tcPr>
          <w:p>
            <w:pPr>
              <w:jc w:val="right"/>
              <w:rPr>
                <w:szCs w:val="21"/>
              </w:rPr>
            </w:pPr>
            <w:r>
              <w:rPr>
                <w:rFonts w:hint="eastAsia"/>
                <w:szCs w:val="21"/>
              </w:rPr>
              <w:t xml:space="preserve">-618,750 </w:t>
            </w:r>
          </w:p>
        </w:tc>
        <w:tc>
          <w:tcPr>
            <w:tcW w:w="1091" w:type="dxa"/>
            <w:tcBorders>
              <w:left w:val="single" w:sz="4" w:space="0" w:color="auto"/>
            </w:tcBorders>
            <w:vAlign w:val="center"/>
          </w:tcPr>
          <w:p>
            <w:pPr>
              <w:jc w:val="right"/>
              <w:rPr>
                <w:szCs w:val="21"/>
              </w:rPr>
            </w:pPr>
            <w:r>
              <w:rPr>
                <w:rFonts w:hint="eastAsia"/>
                <w:szCs w:val="21"/>
              </w:rPr>
              <w:t xml:space="preserve">　</w:t>
            </w:r>
          </w:p>
        </w:tc>
        <w:tc>
          <w:tcPr>
            <w:tcW w:w="1036" w:type="dxa"/>
            <w:vAlign w:val="center"/>
          </w:tcPr>
          <w:p>
            <w:pPr>
              <w:jc w:val="right"/>
              <w:rPr>
                <w:szCs w:val="21"/>
              </w:rPr>
            </w:pPr>
            <w:r>
              <w:rPr>
                <w:rFonts w:hint="eastAsia"/>
                <w:szCs w:val="21"/>
              </w:rPr>
              <w:t xml:space="preserve">　</w:t>
            </w:r>
          </w:p>
        </w:tc>
        <w:tc>
          <w:tcPr>
            <w:tcW w:w="1064" w:type="dxa"/>
            <w:vAlign w:val="center"/>
          </w:tcPr>
          <w:p>
            <w:pPr>
              <w:jc w:val="right"/>
              <w:rPr>
                <w:szCs w:val="21"/>
              </w:rPr>
            </w:pPr>
            <w:r>
              <w:rPr>
                <w:rFonts w:hint="eastAsia"/>
                <w:szCs w:val="21"/>
              </w:rPr>
              <w:t xml:space="preserve">　</w:t>
            </w:r>
          </w:p>
        </w:tc>
        <w:tc>
          <w:tcPr>
            <w:tcW w:w="1022" w:type="dxa"/>
            <w:vAlign w:val="center"/>
          </w:tcPr>
          <w:p>
            <w:pPr>
              <w:jc w:val="right"/>
              <w:rPr>
                <w:szCs w:val="21"/>
              </w:rPr>
            </w:pPr>
            <w:r>
              <w:rPr>
                <w:rFonts w:hint="eastAsia"/>
                <w:szCs w:val="21"/>
              </w:rPr>
              <w:t xml:space="preserve">　</w:t>
            </w:r>
          </w:p>
        </w:tc>
        <w:tc>
          <w:tcPr>
            <w:tcW w:w="1183"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-2,316,891 </w:t>
            </w:r>
          </w:p>
        </w:tc>
        <w:tc>
          <w:tcPr>
            <w:tcW w:w="1275" w:type="dxa"/>
            <w:vAlign w:val="center"/>
          </w:tcPr>
          <w:p>
            <w:pPr>
              <w:jc w:val="right"/>
              <w:rPr>
                <w:szCs w:val="21"/>
              </w:rPr>
            </w:pPr>
            <w:r>
              <w:rPr>
                <w:rFonts w:hint="eastAsia"/>
                <w:szCs w:val="21"/>
              </w:rPr>
              <w:t xml:space="preserve">-618,751 </w:t>
            </w:r>
          </w:p>
        </w:tc>
      </w:tr>
      <w:tr>
        <w:trPr>
          <w:trHeight w:val="20"/>
        </w:trPr>
        <w:sdt>
          <w:sdtPr>
            <w:rPr>
              <w:szCs w:val="21"/>
            </w:rPr>
            <w:tag w:val="_PLD_8938fb7f04ef4f54b6183645ffa42f40"/>
            <w:id w:val="-1659064698"/>
          </w:sdtPr>
          <w:sdtContent>
            <w:tc>
              <w:tcPr>
                <w:tcW w:w="2739" w:type="dxa"/>
                <w:vAlign w:val="center"/>
              </w:tcPr>
              <w:p>
                <w:pPr>
                  <w:jc w:val="both"/>
                  <w:rPr>
                    <w:szCs w:val="21"/>
                  </w:rPr>
                </w:pPr>
                <w:r>
                  <w:rPr>
                    <w:szCs w:val="21"/>
                  </w:rPr>
                  <w:t>（</w:t>
                </w:r>
                <w:r>
                  <w:rPr>
                    <w:rFonts w:hint="eastAsia"/>
                    <w:szCs w:val="21"/>
                  </w:rPr>
                  <w:t>四</w:t>
                </w:r>
                <w:r>
                  <w:rPr>
                    <w:szCs w:val="21"/>
                  </w:rPr>
                  <w:t>）所有者权益内部结转</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805f473e3b5c4efd99b4c472dc99ddb5"/>
            <w:id w:val="-1297224068"/>
          </w:sdtPr>
          <w:sdtContent>
            <w:tc>
              <w:tcPr>
                <w:tcW w:w="2739" w:type="dxa"/>
                <w:vAlign w:val="center"/>
              </w:tcPr>
              <w:p>
                <w:pPr>
                  <w:jc w:val="both"/>
                  <w:rPr>
                    <w:szCs w:val="21"/>
                  </w:rPr>
                </w:pPr>
                <w:r>
                  <w:rPr>
                    <w:szCs w:val="21"/>
                  </w:rPr>
                  <w:t>1．资本公积转增资本（或股本）</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c2dd17db22d54e02ba5942412d96f3ac"/>
            <w:id w:val="1948115732"/>
          </w:sdtPr>
          <w:sdtContent>
            <w:tc>
              <w:tcPr>
                <w:tcW w:w="2739" w:type="dxa"/>
                <w:vAlign w:val="center"/>
              </w:tcPr>
              <w:p>
                <w:pPr>
                  <w:jc w:val="both"/>
                  <w:rPr>
                    <w:szCs w:val="21"/>
                  </w:rPr>
                </w:pPr>
                <w:r>
                  <w:rPr>
                    <w:szCs w:val="21"/>
                  </w:rPr>
                  <w:t>2．盈余公积转增资本（或股本）</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de8855f6aaf94578a33d614865e23362"/>
            <w:id w:val="-607355268"/>
          </w:sdtPr>
          <w:sdtContent>
            <w:tc>
              <w:tcPr>
                <w:tcW w:w="2739" w:type="dxa"/>
                <w:vAlign w:val="center"/>
              </w:tcPr>
              <w:p>
                <w:pPr>
                  <w:jc w:val="both"/>
                  <w:rPr>
                    <w:szCs w:val="21"/>
                  </w:rPr>
                </w:pPr>
                <w:r>
                  <w:rPr>
                    <w:szCs w:val="21"/>
                  </w:rPr>
                  <w:t>3．盈余公积弥补亏损</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tc>
          <w:tcPr>
            <w:tcW w:w="2739" w:type="dxa"/>
            <w:vAlign w:val="center"/>
          </w:tcPr>
          <w:sdt>
            <w:sdtPr>
              <w:rPr>
                <w:szCs w:val="21"/>
              </w:rPr>
              <w:tag w:val="_PLD_0a2eca501c544dfc9dfd8d666c32970b"/>
              <w:id w:val="-1425495369"/>
            </w:sdtPr>
            <w:sdtContent>
              <w:p>
                <w:pPr>
                  <w:pStyle w:val="affffffffffffffffff3"/>
                  <w:jc w:val="both"/>
                  <w:rPr>
                    <w:szCs w:val="21"/>
                  </w:rPr>
                </w:pPr>
                <w:r>
                  <w:rPr>
                    <w:szCs w:val="21"/>
                  </w:rPr>
                  <w:t>4．设定受益计划变动额结转留存收益</w:t>
                </w:r>
              </w:p>
            </w:sdtContent>
          </w:sdt>
        </w:tc>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tc>
          <w:tcPr>
            <w:tcW w:w="2739" w:type="dxa"/>
            <w:vAlign w:val="center"/>
          </w:tcPr>
          <w:sdt>
            <w:sdtPr>
              <w:rPr>
                <w:szCs w:val="21"/>
              </w:rPr>
              <w:tag w:val="_PLD_e2c794a3876347288864cf2ea4ed53e5"/>
              <w:id w:val="-1822878187"/>
            </w:sdtPr>
            <w:sdtContent>
              <w:p>
                <w:pPr>
                  <w:jc w:val="both"/>
                  <w:rPr>
                    <w:szCs w:val="21"/>
                  </w:rPr>
                </w:pPr>
                <w:r>
                  <w:rPr>
                    <w:szCs w:val="21"/>
                  </w:rPr>
                  <w:t>5．其他综合收益结转留存收益</w:t>
                </w:r>
              </w:p>
            </w:sdtContent>
          </w:sdt>
        </w:tc>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tc>
          <w:tcPr>
            <w:tcW w:w="2739" w:type="dxa"/>
            <w:vAlign w:val="center"/>
          </w:tcPr>
          <w:sdt>
            <w:sdtPr>
              <w:rPr>
                <w:szCs w:val="21"/>
              </w:rPr>
              <w:tag w:val="_PLD_921b15a12ec54658b00654a6a398aa0c"/>
              <w:id w:val="1860000643"/>
            </w:sdtPr>
            <w:sdtContent>
              <w:p>
                <w:pPr>
                  <w:pStyle w:val="affffffffffffffffff3"/>
                  <w:jc w:val="both"/>
                  <w:rPr>
                    <w:szCs w:val="21"/>
                  </w:rPr>
                </w:pPr>
                <w:r>
                  <w:rPr>
                    <w:szCs w:val="21"/>
                  </w:rPr>
                  <w:t>6．其他</w:t>
                </w:r>
              </w:p>
            </w:sdtContent>
          </w:sdt>
        </w:tc>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p>
        </w:tc>
      </w:tr>
      <w:tr>
        <w:trPr>
          <w:trHeight w:val="20"/>
        </w:trPr>
        <w:sdt>
          <w:sdtPr>
            <w:rPr>
              <w:szCs w:val="21"/>
            </w:rPr>
            <w:tag w:val="_PLD_ea236cbce24c48eabfeb2f3f4a19c5a8"/>
            <w:id w:val="103538964"/>
          </w:sdtPr>
          <w:sdtContent>
            <w:tc>
              <w:tcPr>
                <w:tcW w:w="2739" w:type="dxa"/>
                <w:vAlign w:val="center"/>
              </w:tcPr>
              <w:p>
                <w:pPr>
                  <w:jc w:val="both"/>
                  <w:rPr>
                    <w:szCs w:val="21"/>
                  </w:rPr>
                </w:pPr>
                <w:r>
                  <w:rPr>
                    <w:rFonts w:hint="eastAsia"/>
                    <w:szCs w:val="21"/>
                  </w:rPr>
                  <w:t>（五）专项储备</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r>
              <w:rPr>
                <w:szCs w:val="21"/>
              </w:rPr>
              <w:t>-291,011</w:t>
            </w: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-291,011</w:t>
            </w:r>
          </w:p>
        </w:tc>
      </w:tr>
      <w:tr>
        <w:trPr>
          <w:trHeight w:val="20"/>
        </w:trPr>
        <w:sdt>
          <w:sdtPr>
            <w:rPr>
              <w:szCs w:val="21"/>
            </w:rPr>
            <w:tag w:val="_PLD_f798cf6aa8f24816a06eab77e71e6a42"/>
            <w:id w:val="507873172"/>
          </w:sdtPr>
          <w:sdtContent>
            <w:tc>
              <w:tcPr>
                <w:tcW w:w="2739" w:type="dxa"/>
                <w:vAlign w:val="center"/>
              </w:tcPr>
              <w:p>
                <w:pPr>
                  <w:jc w:val="both"/>
                  <w:rPr>
                    <w:szCs w:val="21"/>
                  </w:rPr>
                </w:pPr>
                <w:r>
                  <w:rPr>
                    <w:rFonts w:hint="eastAsia"/>
                    <w:szCs w:val="21"/>
                  </w:rPr>
                  <w:t>1．本期提取</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r>
              <w:rPr>
                <w:szCs w:val="21"/>
              </w:rPr>
              <w:t>1,287,002</w:t>
            </w: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1,287,002</w:t>
            </w:r>
          </w:p>
        </w:tc>
      </w:tr>
      <w:tr>
        <w:trPr>
          <w:trHeight w:val="20"/>
        </w:trPr>
        <w:sdt>
          <w:sdtPr>
            <w:rPr>
              <w:szCs w:val="21"/>
            </w:rPr>
            <w:tag w:val="_PLD_294f6f5256724757ad52c27b29a0bb7d"/>
            <w:id w:val="-1774777794"/>
          </w:sdtPr>
          <w:sdtContent>
            <w:tc>
              <w:tcPr>
                <w:tcW w:w="2739" w:type="dxa"/>
                <w:vAlign w:val="center"/>
              </w:tcPr>
              <w:p>
                <w:pPr>
                  <w:jc w:val="both"/>
                  <w:rPr>
                    <w:szCs w:val="21"/>
                  </w:rPr>
                </w:pPr>
                <w:r>
                  <w:rPr>
                    <w:rFonts w:hint="eastAsia"/>
                    <w:szCs w:val="21"/>
                  </w:rPr>
                  <w:t>2．本期使用</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r>
              <w:rPr>
                <w:szCs w:val="21"/>
              </w:rPr>
              <w:t>-1,578,013</w:t>
            </w: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-1,578,013</w:t>
            </w:r>
          </w:p>
        </w:tc>
      </w:tr>
      <w:tr>
        <w:trPr>
          <w:trHeight w:val="20"/>
        </w:trPr>
        <w:sdt>
          <w:sdtPr>
            <w:rPr>
              <w:szCs w:val="21"/>
            </w:rPr>
            <w:tag w:val="_PLD_6633049a29464fd58ed8f9bdc82f6c7b"/>
            <w:id w:val="1184547981"/>
          </w:sdtPr>
          <w:sdtContent>
            <w:tc>
              <w:tcPr>
                <w:tcW w:w="2739" w:type="dxa"/>
                <w:vAlign w:val="center"/>
              </w:tcPr>
              <w:p>
                <w:pPr>
                  <w:jc w:val="both"/>
                  <w:rPr>
                    <w:szCs w:val="21"/>
                  </w:rPr>
                </w:pPr>
                <w:r>
                  <w:rPr>
                    <w:rFonts w:hint="eastAsia"/>
                    <w:szCs w:val="21"/>
                  </w:rPr>
                  <w:t>（六）其他</w:t>
                </w:r>
              </w:p>
            </w:tc>
          </w:sdtContent>
        </w:sdt>
        <w:tc>
          <w:tcPr>
            <w:tcW w:w="1078" w:type="dxa"/>
            <w:tcBorders>
              <w:right w:val="single" w:sz="4" w:space="0" w:color="auto"/>
            </w:tcBorders>
            <w:vAlign w:val="center"/>
          </w:tcPr>
          <w:p>
            <w:pPr>
              <w:jc w:val="right"/>
              <w:rPr>
                <w:szCs w:val="21"/>
              </w:rPr>
            </w:pP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-5,679</w:t>
            </w:r>
          </w:p>
        </w:tc>
        <w:tc>
          <w:tcPr>
            <w:tcW w:w="1064" w:type="dxa"/>
            <w:vAlign w:val="center"/>
          </w:tcPr>
          <w:p>
            <w:pPr>
              <w:jc w:val="right"/>
              <w:rPr>
                <w:szCs w:val="21"/>
              </w:rPr>
            </w:pPr>
          </w:p>
        </w:tc>
        <w:tc>
          <w:tcPr>
            <w:tcW w:w="1022" w:type="dxa"/>
            <w:vAlign w:val="center"/>
          </w:tcPr>
          <w:p>
            <w:pPr>
              <w:jc w:val="right"/>
              <w:rPr>
                <w:szCs w:val="21"/>
              </w:rPr>
            </w:pPr>
          </w:p>
        </w:tc>
        <w:tc>
          <w:tcPr>
            <w:tcW w:w="1183"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5" w:type="dxa"/>
            <w:vAlign w:val="center"/>
          </w:tcPr>
          <w:p>
            <w:pPr>
              <w:jc w:val="right"/>
              <w:rPr>
                <w:szCs w:val="21"/>
              </w:rPr>
            </w:pPr>
            <w:r>
              <w:rPr>
                <w:szCs w:val="21"/>
              </w:rPr>
              <w:t>-5,679</w:t>
            </w:r>
          </w:p>
        </w:tc>
      </w:tr>
      <w:tr>
        <w:trPr>
          <w:trHeight w:val="20"/>
        </w:trPr>
        <w:sdt>
          <w:sdtPr>
            <w:rPr>
              <w:szCs w:val="21"/>
            </w:rPr>
            <w:tag w:val="_PLD_0d209cea233c428da026233fffdd75cf"/>
            <w:id w:val="-994638371"/>
          </w:sdtPr>
          <w:sdtContent>
            <w:tc>
              <w:tcPr>
                <w:tcW w:w="2739" w:type="dxa"/>
                <w:vAlign w:val="center"/>
              </w:tcPr>
              <w:p>
                <w:pPr>
                  <w:jc w:val="both"/>
                  <w:rPr>
                    <w:szCs w:val="21"/>
                  </w:rPr>
                </w:pPr>
                <w:r>
                  <w:rPr>
                    <w:szCs w:val="21"/>
                  </w:rPr>
                  <w:t>四、本期期末余额</w:t>
                </w:r>
              </w:p>
            </w:tc>
          </w:sdtContent>
        </w:sdt>
        <w:tc>
          <w:tcPr>
            <w:tcW w:w="1078" w:type="dxa"/>
            <w:tcBorders>
              <w:right w:val="single" w:sz="4" w:space="0" w:color="auto"/>
            </w:tcBorders>
            <w:vAlign w:val="center"/>
          </w:tcPr>
          <w:p>
            <w:pPr>
              <w:jc w:val="right"/>
              <w:rPr>
                <w:szCs w:val="21"/>
              </w:rPr>
            </w:pPr>
            <w:r>
              <w:rPr>
                <w:szCs w:val="21"/>
              </w:rPr>
              <w:t>10,039,860</w:t>
            </w:r>
          </w:p>
        </w:tc>
        <w:tc>
          <w:tcPr>
            <w:tcW w:w="1050" w:type="dxa"/>
            <w:tcBorders>
              <w:left w:val="single" w:sz="4" w:space="0" w:color="auto"/>
              <w:right w:val="single" w:sz="4" w:space="0" w:color="auto"/>
            </w:tcBorders>
            <w:vAlign w:val="center"/>
          </w:tcPr>
          <w:p>
            <w:pPr>
              <w:jc w:val="right"/>
              <w:rPr>
                <w:szCs w:val="21"/>
              </w:rPr>
            </w:pPr>
          </w:p>
        </w:tc>
        <w:tc>
          <w:tcPr>
            <w:tcW w:w="1078" w:type="dxa"/>
            <w:tcBorders>
              <w:left w:val="single" w:sz="4" w:space="0" w:color="auto"/>
              <w:right w:val="single" w:sz="4" w:space="0" w:color="auto"/>
            </w:tcBorders>
            <w:vAlign w:val="center"/>
          </w:tcPr>
          <w:p>
            <w:pPr>
              <w:jc w:val="right"/>
              <w:rPr>
                <w:szCs w:val="21"/>
              </w:rPr>
            </w:pPr>
            <w:r>
              <w:rPr>
                <w:szCs w:val="21"/>
              </w:rPr>
              <w:t>23,267,221</w:t>
            </w:r>
          </w:p>
        </w:tc>
        <w:tc>
          <w:tcPr>
            <w:tcW w:w="1091" w:type="dxa"/>
            <w:tcBorders>
              <w:left w:val="single" w:sz="4" w:space="0" w:color="auto"/>
            </w:tcBorders>
            <w:vAlign w:val="center"/>
          </w:tcPr>
          <w:p>
            <w:pPr>
              <w:jc w:val="right"/>
              <w:rPr>
                <w:szCs w:val="21"/>
              </w:rPr>
            </w:pPr>
          </w:p>
        </w:tc>
        <w:tc>
          <w:tcPr>
            <w:tcW w:w="1036" w:type="dxa"/>
            <w:vAlign w:val="center"/>
          </w:tcPr>
          <w:p>
            <w:pPr>
              <w:jc w:val="right"/>
              <w:rPr>
                <w:szCs w:val="21"/>
              </w:rPr>
            </w:pPr>
            <w:r>
              <w:rPr>
                <w:szCs w:val="21"/>
              </w:rPr>
              <w:t>4,628,743</w:t>
            </w:r>
          </w:p>
        </w:tc>
        <w:tc>
          <w:tcPr>
            <w:tcW w:w="1064" w:type="dxa"/>
            <w:vAlign w:val="center"/>
          </w:tcPr>
          <w:p>
            <w:pPr>
              <w:jc w:val="right"/>
              <w:rPr>
                <w:szCs w:val="21"/>
              </w:rPr>
            </w:pPr>
            <w:r>
              <w:rPr>
                <w:szCs w:val="21"/>
              </w:rPr>
              <w:t>112,417</w:t>
            </w:r>
          </w:p>
        </w:tc>
        <w:tc>
          <w:tcPr>
            <w:tcW w:w="1022" w:type="dxa"/>
            <w:vAlign w:val="center"/>
          </w:tcPr>
          <w:p>
            <w:pPr>
              <w:jc w:val="right"/>
              <w:rPr>
                <w:szCs w:val="21"/>
              </w:rPr>
            </w:pPr>
            <w:r>
              <w:rPr>
                <w:szCs w:val="21"/>
              </w:rPr>
              <w:t>439,219</w:t>
            </w:r>
          </w:p>
        </w:tc>
        <w:tc>
          <w:tcPr>
            <w:tcW w:w="1183" w:type="dxa"/>
            <w:vAlign w:val="center"/>
          </w:tcPr>
          <w:p>
            <w:pPr>
              <w:jc w:val="right"/>
              <w:rPr>
                <w:szCs w:val="21"/>
              </w:rPr>
            </w:pPr>
            <w:r>
              <w:rPr>
                <w:szCs w:val="21"/>
              </w:rPr>
              <w:t>1,140,167</w:t>
            </w:r>
          </w:p>
        </w:tc>
        <w:tc>
          <w:tcPr>
            <w:tcW w:w="1134" w:type="dxa"/>
            <w:vAlign w:val="center"/>
          </w:tcPr>
          <w:p>
            <w:pPr>
              <w:jc w:val="right"/>
              <w:rPr>
                <w:szCs w:val="21"/>
              </w:rPr>
            </w:pPr>
            <w:r>
              <w:rPr>
                <w:szCs w:val="21"/>
              </w:rPr>
              <w:t>2,841,392</w:t>
            </w:r>
          </w:p>
        </w:tc>
        <w:tc>
          <w:tcPr>
            <w:tcW w:w="1276" w:type="dxa"/>
            <w:vAlign w:val="center"/>
          </w:tcPr>
          <w:p>
            <w:pPr>
              <w:jc w:val="right"/>
              <w:rPr>
                <w:szCs w:val="21"/>
              </w:rPr>
            </w:pPr>
            <w:r>
              <w:rPr>
                <w:szCs w:val="21"/>
              </w:rPr>
              <w:t>9,174,557</w:t>
            </w:r>
          </w:p>
        </w:tc>
        <w:tc>
          <w:tcPr>
            <w:tcW w:w="1275" w:type="dxa"/>
            <w:vAlign w:val="center"/>
          </w:tcPr>
          <w:p>
            <w:pPr>
              <w:jc w:val="right"/>
              <w:rPr>
                <w:szCs w:val="21"/>
              </w:rPr>
            </w:pPr>
            <w:r>
              <w:rPr>
                <w:szCs w:val="21"/>
              </w:rPr>
              <w:t>51,418,742</w:t>
            </w:r>
          </w:p>
        </w:tc>
      </w:tr>
    </w:tbl>
    <w:p>
      <w:pPr>
        <w:pStyle w:val="affffffffffffffffff3"/>
      </w:pPr>
    </w:p>
    <w:p>
      <w:pPr>
        <w:rPr>
          <w:szCs w:val="21"/>
        </w:rPr>
      </w:pPr>
      <w:r>
        <w:rPr>
          <w:szCs w:val="21"/>
        </w:rPr>
        <w:br w:type="page"/>
      </w:r>
    </w:p>
    <w:tbl>
      <w:tblPr>
        <w:tblStyle w:val="affffffffff8"/>
        <w:tblW w:w="144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969"/>
        <w:gridCol w:w="1078"/>
        <w:gridCol w:w="631"/>
        <w:gridCol w:w="1134"/>
        <w:gridCol w:w="567"/>
        <w:gridCol w:w="992"/>
        <w:gridCol w:w="993"/>
        <w:gridCol w:w="1275"/>
        <w:gridCol w:w="1134"/>
        <w:gridCol w:w="1134"/>
        <w:gridCol w:w="1276"/>
        <w:gridCol w:w="1276"/>
      </w:tblGrid>
      <w:tr>
        <w:trPr>
          <w:trHeight w:val="20"/>
          <w:jc w:val="center"/>
        </w:trPr>
        <w:tc>
          <w:tcPr>
            <w:tcW w:w="2969" w:type="dxa"/>
            <w:vMerge w:val="restart"/>
            <w:vAlign w:val="center"/>
          </w:tcPr>
          <w:sdt>
            <w:sdtPr>
              <w:rPr>
                <w:szCs w:val="21"/>
              </w:rPr>
              <w:tag w:val="_PLD_64a794ab75214f6d9d66748804bee4e8"/>
              <w:id w:val="965317712"/>
            </w:sdtPr>
            <w:sdtContent>
              <w:p>
                <w:pPr>
                  <w:adjustRightInd w:val="0"/>
                  <w:snapToGrid w:val="0"/>
                  <w:jc w:val="center"/>
                  <w:rPr>
                    <w:szCs w:val="21"/>
                  </w:rPr>
                </w:pPr>
                <w:r>
                  <w:rPr>
                    <w:rFonts w:hint="eastAsia"/>
                    <w:szCs w:val="21"/>
                  </w:rPr>
                  <w:t>项目</w:t>
                </w:r>
              </w:p>
            </w:sdtContent>
          </w:sdt>
        </w:tc>
        <w:tc>
          <w:tcPr>
            <w:tcW w:w="11490" w:type="dxa"/>
            <w:gridSpan w:val="11"/>
          </w:tcPr>
          <w:p>
            <w:pPr>
              <w:adjustRightInd w:val="0"/>
              <w:snapToGrid w:val="0"/>
              <w:jc w:val="center"/>
              <w:rPr>
                <w:szCs w:val="21"/>
              </w:rPr>
            </w:pPr>
            <w:r>
              <w:rPr>
                <w:rFonts w:hint="eastAsia"/>
                <w:szCs w:val="21"/>
              </w:rPr>
              <w:t xml:space="preserve"> </w:t>
            </w:r>
            <w:sdt>
              <w:sdtPr>
                <w:rPr>
                  <w:szCs w:val="21"/>
                </w:rPr>
                <w:tag w:val="_PLD_6226137cffd442dfb505b8cfe7d1f423"/>
                <w:id w:val="680239973"/>
              </w:sdtPr>
              <w:sdtContent>
                <w:r>
                  <w:rPr>
                    <w:rFonts w:hint="eastAsia"/>
                    <w:szCs w:val="21"/>
                  </w:rPr>
                  <w:t>2023年度</w:t>
                </w:r>
              </w:sdtContent>
            </w:sdt>
          </w:p>
        </w:tc>
      </w:tr>
      <w:tr>
        <w:trPr>
          <w:trHeight w:val="315"/>
          <w:jc w:val="center"/>
        </w:trPr>
        <w:tc>
          <w:tcPr>
            <w:tcW w:w="2969" w:type="dxa"/>
            <w:vMerge/>
          </w:tcPr>
          <w:p>
            <w:pPr>
              <w:adjustRightInd w:val="0"/>
              <w:snapToGrid w:val="0"/>
              <w:rPr>
                <w:szCs w:val="21"/>
              </w:rPr>
            </w:pPr>
          </w:p>
        </w:tc>
        <w:sdt>
          <w:sdtPr>
            <w:rPr>
              <w:szCs w:val="21"/>
            </w:rPr>
            <w:tag w:val="_PLD_e0e316f064db43a38ddec14c349b4dfa"/>
            <w:id w:val="-1134012249"/>
          </w:sdtPr>
          <w:sdtContent>
            <w:tc>
              <w:tcPr>
                <w:tcW w:w="1078" w:type="dxa"/>
                <w:vMerge w:val="restart"/>
                <w:tcBorders>
                  <w:right w:val="single" w:sz="4" w:space="0" w:color="auto"/>
                </w:tcBorders>
                <w:vAlign w:val="center"/>
              </w:tcPr>
              <w:p>
                <w:pPr>
                  <w:adjustRightInd w:val="0"/>
                  <w:snapToGrid w:val="0"/>
                  <w:jc w:val="center"/>
                  <w:rPr>
                    <w:szCs w:val="21"/>
                  </w:rPr>
                </w:pPr>
                <w:r>
                  <w:rPr>
                    <w:szCs w:val="21"/>
                  </w:rPr>
                  <w:t>实收资本 (或股本)</w:t>
                </w:r>
              </w:p>
            </w:tc>
          </w:sdtContent>
        </w:sdt>
        <w:sdt>
          <w:sdtPr>
            <w:rPr>
              <w:szCs w:val="21"/>
            </w:rPr>
            <w:tag w:val="_PLD_2c82747108ee4c518651265b45dbebcd"/>
            <w:id w:val="1669904990"/>
          </w:sdtPr>
          <w:sdtContent>
            <w:tc>
              <w:tcPr>
                <w:tcW w:w="2332" w:type="dxa"/>
                <w:gridSpan w:val="3"/>
                <w:tcBorders>
                  <w:left w:val="single" w:sz="4" w:space="0" w:color="auto"/>
                  <w:bottom w:val="single" w:sz="4" w:space="0" w:color="auto"/>
                </w:tcBorders>
                <w:vAlign w:val="center"/>
              </w:tcPr>
              <w:p>
                <w:pPr>
                  <w:adjustRightInd w:val="0"/>
                  <w:snapToGrid w:val="0"/>
                  <w:jc w:val="center"/>
                  <w:rPr>
                    <w:szCs w:val="21"/>
                  </w:rPr>
                </w:pPr>
                <w:r>
                  <w:rPr>
                    <w:rFonts w:hint="eastAsia"/>
                    <w:szCs w:val="21"/>
                  </w:rPr>
                  <w:t>其他权益工具</w:t>
                </w:r>
              </w:p>
            </w:tc>
          </w:sdtContent>
        </w:sdt>
        <w:sdt>
          <w:sdtPr>
            <w:rPr>
              <w:szCs w:val="21"/>
            </w:rPr>
            <w:tag w:val="_PLD_c459549b516242be83fce2e92cc794e6"/>
            <w:id w:val="310606486"/>
          </w:sdtPr>
          <w:sdtContent>
            <w:tc>
              <w:tcPr>
                <w:tcW w:w="992" w:type="dxa"/>
                <w:vMerge w:val="restart"/>
                <w:vAlign w:val="center"/>
              </w:tcPr>
              <w:p>
                <w:pPr>
                  <w:adjustRightInd w:val="0"/>
                  <w:snapToGrid w:val="0"/>
                  <w:jc w:val="center"/>
                  <w:rPr>
                    <w:szCs w:val="21"/>
                  </w:rPr>
                </w:pPr>
                <w:r>
                  <w:rPr>
                    <w:szCs w:val="21"/>
                  </w:rPr>
                  <w:t>资本公积</w:t>
                </w:r>
              </w:p>
            </w:tc>
          </w:sdtContent>
        </w:sdt>
        <w:sdt>
          <w:sdtPr>
            <w:rPr>
              <w:szCs w:val="21"/>
            </w:rPr>
            <w:tag w:val="_PLD_9979085a666a4b7a9ee698268b0bb615"/>
            <w:id w:val="374583429"/>
          </w:sdtPr>
          <w:sdtContent>
            <w:tc>
              <w:tcPr>
                <w:tcW w:w="993" w:type="dxa"/>
                <w:vMerge w:val="restart"/>
                <w:vAlign w:val="center"/>
              </w:tcPr>
              <w:p>
                <w:pPr>
                  <w:adjustRightInd w:val="0"/>
                  <w:snapToGrid w:val="0"/>
                  <w:jc w:val="center"/>
                  <w:rPr>
                    <w:szCs w:val="21"/>
                  </w:rPr>
                </w:pPr>
                <w:r>
                  <w:rPr>
                    <w:szCs w:val="21"/>
                  </w:rPr>
                  <w:t>减：库存股</w:t>
                </w:r>
              </w:p>
            </w:tc>
          </w:sdtContent>
        </w:sdt>
        <w:sdt>
          <w:sdtPr>
            <w:rPr>
              <w:szCs w:val="21"/>
            </w:rPr>
            <w:tag w:val="_PLD_3b870c2efbdc421980e0e6ed21bc828a"/>
            <w:id w:val="1418215567"/>
          </w:sdtPr>
          <w:sdtContent>
            <w:tc>
              <w:tcPr>
                <w:tcW w:w="1275" w:type="dxa"/>
                <w:vMerge w:val="restart"/>
                <w:vAlign w:val="center"/>
              </w:tcPr>
              <w:p>
                <w:pPr>
                  <w:jc w:val="center"/>
                  <w:rPr>
                    <w:szCs w:val="21"/>
                  </w:rPr>
                </w:pPr>
                <w:r>
                  <w:rPr>
                    <w:rFonts w:hint="eastAsia"/>
                    <w:szCs w:val="21"/>
                  </w:rPr>
                  <w:t>其他综合收益</w:t>
                </w:r>
              </w:p>
            </w:tc>
          </w:sdtContent>
        </w:sdt>
        <w:sdt>
          <w:sdtPr>
            <w:rPr>
              <w:szCs w:val="21"/>
            </w:rPr>
            <w:tag w:val="_PLD_68a9918174cf4752ad67388e59bb3c51"/>
            <w:id w:val="-277408793"/>
          </w:sdtPr>
          <w:sdtContent>
            <w:tc>
              <w:tcPr>
                <w:tcW w:w="1134" w:type="dxa"/>
                <w:vMerge w:val="restart"/>
                <w:vAlign w:val="center"/>
              </w:tcPr>
              <w:p>
                <w:pPr>
                  <w:adjustRightInd w:val="0"/>
                  <w:snapToGrid w:val="0"/>
                  <w:jc w:val="center"/>
                  <w:rPr>
                    <w:szCs w:val="21"/>
                  </w:rPr>
                </w:pPr>
                <w:r>
                  <w:rPr>
                    <w:rFonts w:hint="eastAsia"/>
                    <w:szCs w:val="21"/>
                  </w:rPr>
                  <w:t>专项储备</w:t>
                </w:r>
              </w:p>
            </w:tc>
          </w:sdtContent>
        </w:sdt>
        <w:sdt>
          <w:sdtPr>
            <w:rPr>
              <w:szCs w:val="21"/>
            </w:rPr>
            <w:tag w:val="_PLD_eddda9b1710646a5811c9efb65bf8703"/>
            <w:id w:val="-863056145"/>
          </w:sdtPr>
          <w:sdtContent>
            <w:tc>
              <w:tcPr>
                <w:tcW w:w="1134" w:type="dxa"/>
                <w:vMerge w:val="restart"/>
                <w:vAlign w:val="center"/>
              </w:tcPr>
              <w:p>
                <w:pPr>
                  <w:adjustRightInd w:val="0"/>
                  <w:snapToGrid w:val="0"/>
                  <w:jc w:val="center"/>
                  <w:rPr>
                    <w:szCs w:val="21"/>
                  </w:rPr>
                </w:pPr>
                <w:r>
                  <w:rPr>
                    <w:szCs w:val="21"/>
                  </w:rPr>
                  <w:t>盈余公积</w:t>
                </w:r>
              </w:p>
            </w:tc>
          </w:sdtContent>
        </w:sdt>
        <w:sdt>
          <w:sdtPr>
            <w:rPr>
              <w:szCs w:val="21"/>
            </w:rPr>
            <w:tag w:val="_PLD_d210b1f3e63743b7b7ad078da7c00997"/>
            <w:id w:val="-49701299"/>
          </w:sdtPr>
          <w:sdtContent>
            <w:tc>
              <w:tcPr>
                <w:tcW w:w="1276" w:type="dxa"/>
                <w:vMerge w:val="restart"/>
                <w:vAlign w:val="center"/>
              </w:tcPr>
              <w:p>
                <w:pPr>
                  <w:adjustRightInd w:val="0"/>
                  <w:snapToGrid w:val="0"/>
                  <w:jc w:val="center"/>
                  <w:rPr>
                    <w:szCs w:val="21"/>
                  </w:rPr>
                </w:pPr>
                <w:r>
                  <w:rPr>
                    <w:szCs w:val="21"/>
                  </w:rPr>
                  <w:t>未分配利润</w:t>
                </w:r>
              </w:p>
            </w:tc>
          </w:sdtContent>
        </w:sdt>
        <w:sdt>
          <w:sdtPr>
            <w:rPr>
              <w:szCs w:val="21"/>
            </w:rPr>
            <w:tag w:val="_PLD_d0efa115b304401592a693cab0f3a46a"/>
            <w:id w:val="1499622081"/>
          </w:sdtPr>
          <w:sdtContent>
            <w:tc>
              <w:tcPr>
                <w:tcW w:w="1276" w:type="dxa"/>
                <w:vMerge w:val="restart"/>
                <w:vAlign w:val="center"/>
              </w:tcPr>
              <w:p>
                <w:pPr>
                  <w:adjustRightInd w:val="0"/>
                  <w:snapToGrid w:val="0"/>
                  <w:jc w:val="center"/>
                  <w:rPr>
                    <w:szCs w:val="21"/>
                  </w:rPr>
                </w:pPr>
                <w:r>
                  <w:rPr>
                    <w:szCs w:val="21"/>
                  </w:rPr>
                  <w:t>所有者权益合计</w:t>
                </w:r>
              </w:p>
            </w:tc>
          </w:sdtContent>
        </w:sdt>
      </w:tr>
      <w:tr>
        <w:trPr>
          <w:trHeight w:val="294"/>
          <w:jc w:val="center"/>
        </w:trPr>
        <w:tc>
          <w:tcPr>
            <w:tcW w:w="2969" w:type="dxa"/>
            <w:vMerge/>
          </w:tcPr>
          <w:p>
            <w:pPr>
              <w:adjustRightInd w:val="0"/>
              <w:snapToGrid w:val="0"/>
              <w:rPr>
                <w:szCs w:val="21"/>
              </w:rPr>
            </w:pPr>
          </w:p>
        </w:tc>
        <w:tc>
          <w:tcPr>
            <w:tcW w:w="1078" w:type="dxa"/>
            <w:vMerge/>
            <w:tcBorders>
              <w:right w:val="single" w:sz="4" w:space="0" w:color="auto"/>
            </w:tcBorders>
          </w:tcPr>
          <w:p>
            <w:pPr>
              <w:adjustRightInd w:val="0"/>
              <w:snapToGrid w:val="0"/>
              <w:jc w:val="center"/>
              <w:rPr>
                <w:szCs w:val="21"/>
              </w:rPr>
            </w:pPr>
          </w:p>
        </w:tc>
        <w:sdt>
          <w:sdtPr>
            <w:rPr>
              <w:szCs w:val="21"/>
            </w:rPr>
            <w:tag w:val="_PLD_f219b4732c3e4bd5a67b8c298432fd3d"/>
            <w:id w:val="-822121405"/>
          </w:sdtPr>
          <w:sdtContent>
            <w:tc>
              <w:tcPr>
                <w:tcW w:w="631" w:type="dxa"/>
                <w:tcBorders>
                  <w:top w:val="single" w:sz="4" w:space="0" w:color="auto"/>
                  <w:left w:val="single" w:sz="4" w:space="0" w:color="auto"/>
                  <w:right w:val="single" w:sz="4" w:space="0" w:color="auto"/>
                </w:tcBorders>
                <w:vAlign w:val="center"/>
              </w:tcPr>
              <w:p>
                <w:pPr>
                  <w:adjustRightInd w:val="0"/>
                  <w:snapToGrid w:val="0"/>
                  <w:jc w:val="center"/>
                  <w:rPr>
                    <w:szCs w:val="21"/>
                  </w:rPr>
                </w:pPr>
                <w:r>
                  <w:rPr>
                    <w:rFonts w:hint="eastAsia"/>
                    <w:szCs w:val="21"/>
                  </w:rPr>
                  <w:t>优先股</w:t>
                </w:r>
              </w:p>
            </w:tc>
          </w:sdtContent>
        </w:sdt>
        <w:sdt>
          <w:sdtPr>
            <w:rPr>
              <w:szCs w:val="21"/>
            </w:rPr>
            <w:tag w:val="_PLD_9c8ca36c728447658d99fee93d742edf"/>
            <w:id w:val="-1720124909"/>
          </w:sdtPr>
          <w:sdtContent>
            <w:tc>
              <w:tcPr>
                <w:tcW w:w="1134" w:type="dxa"/>
                <w:tcBorders>
                  <w:top w:val="single" w:sz="4" w:space="0" w:color="auto"/>
                  <w:left w:val="single" w:sz="4" w:space="0" w:color="auto"/>
                  <w:right w:val="single" w:sz="4" w:space="0" w:color="auto"/>
                </w:tcBorders>
                <w:vAlign w:val="center"/>
              </w:tcPr>
              <w:p>
                <w:pPr>
                  <w:adjustRightInd w:val="0"/>
                  <w:snapToGrid w:val="0"/>
                  <w:jc w:val="center"/>
                  <w:rPr>
                    <w:szCs w:val="21"/>
                  </w:rPr>
                </w:pPr>
                <w:r>
                  <w:rPr>
                    <w:rFonts w:hint="eastAsia"/>
                    <w:szCs w:val="21"/>
                  </w:rPr>
                  <w:t>永续债</w:t>
                </w:r>
              </w:p>
            </w:tc>
          </w:sdtContent>
        </w:sdt>
        <w:sdt>
          <w:sdtPr>
            <w:rPr>
              <w:szCs w:val="21"/>
            </w:rPr>
            <w:tag w:val="_PLD_d053abd77b574111883b8fafe3a173d2"/>
            <w:id w:val="151183647"/>
          </w:sdtPr>
          <w:sdtContent>
            <w:tc>
              <w:tcPr>
                <w:tcW w:w="567" w:type="dxa"/>
                <w:tcBorders>
                  <w:top w:val="single" w:sz="4" w:space="0" w:color="auto"/>
                  <w:left w:val="single" w:sz="4" w:space="0" w:color="auto"/>
                </w:tcBorders>
                <w:vAlign w:val="center"/>
              </w:tcPr>
              <w:p>
                <w:pPr>
                  <w:adjustRightInd w:val="0"/>
                  <w:snapToGrid w:val="0"/>
                  <w:jc w:val="center"/>
                  <w:rPr>
                    <w:szCs w:val="21"/>
                  </w:rPr>
                </w:pPr>
                <w:r>
                  <w:rPr>
                    <w:rFonts w:hint="eastAsia"/>
                    <w:szCs w:val="21"/>
                  </w:rPr>
                  <w:t>其他</w:t>
                </w:r>
              </w:p>
            </w:tc>
          </w:sdtContent>
        </w:sdt>
        <w:tc>
          <w:tcPr>
            <w:tcW w:w="992" w:type="dxa"/>
            <w:vMerge/>
          </w:tcPr>
          <w:p>
            <w:pPr>
              <w:adjustRightInd w:val="0"/>
              <w:snapToGrid w:val="0"/>
              <w:jc w:val="center"/>
              <w:rPr>
                <w:szCs w:val="21"/>
              </w:rPr>
            </w:pPr>
          </w:p>
        </w:tc>
        <w:tc>
          <w:tcPr>
            <w:tcW w:w="993" w:type="dxa"/>
            <w:vMerge/>
          </w:tcPr>
          <w:p>
            <w:pPr>
              <w:adjustRightInd w:val="0"/>
              <w:snapToGrid w:val="0"/>
              <w:jc w:val="center"/>
              <w:rPr>
                <w:szCs w:val="21"/>
              </w:rPr>
            </w:pPr>
          </w:p>
        </w:tc>
        <w:tc>
          <w:tcPr>
            <w:tcW w:w="1275" w:type="dxa"/>
            <w:vMerge/>
          </w:tcPr>
          <w:p>
            <w:pPr>
              <w:jc w:val="center"/>
              <w:rPr>
                <w:szCs w:val="21"/>
              </w:rPr>
            </w:pPr>
          </w:p>
        </w:tc>
        <w:tc>
          <w:tcPr>
            <w:tcW w:w="1134" w:type="dxa"/>
            <w:vMerge/>
          </w:tcPr>
          <w:p>
            <w:pPr>
              <w:adjustRightInd w:val="0"/>
              <w:snapToGrid w:val="0"/>
              <w:jc w:val="center"/>
              <w:rPr>
                <w:szCs w:val="21"/>
              </w:rPr>
            </w:pPr>
          </w:p>
        </w:tc>
        <w:tc>
          <w:tcPr>
            <w:tcW w:w="1134" w:type="dxa"/>
            <w:vMerge/>
          </w:tcPr>
          <w:p>
            <w:pPr>
              <w:adjustRightInd w:val="0"/>
              <w:snapToGrid w:val="0"/>
              <w:jc w:val="center"/>
              <w:rPr>
                <w:szCs w:val="21"/>
              </w:rPr>
            </w:pPr>
          </w:p>
        </w:tc>
        <w:tc>
          <w:tcPr>
            <w:tcW w:w="1276" w:type="dxa"/>
            <w:vMerge/>
          </w:tcPr>
          <w:p>
            <w:pPr>
              <w:adjustRightInd w:val="0"/>
              <w:snapToGrid w:val="0"/>
              <w:jc w:val="center"/>
              <w:rPr>
                <w:szCs w:val="21"/>
              </w:rPr>
            </w:pPr>
          </w:p>
        </w:tc>
        <w:tc>
          <w:tcPr>
            <w:tcW w:w="1276" w:type="dxa"/>
            <w:vMerge/>
          </w:tcPr>
          <w:p>
            <w:pPr>
              <w:adjustRightInd w:val="0"/>
              <w:snapToGrid w:val="0"/>
              <w:jc w:val="center"/>
              <w:rPr>
                <w:szCs w:val="21"/>
              </w:rPr>
            </w:pPr>
          </w:p>
        </w:tc>
      </w:tr>
      <w:tr>
        <w:trPr>
          <w:trHeight w:val="20"/>
          <w:jc w:val="center"/>
        </w:trPr>
        <w:sdt>
          <w:sdtPr>
            <w:rPr>
              <w:szCs w:val="21"/>
            </w:rPr>
            <w:tag w:val="_PLD_4b9f68f704bb4acfae62b3d3cbf0d790"/>
            <w:id w:val="-663858861"/>
          </w:sdtPr>
          <w:sdtContent>
            <w:tc>
              <w:tcPr>
                <w:tcW w:w="2969" w:type="dxa"/>
                <w:vAlign w:val="center"/>
              </w:tcPr>
              <w:p>
                <w:pPr>
                  <w:jc w:val="both"/>
                  <w:rPr>
                    <w:szCs w:val="21"/>
                  </w:rPr>
                </w:pPr>
                <w:r>
                  <w:rPr>
                    <w:szCs w:val="21"/>
                  </w:rPr>
                  <w:t>一、上年</w:t>
                </w:r>
                <w:r>
                  <w:rPr>
                    <w:rFonts w:hint="eastAsia"/>
                    <w:szCs w:val="21"/>
                  </w:rPr>
                  <w:t>年</w:t>
                </w:r>
                <w:r>
                  <w:rPr>
                    <w:szCs w:val="21"/>
                  </w:rPr>
                  <w:t>末余额</w:t>
                </w:r>
              </w:p>
            </w:tc>
          </w:sdtContent>
        </w:sdt>
        <w:tc>
          <w:tcPr>
            <w:tcW w:w="1078" w:type="dxa"/>
            <w:tcBorders>
              <w:right w:val="single" w:sz="4" w:space="0" w:color="auto"/>
            </w:tcBorders>
            <w:vAlign w:val="center"/>
          </w:tcPr>
          <w:p>
            <w:pPr>
              <w:jc w:val="right"/>
              <w:rPr>
                <w:szCs w:val="21"/>
              </w:rPr>
            </w:pPr>
            <w:r>
              <w:rPr>
                <w:szCs w:val="21"/>
              </w:rPr>
              <w:t>4,948,704</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13,248,614</w:t>
            </w:r>
          </w:p>
        </w:tc>
        <w:tc>
          <w:tcPr>
            <w:tcW w:w="567" w:type="dxa"/>
            <w:tcBorders>
              <w:left w:val="single" w:sz="4" w:space="0" w:color="auto"/>
              <w:right w:val="single" w:sz="4" w:space="0" w:color="auto"/>
            </w:tcBorders>
            <w:vAlign w:val="center"/>
          </w:tcPr>
          <w:p>
            <w:pPr>
              <w:jc w:val="right"/>
              <w:rPr>
                <w:szCs w:val="21"/>
              </w:rPr>
            </w:pPr>
          </w:p>
        </w:tc>
        <w:tc>
          <w:tcPr>
            <w:tcW w:w="992" w:type="dxa"/>
            <w:tcBorders>
              <w:left w:val="single" w:sz="4" w:space="0" w:color="auto"/>
            </w:tcBorders>
            <w:vAlign w:val="center"/>
          </w:tcPr>
          <w:p>
            <w:pPr>
              <w:jc w:val="right"/>
              <w:rPr>
                <w:szCs w:val="21"/>
              </w:rPr>
            </w:pPr>
            <w:r>
              <w:rPr>
                <w:szCs w:val="21"/>
              </w:rPr>
              <w:t>741,559</w:t>
            </w:r>
          </w:p>
        </w:tc>
        <w:tc>
          <w:tcPr>
            <w:tcW w:w="993" w:type="dxa"/>
            <w:vAlign w:val="center"/>
          </w:tcPr>
          <w:p>
            <w:pPr>
              <w:jc w:val="right"/>
              <w:rPr>
                <w:szCs w:val="21"/>
              </w:rPr>
            </w:pPr>
            <w:r>
              <w:rPr>
                <w:szCs w:val="21"/>
              </w:rPr>
              <w:t>723,593</w:t>
            </w:r>
          </w:p>
        </w:tc>
        <w:tc>
          <w:tcPr>
            <w:tcW w:w="1275" w:type="dxa"/>
            <w:vAlign w:val="center"/>
          </w:tcPr>
          <w:p>
            <w:pPr>
              <w:jc w:val="right"/>
              <w:rPr>
                <w:szCs w:val="21"/>
              </w:rPr>
            </w:pPr>
            <w:r>
              <w:rPr>
                <w:szCs w:val="21"/>
              </w:rPr>
              <w:t>187,468</w:t>
            </w:r>
          </w:p>
        </w:tc>
        <w:tc>
          <w:tcPr>
            <w:tcW w:w="1134" w:type="dxa"/>
            <w:vAlign w:val="center"/>
          </w:tcPr>
          <w:p>
            <w:pPr>
              <w:jc w:val="right"/>
              <w:rPr>
                <w:szCs w:val="21"/>
              </w:rPr>
            </w:pPr>
            <w:r>
              <w:rPr>
                <w:szCs w:val="21"/>
              </w:rPr>
              <w:t>2,229,350</w:t>
            </w:r>
          </w:p>
        </w:tc>
        <w:tc>
          <w:tcPr>
            <w:tcW w:w="1134" w:type="dxa"/>
            <w:vAlign w:val="center"/>
          </w:tcPr>
          <w:p>
            <w:pPr>
              <w:jc w:val="right"/>
              <w:rPr>
                <w:szCs w:val="21"/>
              </w:rPr>
            </w:pPr>
            <w:r>
              <w:rPr>
                <w:szCs w:val="21"/>
              </w:rPr>
              <w:t>2,703,147</w:t>
            </w:r>
          </w:p>
        </w:tc>
        <w:tc>
          <w:tcPr>
            <w:tcW w:w="1276" w:type="dxa"/>
            <w:vAlign w:val="center"/>
          </w:tcPr>
          <w:p>
            <w:pPr>
              <w:jc w:val="right"/>
              <w:rPr>
                <w:szCs w:val="21"/>
              </w:rPr>
            </w:pPr>
            <w:r>
              <w:rPr>
                <w:szCs w:val="21"/>
              </w:rPr>
              <w:t>41,793,364</w:t>
            </w:r>
          </w:p>
        </w:tc>
        <w:tc>
          <w:tcPr>
            <w:tcW w:w="1276" w:type="dxa"/>
            <w:vAlign w:val="center"/>
          </w:tcPr>
          <w:p>
            <w:pPr>
              <w:jc w:val="right"/>
              <w:rPr>
                <w:szCs w:val="21"/>
              </w:rPr>
            </w:pPr>
            <w:r>
              <w:rPr>
                <w:szCs w:val="21"/>
              </w:rPr>
              <w:t>65,128,613</w:t>
            </w:r>
          </w:p>
        </w:tc>
      </w:tr>
      <w:tr>
        <w:trPr>
          <w:trHeight w:val="20"/>
          <w:jc w:val="center"/>
        </w:trPr>
        <w:sdt>
          <w:sdtPr>
            <w:rPr>
              <w:szCs w:val="21"/>
            </w:rPr>
            <w:tag w:val="_PLD_f7c284bf05bc4bb48bad7c818c157aa9"/>
            <w:id w:val="1069551264"/>
          </w:sdtPr>
          <w:sdtContent>
            <w:tc>
              <w:tcPr>
                <w:tcW w:w="2969" w:type="dxa"/>
                <w:vAlign w:val="center"/>
              </w:tcPr>
              <w:p>
                <w:pPr>
                  <w:jc w:val="both"/>
                  <w:rPr>
                    <w:szCs w:val="21"/>
                  </w:rPr>
                </w:pPr>
                <w:r>
                  <w:rPr>
                    <w:szCs w:val="21"/>
                  </w:rPr>
                  <w:t>加：会计政策变更</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right w:val="single" w:sz="4" w:space="0" w:color="auto"/>
            </w:tcBorders>
            <w:vAlign w:val="center"/>
          </w:tcPr>
          <w:p>
            <w:pPr>
              <w:jc w:val="right"/>
              <w:rPr>
                <w:szCs w:val="21"/>
              </w:rPr>
            </w:pPr>
          </w:p>
        </w:tc>
        <w:tc>
          <w:tcPr>
            <w:tcW w:w="992" w:type="dxa"/>
            <w:tcBorders>
              <w:left w:val="single" w:sz="4" w:space="0" w:color="auto"/>
            </w:tcBorders>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b84d86ae618141938210b68f81aeafe0"/>
            <w:id w:val="1347910098"/>
          </w:sdtPr>
          <w:sdtContent>
            <w:tc>
              <w:tcPr>
                <w:tcW w:w="2969" w:type="dxa"/>
                <w:vAlign w:val="center"/>
              </w:tcPr>
              <w:p>
                <w:pPr>
                  <w:ind w:firstLineChars="200" w:firstLine="420"/>
                  <w:jc w:val="both"/>
                  <w:rPr>
                    <w:szCs w:val="21"/>
                  </w:rPr>
                </w:pPr>
                <w:r>
                  <w:rPr>
                    <w:szCs w:val="21"/>
                  </w:rPr>
                  <w:t>前期差错更正</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right w:val="single" w:sz="4" w:space="0" w:color="auto"/>
            </w:tcBorders>
            <w:vAlign w:val="center"/>
          </w:tcPr>
          <w:p>
            <w:pPr>
              <w:jc w:val="right"/>
              <w:rPr>
                <w:szCs w:val="21"/>
              </w:rPr>
            </w:pPr>
          </w:p>
        </w:tc>
        <w:tc>
          <w:tcPr>
            <w:tcW w:w="992" w:type="dxa"/>
            <w:tcBorders>
              <w:left w:val="single" w:sz="4" w:space="0" w:color="auto"/>
            </w:tcBorders>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ae13695d51ae418dba0671a598b76ffb"/>
            <w:id w:val="-762762660"/>
          </w:sdtPr>
          <w:sdtContent>
            <w:tc>
              <w:tcPr>
                <w:tcW w:w="2969" w:type="dxa"/>
                <w:vAlign w:val="center"/>
              </w:tcPr>
              <w:p>
                <w:pPr>
                  <w:ind w:firstLineChars="200" w:firstLine="420"/>
                  <w:jc w:val="both"/>
                  <w:rPr>
                    <w:szCs w:val="21"/>
                  </w:rPr>
                </w:pPr>
                <w:r>
                  <w:rPr>
                    <w:rFonts w:hint="eastAsia"/>
                    <w:szCs w:val="21"/>
                  </w:rPr>
                  <w:t>其他</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right w:val="single" w:sz="4" w:space="0" w:color="auto"/>
            </w:tcBorders>
            <w:vAlign w:val="center"/>
          </w:tcPr>
          <w:p>
            <w:pPr>
              <w:jc w:val="right"/>
              <w:rPr>
                <w:szCs w:val="21"/>
              </w:rPr>
            </w:pPr>
          </w:p>
        </w:tc>
        <w:tc>
          <w:tcPr>
            <w:tcW w:w="992" w:type="dxa"/>
            <w:tcBorders>
              <w:left w:val="single" w:sz="4" w:space="0" w:color="auto"/>
            </w:tcBorders>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r>
              <w:rPr>
                <w:szCs w:val="21"/>
              </w:rPr>
              <w:t>-2,703,147</w:t>
            </w:r>
          </w:p>
        </w:tc>
        <w:tc>
          <w:tcPr>
            <w:tcW w:w="1276" w:type="dxa"/>
            <w:vAlign w:val="center"/>
          </w:tcPr>
          <w:p>
            <w:pPr>
              <w:jc w:val="right"/>
              <w:rPr>
                <w:szCs w:val="21"/>
              </w:rPr>
            </w:pPr>
          </w:p>
        </w:tc>
        <w:tc>
          <w:tcPr>
            <w:tcW w:w="1276" w:type="dxa"/>
            <w:vAlign w:val="center"/>
          </w:tcPr>
          <w:p>
            <w:pPr>
              <w:jc w:val="right"/>
              <w:rPr>
                <w:szCs w:val="21"/>
              </w:rPr>
            </w:pPr>
            <w:r>
              <w:rPr>
                <w:szCs w:val="21"/>
              </w:rPr>
              <w:t>-2,703,147</w:t>
            </w:r>
          </w:p>
        </w:tc>
      </w:tr>
      <w:tr>
        <w:trPr>
          <w:trHeight w:val="20"/>
          <w:jc w:val="center"/>
        </w:trPr>
        <w:sdt>
          <w:sdtPr>
            <w:rPr>
              <w:szCs w:val="21"/>
            </w:rPr>
            <w:tag w:val="_PLD_4841ceb909a14a2abffb67eeb3435694"/>
            <w:id w:val="1509015117"/>
          </w:sdtPr>
          <w:sdtContent>
            <w:tc>
              <w:tcPr>
                <w:tcW w:w="2969" w:type="dxa"/>
                <w:vAlign w:val="center"/>
              </w:tcPr>
              <w:p>
                <w:pPr>
                  <w:jc w:val="both"/>
                  <w:rPr>
                    <w:szCs w:val="21"/>
                  </w:rPr>
                </w:pPr>
                <w:r>
                  <w:rPr>
                    <w:szCs w:val="21"/>
                  </w:rPr>
                  <w:t>二、本年</w:t>
                </w:r>
                <w:r>
                  <w:rPr>
                    <w:rFonts w:hint="eastAsia"/>
                    <w:szCs w:val="21"/>
                  </w:rPr>
                  <w:t>期</w:t>
                </w:r>
                <w:r>
                  <w:rPr>
                    <w:szCs w:val="21"/>
                  </w:rPr>
                  <w:t>初余额</w:t>
                </w:r>
              </w:p>
            </w:tc>
          </w:sdtContent>
        </w:sdt>
        <w:tc>
          <w:tcPr>
            <w:tcW w:w="1078" w:type="dxa"/>
            <w:tcBorders>
              <w:right w:val="single" w:sz="4" w:space="0" w:color="auto"/>
            </w:tcBorders>
            <w:vAlign w:val="center"/>
          </w:tcPr>
          <w:p>
            <w:pPr>
              <w:jc w:val="right"/>
              <w:rPr>
                <w:szCs w:val="21"/>
              </w:rPr>
            </w:pPr>
            <w:r>
              <w:rPr>
                <w:szCs w:val="21"/>
              </w:rPr>
              <w:t>4,948,704</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13,248,614</w:t>
            </w:r>
          </w:p>
        </w:tc>
        <w:tc>
          <w:tcPr>
            <w:tcW w:w="567" w:type="dxa"/>
            <w:tcBorders>
              <w:left w:val="single" w:sz="4" w:space="0" w:color="auto"/>
              <w:right w:val="single" w:sz="4" w:space="0" w:color="auto"/>
            </w:tcBorders>
            <w:vAlign w:val="center"/>
          </w:tcPr>
          <w:p>
            <w:pPr>
              <w:jc w:val="right"/>
              <w:rPr>
                <w:szCs w:val="21"/>
              </w:rPr>
            </w:pPr>
          </w:p>
        </w:tc>
        <w:tc>
          <w:tcPr>
            <w:tcW w:w="992" w:type="dxa"/>
            <w:tcBorders>
              <w:left w:val="single" w:sz="4" w:space="0" w:color="auto"/>
            </w:tcBorders>
            <w:vAlign w:val="center"/>
          </w:tcPr>
          <w:p>
            <w:pPr>
              <w:jc w:val="right"/>
              <w:rPr>
                <w:szCs w:val="21"/>
              </w:rPr>
            </w:pPr>
            <w:r>
              <w:rPr>
                <w:szCs w:val="21"/>
              </w:rPr>
              <w:t>741,559</w:t>
            </w:r>
          </w:p>
        </w:tc>
        <w:tc>
          <w:tcPr>
            <w:tcW w:w="993" w:type="dxa"/>
            <w:vAlign w:val="center"/>
          </w:tcPr>
          <w:p>
            <w:pPr>
              <w:jc w:val="right"/>
              <w:rPr>
                <w:szCs w:val="21"/>
              </w:rPr>
            </w:pPr>
            <w:r>
              <w:rPr>
                <w:szCs w:val="21"/>
              </w:rPr>
              <w:t>723,593</w:t>
            </w:r>
          </w:p>
        </w:tc>
        <w:tc>
          <w:tcPr>
            <w:tcW w:w="1275" w:type="dxa"/>
            <w:vAlign w:val="center"/>
          </w:tcPr>
          <w:p>
            <w:pPr>
              <w:jc w:val="right"/>
              <w:rPr>
                <w:szCs w:val="21"/>
              </w:rPr>
            </w:pPr>
            <w:r>
              <w:rPr>
                <w:szCs w:val="21"/>
              </w:rPr>
              <w:t>187,468</w:t>
            </w:r>
          </w:p>
        </w:tc>
        <w:tc>
          <w:tcPr>
            <w:tcW w:w="1134" w:type="dxa"/>
            <w:vAlign w:val="center"/>
          </w:tcPr>
          <w:p>
            <w:pPr>
              <w:jc w:val="right"/>
              <w:rPr>
                <w:szCs w:val="21"/>
              </w:rPr>
            </w:pPr>
            <w:r>
              <w:rPr>
                <w:szCs w:val="21"/>
              </w:rPr>
              <w:t>2,229,350</w:t>
            </w:r>
          </w:p>
        </w:tc>
        <w:tc>
          <w:tcPr>
            <w:tcW w:w="1134" w:type="dxa"/>
            <w:vAlign w:val="center"/>
          </w:tcPr>
          <w:p>
            <w:pPr>
              <w:jc w:val="right"/>
              <w:rPr>
                <w:szCs w:val="21"/>
              </w:rPr>
            </w:pPr>
          </w:p>
        </w:tc>
        <w:tc>
          <w:tcPr>
            <w:tcW w:w="1276" w:type="dxa"/>
            <w:vAlign w:val="center"/>
          </w:tcPr>
          <w:p>
            <w:pPr>
              <w:jc w:val="right"/>
              <w:rPr>
                <w:szCs w:val="21"/>
              </w:rPr>
            </w:pPr>
            <w:r>
              <w:rPr>
                <w:szCs w:val="21"/>
              </w:rPr>
              <w:t>41,793,364</w:t>
            </w:r>
          </w:p>
        </w:tc>
        <w:tc>
          <w:tcPr>
            <w:tcW w:w="1276" w:type="dxa"/>
            <w:vAlign w:val="center"/>
          </w:tcPr>
          <w:p>
            <w:pPr>
              <w:jc w:val="right"/>
              <w:rPr>
                <w:szCs w:val="21"/>
              </w:rPr>
            </w:pPr>
            <w:r>
              <w:rPr>
                <w:szCs w:val="21"/>
              </w:rPr>
              <w:t>62,425,466</w:t>
            </w:r>
          </w:p>
        </w:tc>
      </w:tr>
      <w:tr>
        <w:trPr>
          <w:trHeight w:val="20"/>
          <w:jc w:val="center"/>
        </w:trPr>
        <w:sdt>
          <w:sdtPr>
            <w:rPr>
              <w:szCs w:val="21"/>
            </w:rPr>
            <w:tag w:val="_PLD_302909e63784410386a25e7b0c2339c7"/>
            <w:id w:val="28853667"/>
          </w:sdtPr>
          <w:sdtContent>
            <w:tc>
              <w:tcPr>
                <w:tcW w:w="2969" w:type="dxa"/>
                <w:vAlign w:val="center"/>
              </w:tcPr>
              <w:p>
                <w:pPr>
                  <w:jc w:val="both"/>
                  <w:rPr>
                    <w:szCs w:val="21"/>
                  </w:rPr>
                </w:pPr>
                <w:r>
                  <w:rPr>
                    <w:szCs w:val="21"/>
                  </w:rPr>
                  <w:t>三、本</w:t>
                </w:r>
                <w:r>
                  <w:rPr>
                    <w:rFonts w:hint="eastAsia"/>
                    <w:szCs w:val="21"/>
                  </w:rPr>
                  <w:t>期</w:t>
                </w:r>
                <w:r>
                  <w:rPr>
                    <w:szCs w:val="21"/>
                  </w:rPr>
                  <w:t>增减变动金额（减少以“－”号填列）</w:t>
                </w:r>
              </w:p>
            </w:tc>
          </w:sdtContent>
        </w:sdt>
        <w:tc>
          <w:tcPr>
            <w:tcW w:w="1078" w:type="dxa"/>
            <w:tcBorders>
              <w:right w:val="single" w:sz="4" w:space="0" w:color="auto"/>
            </w:tcBorders>
            <w:vAlign w:val="center"/>
          </w:tcPr>
          <w:p>
            <w:pPr>
              <w:jc w:val="right"/>
              <w:rPr>
                <w:szCs w:val="21"/>
              </w:rPr>
            </w:pPr>
            <w:r>
              <w:rPr>
                <w:szCs w:val="21"/>
              </w:rPr>
              <w:t>2,490,667</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3,293,163</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-458,696</w:t>
            </w:r>
          </w:p>
        </w:tc>
        <w:tc>
          <w:tcPr>
            <w:tcW w:w="993" w:type="dxa"/>
            <w:vAlign w:val="center"/>
          </w:tcPr>
          <w:p>
            <w:pPr>
              <w:jc w:val="right"/>
              <w:rPr>
                <w:szCs w:val="21"/>
              </w:rPr>
            </w:pPr>
            <w:r>
              <w:rPr>
                <w:szCs w:val="21"/>
              </w:rPr>
              <w:t>-398,613</w:t>
            </w:r>
          </w:p>
        </w:tc>
        <w:tc>
          <w:tcPr>
            <w:tcW w:w="1275" w:type="dxa"/>
            <w:vAlign w:val="center"/>
          </w:tcPr>
          <w:p>
            <w:pPr>
              <w:jc w:val="right"/>
              <w:rPr>
                <w:szCs w:val="21"/>
              </w:rPr>
            </w:pPr>
            <w:r>
              <w:rPr>
                <w:szCs w:val="21"/>
              </w:rPr>
              <w:t>28,115</w:t>
            </w:r>
          </w:p>
        </w:tc>
        <w:tc>
          <w:tcPr>
            <w:tcW w:w="1134" w:type="dxa"/>
            <w:vAlign w:val="center"/>
          </w:tcPr>
          <w:p>
            <w:pPr>
              <w:jc w:val="right"/>
              <w:rPr>
                <w:szCs w:val="21"/>
              </w:rPr>
            </w:pPr>
            <w:r>
              <w:rPr>
                <w:szCs w:val="21"/>
              </w:rPr>
              <w:t>-798,172</w:t>
            </w: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-27,083,725</w:t>
            </w:r>
          </w:p>
        </w:tc>
        <w:tc>
          <w:tcPr>
            <w:tcW w:w="1276" w:type="dxa"/>
            <w:vAlign w:val="center"/>
          </w:tcPr>
          <w:p>
            <w:pPr>
              <w:jc w:val="right"/>
              <w:rPr>
                <w:szCs w:val="21"/>
              </w:rPr>
            </w:pPr>
            <w:r>
              <w:rPr>
                <w:szCs w:val="21"/>
              </w:rPr>
              <w:t>-20,466,220</w:t>
            </w:r>
          </w:p>
        </w:tc>
      </w:tr>
      <w:tr>
        <w:trPr>
          <w:trHeight w:val="20"/>
          <w:jc w:val="center"/>
        </w:trPr>
        <w:sdt>
          <w:sdtPr>
            <w:rPr>
              <w:szCs w:val="21"/>
            </w:rPr>
            <w:tag w:val="_PLD_565b6c314fb34fb6b0c677b992754d48"/>
            <w:id w:val="-898203721"/>
          </w:sdtPr>
          <w:sdtContent>
            <w:tc>
              <w:tcPr>
                <w:tcW w:w="2969" w:type="dxa"/>
                <w:vAlign w:val="center"/>
              </w:tcPr>
              <w:p>
                <w:pPr>
                  <w:jc w:val="both"/>
                  <w:rPr>
                    <w:szCs w:val="21"/>
                  </w:rPr>
                </w:pPr>
                <w:r>
                  <w:rPr>
                    <w:rFonts w:hint="eastAsia"/>
                    <w:szCs w:val="21"/>
                  </w:rPr>
                  <w:t>（一）综合收益总额</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444,743</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r>
              <w:rPr>
                <w:szCs w:val="21"/>
              </w:rPr>
              <w:t>28,115</w:t>
            </w: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r>
              <w:rPr>
                <w:szCs w:val="21"/>
              </w:rPr>
              <w:t>16,638,147</w:t>
            </w:r>
          </w:p>
        </w:tc>
        <w:tc>
          <w:tcPr>
            <w:tcW w:w="1276" w:type="dxa"/>
            <w:vAlign w:val="center"/>
          </w:tcPr>
          <w:p>
            <w:pPr>
              <w:jc w:val="right"/>
              <w:rPr>
                <w:szCs w:val="21"/>
              </w:rPr>
            </w:pPr>
            <w:r>
              <w:rPr>
                <w:szCs w:val="21"/>
              </w:rPr>
              <w:t>17,111,005</w:t>
            </w:r>
          </w:p>
        </w:tc>
      </w:tr>
      <w:tr>
        <w:trPr>
          <w:trHeight w:val="20"/>
          <w:jc w:val="center"/>
        </w:trPr>
        <w:sdt>
          <w:sdtPr>
            <w:rPr>
              <w:szCs w:val="21"/>
            </w:rPr>
            <w:tag w:val="_PLD_4f759bcfeb8744e79a2c846685bf5bf7"/>
            <w:id w:val="-597106751"/>
          </w:sdtPr>
          <w:sdtContent>
            <w:tc>
              <w:tcPr>
                <w:tcW w:w="2969" w:type="dxa"/>
                <w:vAlign w:val="center"/>
              </w:tcPr>
              <w:p>
                <w:pPr>
                  <w:jc w:val="both"/>
                  <w:rPr>
                    <w:szCs w:val="21"/>
                  </w:rPr>
                </w:pPr>
                <w:r>
                  <w:rPr>
                    <w:szCs w:val="21"/>
                  </w:rPr>
                  <w:t>（</w:t>
                </w:r>
                <w:r>
                  <w:rPr>
                    <w:rFonts w:hint="eastAsia"/>
                    <w:szCs w:val="21"/>
                  </w:rPr>
                  <w:t>二</w:t>
                </w:r>
                <w:r>
                  <w:rPr>
                    <w:szCs w:val="21"/>
                  </w:rPr>
                  <w:t>）所有者投入和减少资本</w:t>
                </w:r>
              </w:p>
            </w:tc>
          </w:sdtContent>
        </w:sdt>
        <w:tc>
          <w:tcPr>
            <w:tcW w:w="1078" w:type="dxa"/>
            <w:tcBorders>
              <w:right w:val="single" w:sz="4" w:space="0" w:color="auto"/>
            </w:tcBorders>
            <w:vAlign w:val="center"/>
          </w:tcPr>
          <w:p>
            <w:pPr>
              <w:jc w:val="right"/>
              <w:rPr>
                <w:szCs w:val="21"/>
              </w:rPr>
            </w:pPr>
            <w:r>
              <w:rPr>
                <w:szCs w:val="21"/>
              </w:rPr>
              <w:t>9,987</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3,301,400</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-444,663</w:t>
            </w:r>
          </w:p>
        </w:tc>
        <w:tc>
          <w:tcPr>
            <w:tcW w:w="993" w:type="dxa"/>
            <w:vAlign w:val="center"/>
          </w:tcPr>
          <w:p>
            <w:pPr>
              <w:jc w:val="right"/>
              <w:rPr>
                <w:szCs w:val="21"/>
              </w:rPr>
            </w:pPr>
            <w:r>
              <w:rPr>
                <w:szCs w:val="21"/>
              </w:rPr>
              <w:t>-398,613</w:t>
            </w: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r>
              <w:rPr>
                <w:szCs w:val="21"/>
              </w:rPr>
              <w:t>-18,243,527</w:t>
            </w:r>
          </w:p>
        </w:tc>
        <w:tc>
          <w:tcPr>
            <w:tcW w:w="1276" w:type="dxa"/>
            <w:vAlign w:val="center"/>
          </w:tcPr>
          <w:p>
            <w:pPr>
              <w:jc w:val="right"/>
              <w:rPr>
                <w:szCs w:val="21"/>
              </w:rPr>
            </w:pPr>
            <w:r>
              <w:rPr>
                <w:szCs w:val="21"/>
              </w:rPr>
              <w:t>-14,978,190</w:t>
            </w:r>
          </w:p>
        </w:tc>
      </w:tr>
      <w:tr>
        <w:trPr>
          <w:trHeight w:val="20"/>
          <w:jc w:val="center"/>
        </w:trPr>
        <w:sdt>
          <w:sdtPr>
            <w:rPr>
              <w:szCs w:val="21"/>
            </w:rPr>
            <w:tag w:val="_PLD_2ca71442ff4441faa275f28e1236357f"/>
            <w:id w:val="1712760343"/>
          </w:sdtPr>
          <w:sdtContent>
            <w:tc>
              <w:tcPr>
                <w:tcW w:w="2969" w:type="dxa"/>
                <w:vAlign w:val="center"/>
              </w:tcPr>
              <w:p>
                <w:pPr>
                  <w:jc w:val="both"/>
                  <w:rPr>
                    <w:szCs w:val="21"/>
                  </w:rPr>
                </w:pPr>
                <w:r>
                  <w:rPr>
                    <w:rFonts w:hint="eastAsia"/>
                    <w:szCs w:val="21"/>
                  </w:rPr>
                  <w:t>1．所有者投入的普通股</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c9217abeeb6e46ac8415ee33ff13a461"/>
            <w:id w:val="568696532"/>
          </w:sdtPr>
          <w:sdtContent>
            <w:tc>
              <w:tcPr>
                <w:tcW w:w="2969" w:type="dxa"/>
                <w:vAlign w:val="center"/>
              </w:tcPr>
              <w:p>
                <w:pPr>
                  <w:jc w:val="both"/>
                  <w:rPr>
                    <w:szCs w:val="21"/>
                  </w:rPr>
                </w:pPr>
                <w:r>
                  <w:rPr>
                    <w:rFonts w:hint="eastAsia"/>
                    <w:szCs w:val="21"/>
                  </w:rPr>
                  <w:t>2．其他权益工具持有者投入资本</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3,301,400</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-3,400</w:t>
            </w: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r>
              <w:rPr>
                <w:szCs w:val="21"/>
              </w:rPr>
              <w:t>3,298,000</w:t>
            </w:r>
          </w:p>
        </w:tc>
      </w:tr>
      <w:tr>
        <w:trPr>
          <w:trHeight w:val="20"/>
          <w:jc w:val="center"/>
        </w:trPr>
        <w:sdt>
          <w:sdtPr>
            <w:rPr>
              <w:szCs w:val="21"/>
            </w:rPr>
            <w:tag w:val="_PLD_5b62e12f39a04fa3a5e1647793ab3e5e"/>
            <w:id w:val="2088805057"/>
          </w:sdtPr>
          <w:sdtContent>
            <w:tc>
              <w:tcPr>
                <w:tcW w:w="2969" w:type="dxa"/>
                <w:vAlign w:val="center"/>
              </w:tcPr>
              <w:p>
                <w:pPr>
                  <w:jc w:val="both"/>
                  <w:rPr>
                    <w:szCs w:val="21"/>
                  </w:rPr>
                </w:pPr>
                <w:r>
                  <w:rPr>
                    <w:rFonts w:hint="eastAsia"/>
                    <w:szCs w:val="21"/>
                  </w:rPr>
                  <w:t>3</w:t>
                </w:r>
                <w:r>
                  <w:rPr>
                    <w:szCs w:val="21"/>
                  </w:rPr>
                  <w:t>．股份支付计入所有者权益的金额</w:t>
                </w:r>
              </w:p>
            </w:tc>
          </w:sdtContent>
        </w:sdt>
        <w:tc>
          <w:tcPr>
            <w:tcW w:w="1078" w:type="dxa"/>
            <w:tcBorders>
              <w:right w:val="single" w:sz="4" w:space="0" w:color="auto"/>
            </w:tcBorders>
            <w:vAlign w:val="center"/>
          </w:tcPr>
          <w:p>
            <w:pPr>
              <w:jc w:val="right"/>
              <w:rPr>
                <w:szCs w:val="21"/>
              </w:rPr>
            </w:pPr>
            <w:r>
              <w:rPr>
                <w:szCs w:val="21"/>
              </w:rPr>
              <w:t>9,987</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306,050</w:t>
            </w: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r>
              <w:rPr>
                <w:szCs w:val="21"/>
              </w:rPr>
              <w:t>316,037</w:t>
            </w:r>
          </w:p>
        </w:tc>
      </w:tr>
      <w:tr>
        <w:trPr>
          <w:trHeight w:val="20"/>
          <w:jc w:val="center"/>
        </w:trPr>
        <w:tc>
          <w:tcPr>
            <w:tcW w:w="2969" w:type="dxa"/>
            <w:vAlign w:val="center"/>
          </w:tcPr>
          <w:p>
            <w:pPr>
              <w:jc w:val="both"/>
              <w:rPr>
                <w:szCs w:val="21"/>
              </w:rPr>
            </w:pPr>
            <w:r>
              <w:rPr>
                <w:rFonts w:hint="eastAsia"/>
                <w:szCs w:val="21"/>
              </w:rPr>
              <w:t xml:space="preserve">    4.同一控制下企业合并</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631"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134"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567" w:type="dxa"/>
            <w:tcBorders>
              <w:left w:val="single" w:sz="4" w:space="0" w:color="auto"/>
            </w:tcBorders>
            <w:vAlign w:val="center"/>
          </w:tcPr>
          <w:p>
            <w:pPr>
              <w:jc w:val="right"/>
              <w:rPr>
                <w:szCs w:val="21"/>
              </w:rPr>
            </w:pPr>
            <w:r>
              <w:rPr>
                <w:rFonts w:hint="eastAsia"/>
                <w:szCs w:val="21"/>
              </w:rPr>
              <w:t xml:space="preserve">　</w:t>
            </w:r>
          </w:p>
        </w:tc>
        <w:tc>
          <w:tcPr>
            <w:tcW w:w="992" w:type="dxa"/>
            <w:vAlign w:val="center"/>
          </w:tcPr>
          <w:p>
            <w:pPr>
              <w:jc w:val="right"/>
              <w:rPr>
                <w:szCs w:val="21"/>
              </w:rPr>
            </w:pPr>
            <w:r>
              <w:rPr>
                <w:rFonts w:hint="eastAsia"/>
                <w:szCs w:val="21"/>
              </w:rPr>
              <w:t xml:space="preserve">　</w:t>
            </w:r>
          </w:p>
        </w:tc>
        <w:tc>
          <w:tcPr>
            <w:tcW w:w="993" w:type="dxa"/>
            <w:vAlign w:val="center"/>
          </w:tcPr>
          <w:p>
            <w:pPr>
              <w:jc w:val="right"/>
              <w:rPr>
                <w:szCs w:val="21"/>
              </w:rPr>
            </w:pPr>
            <w:r>
              <w:rPr>
                <w:rFonts w:hint="eastAsia"/>
                <w:szCs w:val="21"/>
              </w:rPr>
              <w:t xml:space="preserve">　</w:t>
            </w:r>
          </w:p>
        </w:tc>
        <w:tc>
          <w:tcPr>
            <w:tcW w:w="1275"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　</w:t>
            </w:r>
          </w:p>
        </w:tc>
        <w:sdt>
          <w:sdtPr>
            <w:rPr>
              <w:szCs w:val="21"/>
            </w:rPr>
            <w:alias w:val="其他所有者权益合计"/>
            <w:tag w:val="_GBC_4961fe274dc44785994451c9dac75ae0"/>
            <w:id w:val="574950395"/>
          </w:sdtPr>
          <w:sdtContent>
            <w:tc>
              <w:tcPr>
                <w:tcW w:w="1276" w:type="dxa"/>
                <w:vAlign w:val="center"/>
              </w:tcPr>
              <w:p>
                <w:pPr>
                  <w:jc w:val="right"/>
                  <w:rPr>
                    <w:szCs w:val="21"/>
                  </w:rPr>
                </w:pPr>
              </w:p>
            </w:tc>
          </w:sdtContent>
        </w:sdt>
      </w:tr>
      <w:tr>
        <w:trPr>
          <w:trHeight w:val="20"/>
          <w:jc w:val="center"/>
        </w:trPr>
        <w:tc>
          <w:tcPr>
            <w:tcW w:w="2969" w:type="dxa"/>
            <w:vAlign w:val="center"/>
          </w:tcPr>
          <w:p>
            <w:pPr>
              <w:jc w:val="both"/>
              <w:rPr>
                <w:szCs w:val="21"/>
              </w:rPr>
            </w:pPr>
            <w:r>
              <w:rPr>
                <w:rFonts w:hint="eastAsia"/>
                <w:szCs w:val="21"/>
              </w:rPr>
              <w:t xml:space="preserve">    5.其他</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631"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134"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567" w:type="dxa"/>
            <w:tcBorders>
              <w:left w:val="single" w:sz="4" w:space="0" w:color="auto"/>
            </w:tcBorders>
            <w:vAlign w:val="center"/>
          </w:tcPr>
          <w:p>
            <w:pPr>
              <w:jc w:val="right"/>
              <w:rPr>
                <w:szCs w:val="21"/>
              </w:rPr>
            </w:pPr>
            <w:r>
              <w:rPr>
                <w:rFonts w:hint="eastAsia"/>
                <w:szCs w:val="21"/>
              </w:rPr>
              <w:t xml:space="preserve">　</w:t>
            </w:r>
          </w:p>
        </w:tc>
        <w:tc>
          <w:tcPr>
            <w:tcW w:w="992" w:type="dxa"/>
            <w:vAlign w:val="center"/>
          </w:tcPr>
          <w:p>
            <w:pPr>
              <w:jc w:val="right"/>
              <w:rPr>
                <w:szCs w:val="21"/>
              </w:rPr>
            </w:pPr>
            <w:r>
              <w:rPr>
                <w:rFonts w:hint="eastAsia"/>
                <w:szCs w:val="21"/>
              </w:rPr>
              <w:t xml:space="preserve">-747,313 </w:t>
            </w:r>
          </w:p>
        </w:tc>
        <w:tc>
          <w:tcPr>
            <w:tcW w:w="993" w:type="dxa"/>
            <w:vAlign w:val="center"/>
          </w:tcPr>
          <w:p>
            <w:pPr>
              <w:jc w:val="right"/>
              <w:rPr>
                <w:szCs w:val="21"/>
              </w:rPr>
            </w:pPr>
            <w:r>
              <w:rPr>
                <w:rFonts w:hint="eastAsia"/>
                <w:szCs w:val="21"/>
              </w:rPr>
              <w:t xml:space="preserve">-398,613 </w:t>
            </w:r>
          </w:p>
        </w:tc>
        <w:tc>
          <w:tcPr>
            <w:tcW w:w="1275"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-18,243,527 </w:t>
            </w:r>
          </w:p>
        </w:tc>
        <w:tc>
          <w:tcPr>
            <w:tcW w:w="1276" w:type="dxa"/>
            <w:vAlign w:val="center"/>
          </w:tcPr>
          <w:p>
            <w:pPr>
              <w:jc w:val="right"/>
              <w:rPr>
                <w:szCs w:val="21"/>
              </w:rPr>
            </w:pPr>
            <w:r>
              <w:rPr>
                <w:szCs w:val="21"/>
              </w:rPr>
              <w:t>-18,592,227</w:t>
            </w:r>
          </w:p>
        </w:tc>
      </w:tr>
      <w:tr>
        <w:trPr>
          <w:trHeight w:val="20"/>
          <w:jc w:val="center"/>
        </w:trPr>
        <w:sdt>
          <w:sdtPr>
            <w:rPr>
              <w:szCs w:val="21"/>
            </w:rPr>
            <w:tag w:val="_PLD_806901fee79c40f688fa2f02ab1d596d"/>
            <w:id w:val="-333838128"/>
          </w:sdtPr>
          <w:sdtContent>
            <w:tc>
              <w:tcPr>
                <w:tcW w:w="2969" w:type="dxa"/>
                <w:vAlign w:val="center"/>
              </w:tcPr>
              <w:p>
                <w:pPr>
                  <w:jc w:val="both"/>
                  <w:rPr>
                    <w:szCs w:val="21"/>
                  </w:rPr>
                </w:pPr>
                <w:r>
                  <w:rPr>
                    <w:szCs w:val="21"/>
                  </w:rPr>
                  <w:t>（</w:t>
                </w:r>
                <w:r>
                  <w:rPr>
                    <w:rFonts w:hint="eastAsia"/>
                    <w:szCs w:val="21"/>
                  </w:rPr>
                  <w:t>三</w:t>
                </w:r>
                <w:r>
                  <w:rPr>
                    <w:szCs w:val="21"/>
                  </w:rPr>
                  <w:t>）利润分配</w:t>
                </w:r>
              </w:p>
            </w:tc>
          </w:sdtContent>
        </w:sdt>
        <w:tc>
          <w:tcPr>
            <w:tcW w:w="1078" w:type="dxa"/>
            <w:tcBorders>
              <w:right w:val="single" w:sz="4" w:space="0" w:color="auto"/>
            </w:tcBorders>
            <w:vAlign w:val="center"/>
          </w:tcPr>
          <w:p>
            <w:pPr>
              <w:jc w:val="right"/>
              <w:rPr>
                <w:szCs w:val="21"/>
              </w:rPr>
            </w:pPr>
            <w:r>
              <w:rPr>
                <w:szCs w:val="21"/>
              </w:rPr>
              <w:t>2,480,680</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-452,980</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-14,033</w:t>
            </w: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-25,478,345</w:t>
            </w:r>
          </w:p>
        </w:tc>
        <w:tc>
          <w:tcPr>
            <w:tcW w:w="1276" w:type="dxa"/>
            <w:vAlign w:val="center"/>
          </w:tcPr>
          <w:p>
            <w:pPr>
              <w:jc w:val="right"/>
              <w:rPr>
                <w:szCs w:val="21"/>
              </w:rPr>
            </w:pPr>
            <w:r>
              <w:rPr>
                <w:szCs w:val="21"/>
              </w:rPr>
              <w:t>-21,800,863</w:t>
            </w:r>
          </w:p>
        </w:tc>
      </w:tr>
      <w:tr>
        <w:trPr>
          <w:trHeight w:val="20"/>
          <w:jc w:val="center"/>
        </w:trPr>
        <w:sdt>
          <w:sdtPr>
            <w:rPr>
              <w:szCs w:val="21"/>
            </w:rPr>
            <w:tag w:val="_PLD_5936c2d33e22476597644c98158847c6"/>
            <w:id w:val="1336352243"/>
          </w:sdtPr>
          <w:sdtContent>
            <w:tc>
              <w:tcPr>
                <w:tcW w:w="2969" w:type="dxa"/>
                <w:vAlign w:val="center"/>
              </w:tcPr>
              <w:p>
                <w:pPr>
                  <w:jc w:val="both"/>
                  <w:rPr>
                    <w:szCs w:val="21"/>
                  </w:rPr>
                </w:pPr>
                <w:r>
                  <w:rPr>
                    <w:szCs w:val="21"/>
                  </w:rPr>
                  <w:t>1．提取盈余公积</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-1,663,815</w:t>
            </w:r>
          </w:p>
        </w:tc>
        <w:tc>
          <w:tcPr>
            <w:tcW w:w="1276" w:type="dxa"/>
            <w:vAlign w:val="center"/>
          </w:tcPr>
          <w:p>
            <w:pPr>
              <w:jc w:val="right"/>
              <w:rPr>
                <w:szCs w:val="21"/>
              </w:rPr>
            </w:pPr>
          </w:p>
        </w:tc>
      </w:tr>
      <w:tr>
        <w:trPr>
          <w:trHeight w:val="20"/>
          <w:jc w:val="center"/>
        </w:trPr>
        <w:sdt>
          <w:sdtPr>
            <w:rPr>
              <w:szCs w:val="21"/>
            </w:rPr>
            <w:tag w:val="_PLD_210044b047ac492dbe47ba7aedd16fad"/>
            <w:id w:val="1142929373"/>
          </w:sdtPr>
          <w:sdtContent>
            <w:tc>
              <w:tcPr>
                <w:tcW w:w="2969" w:type="dxa"/>
                <w:vAlign w:val="center"/>
              </w:tcPr>
              <w:p>
                <w:pPr>
                  <w:jc w:val="both"/>
                  <w:rPr>
                    <w:szCs w:val="21"/>
                  </w:rPr>
                </w:pPr>
                <w:r>
                  <w:rPr>
                    <w:rFonts w:hint="eastAsia"/>
                    <w:szCs w:val="21"/>
                  </w:rPr>
                  <w:t>2</w:t>
                </w:r>
                <w:r>
                  <w:rPr>
                    <w:szCs w:val="21"/>
                  </w:rPr>
                  <w:t>．对所有者（或股东）的分配</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r>
              <w:rPr>
                <w:szCs w:val="21"/>
              </w:rPr>
              <w:t>-21,333,850</w:t>
            </w:r>
          </w:p>
        </w:tc>
        <w:tc>
          <w:tcPr>
            <w:tcW w:w="1276" w:type="dxa"/>
            <w:vAlign w:val="center"/>
          </w:tcPr>
          <w:p>
            <w:pPr>
              <w:jc w:val="right"/>
              <w:rPr>
                <w:szCs w:val="21"/>
              </w:rPr>
            </w:pPr>
            <w:r>
              <w:rPr>
                <w:szCs w:val="21"/>
              </w:rPr>
              <w:t>-21,333,850</w:t>
            </w:r>
          </w:p>
        </w:tc>
      </w:tr>
      <w:tr>
        <w:trPr>
          <w:trHeight w:val="20"/>
          <w:jc w:val="center"/>
        </w:trPr>
        <w:tc>
          <w:tcPr>
            <w:tcW w:w="2969" w:type="dxa"/>
            <w:vAlign w:val="center"/>
          </w:tcPr>
          <w:p>
            <w:pPr>
              <w:jc w:val="both"/>
              <w:rPr>
                <w:szCs w:val="21"/>
              </w:rPr>
            </w:pPr>
            <w:r>
              <w:rPr>
                <w:rFonts w:hint="eastAsia"/>
                <w:szCs w:val="21"/>
              </w:rPr>
              <w:t xml:space="preserve">    3.对其他权益工具持有者的分配</w:t>
            </w:r>
          </w:p>
        </w:tc>
        <w:tc>
          <w:tcPr>
            <w:tcW w:w="1078" w:type="dxa"/>
            <w:tcBorders>
              <w:right w:val="single" w:sz="4" w:space="0" w:color="auto"/>
            </w:tcBorders>
            <w:vAlign w:val="center"/>
          </w:tcPr>
          <w:p>
            <w:pPr>
              <w:jc w:val="right"/>
              <w:rPr>
                <w:szCs w:val="21"/>
              </w:rPr>
            </w:pPr>
            <w:r>
              <w:rPr>
                <w:rFonts w:hint="eastAsia"/>
                <w:szCs w:val="21"/>
              </w:rPr>
              <w:t xml:space="preserve">　</w:t>
            </w:r>
          </w:p>
        </w:tc>
        <w:tc>
          <w:tcPr>
            <w:tcW w:w="631"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134"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567" w:type="dxa"/>
            <w:tcBorders>
              <w:left w:val="single" w:sz="4" w:space="0" w:color="auto"/>
            </w:tcBorders>
            <w:vAlign w:val="center"/>
          </w:tcPr>
          <w:p>
            <w:pPr>
              <w:jc w:val="right"/>
              <w:rPr>
                <w:szCs w:val="21"/>
              </w:rPr>
            </w:pPr>
            <w:r>
              <w:rPr>
                <w:rFonts w:hint="eastAsia"/>
                <w:szCs w:val="21"/>
              </w:rPr>
              <w:t xml:space="preserve">　</w:t>
            </w:r>
          </w:p>
        </w:tc>
        <w:tc>
          <w:tcPr>
            <w:tcW w:w="992" w:type="dxa"/>
            <w:vAlign w:val="center"/>
          </w:tcPr>
          <w:p>
            <w:pPr>
              <w:jc w:val="right"/>
              <w:rPr>
                <w:szCs w:val="21"/>
              </w:rPr>
            </w:pPr>
            <w:r>
              <w:rPr>
                <w:rFonts w:hint="eastAsia"/>
                <w:szCs w:val="21"/>
              </w:rPr>
              <w:t xml:space="preserve">　</w:t>
            </w:r>
          </w:p>
        </w:tc>
        <w:tc>
          <w:tcPr>
            <w:tcW w:w="993" w:type="dxa"/>
            <w:vAlign w:val="center"/>
          </w:tcPr>
          <w:p>
            <w:pPr>
              <w:jc w:val="right"/>
              <w:rPr>
                <w:szCs w:val="21"/>
              </w:rPr>
            </w:pPr>
            <w:r>
              <w:rPr>
                <w:rFonts w:hint="eastAsia"/>
                <w:szCs w:val="21"/>
              </w:rPr>
              <w:t xml:space="preserve">　</w:t>
            </w:r>
          </w:p>
        </w:tc>
        <w:tc>
          <w:tcPr>
            <w:tcW w:w="1275"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　</w:t>
            </w:r>
          </w:p>
        </w:tc>
        <w:sdt>
          <w:sdtPr>
            <w:rPr>
              <w:szCs w:val="21"/>
            </w:rPr>
            <w:alias w:val="其他所有者权益合计"/>
            <w:tag w:val="_GBC_c644ffd4b1ab4f72bb4dee111adac7ab"/>
            <w:id w:val="-17859684"/>
          </w:sdtPr>
          <w:sdtContent>
            <w:tc>
              <w:tcPr>
                <w:tcW w:w="1276" w:type="dxa"/>
                <w:vAlign w:val="center"/>
              </w:tcPr>
              <w:p>
                <w:pPr>
                  <w:jc w:val="right"/>
                  <w:rPr>
                    <w:szCs w:val="21"/>
                  </w:rPr>
                </w:pPr>
              </w:p>
            </w:tc>
          </w:sdtContent>
        </w:sdt>
      </w:tr>
      <w:tr>
        <w:trPr>
          <w:trHeight w:val="20"/>
          <w:jc w:val="center"/>
        </w:trPr>
        <w:tc>
          <w:tcPr>
            <w:tcW w:w="2969" w:type="dxa"/>
            <w:vAlign w:val="center"/>
          </w:tcPr>
          <w:p>
            <w:pPr>
              <w:jc w:val="both"/>
              <w:rPr>
                <w:szCs w:val="21"/>
              </w:rPr>
            </w:pPr>
            <w:r>
              <w:rPr>
                <w:rFonts w:hint="eastAsia"/>
                <w:szCs w:val="21"/>
              </w:rPr>
              <w:t xml:space="preserve">    4.其他</w:t>
            </w:r>
          </w:p>
        </w:tc>
        <w:tc>
          <w:tcPr>
            <w:tcW w:w="1078" w:type="dxa"/>
            <w:tcBorders>
              <w:right w:val="single" w:sz="4" w:space="0" w:color="auto"/>
            </w:tcBorders>
            <w:vAlign w:val="center"/>
          </w:tcPr>
          <w:p>
            <w:pPr>
              <w:jc w:val="right"/>
              <w:rPr>
                <w:szCs w:val="21"/>
              </w:rPr>
            </w:pPr>
            <w:r>
              <w:rPr>
                <w:rFonts w:hint="eastAsia"/>
                <w:szCs w:val="21"/>
              </w:rPr>
              <w:t xml:space="preserve">2,480,680 </w:t>
            </w:r>
          </w:p>
        </w:tc>
        <w:tc>
          <w:tcPr>
            <w:tcW w:w="631" w:type="dxa"/>
            <w:tcBorders>
              <w:left w:val="single" w:sz="4" w:space="0" w:color="auto"/>
              <w:right w:val="single" w:sz="4" w:space="0" w:color="auto"/>
            </w:tcBorders>
            <w:vAlign w:val="center"/>
          </w:tcPr>
          <w:p>
            <w:pPr>
              <w:jc w:val="right"/>
              <w:rPr>
                <w:szCs w:val="21"/>
              </w:rPr>
            </w:pPr>
            <w:r>
              <w:rPr>
                <w:rFonts w:hint="eastAsia"/>
                <w:szCs w:val="21"/>
              </w:rPr>
              <w:t xml:space="preserve">　</w:t>
            </w:r>
          </w:p>
        </w:tc>
        <w:tc>
          <w:tcPr>
            <w:tcW w:w="1134" w:type="dxa"/>
            <w:tcBorders>
              <w:left w:val="single" w:sz="4" w:space="0" w:color="auto"/>
              <w:right w:val="single" w:sz="4" w:space="0" w:color="auto"/>
            </w:tcBorders>
            <w:vAlign w:val="center"/>
          </w:tcPr>
          <w:p>
            <w:pPr>
              <w:jc w:val="right"/>
              <w:rPr>
                <w:szCs w:val="21"/>
              </w:rPr>
            </w:pPr>
            <w:r>
              <w:rPr>
                <w:rFonts w:hint="eastAsia"/>
                <w:szCs w:val="21"/>
              </w:rPr>
              <w:t xml:space="preserve">-452,980 </w:t>
            </w:r>
          </w:p>
        </w:tc>
        <w:tc>
          <w:tcPr>
            <w:tcW w:w="567" w:type="dxa"/>
            <w:tcBorders>
              <w:left w:val="single" w:sz="4" w:space="0" w:color="auto"/>
            </w:tcBorders>
            <w:vAlign w:val="center"/>
          </w:tcPr>
          <w:p>
            <w:pPr>
              <w:jc w:val="right"/>
              <w:rPr>
                <w:szCs w:val="21"/>
              </w:rPr>
            </w:pPr>
            <w:r>
              <w:rPr>
                <w:rFonts w:hint="eastAsia"/>
                <w:szCs w:val="21"/>
              </w:rPr>
              <w:t xml:space="preserve">　</w:t>
            </w:r>
          </w:p>
        </w:tc>
        <w:tc>
          <w:tcPr>
            <w:tcW w:w="992" w:type="dxa"/>
            <w:vAlign w:val="center"/>
          </w:tcPr>
          <w:p>
            <w:pPr>
              <w:jc w:val="right"/>
              <w:rPr>
                <w:szCs w:val="21"/>
              </w:rPr>
            </w:pPr>
            <w:r>
              <w:rPr>
                <w:rFonts w:hint="eastAsia"/>
                <w:szCs w:val="21"/>
              </w:rPr>
              <w:t xml:space="preserve">-14,033 </w:t>
            </w:r>
          </w:p>
        </w:tc>
        <w:tc>
          <w:tcPr>
            <w:tcW w:w="993" w:type="dxa"/>
            <w:vAlign w:val="center"/>
          </w:tcPr>
          <w:p>
            <w:pPr>
              <w:jc w:val="right"/>
              <w:rPr>
                <w:szCs w:val="21"/>
              </w:rPr>
            </w:pPr>
            <w:r>
              <w:rPr>
                <w:rFonts w:hint="eastAsia"/>
                <w:szCs w:val="21"/>
              </w:rPr>
              <w:t xml:space="preserve">　</w:t>
            </w:r>
          </w:p>
        </w:tc>
        <w:tc>
          <w:tcPr>
            <w:tcW w:w="1275"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134" w:type="dxa"/>
            <w:vAlign w:val="center"/>
          </w:tcPr>
          <w:p>
            <w:pPr>
              <w:jc w:val="right"/>
              <w:rPr>
                <w:szCs w:val="21"/>
              </w:rPr>
            </w:pPr>
            <w:r>
              <w:rPr>
                <w:rFonts w:hint="eastAsia"/>
                <w:szCs w:val="21"/>
              </w:rPr>
              <w:t xml:space="preserve">　</w:t>
            </w:r>
          </w:p>
        </w:tc>
        <w:tc>
          <w:tcPr>
            <w:tcW w:w="1276" w:type="dxa"/>
            <w:vAlign w:val="center"/>
          </w:tcPr>
          <w:p>
            <w:pPr>
              <w:jc w:val="right"/>
              <w:rPr>
                <w:szCs w:val="21"/>
              </w:rPr>
            </w:pPr>
            <w:r>
              <w:rPr>
                <w:rFonts w:hint="eastAsia"/>
                <w:szCs w:val="21"/>
              </w:rPr>
              <w:t xml:space="preserve">-2,480,680 </w:t>
            </w:r>
          </w:p>
        </w:tc>
        <w:tc>
          <w:tcPr>
            <w:tcW w:w="1276" w:type="dxa"/>
            <w:vAlign w:val="center"/>
          </w:tcPr>
          <w:p>
            <w:pPr>
              <w:jc w:val="right"/>
              <w:rPr>
                <w:szCs w:val="21"/>
              </w:rPr>
            </w:pPr>
            <w:r>
              <w:rPr>
                <w:szCs w:val="21"/>
              </w:rPr>
              <w:t>-467,013</w:t>
            </w:r>
          </w:p>
        </w:tc>
      </w:tr>
      <w:tr>
        <w:trPr>
          <w:trHeight w:val="20"/>
          <w:jc w:val="center"/>
        </w:trPr>
        <w:sdt>
          <w:sdtPr>
            <w:rPr>
              <w:szCs w:val="21"/>
            </w:rPr>
            <w:tag w:val="_PLD_ed39015638e6485d9ecad98bd3aaac6b"/>
            <w:id w:val="1692109303"/>
          </w:sdtPr>
          <w:sdtContent>
            <w:tc>
              <w:tcPr>
                <w:tcW w:w="2969" w:type="dxa"/>
                <w:vAlign w:val="center"/>
              </w:tcPr>
              <w:p>
                <w:pPr>
                  <w:jc w:val="both"/>
                  <w:rPr>
                    <w:szCs w:val="21"/>
                  </w:rPr>
                </w:pPr>
                <w:r>
                  <w:rPr>
                    <w:szCs w:val="21"/>
                  </w:rPr>
                  <w:t>（</w:t>
                </w:r>
                <w:r>
                  <w:rPr>
                    <w:rFonts w:hint="eastAsia"/>
                    <w:szCs w:val="21"/>
                  </w:rPr>
                  <w:t>四</w:t>
                </w:r>
                <w:r>
                  <w:rPr>
                    <w:szCs w:val="21"/>
                  </w:rPr>
                  <w:t>）所有者权益内部结转</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16ddc46b3a95453788bdcaaebfae99fa"/>
            <w:id w:val="879834095"/>
          </w:sdtPr>
          <w:sdtContent>
            <w:tc>
              <w:tcPr>
                <w:tcW w:w="2969" w:type="dxa"/>
                <w:vAlign w:val="center"/>
              </w:tcPr>
              <w:p>
                <w:pPr>
                  <w:jc w:val="both"/>
                  <w:rPr>
                    <w:szCs w:val="21"/>
                  </w:rPr>
                </w:pPr>
                <w:r>
                  <w:rPr>
                    <w:szCs w:val="21"/>
                  </w:rPr>
                  <w:t>1．资本公积转增资本（或股本）</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5f2b4bbca85e4693b990e3e25811eeab"/>
            <w:id w:val="-1758656664"/>
          </w:sdtPr>
          <w:sdtContent>
            <w:tc>
              <w:tcPr>
                <w:tcW w:w="2969" w:type="dxa"/>
                <w:vAlign w:val="center"/>
              </w:tcPr>
              <w:p>
                <w:pPr>
                  <w:jc w:val="both"/>
                  <w:rPr>
                    <w:szCs w:val="21"/>
                  </w:rPr>
                </w:pPr>
                <w:r>
                  <w:rPr>
                    <w:szCs w:val="21"/>
                  </w:rPr>
                  <w:t>2．盈余公积转增资本（或股本）</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15d6c710562e41cc9b0f916bb42a3ecd"/>
            <w:id w:val="1812436800"/>
          </w:sdtPr>
          <w:sdtContent>
            <w:tc>
              <w:tcPr>
                <w:tcW w:w="2969" w:type="dxa"/>
                <w:vAlign w:val="center"/>
              </w:tcPr>
              <w:p>
                <w:pPr>
                  <w:jc w:val="both"/>
                  <w:rPr>
                    <w:szCs w:val="21"/>
                  </w:rPr>
                </w:pPr>
                <w:r>
                  <w:rPr>
                    <w:szCs w:val="21"/>
                  </w:rPr>
                  <w:t>3．盈余公积弥补亏损</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tc>
          <w:tcPr>
            <w:tcW w:w="2969" w:type="dxa"/>
            <w:vAlign w:val="center"/>
          </w:tcPr>
          <w:sdt>
            <w:sdtPr>
              <w:rPr>
                <w:szCs w:val="21"/>
              </w:rPr>
              <w:tag w:val="_PLD_f4cb17050ad540c1b6765bbc5ef1d185"/>
              <w:id w:val="-951784221"/>
            </w:sdtPr>
            <w:sdtContent>
              <w:p>
                <w:pPr>
                  <w:pStyle w:val="affffffffffffffffff3"/>
                  <w:jc w:val="both"/>
                  <w:rPr>
                    <w:szCs w:val="21"/>
                  </w:rPr>
                </w:pPr>
                <w:r>
                  <w:rPr>
                    <w:szCs w:val="21"/>
                  </w:rPr>
                  <w:t>4．设定受益计划变动额结转留存收益</w:t>
                </w:r>
              </w:p>
            </w:sdtContent>
          </w:sdt>
        </w:tc>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tc>
          <w:tcPr>
            <w:tcW w:w="2969" w:type="dxa"/>
            <w:vAlign w:val="center"/>
          </w:tcPr>
          <w:sdt>
            <w:sdtPr>
              <w:rPr>
                <w:szCs w:val="21"/>
              </w:rPr>
              <w:tag w:val="_PLD_d570b02e3d674dc1a938a4710387119c"/>
              <w:id w:val="511422764"/>
            </w:sdtPr>
            <w:sdtContent>
              <w:p>
                <w:pPr>
                  <w:jc w:val="both"/>
                  <w:rPr>
                    <w:szCs w:val="21"/>
                  </w:rPr>
                </w:pPr>
                <w:r>
                  <w:rPr>
                    <w:szCs w:val="21"/>
                  </w:rPr>
                  <w:t>5．其他综合收益结转留存收益</w:t>
                </w:r>
              </w:p>
            </w:sdtContent>
          </w:sdt>
        </w:tc>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tc>
          <w:tcPr>
            <w:tcW w:w="2969" w:type="dxa"/>
            <w:vAlign w:val="center"/>
          </w:tcPr>
          <w:sdt>
            <w:sdtPr>
              <w:rPr>
                <w:szCs w:val="21"/>
              </w:rPr>
              <w:tag w:val="_PLD_a5cd874c23c44b928dffd9bc4a74c38d"/>
              <w:id w:val="955834245"/>
            </w:sdtPr>
            <w:sdtContent>
              <w:p>
                <w:pPr>
                  <w:pStyle w:val="affffffffffffffffff3"/>
                  <w:jc w:val="both"/>
                  <w:rPr>
                    <w:szCs w:val="21"/>
                  </w:rPr>
                </w:pPr>
                <w:r>
                  <w:rPr>
                    <w:szCs w:val="21"/>
                  </w:rPr>
                  <w:t>6．其他</w:t>
                </w:r>
              </w:p>
            </w:sdtContent>
          </w:sdt>
        </w:tc>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b6b13ecec0044452bf1609cb679a8ac5"/>
            <w:id w:val="1525135472"/>
          </w:sdtPr>
          <w:sdtContent>
            <w:tc>
              <w:tcPr>
                <w:tcW w:w="2969" w:type="dxa"/>
                <w:vAlign w:val="center"/>
              </w:tcPr>
              <w:p>
                <w:pPr>
                  <w:jc w:val="both"/>
                  <w:rPr>
                    <w:szCs w:val="21"/>
                  </w:rPr>
                </w:pPr>
                <w:r>
                  <w:rPr>
                    <w:rFonts w:hint="eastAsia"/>
                    <w:szCs w:val="21"/>
                  </w:rPr>
                  <w:t>（五）专项储备</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r>
              <w:rPr>
                <w:szCs w:val="21"/>
              </w:rPr>
              <w:t>-798,172</w:t>
            </w: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r>
              <w:rPr>
                <w:szCs w:val="21"/>
              </w:rPr>
              <w:t>-798,172</w:t>
            </w:r>
          </w:p>
        </w:tc>
      </w:tr>
      <w:tr>
        <w:trPr>
          <w:trHeight w:val="20"/>
          <w:jc w:val="center"/>
        </w:trPr>
        <w:sdt>
          <w:sdtPr>
            <w:rPr>
              <w:szCs w:val="21"/>
            </w:rPr>
            <w:tag w:val="_PLD_cbede54ab9934d5ea45cda3f59593c28"/>
            <w:id w:val="331965638"/>
          </w:sdtPr>
          <w:sdtContent>
            <w:tc>
              <w:tcPr>
                <w:tcW w:w="2969" w:type="dxa"/>
                <w:vAlign w:val="center"/>
              </w:tcPr>
              <w:p>
                <w:pPr>
                  <w:jc w:val="both"/>
                  <w:rPr>
                    <w:szCs w:val="21"/>
                  </w:rPr>
                </w:pPr>
                <w:r>
                  <w:rPr>
                    <w:rFonts w:hint="eastAsia"/>
                    <w:szCs w:val="21"/>
                  </w:rPr>
                  <w:t>1．本期提取</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r>
              <w:rPr>
                <w:szCs w:val="21"/>
              </w:rPr>
              <w:t>1,407,049</w:t>
            </w: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r>
              <w:rPr>
                <w:szCs w:val="21"/>
              </w:rPr>
              <w:t>1,407,049</w:t>
            </w:r>
          </w:p>
        </w:tc>
      </w:tr>
      <w:tr>
        <w:trPr>
          <w:trHeight w:val="20"/>
          <w:jc w:val="center"/>
        </w:trPr>
        <w:sdt>
          <w:sdtPr>
            <w:rPr>
              <w:szCs w:val="21"/>
            </w:rPr>
            <w:tag w:val="_PLD_7900abe823e94277be091b3f1c7a54a5"/>
            <w:id w:val="1697963743"/>
          </w:sdtPr>
          <w:sdtContent>
            <w:tc>
              <w:tcPr>
                <w:tcW w:w="2969" w:type="dxa"/>
                <w:vAlign w:val="center"/>
              </w:tcPr>
              <w:p>
                <w:pPr>
                  <w:jc w:val="both"/>
                  <w:rPr>
                    <w:szCs w:val="21"/>
                  </w:rPr>
                </w:pPr>
                <w:r>
                  <w:rPr>
                    <w:rFonts w:hint="eastAsia"/>
                    <w:szCs w:val="21"/>
                  </w:rPr>
                  <w:t>2．本期使用</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r>
              <w:rPr>
                <w:szCs w:val="21"/>
              </w:rPr>
              <w:t>-2,205,221</w:t>
            </w: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r>
              <w:rPr>
                <w:szCs w:val="21"/>
              </w:rPr>
              <w:t>-2,205,221</w:t>
            </w:r>
          </w:p>
        </w:tc>
      </w:tr>
      <w:tr>
        <w:trPr>
          <w:trHeight w:val="20"/>
          <w:jc w:val="center"/>
        </w:trPr>
        <w:sdt>
          <w:sdtPr>
            <w:rPr>
              <w:szCs w:val="21"/>
            </w:rPr>
            <w:tag w:val="_PLD_7cf659a70268475ea7233d8b82adad5a"/>
            <w:id w:val="-1919629600"/>
          </w:sdtPr>
          <w:sdtContent>
            <w:tc>
              <w:tcPr>
                <w:tcW w:w="2969" w:type="dxa"/>
                <w:vAlign w:val="center"/>
              </w:tcPr>
              <w:p>
                <w:pPr>
                  <w:jc w:val="both"/>
                  <w:rPr>
                    <w:szCs w:val="21"/>
                  </w:rPr>
                </w:pPr>
                <w:r>
                  <w:rPr>
                    <w:rFonts w:hint="eastAsia"/>
                    <w:szCs w:val="21"/>
                  </w:rPr>
                  <w:t>（六）其他</w:t>
                </w:r>
              </w:p>
            </w:tc>
          </w:sdtContent>
        </w:sdt>
        <w:tc>
          <w:tcPr>
            <w:tcW w:w="1078" w:type="dxa"/>
            <w:tcBorders>
              <w:right w:val="single" w:sz="4" w:space="0" w:color="auto"/>
            </w:tcBorders>
            <w:vAlign w:val="center"/>
          </w:tcPr>
          <w:p>
            <w:pPr>
              <w:jc w:val="right"/>
              <w:rPr>
                <w:szCs w:val="21"/>
              </w:rPr>
            </w:pP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p>
        </w:tc>
        <w:tc>
          <w:tcPr>
            <w:tcW w:w="993" w:type="dxa"/>
            <w:vAlign w:val="center"/>
          </w:tcPr>
          <w:p>
            <w:pPr>
              <w:jc w:val="right"/>
              <w:rPr>
                <w:szCs w:val="21"/>
              </w:rPr>
            </w:pPr>
          </w:p>
        </w:tc>
        <w:tc>
          <w:tcPr>
            <w:tcW w:w="1275" w:type="dxa"/>
            <w:vAlign w:val="center"/>
          </w:tcPr>
          <w:p>
            <w:pPr>
              <w:jc w:val="right"/>
              <w:rPr>
                <w:szCs w:val="21"/>
              </w:rPr>
            </w:pPr>
          </w:p>
        </w:tc>
        <w:tc>
          <w:tcPr>
            <w:tcW w:w="1134" w:type="dxa"/>
            <w:vAlign w:val="center"/>
          </w:tcPr>
          <w:p>
            <w:pPr>
              <w:jc w:val="right"/>
              <w:rPr>
                <w:szCs w:val="21"/>
              </w:rPr>
            </w:pPr>
          </w:p>
        </w:tc>
        <w:tc>
          <w:tcPr>
            <w:tcW w:w="1134" w:type="dxa"/>
            <w:vAlign w:val="center"/>
          </w:tcPr>
          <w:p>
            <w:pPr>
              <w:jc w:val="right"/>
              <w:rPr>
                <w:szCs w:val="21"/>
              </w:rPr>
            </w:pPr>
          </w:p>
        </w:tc>
        <w:tc>
          <w:tcPr>
            <w:tcW w:w="1276" w:type="dxa"/>
            <w:vAlign w:val="center"/>
          </w:tcPr>
          <w:p>
            <w:pPr>
              <w:jc w:val="right"/>
              <w:rPr>
                <w:szCs w:val="21"/>
              </w:rPr>
            </w:pPr>
          </w:p>
        </w:tc>
        <w:tc>
          <w:tcPr>
            <w:tcW w:w="1276" w:type="dxa"/>
            <w:vAlign w:val="center"/>
          </w:tcPr>
          <w:p>
            <w:pPr>
              <w:jc w:val="right"/>
              <w:rPr>
                <w:szCs w:val="21"/>
              </w:rPr>
            </w:pPr>
          </w:p>
        </w:tc>
      </w:tr>
      <w:tr>
        <w:trPr>
          <w:trHeight w:val="20"/>
          <w:jc w:val="center"/>
        </w:trPr>
        <w:sdt>
          <w:sdtPr>
            <w:rPr>
              <w:szCs w:val="21"/>
            </w:rPr>
            <w:tag w:val="_PLD_56eacf5a90be4746898504dda5c8a2c0"/>
            <w:id w:val="-376781847"/>
          </w:sdtPr>
          <w:sdtContent>
            <w:tc>
              <w:tcPr>
                <w:tcW w:w="2969" w:type="dxa"/>
                <w:vAlign w:val="center"/>
              </w:tcPr>
              <w:p>
                <w:pPr>
                  <w:jc w:val="both"/>
                  <w:rPr>
                    <w:szCs w:val="21"/>
                  </w:rPr>
                </w:pPr>
                <w:r>
                  <w:rPr>
                    <w:szCs w:val="21"/>
                  </w:rPr>
                  <w:t>四、本期期末余额</w:t>
                </w:r>
              </w:p>
            </w:tc>
          </w:sdtContent>
        </w:sdt>
        <w:tc>
          <w:tcPr>
            <w:tcW w:w="1078" w:type="dxa"/>
            <w:tcBorders>
              <w:right w:val="single" w:sz="4" w:space="0" w:color="auto"/>
            </w:tcBorders>
            <w:vAlign w:val="center"/>
          </w:tcPr>
          <w:p>
            <w:pPr>
              <w:jc w:val="right"/>
              <w:rPr>
                <w:szCs w:val="21"/>
              </w:rPr>
            </w:pPr>
            <w:r>
              <w:rPr>
                <w:szCs w:val="21"/>
              </w:rPr>
              <w:t>7,439,371</w:t>
            </w:r>
          </w:p>
        </w:tc>
        <w:tc>
          <w:tcPr>
            <w:tcW w:w="631" w:type="dxa"/>
            <w:tcBorders>
              <w:left w:val="single" w:sz="4" w:space="0" w:color="auto"/>
              <w:right w:val="single" w:sz="4" w:space="0" w:color="auto"/>
            </w:tcBorders>
            <w:vAlign w:val="center"/>
          </w:tcPr>
          <w:p>
            <w:pPr>
              <w:jc w:val="right"/>
              <w:rPr>
                <w:szCs w:val="21"/>
              </w:rPr>
            </w:pPr>
          </w:p>
        </w:tc>
        <w:tc>
          <w:tcPr>
            <w:tcW w:w="1134" w:type="dxa"/>
            <w:tcBorders>
              <w:left w:val="single" w:sz="4" w:space="0" w:color="auto"/>
              <w:right w:val="single" w:sz="4" w:space="0" w:color="auto"/>
            </w:tcBorders>
            <w:vAlign w:val="center"/>
          </w:tcPr>
          <w:p>
            <w:pPr>
              <w:jc w:val="right"/>
              <w:rPr>
                <w:szCs w:val="21"/>
              </w:rPr>
            </w:pPr>
            <w:r>
              <w:rPr>
                <w:szCs w:val="21"/>
              </w:rPr>
              <w:t>16,541,777</w:t>
            </w:r>
          </w:p>
        </w:tc>
        <w:tc>
          <w:tcPr>
            <w:tcW w:w="567" w:type="dxa"/>
            <w:tcBorders>
              <w:left w:val="single" w:sz="4" w:space="0" w:color="auto"/>
            </w:tcBorders>
            <w:vAlign w:val="center"/>
          </w:tcPr>
          <w:p>
            <w:pPr>
              <w:jc w:val="right"/>
              <w:rPr>
                <w:szCs w:val="21"/>
              </w:rPr>
            </w:pPr>
          </w:p>
        </w:tc>
        <w:tc>
          <w:tcPr>
            <w:tcW w:w="992" w:type="dxa"/>
            <w:vAlign w:val="center"/>
          </w:tcPr>
          <w:p>
            <w:pPr>
              <w:jc w:val="right"/>
              <w:rPr>
                <w:szCs w:val="21"/>
              </w:rPr>
            </w:pPr>
            <w:r>
              <w:rPr>
                <w:szCs w:val="21"/>
              </w:rPr>
              <w:t>282,863</w:t>
            </w:r>
          </w:p>
        </w:tc>
        <w:tc>
          <w:tcPr>
            <w:tcW w:w="993" w:type="dxa"/>
            <w:vAlign w:val="center"/>
          </w:tcPr>
          <w:p>
            <w:pPr>
              <w:jc w:val="right"/>
              <w:rPr>
                <w:szCs w:val="21"/>
              </w:rPr>
            </w:pPr>
            <w:r>
              <w:rPr>
                <w:szCs w:val="21"/>
              </w:rPr>
              <w:t>324,980</w:t>
            </w:r>
          </w:p>
        </w:tc>
        <w:tc>
          <w:tcPr>
            <w:tcW w:w="1275" w:type="dxa"/>
            <w:vAlign w:val="center"/>
          </w:tcPr>
          <w:p>
            <w:pPr>
              <w:jc w:val="right"/>
              <w:rPr>
                <w:szCs w:val="21"/>
              </w:rPr>
            </w:pPr>
            <w:r>
              <w:rPr>
                <w:szCs w:val="21"/>
              </w:rPr>
              <w:t>215,583</w:t>
            </w:r>
          </w:p>
        </w:tc>
        <w:tc>
          <w:tcPr>
            <w:tcW w:w="1134" w:type="dxa"/>
            <w:vAlign w:val="center"/>
          </w:tcPr>
          <w:p>
            <w:pPr>
              <w:jc w:val="right"/>
              <w:rPr>
                <w:szCs w:val="21"/>
              </w:rPr>
            </w:pPr>
            <w:r>
              <w:rPr>
                <w:szCs w:val="21"/>
              </w:rPr>
              <w:t>1,431,178</w:t>
            </w:r>
          </w:p>
        </w:tc>
        <w:tc>
          <w:tcPr>
            <w:tcW w:w="1134" w:type="dxa"/>
            <w:vAlign w:val="center"/>
          </w:tcPr>
          <w:p>
            <w:pPr>
              <w:jc w:val="right"/>
              <w:rPr>
                <w:szCs w:val="21"/>
              </w:rPr>
            </w:pPr>
            <w:r>
              <w:rPr>
                <w:szCs w:val="21"/>
              </w:rPr>
              <w:t>1,663,815</w:t>
            </w:r>
          </w:p>
        </w:tc>
        <w:tc>
          <w:tcPr>
            <w:tcW w:w="1276" w:type="dxa"/>
            <w:vAlign w:val="center"/>
          </w:tcPr>
          <w:p>
            <w:pPr>
              <w:jc w:val="right"/>
              <w:rPr>
                <w:szCs w:val="21"/>
              </w:rPr>
            </w:pPr>
            <w:r>
              <w:rPr>
                <w:szCs w:val="21"/>
              </w:rPr>
              <w:t>14,709,639</w:t>
            </w:r>
          </w:p>
        </w:tc>
        <w:tc>
          <w:tcPr>
            <w:tcW w:w="1276" w:type="dxa"/>
            <w:vAlign w:val="center"/>
          </w:tcPr>
          <w:p>
            <w:pPr>
              <w:jc w:val="right"/>
              <w:rPr>
                <w:szCs w:val="21"/>
              </w:rPr>
            </w:pPr>
            <w:r>
              <w:rPr>
                <w:szCs w:val="21"/>
              </w:rPr>
              <w:t>41,959,246</w:t>
            </w:r>
          </w:p>
        </w:tc>
      </w:tr>
    </w:tbl>
    <w:p>
      <w:pPr>
        <w:pStyle w:val="affffffffffffffffff3"/>
      </w:pPr>
    </w:p>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357244118"/>
          <w:placeholder>
            <w:docPart w:val="GBC22222222222222222222222222222"/>
          </w:placeholder>
          <w:dataBinding w:prefixMappings="xmlns:clcid-mr='clcid-mr'" w:xpath="/*/clcid-mr:GongSiFuZeRenXingMing[not(@periodRef)]" w:storeItemID="{89EBAB94-44A0-46A2-B712-30D997D04A6D}"/>
          <w:text/>
        </w:sdtPr>
        <w:sdtContent>
          <w:r>
            <w:rPr>
              <w:rFonts w:hint="eastAsia"/>
              <w:szCs w:val="21"/>
            </w:rPr>
            <w:t>李伟</w:t>
          </w:r>
        </w:sdtContent>
      </w:sdt>
      <w:r>
        <w:rPr>
          <w:rFonts w:hint="eastAsia"/>
          <w:szCs w:val="21"/>
        </w:rPr>
        <w:t xml:space="preserve"> </w:t>
      </w:r>
      <w:r>
        <w:rPr>
          <w:szCs w:val="21"/>
        </w:rPr>
        <w:tab/>
      </w:r>
      <w:r>
        <w:rPr>
          <w:szCs w:val="21"/>
        </w:rPr>
        <w:tab/>
      </w:r>
      <w:r>
        <w:rPr>
          <w:szCs w:val="21"/>
        </w:rPr>
        <w:tab/>
      </w:r>
      <w:r>
        <w:rPr>
          <w:szCs w:val="21"/>
        </w:rPr>
        <w:tab/>
      </w:r>
      <w:r>
        <w:rPr>
          <w:szCs w:val="21"/>
        </w:rPr>
        <w:tab/>
      </w:r>
      <w:r>
        <w:rPr>
          <w:szCs w:val="21"/>
        </w:rPr>
        <w:tab/>
      </w:r>
      <w:r>
        <w:rPr>
          <w:szCs w:val="21"/>
        </w:rPr>
        <w:tab/>
      </w:r>
      <w:r>
        <w:rPr>
          <w:szCs w:val="21"/>
        </w:rPr>
        <w:tab/>
        <w:t>主管会计工作负责人</w:t>
      </w:r>
      <w:r>
        <w:rPr>
          <w:rFonts w:hint="eastAsia"/>
          <w:szCs w:val="21"/>
        </w:rPr>
        <w:t>：</w:t>
      </w:r>
      <w:sdt>
        <w:sdtPr>
          <w:rPr>
            <w:rFonts w:hint="eastAsia"/>
            <w:szCs w:val="21"/>
          </w:rPr>
          <w:alias w:val="主管会计工作负责人姓名"/>
          <w:tag w:val="_GBC_3008dab61aca43f0a6d82ef192943e79"/>
          <w:id w:val="-1762443932"/>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szCs w:val="21"/>
            </w:rPr>
            <w:t>赵治国</w:t>
          </w:r>
        </w:sdtContent>
      </w:sdt>
      <w:r>
        <w:rPr>
          <w:rFonts w:hint="eastAsia"/>
          <w:szCs w:val="21"/>
        </w:rPr>
        <w:t xml:space="preserve"> </w:t>
      </w:r>
      <w:r>
        <w:rPr>
          <w:szCs w:val="21"/>
        </w:rPr>
        <w:tab/>
      </w:r>
      <w:r>
        <w:rPr>
          <w:szCs w:val="21"/>
        </w:rPr>
        <w:tab/>
      </w:r>
      <w:r>
        <w:rPr>
          <w:szCs w:val="21"/>
        </w:rPr>
        <w:tab/>
      </w:r>
      <w:r>
        <w:rPr>
          <w:szCs w:val="21"/>
        </w:rPr>
        <w:tab/>
      </w:r>
      <w:r>
        <w:rPr>
          <w:szCs w:val="21"/>
        </w:rPr>
        <w:tab/>
      </w:r>
      <w:r>
        <w:rPr>
          <w:szCs w:val="21"/>
        </w:rPr>
        <w:tab/>
      </w:r>
      <w:r>
        <w:rPr>
          <w:szCs w:val="21"/>
        </w:rPr>
        <w:tab/>
      </w:r>
      <w:r>
        <w:rPr>
          <w:szCs w:val="21"/>
        </w:rPr>
        <w:tab/>
        <w:t>会计机构负责人</w:t>
      </w:r>
      <w:r>
        <w:rPr>
          <w:rFonts w:hint="eastAsia"/>
          <w:szCs w:val="21"/>
        </w:rPr>
        <w:t>：</w:t>
      </w:r>
      <w:sdt>
        <w:sdtPr>
          <w:rPr>
            <w:rFonts w:hint="eastAsia"/>
            <w:szCs w:val="21"/>
          </w:rPr>
          <w:alias w:val="会计机构负责人姓名"/>
          <w:tag w:val="_GBC_e6c21b270080402ca8dbdc0cab514bde"/>
          <w:id w:val="1733810983"/>
          <w:placeholder>
            <w:docPart w:val="GBC22222222222222222222222222222"/>
          </w:placeholder>
          <w:dataBinding w:prefixMappings="xmlns:clcid-mr='clcid-mr'" w:xpath="/*/clcid-mr:KuaiJiJiGouFuZeRenXingMing[not(@periodRef)]" w:storeItemID="{89EBAB94-44A0-46A2-B712-30D997D04A6D}"/>
          <w:text/>
        </w:sdtPr>
        <w:sdtContent>
          <w:r>
            <w:rPr>
              <w:rFonts w:hint="eastAsia"/>
              <w:szCs w:val="21"/>
            </w:rPr>
            <w:t>于强</w:t>
          </w:r>
        </w:sdtContent>
      </w:sdt>
    </w:p>
    <w:p>
      <w:pPr>
        <w:rPr>
          <w:color w:val="FF0000"/>
        </w:rPr>
      </w:pPr>
    </w:p>
    <w:p>
      <w:pPr>
        <w:snapToGrid w:val="0"/>
        <w:spacing w:line="240" w:lineRule="atLeast"/>
        <w:ind w:rightChars="-73" w:right="-153"/>
        <w:rPr>
          <w:b/>
          <w:bCs/>
          <w:color w:val="FF0000"/>
          <w:szCs w:val="21"/>
        </w:rPr>
      </w:pPr>
      <w:bookmarkStart w:id="319" w:name="_Hlk24980162"/>
      <w:bookmarkEnd w:id="318"/>
      <w:bookmarkEnd w:id="319"/>
    </w:p>
    <w:p>
      <w:pPr>
        <w:snapToGrid w:val="0"/>
        <w:spacing w:line="240" w:lineRule="atLeast"/>
        <w:ind w:rightChars="-73" w:right="-153"/>
        <w:rPr>
          <w:b/>
          <w:bCs/>
          <w:color w:val="FF0000"/>
          <w:szCs w:val="21"/>
        </w:rPr>
      </w:pPr>
    </w:p>
    <w:p>
      <w:pPr>
        <w:snapToGrid w:val="0"/>
        <w:spacing w:line="240" w:lineRule="atLeast"/>
        <w:rPr>
          <w:szCs w:val="21"/>
        </w:rPr>
        <w:sectPr>
          <w:pgSz w:w="16838" w:h="11906" w:orient="landscape"/>
          <w:pgMar w:top="1276" w:right="1440" w:bottom="1797" w:left="1525" w:header="856" w:footer="992" w:gutter="0"/>
          <w:cols w:space="425"/>
          <w:docGrid w:linePitch="312"/>
        </w:sectPr>
      </w:pPr>
      <w:bookmarkStart w:id="320" w:name="_Hlk533930396"/>
    </w:p>
    <w:bookmarkEnd w:id="320"/>
    <w:p>
      <w:pPr>
        <w:pStyle w:val="affffffffffffffffffffff2"/>
        <w:numPr>
          <w:ilvl w:val="0"/>
          <w:numId w:val="155"/>
        </w:numPr>
        <w:rPr>
          <w:rFonts w:ascii="宋体" w:hAnsi="宋体"/>
        </w:rPr>
      </w:pPr>
      <w:r>
        <w:rPr>
          <w:rFonts w:ascii="宋体" w:hAnsi="宋体"/>
        </w:rPr>
        <w:lastRenderedPageBreak/>
        <w:t>公司基本情况</w:t>
      </w:r>
    </w:p>
    <w:p>
      <w:pPr>
        <w:pStyle w:val="afffffffffffffffffffffffffffffffff0"/>
        <w:numPr>
          <w:ilvl w:val="0"/>
          <w:numId w:val="92"/>
        </w:numPr>
      </w:pPr>
      <w:r>
        <w:rPr>
          <w:rFonts w:hint="eastAsia"/>
        </w:rPr>
        <w:t>公司概况</w:t>
      </w:r>
    </w:p>
    <w:sdt>
      <w:sdtPr>
        <w:rPr>
          <w:rFonts w:hint="eastAsia"/>
          <w:szCs w:val="21"/>
        </w:rPr>
        <w:alias w:val="是否适用：公司概况[双击切换]"/>
        <w:tag w:val="_GBC_7b613deb8c7f4027b73602e5cd1d4a2e"/>
        <w:id w:val="-102169515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14:ligatures w14:val="none"/>
        </w:rPr>
        <w:alias w:val="公司概况"/>
        <w:tag w:val="_GBC_dfec127af3a7441dade8cb0f67119e66"/>
        <w:id w:val="-1793595262"/>
        <w:placeholder>
          <w:docPart w:val="GBC22222222222222222222222222222"/>
        </w:placeholder>
      </w:sdtPr>
      <w:sdtContent>
        <w:p>
          <w:pPr>
            <w:pStyle w:val="afffa"/>
          </w:pPr>
          <w:r>
            <w:rPr>
              <w:rFonts w:hint="eastAsia"/>
            </w:rPr>
            <w:t>公司注册地、组织形式和总部地址。</w:t>
          </w:r>
        </w:p>
        <w:p>
          <w:pPr>
            <w:spacing w:afterLines="50" w:after="120" w:line="360" w:lineRule="exact"/>
            <w:ind w:firstLineChars="200" w:firstLine="420"/>
          </w:pPr>
          <w:r>
            <w:rPr>
              <w:rFonts w:hint="eastAsia"/>
            </w:rPr>
            <w:t>兖矿能源集团股份有限公司（以下简称“本公司”，在包含子公司时统称本集团）是经中华人民共和国国家经济体制改革委员会体改生〔1997〕154号文件批准，由山东能源集团有限公司（原名兖矿集团有限公司，以下简称“山东能源”）作为主发起人成立之股份有限公司。本公司成立于1997年9月，注册地为山东省邹城市，总部办公地址为山东省邹城市凫山南路949号。</w:t>
          </w:r>
        </w:p>
        <w:p>
          <w:pPr>
            <w:spacing w:afterLines="50" w:after="120" w:line="360" w:lineRule="exact"/>
            <w:ind w:firstLineChars="200" w:firstLine="420"/>
          </w:pPr>
          <w:r>
            <w:rPr>
              <w:rFonts w:hint="eastAsia"/>
            </w:rPr>
            <w:t>本公司设立时总股本为167,000万元，每股面值为1元。于1998年3月，经国务院证券委证委发〔1997〕12号文件批准，本公司向香港及国际投资者发行面值82,000万元之H股，美国承销商行使超额配售权，本公司追加发行3,000万元H股，上述股份于1998年4月1日在香港联交所上市交易，公司的美国存托股份于1998年3月31日在纽约证券交易所上市交易。此次募集资金后，总股本变更为252,000万元。于1998年6月，本公司发行8,000万股A股，并于1998年7月1日起在上海证券交易所上市交易。于2017年2月16日，本公司美国存托股份从纽约证券交易所退市并取消注册。经多次增发、送股，截至2024年12月31日，本公司股本总额为1</w:t>
          </w:r>
          <w:r>
            <w:t>,</w:t>
          </w:r>
          <w:r>
            <w:rPr>
              <w:rFonts w:hint="eastAsia"/>
            </w:rPr>
            <w:t>003,986万元。</w:t>
          </w:r>
        </w:p>
        <w:p>
          <w:pPr>
            <w:pStyle w:val="afffa"/>
          </w:pPr>
          <w:r>
            <w:rPr>
              <w:rFonts w:hint="eastAsia"/>
            </w:rPr>
            <w:t>公司实际从事的主要经营活动。</w:t>
          </w:r>
        </w:p>
        <w:p>
          <w:pPr>
            <w:spacing w:afterLines="50" w:after="120" w:line="360" w:lineRule="exact"/>
            <w:ind w:firstLineChars="200" w:firstLine="420"/>
          </w:pPr>
          <w:r>
            <w:rPr>
              <w:rFonts w:hint="eastAsia"/>
            </w:rPr>
            <w:t>本集团主要从事煤炭开采及销售、煤化工产品的生产及销售、物流运输业务以及设备制造和电力业务等。</w:t>
          </w:r>
        </w:p>
        <w:p>
          <w:pPr>
            <w:pStyle w:val="afffa"/>
          </w:pPr>
          <w:r>
            <w:rPr>
              <w:rFonts w:hint="eastAsia"/>
            </w:rPr>
            <w:t>母公司以及集团最终母公司的名称。</w:t>
          </w:r>
        </w:p>
        <w:p>
          <w:pPr>
            <w:spacing w:afterLines="50" w:after="120" w:line="360" w:lineRule="exact"/>
            <w:ind w:firstLineChars="200" w:firstLine="420"/>
          </w:pPr>
          <w:r>
            <w:rPr>
              <w:rFonts w:hint="eastAsia"/>
            </w:rPr>
            <w:t>本集团的母公司为山东能源集团有限公司。</w:t>
          </w:r>
        </w:p>
        <w:p>
          <w:pPr>
            <w:pStyle w:val="afffa"/>
          </w:pPr>
          <w:r>
            <w:rPr>
              <w:rFonts w:hint="eastAsia"/>
            </w:rPr>
            <w:t>财务报告的批准报出机构和财务报告批准报出日。</w:t>
          </w:r>
        </w:p>
        <w:p>
          <w:pPr>
            <w:spacing w:afterLines="50" w:after="120" w:line="360" w:lineRule="exact"/>
            <w:ind w:firstLineChars="200" w:firstLine="420"/>
            <w:rPr>
              <w:color w:val="0000FF"/>
            </w:rPr>
          </w:pPr>
          <w:r>
            <w:rPr>
              <w:rFonts w:hint="eastAsia"/>
            </w:rPr>
            <w:t>本报告业经董事会于2025年3月</w:t>
          </w:r>
          <w:r>
            <w:t>2</w:t>
          </w:r>
          <w:r>
            <w:rPr>
              <w:rFonts w:hint="eastAsia"/>
            </w:rPr>
            <w:t>8日批准报出。</w:t>
          </w:r>
        </w:p>
      </w:sdtContent>
    </w:sdt>
    <w:p>
      <w:pPr>
        <w:rPr>
          <w:szCs w:val="21"/>
        </w:rPr>
      </w:pPr>
    </w:p>
    <w:p>
      <w:pPr>
        <w:pStyle w:val="affffffffffffffffffffff2"/>
        <w:numPr>
          <w:ilvl w:val="0"/>
          <w:numId w:val="155"/>
        </w:numPr>
        <w:rPr>
          <w:rFonts w:ascii="宋体" w:hAnsi="宋体"/>
        </w:rPr>
      </w:pPr>
      <w:r>
        <w:rPr>
          <w:rFonts w:ascii="宋体" w:hAnsi="宋体" w:hint="eastAsia"/>
        </w:rPr>
        <w:t>财务报表的编制基础</w:t>
      </w:r>
    </w:p>
    <w:p>
      <w:pPr>
        <w:pStyle w:val="afffffffffffffffffffffffffffffffff0"/>
        <w:numPr>
          <w:ilvl w:val="0"/>
          <w:numId w:val="93"/>
        </w:numPr>
      </w:pPr>
      <w:r>
        <w:t>编制基础</w:t>
      </w:r>
    </w:p>
    <w:sdt>
      <w:sdtPr>
        <w:rPr>
          <w:rFonts w:hint="eastAsia"/>
          <w:szCs w:val="21"/>
        </w:rPr>
        <w:alias w:val="财务报表的编制基础"/>
        <w:tag w:val="_GBC_1dc2375ed7ab49628f5badf2d5006405"/>
        <w:id w:val="541565351"/>
        <w:placeholder>
          <w:docPart w:val="GBC22222222222222222222222222222"/>
        </w:placeholder>
      </w:sdtPr>
      <w:sdtContent>
        <w:p>
          <w:pPr>
            <w:ind w:firstLineChars="200" w:firstLine="420"/>
            <w:rPr>
              <w:szCs w:val="21"/>
            </w:rPr>
          </w:pPr>
          <w:r>
            <w:rPr>
              <w:rFonts w:hint="eastAsia"/>
            </w:rPr>
            <w:t>本财务报表以公司持续经营假设为基础，根据实际发生的交易事项，按照企业会计准则的有关规定，并基于以下所述重要会计政策、会计估计进行编制。</w:t>
          </w:r>
        </w:p>
      </w:sdtContent>
    </w:sdt>
    <w:p>
      <w:pPr>
        <w:rPr>
          <w:szCs w:val="21"/>
        </w:rPr>
      </w:pPr>
    </w:p>
    <w:p>
      <w:pPr>
        <w:pStyle w:val="afffffffffffffffffffffffffffffffff0"/>
        <w:numPr>
          <w:ilvl w:val="0"/>
          <w:numId w:val="93"/>
        </w:numPr>
      </w:pPr>
      <w:r>
        <w:rPr>
          <w:rFonts w:hint="eastAsia"/>
        </w:rPr>
        <w:t>持续经营</w:t>
      </w:r>
    </w:p>
    <w:sdt>
      <w:sdtPr>
        <w:rPr>
          <w:rFonts w:hint="eastAsia"/>
          <w:szCs w:val="21"/>
        </w:rPr>
        <w:alias w:val="是否适用：持续经营[双击切换]"/>
        <w:tag w:val="_GBC_fa7177dc4f164e56b4df7bebc60acf50"/>
        <w:id w:val="-34964439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持续经营"/>
        <w:tag w:val="_GBC_dc876c24006b428987a041949eb554f3"/>
        <w:id w:val="677396356"/>
        <w:placeholder>
          <w:docPart w:val="GBC22222222222222222222222222222"/>
        </w:placeholder>
      </w:sdtPr>
      <w:sdtContent>
        <w:p>
          <w:pPr>
            <w:pStyle w:val="affffffffffffffffffffffffffffffffffb"/>
            <w:spacing w:afterLines="50" w:after="120" w:line="360" w:lineRule="exact"/>
            <w:ind w:firstLineChars="200" w:firstLine="420"/>
            <w:rPr>
              <w:rFonts w:hAnsi="宋体"/>
              <w:szCs w:val="21"/>
            </w:rPr>
          </w:pPr>
          <w:r>
            <w:rPr>
              <w:rFonts w:hAnsi="宋体" w:hint="eastAsia"/>
              <w:szCs w:val="21"/>
            </w:rPr>
            <w:t>本集团有近期获利经营的历史且有财务资源支持，自报告期末起12个月具备持续经营能力，无影响持续经营能力的重大事项。因此，本财务报表以持续经营假设为基础编制是合理的。</w:t>
          </w:r>
        </w:p>
      </w:sdtContent>
    </w:sdt>
    <w:p>
      <w:pPr>
        <w:rPr>
          <w:szCs w:val="21"/>
        </w:rPr>
      </w:pPr>
    </w:p>
    <w:p>
      <w:pPr>
        <w:pStyle w:val="affffffffffffffffffffff2"/>
        <w:numPr>
          <w:ilvl w:val="0"/>
          <w:numId w:val="155"/>
        </w:numPr>
        <w:rPr>
          <w:rFonts w:ascii="宋体" w:hAnsi="宋体"/>
        </w:rPr>
      </w:pPr>
      <w:r>
        <w:rPr>
          <w:rFonts w:ascii="宋体" w:hAnsi="宋体" w:hint="eastAsia"/>
        </w:rPr>
        <w:lastRenderedPageBreak/>
        <w:t>重</w:t>
      </w:r>
      <w:r>
        <w:rPr>
          <w:rFonts w:ascii="宋体" w:hAnsi="宋体"/>
        </w:rPr>
        <w:t>要会计政策</w:t>
      </w:r>
      <w:r>
        <w:rPr>
          <w:rFonts w:ascii="宋体" w:hAnsi="宋体" w:hint="eastAsia"/>
        </w:rPr>
        <w:t>及</w:t>
      </w:r>
      <w:r>
        <w:rPr>
          <w:rFonts w:ascii="宋体" w:hAnsi="宋体"/>
        </w:rPr>
        <w:t>会计估计</w:t>
      </w:r>
    </w:p>
    <w:p>
      <w:pPr>
        <w:pStyle w:val="affffffffffffffffffffffffffffffffe"/>
      </w:pPr>
      <w:r>
        <w:rPr>
          <w:rFonts w:hint="eastAsia"/>
        </w:rPr>
        <w:t>具体会计政策和会计估计提示：</w:t>
      </w:r>
    </w:p>
    <w:sdt>
      <w:sdtPr>
        <w:alias w:val="是否适用：具体会计政策和会计估计提示[双击切换]"/>
        <w:tag w:val="_GBC_86fd142a599649f8a3574e6ddaba5f71"/>
        <w:id w:val="-155252568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具体会计政策和会计估计提示"/>
        <w:tag w:val="_GBC_caddaeaf0d1a454ab0bede37f0db7782"/>
        <w:id w:val="856470886"/>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0"/>
        <w:numPr>
          <w:ilvl w:val="0"/>
          <w:numId w:val="94"/>
        </w:numPr>
      </w:pPr>
      <w:r>
        <w:t>遵循企业会计准则的声明</w:t>
      </w:r>
    </w:p>
    <w:sdt>
      <w:sdtPr>
        <w:rPr>
          <w:rFonts w:hint="eastAsia"/>
          <w:szCs w:val="21"/>
        </w:rPr>
        <w:alias w:val="会计准则和会计制度"/>
        <w:tag w:val="_GBC_a350b889163a4ef3bb500c021e6a6b47"/>
        <w:id w:val="1761792933"/>
        <w:placeholder>
          <w:docPart w:val="GBC22222222222222222222222222222"/>
        </w:placeholder>
      </w:sdtPr>
      <w:sdtContent>
        <w:p>
          <w:pPr>
            <w:spacing w:afterLines="50" w:after="120" w:line="360" w:lineRule="exact"/>
            <w:ind w:firstLineChars="200" w:firstLine="420"/>
          </w:pPr>
          <w:r>
            <w:rPr>
              <w:rFonts w:hint="eastAsia"/>
            </w:rPr>
            <w:t>本集团基于上述编制基础编制的财务报表符合财政部已颁布的最新企业会计准则及其应用指南、解释以及其他相关规定（统称“企业会计准则”）的要求，真实完整地反映了公司的财务状况、经营成果和现金流量等有关信息。</w:t>
          </w:r>
        </w:p>
        <w:p>
          <w:pPr>
            <w:spacing w:afterLines="50" w:after="120" w:line="360" w:lineRule="exact"/>
            <w:ind w:firstLineChars="200" w:firstLine="420"/>
          </w:pPr>
          <w:r>
            <w:rPr>
              <w:rFonts w:hint="eastAsia"/>
            </w:rPr>
            <w:t>此外，本财务报告编制参照了证监会发布的《公开发行证券的公司信息披露编报规则第15号——财务报告的一般规定》（2023年修订）的列报和披露要求。</w:t>
          </w:r>
        </w:p>
      </w:sdtContent>
    </w:sdt>
    <w:p>
      <w:pPr>
        <w:rPr>
          <w:szCs w:val="21"/>
        </w:rPr>
      </w:pPr>
    </w:p>
    <w:p>
      <w:pPr>
        <w:pStyle w:val="afffffffffffffffffffffffffffffffff0"/>
        <w:numPr>
          <w:ilvl w:val="0"/>
          <w:numId w:val="94"/>
        </w:numPr>
      </w:pPr>
      <w:r>
        <w:t>会计期间</w:t>
      </w:r>
    </w:p>
    <w:sdt>
      <w:sdtPr>
        <w:rPr>
          <w:rFonts w:hint="eastAsia"/>
          <w:szCs w:val="21"/>
        </w:rPr>
        <w:alias w:val="会计年度"/>
        <w:tag w:val="_GBC_fc896fba50b143f8a06984831f5d5600"/>
        <w:id w:val="-605508751"/>
        <w:placeholder>
          <w:docPart w:val="GBC22222222222222222222222222222"/>
        </w:placeholder>
      </w:sdtPr>
      <w:sdtContent>
        <w:p>
          <w:pPr>
            <w:ind w:firstLineChars="200" w:firstLine="420"/>
            <w:rPr>
              <w:szCs w:val="21"/>
            </w:rPr>
          </w:pPr>
          <w:r>
            <w:rPr>
              <w:szCs w:val="21"/>
            </w:rPr>
            <w:t>本公司会计年度自公历1月1日起至12月31日止。</w:t>
          </w:r>
        </w:p>
      </w:sdtContent>
    </w:sdt>
    <w:p>
      <w:pPr>
        <w:rPr>
          <w:szCs w:val="21"/>
        </w:rPr>
      </w:pPr>
    </w:p>
    <w:p>
      <w:pPr>
        <w:pStyle w:val="afffffffffffffffffffffffffffffffff0"/>
        <w:numPr>
          <w:ilvl w:val="0"/>
          <w:numId w:val="94"/>
        </w:numPr>
      </w:pPr>
      <w:r>
        <w:rPr>
          <w:rFonts w:hint="eastAsia"/>
        </w:rPr>
        <w:t>营业周期</w:t>
      </w:r>
    </w:p>
    <w:sdt>
      <w:sdtPr>
        <w:rPr>
          <w:rFonts w:hint="eastAsia"/>
          <w:szCs w:val="21"/>
        </w:rPr>
        <w:alias w:val="是否适用：营业周期[双击切换]"/>
        <w:tag w:val="_GBC_41bd09d0a4bd429996597e58a613259e"/>
        <w:id w:val="-210779780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营业周期"/>
        <w:tag w:val="_GBC_e145e43187d9463889884f48e9e0b234"/>
        <w:id w:val="1734742805"/>
        <w:placeholder>
          <w:docPart w:val="GBC22222222222222222222222222222"/>
        </w:placeholder>
      </w:sdtPr>
      <w:sdtContent>
        <w:p>
          <w:pPr>
            <w:ind w:firstLineChars="200" w:firstLine="420"/>
            <w:rPr>
              <w:rFonts w:cs="Times New Roman"/>
              <w:kern w:val="2"/>
              <w:szCs w:val="21"/>
            </w:rPr>
          </w:pPr>
          <w:r>
            <w:t>营业周期是指企业从购买用于加工的资产起至实现现金或现金等价物的期间。本集团的营业 周期为 12 个月。</w:t>
          </w:r>
        </w:p>
      </w:sdtContent>
    </w:sdt>
    <w:p>
      <w:pPr>
        <w:rPr>
          <w:szCs w:val="21"/>
        </w:rPr>
      </w:pPr>
    </w:p>
    <w:p>
      <w:pPr>
        <w:pStyle w:val="afffffffffffffffffffffffffffffffff0"/>
        <w:numPr>
          <w:ilvl w:val="0"/>
          <w:numId w:val="94"/>
        </w:numPr>
      </w:pPr>
      <w:r>
        <w:t>记账本位币</w:t>
      </w:r>
    </w:p>
    <w:sdt>
      <w:sdtPr>
        <w:rPr>
          <w:rFonts w:hint="eastAsia"/>
          <w:szCs w:val="21"/>
        </w:rPr>
        <w:alias w:val="记账本位币"/>
        <w:tag w:val="_GBC_3749a2357eba44e8b968cb41cda75ff1"/>
        <w:id w:val="1450590976"/>
        <w:placeholder>
          <w:docPart w:val="GBC22222222222222222222222222222"/>
        </w:placeholder>
      </w:sdtPr>
      <w:sdtContent>
        <w:p>
          <w:pPr>
            <w:spacing w:afterLines="50" w:after="120" w:line="360" w:lineRule="exact"/>
            <w:ind w:firstLineChars="200" w:firstLine="420"/>
          </w:pPr>
          <w:r>
            <w:rPr>
              <w:rFonts w:hint="eastAsia"/>
            </w:rPr>
            <w:t>本公司及境内子公司的记账本位币为人民币。本公司境外子公司采用人民币以外的货币作为记账本位币，本公司在编制财务报表时对这些子公司的外币财务报表进行了折算（参见本附注“五、（十）外币业务和外币报表折算”）。</w:t>
          </w:r>
        </w:p>
      </w:sdtContent>
    </w:sdt>
    <w:p>
      <w:pPr>
        <w:rPr>
          <w:rFonts w:cs="Times New Roman"/>
          <w:kern w:val="2"/>
          <w:szCs w:val="21"/>
        </w:rPr>
      </w:pPr>
    </w:p>
    <w:p>
      <w:pPr>
        <w:pStyle w:val="afffffffffffffffffffffffffffffffff0"/>
        <w:numPr>
          <w:ilvl w:val="0"/>
          <w:numId w:val="94"/>
        </w:numPr>
        <w:ind w:left="450" w:hanging="450"/>
        <w:rPr>
          <w:color w:val="000000" w:themeColor="text1"/>
        </w:rPr>
      </w:pPr>
      <w:bookmarkStart w:id="321" w:name="_Hlk169007161"/>
      <w:bookmarkStart w:id="322" w:name="_Hlk167809539"/>
      <w:bookmarkStart w:id="323" w:name="_Hlk182408346"/>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1424259611"/>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tbl>
      <w:tblPr>
        <w:tblStyle w:val="g46"/>
        <w:tblW w:w="0" w:type="auto"/>
        <w:tblInd w:w="0" w:type="dxa"/>
        <w:tblLook w:val="04A0" w:firstRow="1" w:lastRow="0" w:firstColumn="1" w:lastColumn="0" w:noHBand="0" w:noVBand="1"/>
      </w:tblPr>
      <w:tblGrid>
        <w:gridCol w:w="4411"/>
        <w:gridCol w:w="4412"/>
      </w:tblGrid>
      <w:tr>
        <w:sdt>
          <w:sdtPr>
            <w:tag w:val="_PLD_0dcbeb4305c44211925953c92ffe63a0"/>
            <w:id w:val="-220993703"/>
          </w:sdtPr>
          <w:sdtContent>
            <w:tc>
              <w:tcPr>
                <w:tcW w:w="4411" w:type="dxa"/>
              </w:tcPr>
              <w:p>
                <w:pPr>
                  <w:jc w:val="center"/>
                  <w:rPr>
                    <w:color w:val="000000" w:themeColor="text1"/>
                  </w:rPr>
                </w:pPr>
                <w:r>
                  <w:rPr>
                    <w:rFonts w:hint="eastAsia"/>
                    <w:color w:val="000000" w:themeColor="text1"/>
                  </w:rPr>
                  <w:t>项目</w:t>
                </w:r>
              </w:p>
            </w:tc>
          </w:sdtContent>
        </w:sdt>
        <w:sdt>
          <w:sdtPr>
            <w:tag w:val="_PLD_def90d798dba4c27b8c2b37b31086625"/>
            <w:id w:val="-1365054830"/>
          </w:sdtPr>
          <w:sdtContent>
            <w:tc>
              <w:tcPr>
                <w:tcW w:w="4412" w:type="dxa"/>
              </w:tcPr>
              <w:p>
                <w:pPr>
                  <w:jc w:val="center"/>
                  <w:rPr>
                    <w:color w:val="000000" w:themeColor="text1"/>
                  </w:rPr>
                </w:pPr>
                <w:r>
                  <w:rPr>
                    <w:color w:val="000000" w:themeColor="text1"/>
                  </w:rPr>
                  <w:t>重要性标准</w:t>
                </w:r>
              </w:p>
            </w:tc>
          </w:sdtContent>
        </w:sdt>
      </w:tr>
      <w:tr>
        <w:tc>
          <w:tcPr>
            <w:tcW w:w="4411" w:type="dxa"/>
          </w:tcPr>
          <w:p>
            <w:pPr>
              <w:pStyle w:val="affffffffffffffffffffffffffffffffe"/>
            </w:pPr>
            <w:r>
              <w:rPr>
                <w:rFonts w:hint="eastAsia"/>
              </w:rPr>
              <w:t>重要的单项计提坏账准备的应收账款</w:t>
            </w:r>
          </w:p>
        </w:tc>
        <w:tc>
          <w:tcPr>
            <w:tcW w:w="4412" w:type="dxa"/>
          </w:tcPr>
          <w:p>
            <w:pPr>
              <w:pStyle w:val="affffffffffffffffffffffffffffffffe"/>
            </w:pPr>
            <w:r>
              <w:rPr>
                <w:rFonts w:hint="eastAsia"/>
              </w:rPr>
              <w:t>单项计提金额≥</w:t>
            </w:r>
            <w:r>
              <w:t>500万元</w:t>
            </w:r>
          </w:p>
        </w:tc>
      </w:tr>
      <w:tr>
        <w:tc>
          <w:tcPr>
            <w:tcW w:w="4411" w:type="dxa"/>
          </w:tcPr>
          <w:p>
            <w:pPr>
              <w:pStyle w:val="affffffffffffffffffffffffffffffffe"/>
            </w:pPr>
            <w:r>
              <w:rPr>
                <w:rFonts w:hint="eastAsia"/>
              </w:rPr>
              <w:t>重要的单项计提坏账准备的其他应收款</w:t>
            </w:r>
          </w:p>
        </w:tc>
        <w:tc>
          <w:tcPr>
            <w:tcW w:w="4412" w:type="dxa"/>
          </w:tcPr>
          <w:p>
            <w:pPr>
              <w:pStyle w:val="affffffffffffffffffffffffffffffffe"/>
            </w:pPr>
            <w:r>
              <w:rPr>
                <w:rFonts w:hint="eastAsia"/>
              </w:rPr>
              <w:t>单项计提金额≥</w:t>
            </w:r>
            <w:r>
              <w:t>500万元</w:t>
            </w:r>
          </w:p>
        </w:tc>
      </w:tr>
      <w:tr>
        <w:tc>
          <w:tcPr>
            <w:tcW w:w="4411" w:type="dxa"/>
          </w:tcPr>
          <w:p>
            <w:pPr>
              <w:pStyle w:val="affffffffffffffffffffffffffffffffe"/>
            </w:pPr>
            <w:r>
              <w:rPr>
                <w:rFonts w:hint="eastAsia"/>
              </w:rPr>
              <w:t>本期重要的其他应收款核销</w:t>
            </w:r>
          </w:p>
        </w:tc>
        <w:tc>
          <w:tcPr>
            <w:tcW w:w="4412" w:type="dxa"/>
          </w:tcPr>
          <w:p>
            <w:pPr>
              <w:pStyle w:val="affffffffffffffffffffffffffffffffe"/>
            </w:pPr>
            <w:r>
              <w:rPr>
                <w:rFonts w:hint="eastAsia"/>
              </w:rPr>
              <w:t>单项核销金额≥</w:t>
            </w:r>
            <w:r>
              <w:t>5000万元</w:t>
            </w:r>
          </w:p>
        </w:tc>
      </w:tr>
      <w:tr>
        <w:tc>
          <w:tcPr>
            <w:tcW w:w="4411" w:type="dxa"/>
            <w:vAlign w:val="center"/>
          </w:tcPr>
          <w:p>
            <w:pPr>
              <w:pStyle w:val="affffffffffffffffffffffffffffffffe"/>
            </w:pPr>
            <w:r>
              <w:rPr>
                <w:rFonts w:hint="eastAsia"/>
              </w:rPr>
              <w:t>重要的在建工程</w:t>
            </w:r>
          </w:p>
        </w:tc>
        <w:tc>
          <w:tcPr>
            <w:tcW w:w="4412" w:type="dxa"/>
            <w:vAlign w:val="center"/>
          </w:tcPr>
          <w:p>
            <w:pPr>
              <w:spacing w:line="360" w:lineRule="exact"/>
              <w:rPr>
                <w:sz w:val="18"/>
                <w:szCs w:val="18"/>
              </w:rPr>
            </w:pPr>
            <w:r>
              <w:rPr>
                <w:rFonts w:hint="eastAsia"/>
                <w:sz w:val="18"/>
                <w:szCs w:val="18"/>
              </w:rPr>
              <w:t>单项在建项目的预算金额≥</w:t>
            </w:r>
            <w:r>
              <w:rPr>
                <w:sz w:val="18"/>
                <w:szCs w:val="18"/>
              </w:rPr>
              <w:t>15亿元，且累计发生额≥10亿元</w:t>
            </w:r>
          </w:p>
        </w:tc>
      </w:tr>
      <w:tr>
        <w:tc>
          <w:tcPr>
            <w:tcW w:w="4411" w:type="dxa"/>
          </w:tcPr>
          <w:p>
            <w:pPr>
              <w:pStyle w:val="affffffffffffffffffffffffffffffffe"/>
            </w:pPr>
            <w:r>
              <w:rPr>
                <w:rFonts w:hint="eastAsia"/>
              </w:rPr>
              <w:t>账龄超过</w:t>
            </w:r>
            <w:r>
              <w:t>1年或逾期的重要应付账款</w:t>
            </w:r>
          </w:p>
        </w:tc>
        <w:tc>
          <w:tcPr>
            <w:tcW w:w="4412" w:type="dxa"/>
          </w:tcPr>
          <w:p>
            <w:pPr>
              <w:pStyle w:val="affffffffffffffffffffffffffffffffe"/>
            </w:pPr>
            <w:r>
              <w:rPr>
                <w:rFonts w:hint="eastAsia"/>
              </w:rPr>
              <w:t>单项账龄超过</w:t>
            </w:r>
            <w:r>
              <w:t>1年的应付账款金额≥1亿元</w:t>
            </w:r>
          </w:p>
        </w:tc>
      </w:tr>
      <w:tr>
        <w:tc>
          <w:tcPr>
            <w:tcW w:w="4411" w:type="dxa"/>
            <w:vAlign w:val="center"/>
          </w:tcPr>
          <w:p>
            <w:pPr>
              <w:pStyle w:val="affffffffffffffffffffffffffffffffe"/>
            </w:pPr>
            <w:r>
              <w:rPr>
                <w:rFonts w:hint="eastAsia"/>
              </w:rPr>
              <w:t>账龄超过</w:t>
            </w:r>
            <w:r>
              <w:t>1年或逾期的重要其他应付款</w:t>
            </w:r>
          </w:p>
        </w:tc>
        <w:tc>
          <w:tcPr>
            <w:tcW w:w="4412" w:type="dxa"/>
          </w:tcPr>
          <w:p>
            <w:pPr>
              <w:pStyle w:val="affffffffffffffffffffffffffffffffe"/>
            </w:pPr>
            <w:r>
              <w:rPr>
                <w:rFonts w:hint="eastAsia"/>
              </w:rPr>
              <w:t>单项账龄超过</w:t>
            </w:r>
            <w:r>
              <w:t>1年的其他应付账款金额≥1亿元</w:t>
            </w:r>
          </w:p>
        </w:tc>
      </w:tr>
      <w:tr>
        <w:tc>
          <w:tcPr>
            <w:tcW w:w="4411" w:type="dxa"/>
          </w:tcPr>
          <w:p>
            <w:pPr>
              <w:pStyle w:val="affffffffffffffffffffffffffffffffe"/>
            </w:pPr>
            <w:r>
              <w:rPr>
                <w:rFonts w:hint="eastAsia"/>
              </w:rPr>
              <w:t>重要的收回投资收到的现金</w:t>
            </w:r>
          </w:p>
        </w:tc>
        <w:tc>
          <w:tcPr>
            <w:tcW w:w="4412" w:type="dxa"/>
          </w:tcPr>
          <w:p>
            <w:pPr>
              <w:pStyle w:val="affffffffffffffffffffffffffffffffe"/>
            </w:pPr>
            <w:r>
              <w:rPr>
                <w:rFonts w:hint="eastAsia"/>
              </w:rPr>
              <w:t>单项收回投资收到的金额≥</w:t>
            </w:r>
            <w:r>
              <w:t>5亿元</w:t>
            </w:r>
          </w:p>
        </w:tc>
      </w:tr>
      <w:tr>
        <w:tc>
          <w:tcPr>
            <w:tcW w:w="4411" w:type="dxa"/>
          </w:tcPr>
          <w:p>
            <w:pPr>
              <w:pStyle w:val="affffffffffffffffffffffffffffffffe"/>
            </w:pPr>
            <w:r>
              <w:rPr>
                <w:rFonts w:hint="eastAsia"/>
              </w:rPr>
              <w:t>重要的投资支付的现金</w:t>
            </w:r>
          </w:p>
        </w:tc>
        <w:tc>
          <w:tcPr>
            <w:tcW w:w="4412" w:type="dxa"/>
          </w:tcPr>
          <w:p>
            <w:pPr>
              <w:pStyle w:val="affffffffffffffffffffffffffffffffe"/>
            </w:pPr>
            <w:r>
              <w:rPr>
                <w:rFonts w:hint="eastAsia"/>
              </w:rPr>
              <w:t>单项投资支付的金额≥</w:t>
            </w:r>
            <w:r>
              <w:t>5亿元</w:t>
            </w:r>
          </w:p>
        </w:tc>
      </w:tr>
      <w:tr>
        <w:tc>
          <w:tcPr>
            <w:tcW w:w="4411" w:type="dxa"/>
          </w:tcPr>
          <w:p>
            <w:pPr>
              <w:pStyle w:val="affffffffffffffffffffffffffffffffe"/>
            </w:pPr>
            <w:r>
              <w:rPr>
                <w:rFonts w:hint="eastAsia"/>
              </w:rPr>
              <w:t>重要的非全资子公司</w:t>
            </w:r>
          </w:p>
        </w:tc>
        <w:tc>
          <w:tcPr>
            <w:tcW w:w="4412" w:type="dxa"/>
          </w:tcPr>
          <w:p>
            <w:pPr>
              <w:pStyle w:val="affffffffffffffffffffffffffffffffe"/>
            </w:pPr>
            <w:r>
              <w:rPr>
                <w:rFonts w:hint="eastAsia"/>
              </w:rPr>
              <w:t>子公司收入总额占集团收入总额</w:t>
            </w:r>
            <w:r>
              <w:t>10%以上</w:t>
            </w:r>
          </w:p>
        </w:tc>
      </w:tr>
      <w:tr>
        <w:tc>
          <w:tcPr>
            <w:tcW w:w="4411" w:type="dxa"/>
            <w:vAlign w:val="center"/>
          </w:tcPr>
          <w:p>
            <w:pPr>
              <w:pStyle w:val="affffffffffffffffffffffffffffffffe"/>
            </w:pPr>
            <w:r>
              <w:rPr>
                <w:rFonts w:hint="eastAsia"/>
              </w:rPr>
              <w:t>重要的联营企业或合营企业</w:t>
            </w:r>
          </w:p>
        </w:tc>
        <w:tc>
          <w:tcPr>
            <w:tcW w:w="4412" w:type="dxa"/>
          </w:tcPr>
          <w:p>
            <w:pPr>
              <w:pStyle w:val="affffffffffffffffffffffffffffffffe"/>
            </w:pPr>
            <w:r>
              <w:rPr>
                <w:rFonts w:hint="eastAsia"/>
              </w:rPr>
              <w:t>对单个被投资单位的长期股权投资账面价值≥</w:t>
            </w:r>
            <w:r>
              <w:t>10亿元</w:t>
            </w:r>
          </w:p>
        </w:tc>
      </w:tr>
    </w:tbl>
    <w:p>
      <w:pPr>
        <w:rPr>
          <w:color w:val="000000" w:themeColor="text1"/>
        </w:rPr>
      </w:pPr>
    </w:p>
    <w:bookmarkEnd w:id="321"/>
    <w:bookmarkEnd w:id="322"/>
    <w:bookmarkEnd w:id="323"/>
    <w:p>
      <w:pPr>
        <w:pStyle w:val="afffffffffffffffffffffffffffffffff0"/>
        <w:numPr>
          <w:ilvl w:val="0"/>
          <w:numId w:val="94"/>
        </w:numPr>
      </w:pPr>
      <w:r>
        <w:lastRenderedPageBreak/>
        <w:t>同一控制下和非同一控制下企业合并的会计处理方法</w:t>
      </w:r>
    </w:p>
    <w:sdt>
      <w:sdtPr>
        <w:rPr>
          <w:rFonts w:hint="eastAsia"/>
          <w:szCs w:val="21"/>
        </w:rPr>
        <w:alias w:val="是否适用：同一控制下和非同一控制下企业合并的会计处理方法[双击切换]"/>
        <w:tag w:val="_GBC_46d00db18b44411d8dd79543c30557e3"/>
        <w:id w:val="150563099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14:ligatures w14:val="none"/>
        </w:rPr>
        <w:alias w:val="同一控制下和非同一控制下企业合并的会计处理方法"/>
        <w:tag w:val="_GBC_ef4b9a8d4ac34f45a0f61a23267bcbb8"/>
        <w:id w:val="1751470707"/>
        <w:placeholder>
          <w:docPart w:val="GBC22222222222222222222222222222"/>
        </w:placeholder>
      </w:sdtPr>
      <w:sdtContent>
        <w:p>
          <w:pPr>
            <w:pStyle w:val="afffa"/>
          </w:pPr>
          <w:r>
            <w:rPr>
              <w:rFonts w:hAnsi="宋体" w:cs="宋体"/>
              <w:kern w:val="0"/>
              <w:szCs w:val="21"/>
              <w14:ligatures w14:val="none"/>
            </w:rPr>
            <w:t>1.</w:t>
          </w:r>
          <w:r>
            <w:rPr>
              <w:rFonts w:hint="eastAsia"/>
            </w:rPr>
            <w:t>同一控制下企业合并的会计处理方法</w:t>
          </w:r>
        </w:p>
        <w:p>
          <w:pPr>
            <w:autoSpaceDE w:val="0"/>
            <w:autoSpaceDN w:val="0"/>
            <w:adjustRightInd w:val="0"/>
            <w:spacing w:afterLines="50" w:after="120" w:line="360" w:lineRule="exact"/>
            <w:ind w:firstLineChars="200" w:firstLine="420"/>
          </w:pPr>
          <w:r>
            <w:rPr>
              <w:rFonts w:hint="eastAsia"/>
            </w:rPr>
            <w:t>本集团在一次交易取得或通过多次交易分步实现同一控制下企业合并，企业合并中取得的资产和负债，按照合并日被合并方在最终控制方合并财务报表中的的账面价值计量。本集团取得的净资产账面价值与支付的合并对价账面价值（或发行股份面值总额）的差额，调整资本公积；资本公积不足冲减的，调整留存收益。</w:t>
          </w:r>
        </w:p>
        <w:p>
          <w:pPr>
            <w:pStyle w:val="afffa"/>
          </w:pPr>
          <w:r>
            <w:t>2.</w:t>
          </w:r>
          <w:r>
            <w:rPr>
              <w:rFonts w:hint="eastAsia"/>
            </w:rPr>
            <w:t>非同一</w:t>
          </w:r>
          <w:r>
            <w:rPr>
              <w:rFonts w:hint="eastAsia"/>
              <w:kern w:val="0"/>
              <w:szCs w:val="20"/>
            </w:rPr>
            <w:t>控制</w:t>
          </w:r>
          <w:r>
            <w:rPr>
              <w:rFonts w:hint="eastAsia"/>
            </w:rPr>
            <w:t>下企业合并的</w:t>
          </w:r>
          <w:r>
            <w:rPr>
              <w:rFonts w:hint="eastAsia"/>
              <w:kern w:val="0"/>
              <w:szCs w:val="20"/>
            </w:rPr>
            <w:t>会计</w:t>
          </w:r>
          <w:r>
            <w:rPr>
              <w:rFonts w:hint="eastAsia"/>
            </w:rPr>
            <w:t>处理方法</w:t>
          </w:r>
        </w:p>
        <w:p>
          <w:pPr>
            <w:spacing w:afterLines="50" w:after="120" w:line="360" w:lineRule="exact"/>
            <w:ind w:firstLineChars="200" w:firstLine="420"/>
          </w:pPr>
          <w:r>
            <w:rPr>
              <w:rFonts w:hint="eastAsia"/>
            </w:rPr>
            <w:t>本集团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p>
          <w:pPr>
            <w:spacing w:afterLines="50" w:after="120" w:line="360" w:lineRule="exact"/>
            <w:ind w:firstLineChars="200" w:firstLine="420"/>
          </w:pPr>
          <w:r>
            <w:rPr>
              <w:rFonts w:hint="eastAsia"/>
            </w:rPr>
            <w:t>通过多次交易分步实现非同一控制下企业合并，应按以下顺序处理：</w:t>
          </w:r>
        </w:p>
        <w:p>
          <w:pPr>
            <w:spacing w:afterLines="50" w:after="120" w:line="360" w:lineRule="exact"/>
            <w:ind w:firstLineChars="200" w:firstLine="420"/>
          </w:pPr>
          <w:r>
            <w:rPr>
              <w:rFonts w:hint="eastAsia"/>
            </w:rPr>
            <w:t>（1）调整长期股权投资初始投资成本。购买日之前持有股权采用权益法核算的，按照该股权在购买日的公允价值进行重新计量，公允价值与其账面价值的差额计入当期投资收益；购买日之前持有的被购买方的股权涉及权益法核算下的其他综合收益、其他所有者权益变动的，转为购买日所属当期收益，由于被投资方重新计量设定受益计划净负债或净资产变动以及持有的其他权益工具投资公允价值变动而产生的其他综合收益除外。</w:t>
          </w:r>
        </w:p>
        <w:p>
          <w:pPr>
            <w:spacing w:afterLines="50" w:after="120" w:line="360" w:lineRule="exact"/>
            <w:ind w:firstLineChars="200" w:firstLine="420"/>
          </w:pPr>
          <w:r>
            <w:rPr>
              <w:rFonts w:hint="eastAsia"/>
            </w:rPr>
            <w:t>（2）确认商誉（或计入当期损益的金额）。将第一步调整后长期股权投资初始投资成本与购买日应享有子公司可辨认净资产公允价值份额比较，前者大于后者，差额确认为商誉；前者小于后者，差额计入当期损益。</w:t>
          </w:r>
        </w:p>
        <w:p>
          <w:pPr>
            <w:spacing w:afterLines="50" w:after="120" w:line="360" w:lineRule="exact"/>
            <w:ind w:firstLineChars="200" w:firstLine="420"/>
          </w:pPr>
          <w:r>
            <w:rPr>
              <w:rFonts w:hint="eastAsia"/>
            </w:rPr>
            <w:t>通过多次交易分步处置股权至丧失对子公司控制权的情形</w:t>
          </w:r>
        </w:p>
        <w:p>
          <w:pPr>
            <w:spacing w:afterLines="50" w:after="120" w:line="360" w:lineRule="exact"/>
            <w:ind w:firstLineChars="200" w:firstLine="420"/>
          </w:pPr>
          <w:r>
            <w:rPr>
              <w:rFonts w:hint="eastAsia"/>
            </w:rPr>
            <w:t>（1）判断分步处置股权至丧失对子公司控制权过程中的各项交易是否属于“一揽子交易”的原则</w:t>
          </w:r>
        </w:p>
        <w:p>
          <w:pPr>
            <w:spacing w:afterLines="50" w:after="120" w:line="360" w:lineRule="exact"/>
            <w:ind w:firstLineChars="200" w:firstLine="420"/>
          </w:pPr>
          <w:r>
            <w:rPr>
              <w:rFonts w:hint="eastAsia"/>
            </w:rPr>
            <w:t>处置对子公司股权投资的各项交易的条款、条件以及经济影响符合以下一种或多种情况，通常表明应将多次交易事项作为一揽子交易进行会计处理：</w:t>
          </w:r>
        </w:p>
        <w:p>
          <w:pPr>
            <w:pStyle w:val="affffffffffffff3"/>
            <w:numPr>
              <w:ilvl w:val="1"/>
              <w:numId w:val="95"/>
            </w:numPr>
            <w:spacing w:afterLines="50" w:after="120" w:line="360" w:lineRule="exact"/>
            <w:ind w:firstLineChars="0"/>
          </w:pPr>
          <w:r>
            <w:rPr>
              <w:rFonts w:hint="eastAsia"/>
            </w:rPr>
            <w:t>这些交易是同时或者在考虑了彼此影响的情况下订立的；</w:t>
          </w:r>
        </w:p>
        <w:p>
          <w:pPr>
            <w:pStyle w:val="affffffffffffff3"/>
            <w:numPr>
              <w:ilvl w:val="1"/>
              <w:numId w:val="95"/>
            </w:numPr>
            <w:spacing w:afterLines="50" w:after="120" w:line="360" w:lineRule="exact"/>
            <w:ind w:firstLineChars="0"/>
          </w:pPr>
          <w:r>
            <w:rPr>
              <w:rFonts w:hint="eastAsia"/>
            </w:rPr>
            <w:t>这些交易整体才能达成一项完整的商业结果；</w:t>
          </w:r>
        </w:p>
        <w:p>
          <w:pPr>
            <w:pStyle w:val="affffffffffffff3"/>
            <w:numPr>
              <w:ilvl w:val="1"/>
              <w:numId w:val="95"/>
            </w:numPr>
            <w:spacing w:afterLines="50" w:after="120" w:line="360" w:lineRule="exact"/>
            <w:ind w:firstLineChars="0"/>
          </w:pPr>
          <w:r>
            <w:rPr>
              <w:rFonts w:hint="eastAsia"/>
            </w:rPr>
            <w:t>一项交易的发生取决于其他至少一项交易的发生；</w:t>
          </w:r>
        </w:p>
        <w:p>
          <w:pPr>
            <w:pStyle w:val="affffffffffffff3"/>
            <w:numPr>
              <w:ilvl w:val="1"/>
              <w:numId w:val="95"/>
            </w:numPr>
            <w:spacing w:afterLines="50" w:after="120" w:line="360" w:lineRule="exact"/>
            <w:ind w:firstLineChars="0"/>
          </w:pPr>
          <w:r>
            <w:rPr>
              <w:rFonts w:hint="eastAsia"/>
            </w:rPr>
            <w:t>一项交易单独看是不经济的，但是和其他交易一并考虑时是经济的。</w:t>
          </w:r>
        </w:p>
        <w:p>
          <w:pPr>
            <w:spacing w:afterLines="50" w:after="120" w:line="360" w:lineRule="exact"/>
            <w:ind w:firstLineChars="200" w:firstLine="420"/>
          </w:pPr>
          <w:r>
            <w:rPr>
              <w:rFonts w:hint="eastAsia"/>
            </w:rPr>
            <w:t>（2）分步处置股权至丧失对子公司控制权过程中的各项交易属于“一揽子交易”的会计处理方法</w:t>
          </w:r>
        </w:p>
        <w:p>
          <w:pPr>
            <w:spacing w:afterLines="50" w:after="120" w:line="360" w:lineRule="exact"/>
            <w:ind w:firstLineChars="200" w:firstLine="420"/>
          </w:pPr>
          <w:r>
            <w:rPr>
              <w:rFonts w:hint="eastAsia"/>
            </w:rPr>
            <w:lastRenderedPageBreak/>
            <w:t>处置对子公司股权投资直至丧失控制权的各项交易属于一揽子交易的，应当将各项交易作为一项处置子公司并丧失控制权的交易进行会计处理；但是，在丧失控制权之前每一次处置价款与处置投资对应的享有该子公司净资产份额的差额，在合并财务报表中应当确认为其他综合收益，在丧失控制权时一并转入丧失控制权当期的损益。</w:t>
          </w:r>
        </w:p>
        <w:p>
          <w:pPr>
            <w:spacing w:afterLines="50" w:after="120" w:line="360" w:lineRule="exact"/>
            <w:ind w:firstLineChars="200" w:firstLine="420"/>
          </w:pPr>
          <w:r>
            <w:rPr>
              <w:rFonts w:hint="eastAsia"/>
            </w:rPr>
            <w:t>在合并财务报表中，对于剩余股权，应当按照其在丧失控制权日的公允价值进行重新计量。处置股权取得的对价与剩余股权公允价值之和，减去按原持股比例计算应享有原子公司自购买日开始持续计算的净资产的份额之间的差额，计入丧失控制权当期的投资收益。与原子公司股权投资相关的其他综合收益，应当在丧失控制权时转为当期投资收益或留存收益。</w:t>
          </w:r>
        </w:p>
        <w:p>
          <w:pPr>
            <w:spacing w:afterLines="50" w:after="120" w:line="360" w:lineRule="exact"/>
            <w:ind w:firstLineChars="200" w:firstLine="420"/>
          </w:pPr>
          <w:r>
            <w:rPr>
              <w:rFonts w:hint="eastAsia"/>
            </w:rPr>
            <w:t>（3）分步处置股权至丧失对子公司控制权过程中的各项交易不属于“一揽子交易”的会计处理方法</w:t>
          </w:r>
        </w:p>
        <w:p>
          <w:pPr>
            <w:spacing w:afterLines="50" w:after="120" w:line="360" w:lineRule="exact"/>
            <w:ind w:firstLineChars="200" w:firstLine="420"/>
          </w:pPr>
          <w:r>
            <w:rPr>
              <w:rFonts w:hint="eastAsia"/>
            </w:rPr>
            <w:t>处置对子公司的投资未丧失控制权的，合并财务报表中处置价款与处置投资对应的享有该子公司净资产份额的差额计入资本公积（资本溢价或股本溢价），资本溢价不足冲减的，应当调整留存收益。</w:t>
          </w:r>
        </w:p>
        <w:p>
          <w:pPr>
            <w:spacing w:afterLines="50" w:after="120" w:line="360" w:lineRule="exact"/>
            <w:ind w:firstLineChars="200" w:firstLine="420"/>
          </w:pPr>
          <w:r>
            <w:rPr>
              <w:rFonts w:hint="eastAsia"/>
            </w:rPr>
            <w:t>处置对子公司的投资丧失控制权的，在合并财务报表中，对于剩余股权，应当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应当在丧失控制权时转为当期投资收益或留存收益。</w:t>
          </w:r>
        </w:p>
      </w:sdtContent>
    </w:sdt>
    <w:p>
      <w:pPr>
        <w:rPr>
          <w:szCs w:val="21"/>
        </w:rPr>
      </w:pPr>
    </w:p>
    <w:p>
      <w:pPr>
        <w:pStyle w:val="afffffffffffffffffffffffffffffffff0"/>
        <w:numPr>
          <w:ilvl w:val="0"/>
          <w:numId w:val="94"/>
        </w:numPr>
      </w:pPr>
      <w:r>
        <w:rPr>
          <w:rFonts w:ascii="宋体" w:hAnsi="宋体" w:cs="宋体" w:hint="eastAsia"/>
          <w:kern w:val="0"/>
          <w:szCs w:val="24"/>
        </w:rPr>
        <w:t>控制的判断标准和</w:t>
      </w:r>
      <w:r>
        <w:t>合并财务报表的编制方法</w:t>
      </w:r>
    </w:p>
    <w:sdt>
      <w:sdtPr>
        <w:rPr>
          <w:rFonts w:hint="eastAsia"/>
          <w:szCs w:val="21"/>
        </w:rPr>
        <w:alias w:val="是否适用：控制的判断标准和合并财务报表的编制方法[双击切换]"/>
        <w:tag w:val="_GBC_d8312ea572e647a59b796bf708b54713"/>
        <w:id w:val="133194681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控制的判断标准和合并财务报表的编制方法"/>
        <w:tag w:val="_GBC_5201beca0c0944939b4a0d8d100d6fcf"/>
        <w:id w:val="1025912690"/>
        <w:placeholder>
          <w:docPart w:val="GBC22222222222222222222222222222"/>
        </w:placeholder>
      </w:sdtPr>
      <w:sdtContent>
        <w:p>
          <w:pPr>
            <w:pStyle w:val="affffffffffffffffffffffffffffffffffb"/>
            <w:spacing w:afterLines="50" w:after="120" w:line="360" w:lineRule="exact"/>
            <w:ind w:firstLineChars="200" w:firstLine="420"/>
            <w:rPr>
              <w:rFonts w:hAnsi="Times New Roman"/>
            </w:rPr>
          </w:pPr>
          <w:r>
            <w:rPr>
              <w:rFonts w:hAnsi="Times New Roman" w:hint="eastAsia"/>
            </w:rPr>
            <w:t>本集团合并财务报表的合并范围以控制为基础予以确定，包括本公司及本公司控制的所有子公司（含企业、被投资单位中可分割的部分，以及企业所控制的结构化主体等）。本集团判断控制的标准为，本集团拥有对被投资方的权力，通过参与被投资方的相关活动而享有可变回报，并且有能力运用对被投资方的权力影响其回报金额。</w:t>
          </w:r>
        </w:p>
        <w:p>
          <w:pPr>
            <w:pStyle w:val="affffffffffffffffffffffffffffffffffb"/>
            <w:spacing w:afterLines="50" w:after="120" w:line="360" w:lineRule="exact"/>
            <w:ind w:firstLineChars="200" w:firstLine="420"/>
            <w:rPr>
              <w:rFonts w:hAnsi="Times New Roman"/>
            </w:rPr>
          </w:pPr>
          <w:r>
            <w:rPr>
              <w:rFonts w:hAnsi="Times New Roman" w:hint="eastAsia"/>
            </w:rPr>
            <w:t>在编制合并财务报表时，子公司与本公司采用的会计政策或会计期间不一致的，按照本公司的会计政策或会计期间对子公司财务报表进行必要的调整。</w:t>
          </w:r>
        </w:p>
        <w:p>
          <w:pPr>
            <w:pStyle w:val="affffffffffffffffffffffffffffffffffb"/>
            <w:spacing w:afterLines="50" w:after="120" w:line="360" w:lineRule="exact"/>
            <w:ind w:firstLineChars="200" w:firstLine="420"/>
            <w:rPr>
              <w:rFonts w:hAnsi="Times New Roman"/>
            </w:rPr>
          </w:pPr>
          <w:r>
            <w:rPr>
              <w:rFonts w:hAnsi="Times New Roman" w:hint="eastAsia"/>
            </w:rPr>
            <w:t>本公司与子公司及子公司相互之间发生的内部交易对合并财务报表的影响于合并时抵消。子公司的所有者权益中不属于母公司的份额以及当期净损益、其他综合收益及综合收益总额中属于少数股东权益的份额，分别在合并财务报表“少数股东权益、少数股东损益、归属于少数股东的其他综合收益及归属于少数股东的综合收益总额”项目列示。</w:t>
          </w:r>
        </w:p>
        <w:p>
          <w:pPr>
            <w:pStyle w:val="affffffffffffffffffffffffffffffffffb"/>
            <w:spacing w:afterLines="50" w:after="120" w:line="360" w:lineRule="exact"/>
            <w:ind w:firstLineChars="200" w:firstLine="420"/>
            <w:rPr>
              <w:rFonts w:hAnsi="Times New Roman"/>
            </w:rPr>
          </w:pPr>
          <w:r>
            <w:rPr>
              <w:rFonts w:hAnsi="Times New Roman" w:hint="eastAsia"/>
            </w:rPr>
            <w:t>对于同一控制下企业合并取得的子公司，其经营成果和现金流量自合并当期期初纳入合并财务报表。编制比较合并财务报表时，对上年财务报表的相关项目进行调整，视同合并后形成的报告主体自最终控制方开始控制时点起一直存在。</w:t>
          </w:r>
        </w:p>
        <w:p>
          <w:pPr>
            <w:pStyle w:val="affffffffffffffffffffffffffffffffffb"/>
            <w:spacing w:afterLines="50" w:after="120" w:line="360" w:lineRule="exact"/>
            <w:ind w:firstLineChars="200" w:firstLine="420"/>
            <w:rPr>
              <w:rFonts w:hAnsi="Times New Roman"/>
            </w:rPr>
          </w:pPr>
          <w:r>
            <w:rPr>
              <w:rFonts w:hAnsi="Times New Roman" w:hint="eastAsia"/>
            </w:rPr>
            <w:t>对于非同一控制下企业合并取得子公司，经营成果和现金流量自本集团取得控制权之日起纳</w:t>
          </w:r>
          <w:r>
            <w:rPr>
              <w:rFonts w:hAnsi="Times New Roman" w:hint="eastAsia"/>
            </w:rPr>
            <w:lastRenderedPageBreak/>
            <w:t>入合并财务报表。在编制合并财务报表时，以购买日确定的各项可辨认资产、负债及或有负债的公允价值为基础对子公司的财务报表进行调整。</w:t>
          </w:r>
        </w:p>
        <w:p>
          <w:pPr>
            <w:pStyle w:val="affffffffffffffffffffffffffffffffffb"/>
            <w:spacing w:afterLines="50" w:after="120" w:line="360" w:lineRule="exact"/>
            <w:ind w:firstLineChars="200" w:firstLine="420"/>
            <w:rPr>
              <w:rFonts w:hAnsi="Times New Roman"/>
            </w:rPr>
          </w:pPr>
          <w:r>
            <w:rPr>
              <w:rFonts w:hAnsi="Times New Roman" w:hint="eastAsia"/>
            </w:rPr>
            <w:t>本集团在不丧失控制权的情况下部分处置对子公司的长期股权投资，在合并财务报表中，处置价款与处置长期股权投资相对应享有子公司自购买日或合并日开始持续计算的净资产份额之间的差额，调整资本公积（股本溢价），资本公积不足冲减的，调整留存收益。</w:t>
          </w:r>
        </w:p>
        <w:p>
          <w:pPr>
            <w:pStyle w:val="affffffffffffffffffffffffffffffffffb"/>
            <w:spacing w:afterLines="50" w:after="120" w:line="360" w:lineRule="exact"/>
            <w:ind w:firstLineChars="200" w:firstLine="420"/>
            <w:rPr>
              <w:rFonts w:hAnsi="Times New Roman"/>
            </w:rPr>
          </w:pPr>
          <w:r>
            <w:rPr>
              <w:rFonts w:hAnsi="Times New Roman" w:hint="eastAsia"/>
            </w:rPr>
            <w:t>本集团因处置部分股权投资等原因丧失了对被投资方的控制权的，在编制合并财务报表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损益，同时冲减商誉。与原有子公司股权投资相关的其他综合收益等，在丧失控制权时转为当期投资损益。</w:t>
          </w:r>
        </w:p>
        <w:p>
          <w:pPr>
            <w:rPr>
              <w:szCs w:val="21"/>
            </w:rPr>
          </w:pPr>
          <w:r>
            <w:rPr>
              <w:rFonts w:hAnsi="Times New Roman" w:hint="eastAsia"/>
            </w:rPr>
            <w:t>本集团通过多次交易分步处置对子公司股权投资直至丧失控制权属于一揽子交易的，应当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投资损益。通过多次交易分步处置对子公司股权投资直至丧失控制权，不属于一揽子交易的，对每一项交易按照是否丧失控制权分别进行会计处理。</w:t>
          </w:r>
        </w:p>
      </w:sdtContent>
    </w:sdt>
    <w:p>
      <w:pPr>
        <w:rPr>
          <w:szCs w:val="21"/>
        </w:rPr>
      </w:pPr>
    </w:p>
    <w:p>
      <w:pPr>
        <w:pStyle w:val="afffffffffffffffffffffffffffffffff0"/>
        <w:numPr>
          <w:ilvl w:val="0"/>
          <w:numId w:val="94"/>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206425431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宋体"/>
          <w:kern w:val="0"/>
          <w14:ligatures w14:val="none"/>
        </w:rPr>
        <w:alias w:val="合营安排分类及共同经营会计处理方法"/>
        <w:tag w:val="_GBC_cf67ede4230c4056b34792c6a0db55e2"/>
        <w:id w:val="1634519541"/>
        <w:placeholder>
          <w:docPart w:val="GBC22222222222222222222222222222"/>
        </w:placeholder>
      </w:sdtPr>
      <w:sdtContent>
        <w:p>
          <w:pPr>
            <w:pStyle w:val="afffa"/>
            <w:numPr>
              <w:ilvl w:val="0"/>
              <w:numId w:val="96"/>
            </w:numPr>
          </w:pPr>
          <w:r>
            <w:rPr>
              <w:rFonts w:hint="eastAsia"/>
            </w:rPr>
            <w:t>合营安排的认定和分类</w:t>
          </w:r>
        </w:p>
        <w:p>
          <w:pPr>
            <w:pStyle w:val="affffffffffffffffffffffffffffffffffb"/>
            <w:spacing w:afterLines="50" w:after="120" w:line="360" w:lineRule="exact"/>
            <w:ind w:firstLineChars="200" w:firstLine="420"/>
            <w:rPr>
              <w:rFonts w:hAnsi="宋体"/>
            </w:rPr>
          </w:pPr>
          <w:r>
            <w:rPr>
              <w:rFonts w:hAnsi="宋体" w:hint="eastAsia"/>
            </w:rPr>
            <w:t>合营安排，是指一项由两个或两个以上的参与方共同控制的安排。合营安排具有下列特征：（1）各参与方均受到该安排的约束；（2）两个或两个以上的参与方对该安排实施共同控制。任何一个参与方都不能够单独控制该安排，对该安排具有共同控制的任何一个参与方均能够阻止其他参与方或参与方组合单独控制该安排。</w:t>
          </w:r>
        </w:p>
        <w:p>
          <w:pPr>
            <w:pStyle w:val="affffffffffffffffffffffffffffffffffb"/>
            <w:spacing w:afterLines="50" w:after="120" w:line="360" w:lineRule="exact"/>
            <w:ind w:firstLineChars="200" w:firstLine="420"/>
            <w:rPr>
              <w:rFonts w:hAnsi="宋体"/>
            </w:rPr>
          </w:pPr>
          <w:r>
            <w:rPr>
              <w:rFonts w:hAnsi="宋体" w:hint="eastAsia"/>
            </w:rPr>
            <w:t>共同控制，是指按照相关约定对某项安排所共有的控制，并且该安排的相关活动必须经过分享控制权的参与方一致同意后才能决策。</w:t>
          </w:r>
        </w:p>
        <w:p>
          <w:pPr>
            <w:pStyle w:val="affffffffffffffffffffffffffffffffffb"/>
            <w:spacing w:afterLines="50" w:after="120" w:line="360" w:lineRule="exact"/>
            <w:ind w:firstLineChars="200" w:firstLine="420"/>
            <w:rPr>
              <w:rFonts w:hAnsi="宋体"/>
            </w:rPr>
          </w:pPr>
          <w:r>
            <w:rPr>
              <w:rFonts w:hAnsi="宋体" w:hint="eastAsia"/>
            </w:rPr>
            <w:t>合营安排分为共同经营和合营企业。共同经营，是指合营方享有该安排相关资产且承担该安排相关负债的合营安排。合营企业，是指合营方仅对该安排的净资产享有权利的合营安排。</w:t>
          </w:r>
        </w:p>
        <w:p>
          <w:pPr>
            <w:pStyle w:val="affffffffffffffffffffffffffffffffffb"/>
            <w:spacing w:afterLines="50" w:after="120" w:line="360" w:lineRule="exact"/>
            <w:ind w:firstLineChars="200" w:firstLine="420"/>
            <w:rPr>
              <w:rFonts w:hAnsi="宋体"/>
            </w:rPr>
          </w:pPr>
          <w:r>
            <w:rPr>
              <w:rFonts w:hAnsi="宋体" w:hint="eastAsia"/>
            </w:rPr>
            <w:t>本集团的合营安排包括共同经营和合营企业。共同经营，是指合营方享有该安排相关资产且承担该安排相关负债的合营安排。合营企业，是指合营方仅对该安排的净资产享有权利的合营安排。</w:t>
          </w:r>
        </w:p>
        <w:p>
          <w:pPr>
            <w:pStyle w:val="afffa"/>
            <w:numPr>
              <w:ilvl w:val="0"/>
              <w:numId w:val="96"/>
            </w:numPr>
          </w:pPr>
          <w:r>
            <w:rPr>
              <w:rFonts w:hint="eastAsia"/>
            </w:rPr>
            <w:t>合营安排的会计处理</w:t>
          </w:r>
        </w:p>
        <w:p>
          <w:pPr>
            <w:spacing w:afterLines="50" w:after="120" w:line="360" w:lineRule="exact"/>
            <w:ind w:firstLineChars="200" w:firstLine="420"/>
            <w:rPr>
              <w:color w:val="0000FF"/>
            </w:rPr>
          </w:pPr>
          <w:r>
            <w:rPr>
              <w:rFonts w:hint="eastAsia"/>
              <w:szCs w:val="20"/>
            </w:rPr>
            <w:t>对于共同经营项目,本集团作为共同经营中的合营方确认单独持有的资产和承担的负债，以及按份额确认持有的资产和承担的负债，根据相关约定单独或按份额确认相关的收入和费用。与共同经营发生购买、销售不构成业务的资产交易的，仅确认因该交易产生的损益中归属于共同经营其他参与方的部分。</w:t>
          </w:r>
        </w:p>
      </w:sdtContent>
    </w:sdt>
    <w:p>
      <w:pPr>
        <w:pStyle w:val="affffffffffffffffffffffffffffffffe"/>
      </w:pPr>
    </w:p>
    <w:p>
      <w:pPr>
        <w:pStyle w:val="afffffffffffffffffffffffffffffffff0"/>
        <w:numPr>
          <w:ilvl w:val="0"/>
          <w:numId w:val="94"/>
        </w:numPr>
      </w:pPr>
      <w:r>
        <w:lastRenderedPageBreak/>
        <w:t>现金及现金等价物的确定标准</w:t>
      </w:r>
    </w:p>
    <w:sdt>
      <w:sdtPr>
        <w:rPr>
          <w:rFonts w:hint="eastAsia"/>
          <w:szCs w:val="21"/>
        </w:rPr>
        <w:alias w:val="现金及现金等价物的确定标准"/>
        <w:tag w:val="_GBC_54f6bc3e44e840bc85cb3872600823b5"/>
        <w:id w:val="742687480"/>
        <w:placeholder>
          <w:docPart w:val="GBC22222222222222222222222222222"/>
        </w:placeholder>
      </w:sdtPr>
      <w:sdtContent>
        <w:p>
          <w:pPr>
            <w:spacing w:afterLines="50" w:after="120" w:line="360" w:lineRule="exact"/>
            <w:ind w:firstLineChars="200" w:firstLine="420"/>
          </w:pPr>
          <w:r>
            <w:rPr>
              <w:rFonts w:hint="eastAsia"/>
            </w:rPr>
            <w:t>本集团现金流量表之现金指库存现金以及可以随时用于支付的存款。现金流量表之现金等价物指持有期限不超过3个月、流动性强、易于转换为已知金额现金且价值变动风险很小的投资。</w:t>
          </w:r>
        </w:p>
      </w:sdtContent>
    </w:sdt>
    <w:p>
      <w:pPr>
        <w:rPr>
          <w:szCs w:val="21"/>
        </w:rPr>
      </w:pPr>
    </w:p>
    <w:p>
      <w:pPr>
        <w:pStyle w:val="afffffffffffffffffffffffffffffffff0"/>
        <w:numPr>
          <w:ilvl w:val="0"/>
          <w:numId w:val="94"/>
        </w:numPr>
      </w:pPr>
      <w:r>
        <w:t>外币业务和外币报表折算</w:t>
      </w:r>
    </w:p>
    <w:sdt>
      <w:sdtPr>
        <w:rPr>
          <w:rFonts w:hint="eastAsia"/>
          <w:szCs w:val="21"/>
        </w:rPr>
        <w:alias w:val="是否适用：外币业务和外币报表折算[双击切换]"/>
        <w:tag w:val="_GBC_9c9def5a1d2241b5a3ee696d03433778"/>
        <w:id w:val="-126761105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14:ligatures w14:val="none"/>
        </w:rPr>
        <w:alias w:val="外币业务核算方法"/>
        <w:tag w:val="_GBC_1703fe5fc56b42a8972c0906a4ac6d6b"/>
        <w:id w:val="-1530254986"/>
        <w:placeholder>
          <w:docPart w:val="GBC22222222222222222222222222222"/>
        </w:placeholder>
      </w:sdtPr>
      <w:sdtContent>
        <w:p>
          <w:pPr>
            <w:pStyle w:val="afffa"/>
            <w:numPr>
              <w:ilvl w:val="0"/>
              <w:numId w:val="97"/>
            </w:numPr>
          </w:pPr>
          <w:r>
            <w:rPr>
              <w:rFonts w:hint="eastAsia"/>
            </w:rPr>
            <w:t>外币业务折算</w:t>
          </w:r>
        </w:p>
        <w:p>
          <w:pPr>
            <w:spacing w:afterLines="50" w:after="120" w:line="360" w:lineRule="exact"/>
            <w:ind w:firstLineChars="200" w:firstLine="420"/>
          </w:pPr>
          <w:r>
            <w:rPr>
              <w:rFonts w:hint="eastAsia"/>
            </w:rPr>
            <w:t>本集团外币交易在初始确认时，采用交易发生日的即期汇率将外币金额折算为记账本位币金额。于资产负债表日，外币货币性项目采用资产负债表日的即期汇率折算为记账本位币，所产生的折算差额除了为购建或生产符合资本化条件的资产而借入的外币专门借款产生的汇兑差额按资本化的原则处理外，直接计入当期损益；以历史成本计量的外币非货币性项目，仍采用交易发生日的即期汇率折算，不改变其记账本位币金额；以公允价值计量的外币非货币性项目，采用公允价值确定日的即期汇率折算，折算后的记账本位币金额与原记账本位币金额的差额，作为公允价值变动（含汇率变动）处理，计入当期损益；收到投资者以外币投入的资本，采用交易发生日即期汇率折算，外币投入资本与相应的货币性项目的记账本位币金额之间不产生外币资本折算差额。</w:t>
          </w:r>
        </w:p>
        <w:p>
          <w:pPr>
            <w:pStyle w:val="afffa"/>
            <w:numPr>
              <w:ilvl w:val="0"/>
              <w:numId w:val="97"/>
            </w:numPr>
          </w:pPr>
          <w:r>
            <w:rPr>
              <w:rFonts w:hint="eastAsia"/>
            </w:rPr>
            <w:t>外币财务报表折算</w:t>
          </w:r>
        </w:p>
        <w:p>
          <w:pPr>
            <w:spacing w:afterLines="50" w:after="120" w:line="360" w:lineRule="exact"/>
            <w:ind w:firstLineChars="200" w:firstLine="420"/>
          </w:pPr>
          <w:r>
            <w:rPr>
              <w:rFonts w:hint="eastAsia"/>
            </w:rPr>
            <w:t>本集团在编制合并财务报表时将境外经营的财务报表折算为人民币，其中：外币资产负债表中资产、负债类项目采用资产负债表日的即期汇率折算；所有者权益类项目除“未分配利润”外，均按业务发生时的即期汇率折算；利润表中的收入与费用项目，采用平均汇率折算。上述折算产生的外币报表折算差额，在其他综合收益项目中列示。外币现金流量采用现金流量发生日的即期汇率折算。汇率变动对现金的影响额，在现金流量表中单独列示。</w:t>
          </w:r>
        </w:p>
        <w:p>
          <w:pPr>
            <w:spacing w:afterLines="50" w:after="120" w:line="360" w:lineRule="exact"/>
            <w:ind w:firstLineChars="200" w:firstLine="420"/>
          </w:pPr>
          <w:r>
            <w:rPr>
              <w:rFonts w:hint="eastAsia"/>
            </w:rPr>
            <w:t>母公司对子公司（境外经营）净投资的外币货币性项目，以母公司或子公司的记账本位币反映的，该外币货币性项目产生的汇兑差额应转入其他综合收益；以母、子公司的记账本位币以外的货币反映的，应将母、子公司此项外币货币性项目产生的汇兑差额相互抵消，差额计入其他综合收益。</w:t>
          </w:r>
        </w:p>
      </w:sdtContent>
    </w:sdt>
    <w:p>
      <w:pPr>
        <w:rPr>
          <w:szCs w:val="21"/>
        </w:rPr>
      </w:pPr>
    </w:p>
    <w:p>
      <w:pPr>
        <w:pStyle w:val="afffffffffffffffffffffffffffffffff0"/>
        <w:numPr>
          <w:ilvl w:val="0"/>
          <w:numId w:val="94"/>
        </w:numPr>
      </w:pPr>
      <w:r>
        <w:t>金融工具</w:t>
      </w:r>
    </w:p>
    <w:sdt>
      <w:sdtPr>
        <w:rPr>
          <w:rFonts w:hint="eastAsia"/>
          <w:szCs w:val="21"/>
        </w:rPr>
        <w:alias w:val="是否适用：金融工具_重要会计政策和估计[双击切换]"/>
        <w:tag w:val="_GBC_1537cea503f244c2af870a2a0d5fd7a9"/>
        <w:id w:val="-58684895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14:ligatures w14:val="none"/>
        </w:rPr>
        <w:alias w:val="金融资产和金融负债的核算方法"/>
        <w:tag w:val="_GBC_b358067bbe2a49bf880c383a5db50d8a"/>
        <w:id w:val="766977915"/>
        <w:placeholder>
          <w:docPart w:val="GBC22222222222222222222222222222"/>
        </w:placeholder>
      </w:sdtPr>
      <w:sdtContent>
        <w:p>
          <w:pPr>
            <w:pStyle w:val="afffa"/>
            <w:numPr>
              <w:ilvl w:val="0"/>
              <w:numId w:val="98"/>
            </w:numPr>
          </w:pPr>
          <w:r>
            <w:rPr>
              <w:rFonts w:hint="eastAsia"/>
            </w:rPr>
            <w:t>金融工具的确认和终止确认</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本集团成为金融工具合同的一方时确认一项金融资产或金融负债。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满足下列条件的，终止确认金融资产，即从其账户和资产负债表内予以转销：1）收取金融资产现金流量的权利届满；2）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lastRenderedPageBreak/>
            <w:t>如果金融负债的责任已履行、撤销或届满，则对金融负债进行终止确认。如果现有金融负债被同一债权人以实质上几乎完全不同条款的另一金融负债所取代，或现有负债的条款几乎全部被实质性修改，则此类替换或修改作为终止确认原负债和确认新负债处理，差额计入当期损益。</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以常规方式买卖金融资产，按交易日会计进行确认和终止确认</w:t>
          </w:r>
          <w:r>
            <w:rPr>
              <w:rFonts w:asciiTheme="minorEastAsia" w:eastAsiaTheme="minorEastAsia" w:hAnsiTheme="minorEastAsia"/>
            </w:rPr>
            <w:t>。</w:t>
          </w:r>
        </w:p>
        <w:p>
          <w:pPr>
            <w:pStyle w:val="afffa"/>
            <w:numPr>
              <w:ilvl w:val="0"/>
              <w:numId w:val="98"/>
            </w:numPr>
          </w:pPr>
          <w:r>
            <w:rPr>
              <w:rFonts w:hint="eastAsia"/>
            </w:rPr>
            <w:t>金融资产分类和计量</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的金融资产于初始确认时根据本集团管理金融资产的业务模式和金融资产的合同现金流量特征，将金融资产分类为以摊余成本计量的金融资产、以公允价值计量且其变动计入其他综合收益的金融资产、以公允价值计量且其变动计入当期损益的金融资产。当且仅当本集团改变管理金融资产的业务模式时，才对所有受影响的相关金融资产进行重分类。</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在判断业务模式时，本集团考虑包括企业评价和向关键管理人员报告金融资产业绩的方式、影响金融资产业绩的风险及其管理方式以及相关业务管理人员获得报酬的方式等。在评估是否以收取合同现金流量为目标时，本集团需要对金融资产到期日前的出售原因、时间、频率和价值等进行分析判断。</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在判断合同现金流量特征时，本集团需要判断合同现金流量是否仅为对本金和以未偿付本金为基础的利息的支付时，包含对货币时间价值的修正进行评估时，需要判断与基准现金流量相比是否具有显著差异；对包含提前还款特征的金融资产，需要判断提前还款特征的公允价值是否非常小等。</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金融资产在初始确认时以公允价值计量，但是因销售商品或提供服务等产生的应收账款或应收票据未包含重大融资成分或不考虑不超过一年的融资成分的，按照交易价格进行初始计量。</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对于以公允价值计量且其变动计入当期损益的金融资产，相关交易费用直接计入当期损益，其他类别的金融资产相关交易费用计入其初始确认金额。</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金融资产的后续计量取决于其分类：</w:t>
          </w:r>
        </w:p>
        <w:p>
          <w:pPr>
            <w:pStyle w:val="afffffffffffffffffffffffffffffffffffffff"/>
            <w:spacing w:after="120"/>
          </w:pPr>
          <w:r>
            <w:rPr>
              <w:rFonts w:hint="eastAsia"/>
            </w:rPr>
            <w:t>以摊余成本计量的金融资产</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资产同时符合下列条件的，分类为以摊余成本计量的金融资产：①管理该金融资产的业务模式是以收取合同现金流量为目标。②该金融资产的合同条款规定，在特定日期产生的现金流量，仅为对本金和以未偿付本金金额为基础的利息的支付。本集团该分类的金融资产主要包括：货币资金、应收票据、应收账款、其他应收款、长期应收款、债权投资、发放贷款及垫款、应收企业借款、应收保理款。</w:t>
          </w:r>
        </w:p>
        <w:p>
          <w:pPr>
            <w:pStyle w:val="afffffffffffffffffffffffffffffffffffffff"/>
            <w:spacing w:after="120"/>
          </w:pPr>
          <w:r>
            <w:rPr>
              <w:rFonts w:hint="eastAsia"/>
            </w:rPr>
            <w:t>以公允价值计量且其变动计入其他综合收益的债务工具投资</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资产同时符合下列条件的，分类为以公允价值计量且其变动计入其他综合收益的金融资产：①管理该金融资产的业务模式既以收取合同现金流量为目标又以出售该金融资产为目标。②该金融资产的合同条款规定，在特定日期产生的现金流量，仅为对本金和以未偿付本金金额为基础的利息的支付。此类金融资产采用实际利率法确认利息收入。除利息收入、减值损失及汇兑差额确认为当期损益外，其余公允价值变动计入其他综合收益。当金融资产终止确认时，之前计入</w:t>
          </w:r>
          <w:r>
            <w:rPr>
              <w:rFonts w:asciiTheme="minorEastAsia" w:eastAsiaTheme="minorEastAsia" w:hAnsiTheme="minorEastAsia" w:hint="eastAsia"/>
            </w:rPr>
            <w:lastRenderedPageBreak/>
            <w:t>其他综合收益的累计利得或损失从其他综合收益转出，计入当期损益。本集团该分类的金融资产主要包括：应收款项融资。</w:t>
          </w:r>
        </w:p>
        <w:p>
          <w:pPr>
            <w:pStyle w:val="afffffffffffffffffffffffffffffffffffffff"/>
            <w:spacing w:after="120"/>
          </w:pPr>
          <w:r>
            <w:rPr>
              <w:rFonts w:hint="eastAsia"/>
            </w:rPr>
            <w:t>以公允价值计量且其变动计入其他综合收益的权益工具投资</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不可撤销地选择将部分非交易性权益工具投资指定为以公允价值计量且其变动计入其他综合收益的金融资产，该指定一经作出，不得撤销。本集团仅将相关股利收入（明确作为投资成本部分收回的股利收入除外）计入当期损益，公允价值的后续变动计入其他综合收益，不需计提减值准备。当金融资产终止确认时，之前计入其他综合收益的累计利得或损失从其他综合收益转出，计入留存收益。本集团该分类的金融资产为其他权益工具投资。</w:t>
          </w:r>
        </w:p>
        <w:p>
          <w:pPr>
            <w:pStyle w:val="afffffffffffffffffffffffffffffffffffffff"/>
            <w:spacing w:after="120"/>
          </w:pPr>
          <w:r>
            <w:rPr>
              <w:rFonts w:hint="eastAsia"/>
            </w:rPr>
            <w:t>以公允价值计量且其变动计入当期损益的金融资产</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除上述分类为以摊余成本计量的金融资产和分类或指定为以公允价值计量且其变动计入其他综合收益的金融资产之外的金融资产，本集团将其分类为以公允价值计量且其变动计入当期损益的金融资产。此类金融资产按照公允价值进行后续计量，除与套期会计有关外，所有公允价值变动计入当期损益。本集团该分类的金融资产主要包括：交易性金融资产和其他非流动金融资产。</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本集团在非同一控制下的企业合并中确认的或有对价构成金融资产的，该金融资产分类为以公允价值计量且其变动计入当期损益的金融资产。</w:t>
          </w:r>
        </w:p>
        <w:p>
          <w:pPr>
            <w:pStyle w:val="afffa"/>
            <w:numPr>
              <w:ilvl w:val="0"/>
              <w:numId w:val="98"/>
            </w:numPr>
          </w:pPr>
          <w:r>
            <w:rPr>
              <w:rFonts w:hint="eastAsia"/>
            </w:rPr>
            <w:t>金融负债分类和计量</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除了签发的财务担保合同、以低于市场利率贷款的贷款承诺及由于金融资产转移不符合终止确认条件或继续涉入被转移金融资产所形成的金融负债以外，本集团的金融负债于初始确认时分类为：以公允价值计量且其变动计入当期损益的金融负债、以摊余成本计量的金融负债。对于以公允价值计量且其变动计入当期损益的金融负债，相关交易费用直接计入当期损益，以摊余成本计量的金融负债的相关交易费用计入其初始确认金额。</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金融负债的后续计量取决于其分类：</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（1）以摊余成本计量的金融负债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以摊余成本计量的金融负债，采用实际利率法，按照摊余成本进行后续计量。</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（2）以公允价值计量且其变动计入当期损益的金融负债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以公允价值计量且其变动计入当期损益的金融负债（含属于金融负债的衍生工具），包括交易性金融负债和初始确认时指定为以公允价值计量且其变动计入当期损益的金融负债。交易性金融负债（含属于金融负债的衍生工具），按照公允价值进行后续计量，（除与套期会计有关外）所有公允价值变动均计入当期损益。对于指定为以公允价值计量且其变动计入当期损益的金融负债，按照公允价值进行后续计量，除由本集团自身信用风险变动引起的公允价值变动计入其他综合收益之外，其他公允价值变动计入当期损益；如果由本集团自身信用风险变动引起的公允价值变动计入其他综合收益会造成或扩大损益中的会计错配，本集团将所有公允价值变动（包括自身信用风险变动的影响金额）计入当期损益。</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lastRenderedPageBreak/>
            <w:t>本集团将在非同一控制下的企业合并中作为购买方确认的或有对价形成金融负债的，按照以公允价值计量且其变动计入当期损益进行会计处理</w:t>
          </w:r>
          <w:r>
            <w:rPr>
              <w:rFonts w:asciiTheme="minorEastAsia" w:eastAsiaTheme="minorEastAsia" w:hAnsiTheme="minorEastAsia"/>
            </w:rPr>
            <w:t>。</w:t>
          </w:r>
        </w:p>
        <w:p>
          <w:pPr>
            <w:pStyle w:val="afffa"/>
            <w:numPr>
              <w:ilvl w:val="0"/>
              <w:numId w:val="98"/>
            </w:numPr>
          </w:pPr>
          <w:r>
            <w:rPr>
              <w:rFonts w:hint="eastAsia"/>
            </w:rPr>
            <w:t>金融工具抵销</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的金融资产和金融负债在资产负债表内分别列示，不相互抵销。但同时满足下列条件时，以相互抵销后的净额在资产负债表内列示：（1）本集团具有抵销已确认金额的法定权利，且该种法定权利是当前可执行的；（2）本集团计划以净额结算，或同时变现该金融资产和清偿该金融负债。</w:t>
          </w:r>
        </w:p>
        <w:p>
          <w:pPr>
            <w:pStyle w:val="afffa"/>
            <w:numPr>
              <w:ilvl w:val="0"/>
              <w:numId w:val="98"/>
            </w:numPr>
          </w:pPr>
          <w:r>
            <w:rPr>
              <w:rFonts w:hint="eastAsia"/>
            </w:rPr>
            <w:t>金融资产减值</w:t>
          </w:r>
        </w:p>
        <w:p>
          <w:pPr>
            <w:spacing w:afterLines="50" w:after="120" w:line="360" w:lineRule="exact"/>
            <w:ind w:firstLineChars="200" w:firstLine="420"/>
            <w:rPr>
              <w:color w:val="000000"/>
            </w:rPr>
          </w:pPr>
          <w:r>
            <w:rPr>
              <w:rFonts w:hint="eastAsia"/>
              <w:color w:val="000000"/>
            </w:rPr>
            <w:t>本集团以预期信用损失为基础，对以摊余成本计量的金融资产、以公允价值计量且其变动计入其他综合收益的债权投资、合同资产、租赁应收款、贷款承诺及财务担保合同进行减值处理并确认损失准备。</w:t>
          </w:r>
        </w:p>
        <w:p>
          <w:pPr>
            <w:spacing w:afterLines="50" w:after="120" w:line="360" w:lineRule="exact"/>
            <w:ind w:firstLineChars="200" w:firstLine="420"/>
            <w:rPr>
              <w:color w:val="000000"/>
            </w:rPr>
          </w:pPr>
          <w:r>
            <w:rPr>
              <w:rFonts w:hint="eastAsia"/>
              <w:color w:val="000000"/>
            </w:rPr>
            <w:t>预期信用损失，是指以发生违约的风险为权重的金融工具信用损失的加权平均值。信用损失，是指本集团按照原实际利率折现的、根据合同应收的所有合同现金流量与预期收取的所有现金流量之间的差额，即全部现金短缺的现值。本集团考虑预期信用损失计量方法时反映如下要素：①通过评价一系列可能的结果而确定的无偏概率加权平均金额；②货币时间价值；③在资产负债表日无须付出不必要的额外成本或即可获得的有关过去事项、当前状况以及未来经济状况预测的合理且有依据的信息。</w:t>
          </w:r>
        </w:p>
        <w:p>
          <w:pPr>
            <w:spacing w:afterLines="50" w:after="120" w:line="360" w:lineRule="exact"/>
            <w:ind w:firstLineChars="200" w:firstLine="420"/>
            <w:rPr>
              <w:color w:val="000000"/>
            </w:rPr>
          </w:pPr>
          <w:r>
            <w:rPr>
              <w:rFonts w:hint="eastAsia"/>
              <w:color w:val="000000"/>
            </w:rPr>
            <w:t>本集团基于单项和组合评估金融工具的预期信用损失，以组合为基础进行评估时，本集团基于共同信用风险特征将金融工具分为不同组别。本集团采用的共同信用风险特征包括：金融工具类型、信用风险评级、债务人所处地理位置、债务人所处行业、逾期信息、应收款项账龄等。</w:t>
          </w:r>
        </w:p>
        <w:p>
          <w:pPr>
            <w:spacing w:afterLines="50" w:after="120" w:line="360" w:lineRule="exact"/>
            <w:ind w:firstLineChars="200" w:firstLine="420"/>
            <w:rPr>
              <w:color w:val="000000"/>
            </w:rPr>
          </w:pPr>
          <w:r>
            <w:rPr>
              <w:rFonts w:hint="eastAsia"/>
              <w:color w:val="000000"/>
            </w:rPr>
            <w:t>本集团采用预期信用损失模型对金融工具和合同资产的减值进行评估需要做出重大判断和估计，需考虑所有合理且有依据的信息，包括前瞻性信息。在做出这些判断和估计时，本集团根据历史还款数据结合经济政策、宏观经济指标、行业风险等因素推断债务人信用风险的预期变动。不同的估计可能会影响减值准备的计提，已计提的减值准备可能并不等于未来实际的减值损失金额。</w:t>
          </w:r>
        </w:p>
        <w:p>
          <w:pPr>
            <w:spacing w:afterLines="50" w:after="120" w:line="360" w:lineRule="exact"/>
            <w:ind w:firstLineChars="200" w:firstLine="420"/>
            <w:rPr>
              <w:color w:val="000000"/>
            </w:rPr>
          </w:pPr>
          <w:r>
            <w:rPr>
              <w:rFonts w:hint="eastAsia"/>
              <w:color w:val="000000"/>
            </w:rPr>
            <w:t>1）应收款项和合同资产的减值测试方法</w:t>
          </w:r>
        </w:p>
        <w:p>
          <w:pPr>
            <w:spacing w:afterLines="50" w:after="120" w:line="360" w:lineRule="exact"/>
            <w:ind w:firstLineChars="200" w:firstLine="420"/>
            <w:rPr>
              <w:color w:val="000000"/>
            </w:rPr>
          </w:pPr>
          <w:r>
            <w:rPr>
              <w:rFonts w:hint="eastAsia"/>
              <w:color w:val="000000"/>
            </w:rPr>
            <w:t>对于因销售商品、提供劳务等日常经营活动形成的不含重大融资成分的应收账款、合同资产等应收款项，本集团运用简化计量方法，按照相当于整个存续期内的预期信用损失金额计量损失准备。</w:t>
          </w:r>
        </w:p>
        <w:p>
          <w:pPr>
            <w:spacing w:afterLines="50" w:after="120" w:line="360" w:lineRule="exact"/>
            <w:ind w:firstLineChars="200" w:firstLine="420"/>
            <w:rPr>
              <w:color w:val="000000"/>
            </w:rPr>
          </w:pPr>
          <w:r>
            <w:rPr>
              <w:rFonts w:hint="eastAsia"/>
              <w:color w:val="000000"/>
            </w:rPr>
            <w:t>对于租赁应收款、包含重大融资成分的应收款项以及合同资产、其他应收款、应收票据、应收款项融资，本集团选择运用预期信用损失一般模型计量损失准备。</w:t>
          </w:r>
        </w:p>
        <w:p>
          <w:pPr>
            <w:spacing w:afterLines="50" w:after="120" w:line="360" w:lineRule="exact"/>
            <w:ind w:firstLineChars="200" w:firstLine="420"/>
            <w:rPr>
              <w:color w:val="000000"/>
            </w:rPr>
          </w:pPr>
          <w:r>
            <w:rPr>
              <w:rFonts w:hint="eastAsia"/>
              <w:color w:val="000000"/>
            </w:rPr>
            <w:t>本集团将特定客户的应收款项确认为单项金额重大的应收款项。本集团对单项金额重大的应收款项单独进行减值测试。</w:t>
          </w:r>
        </w:p>
        <w:p>
          <w:pPr>
            <w:spacing w:afterLines="50" w:after="120" w:line="360" w:lineRule="exact"/>
            <w:ind w:firstLineChars="200" w:firstLine="420"/>
            <w:rPr>
              <w:color w:val="000000"/>
            </w:rPr>
          </w:pPr>
          <w:r>
            <w:rPr>
              <w:rFonts w:hint="eastAsia"/>
              <w:color w:val="000000"/>
            </w:rPr>
            <w:lastRenderedPageBreak/>
            <w:t>对于应收款项，除对单项金额重大且已发生信用减值的款项单项确定其信用损失外，通常按照共同信用风险特征组合的基础上，考虑预期信用损失计量方法应反映的要素，参考历史信用损失经验，编制应收账款逾期天数/应收账款账龄与违约损失率对照表，以此为基础计算预期信用损失。若某一客户信用风险特征与组合中其他客户显著不同，或该客户信用风险特征发生显著变化，例如客户发生严重财务困难，应收该客户款项的预期信用损失率已显著高于其所处于账龄、逾期区间的预期信用损失率等，本集团对应收该客户款项按照单项计提损失准备。</w:t>
          </w:r>
        </w:p>
        <w:p>
          <w:pPr>
            <w:spacing w:afterLines="50" w:after="120" w:line="360" w:lineRule="exact"/>
            <w:ind w:firstLineChars="200" w:firstLine="420"/>
            <w:rPr>
              <w:color w:val="000000"/>
            </w:rPr>
          </w:pPr>
          <w:r>
            <w:rPr>
              <w:rFonts w:hint="eastAsia"/>
              <w:color w:val="000000"/>
            </w:rPr>
            <w:t>本集团根据应收账款(与合同资产)的账龄、款项性质、信用风险敞口、历史回款情况等信息为基础，按信用风险特征的相似性和相关性进行分组。对于应收账款（与合同资产），本集团判断账龄为其信用风险主要影响因素，因此，本集团以账龄组合组合为基础评估其预期信用损失。本集团根据确认收入的日期确定账龄。</w:t>
          </w:r>
        </w:p>
        <w:p>
          <w:pPr>
            <w:spacing w:afterLines="50" w:after="120" w:line="360" w:lineRule="exact"/>
            <w:ind w:firstLineChars="200" w:firstLine="420"/>
            <w:rPr>
              <w:color w:val="000000"/>
            </w:rPr>
          </w:pPr>
          <w:r>
            <w:rPr>
              <w:rFonts w:hint="eastAsia"/>
              <w:color w:val="000000"/>
            </w:rPr>
            <w:t>2）债权投资、其他债权投资、贷款承诺、财务担保合同、租赁应收款、应收款项融资及应收票据的减值测试方法</w:t>
          </w:r>
        </w:p>
        <w:p>
          <w:pPr>
            <w:spacing w:afterLines="50" w:after="120" w:line="360" w:lineRule="exact"/>
            <w:ind w:firstLineChars="200" w:firstLine="420"/>
            <w:rPr>
              <w:color w:val="000000"/>
            </w:rPr>
          </w:pPr>
          <w:r>
            <w:rPr>
              <w:rFonts w:hint="eastAsia"/>
              <w:color w:val="000000"/>
            </w:rPr>
            <w:t>除上述采用简化计量方法以外的金融资产，本集团采用一般方法（三阶段法）计提预期信用损失。在每个资产负债表日，本集团评估其信用风险自初始确认后是否已经显著增加，如果信用风险自初始确认后未显著增加，处于第一阶段，本集团按照相当于未来12个月内预期信用损失的金额计量损失准备，并按照账面余额和实际利率计算利息收入；如果信用风险自初始确认后已显著增加但尚未发生信用减值的，处于第二阶段，本集团按照相当于整个存续期内预期信用损失的金额计量损失准备，并按照账面余额和实际利率计算利息收入；如果初始确认后发生信用减值的，处于第三阶段，本集团按照相当于整个存续期内预期信用损失的金额计量损失准备，并按照摊余成本和实际利率计算利息收入。对于资产负债表日只具有较低信用风险的金融工具，本集团假设其信用风险自初始确认后未显著增加。</w:t>
          </w:r>
        </w:p>
        <w:p>
          <w:pPr>
            <w:spacing w:afterLines="50" w:after="120" w:line="360" w:lineRule="exact"/>
            <w:ind w:firstLineChars="200" w:firstLine="420"/>
            <w:rPr>
              <w:rFonts w:asciiTheme="minorEastAsia" w:eastAsiaTheme="minorEastAsia" w:hAnsiTheme="minorEastAsia"/>
            </w:rPr>
          </w:pPr>
          <w:r>
            <w:rPr>
              <w:rFonts w:hint="eastAsia"/>
              <w:color w:val="000000"/>
            </w:rPr>
            <w:t>整个存续期预期信用损失，是指因金融工具整个预计存续期内所有可能发生的违约事件而导致的预期信用损失。未来12个月内预期信用损失，是指因资产负债表日后12个月内 (若金融工具的预计存续期少于12个月，则为预计存续期) 可能发生的金融工具违约事件而导致的预期信用损失，是整个存续期预期信用损失的一部分</w:t>
          </w:r>
          <w:r>
            <w:rPr>
              <w:rFonts w:asciiTheme="minorEastAsia" w:eastAsiaTheme="minorEastAsia" w:hAnsiTheme="minorEastAsia" w:hint="eastAsia"/>
            </w:rPr>
            <w:t>。</w:t>
          </w:r>
        </w:p>
        <w:p>
          <w:pPr>
            <w:pStyle w:val="afffa"/>
            <w:numPr>
              <w:ilvl w:val="0"/>
              <w:numId w:val="98"/>
            </w:numPr>
          </w:pPr>
          <w:r>
            <w:rPr>
              <w:rFonts w:hint="eastAsia"/>
            </w:rPr>
            <w:t>金融资产转移</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本集团已将金融资产所有权上几乎所有的风险和报酬转移给转入方的，终止确认该金融资产；保留了金融资产所有权上几乎所有的风险和报酬的，不终止确认该金融资产。</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既没有转移也没有保留金融资产所有权上几乎所有的风险和报酬的，分别下列情况处理：放弃了对该金融资产控制的，终止确认该金融资产并确认产生的资产和负债；未放弃对该金融资产控制的，按照其继续涉入所转移金融资产的程度确认有关金融资产，并相应确认有关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通过对所转移金融资产提供财务担保方式继续涉入的，按照金融资产的账面价值和财务担保金额两者之中的较低者，确认继续涉入形成的资产。财务担保金额，是指所收到的对价中，将被要求偿还的最高金额。</w:t>
          </w:r>
        </w:p>
        <w:p>
          <w:pPr>
            <w:spacing w:afterLines="50" w:after="120" w:line="360" w:lineRule="exact"/>
            <w:rPr>
              <w:rFonts w:asciiTheme="minorEastAsia" w:eastAsiaTheme="minorEastAsia" w:hAnsiTheme="minorEastAsia"/>
            </w:rPr>
          </w:pPr>
          <w:r>
            <w:rPr>
              <w:rFonts w:asciiTheme="minorEastAsia" w:eastAsiaTheme="minorEastAsia" w:hAnsiTheme="minorEastAsia" w:hint="eastAsia"/>
            </w:rPr>
            <w:lastRenderedPageBreak/>
            <w:t>7.金融负债与权益工具的区分及相关处理方法</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按照以下原则区分金融负债与权益工具：（1）如果本集团不能无条件地避免以交付现金或其他金融资产来履行一项合同义务，则该合同义务符合金融负债的定义。有些金融工具虽然没有明确地包含交付现金或其他金融资产义务的条款和条件，但有可能通过其他条款和条件间接地形成合同义务。（2）如果一项金融工具须用或可用本集团自身权益工具进行结算，需要考虑用于结算该工具的本集团自身权益工具，是作为现金或其他金融资产的替代品，还是为了使该工具持有方享有在发行方扣除所有负债后的资产中的剩余权益。如果是前者，该工具是发行方的金融负债；如果是后者，该工具是发行方的权益工具。在某些情况下，一项金融工具合同规定本集团须用或可用自身权益工具结算该金融工具，其中合同权利或合同义务的金额等于可获取或需交付的自身权益工具的数量乘以其结算时的公允价值，则无论该合同权利或义务的金额是固定的，还是完全或部分地基于除本集团自身权益工具的市场价格以外的变量（例如利率、某种商品的价格或某项金融工具的价格）的变动而变动，该合同分类为金融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在合并报表中对金融工具（或其组成部分）进行分类时，考虑了集团成员和金融工具持有方之间达成的所有条款和条件。如果集团作为一个整体由于该工具而承担了交付现金、其他金融资产或者以其他导致该工具成为金融负债的方式进行结算的义务，则该工具应当分类为金融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本集团根据所发行的永续债的合同条款及其所反映的经济实质，结合金融资产、金融负债和权益工具的定义，在初始确认时将这些金融工具或其组成部分分类为金融资产、金融负债或权益工具。</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金融工具或其组成部分属于金融负债的，相关利息、股利（或股息）、利得或损失，以及赎回或再融资产生的利得或损失等，本集团计入当期损益。</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金融工具或其组成部分属于权益工具的，其发行（含再融资）、回购、出售或注销时，本集团作为权益的变动处理，不确认权益工具的公允价值变动。</w:t>
          </w:r>
        </w:p>
        <w:p>
          <w:pPr>
            <w:spacing w:afterLines="50" w:after="120" w:line="360" w:lineRule="exact"/>
            <w:rPr>
              <w:rFonts w:asciiTheme="minorEastAsia" w:eastAsiaTheme="minorEastAsia" w:hAnsiTheme="minorEastAsia"/>
            </w:rPr>
          </w:pPr>
          <w:r>
            <w:rPr>
              <w:rFonts w:asciiTheme="minorEastAsia" w:eastAsiaTheme="minorEastAsia" w:hAnsiTheme="minorEastAsia" w:hint="eastAsia"/>
            </w:rPr>
            <w:t>8.衍生金融工具</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本集团使用衍生金融工具，例如以外汇远期合同、商品远期合同和利率互换，分别对汇率风险、商品价格风险和利率风险进行套期。衍生金融工具初始以衍生交易合同签订当日的公允价值进行计量，并以其公允价值进行后续计量。公允价值为正数的衍生金融工具确认为一项资产，公允价值为负数的确认为一项负债。</w:t>
          </w:r>
        </w:p>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除与套期会计有关外，衍生工具公允价值变动产生的利得或损失直接计入当期损益</w:t>
          </w:r>
        </w:p>
      </w:sdtContent>
    </w:sdt>
    <w:p>
      <w:pPr>
        <w:rPr>
          <w:szCs w:val="21"/>
        </w:rPr>
      </w:pPr>
    </w:p>
    <w:p>
      <w:pPr>
        <w:pStyle w:val="afffffffffffffffffffffffffffffffff0"/>
        <w:numPr>
          <w:ilvl w:val="0"/>
          <w:numId w:val="94"/>
        </w:numPr>
        <w:rPr>
          <w:rFonts w:ascii="宋体" w:hAnsi="宋体" w:cs="宋体"/>
          <w:kern w:val="0"/>
          <w:szCs w:val="21"/>
        </w:rPr>
      </w:pPr>
      <w:bookmarkStart w:id="324"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73433937"/>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4" w:displacedByCustomXml="prev"/>
    <w:p>
      <w:pPr>
        <w:rPr>
          <w:szCs w:val="21"/>
        </w:rPr>
      </w:pPr>
    </w:p>
    <w:p>
      <w:pPr>
        <w:rPr>
          <w:szCs w:val="21"/>
        </w:rPr>
      </w:pPr>
    </w:p>
    <w:p>
      <w:pPr>
        <w:pStyle w:val="afffffffffffffffffffffffffffffffff0"/>
        <w:numPr>
          <w:ilvl w:val="0"/>
          <w:numId w:val="94"/>
        </w:numPr>
        <w:rPr>
          <w:rFonts w:ascii="宋体" w:hAnsi="宋体" w:cs="宋体"/>
          <w:kern w:val="0"/>
          <w:szCs w:val="21"/>
        </w:rPr>
      </w:pPr>
      <w:bookmarkStart w:id="325" w:name="_Hlk533667783"/>
      <w:bookmarkStart w:id="326"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1862888231"/>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6" w:displacedByCustomXml="prev"/>
    <w:bookmarkEnd w:id="325" w:displacedByCustomXml="prev"/>
    <w:p>
      <w:pPr>
        <w:rPr>
          <w:szCs w:val="21"/>
        </w:rPr>
      </w:pPr>
    </w:p>
    <w:p>
      <w:pPr>
        <w:rPr>
          <w:szCs w:val="21"/>
        </w:rPr>
      </w:pPr>
    </w:p>
    <w:p>
      <w:pPr>
        <w:pStyle w:val="afffffffffffffffffffffffffffffffff0"/>
        <w:numPr>
          <w:ilvl w:val="0"/>
          <w:numId w:val="94"/>
        </w:numPr>
      </w:pPr>
      <w:bookmarkStart w:id="327" w:name="_Hlk24102310"/>
      <w:bookmarkStart w:id="328" w:name="_Hlk152690443"/>
      <w:r>
        <w:rPr>
          <w:rFonts w:hint="eastAsia"/>
        </w:rPr>
        <w:t>应收款项融资</w:t>
      </w:r>
    </w:p>
    <w:sdt>
      <w:sdtPr>
        <w:alias w:val="是否适用：应收款项融资_重要会计政策和估计[双击切换]"/>
        <w:tag w:val="_GBC_a2e41ba19b9541d683d17977f5a0e631"/>
        <w:id w:val="-148607692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7"/>
    <w:bookmarkEnd w:id="328"/>
    <w:p>
      <w:pPr>
        <w:spacing w:afterLines="50" w:after="120" w:line="360" w:lineRule="exact"/>
        <w:ind w:firstLineChars="200" w:firstLine="420"/>
        <w:rPr>
          <w:rFonts w:asciiTheme="minorEastAsia" w:eastAsiaTheme="minorEastAsia" w:hAnsiTheme="minorEastAsia"/>
        </w:rPr>
      </w:pPr>
      <w:r>
        <w:rPr>
          <w:rFonts w:asciiTheme="minorEastAsia" w:eastAsiaTheme="minorEastAsia" w:hAnsiTheme="minorEastAsia" w:hint="eastAsia"/>
        </w:rPr>
        <w:t>应收款项融资反映资产负债表日以公允价值计量且其变动计入其他综合收益的应收票据和应收账款等。本集团将既以收取合同现金流量为目的又以出售为目的，信用级别较高银行承兑的银行承兑汇票分类为应收款项融资。</w:t>
      </w:r>
    </w:p>
    <w:p>
      <w:pPr>
        <w:spacing w:afterLines="50" w:after="120" w:line="360" w:lineRule="exact"/>
        <w:ind w:firstLineChars="200" w:firstLine="420"/>
        <w:rPr>
          <w:rFonts w:asciiTheme="minorEastAsia" w:eastAsiaTheme="minorEastAsia" w:hAnsiTheme="minorEastAsia"/>
          <w:color w:val="0000FF"/>
        </w:rPr>
      </w:pPr>
      <w:r>
        <w:rPr>
          <w:rFonts w:asciiTheme="minorEastAsia" w:eastAsiaTheme="minorEastAsia" w:hAnsiTheme="minorEastAsia" w:hint="eastAsia"/>
        </w:rPr>
        <w:t>会计处理方法详见本附注“五、（十一）金融工具”中划分为以公允价值计量且其变动计入其他综合收益的金融资产相关内容。</w:t>
      </w:r>
    </w:p>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应收款项融资按照信用风险特征组合计提坏账准备的组合类别及确定依据[双击切换]"/>
        <w:tag w:val="_GBC_96c4eeead8b040d79bbd069f3f4f2aec"/>
        <w:id w:val="-179235561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应收款项融资基于账龄确认信用风险特征组合的账龄计算方法[双击切换]"/>
        <w:tag w:val="_GBC_6088373057ea4aacb1a49ee381004fee"/>
        <w:id w:val="2414877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按照单项计提坏账准备的单项计提判断标准</w:t>
      </w:r>
    </w:p>
    <w:sdt>
      <w:sdtPr>
        <w:rPr>
          <w:szCs w:val="21"/>
        </w:rPr>
        <w:alias w:val="是否适用：应收款项融资按照单项计提坏账准备的单项计提判断标准[双击切换]"/>
        <w:tag w:val="_GBC_ee8c0fdee21e477387bf47d167b126ff"/>
        <w:id w:val="43934132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0"/>
        <w:numPr>
          <w:ilvl w:val="0"/>
          <w:numId w:val="94"/>
        </w:numPr>
        <w:rPr>
          <w:szCs w:val="21"/>
        </w:rPr>
      </w:pPr>
      <w:bookmarkStart w:id="329" w:name="_Hlk533667836"/>
      <w:r>
        <w:rPr>
          <w:rFonts w:hint="eastAsia"/>
          <w:szCs w:val="21"/>
        </w:rPr>
        <w:t>其他应收款</w:t>
      </w:r>
    </w:p>
    <w:sdt>
      <w:sdtPr>
        <w:rPr>
          <w:rFonts w:hint="eastAsia"/>
        </w:rPr>
        <w:alias w:val="是否适用：其他应收款_重要会计政策和估计[双击切换]"/>
        <w:tag w:val="_GBC_bd9572d7068940d78105aa21662a4f54"/>
        <w:id w:val="1940632552"/>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29" w:displacedByCustomXml="prev"/>
    <w:p>
      <w:pPr>
        <w:rPr>
          <w:szCs w:val="21"/>
        </w:rPr>
      </w:pPr>
    </w:p>
    <w:p>
      <w:pPr>
        <w:rPr>
          <w:szCs w:val="21"/>
        </w:rPr>
      </w:pPr>
    </w:p>
    <w:p>
      <w:pPr>
        <w:pStyle w:val="afffffffffffffffffffffffffffffffff0"/>
        <w:numPr>
          <w:ilvl w:val="0"/>
          <w:numId w:val="94"/>
        </w:numPr>
      </w:pPr>
      <w:r>
        <w:t>存货</w:t>
      </w:r>
    </w:p>
    <w:sdt>
      <w:sdtPr>
        <w:rPr>
          <w:rFonts w:hint="eastAsia"/>
          <w:szCs w:val="21"/>
        </w:rPr>
        <w:alias w:val="是否适用：存货_重要会计政策和估计[双击切换]"/>
        <w:tag w:val="_GBC_dcacbe0db27e4ea5b80fa4aefb3bdbac"/>
        <w:id w:val="75918765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kern w:val="2"/>
          <w:szCs w:val="28"/>
        </w:rPr>
      </w:pPr>
      <w:bookmarkStart w:id="330" w:name="_Hlk152678121"/>
      <w:r>
        <w:rPr>
          <w:rFonts w:cs="Times New Roman"/>
          <w:b/>
          <w:kern w:val="2"/>
          <w:szCs w:val="28"/>
        </w:rPr>
        <w:t>存货</w:t>
      </w:r>
      <w:r>
        <w:rPr>
          <w:rFonts w:cs="Times New Roman" w:hint="eastAsia"/>
          <w:b/>
          <w:kern w:val="2"/>
          <w:szCs w:val="28"/>
        </w:rPr>
        <w:t>类别、发出计价方法、盘存制度、低值易耗品和包装物的摊销方法</w:t>
      </w:r>
    </w:p>
    <w:bookmarkEnd w:id="330" w:displacedByCustomXml="next"/>
    <w:sdt>
      <w:sdtPr>
        <w:rPr>
          <w:szCs w:val="21"/>
        </w:rPr>
        <w:alias w:val="是否适用：存货类别、发出计价方法、盘存制度、低值易耗品和包装物的摊销方法[双击切换]"/>
        <w:tag w:val="_GBC_7a24117441bd45edbee63ef5c75fa013"/>
        <w:id w:val="-15368910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cs="Times New Roman"/>
          <w:szCs w:val="21"/>
          <w14:ligatures w14:val="none"/>
        </w:rPr>
        <w:alias w:val="存货类别、发出计价方法、盘存制度、低值易耗品和包装物的摊销方法"/>
        <w:tag w:val="_GBC_3fcd1bdad070400f9c9e3e5d4c064f2b"/>
        <w:id w:val="1612790961"/>
        <w:placeholder>
          <w:docPart w:val="GBC22222222222222222222222222222"/>
        </w:placeholder>
      </w:sdtPr>
      <w:sdtContent>
        <w:p>
          <w:pPr>
            <w:pStyle w:val="afffa"/>
            <w:numPr>
              <w:ilvl w:val="0"/>
              <w:numId w:val="0"/>
            </w:numPr>
            <w:ind w:left="420" w:hanging="420"/>
          </w:pPr>
          <w:r>
            <w:rPr>
              <w:szCs w:val="21"/>
            </w:rPr>
            <w:t>1.</w:t>
          </w:r>
          <w:r>
            <w:rPr>
              <w:rFonts w:hint="eastAsia"/>
            </w:rPr>
            <w:t>存货的分类</w:t>
          </w:r>
        </w:p>
        <w:p>
          <w:pPr>
            <w:pStyle w:val="affffffffffffffffffffffffffffffffffb"/>
            <w:spacing w:afterLines="50" w:after="120" w:line="360" w:lineRule="exact"/>
            <w:ind w:firstLineChars="200" w:firstLine="420"/>
            <w:rPr>
              <w:rFonts w:hAnsi="宋体"/>
            </w:rPr>
          </w:pPr>
          <w:r>
            <w:rPr>
              <w:rFonts w:hAnsi="宋体" w:hint="eastAsia"/>
            </w:rPr>
            <w:t>本集团存货主要包括原材料、煤炭存货、甲醇存货、铁矿石存货、房地产开发成本、矿用设备、机电设备、橡胶制品以及低值易耗品等。</w:t>
          </w:r>
        </w:p>
        <w:p>
          <w:pPr>
            <w:snapToGrid w:val="0"/>
            <w:spacing w:afterLines="50" w:after="120" w:line="360" w:lineRule="exact"/>
            <w:jc w:val="both"/>
            <w:outlineLvl w:val="3"/>
          </w:pPr>
          <w:r>
            <w:rPr>
              <w:rFonts w:hint="eastAsia"/>
            </w:rPr>
            <w:t>2.发出存货的计价方法</w:t>
          </w:r>
        </w:p>
        <w:p>
          <w:pPr>
            <w:pStyle w:val="affffffffffffffffffffffffffffffffffb"/>
            <w:spacing w:afterLines="50" w:after="120" w:line="360" w:lineRule="exact"/>
            <w:ind w:firstLineChars="200" w:firstLine="420"/>
            <w:rPr>
              <w:rFonts w:hAnsi="宋体"/>
            </w:rPr>
          </w:pPr>
          <w:r>
            <w:rPr>
              <w:rFonts w:hAnsi="宋体" w:hint="eastAsia"/>
            </w:rPr>
            <w:t>发出存货采用加权平均法。</w:t>
          </w:r>
        </w:p>
        <w:p>
          <w:pPr>
            <w:snapToGrid w:val="0"/>
            <w:spacing w:afterLines="50" w:after="120" w:line="360" w:lineRule="exact"/>
            <w:jc w:val="both"/>
            <w:outlineLvl w:val="3"/>
          </w:pPr>
          <w:r>
            <w:rPr>
              <w:rFonts w:hint="eastAsia"/>
            </w:rPr>
            <w:t>3.存货的盘存制度</w:t>
          </w:r>
        </w:p>
        <w:p>
          <w:pPr>
            <w:pStyle w:val="affffffffffffffffffffffffffffffffffb"/>
            <w:spacing w:afterLines="50" w:after="120" w:line="360" w:lineRule="exact"/>
            <w:ind w:firstLineChars="200" w:firstLine="420"/>
            <w:rPr>
              <w:rFonts w:hAnsi="宋体"/>
            </w:rPr>
          </w:pPr>
          <w:r>
            <w:rPr>
              <w:rFonts w:hAnsi="宋体" w:hint="eastAsia"/>
            </w:rPr>
            <w:t>存货实行永续盘存制，一般存货在取得时按实际成本计价，领用或发出存货采用加权平均法确定其实际成本；房地产开发成本是以土地、房屋、配套设施、代建工程和公用配套设施费用的实际成本入账，开发项目竣工验收时，按实际成本转入房地产存货。</w:t>
          </w:r>
        </w:p>
        <w:p>
          <w:pPr>
            <w:snapToGrid w:val="0"/>
            <w:spacing w:afterLines="50" w:after="120" w:line="360" w:lineRule="exact"/>
            <w:jc w:val="both"/>
            <w:outlineLvl w:val="3"/>
          </w:pPr>
          <w:r>
            <w:rPr>
              <w:rFonts w:hint="eastAsia"/>
            </w:rPr>
            <w:t>4.存货跌价准备的确认标准和计提方法</w:t>
          </w:r>
        </w:p>
        <w:p>
          <w:pPr>
            <w:pStyle w:val="affffffffffffffffffffffffffffffffffb"/>
            <w:spacing w:afterLines="50" w:after="120" w:line="360" w:lineRule="exact"/>
            <w:ind w:firstLineChars="200" w:firstLine="420"/>
            <w:rPr>
              <w:rFonts w:hAnsi="宋体"/>
            </w:rPr>
          </w:pPr>
          <w:r>
            <w:rPr>
              <w:rFonts w:hAnsi="宋体" w:hint="eastAsia"/>
            </w:rPr>
            <w:t>年末存货按成本与可变现净值孰低原则计价。对于存货因遭受毁损、全部或部分陈旧过时或销售价格低于成本等原因，预计其成本不可收回的部分，提取存货跌价准备。存货跌价准备按单个存货项目的成本高于其可变现净值的差额提取。</w:t>
          </w:r>
        </w:p>
        <w:p>
          <w:pPr>
            <w:snapToGrid w:val="0"/>
            <w:spacing w:afterLines="50" w:after="120" w:line="360" w:lineRule="exact"/>
            <w:jc w:val="both"/>
            <w:outlineLvl w:val="3"/>
          </w:pPr>
          <w:r>
            <w:rPr>
              <w:rFonts w:hint="eastAsia"/>
            </w:rPr>
            <w:lastRenderedPageBreak/>
            <w:t>5.按照组合计提存货跌价准备的组合类别及确定依据、不同类别存货可变现净值的确定依据</w:t>
          </w:r>
        </w:p>
        <w:p>
          <w:pPr>
            <w:pStyle w:val="affffffffffffffffffffffffffffffffffb"/>
            <w:spacing w:afterLines="50" w:after="120" w:line="360" w:lineRule="exact"/>
            <w:ind w:firstLineChars="200" w:firstLine="420"/>
            <w:rPr>
              <w:rFonts w:hAnsi="宋体"/>
            </w:rPr>
          </w:pPr>
          <w:r>
            <w:rPr>
              <w:rFonts w:hAnsi="宋体" w:hint="eastAsia"/>
            </w:rPr>
            <w:t>用于销售的煤炭、甲醇、房地产、矿用设备、机电设备、橡胶制品等存货及用于出售的材料，其可变现净值按该存货的估计售价减去估计的销售费用和相关税费后的金额确定；用于生产而持有的材料存货、房地产开发成本，其可变现净值按所生产的产成品的估计售价减去至完工时估计将要发生的成本、估计的销售费用和相关税费后的金额确定</w:t>
          </w:r>
        </w:p>
      </w:sdtContent>
    </w:sdt>
    <w:p>
      <w:pPr>
        <w:rPr>
          <w:rFonts w:cs="Times New Roman"/>
          <w:szCs w:val="21"/>
        </w:rPr>
      </w:pPr>
    </w:p>
    <w:p>
      <w:pPr>
        <w:rPr>
          <w:rFonts w:cs="Times New Roman"/>
          <w:b/>
          <w:kern w:val="2"/>
          <w:szCs w:val="28"/>
        </w:rPr>
      </w:pPr>
      <w:r>
        <w:rPr>
          <w:rFonts w:cs="Times New Roman"/>
          <w:b/>
          <w:kern w:val="2"/>
          <w:szCs w:val="28"/>
        </w:rPr>
        <w:t>存货跌价准备的确认标准和计提方法</w:t>
      </w:r>
    </w:p>
    <w:sdt>
      <w:sdtPr>
        <w:rPr>
          <w:szCs w:val="21"/>
        </w:rPr>
        <w:alias w:val="是否适用：存货跌价准备的确认标准和计提方法[双击切换]"/>
        <w:tag w:val="_GBC_6e8ebb9994fe404dba2a12ec5c785d83"/>
        <w:id w:val="-184431716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kern w:val="2"/>
          <w:szCs w:val="28"/>
        </w:rPr>
      </w:pPr>
    </w:p>
    <w:p>
      <w:pPr>
        <w:rPr>
          <w:rFonts w:cs="Times New Roman"/>
          <w:b/>
          <w:kern w:val="2"/>
          <w:szCs w:val="28"/>
        </w:rPr>
      </w:pPr>
      <w:r>
        <w:rPr>
          <w:rFonts w:cs="Times New Roman"/>
          <w:b/>
          <w:kern w:val="2"/>
          <w:szCs w:val="28"/>
        </w:rPr>
        <w:t>按照组合计提存货跌价准备的组合类别及确定依据</w:t>
      </w:r>
      <w:r>
        <w:rPr>
          <w:rFonts w:cs="Times New Roman" w:hint="eastAsia"/>
          <w:b/>
          <w:bCs/>
          <w:kern w:val="2"/>
          <w:szCs w:val="28"/>
        </w:rPr>
        <w:t>、</w:t>
      </w:r>
      <w:r>
        <w:rPr>
          <w:rFonts w:hint="eastAsia"/>
          <w:b/>
          <w:bCs/>
        </w:rPr>
        <w:t>不同类别存货可变现净值的确定依据</w:t>
      </w:r>
    </w:p>
    <w:sdt>
      <w:sdtPr>
        <w:rPr>
          <w:szCs w:val="21"/>
        </w:rPr>
        <w:alias w:val="是否适用：按照组合计提存货跌价准备的组合类别及确定依据、不同类别存货可变现净值的确定依据[双击切换]"/>
        <w:tag w:val="_GBC_497390f68e764f2baa3b06eda7d6c944"/>
        <w:id w:val="197263678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kern w:val="2"/>
          <w:szCs w:val="28"/>
        </w:rPr>
      </w:pPr>
    </w:p>
    <w:p>
      <w:pPr>
        <w:rPr>
          <w:rFonts w:cs="Times New Roman"/>
          <w:b/>
          <w:kern w:val="2"/>
          <w:szCs w:val="28"/>
        </w:rPr>
      </w:pPr>
      <w:r>
        <w:rPr>
          <w:rFonts w:cs="Times New Roman"/>
          <w:b/>
          <w:kern w:val="2"/>
          <w:szCs w:val="28"/>
        </w:rPr>
        <w:t>基于库龄确认存货可变现净值的各库龄组合可变现净值的计算方法和确定依据</w:t>
      </w:r>
    </w:p>
    <w:sdt>
      <w:sdtPr>
        <w:rPr>
          <w:szCs w:val="21"/>
        </w:rPr>
        <w:alias w:val="是否适用：基于库龄确认存货可变现净值的各库龄组合可变现净值的计算方法和确定依据[双击切换]"/>
        <w:tag w:val="_GBC_9d365dfe8a544c55a4c1edb1470b656d"/>
        <w:id w:val="32879779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szCs w:val="21"/>
        </w:rPr>
      </w:pPr>
    </w:p>
    <w:p>
      <w:pPr>
        <w:pStyle w:val="afffffffffffffffffffffffffffffffff0"/>
        <w:numPr>
          <w:ilvl w:val="0"/>
          <w:numId w:val="94"/>
        </w:numPr>
        <w:rPr>
          <w:szCs w:val="21"/>
        </w:rPr>
      </w:pPr>
      <w:bookmarkStart w:id="331" w:name="_Hlk533667851"/>
      <w:r>
        <w:rPr>
          <w:rFonts w:hint="eastAsia"/>
          <w:szCs w:val="21"/>
        </w:rPr>
        <w:t>合同资产</w:t>
      </w:r>
    </w:p>
    <w:sdt>
      <w:sdtPr>
        <w:rPr>
          <w:rFonts w:hint="eastAsia"/>
        </w:rPr>
        <w:alias w:val="是否适用：合同资产_重要会计政策和估计[双击切换]"/>
        <w:tag w:val="_GBC_5a88c6aff74e4eb184d0541279c7f45e"/>
        <w:id w:val="-163331800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Times New Roman"/>
          <w:b/>
          <w:kern w:val="2"/>
          <w:szCs w:val="28"/>
        </w:rPr>
      </w:pPr>
      <w:r>
        <w:rPr>
          <w:rFonts w:cs="Times New Roman" w:hint="eastAsia"/>
          <w:b/>
          <w:kern w:val="2"/>
          <w:szCs w:val="28"/>
        </w:rPr>
        <w:t>合同资产的确认方法及标准</w:t>
      </w:r>
    </w:p>
    <w:sdt>
      <w:sdtPr>
        <w:rPr>
          <w:szCs w:val="21"/>
        </w:rPr>
        <w:alias w:val="是否适用：合同资产的确定方法、摊销方法和减值测试方法[双击切换]"/>
        <w:tag w:val="_GBC_1b5df72f15664694ad46f712f5c33e91"/>
        <w:id w:val="-72830496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kern w:val="0"/>
          <w:szCs w:val="21"/>
          <w14:ligatures w14:val="none"/>
        </w:rPr>
        <w:alias w:val="合同资产的确定方法、摊销方法和减值测试方法"/>
        <w:tag w:val="_GBC_82d4491d0bbc4d81ab154bd0c0c35176"/>
        <w:id w:val="1763029673"/>
        <w:placeholder>
          <w:docPart w:val="GBC22222222222222222222222222222"/>
        </w:placeholder>
      </w:sdtPr>
      <w:sdtContent>
        <w:p>
          <w:pPr>
            <w:pStyle w:val="afffa"/>
            <w:numPr>
              <w:ilvl w:val="0"/>
              <w:numId w:val="0"/>
            </w:numPr>
            <w:ind w:left="420" w:hanging="420"/>
          </w:pPr>
          <w:r>
            <w:rPr>
              <w:szCs w:val="21"/>
            </w:rPr>
            <w:t>1.</w:t>
          </w:r>
          <w:r>
            <w:rPr>
              <w:rFonts w:hint="eastAsia"/>
            </w:rPr>
            <w:t>合同资产</w:t>
          </w:r>
        </w:p>
        <w:p>
          <w:pPr>
            <w:spacing w:afterLines="50" w:after="120" w:line="360" w:lineRule="exact"/>
            <w:ind w:firstLineChars="200" w:firstLine="420"/>
          </w:pPr>
          <w:r>
            <w:rPr>
              <w:rFonts w:hint="eastAsia"/>
            </w:rPr>
            <w:t>合同资产，是指本集团已向客户转让商品而有权收取对价的权利，且该权利取决于时间流逝之外的其他因素。如本集团向客户销售两项可明确区分的商品，因已交付其中一项商品而有权收取款项，但收取该款项还取决于交付另一项商品的，本集团将该收款权利作为合同资产。</w:t>
          </w:r>
        </w:p>
        <w:p>
          <w:pPr>
            <w:spacing w:afterLines="50" w:after="120" w:line="360" w:lineRule="exact"/>
            <w:ind w:firstLineChars="200" w:firstLine="420"/>
          </w:pPr>
          <w:r>
            <w:rPr>
              <w:rFonts w:hint="eastAsia"/>
            </w:rPr>
            <w:t>合同资产的预期信用损失的确定方法和会计处理方法，详见上述附注“五、（十一）金融工具”相关内容。</w:t>
          </w:r>
        </w:p>
        <w:p>
          <w:pPr>
            <w:pStyle w:val="afffa"/>
            <w:numPr>
              <w:ilvl w:val="0"/>
              <w:numId w:val="0"/>
            </w:numPr>
            <w:ind w:left="420" w:hanging="420"/>
          </w:pPr>
          <w:r>
            <w:t>2.</w:t>
          </w:r>
          <w:r>
            <w:rPr>
              <w:rFonts w:hint="eastAsia"/>
            </w:rPr>
            <w:t>合同负债</w:t>
          </w:r>
        </w:p>
        <w:p>
          <w:pPr>
            <w:ind w:firstLineChars="200" w:firstLine="420"/>
            <w:rPr>
              <w:szCs w:val="21"/>
            </w:rPr>
          </w:pPr>
          <w:r>
            <w:rPr>
              <w:rFonts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pPr>
        <w:rPr>
          <w:szCs w:val="21"/>
        </w:rPr>
      </w:pPr>
    </w:p>
    <w:bookmarkEnd w:id="331"/>
    <w:p>
      <w:pPr>
        <w:rPr>
          <w:rFonts w:cs="Times New Roman"/>
          <w:b/>
          <w:kern w:val="2"/>
          <w:szCs w:val="28"/>
        </w:rPr>
      </w:pPr>
      <w:r>
        <w:rPr>
          <w:rFonts w:cs="Times New Roman"/>
          <w:b/>
          <w:kern w:val="2"/>
          <w:szCs w:val="28"/>
        </w:rPr>
        <w:t>按照信用风险特征组合计提坏账准备的组合类别及确定依据</w:t>
      </w:r>
    </w:p>
    <w:sdt>
      <w:sdtPr>
        <w:rPr>
          <w:szCs w:val="21"/>
        </w:rPr>
        <w:alias w:val="是否适用：合同资产按照信用风险特征组合计提坏账准备的组合类别及确定依据[双击切换]"/>
        <w:tag w:val="_GBC_ebbe09c3657c4b539cc844981adf91e4"/>
        <w:id w:val="134382944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基于账龄确认信用风险特征组合的账龄计算方法</w:t>
      </w:r>
    </w:p>
    <w:sdt>
      <w:sdtPr>
        <w:rPr>
          <w:szCs w:val="21"/>
        </w:rPr>
        <w:alias w:val="是否适用：合同资产基于账龄确认信用风险特征组合的账龄计算方法[双击切换]"/>
        <w:tag w:val="_GBC_3400ff02bc46467bac74fee97f4388c5"/>
        <w:id w:val="94289036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b/>
          <w:bCs/>
          <w:kern w:val="2"/>
          <w:szCs w:val="28"/>
        </w:rPr>
      </w:pPr>
    </w:p>
    <w:p>
      <w:pPr>
        <w:rPr>
          <w:rFonts w:cs="Times New Roman"/>
          <w:b/>
          <w:kern w:val="2"/>
          <w:szCs w:val="28"/>
        </w:rPr>
      </w:pPr>
      <w:r>
        <w:rPr>
          <w:rFonts w:cs="Times New Roman"/>
          <w:b/>
          <w:kern w:val="2"/>
          <w:szCs w:val="28"/>
        </w:rPr>
        <w:t>按照单项计提坏账准备的认定单项计提判断标准</w:t>
      </w:r>
    </w:p>
    <w:sdt>
      <w:sdtPr>
        <w:rPr>
          <w:szCs w:val="21"/>
        </w:rPr>
        <w:alias w:val="是否适用：合同资产按照单项计提坏账准备的单项计提判断标准[双击切换]"/>
        <w:tag w:val="_GBC_aec9a536d61144fa91c2f954c8ff8473"/>
        <w:id w:val="68679458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94"/>
        </w:numPr>
        <w:ind w:left="450" w:hanging="450"/>
        <w:rPr>
          <w:szCs w:val="21"/>
        </w:rPr>
      </w:pPr>
      <w:r>
        <w:rPr>
          <w:rFonts w:hint="eastAsia"/>
          <w:szCs w:val="21"/>
        </w:rPr>
        <w:t>与合同成本有关的资产</w:t>
      </w:r>
    </w:p>
    <w:p>
      <w:pPr>
        <w:pStyle w:val="afffffffffffffffffffffffffffffffffffffff0"/>
      </w:pPr>
      <w:r>
        <w:rPr>
          <w:rFonts w:hint="eastAsia"/>
        </w:rPr>
        <w:t>与合同成本有关的资产金额的确定方法</w:t>
      </w:r>
    </w:p>
    <w:p>
      <w:pPr>
        <w:spacing w:afterLines="50" w:after="120" w:line="360" w:lineRule="exact"/>
        <w:ind w:firstLineChars="200" w:firstLine="420"/>
      </w:pPr>
      <w:r>
        <w:rPr>
          <w:rFonts w:hint="eastAsia"/>
        </w:rPr>
        <w:lastRenderedPageBreak/>
        <w:t>本集团与合同成本有关的资产包括合同履约成本和合同取得成本。根据其流动性，合同履约成本分别列报在存货和其他非流动资产中，合同取得成本分别列报在其他流动资产和其他非流动资产中。</w:t>
      </w:r>
    </w:p>
    <w:p>
      <w:pPr>
        <w:spacing w:afterLines="50" w:after="120" w:line="360" w:lineRule="exact"/>
        <w:ind w:firstLineChars="200" w:firstLine="420"/>
      </w:pPr>
      <w:r>
        <w:rPr>
          <w:rFonts w:hint="eastAsia"/>
        </w:rPr>
        <w:t>合同履约成本，即本集团为履行合同发生的成本，不属于存货、固定资产或无形资产等相关会计准则规范范围且同时满足下列条件的，作为合同履约成本确认为一项资产：该成本与一份当前或预期取得的合同直接相关，包括直接人工、直接材料、制造费用（或类似费用）、明确由客户承担的成本以及仅因该合同而发生的其他成本；该成本增加了本集团未来用于履行履约义务的资源；该成本预期能够收回。</w:t>
      </w:r>
    </w:p>
    <w:p>
      <w:pPr>
        <w:spacing w:afterLines="50" w:after="120" w:line="360" w:lineRule="exact"/>
        <w:ind w:firstLineChars="200" w:firstLine="420"/>
      </w:pPr>
      <w:r>
        <w:rPr>
          <w:rFonts w:hint="eastAsia"/>
        </w:rPr>
        <w:t>合同取得成本，即本集团为取得合同发生的增量成本预期能够收回的，作为合同取得成本确认为一项资产。如果该资产摊销期限不超过一年，本集团选择在发生时计入当期损益的简化处理。增量成本，是指不取得合同就不会发生的成本（如销售佣金等）。本集团为取得合同发生的、除预期能够收回的增量成本之外的其他支出（如无论是否取得合同均会发生的差旅费等），在发生时计入当期损益，但是，明确由客户承担的除外。</w:t>
      </w:r>
    </w:p>
    <w:p>
      <w:pPr>
        <w:pStyle w:val="afffffffffffffffffffffffffffffffffffffff0"/>
      </w:pPr>
      <w:r>
        <w:rPr>
          <w:rFonts w:hint="eastAsia"/>
        </w:rPr>
        <w:t>与合同成本有关的资产的摊销</w:t>
      </w:r>
    </w:p>
    <w:p>
      <w:pPr>
        <w:spacing w:afterLines="50" w:after="120" w:line="360" w:lineRule="exact"/>
        <w:ind w:firstLineChars="200" w:firstLine="420"/>
      </w:pPr>
      <w:r>
        <w:rPr>
          <w:rFonts w:hint="eastAsia"/>
        </w:rPr>
        <w:t>本集团与合同成本有关的资产采用与该资产相关的商品收入确认相同的基础进行摊销，计入当期损益。</w:t>
      </w:r>
    </w:p>
    <w:p>
      <w:pPr>
        <w:pStyle w:val="afffffffffffffffffffffffffffffffffffffff0"/>
      </w:pPr>
      <w:r>
        <w:rPr>
          <w:rFonts w:hint="eastAsia"/>
        </w:rPr>
        <w:t>与合同成本有关的资产的减值</w:t>
      </w:r>
    </w:p>
    <w:p>
      <w:pPr>
        <w:spacing w:afterLines="50" w:after="120" w:line="360" w:lineRule="exact"/>
        <w:ind w:firstLineChars="200" w:firstLine="420"/>
      </w:pPr>
      <w:r>
        <w:rPr>
          <w:rFonts w:hint="eastAsia"/>
        </w:rPr>
        <w:t>本集团与合同成本有关的资产，其账面价值高于下列两项差额的，本集团将超出部分计提减值准备，并确认为资产减值损失：①企业因转让与该资产相关的商品预期能够取得的剩余对价；②为转让该相关商品估计将要发生的成本。</w:t>
      </w:r>
    </w:p>
    <w:p>
      <w:pPr>
        <w:pStyle w:val="afffffffffffffffffffffffffffffffff0"/>
        <w:numPr>
          <w:ilvl w:val="0"/>
          <w:numId w:val="94"/>
        </w:numPr>
        <w:ind w:left="450" w:hanging="450"/>
        <w:rPr>
          <w:szCs w:val="21"/>
        </w:rPr>
      </w:pPr>
      <w:r>
        <w:rPr>
          <w:rFonts w:hint="eastAsia"/>
        </w:rPr>
        <w:t>持有</w:t>
      </w:r>
      <w:r>
        <w:rPr>
          <w:rFonts w:ascii="宋体" w:hAnsi="宋体" w:hint="eastAsia"/>
          <w:szCs w:val="21"/>
        </w:rPr>
        <w:t>待</w:t>
      </w:r>
      <w:r>
        <w:rPr>
          <w:rFonts w:ascii="宋体" w:hAnsi="宋体"/>
          <w:szCs w:val="21"/>
        </w:rPr>
        <w:t>售的非流动资产或处置组</w:t>
      </w:r>
    </w:p>
    <w:bookmarkStart w:id="332" w:name="_Hlk533151067" w:displacedByCustomXml="next"/>
    <w:sdt>
      <w:sdtPr>
        <w:rPr>
          <w:szCs w:val="21"/>
        </w:rPr>
        <w:alias w:val="是否适用：持有待售的非流动资产或处置组[双击切换]"/>
        <w:tag w:val="_GBC_e7f5369a15ba4034bd2498c40687a411"/>
        <w:id w:val="-18513541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332"/>
    <w:p>
      <w:pPr>
        <w:rPr>
          <w:rFonts w:cs="Times New Roman"/>
          <w:b/>
          <w:kern w:val="2"/>
          <w:szCs w:val="21"/>
        </w:rPr>
      </w:pPr>
      <w:r>
        <w:rPr>
          <w:rFonts w:cs="Times New Roman" w:hint="eastAsia"/>
          <w:b/>
          <w:kern w:val="2"/>
          <w:szCs w:val="21"/>
        </w:rPr>
        <w:t>划分为持有待售的非流动资产或处置组的确认标准和会计处理方法</w:t>
      </w:r>
    </w:p>
    <w:sdt>
      <w:sdtPr>
        <w:rPr>
          <w:szCs w:val="21"/>
        </w:rPr>
        <w:alias w:val="是否适用：划分为持有待售的非流动资产或处置组的确认标准和会计处理方法[双击切换]"/>
        <w:tag w:val="_GBC_cf8b05c4ada54b2aac5743b74b5fdb45"/>
        <w:id w:val="-46766465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cs="Times New Roman"/>
          <w:b/>
          <w:kern w:val="2"/>
          <w:szCs w:val="21"/>
        </w:rPr>
      </w:pPr>
      <w:r>
        <w:rPr>
          <w:rFonts w:cs="Times New Roman"/>
          <w:b/>
          <w:kern w:val="2"/>
          <w:szCs w:val="21"/>
        </w:rPr>
        <w:t>终止经营的认定标准和列报方法</w:t>
      </w:r>
    </w:p>
    <w:sdt>
      <w:sdtPr>
        <w:rPr>
          <w:szCs w:val="21"/>
        </w:rPr>
        <w:alias w:val="是否适用：终止经营的认定标准和列报方法[双击切换]"/>
        <w:tag w:val="_GBC_a323dd7cc84c4bd1bc42320036ce854b"/>
        <w:id w:val="137358118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94"/>
        </w:numPr>
      </w:pPr>
      <w:r>
        <w:t>长期股权投资</w:t>
      </w:r>
    </w:p>
    <w:sdt>
      <w:sdtPr>
        <w:rPr>
          <w:rFonts w:hint="eastAsia"/>
          <w:szCs w:val="21"/>
        </w:rPr>
        <w:alias w:val="是否适用：长期股权投资_重要会计政策和估计[双击切换]"/>
        <w:tag w:val="_GBC_990faa4da4e64a5389a573293ba4981b"/>
        <w:id w:val="78607986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长期股权投资的核算方法"/>
        <w:tag w:val="_GBC_3e77074cd50946b1bccdff9bc1c9556f"/>
        <w:id w:val="1400163838"/>
        <w:placeholder>
          <w:docPart w:val="GBC22222222222222222222222222222"/>
        </w:placeholder>
      </w:sdtPr>
      <w:sdtEndPr>
        <w:rPr>
          <w:szCs w:val="24"/>
        </w:rPr>
      </w:sdtEndPr>
      <w:sdtContent>
        <w:bookmarkStart w:id="333" w:name="_Hlk192370445" w:displacedByCustomXml="prev"/>
        <w:p>
          <w:pPr>
            <w:pStyle w:val="afffa"/>
            <w:numPr>
              <w:ilvl w:val="0"/>
              <w:numId w:val="97"/>
            </w:numPr>
          </w:pPr>
          <w:r>
            <w:rPr>
              <w:rFonts w:hint="eastAsia"/>
            </w:rPr>
            <w:t>本集团长期股权投资包括对子公司的投资、对联营企业的投资和对合营企业的权益性投资</w:t>
          </w:r>
        </w:p>
        <w:p>
          <w:pPr>
            <w:pStyle w:val="afffa"/>
            <w:numPr>
              <w:ilvl w:val="0"/>
              <w:numId w:val="99"/>
            </w:numPr>
          </w:pPr>
          <w:r>
            <w:rPr>
              <w:rFonts w:hint="eastAsia"/>
            </w:rPr>
            <w:t>投资成本的确定</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本集团按照初始投资成本对取得的长期股权投资进行初始计量。</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通过同一控制下的企业合并取得的长期股权投资，以合并日取得被合并方在最终控制方合并报表中净资产的账面价值的份额作为初始投资成本；被合并方在合并日的净资产账面价值为负数</w:t>
          </w:r>
          <w:r>
            <w:rPr>
              <w:rFonts w:hAnsi="宋体" w:hint="eastAsia"/>
            </w:rPr>
            <w:lastRenderedPageBreak/>
            <w:t>的，初始投资成本按零确定。</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通过非同一控制下的企业合并取得的长期股权投资，以合并成本作为初始投资成本；通过多次交易分步实现非同一控制下企业合并，不属于一揽子交易的，以原持有的股权投资账面价值加上新增投资成本之和，作为初始投资成本。</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除企业合并形成的长期股权投资外，以支付现金取得的长期股权投资，按照实际支付的购买价款及与取得长期股权投资直接相关的费用、税金及其他必要支出作为初始投资成本；以发行权益性证券取得的长期股权投资，按照发行权益性证券的公允价值作为投资成本；以债务重组、非货币性资产交换等方式取得的长期股权投资，按相关会计准则的规定确定初始投资成本。</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本公司对子公司投资在个别财务报表中采用成本法核算。采用成本法时，长期股权投资按初始投资成本计价。在追加投资时，按照追加投资支付的成本额公允价值及发生的相关交易费用增加长期股权投资成本的账面价值。被投资单位宣告分派的现金股利或利润，按照应享有的金额确认为当期投资收益。</w:t>
          </w:r>
        </w:p>
        <w:p>
          <w:pPr>
            <w:pStyle w:val="affffffffffffffffffffffffffffffffffb"/>
            <w:tabs>
              <w:tab w:val="left" w:pos="4320"/>
            </w:tabs>
            <w:spacing w:afterLines="50" w:after="120" w:line="360" w:lineRule="exact"/>
            <w:ind w:firstLineChars="200" w:firstLine="420"/>
            <w:rPr>
              <w:rFonts w:hAnsi="宋体"/>
            </w:rPr>
          </w:pPr>
          <w:r>
            <w:rPr>
              <w:rFonts w:hAnsi="宋体" w:hint="eastAsia"/>
            </w:rPr>
            <w:t>本集团对合营企业及联营企业的投资采用权益法核算。采用权益法时，长期股权投资初始投资成本大于投资时应享有被投资单位可辨认净资产公允价值的份额的，不调整长期股权投资账面价值；长期股权投资初始投资成本小于投资时应享有被投资单位可辨认净资产公允价值的份额的，差额调增长期股权投资的账面价值，同时计入取得投资当期损益。</w:t>
          </w:r>
        </w:p>
        <w:p>
          <w:pPr>
            <w:pStyle w:val="afffa"/>
            <w:numPr>
              <w:ilvl w:val="0"/>
              <w:numId w:val="99"/>
            </w:numPr>
          </w:pPr>
          <w:r>
            <w:rPr>
              <w:rFonts w:hint="eastAsia"/>
            </w:rPr>
            <w:t>后续计量及损益确认方法</w:t>
          </w:r>
        </w:p>
        <w:p>
          <w:pPr>
            <w:pStyle w:val="affffffffffffffffffffffffffffffffffb"/>
            <w:spacing w:afterLines="50" w:after="120" w:line="360" w:lineRule="exact"/>
            <w:ind w:firstLineChars="200" w:firstLine="420"/>
            <w:rPr>
              <w:rFonts w:hAnsi="宋体"/>
            </w:rPr>
          </w:pPr>
          <w:r>
            <w:rPr>
              <w:rFonts w:hAnsi="宋体" w:hint="eastAsia"/>
            </w:rPr>
            <w:t>后续计量采用权益法核算的长期股权投资，在持有投资期间，随着被投资单位所有者权益的变动相应调整增加或减少长期股权投资的账面价值。其中在确认应享有被投资单位净损益的份额时，以取得投资时被投资单位各项可辨认资产等的公允价值为基础，按照本集团的会计政策及会计期间，并抵销与联营企业及合营企业之间发生的不构成业务的交易产生的未实现内部交易损益按照应享有比例计算归属于本集团的部分（内部交易损失属于资产减值损失的，全额确认），对被投资单位的净利润进行调整后确认。本集团确认被投资单位发生的净亏损，以长期股权投资的账面价值以及其他实质上构成对被投资单位净投资的长期权益减记至零为限，本集团负有承担额外损失义务的除外。</w:t>
          </w:r>
        </w:p>
        <w:p>
          <w:pPr>
            <w:pStyle w:val="afffa"/>
            <w:numPr>
              <w:ilvl w:val="0"/>
              <w:numId w:val="99"/>
            </w:numPr>
          </w:pPr>
          <w:r>
            <w:rPr>
              <w:rFonts w:hint="eastAsia"/>
            </w:rPr>
            <w:t>确定对被投资单位具有共同控制、重大影响的依据</w:t>
          </w:r>
        </w:p>
        <w:p>
          <w:pPr>
            <w:pStyle w:val="affffffffffffffffffffffffffffffffffb"/>
            <w:spacing w:afterLines="50" w:after="120" w:line="360" w:lineRule="exact"/>
            <w:ind w:firstLineChars="200" w:firstLine="420"/>
            <w:rPr>
              <w:rFonts w:hAnsi="宋体"/>
            </w:rPr>
          </w:pPr>
          <w:r>
            <w:rPr>
              <w:rFonts w:hAnsi="宋体" w:hint="eastAsia"/>
            </w:rPr>
            <w:t>本集团对被投资单位具有重大影响的权益性投资，即对联营企业投资。重大影响，是指本集团对被投资方的财务和经营政策有参与决策的权力，但并不能够控制或者与其他方一起共同控制这些政策的制定。本集团直接或通过子公司间接拥有被投资单位20％以上但低于50％的表决权时，通常认为对被投资单位具有重大影响，除非有明确的证据表明本集团不能参与被投资单位的生产经营决策或形成对被投资单位的控制。本集团持有被投资单位20%以下表决权的，如本集团在被投资单位的董事会或类似权力机构中派有代表、或参与被投资单位财务和经营政策制定过程、或与被投资单位之间发生重要交易、或向被投资单位派出管理人员、或向被投资单位提供关键技术资料等（或综合考虑以上多种事实和情况）,本集团认为对被投资单位具有重大影响。</w:t>
          </w:r>
        </w:p>
        <w:p>
          <w:pPr>
            <w:pStyle w:val="affffffffffffffffffffffffffffffffffb"/>
            <w:spacing w:afterLines="50" w:after="120" w:line="360" w:lineRule="exact"/>
            <w:ind w:firstLineChars="200" w:firstLine="420"/>
            <w:rPr>
              <w:rFonts w:hAnsi="宋体"/>
            </w:rPr>
          </w:pPr>
          <w:r>
            <w:rPr>
              <w:rFonts w:hAnsi="宋体" w:hint="eastAsia"/>
            </w:rPr>
            <w:t>本集团与其他合营方一同对被投资单位实施共同控制且对被投资单位净资产享有权利的权益</w:t>
          </w:r>
          <w:r>
            <w:rPr>
              <w:rFonts w:hAnsi="宋体" w:hint="eastAsia"/>
            </w:rPr>
            <w:lastRenderedPageBreak/>
            <w:t>性投资，即对合营企业投资。共同控制，是指按照相关约定对某项安排所共有的控制，并且该安排的相关活动必须经过分享控制权的参与方一致同意后才能决策。本集团对共同控制的判断依据是所有参与方或参与方组合集体控制该安排，并且该安排相关活动的决策必须经过这些集体控制该安排的参与方一致同意。</w:t>
          </w:r>
        </w:p>
        <w:p>
          <w:pPr>
            <w:pStyle w:val="afffa"/>
            <w:numPr>
              <w:ilvl w:val="0"/>
              <w:numId w:val="99"/>
            </w:numPr>
          </w:pPr>
          <w:r>
            <w:rPr>
              <w:rFonts w:hint="eastAsia"/>
            </w:rPr>
            <w:t>长期股权投资的处置</w:t>
          </w:r>
        </w:p>
        <w:p>
          <w:pPr>
            <w:spacing w:afterLines="50" w:after="120" w:line="360" w:lineRule="exact"/>
            <w:ind w:firstLineChars="200" w:firstLine="420"/>
          </w:pPr>
          <w:r>
            <w:rPr>
              <w:rFonts w:hint="eastAsia"/>
            </w:rPr>
            <w:t>处置长期股权投资，其账面价值与实际取得价款的差额，计入当期投资收益。</w:t>
          </w:r>
        </w:p>
        <w:p>
          <w:pPr>
            <w:spacing w:afterLines="50" w:after="120" w:line="360" w:lineRule="exact"/>
            <w:ind w:firstLineChars="200" w:firstLine="420"/>
          </w:pPr>
          <w:r>
            <w:rPr>
              <w:rFonts w:hint="eastAsia"/>
            </w:rPr>
            <w:t>采用权益法核算的长期股权投资，原权益法核算的相关其他综合收益在终止采用权益法核算时采用与被投资单位直接处置相关资产或负债相同的基础进行会计处理，因被投资方除净损益、其他综合收益和利润分配以外的其他所有者权益变动而确认的所有者权益，在终止采用权益法核算时全部转入当期投资收益。</w:t>
          </w:r>
        </w:p>
        <w:p>
          <w:pPr>
            <w:spacing w:afterLines="50" w:after="120" w:line="360" w:lineRule="exact"/>
            <w:ind w:firstLineChars="200" w:firstLine="420"/>
          </w:pPr>
          <w:r>
            <w:rPr>
              <w:rFonts w:hint="eastAsia"/>
            </w:rPr>
            <w:t>因处置部分股权后剩余股权仍采用权益法核算的，原权益法核算的相关其他综合收益采用与被投资单位直接处置相关资产或负债相同的基础处理并按比例结转，因被投资方除净损益、其他综合收益和利润分配以外的其他所有者权益变动而确认的所有者权益，按比例结转入当期投资收益。</w:t>
          </w:r>
        </w:p>
        <w:p>
          <w:pPr>
            <w:spacing w:afterLines="50" w:after="120" w:line="360" w:lineRule="exact"/>
            <w:ind w:firstLineChars="200" w:firstLine="420"/>
          </w:pPr>
          <w:r>
            <w:rPr>
              <w:rFonts w:hint="eastAsia"/>
            </w:rPr>
            <w:t>因处置部分股权后丧失了对被投资单位的共同控制或重大影响的，处置后的剩余股权适用《企业会计准则第22号——金融工具确认和计量（财会[2017]7号）》核算的，剩余股权在丧失共同控制或重大影响之日的公允价值与账面价值之间的差额计入当期损益。</w:t>
          </w:r>
        </w:p>
        <w:p>
          <w:pPr>
            <w:spacing w:afterLines="50" w:after="120" w:line="360" w:lineRule="exact"/>
            <w:ind w:firstLineChars="200" w:firstLine="420"/>
          </w:pPr>
          <w:r>
            <w:rPr>
              <w:rFonts w:hint="eastAsia"/>
            </w:rPr>
            <w:t>因处置部分长期股权投资丧失了对被投资单位控制的，处置后的剩余股权能够对被投资单位实施共同控制或施加重大影响的，改按权益法核算，处置股权账面价值和处置对价的差额计入投资收益，并对该剩余股权视同自取得时即采用权益法核算进行调整；处置后的剩余股权不能对被投资单位实施共同控制或施加重大影响的，适用《企业会计准则第22号——金融工具确认和计量（财会[2017]7号）》进行会计处理，处置股权账面价值和处置对价的差额计入投资收益，剩余股权在丧失控制之日的公允价值与账面价值间的差额计入当期损益。</w:t>
          </w:r>
        </w:p>
        <w:p>
          <w:pPr>
            <w:spacing w:afterLines="50" w:after="120" w:line="360" w:lineRule="exact"/>
            <w:ind w:firstLineChars="200" w:firstLine="420"/>
          </w:pPr>
          <w:r>
            <w:rPr>
              <w:rFonts w:hint="eastAsia"/>
            </w:rPr>
            <w:t>本集团对于分步处置股权至丧失控股权的各项交易不属于一揽子交易的，对每一项交易分别进行会计处理。属于“一揽子交易”的，将各项交易作为一项处置子公司并丧失控制权的交易进行会计处理，但是，在丧失控制权之前每一次交易处置价款与所处置的股权对应的长期股权投资账面价值之间的差额，确认为其他综合收益，到丧失控制权时再一并转入丧失控制权的当期损益。</w:t>
          </w:r>
        </w:p>
        <w:p>
          <w:pPr>
            <w:pStyle w:val="afffa"/>
            <w:numPr>
              <w:ilvl w:val="0"/>
              <w:numId w:val="99"/>
            </w:numPr>
          </w:pPr>
          <w:r>
            <w:rPr>
              <w:rFonts w:hint="eastAsia"/>
            </w:rPr>
            <w:t>减值测试方法及减值准备计提方法</w:t>
          </w:r>
        </w:p>
        <w:p>
          <w:pPr>
            <w:pStyle w:val="affffffffffffffffffffffffffffffffffffffe"/>
          </w:pPr>
          <w:r>
            <w:rPr>
              <w:rFonts w:hint="eastAsia"/>
            </w:rPr>
            <w:t>对子公司、联营企业及合营企业的投资，在资产负债表日有客观证据表明其发生减值的，按照账面价值与可收回金额的差额计提相应的减值准备</w:t>
          </w:r>
        </w:p>
        <w:bookmarkEnd w:id="333" w:displacedByCustomXml="next"/>
      </w:sdtContent>
    </w:sdt>
    <w:p>
      <w:pPr>
        <w:rPr>
          <w:szCs w:val="21"/>
        </w:rPr>
      </w:pPr>
    </w:p>
    <w:p>
      <w:pPr>
        <w:keepNext/>
        <w:keepLines/>
        <w:widowControl w:val="0"/>
        <w:numPr>
          <w:ilvl w:val="0"/>
          <w:numId w:val="94"/>
        </w:numPr>
        <w:spacing w:before="60" w:line="360" w:lineRule="auto"/>
        <w:jc w:val="both"/>
        <w:outlineLvl w:val="2"/>
      </w:pPr>
      <w:r>
        <w:t>投资性房地产</w:t>
      </w:r>
    </w:p>
    <w:p>
      <w:pPr>
        <w:pStyle w:val="afffffffffffffffffffffffffffffffff1"/>
        <w:numPr>
          <w:ilvl w:val="0"/>
          <w:numId w:val="156"/>
        </w:numPr>
      </w:pPr>
      <w:r>
        <w:rPr>
          <w:rFonts w:ascii="宋体" w:hAnsi="宋体" w:cs="宋体" w:hint="eastAsia"/>
          <w:kern w:val="0"/>
          <w:szCs w:val="24"/>
        </w:rPr>
        <w:t>如果</w:t>
      </w:r>
      <w:r>
        <w:rPr>
          <w:rFonts w:hint="eastAsia"/>
        </w:rPr>
        <w:t>采用公允价值计量模式的：</w:t>
      </w:r>
    </w:p>
    <w:p>
      <w:pPr>
        <w:pStyle w:val="affffffffffffffffffffffffffffffffe"/>
      </w:pPr>
      <w:r>
        <w:rPr>
          <w:rFonts w:hint="eastAsia"/>
        </w:rPr>
        <w:t>选择公允价值计量的依据</w:t>
      </w:r>
    </w:p>
    <w:sdt>
      <w:sdtPr>
        <w:rPr>
          <w:szCs w:val="21"/>
        </w:rPr>
        <w:alias w:val="采用公允价值计量模式的选择依据"/>
        <w:tag w:val="_GBC_3923e55fa36348df898ac65ec0c9f5a3"/>
        <w:id w:val="-125706674"/>
        <w:placeholder>
          <w:docPart w:val="GBC22222222222222222222222222222"/>
        </w:placeholder>
      </w:sdtPr>
      <w:sdtContent>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（1）投资性房地产包括已出租的土地使用权、持有并准备增值后转让的土地使用权和已出租的建筑物。</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2）投资性房地产按照成本进行初始计量，采用成本模式进行后续计量，并采用与固定资产和无形资产相同的方法计提折旧或进行摊销。资产负债表日，有迹象表明投资性房地产发生减值的，按照账面价值与可收回金额的差额计提相应的减值准备。</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w:t>
          </w:r>
          <w:r>
            <w:rPr>
              <w:rFonts w:hAnsi="宋体"/>
            </w:rPr>
            <w:t>3</w:t>
          </w:r>
          <w:r>
            <w:rPr>
              <w:rFonts w:hAnsi="宋体" w:hint="eastAsia"/>
            </w:rPr>
            <w:t>）投资性房地产按照成本进行初始计量，采用公允价值模式进行后续计量。</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本集团投资性房地产是指为赚取租金或资本增值，或两者兼有而持有的房地产，包括已出租的土地使用权、持有并准备增值后转让的土地使用权、已出租的建筑物。采用公允价值模式计量。</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本集团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本集团采用公允价值模式对投资性房地产进行后续计量，不对投资性房地产计提折旧或进行摊销，在资产负债表日以投资性房地产的公允价值为基础调整其账面价值，公允价值与原账面价值之间的差额计入当期损益。</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投资性房地产采用公允价值模式进行后续计量的的依据为：</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1）投资性房地产所在地有活跃的房地产交易市场；</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2）本集团能够从房地产交易市场上取得同类或类似房地产的市场价格及其他相关信息，从而对投资性房地产的公允价值作出合理的估计。</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本集团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作出合理的估计；或基于预计未来获得的租金收益和有关现金流量的现值确定其公允价值。本集团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pPr>
            <w:pStyle w:val="affffffffffffffffffffffffffffffffffb"/>
            <w:tabs>
              <w:tab w:val="left" w:pos="3828"/>
              <w:tab w:val="left" w:pos="4320"/>
            </w:tabs>
            <w:spacing w:afterLines="50" w:after="120" w:line="360" w:lineRule="exact"/>
            <w:ind w:firstLineChars="200" w:firstLine="420"/>
            <w:rPr>
              <w:rFonts w:hAnsi="宋体"/>
            </w:rPr>
          </w:pPr>
          <w:r>
            <w:rPr>
              <w:rFonts w:hAnsi="宋体" w:hint="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p>
      <w:pPr>
        <w:rPr>
          <w:szCs w:val="21"/>
        </w:rPr>
      </w:pPr>
    </w:p>
    <w:p>
      <w:pPr>
        <w:keepNext/>
        <w:keepLines/>
        <w:widowControl w:val="0"/>
        <w:numPr>
          <w:ilvl w:val="0"/>
          <w:numId w:val="94"/>
        </w:numPr>
        <w:spacing w:before="60" w:line="360" w:lineRule="auto"/>
        <w:jc w:val="both"/>
        <w:outlineLvl w:val="2"/>
      </w:pPr>
      <w:r>
        <w:t>固定资产</w:t>
      </w:r>
    </w:p>
    <w:p>
      <w:pPr>
        <w:pStyle w:val="afffffffffffffffffffffffffffffffff1"/>
        <w:numPr>
          <w:ilvl w:val="0"/>
          <w:numId w:val="157"/>
        </w:numPr>
      </w:pPr>
      <w:r>
        <w:rPr>
          <w:rFonts w:hint="eastAsia"/>
        </w:rPr>
        <w:t>确认条件</w:t>
      </w:r>
    </w:p>
    <w:sdt>
      <w:sdtPr>
        <w:alias w:val="是否适用：固定资产确认条件[双击切换]"/>
        <w:tag w:val="_GBC_4c768c6eca804bab9e4fc027185bcda6"/>
        <w:id w:val="-105431236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bCs/>
          <w:szCs w:val="21"/>
        </w:rPr>
        <w:alias w:val="固定资产确认条件"/>
        <w:tag w:val="_GBC_3044d53470b143fa9477fa34b85d4ec5"/>
        <w:id w:val="-1028636344"/>
        <w:placeholder>
          <w:docPart w:val="GBC22222222222222222222222222222"/>
        </w:placeholder>
      </w:sdtPr>
      <w:sdtEndPr>
        <w:rPr>
          <w:b/>
        </w:rPr>
      </w:sdtEndPr>
      <w:sdtContent>
        <w:p>
          <w:pPr>
            <w:pStyle w:val="affffffffffffffffffffffffffffffffffb"/>
            <w:spacing w:afterLines="50" w:after="120" w:line="360" w:lineRule="exact"/>
            <w:ind w:firstLineChars="200" w:firstLine="420"/>
            <w:rPr>
              <w:rFonts w:hAnsi="宋体"/>
              <w:szCs w:val="21"/>
            </w:rPr>
          </w:pPr>
          <w:r>
            <w:rPr>
              <w:rFonts w:hAnsi="宋体" w:hint="eastAsia"/>
              <w:szCs w:val="21"/>
            </w:rPr>
            <w:t>本集团固定资产是为生产商品、提供劳务、出租或经营管理而持有的，使用年限超过一年的有形资产。</w:t>
          </w:r>
        </w:p>
        <w:p>
          <w:pPr>
            <w:pStyle w:val="affffffffffffffffffffffffffffffffffb"/>
            <w:spacing w:afterLines="50" w:after="120" w:line="360" w:lineRule="exact"/>
            <w:ind w:firstLineChars="200" w:firstLine="420"/>
            <w:rPr>
              <w:rFonts w:hAnsi="宋体"/>
            </w:rPr>
          </w:pPr>
          <w:r>
            <w:rPr>
              <w:rFonts w:hAnsi="宋体" w:hint="eastAsia"/>
              <w:szCs w:val="21"/>
            </w:rPr>
            <w:t>固定资产在与其有关的经济利益很可能流入本集团、且其成本能够可靠计量时予以确认。本集团固定资产包括房屋建筑物、机器设备、运输设备和其他。确定固定资产成本时，考虑预计弃置费用因素。</w:t>
          </w:r>
        </w:p>
        <w:p>
          <w:pPr>
            <w:pStyle w:val="affffffffffffffffffffffffffffffffffb"/>
            <w:spacing w:afterLines="50" w:after="120" w:line="360" w:lineRule="exact"/>
            <w:ind w:firstLineChars="200" w:firstLine="420"/>
            <w:rPr>
              <w:rFonts w:hAnsi="宋体"/>
            </w:rPr>
          </w:pPr>
          <w:r>
            <w:rPr>
              <w:rFonts w:hAnsi="宋体" w:hint="eastAsia"/>
              <w:szCs w:val="21"/>
            </w:rPr>
            <w:t>除已提足折旧仍继续使用的固定资产和单独计价入账的土地外，本集团对所有固定资产计提折旧。其中矿井建筑物采用产量法计提折旧，其他固定资产采用平均年限法计提折旧。本集团固定资产的分类折旧年限、预计净残值率、折旧率如下：</w:t>
          </w:r>
        </w:p>
      </w:sdtContent>
    </w:sdt>
    <w:p>
      <w:pPr>
        <w:rPr>
          <w:szCs w:val="21"/>
        </w:rPr>
      </w:pPr>
    </w:p>
    <w:p>
      <w:pPr>
        <w:pStyle w:val="afffffffffffffffffffffffffffffffff1"/>
        <w:numPr>
          <w:ilvl w:val="0"/>
          <w:numId w:val="157"/>
        </w:numPr>
      </w:pPr>
      <w:r>
        <w:t>折旧方法</w:t>
      </w:r>
    </w:p>
    <w:sdt>
      <w:sdtPr>
        <w:alias w:val="是否适用：固定资产折旧方法[双击切换]"/>
        <w:tag w:val="_GBC_f89f129fe73045168ebdc30031da9fdd"/>
        <w:id w:val="-1115366429"/>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4"/>
        <w:gridCol w:w="1785"/>
        <w:gridCol w:w="1788"/>
        <w:gridCol w:w="1788"/>
        <w:gridCol w:w="1788"/>
      </w:tblGrid>
      <w:tr>
        <w:sdt>
          <w:sdtPr>
            <w:tag w:val="_PLD_b93b748ee97a4a8bae6f8263364d91d5"/>
            <w:id w:val="-57782155"/>
          </w:sdtPr>
          <w:sdtContent>
            <w:tc>
              <w:tcPr>
                <w:tcW w:w="949" w:type="pct"/>
                <w:vAlign w:val="center"/>
              </w:tcPr>
              <w:p>
                <w:pPr>
                  <w:jc w:val="center"/>
                  <w:rPr>
                    <w:szCs w:val="21"/>
                  </w:rPr>
                </w:pPr>
                <w:r>
                  <w:rPr>
                    <w:szCs w:val="21"/>
                  </w:rPr>
                  <w:t>类别</w:t>
                </w:r>
              </w:p>
            </w:tc>
          </w:sdtContent>
        </w:sdt>
        <w:sdt>
          <w:sdtPr>
            <w:tag w:val="_PLD_8eb75a8ba4fb45a3be1c35e2609526fb"/>
            <w:id w:val="-264996802"/>
          </w:sdtPr>
          <w:sdtContent>
            <w:tc>
              <w:tcPr>
                <w:tcW w:w="1012" w:type="pct"/>
                <w:vAlign w:val="center"/>
              </w:tcPr>
              <w:p>
                <w:pPr>
                  <w:jc w:val="center"/>
                  <w:rPr>
                    <w:szCs w:val="21"/>
                  </w:rPr>
                </w:pPr>
                <w:r>
                  <w:rPr>
                    <w:rFonts w:hint="eastAsia"/>
                    <w:szCs w:val="21"/>
                  </w:rPr>
                  <w:t>折旧方法</w:t>
                </w:r>
              </w:p>
            </w:tc>
          </w:sdtContent>
        </w:sdt>
        <w:sdt>
          <w:sdtPr>
            <w:tag w:val="_PLD_288e4cb255e44ed98e0c53f336ac01e0"/>
            <w:id w:val="885763664"/>
          </w:sdtPr>
          <w:sdtContent>
            <w:tc>
              <w:tcPr>
                <w:tcW w:w="1013" w:type="pct"/>
                <w:vAlign w:val="center"/>
              </w:tcPr>
              <w:p>
                <w:pPr>
                  <w:jc w:val="center"/>
                  <w:rPr>
                    <w:szCs w:val="21"/>
                  </w:rPr>
                </w:pPr>
                <w:r>
                  <w:rPr>
                    <w:szCs w:val="21"/>
                  </w:rPr>
                  <w:t>折旧年限（年）</w:t>
                </w:r>
              </w:p>
            </w:tc>
          </w:sdtContent>
        </w:sdt>
        <w:sdt>
          <w:sdtPr>
            <w:tag w:val="_PLD_b978331f5a784568b426597e450ebc7a"/>
            <w:id w:val="-1724288580"/>
          </w:sdtPr>
          <w:sdtContent>
            <w:tc>
              <w:tcPr>
                <w:tcW w:w="1013" w:type="pct"/>
                <w:vAlign w:val="center"/>
              </w:tcPr>
              <w:p>
                <w:pPr>
                  <w:jc w:val="center"/>
                  <w:rPr>
                    <w:szCs w:val="21"/>
                  </w:rPr>
                </w:pPr>
                <w:r>
                  <w:rPr>
                    <w:szCs w:val="21"/>
                  </w:rPr>
                  <w:t>残值率</w:t>
                </w:r>
              </w:p>
            </w:tc>
          </w:sdtContent>
        </w:sdt>
        <w:sdt>
          <w:sdtPr>
            <w:tag w:val="_PLD_02921e2cbb3b427bb4fe2aba2949e56a"/>
            <w:id w:val="-2072727988"/>
          </w:sdtPr>
          <w:sdtContent>
            <w:tc>
              <w:tcPr>
                <w:tcW w:w="1013" w:type="pct"/>
                <w:vAlign w:val="center"/>
              </w:tcPr>
              <w:p>
                <w:pPr>
                  <w:jc w:val="center"/>
                  <w:rPr>
                    <w:szCs w:val="21"/>
                  </w:rPr>
                </w:pPr>
                <w:r>
                  <w:rPr>
                    <w:szCs w:val="21"/>
                  </w:rPr>
                  <w:t>年折旧率</w:t>
                </w:r>
              </w:p>
            </w:tc>
          </w:sdtContent>
        </w:sdt>
      </w:tr>
      <w:tr>
        <w:tc>
          <w:tcPr>
            <w:tcW w:w="949" w:type="pct"/>
          </w:tcPr>
          <w:p>
            <w:pPr>
              <w:rPr>
                <w:szCs w:val="21"/>
              </w:rPr>
            </w:pPr>
            <w:r>
              <w:rPr>
                <w:rFonts w:hint="eastAsia"/>
                <w:szCs w:val="21"/>
              </w:rPr>
              <w:t>房屋建筑物</w:t>
            </w:r>
          </w:p>
        </w:tc>
        <w:tc>
          <w:tcPr>
            <w:tcW w:w="1012" w:type="pct"/>
            <w:vAlign w:val="center"/>
          </w:tcPr>
          <w:p>
            <w:pPr>
              <w:jc w:val="right"/>
              <w:rPr>
                <w:szCs w:val="21"/>
              </w:rPr>
            </w:pPr>
            <w:r>
              <w:rPr>
                <w:rFonts w:hint="eastAsia"/>
                <w:szCs w:val="21"/>
              </w:rPr>
              <w:t>直线法</w:t>
            </w:r>
          </w:p>
        </w:tc>
        <w:tc>
          <w:tcPr>
            <w:tcW w:w="1013" w:type="pct"/>
            <w:vAlign w:val="center"/>
          </w:tcPr>
          <w:p>
            <w:pPr>
              <w:jc w:val="right"/>
              <w:rPr>
                <w:szCs w:val="21"/>
              </w:rPr>
            </w:pPr>
            <w:r>
              <w:rPr>
                <w:szCs w:val="21"/>
              </w:rPr>
              <w:t>10-30</w:t>
            </w:r>
          </w:p>
        </w:tc>
        <w:tc>
          <w:tcPr>
            <w:tcW w:w="1013" w:type="pct"/>
            <w:vAlign w:val="center"/>
          </w:tcPr>
          <w:p>
            <w:pPr>
              <w:jc w:val="right"/>
              <w:rPr>
                <w:szCs w:val="21"/>
              </w:rPr>
            </w:pPr>
            <w:r>
              <w:rPr>
                <w:rFonts w:hint="eastAsia"/>
                <w:szCs w:val="21"/>
              </w:rPr>
              <w:t>0</w:t>
            </w:r>
          </w:p>
        </w:tc>
        <w:tc>
          <w:tcPr>
            <w:tcW w:w="1013" w:type="pct"/>
            <w:vAlign w:val="center"/>
          </w:tcPr>
          <w:p>
            <w:pPr>
              <w:jc w:val="right"/>
              <w:rPr>
                <w:szCs w:val="21"/>
              </w:rPr>
            </w:pPr>
            <w:r>
              <w:rPr>
                <w:szCs w:val="21"/>
              </w:rPr>
              <w:t>3.33-10.00</w:t>
            </w:r>
          </w:p>
        </w:tc>
      </w:tr>
      <w:tr>
        <w:tc>
          <w:tcPr>
            <w:tcW w:w="949" w:type="pct"/>
          </w:tcPr>
          <w:p>
            <w:pPr>
              <w:rPr>
                <w:szCs w:val="21"/>
              </w:rPr>
            </w:pPr>
            <w:r>
              <w:rPr>
                <w:rFonts w:hint="eastAsia"/>
                <w:szCs w:val="21"/>
              </w:rPr>
              <w:t>地面建筑物</w:t>
            </w:r>
          </w:p>
        </w:tc>
        <w:tc>
          <w:tcPr>
            <w:tcW w:w="1012" w:type="pct"/>
            <w:vAlign w:val="center"/>
          </w:tcPr>
          <w:p>
            <w:pPr>
              <w:jc w:val="right"/>
              <w:rPr>
                <w:szCs w:val="21"/>
              </w:rPr>
            </w:pPr>
            <w:r>
              <w:rPr>
                <w:rFonts w:hint="eastAsia"/>
                <w:szCs w:val="21"/>
              </w:rPr>
              <w:t>直线法</w:t>
            </w:r>
          </w:p>
        </w:tc>
        <w:tc>
          <w:tcPr>
            <w:tcW w:w="1013" w:type="pct"/>
            <w:vAlign w:val="center"/>
          </w:tcPr>
          <w:p>
            <w:pPr>
              <w:jc w:val="right"/>
              <w:rPr>
                <w:szCs w:val="21"/>
              </w:rPr>
            </w:pPr>
            <w:r>
              <w:rPr>
                <w:szCs w:val="21"/>
              </w:rPr>
              <w:t>10-25</w:t>
            </w:r>
          </w:p>
        </w:tc>
        <w:tc>
          <w:tcPr>
            <w:tcW w:w="1013" w:type="pct"/>
            <w:vAlign w:val="center"/>
          </w:tcPr>
          <w:p>
            <w:pPr>
              <w:jc w:val="right"/>
              <w:rPr>
                <w:szCs w:val="21"/>
              </w:rPr>
            </w:pPr>
            <w:r>
              <w:rPr>
                <w:szCs w:val="21"/>
              </w:rPr>
              <w:t>0</w:t>
            </w:r>
          </w:p>
        </w:tc>
        <w:tc>
          <w:tcPr>
            <w:tcW w:w="1013" w:type="pct"/>
            <w:vAlign w:val="center"/>
          </w:tcPr>
          <w:p>
            <w:pPr>
              <w:jc w:val="right"/>
              <w:rPr>
                <w:szCs w:val="21"/>
              </w:rPr>
            </w:pPr>
            <w:r>
              <w:rPr>
                <w:szCs w:val="21"/>
              </w:rPr>
              <w:t>4.00-10.00</w:t>
            </w:r>
          </w:p>
        </w:tc>
      </w:tr>
      <w:tr>
        <w:tc>
          <w:tcPr>
            <w:tcW w:w="949" w:type="pct"/>
          </w:tcPr>
          <w:p>
            <w:pPr>
              <w:rPr>
                <w:szCs w:val="21"/>
              </w:rPr>
            </w:pPr>
            <w:r>
              <w:rPr>
                <w:rFonts w:hint="eastAsia"/>
                <w:szCs w:val="21"/>
              </w:rPr>
              <w:t>机器设备</w:t>
            </w:r>
          </w:p>
        </w:tc>
        <w:tc>
          <w:tcPr>
            <w:tcW w:w="1012" w:type="pct"/>
            <w:vAlign w:val="center"/>
          </w:tcPr>
          <w:p>
            <w:pPr>
              <w:jc w:val="right"/>
              <w:rPr>
                <w:szCs w:val="21"/>
              </w:rPr>
            </w:pPr>
            <w:r>
              <w:rPr>
                <w:rFonts w:hint="eastAsia"/>
                <w:szCs w:val="21"/>
              </w:rPr>
              <w:t>直线法</w:t>
            </w:r>
          </w:p>
        </w:tc>
        <w:tc>
          <w:tcPr>
            <w:tcW w:w="1013" w:type="pct"/>
            <w:vAlign w:val="center"/>
          </w:tcPr>
          <w:p>
            <w:pPr>
              <w:jc w:val="right"/>
              <w:rPr>
                <w:szCs w:val="21"/>
              </w:rPr>
            </w:pPr>
            <w:r>
              <w:rPr>
                <w:szCs w:val="21"/>
              </w:rPr>
              <w:t>2.5-25</w:t>
            </w:r>
          </w:p>
        </w:tc>
        <w:tc>
          <w:tcPr>
            <w:tcW w:w="1013" w:type="pct"/>
            <w:vAlign w:val="center"/>
          </w:tcPr>
          <w:p>
            <w:pPr>
              <w:jc w:val="right"/>
              <w:rPr>
                <w:szCs w:val="21"/>
              </w:rPr>
            </w:pPr>
            <w:r>
              <w:rPr>
                <w:szCs w:val="21"/>
              </w:rPr>
              <w:t>0</w:t>
            </w:r>
          </w:p>
        </w:tc>
        <w:tc>
          <w:tcPr>
            <w:tcW w:w="1013" w:type="pct"/>
            <w:vAlign w:val="center"/>
          </w:tcPr>
          <w:p>
            <w:pPr>
              <w:jc w:val="right"/>
              <w:rPr>
                <w:szCs w:val="21"/>
              </w:rPr>
            </w:pPr>
            <w:r>
              <w:rPr>
                <w:szCs w:val="21"/>
              </w:rPr>
              <w:t>4.00-40.00</w:t>
            </w:r>
          </w:p>
        </w:tc>
      </w:tr>
      <w:tr>
        <w:tc>
          <w:tcPr>
            <w:tcW w:w="949" w:type="pct"/>
          </w:tcPr>
          <w:p>
            <w:pPr>
              <w:rPr>
                <w:szCs w:val="21"/>
              </w:rPr>
            </w:pPr>
            <w:r>
              <w:rPr>
                <w:rFonts w:hint="eastAsia"/>
                <w:szCs w:val="21"/>
              </w:rPr>
              <w:t>运输设备</w:t>
            </w:r>
          </w:p>
        </w:tc>
        <w:tc>
          <w:tcPr>
            <w:tcW w:w="1012" w:type="pct"/>
            <w:vAlign w:val="center"/>
          </w:tcPr>
          <w:p>
            <w:pPr>
              <w:jc w:val="right"/>
              <w:rPr>
                <w:szCs w:val="21"/>
              </w:rPr>
            </w:pPr>
            <w:r>
              <w:rPr>
                <w:rFonts w:hint="eastAsia"/>
                <w:szCs w:val="21"/>
              </w:rPr>
              <w:t>直线法</w:t>
            </w:r>
          </w:p>
        </w:tc>
        <w:tc>
          <w:tcPr>
            <w:tcW w:w="1013" w:type="pct"/>
            <w:vAlign w:val="center"/>
          </w:tcPr>
          <w:p>
            <w:pPr>
              <w:jc w:val="right"/>
              <w:rPr>
                <w:szCs w:val="21"/>
              </w:rPr>
            </w:pPr>
            <w:r>
              <w:rPr>
                <w:szCs w:val="21"/>
              </w:rPr>
              <w:t>6-18</w:t>
            </w:r>
          </w:p>
        </w:tc>
        <w:tc>
          <w:tcPr>
            <w:tcW w:w="1013" w:type="pct"/>
            <w:vAlign w:val="center"/>
          </w:tcPr>
          <w:p>
            <w:pPr>
              <w:jc w:val="right"/>
              <w:rPr>
                <w:szCs w:val="21"/>
              </w:rPr>
            </w:pPr>
            <w:r>
              <w:rPr>
                <w:rFonts w:hint="eastAsia"/>
                <w:szCs w:val="21"/>
              </w:rPr>
              <w:t>0</w:t>
            </w:r>
          </w:p>
        </w:tc>
        <w:tc>
          <w:tcPr>
            <w:tcW w:w="1013" w:type="pct"/>
            <w:vAlign w:val="center"/>
          </w:tcPr>
          <w:p>
            <w:pPr>
              <w:jc w:val="right"/>
              <w:rPr>
                <w:szCs w:val="21"/>
              </w:rPr>
            </w:pPr>
            <w:r>
              <w:rPr>
                <w:szCs w:val="21"/>
              </w:rPr>
              <w:t>5.56-16.67</w:t>
            </w:r>
          </w:p>
        </w:tc>
      </w:tr>
    </w:tbl>
    <w:p>
      <w:pPr>
        <w:pStyle w:val="affffffffffffffffffffffffffffffffffb"/>
        <w:spacing w:afterLines="50" w:after="120" w:line="360" w:lineRule="exact"/>
        <w:ind w:firstLineChars="200" w:firstLine="420"/>
        <w:rPr>
          <w:rFonts w:hAnsi="宋体"/>
          <w:szCs w:val="21"/>
        </w:rPr>
      </w:pPr>
      <w:r>
        <w:rPr>
          <w:rFonts w:hAnsi="宋体" w:hint="eastAsia"/>
          <w:szCs w:val="21"/>
        </w:rPr>
        <w:t>除本集团之子公司山东兖煤航运有限公司船舶的折旧年限为18年外，其余运输设备的折旧年限均为6至9年。</w:t>
      </w:r>
    </w:p>
    <w:p>
      <w:pPr>
        <w:pStyle w:val="affffffffffffffffffffffffffffffffffb"/>
        <w:spacing w:afterLines="50" w:after="120" w:line="360" w:lineRule="exact"/>
        <w:ind w:firstLineChars="200" w:firstLine="420"/>
        <w:rPr>
          <w:rFonts w:hAnsi="宋体"/>
          <w:szCs w:val="21"/>
        </w:rPr>
      </w:pPr>
      <w:r>
        <w:rPr>
          <w:rFonts w:hAnsi="宋体" w:hint="eastAsia"/>
          <w:szCs w:val="21"/>
        </w:rPr>
        <w:t>土地类固定资产指本集团之澳大利亚子公司拥有的土地，由于拥有永久所有权，所以不计提折旧。</w:t>
      </w:r>
    </w:p>
    <w:p>
      <w:pPr>
        <w:pStyle w:val="affffffffffffffffffffffffffffffffffb"/>
        <w:spacing w:afterLines="50" w:after="120" w:line="360" w:lineRule="exact"/>
        <w:ind w:firstLineChars="200" w:firstLine="420"/>
        <w:rPr>
          <w:rFonts w:hAnsi="宋体"/>
          <w:szCs w:val="21"/>
        </w:rPr>
      </w:pPr>
      <w:r>
        <w:rPr>
          <w:rFonts w:hAnsi="宋体" w:hint="eastAsia"/>
          <w:szCs w:val="21"/>
        </w:rPr>
        <w:t>本集团于每年年度终了，对固定资产的预计使用寿命、预计净残值和折旧方法进行复核，如发生改变，则作为会计估计变更处理。</w:t>
      </w:r>
    </w:p>
    <w:p>
      <w:pPr>
        <w:pStyle w:val="affffffffffffffffffffffffffffffffe"/>
      </w:pPr>
    </w:p>
    <w:p>
      <w:pPr>
        <w:keepNext/>
        <w:keepLines/>
        <w:widowControl w:val="0"/>
        <w:numPr>
          <w:ilvl w:val="0"/>
          <w:numId w:val="94"/>
        </w:numPr>
        <w:spacing w:before="60" w:line="360" w:lineRule="auto"/>
        <w:jc w:val="both"/>
        <w:outlineLvl w:val="2"/>
      </w:pPr>
      <w:r>
        <w:t>在建工程</w:t>
      </w:r>
    </w:p>
    <w:sdt>
      <w:sdtPr>
        <w:rPr>
          <w:rFonts w:hint="eastAsia"/>
          <w:szCs w:val="21"/>
        </w:rPr>
        <w:alias w:val="是否适用：在建工程_重要会计政策和估计[双击切换]"/>
        <w:tag w:val="_GBC_00730441e5ea4f57b3cd3ff1ecc5c1bd"/>
        <w:id w:val="20591341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宋体" w:cs="宋体" w:hint="eastAsia"/>
          <w:kern w:val="0"/>
          <w:szCs w:val="21"/>
        </w:rPr>
        <w:alias w:val="在建工程核算方法"/>
        <w:tag w:val="_GBC_ed79f983df814c58add61776fe84c76e"/>
        <w:id w:val="1799791994"/>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szCs w:val="21"/>
            </w:rPr>
            <w:t>1.</w:t>
          </w:r>
          <w:r>
            <w:rPr>
              <w:rFonts w:hAnsi="宋体" w:hint="eastAsia"/>
            </w:rPr>
            <w:t>在建工程成本按实际工程支出确定，包括在建期间发生的各项必要工程支出、工程达到预定可使用状态前的应予资本化的借款费用以及其他相关费用等。</w:t>
          </w:r>
        </w:p>
        <w:p>
          <w:pPr>
            <w:pStyle w:val="affffffffffffffffffffffffffffffffffb"/>
            <w:spacing w:afterLines="50" w:after="120" w:line="360" w:lineRule="exact"/>
            <w:ind w:firstLineChars="200" w:firstLine="420"/>
            <w:rPr>
              <w:rFonts w:hAnsi="宋体"/>
            </w:rPr>
          </w:pPr>
          <w:r>
            <w:rPr>
              <w:rFonts w:hAnsi="宋体" w:hint="eastAsia"/>
            </w:rPr>
            <w:t>在建工程在达到预定可使用状态之日起，根据工程预算、造价或工程实际成本等，按估计的价值结转固定资产，次月起开始计提折旧，待办理了竣工决算手续后再对固定资产原值差异进行调整。</w:t>
          </w:r>
        </w:p>
        <w:p>
          <w:pPr>
            <w:pStyle w:val="affffffffffffffffffffffffffffffffffb"/>
            <w:spacing w:afterLines="50" w:after="120" w:line="360" w:lineRule="exact"/>
            <w:ind w:firstLineChars="200" w:firstLine="420"/>
            <w:rPr>
              <w:rFonts w:hAnsi="宋体"/>
            </w:rPr>
          </w:pPr>
          <w:r>
            <w:rPr>
              <w:rFonts w:hAnsi="宋体" w:hint="eastAsia"/>
            </w:rPr>
            <w:t>2.资产负债表日，有迹象表明在建工程发生减值的，按照账面价值与可收回金额的差额计提相应的减值准备。</w:t>
          </w:r>
        </w:p>
        <w:p>
          <w:pPr>
            <w:rPr>
              <w:szCs w:val="21"/>
            </w:rPr>
          </w:pPr>
        </w:p>
      </w:sdtContent>
    </w:sdt>
    <w:p>
      <w:pPr>
        <w:rPr>
          <w:szCs w:val="21"/>
        </w:rPr>
      </w:pPr>
    </w:p>
    <w:p>
      <w:pPr>
        <w:keepNext/>
        <w:keepLines/>
        <w:widowControl w:val="0"/>
        <w:numPr>
          <w:ilvl w:val="0"/>
          <w:numId w:val="94"/>
        </w:numPr>
        <w:spacing w:before="60" w:line="360" w:lineRule="auto"/>
        <w:jc w:val="both"/>
        <w:outlineLvl w:val="2"/>
      </w:pPr>
      <w:r>
        <w:t>借款费用</w:t>
      </w:r>
    </w:p>
    <w:sdt>
      <w:sdtPr>
        <w:rPr>
          <w:rFonts w:hint="eastAsia"/>
          <w:szCs w:val="21"/>
        </w:rPr>
        <w:alias w:val="是否适用：借款费用_重要会计政策和估计[双击切换]"/>
        <w:tag w:val="_GBC_84ea3b60fd54474487b81f25f176d989"/>
        <w:id w:val="-166955362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cs="Times New Roman" w:hint="eastAsia"/>
          <w:szCs w:val="21"/>
          <w14:ligatures w14:val="none"/>
        </w:rPr>
        <w:alias w:val="借款费用的会计处理方法"/>
        <w:tag w:val="_GBC_2101c32d32c64f39a8b8fcd2b72dbb0a"/>
        <w:id w:val="-746270157"/>
        <w:placeholder>
          <w:docPart w:val="GBC22222222222222222222222222222"/>
        </w:placeholder>
      </w:sdtPr>
      <w:sdtContent>
        <w:p>
          <w:pPr>
            <w:pStyle w:val="afffa"/>
            <w:numPr>
              <w:ilvl w:val="0"/>
              <w:numId w:val="0"/>
            </w:numPr>
            <w:ind w:left="420" w:hanging="420"/>
          </w:pPr>
          <w:r>
            <w:rPr>
              <w:szCs w:val="21"/>
            </w:rPr>
            <w:t>1.</w:t>
          </w:r>
          <w:r>
            <w:rPr>
              <w:rFonts w:hint="eastAsia"/>
            </w:rPr>
            <w:t>借款费用资本化的确认原则</w:t>
          </w:r>
        </w:p>
        <w:p>
          <w:pPr>
            <w:pStyle w:val="affffffffffffffffffffffffffffffffffb"/>
            <w:spacing w:afterLines="50" w:after="120" w:line="360" w:lineRule="exact"/>
            <w:ind w:firstLineChars="200" w:firstLine="420"/>
            <w:rPr>
              <w:rFonts w:hAnsi="宋体"/>
            </w:rPr>
          </w:pPr>
          <w:r>
            <w:rPr>
              <w:rFonts w:hAnsi="宋体" w:hint="eastAsia"/>
            </w:rPr>
            <w:lastRenderedPageBreak/>
            <w:t>本集团将发生的可直接归属于符合资本化条件的资产的构建或者生产的借款费用予以资本化，计入相关资产成本，其他借款费用计入当期损益。</w:t>
          </w:r>
        </w:p>
        <w:p>
          <w:pPr>
            <w:pStyle w:val="afffa"/>
            <w:numPr>
              <w:ilvl w:val="0"/>
              <w:numId w:val="0"/>
            </w:numPr>
            <w:ind w:left="420" w:hanging="420"/>
          </w:pPr>
          <w:r>
            <w:t>2.</w:t>
          </w:r>
          <w:r>
            <w:rPr>
              <w:rFonts w:hint="eastAsia"/>
            </w:rPr>
            <w:t>借款费用资本化期间</w:t>
          </w:r>
        </w:p>
        <w:p>
          <w:pPr>
            <w:pStyle w:val="affffffffffffffffffffffffffffffffffb"/>
            <w:spacing w:afterLines="50" w:after="120" w:line="360" w:lineRule="exact"/>
            <w:ind w:firstLineChars="200" w:firstLine="420"/>
            <w:rPr>
              <w:rFonts w:hAnsi="宋体"/>
            </w:rPr>
          </w:pPr>
          <w:r>
            <w:rPr>
              <w:rFonts w:hAnsi="宋体" w:hint="eastAsia"/>
            </w:rPr>
            <w:t>本集团确定的符合资本化条件的资产包括需要经过1年以上的购建或者生产活动才能达到预定可使用或者可销售状态的固定资产、投资性房地产和存货等的借款费用，在资产支出已经发生、借款费用已经发生、为使资产达到预定可使用或可销售状态所必要的购建或生产活动已经开始时，开始资本化；当购建或生产符合资本化条件的资产达到预定可使用或可销售状态时，停止资本化，其后发生的借款费用计入当期损益。如果符合资本化条件的资产在购建或者生产过程中发生非正常中断、且中断时间连续超过3个月，暂停借款费用的资本化，直至资产的购建或生产活动重新开始。</w:t>
          </w:r>
        </w:p>
        <w:p>
          <w:pPr>
            <w:pStyle w:val="afffa"/>
            <w:numPr>
              <w:ilvl w:val="0"/>
              <w:numId w:val="0"/>
            </w:numPr>
          </w:pPr>
          <w:r>
            <w:rPr>
              <w:rFonts w:hint="eastAsia"/>
            </w:rPr>
            <w:t>3</w:t>
          </w:r>
          <w:r>
            <w:t>.</w:t>
          </w:r>
          <w:r>
            <w:rPr>
              <w:rFonts w:hint="eastAsia"/>
            </w:rPr>
            <w:t>借款费用资本化金额</w:t>
          </w:r>
        </w:p>
        <w:p>
          <w:pPr>
            <w:pStyle w:val="affffffffffffffffffffffffffffffffffb"/>
            <w:spacing w:afterLines="50" w:after="120" w:line="360" w:lineRule="exact"/>
            <w:ind w:firstLineChars="200" w:firstLine="420"/>
            <w:rPr>
              <w:rFonts w:hAnsi="宋体"/>
            </w:rPr>
          </w:pPr>
          <w:r>
            <w:rPr>
              <w:rFonts w:hAnsi="宋体" w:hint="eastAsia"/>
            </w:rPr>
            <w:t>在资本化期间内的每一会计期间，本集团按照以下方法确认借款费用的资本化金额：借入专门借款的，按照当期实际发生的利息费用，扣除尚未动用的借款资金存入银行取得的利息收入或进行暂时性投资取得的投资收益后的金额确定；占用一般借款的，根据累计资产支出超过专门借款部分的资产支出加权平均数乘以所占用一般借款的资本化率确定，其中资本化率根据一般借款加权平均利率计算确定。</w:t>
          </w:r>
        </w:p>
      </w:sdtContent>
    </w:sdt>
    <w:p>
      <w:pPr>
        <w:rPr>
          <w:szCs w:val="21"/>
        </w:rPr>
      </w:pPr>
    </w:p>
    <w:p>
      <w:pPr>
        <w:keepNext/>
        <w:keepLines/>
        <w:widowControl w:val="0"/>
        <w:numPr>
          <w:ilvl w:val="0"/>
          <w:numId w:val="94"/>
        </w:numPr>
        <w:spacing w:before="60" w:line="360" w:lineRule="auto"/>
        <w:jc w:val="both"/>
        <w:outlineLvl w:val="2"/>
      </w:pPr>
      <w:r>
        <w:t>生物资产</w:t>
      </w:r>
    </w:p>
    <w:sdt>
      <w:sdtPr>
        <w:rPr>
          <w:rFonts w:hint="eastAsia"/>
          <w:szCs w:val="21"/>
        </w:rPr>
        <w:alias w:val="是否适用：生物资产_重要会计政策和估计[双击切换]"/>
        <w:tag w:val="_GBC_f511e8d0a6dc417eb1d10eeecb5b05a5"/>
        <w:id w:val="1359552228"/>
        <w:placeholder>
          <w:docPart w:val="GBC22222222222222222222222222222"/>
        </w:placeholder>
      </w:sdtPr>
      <w:sdtContent>
        <w:p>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94"/>
        </w:numPr>
        <w:spacing w:before="60" w:line="360" w:lineRule="auto"/>
        <w:jc w:val="both"/>
        <w:outlineLvl w:val="2"/>
      </w:pPr>
      <w:r>
        <w:t>油气资产</w:t>
      </w:r>
    </w:p>
    <w:sdt>
      <w:sdtPr>
        <w:rPr>
          <w:rFonts w:hint="eastAsia"/>
          <w:szCs w:val="21"/>
        </w:rPr>
        <w:alias w:val="是否适用：油气资产_重要会计政策和估计[双击切换]"/>
        <w:tag w:val="_GBC_fb60dd1d8d2346fb9b2e461875c070c9"/>
        <w:id w:val="1709914558"/>
        <w:placeholder>
          <w:docPart w:val="GBC22222222222222222222222222222"/>
        </w:placeholder>
      </w:sdtPr>
      <w:sdtContent>
        <w:p>
          <w:pPr>
            <w:rPr>
              <w:rFonts w:cs="Times New Roman"/>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94"/>
        </w:numPr>
        <w:spacing w:before="60" w:line="360" w:lineRule="auto"/>
        <w:jc w:val="both"/>
        <w:outlineLvl w:val="2"/>
      </w:pPr>
      <w:r>
        <w:t>无形资产</w:t>
      </w:r>
    </w:p>
    <w:p>
      <w:pPr>
        <w:pStyle w:val="afffffffffffffffffffffffffffffffff1"/>
        <w:numPr>
          <w:ilvl w:val="3"/>
          <w:numId w:val="158"/>
        </w:numPr>
        <w:ind w:left="426" w:hanging="426"/>
        <w:rPr>
          <w:rStyle w:val="afffffffffffffffffffffffffffffffffc"/>
          <w:szCs w:val="28"/>
        </w:rPr>
      </w:pPr>
      <w:r>
        <w:rPr>
          <w:rFonts w:hint="eastAsia"/>
        </w:rPr>
        <w:t>使用寿命及其确定依据、估计情况、摊销方法</w:t>
      </w:r>
      <w:r>
        <w:rPr>
          <w:rStyle w:val="afffffffffffffffffffffffffffffffffc"/>
          <w:rFonts w:hint="eastAsia"/>
        </w:rPr>
        <w:t>或复核程序</w:t>
      </w:r>
    </w:p>
    <w:sdt>
      <w:sdtPr>
        <w:alias w:val="是否适用：无形资产计价方法、使用寿命、减值测试[双击切换]"/>
        <w:tag w:val="_GBC_40df8c87b47d48bbbf73a71cc533a892"/>
        <w:id w:val="195521603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计价方法、使用寿命、减值测试"/>
        <w:tag w:val="_GBC_a9e64b18f452482eb6674ec605618dcc"/>
        <w:id w:val="-1525944023"/>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无形资产包括采矿权、未探明矿区权益、土地使用权、水资源使用权、专利和专有技术、计算机软件和产能置换支出等，按取得时的实际成本计量，其中，购入的无形资产，按实际支付的价款和相关的其他支出作为实际成本；投资者投入的无形资产，按投资合同或协议约定的价值确定实际成本，但合同或协议约定价值不公允的，按公允价值确定实际成本。对非同一控制下合并中取得被购买方拥有的但在其财务报表中未确认的无形资产，在进行初始确认时，按公允价值确认计量。</w:t>
          </w:r>
        </w:p>
        <w:p>
          <w:pPr>
            <w:pStyle w:val="affffffffffffffffffffffffffffffffffb"/>
            <w:spacing w:afterLines="50" w:after="120" w:line="360" w:lineRule="exact"/>
            <w:ind w:firstLineChars="200" w:firstLine="420"/>
            <w:rPr>
              <w:rFonts w:hAnsi="宋体"/>
            </w:rPr>
          </w:pPr>
          <w:r>
            <w:rPr>
              <w:rFonts w:hAnsi="宋体" w:hint="eastAsia"/>
            </w:rPr>
            <w:t>（1）使用寿命及其确定依据、估计情况、摊销方法或复核程序</w:t>
          </w:r>
        </w:p>
        <w:p>
          <w:pPr>
            <w:pStyle w:val="affffffffffffffffffffffffffffffffffb"/>
            <w:spacing w:afterLines="50" w:after="120" w:line="360" w:lineRule="exact"/>
            <w:ind w:firstLineChars="200" w:firstLine="420"/>
            <w:rPr>
              <w:rFonts w:hAnsi="宋体"/>
            </w:rPr>
          </w:pPr>
          <w:r>
            <w:rPr>
              <w:rFonts w:hAnsi="宋体" w:hint="eastAsia"/>
            </w:rPr>
            <w:t>采矿权成本根据已探明及推定煤炭储量以采矿权在矿山服务年限内已探明及推定煤炭总储量为基础采用产量法进行摊销。若为本集团之澳大利亚子公司，则以澳大利亚联合矿石储备委员会（「JORC」）煤炭储量为基础采用产量法进行摊销。</w:t>
          </w:r>
        </w:p>
        <w:p>
          <w:pPr>
            <w:pStyle w:val="affffffffffffffffffffffffffffffffffb"/>
            <w:spacing w:afterLines="50" w:after="120" w:line="360" w:lineRule="exact"/>
            <w:ind w:firstLineChars="200" w:firstLine="420"/>
            <w:rPr>
              <w:rFonts w:hAnsi="宋体"/>
            </w:rPr>
          </w:pPr>
          <w:r>
            <w:rPr>
              <w:rFonts w:hAnsi="宋体" w:hint="eastAsia"/>
            </w:rPr>
            <w:lastRenderedPageBreak/>
            <w:t>未探明矿区权益是矿区经勘探评价活动后估计其潜在经济可采储量（不包括采矿权中已探明及推定煤矿总储量的部分，即不包括上述的煤炭储量）的价值（参见本附注“五、（二十八）勘探及评价支出”）。</w:t>
          </w:r>
        </w:p>
        <w:p>
          <w:pPr>
            <w:pStyle w:val="affffffffffffffffffffffffffffffffffb"/>
            <w:spacing w:afterLines="50" w:after="120" w:line="360" w:lineRule="exact"/>
            <w:ind w:firstLineChars="200" w:firstLine="420"/>
            <w:rPr>
              <w:rFonts w:hAnsi="宋体"/>
            </w:rPr>
          </w:pPr>
          <w:r>
            <w:rPr>
              <w:rFonts w:hAnsi="宋体" w:hint="eastAsia"/>
            </w:rPr>
            <w:t>土地使用权从出让起始日起，按其出让年限平均摊销。</w:t>
          </w:r>
        </w:p>
        <w:p>
          <w:pPr>
            <w:pStyle w:val="affffffffffffffffffffffffffffffffffb"/>
            <w:spacing w:afterLines="50" w:after="120" w:line="360" w:lineRule="exact"/>
            <w:ind w:firstLineChars="200" w:firstLine="420"/>
            <w:rPr>
              <w:rFonts w:hAnsi="宋体"/>
            </w:rPr>
          </w:pPr>
          <w:r>
            <w:rPr>
              <w:rFonts w:hAnsi="宋体" w:hint="eastAsia"/>
            </w:rPr>
            <w:t>使用寿命有限的专利技术、非专利技术和其他无形资产按预计使用年限、合同规定的受益年限和法律规定的有效年限三者中最短者分期平均摊销。摊销金额按其受益对象计入相关资产成本和当期损益。使用寿命不确定的专利技术、非专利技术和其他无形资产不摊销，于每期末进行减值测试。</w:t>
          </w:r>
        </w:p>
        <w:p>
          <w:pPr>
            <w:pStyle w:val="affffffffffffffffffffffffffffffffffb"/>
            <w:spacing w:afterLines="50" w:after="120" w:line="360" w:lineRule="exact"/>
            <w:ind w:firstLineChars="200" w:firstLine="420"/>
            <w:rPr>
              <w:rFonts w:hAnsi="宋体"/>
            </w:rPr>
          </w:pPr>
          <w:r>
            <w:rPr>
              <w:rFonts w:hAnsi="宋体" w:hint="eastAsia"/>
            </w:rPr>
            <w:t>根据国家发改委《关于实施减量置换严控煤炭新增产能有关事项的通知》（发改能源〔2016〕1602号）、《关于做好建设煤矿产能减量置换有关工作的补充通知》（发改能源〔2016〕1897号）和《关于进一步加快建设产能置换工作的通知》（发改能源〔2017〕609号）文件的规定，本集团新建煤矿、核增产能等均进行产能置换指标交易，产能置换支出按照采矿权证剩余年限平均摊销。</w:t>
          </w:r>
        </w:p>
        <w:p>
          <w:pPr>
            <w:pStyle w:val="affffffffffffffffffffffffffffffffffb"/>
            <w:spacing w:afterLines="50" w:after="120" w:line="360" w:lineRule="exact"/>
            <w:ind w:firstLineChars="200" w:firstLine="420"/>
            <w:rPr>
              <w:rFonts w:hAnsi="宋体"/>
            </w:rPr>
          </w:pPr>
          <w:r>
            <w:rPr>
              <w:rFonts w:hAnsi="宋体" w:hint="eastAsia"/>
            </w:rPr>
            <w:t>对使用寿命有限的无形资产的预计使用寿命及摊销方法于每年年度终了进行复核，如发生改变，则作为会计估计变更处理。于每个会计期间，对使用寿命不确定的无形资产的预计使用寿命进行复核，如有证据表明无形资产的使用寿命是有限的，则估计其使用寿命并在预计使用寿命内摊销。</w:t>
          </w:r>
        </w:p>
        <w:p>
          <w:pPr>
            <w:pStyle w:val="affffffffffffff6"/>
            <w:spacing w:afterLines="50" w:after="120" w:line="360" w:lineRule="exact"/>
            <w:ind w:firstLineChars="200" w:firstLine="420"/>
            <w:rPr>
              <w:rFonts w:hAnsi="宋体"/>
            </w:rPr>
          </w:pPr>
          <w:r>
            <w:rPr>
              <w:rFonts w:hAnsi="宋体" w:hint="eastAsia"/>
            </w:rPr>
            <w:t>（2）.研发支出的归集范围及相关会计处理方法</w:t>
          </w:r>
        </w:p>
        <w:p>
          <w:pPr>
            <w:pStyle w:val="affffffffffffff6"/>
            <w:spacing w:afterLines="50" w:after="120" w:line="360" w:lineRule="exact"/>
            <w:ind w:firstLineChars="300" w:firstLine="630"/>
            <w:rPr>
              <w:rFonts w:hAnsi="宋体"/>
            </w:rPr>
          </w:pPr>
          <w:r>
            <w:rPr>
              <w:rFonts w:hAnsi="宋体" w:hint="eastAsia"/>
            </w:rPr>
            <w:t>1）研发支出的归集范围</w:t>
          </w:r>
        </w:p>
        <w:p>
          <w:pPr>
            <w:pStyle w:val="affffffffffffff6"/>
            <w:spacing w:afterLines="50" w:after="120" w:line="360" w:lineRule="exact"/>
            <w:ind w:firstLineChars="200" w:firstLine="420"/>
            <w:rPr>
              <w:rFonts w:hAnsi="宋体"/>
            </w:rPr>
          </w:pPr>
          <w:r>
            <w:rPr>
              <w:rFonts w:hAnsi="宋体" w:hint="eastAsia"/>
            </w:rPr>
            <w:t>本集团内部研究开发项目的支出分为研究阶段支出与开发阶段支出。</w:t>
          </w:r>
        </w:p>
        <w:p>
          <w:pPr>
            <w:pStyle w:val="affffffffffffff6"/>
            <w:spacing w:afterLines="50" w:after="120" w:line="360" w:lineRule="exact"/>
            <w:ind w:firstLineChars="300" w:firstLine="630"/>
            <w:rPr>
              <w:rFonts w:hAnsi="宋体"/>
            </w:rPr>
          </w:pPr>
          <w:r>
            <w:rPr>
              <w:rFonts w:hAnsi="宋体" w:hint="eastAsia"/>
            </w:rPr>
            <w:t>2）研发支出相关会计处理方法</w:t>
          </w:r>
        </w:p>
        <w:p>
          <w:pPr>
            <w:pStyle w:val="affffffffffffff6"/>
            <w:spacing w:afterLines="50" w:after="120" w:line="360" w:lineRule="exact"/>
            <w:ind w:firstLineChars="200" w:firstLine="420"/>
            <w:rPr>
              <w:rFonts w:hAnsi="宋体"/>
            </w:rPr>
          </w:pPr>
          <w:r>
            <w:rPr>
              <w:rFonts w:hAnsi="宋体" w:hint="eastAsia"/>
            </w:rPr>
            <w:t>研究阶段的支出，于发生时计入当期损益。开发阶段的支出同时满足下列条件的，确认为无形资产，不能满足下述条件的开发阶段的支出计入当期损益：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能够证明其有用性；4)有足够的技术、财务资源和其他资源支持，以完成该无形资产的开发，并有能力使用或出售该无形资产；5)归属于该无形资产开发阶段的支出能够可靠地计量。无法区分研究阶段支出和开发阶段支出的，将发生的研发支出全部计入当期损益</w:t>
          </w:r>
        </w:p>
        <w:p>
          <w:pPr>
            <w:pStyle w:val="affffffffffffffffffffffffffffffffffb"/>
            <w:spacing w:afterLines="50" w:after="120" w:line="360" w:lineRule="exact"/>
            <w:ind w:firstLineChars="200" w:firstLine="420"/>
            <w:rPr>
              <w:rFonts w:hAnsi="宋体"/>
            </w:rPr>
          </w:pPr>
        </w:p>
      </w:sdtContent>
    </w:sdt>
    <w:p>
      <w:pPr>
        <w:rPr>
          <w:szCs w:val="21"/>
        </w:rPr>
      </w:pPr>
    </w:p>
    <w:p>
      <w:pPr>
        <w:pStyle w:val="afffffffffffffffffffffffffffffffff1"/>
        <w:numPr>
          <w:ilvl w:val="3"/>
          <w:numId w:val="158"/>
        </w:numPr>
        <w:ind w:left="426" w:hanging="426"/>
      </w:pPr>
      <w:r>
        <w:rPr>
          <w:rFonts w:hint="eastAsia"/>
        </w:rPr>
        <w:t>研发支出的归集范围及相关会计处理方法</w:t>
      </w:r>
    </w:p>
    <w:sdt>
      <w:sdtPr>
        <w:alias w:val="是否适用：无形资产内部研究开发支出会计政策[双击切换]"/>
        <w:tag w:val="_GBC_8f6b939ea36a42808f60b7c024994f2b"/>
        <w:id w:val="78763027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1316534729"/>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（1）研发支出的归集范围</w:t>
          </w:r>
        </w:p>
        <w:p>
          <w:pPr>
            <w:pStyle w:val="affffffffffffffffffffffffffffffffffb"/>
            <w:spacing w:afterLines="50" w:after="120" w:line="360" w:lineRule="exact"/>
            <w:ind w:firstLineChars="200" w:firstLine="420"/>
            <w:rPr>
              <w:rFonts w:hAnsi="宋体"/>
            </w:rPr>
          </w:pPr>
          <w:r>
            <w:rPr>
              <w:rFonts w:hAnsi="宋体" w:hint="eastAsia"/>
            </w:rPr>
            <w:t>本集团内部研究开发项目的支出分为研究阶段支出与开发阶段支出。</w:t>
          </w:r>
        </w:p>
        <w:p>
          <w:pPr>
            <w:pStyle w:val="affffffffffffffffffffffffffffffffffb"/>
            <w:spacing w:afterLines="50" w:after="120" w:line="360" w:lineRule="exact"/>
            <w:ind w:firstLineChars="200" w:firstLine="420"/>
            <w:rPr>
              <w:rFonts w:hAnsi="宋体"/>
            </w:rPr>
          </w:pPr>
          <w:r>
            <w:rPr>
              <w:rFonts w:hAnsi="宋体" w:hint="eastAsia"/>
            </w:rPr>
            <w:t>（2）研发支出相关会计处理方法</w:t>
          </w:r>
        </w:p>
        <w:p>
          <w:pPr>
            <w:pStyle w:val="affffffffffffffffffffffffffffffffffb"/>
            <w:spacing w:afterLines="50" w:after="120" w:line="360" w:lineRule="exact"/>
            <w:ind w:firstLineChars="200" w:firstLine="420"/>
            <w:rPr>
              <w:rFonts w:hAnsi="宋体"/>
            </w:rPr>
          </w:pPr>
          <w:r>
            <w:rPr>
              <w:rFonts w:hAnsi="宋体" w:hint="eastAsia"/>
            </w:rPr>
            <w:lastRenderedPageBreak/>
            <w:t>研究阶段的支出，于发生时计入当期损益。开发阶段的支出同时满足下列条件的，确认为无形资产，不能满足下述条件的开发阶段的支出计入当期损益：1)完成该无形资产以使其能够使用或出售在技术上具有可行性；2)具有完成该无形资产并使用或出售的意图；3)无形资产产生经济利益的方式，包括能够证明运用该无形资产生产的产品存在市场或无形资产自身存在市场，无形资产将在内部使用的，能够证明其有用性；4)有足够的技术、财务资源和其他资源支持，以完成该无形资产的开发，并有能力使用或出售该无形资产；5)归属于该无形资产开发阶段的支出能够可靠地计量。无法区分研究阶段支出和开发阶段支出的，将发生的研发支出全部计入当期损益。</w:t>
          </w:r>
        </w:p>
      </w:sdtContent>
    </w:sdt>
    <w:p>
      <w:pPr>
        <w:pStyle w:val="affffffffffffffffffffffffffffffffe"/>
      </w:pPr>
    </w:p>
    <w:p>
      <w:pPr>
        <w:keepNext/>
        <w:keepLines/>
        <w:widowControl w:val="0"/>
        <w:numPr>
          <w:ilvl w:val="0"/>
          <w:numId w:val="94"/>
        </w:numPr>
        <w:spacing w:before="60" w:line="360" w:lineRule="auto"/>
        <w:jc w:val="both"/>
        <w:outlineLvl w:val="2"/>
      </w:pPr>
      <w:r>
        <w:rPr>
          <w:rFonts w:hint="eastAsia"/>
        </w:rPr>
        <w:t>勘探及评价支出</w:t>
      </w:r>
    </w:p>
    <w:p>
      <w:pPr>
        <w:pStyle w:val="affffffffffffffffffffffffffffffffffb"/>
        <w:spacing w:afterLines="50" w:after="120" w:line="360" w:lineRule="exact"/>
        <w:ind w:firstLineChars="200" w:firstLine="420"/>
        <w:rPr>
          <w:rFonts w:hAnsi="宋体"/>
        </w:rPr>
      </w:pPr>
      <w:r>
        <w:rPr>
          <w:rFonts w:hint="eastAsia"/>
        </w:rPr>
        <w:t xml:space="preserve"> </w:t>
      </w:r>
      <w:r>
        <w:rPr>
          <w:rFonts w:hAnsi="宋体" w:hint="eastAsia"/>
        </w:rPr>
        <w:t>发生的勘探和评价支出按单一矿区可独立辨认的收益区域归集。只有当满足以下条件时，勘探和评价支出才会资本化或暂时资本化：受益区域的开采权是现时的并且可以通过成功开发和商业利用或出售该受益区域收回成本；或受益区域的开发尚未达到可判断是否存在可开采储量且与开采相关的重要工作尚在进行中。</w:t>
      </w:r>
    </w:p>
    <w:p>
      <w:pPr>
        <w:pStyle w:val="affffffffffffffffffffffffffffffffffb"/>
        <w:spacing w:afterLines="50" w:after="120" w:line="360" w:lineRule="exact"/>
        <w:ind w:firstLineChars="200" w:firstLine="420"/>
        <w:rPr>
          <w:rFonts w:hAnsi="宋体"/>
        </w:rPr>
      </w:pPr>
      <w:r>
        <w:rPr>
          <w:rFonts w:hAnsi="宋体" w:hint="eastAsia"/>
        </w:rPr>
        <w:t>对各受益区域的支出进行定期审核以确定继续资本化该等支出的恰当性。废弃区域的累计支出在决定废弃的期间予以全部冲销。当有证据或者环境显示该项资产的账面价值可能超过可收回金额，需要评价勘探和评价支出的账面金额是否存在减值。</w:t>
      </w:r>
    </w:p>
    <w:p>
      <w:pPr>
        <w:pStyle w:val="affffffffffffffffffffffffffffffffffb"/>
        <w:spacing w:afterLines="50" w:after="120" w:line="360" w:lineRule="exact"/>
        <w:ind w:firstLineChars="200" w:firstLine="420"/>
        <w:rPr>
          <w:rFonts w:hAnsi="宋体"/>
        </w:rPr>
      </w:pPr>
      <w:r>
        <w:rPr>
          <w:rFonts w:hAnsi="宋体" w:hint="eastAsia"/>
        </w:rPr>
        <w:t>当生产开始时，相关区域的累计支出按照经济可开采储量的耗用率在该区域的服务年限内摊销。</w:t>
      </w:r>
    </w:p>
    <w:p>
      <w:pPr>
        <w:pStyle w:val="affffffffffffffffffffffffffffffffffb"/>
        <w:spacing w:afterLines="50" w:after="120" w:line="360" w:lineRule="exact"/>
        <w:ind w:firstLineChars="200" w:firstLine="420"/>
        <w:rPr>
          <w:rFonts w:hAnsi="宋体"/>
        </w:rPr>
      </w:pPr>
      <w:r>
        <w:rPr>
          <w:rFonts w:hAnsi="宋体" w:hint="eastAsia"/>
        </w:rPr>
        <w:t>于企业合并中取得的勘探和评价资产，以其于收购日的公允价值确认，即于收购日其潜在经济可采储量的公允价值，以未探明矿区权益列示。</w:t>
      </w:r>
    </w:p>
    <w:p>
      <w:pPr>
        <w:pStyle w:val="affffffffffffffffffffffffffffffffffb"/>
        <w:spacing w:afterLines="50" w:after="120" w:line="360" w:lineRule="exact"/>
        <w:ind w:firstLineChars="200" w:firstLine="420"/>
        <w:rPr>
          <w:rFonts w:hAnsi="宋体"/>
        </w:rPr>
      </w:pPr>
      <w:r>
        <w:rPr>
          <w:rFonts w:hAnsi="宋体" w:hint="eastAsia"/>
        </w:rPr>
        <w:t>勘探及评价资产根据资产性质被列为固定资产（参见本附注“五、（二十二）固定资产”）、在建工程（参见本附注“五、（二十三）在建工程”）或无形资产（参见本附注“五、（二十七）无形资产”）</w:t>
      </w:r>
    </w:p>
    <w:p>
      <w:pPr>
        <w:pStyle w:val="affffffffffffffffff3"/>
      </w:pPr>
    </w:p>
    <w:p>
      <w:pPr>
        <w:keepNext/>
        <w:keepLines/>
        <w:widowControl w:val="0"/>
        <w:numPr>
          <w:ilvl w:val="0"/>
          <w:numId w:val="94"/>
        </w:numPr>
        <w:spacing w:before="60" w:line="360" w:lineRule="auto"/>
        <w:jc w:val="both"/>
        <w:outlineLvl w:val="2"/>
        <w:rPr>
          <w:szCs w:val="21"/>
        </w:rPr>
      </w:pPr>
      <w:r>
        <w:rPr>
          <w:rFonts w:hint="eastAsia"/>
          <w:szCs w:val="21"/>
        </w:rPr>
        <w:t>长期</w:t>
      </w:r>
      <w:r>
        <w:rPr>
          <w:rFonts w:hint="eastAsia"/>
        </w:rPr>
        <w:t>资产</w:t>
      </w:r>
      <w:r>
        <w:rPr>
          <w:rFonts w:hint="eastAsia"/>
          <w:szCs w:val="21"/>
        </w:rPr>
        <w:t>减值</w:t>
      </w:r>
    </w:p>
    <w:sdt>
      <w:sdtPr>
        <w:rPr>
          <w:rFonts w:hint="eastAsia"/>
          <w:szCs w:val="21"/>
        </w:rPr>
        <w:alias w:val="是否适用：长期资产减值_重要会计政策和估计[双击切换]"/>
        <w:tag w:val="_GBC_e9110d6af45c4c0d808e2f284fadf642"/>
        <w:id w:val="-93952782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非金融长期资产减值测试方法及会计处理方法"/>
        <w:tag w:val="_GBC_0a065c1269a846f6923598a2c1fc4269"/>
        <w:id w:val="809834171"/>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于每一资产负债表日对长期股权投资、固定资产、在建工程、使用权资产、使用寿命有限的无形资产等项目进行检查，当存在减值迹象时，本集团进行减值测试。对商誉、使用寿命不确定的无形资产、尚未达到预定可使用状态的开发支出无论是否存在减值迹象，每年末均进行减值测试。</w:t>
          </w:r>
        </w:p>
        <w:p>
          <w:pPr>
            <w:pStyle w:val="affffffffffffffffffffffffffffffffffb"/>
            <w:spacing w:afterLines="50" w:after="120" w:line="360" w:lineRule="exact"/>
            <w:ind w:firstLineChars="200" w:firstLine="420"/>
            <w:rPr>
              <w:rFonts w:hAnsi="宋体"/>
            </w:rPr>
          </w:pPr>
          <w:r>
            <w:rPr>
              <w:rFonts w:hAnsi="宋体" w:hint="eastAsia"/>
            </w:rPr>
            <w:t>1</w:t>
          </w:r>
          <w:r>
            <w:rPr>
              <w:rFonts w:hAnsi="宋体"/>
            </w:rPr>
            <w:t xml:space="preserve">. </w:t>
          </w:r>
          <w:r>
            <w:rPr>
              <w:rFonts w:hAnsi="宋体" w:hint="eastAsia"/>
            </w:rPr>
            <w:t>除金融资产之外的非流动资产减值（除商誉外）</w:t>
          </w:r>
        </w:p>
        <w:p>
          <w:pPr>
            <w:pStyle w:val="affffffffffffffffffffffffffffffffffb"/>
            <w:spacing w:afterLines="50" w:after="120" w:line="360" w:lineRule="exact"/>
            <w:ind w:firstLineChars="200" w:firstLine="420"/>
            <w:rPr>
              <w:rFonts w:hAnsi="宋体"/>
            </w:rPr>
          </w:pPr>
          <w:r>
            <w:rPr>
              <w:rFonts w:hAnsi="宋体" w:hint="eastAsia"/>
            </w:rPr>
            <w:t>本集团在进行减值测试时，按照资产的公允价值减去处置费用后的净额与资产预计未来现金流量的现值两者之间的较高者确定其可收回金额。减值测试后，若该资产的账面价值超过其可收回金额，其差额确认为减值损失。</w:t>
          </w:r>
        </w:p>
        <w:p>
          <w:pPr>
            <w:pStyle w:val="affffffffffffffffffffffffffffffffffb"/>
            <w:spacing w:afterLines="50" w:after="120" w:line="360" w:lineRule="exact"/>
            <w:ind w:firstLineChars="200" w:firstLine="420"/>
            <w:rPr>
              <w:rFonts w:hAnsi="宋体"/>
            </w:rPr>
          </w:pPr>
          <w:r>
            <w:rPr>
              <w:rFonts w:hAnsi="宋体" w:hint="eastAsia"/>
            </w:rPr>
            <w:t>本集团以单项资产为基础估计其可回收金额，难以对单项资产的可回收金额进行估计的，以</w:t>
          </w:r>
          <w:r>
            <w:rPr>
              <w:rFonts w:hAnsi="宋体" w:hint="eastAsia"/>
            </w:rPr>
            <w:lastRenderedPageBreak/>
            <w:t>该资产所属资产组为基础确定资产组的可回收金额。资产组的认定，以资产组产生的主要现金流入是否独立于其他资产或者资产组的现金流入为依据。</w:t>
          </w:r>
        </w:p>
        <w:p>
          <w:pPr>
            <w:pStyle w:val="affffffffffffffffffffffffffffffffffb"/>
            <w:spacing w:afterLines="50" w:after="120" w:line="360" w:lineRule="exact"/>
            <w:ind w:firstLineChars="200" w:firstLine="420"/>
            <w:rPr>
              <w:rFonts w:hAnsi="宋体"/>
            </w:rPr>
          </w:pPr>
          <w:r>
            <w:rPr>
              <w:rFonts w:hAnsi="宋体" w:hint="eastAsia"/>
            </w:rPr>
            <w:t>公允价值减去处置费用后的净额，参考公平交易中类似资产的销售协议价格或可观察到的市场价格，减去可直接归属于该资产处置的增量成本确定。预计未来现金流量现值时，管理层必须估计该项资产或资产组的预计未来现金流量，并选择恰当的折现率确定未来现金流量的现值。</w:t>
          </w:r>
        </w:p>
        <w:p>
          <w:pPr>
            <w:pStyle w:val="affffffffffffffffffffffffffffffffffb"/>
            <w:spacing w:afterLines="50" w:after="120" w:line="360" w:lineRule="exact"/>
            <w:ind w:firstLineChars="200" w:firstLine="420"/>
            <w:rPr>
              <w:rFonts w:hAnsi="宋体"/>
            </w:rPr>
          </w:pPr>
          <w:r>
            <w:rPr>
              <w:rFonts w:hAnsi="宋体" w:hint="eastAsia"/>
            </w:rPr>
            <w:t>2</w:t>
          </w:r>
          <w:r>
            <w:rPr>
              <w:rFonts w:hAnsi="宋体"/>
            </w:rPr>
            <w:t>.</w:t>
          </w:r>
          <w:r>
            <w:rPr>
              <w:rFonts w:hAnsi="宋体" w:hint="eastAsia"/>
            </w:rPr>
            <w:t>商誉减值</w:t>
          </w:r>
        </w:p>
        <w:p>
          <w:pPr>
            <w:pStyle w:val="affffffffffffffffffffffffffffffffffb"/>
            <w:spacing w:afterLines="50" w:after="120" w:line="360" w:lineRule="exact"/>
            <w:ind w:firstLineChars="200" w:firstLine="420"/>
            <w:rPr>
              <w:rFonts w:hAnsi="宋体"/>
            </w:rPr>
          </w:pPr>
          <w:r>
            <w:rPr>
              <w:rFonts w:hAnsi="宋体" w:hint="eastAsia"/>
            </w:rPr>
            <w:t>本集团对企业合并形成的商誉，自购买日起将其账面价值按照合理的方法分摊至相关的资产组，难以分摊至相关的资产组的分摊至相关的资产组组合。在对包含商誉的相关资产组或者资产组组合进行减值测试时，如与商誉相关的资产组或者资产组组合存在减值迹象的，先对不包含商誉的资产组或者资产组组合进行减值测试，计算可收回金额，并与相关账面价值相比较，确认相应的减值损失；再对包含商誉的资产组或者资产组组合进行减值测试，比较账面价值与可收回金额，如可收回金额低于账面价值的，减值损失金额首先抵减分摊至资产组或者资产组组合中商誉的账面价值，再根据资产组或者资产组组合中除商誉之外的其他各项资产的账面价值所占比重，按比例抵减其他各项资产的账面价值。</w:t>
          </w:r>
        </w:p>
        <w:p>
          <w:pPr>
            <w:pStyle w:val="affffffffffffffffffffffffffffffffffb"/>
            <w:spacing w:afterLines="50" w:after="120" w:line="360" w:lineRule="exact"/>
            <w:ind w:firstLineChars="200" w:firstLine="420"/>
            <w:rPr>
              <w:rFonts w:hAnsi="宋体"/>
            </w:rPr>
          </w:pPr>
          <w:r>
            <w:rPr>
              <w:rFonts w:hAnsi="宋体" w:hint="eastAsia"/>
            </w:rPr>
            <w:t>上述资产的减值损失一经确认，在以后会计期间不予转回。</w:t>
          </w:r>
        </w:p>
      </w:sdtContent>
    </w:sdt>
    <w:p>
      <w:pPr>
        <w:rPr>
          <w:szCs w:val="21"/>
        </w:rPr>
      </w:pPr>
    </w:p>
    <w:p>
      <w:pPr>
        <w:keepNext/>
        <w:keepLines/>
        <w:widowControl w:val="0"/>
        <w:numPr>
          <w:ilvl w:val="0"/>
          <w:numId w:val="94"/>
        </w:numPr>
        <w:spacing w:before="60" w:line="360" w:lineRule="auto"/>
        <w:jc w:val="both"/>
        <w:outlineLvl w:val="2"/>
      </w:pPr>
      <w:r>
        <w:t>长期待摊费用</w:t>
      </w:r>
    </w:p>
    <w:sdt>
      <w:sdtPr>
        <w:rPr>
          <w:rFonts w:hint="eastAsia"/>
          <w:szCs w:val="21"/>
        </w:rPr>
        <w:alias w:val="是否适用：长期待摊费用_重要会计政策和估计[双击切换]"/>
        <w:tag w:val="_GBC_5f2bbee5e66644d489f8d74ae8f96539"/>
        <w:id w:val="140549870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开办费、长期待摊费用摊销方法"/>
        <w:tag w:val="_GBC_a0e2b7a5a9454eaea97ca201421d7dde"/>
        <w:id w:val="1884755618"/>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的长期待摊费用是指已经支出，但应由当期及以后各期承担的摊销期限在1年以上(不含1年)的采矿权补偿费和工程运行维护费以及其他受益期限在1年以上的支出，该等费用在受益期内平均摊销。如果长期待摊费用项目不能使以后会计期间受益，则将尚未摊销的该项目的摊余价值全部转入当期损益。</w:t>
          </w:r>
        </w:p>
      </w:sdtContent>
    </w:sdt>
    <w:p>
      <w:pPr>
        <w:rPr>
          <w:szCs w:val="21"/>
        </w:rPr>
      </w:pPr>
    </w:p>
    <w:p>
      <w:pPr>
        <w:keepNext/>
        <w:keepLines/>
        <w:widowControl w:val="0"/>
        <w:numPr>
          <w:ilvl w:val="0"/>
          <w:numId w:val="94"/>
        </w:numPr>
        <w:spacing w:before="60" w:line="360" w:lineRule="auto"/>
        <w:jc w:val="both"/>
        <w:outlineLvl w:val="2"/>
        <w:rPr>
          <w:szCs w:val="21"/>
        </w:rPr>
      </w:pPr>
      <w:bookmarkStart w:id="334" w:name="_Hlk533668008"/>
      <w:r>
        <w:rPr>
          <w:rFonts w:hint="eastAsia"/>
          <w:szCs w:val="21"/>
        </w:rPr>
        <w:t>合同负债</w:t>
      </w:r>
    </w:p>
    <w:sdt>
      <w:sdtPr>
        <w:rPr>
          <w:szCs w:val="21"/>
        </w:rPr>
        <w:alias w:val="是否适用：合同负债的确定方法、摊销方法和减值测试方法[双击切换]"/>
        <w:tag w:val="_GBC_1d0f6a0a7f304d3f94158c9d73a7239a"/>
        <w:id w:val="-160548944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合同负债的确定方法、摊销方法和减值测试方法"/>
        <w:tag w:val="_GBC_0555b9144f6c494282d03f175d2fa19d"/>
        <w:id w:val="-1801059777"/>
      </w:sdtPr>
      <w:sdtContent>
        <w:p>
          <w:pPr>
            <w:pStyle w:val="affffffffffffffffffffffffffffffffffb"/>
            <w:spacing w:afterLines="50" w:after="120" w:line="360" w:lineRule="exact"/>
            <w:ind w:firstLineChars="200" w:firstLine="420"/>
            <w:rPr>
              <w:rFonts w:hAnsi="宋体"/>
            </w:rPr>
          </w:pPr>
          <w:r>
            <w:rPr>
              <w:rFonts w:hAnsi="宋体" w:hint="eastAsia"/>
            </w:rPr>
            <w:t>合同负债反映本集团已收或应收客户对价而应向客户转让商品的义务。本集团在向客户转让商品之前，客户已经支付了合同对价或本集团已经取得了无条件收取合同对价权利的，在客户实际支付款项与到期应支付款项孰早时点，按照已收或应收的金额确认合同负债。</w:t>
          </w:r>
        </w:p>
      </w:sdtContent>
    </w:sdt>
    <w:p>
      <w:pPr>
        <w:rPr>
          <w:szCs w:val="21"/>
        </w:rPr>
      </w:pPr>
    </w:p>
    <w:bookmarkEnd w:id="334"/>
    <w:p>
      <w:pPr>
        <w:keepNext/>
        <w:keepLines/>
        <w:widowControl w:val="0"/>
        <w:numPr>
          <w:ilvl w:val="0"/>
          <w:numId w:val="94"/>
        </w:numPr>
        <w:spacing w:before="60" w:line="360" w:lineRule="auto"/>
        <w:jc w:val="both"/>
        <w:outlineLvl w:val="2"/>
      </w:pPr>
      <w:r>
        <w:rPr>
          <w:rFonts w:hint="eastAsia"/>
        </w:rPr>
        <w:t>职</w:t>
      </w:r>
      <w:r>
        <w:rPr>
          <w:rFonts w:hint="eastAsia"/>
          <w:szCs w:val="21"/>
        </w:rPr>
        <w:t>工薪</w:t>
      </w:r>
      <w:r>
        <w:rPr>
          <w:rFonts w:hint="eastAsia"/>
        </w:rPr>
        <w:t>酬</w:t>
      </w:r>
    </w:p>
    <w:p>
      <w:pPr>
        <w:pStyle w:val="afffffffffffffffffffffffffffffffff1"/>
        <w:numPr>
          <w:ilvl w:val="3"/>
          <w:numId w:val="159"/>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189438215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452820702"/>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rPr>
            <w:t>本集团职工薪酬包括短期薪酬、离职后福利、辞退福利和其他长期福利。</w:t>
          </w:r>
        </w:p>
        <w:p>
          <w:pPr>
            <w:autoSpaceDE w:val="0"/>
            <w:autoSpaceDN w:val="0"/>
            <w:adjustRightInd w:val="0"/>
            <w:spacing w:afterLines="50" w:after="120" w:line="360" w:lineRule="exact"/>
            <w:ind w:firstLineChars="200" w:firstLine="420"/>
          </w:pPr>
          <w:r>
            <w:rPr>
              <w:rFonts w:hint="eastAsia"/>
            </w:rPr>
            <w:t>短期薪酬主要包括职工工资、奖金、津贴和补贴，职工福利费，医疗保险费、工伤保险费和生育保险费等社会保险费，住房公积金，工会经费和职工教育经费，短期带薪缺勤等，在职工提</w:t>
          </w:r>
          <w:r>
            <w:rPr>
              <w:rFonts w:hint="eastAsia"/>
            </w:rPr>
            <w:lastRenderedPageBreak/>
            <w:t>供服务的会计期间，将实际发生的短期薪酬确认为负债，并按照受益对象计入当期损益或相关资产成本。</w:t>
          </w:r>
        </w:p>
      </w:sdtContent>
    </w:sdt>
    <w:p>
      <w:pPr>
        <w:rPr>
          <w:szCs w:val="21"/>
        </w:rPr>
      </w:pPr>
    </w:p>
    <w:p>
      <w:pPr>
        <w:pStyle w:val="afffffffffffffffffffffffffffffffff1"/>
        <w:numPr>
          <w:ilvl w:val="3"/>
          <w:numId w:val="159"/>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101914913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687474437"/>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rPr>
            <w:t>离职后福利主要包括基本养老保险费、企业年金缴费等，按照公司承担的风险和义务，分类为设定提存计划、设定受益计划。对于设定提存计划在根据在资产负债表日为换取职工在会计期间提供的服务而向单独主体缴存的提存金确认为负债，并按照受益对象计入当期损益或相关资产成本。</w:t>
          </w:r>
        </w:p>
      </w:sdtContent>
    </w:sdt>
    <w:p>
      <w:pPr>
        <w:rPr>
          <w:szCs w:val="21"/>
        </w:rPr>
      </w:pPr>
    </w:p>
    <w:p>
      <w:pPr>
        <w:pStyle w:val="afffffffffffffffffffffffffffffffff1"/>
        <w:numPr>
          <w:ilvl w:val="3"/>
          <w:numId w:val="159"/>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30026763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辞退福利的会计处理方法"/>
        <w:tag w:val="_GBC_a93705fb60b24bceb25c88a68ed87432"/>
        <w:id w:val="93514647"/>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rPr>
            <w:t>辞退福利是指在职工劳动合同到期之前决定解除与职工的劳动关系，或为鼓励职工自愿接受裁减而提出给予补偿的建议，如果本集团已经制定正式的解除劳动关系计划或提出自愿裁减建议，并即将实施，同时本集团不能单方面撤回解除劳动关系计划或裁减建议的，确认因解除与职工劳动关系给予补偿产生的预计负债，计入当期损益。</w:t>
          </w:r>
        </w:p>
      </w:sdtContent>
    </w:sdt>
    <w:p>
      <w:pPr>
        <w:rPr>
          <w:szCs w:val="21"/>
        </w:rPr>
      </w:pPr>
    </w:p>
    <w:p>
      <w:pPr>
        <w:pStyle w:val="afffffffffffffffffffffffffffffffff1"/>
        <w:numPr>
          <w:ilvl w:val="3"/>
          <w:numId w:val="159"/>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58133561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长期职工福利的会计处理方法"/>
        <w:tag w:val="_GBC_0e549e9400284de7b64ddf6ecc255dea"/>
        <w:id w:val="-2044968363"/>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rPr>
            <w:t>其他长期福利，是指除短期薪酬、离职后福利、辞退福利之外所有的职工薪酬。</w:t>
          </w:r>
        </w:p>
      </w:sdtContent>
    </w:sdt>
    <w:p>
      <w:pPr>
        <w:rPr>
          <w:rFonts w:cs="Times New Roman"/>
          <w:szCs w:val="21"/>
        </w:rPr>
      </w:pPr>
    </w:p>
    <w:p>
      <w:pPr>
        <w:keepNext/>
        <w:keepLines/>
        <w:widowControl w:val="0"/>
        <w:numPr>
          <w:ilvl w:val="0"/>
          <w:numId w:val="94"/>
        </w:numPr>
        <w:spacing w:before="60" w:line="360" w:lineRule="auto"/>
        <w:jc w:val="both"/>
        <w:outlineLvl w:val="2"/>
      </w:pPr>
      <w:r>
        <w:t>预计</w:t>
      </w:r>
      <w:r>
        <w:rPr>
          <w:szCs w:val="21"/>
        </w:rPr>
        <w:t>负债</w:t>
      </w:r>
    </w:p>
    <w:sdt>
      <w:sdtPr>
        <w:rPr>
          <w:rFonts w:hint="eastAsia"/>
          <w:szCs w:val="21"/>
        </w:rPr>
        <w:alias w:val="是否适用：预计负债_重要会计政策和估计[双击切换]"/>
        <w:tag w:val="_GBC_546a7423773c46d2b57f08fc5fdbc638"/>
        <w:id w:val="15149296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预计负债的核算方法"/>
        <w:tag w:val="_GBC_d6934772e41e485d9e00e349486f9d7e"/>
        <w:id w:val="-285730477"/>
        <w:placeholder>
          <w:docPart w:val="GBC22222222222222222222222222222"/>
        </w:placeholder>
      </w:sdtPr>
      <w:sdtContent>
        <w:p>
          <w:pPr>
            <w:pStyle w:val="affffffffffffffffffffffffffffffffffb"/>
            <w:spacing w:afterLines="50" w:after="120" w:line="360" w:lineRule="exact"/>
            <w:ind w:firstLineChars="200" w:firstLine="420"/>
            <w:rPr>
              <w:rFonts w:hAnsi="宋体"/>
              <w:szCs w:val="24"/>
              <w:lang w:val="en-AU"/>
            </w:rPr>
          </w:pPr>
          <w:r>
            <w:rPr>
              <w:rFonts w:hAnsi="宋体" w:hint="eastAsia"/>
            </w:rPr>
            <w:t>1.</w:t>
          </w:r>
          <w:r>
            <w:rPr>
              <w:rFonts w:hAnsi="宋体" w:hint="eastAsia"/>
              <w:szCs w:val="24"/>
              <w:lang w:val="en-AU"/>
            </w:rPr>
            <w:t>当与因开采煤矿而形成的复垦、弃置及环境清理事项，以及对外担保、未决诉讼或仲裁、产品质量保证、裁员计划、亏损合同、重组义务等或有事项相关的业务同时符合以下条件时，本集团将其确认为负债：该义务是本集团承担的现时义务；该义务的履行很可能导致经济利益流出企业；该义务的金额能够可靠地计量。</w:t>
          </w:r>
        </w:p>
        <w:p>
          <w:pPr>
            <w:pStyle w:val="affffffffffffffffffffffffffffffffffb"/>
            <w:spacing w:afterLines="50" w:after="120" w:line="360" w:lineRule="exact"/>
            <w:ind w:firstLineChars="200" w:firstLine="420"/>
            <w:rPr>
              <w:rFonts w:hAnsi="宋体"/>
            </w:rPr>
          </w:pPr>
          <w:r>
            <w:rPr>
              <w:rFonts w:hAnsi="宋体" w:hint="eastAsia"/>
              <w:szCs w:val="24"/>
              <w:lang w:val="en-AU"/>
            </w:rPr>
            <w:t>2.预计负债按照履行相关现时义务所需支出的最佳估计数进行初始计量，并综合考虑与或有事项有关的风险、不确定性和货币时间价值等因素。本集团于资产负债表日对当前最佳估计数进行复核并对预计负债的账面价值进行调整</w:t>
          </w:r>
          <w:r>
            <w:rPr>
              <w:rFonts w:hAnsi="宋体" w:hint="eastAsia"/>
            </w:rPr>
            <w:t>。</w:t>
          </w:r>
        </w:p>
      </w:sdtContent>
    </w:sdt>
    <w:p>
      <w:pPr>
        <w:rPr>
          <w:szCs w:val="21"/>
        </w:rPr>
      </w:pPr>
    </w:p>
    <w:p>
      <w:pPr>
        <w:keepNext/>
        <w:keepLines/>
        <w:widowControl w:val="0"/>
        <w:numPr>
          <w:ilvl w:val="0"/>
          <w:numId w:val="94"/>
        </w:numPr>
        <w:spacing w:before="60" w:line="360" w:lineRule="auto"/>
        <w:jc w:val="both"/>
        <w:outlineLvl w:val="2"/>
      </w:pPr>
      <w:r>
        <w:rPr>
          <w:rFonts w:hint="eastAsia"/>
        </w:rPr>
        <w:t>股份支付</w:t>
      </w:r>
    </w:p>
    <w:sdt>
      <w:sdtPr>
        <w:rPr>
          <w:rFonts w:hint="eastAsia"/>
          <w:szCs w:val="21"/>
        </w:rPr>
        <w:alias w:val="是否适用：股份支付_重要会计政策和估计[双击切换]"/>
        <w:tag w:val="_GBC_7741eb89da65434190830ba1cd87e4dc"/>
        <w:id w:val="-87607761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股份支付的核算方法"/>
        <w:tag w:val="_GBC_99e197c555ed4cf8aa00bbd5da2fe98b"/>
        <w:id w:val="-1835909880"/>
        <w:placeholder>
          <w:docPart w:val="GBC22222222222222222222222222222"/>
        </w:placeholder>
      </w:sdtPr>
      <w:sdtContent>
        <w:p>
          <w:pPr>
            <w:pStyle w:val="affffffffffffffffffffffffffffffffffb"/>
            <w:spacing w:afterLines="50" w:after="120" w:line="360" w:lineRule="exact"/>
            <w:ind w:firstLineChars="200" w:firstLine="420"/>
            <w:rPr>
              <w:rFonts w:hAnsi="宋体"/>
              <w:szCs w:val="18"/>
            </w:rPr>
          </w:pPr>
          <w:r>
            <w:rPr>
              <w:rFonts w:hAnsi="宋体" w:hint="eastAsia"/>
              <w:szCs w:val="18"/>
            </w:rPr>
            <w:t>用以换取职工提供服务的以权益结算的股份支付，以授予职工权益工具在授予日的公允价值计量。如授予后立即可行权，在授予日按照权益工具的公允价值计入相关成本或费用，相应增加资本公积。如需在完成等待期内的服务或达到规定业绩条件才可行权，在等待期内的每个资产负债表日，以对可行权权益工具数量的最佳估计为基础，按照权益工具授予日的公允价值，将当期</w:t>
          </w:r>
          <w:r>
            <w:rPr>
              <w:rFonts w:hAnsi="宋体" w:hint="eastAsia"/>
              <w:szCs w:val="18"/>
            </w:rPr>
            <w:lastRenderedPageBreak/>
            <w:t>取得的服务计入相关成本或费用和资本公积。如果修改了以权益结算的股份支付的条款，至少按照未修改条款的情况确认取得的服务。此外，增加所授予权益工具公允价值的修改，或在修改日对职工有利的变更，均确认取得服务的增加。</w:t>
          </w:r>
        </w:p>
        <w:p>
          <w:pPr>
            <w:pStyle w:val="affffffffffffffffffffffffffffffffffb"/>
            <w:spacing w:afterLines="50" w:after="120" w:line="360" w:lineRule="exact"/>
            <w:ind w:firstLineChars="200" w:firstLine="420"/>
            <w:rPr>
              <w:rFonts w:hAnsi="宋体"/>
              <w:szCs w:val="18"/>
            </w:rPr>
          </w:pPr>
          <w:r>
            <w:rPr>
              <w:rFonts w:hAnsi="宋体" w:hint="eastAsia"/>
              <w:szCs w:val="18"/>
            </w:rPr>
            <w:t>如果取消了以权益结算的股份支付，则于取消日作为加速行权处理，立即确认尚未确认的金额。职工或其他方能够选择满足非可行权条件但在等待期内未满足的，作为取消以权益结算的股份支付处理。但是，如果授予新的权益工具，并在新权益工具授予日认定所授予的新权益工具是用于替代被取消的权益工具的，则以与处理原权益工具条款和条件修改相同的方式，对所授予的替代权益工具进行处理。</w:t>
          </w:r>
        </w:p>
        <w:p>
          <w:pPr>
            <w:pStyle w:val="affffffffffffffffffffffffffffffffffb"/>
            <w:spacing w:afterLines="50" w:after="120" w:line="360" w:lineRule="exact"/>
            <w:ind w:firstLineChars="200" w:firstLine="420"/>
            <w:rPr>
              <w:rFonts w:hAnsi="宋体"/>
              <w:szCs w:val="18"/>
            </w:rPr>
          </w:pPr>
          <w:r>
            <w:rPr>
              <w:rFonts w:hAnsi="宋体" w:hint="eastAsia"/>
              <w:szCs w:val="18"/>
            </w:rPr>
            <w:t>以现金结算的股份支付，按照本集团承担的以股份或其他权益工具为基础确定的负债的公允价值计量。如授予后立即可行权，在授予日以承担负债的公允价值计入相关成本或费用，相应增加负债；如需完成等待期内的服务或达到规定业绩条件以后才可行权，在等待期的每个资产负债表日，以对可行权情况的最佳估计为基础，按照本集团承担负债的公允价值金额，将当期取得的服务计入成本或费用，相应调整负债。在相关负债结算前的每个资产负债表日以及结算日，对负债的公允价值重新计量，其变动计入当期损益。</w:t>
          </w:r>
        </w:p>
        <w:p>
          <w:pPr>
            <w:pStyle w:val="affffffffffffffffffffffffffffffffffb"/>
            <w:spacing w:afterLines="50" w:after="120" w:line="360" w:lineRule="exact"/>
            <w:ind w:firstLineChars="200" w:firstLine="420"/>
            <w:rPr>
              <w:rFonts w:hAnsi="宋体"/>
              <w:szCs w:val="18"/>
            </w:rPr>
          </w:pPr>
          <w:r>
            <w:rPr>
              <w:rFonts w:hAnsi="宋体" w:hint="eastAsia"/>
              <w:szCs w:val="18"/>
            </w:rPr>
            <w:t>本集团修改以现金结算的股份支付协议中的条款和条件使其成为以权益结算的股份支付的，在修改日，本集团按照所授予权益工具当日的公允价值计量以权益结算的股份支付，将已取得的服务计入资本公积，同时终止确认以现金结算的股份支付在修改日已确认的负债，两者之间的差额计入当期损益。上述规定同样适用于修改发生在等待期结束后的情形。如果由于修改延长或缩短了等待期，本集团按照修改后的等待期进行上述会计处理(无需考虑不利修改的有关会计处理规定)。如果本集团取消一项以现金结算的股份支付，授予一项以权益结算的股份支付，并在授予权益工具日认定其是用来替代已取消的以现金结算的股份支付(因未满足可行权条件而被取消的除外)的，比照上述情形进行会计处理包括以权益结算的股份支付和以现金结算的股份支付。</w:t>
          </w:r>
        </w:p>
      </w:sdtContent>
    </w:sdt>
    <w:p>
      <w:pPr>
        <w:rPr>
          <w:szCs w:val="21"/>
        </w:rPr>
      </w:pPr>
    </w:p>
    <w:p>
      <w:pPr>
        <w:keepNext/>
        <w:keepLines/>
        <w:widowControl w:val="0"/>
        <w:numPr>
          <w:ilvl w:val="0"/>
          <w:numId w:val="94"/>
        </w:numPr>
        <w:spacing w:before="60" w:line="360" w:lineRule="auto"/>
        <w:jc w:val="both"/>
        <w:outlineLvl w:val="2"/>
      </w:pPr>
      <w:r>
        <w:rPr>
          <w:rFonts w:hint="eastAsia"/>
        </w:rPr>
        <w:t>优先股、永续债等其他金融工具</w:t>
      </w:r>
    </w:p>
    <w:sdt>
      <w:sdtPr>
        <w:rPr>
          <w:rFonts w:hint="eastAsia"/>
          <w:szCs w:val="21"/>
        </w:rPr>
        <w:alias w:val="是否适用：优先股、永续债等其他金融工具[双击切换]"/>
        <w:tag w:val="_GBC_00e1aed4ff2c40d6bda73971e87d6eb8"/>
        <w:id w:val="-165984503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优先股、永续债等其他金融工具的核算方法"/>
        <w:tag w:val="_GBC_4d72f974ad08467694c4c547d6e1f03b"/>
        <w:id w:val="-854197842"/>
        <w:placeholder>
          <w:docPart w:val="GBC22222222222222222222222222222"/>
        </w:placeholder>
      </w:sdtPr>
      <w:sdtContent>
        <w:p>
          <w:pPr>
            <w:spacing w:afterLines="50" w:after="120" w:line="360" w:lineRule="exact"/>
            <w:ind w:firstLineChars="200" w:firstLine="420"/>
          </w:pPr>
          <w:r>
            <w:rPr>
              <w:rFonts w:hint="eastAsia"/>
            </w:rPr>
            <w:t>归类为债务工具的优先股、永续债，按其公允价值扣除交易费用后的金额进行初始计量，并采用实际利率法按摊余成本进行后续计量，其利息支出或股利分配按照借款费用进行处理，其回购或赎回产生的利得或损失计入当期损益。</w:t>
          </w:r>
        </w:p>
        <w:p>
          <w:pPr>
            <w:spacing w:afterLines="50" w:after="120" w:line="360" w:lineRule="exact"/>
            <w:ind w:firstLineChars="200" w:firstLine="420"/>
          </w:pPr>
          <w:r>
            <w:rPr>
              <w:rFonts w:hint="eastAsia"/>
            </w:rPr>
            <w:t>归类为权益工具的优先股、永续债，在发行时收到的对价扣除交易费用后增加所有者权益，其利息支出或股利分配按照利润分配进行处理，回购或注销作为权益变动处理。</w:t>
          </w:r>
        </w:p>
      </w:sdtContent>
    </w:sdt>
    <w:p>
      <w:pPr>
        <w:rPr>
          <w:szCs w:val="21"/>
        </w:rPr>
      </w:pPr>
    </w:p>
    <w:p>
      <w:pPr>
        <w:keepNext/>
        <w:keepLines/>
        <w:widowControl w:val="0"/>
        <w:numPr>
          <w:ilvl w:val="0"/>
          <w:numId w:val="94"/>
        </w:numPr>
        <w:spacing w:before="60" w:line="360" w:lineRule="auto"/>
        <w:jc w:val="both"/>
        <w:outlineLvl w:val="2"/>
        <w:rPr>
          <w:b/>
          <w:bCs/>
          <w:szCs w:val="21"/>
        </w:rPr>
      </w:pPr>
      <w:bookmarkStart w:id="335" w:name="_Hlk533668053"/>
      <w:r>
        <w:rPr>
          <w:rFonts w:hint="eastAsia"/>
          <w:b/>
          <w:bCs/>
          <w:szCs w:val="21"/>
        </w:rPr>
        <w:t>露天矿</w:t>
      </w:r>
      <w:r>
        <w:rPr>
          <w:rFonts w:hint="eastAsia"/>
        </w:rPr>
        <w:t>表层</w:t>
      </w:r>
      <w:r>
        <w:rPr>
          <w:rFonts w:hint="eastAsia"/>
          <w:b/>
          <w:bCs/>
          <w:szCs w:val="21"/>
        </w:rPr>
        <w:t>土剥采成本</w:t>
      </w:r>
    </w:p>
    <w:p>
      <w:pPr>
        <w:pStyle w:val="affffffffffffffffffffffffffffffffff4"/>
        <w:rPr>
          <w:rFonts w:ascii="宋体" w:hAnsi="宋体" w:cs="宋体"/>
          <w:kern w:val="0"/>
          <w:szCs w:val="24"/>
        </w:rPr>
      </w:pPr>
      <w:r>
        <w:rPr>
          <w:rFonts w:ascii="宋体" w:hAnsi="宋体" w:cs="宋体" w:hint="eastAsia"/>
          <w:kern w:val="0"/>
          <w:szCs w:val="24"/>
        </w:rPr>
        <w:t>露天矿表层土剥采成本指为达至煤层而发生的累计支出，包括直接剥离成本及机器设备的运行成本。对能提升矿石的未来开采能力的此类剥采成本在满足特定标准时确认为非流动资产（剥采资产），其余剥采成本在发生当期计入生产成本，结转至存货。</w:t>
      </w:r>
      <w:r>
        <w:rPr>
          <w:rFonts w:ascii="宋体" w:hAnsi="宋体" w:cs="宋体"/>
          <w:kern w:val="0"/>
          <w:szCs w:val="24"/>
        </w:rPr>
        <w:t xml:space="preserve"> </w:t>
      </w:r>
    </w:p>
    <w:p>
      <w:pPr>
        <w:pStyle w:val="affffffffffffffffffffffffffffffffff4"/>
        <w:rPr>
          <w:rFonts w:ascii="宋体" w:hAnsi="宋体" w:cs="宋体"/>
          <w:kern w:val="0"/>
          <w:szCs w:val="24"/>
        </w:rPr>
      </w:pPr>
      <w:r>
        <w:rPr>
          <w:rFonts w:ascii="宋体" w:hAnsi="宋体" w:cs="宋体" w:hint="eastAsia"/>
          <w:kern w:val="0"/>
          <w:szCs w:val="24"/>
        </w:rPr>
        <w:t>对能提升矿石的未来开采能力的生产剥采成本，仅在满足以下全部条件时，被确认为一项非流动资产：未来的经济利益很有可能流入企业；企业可以识别出被改进了开采能力的矿体组成部分；该组成部分相关剥采活动的成本能够可靠计量。</w:t>
      </w:r>
      <w:r>
        <w:rPr>
          <w:rFonts w:ascii="宋体" w:hAnsi="宋体" w:cs="宋体"/>
          <w:kern w:val="0"/>
          <w:szCs w:val="24"/>
        </w:rPr>
        <w:t xml:space="preserve"> </w:t>
      </w:r>
    </w:p>
    <w:p>
      <w:pPr>
        <w:pStyle w:val="affffffffffffffffffffffffffffffffff4"/>
        <w:ind w:firstLineChars="0" w:firstLine="0"/>
        <w:rPr>
          <w:rFonts w:ascii="宋体" w:hAnsi="宋体" w:cs="宋体"/>
          <w:kern w:val="0"/>
          <w:szCs w:val="24"/>
        </w:rPr>
      </w:pPr>
      <w:r>
        <w:rPr>
          <w:rFonts w:ascii="宋体" w:hAnsi="宋体" w:cs="宋体" w:hint="eastAsia"/>
          <w:kern w:val="0"/>
          <w:szCs w:val="24"/>
        </w:rPr>
        <w:lastRenderedPageBreak/>
        <w:t>剥采活动资产应作为与其相关的矿业资产的一部分予以确认。</w:t>
      </w:r>
      <w:r>
        <w:rPr>
          <w:rFonts w:ascii="宋体" w:hAnsi="宋体" w:cs="宋体"/>
          <w:kern w:val="0"/>
          <w:szCs w:val="24"/>
        </w:rPr>
        <w:t xml:space="preserve"> </w:t>
      </w:r>
    </w:p>
    <w:p>
      <w:pPr>
        <w:pStyle w:val="affffffffffffffffffffffffffffffffff4"/>
        <w:rPr>
          <w:rFonts w:ascii="宋体" w:hAnsi="宋体" w:cs="宋体"/>
          <w:kern w:val="0"/>
          <w:szCs w:val="24"/>
        </w:rPr>
      </w:pPr>
      <w:r>
        <w:rPr>
          <w:rFonts w:ascii="宋体" w:hAnsi="宋体" w:cs="宋体" w:hint="eastAsia"/>
          <w:kern w:val="0"/>
          <w:szCs w:val="24"/>
        </w:rPr>
        <w:t>剥采资产入账根据其所构成的现有资产的性质分类为有形资产和无形资产。当剥采资产与存货不能独立识别时，剥采成本会根据相应之生产标准分配至剥采资产及存货中。</w:t>
      </w:r>
      <w:r>
        <w:rPr>
          <w:rFonts w:ascii="宋体" w:hAnsi="宋体" w:cs="宋体"/>
          <w:kern w:val="0"/>
          <w:szCs w:val="24"/>
        </w:rPr>
        <w:t xml:space="preserve"> 剥采资产将会在与其相关的已识别矿体组成部分的预期剩余使用寿命内计提折旧。</w:t>
      </w:r>
    </w:p>
    <w:p>
      <w:pPr>
        <w:keepNext/>
        <w:keepLines/>
        <w:widowControl w:val="0"/>
        <w:numPr>
          <w:ilvl w:val="0"/>
          <w:numId w:val="94"/>
        </w:numPr>
        <w:spacing w:before="60" w:line="360" w:lineRule="auto"/>
        <w:jc w:val="both"/>
        <w:outlineLvl w:val="2"/>
        <w:rPr>
          <w:b/>
          <w:bCs/>
          <w:szCs w:val="21"/>
        </w:rPr>
      </w:pPr>
      <w:r>
        <w:rPr>
          <w:rFonts w:hint="eastAsia"/>
          <w:b/>
          <w:bCs/>
          <w:szCs w:val="21"/>
        </w:rPr>
        <w:t>土地塌陷、复原、重整及环保费</w:t>
      </w:r>
    </w:p>
    <w:p>
      <w:pPr>
        <w:pStyle w:val="affffffffffffffffffffffffffffffffff4"/>
        <w:rPr>
          <w:rFonts w:ascii="宋体" w:hAnsi="宋体" w:cs="宋体"/>
          <w:kern w:val="0"/>
          <w:szCs w:val="24"/>
        </w:rPr>
      </w:pPr>
      <w:r>
        <w:rPr>
          <w:rFonts w:ascii="宋体" w:hAnsi="宋体" w:cs="宋体" w:hint="eastAsia"/>
          <w:kern w:val="0"/>
          <w:szCs w:val="24"/>
        </w:rPr>
        <w:t>本集团开采矿产会引起地下矿场土地塌陷。通常情况，公司可于开采地下矿场前将居住于矿上土地的居民迁离该处，并就土地塌陷造成的损失向居民进行赔偿。管理层按历史经验对当期已开采未来可能产生的土地塌陷、复原、重整及环保费费用等作出估计并预计。</w:t>
      </w:r>
      <w:r>
        <w:rPr>
          <w:rFonts w:ascii="宋体" w:hAnsi="宋体" w:cs="宋体"/>
          <w:kern w:val="0"/>
          <w:szCs w:val="24"/>
        </w:rPr>
        <w:t xml:space="preserve"> </w:t>
      </w:r>
    </w:p>
    <w:p>
      <w:pPr>
        <w:pStyle w:val="affffffffffffffffffffffffffffffffff4"/>
        <w:ind w:firstLineChars="0" w:firstLine="0"/>
        <w:rPr>
          <w:rFonts w:ascii="宋体" w:hAnsi="宋体" w:cs="宋体"/>
          <w:kern w:val="0"/>
          <w:szCs w:val="24"/>
        </w:rPr>
      </w:pPr>
      <w:r>
        <w:rPr>
          <w:rFonts w:ascii="宋体" w:hAnsi="宋体" w:cs="宋体" w:hint="eastAsia"/>
          <w:kern w:val="0"/>
          <w:szCs w:val="24"/>
        </w:rPr>
        <w:t>鉴于本集团支付搬迁费用及各项土地塌陷、复原、重整及环保费的时间与相应土地之下矿场的开采时间存在差异，故将由于预付与未来开采有关的土地征地搬迁费用等与支付数小于预提数而形成的与未来支付有关的预提土地塌陷征地、补偿、复原、环保等的差额作为一项流动资产或一项流动负债列报</w:t>
      </w:r>
    </w:p>
    <w:p>
      <w:pPr>
        <w:keepNext/>
        <w:keepLines/>
        <w:widowControl w:val="0"/>
        <w:numPr>
          <w:ilvl w:val="0"/>
          <w:numId w:val="94"/>
        </w:numPr>
        <w:spacing w:before="60" w:line="360" w:lineRule="auto"/>
        <w:jc w:val="both"/>
        <w:outlineLvl w:val="2"/>
        <w:rPr>
          <w:b/>
          <w:bCs/>
          <w:szCs w:val="21"/>
        </w:rPr>
      </w:pPr>
      <w:r>
        <w:rPr>
          <w:rFonts w:hint="eastAsia"/>
          <w:b/>
          <w:bCs/>
          <w:szCs w:val="21"/>
        </w:rPr>
        <w:t>各专项储备</w:t>
      </w:r>
    </w:p>
    <w:p>
      <w:pPr>
        <w:pStyle w:val="affffffffffffffffffffffffffffffffff4"/>
        <w:ind w:firstLineChars="0" w:firstLine="0"/>
        <w:rPr>
          <w:rFonts w:ascii="宋体" w:hAnsi="宋体" w:cs="宋体"/>
          <w:kern w:val="0"/>
          <w:szCs w:val="24"/>
        </w:rPr>
      </w:pPr>
      <w:r>
        <w:rPr>
          <w:rFonts w:ascii="宋体" w:hAnsi="宋体" w:cs="宋体"/>
          <w:kern w:val="0"/>
          <w:szCs w:val="24"/>
        </w:rPr>
        <w:t>1.维持简单再生产费用</w:t>
      </w:r>
    </w:p>
    <w:p>
      <w:pPr>
        <w:pStyle w:val="affffffffffffffffffffffffffffffffff4"/>
        <w:rPr>
          <w:rFonts w:ascii="宋体" w:hAnsi="宋体" w:cs="宋体"/>
          <w:kern w:val="0"/>
          <w:szCs w:val="24"/>
        </w:rPr>
      </w:pPr>
      <w:r>
        <w:rPr>
          <w:rFonts w:ascii="宋体" w:hAnsi="宋体" w:cs="宋体" w:hint="eastAsia"/>
          <w:kern w:val="0"/>
          <w:szCs w:val="24"/>
        </w:rPr>
        <w:t>根据财政部、国家煤矿安全生产监察局及有关政府部门的规定，本集团及中国境内涉及煤炭业务的子公司根据原煤产量计提维持简单再生产费用</w:t>
      </w:r>
      <w:r>
        <w:rPr>
          <w:rFonts w:ascii="宋体" w:hAnsi="宋体" w:cs="宋体"/>
          <w:kern w:val="0"/>
          <w:szCs w:val="24"/>
        </w:rPr>
        <w:t>(以下简称“维简费”)，用于维持矿区生产以及设备改造等相关支出，各公司计提标准如下：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2"/>
      </w:tblGrid>
      <w:tr>
        <w:trPr>
          <w:trHeight w:val="397"/>
          <w:tblHeader/>
          <w:jc w:val="center"/>
        </w:trPr>
        <w:tc>
          <w:tcPr>
            <w:tcW w:w="2500" w:type="pct"/>
            <w:shd w:val="clear" w:color="auto" w:fill="auto"/>
            <w:vAlign w:val="center"/>
          </w:tcPr>
          <w:p>
            <w:pPr>
              <w:jc w:val="center"/>
              <w:rPr>
                <w:b/>
                <w:bCs/>
                <w:color w:val="000000"/>
                <w:sz w:val="18"/>
                <w:szCs w:val="18"/>
              </w:rPr>
            </w:pPr>
            <w:r>
              <w:rPr>
                <w:rFonts w:hint="eastAsia"/>
                <w:b/>
                <w:bCs/>
                <w:color w:val="000000"/>
                <w:sz w:val="18"/>
                <w:szCs w:val="18"/>
              </w:rPr>
              <w:t>公司名称</w:t>
            </w:r>
          </w:p>
        </w:tc>
        <w:tc>
          <w:tcPr>
            <w:tcW w:w="2500" w:type="pct"/>
            <w:shd w:val="clear" w:color="auto" w:fill="auto"/>
            <w:vAlign w:val="center"/>
          </w:tcPr>
          <w:p>
            <w:pPr>
              <w:jc w:val="center"/>
              <w:rPr>
                <w:b/>
                <w:bCs/>
                <w:color w:val="000000"/>
                <w:sz w:val="18"/>
                <w:szCs w:val="18"/>
              </w:rPr>
            </w:pPr>
            <w:r>
              <w:rPr>
                <w:rFonts w:hint="eastAsia"/>
                <w:b/>
                <w:bCs/>
                <w:color w:val="000000"/>
                <w:sz w:val="18"/>
                <w:szCs w:val="18"/>
              </w:rPr>
              <w:t>计提标准</w:t>
            </w:r>
          </w:p>
        </w:tc>
      </w:tr>
      <w:tr>
        <w:trPr>
          <w:trHeight w:val="397"/>
          <w:jc w:val="center"/>
        </w:trPr>
        <w:tc>
          <w:tcPr>
            <w:tcW w:w="2500" w:type="pct"/>
            <w:shd w:val="clear" w:color="auto" w:fill="auto"/>
            <w:noWrap/>
            <w:vAlign w:val="center"/>
          </w:tcPr>
          <w:p>
            <w:pPr>
              <w:rPr>
                <w:color w:val="000000"/>
                <w:sz w:val="18"/>
                <w:szCs w:val="18"/>
              </w:rPr>
            </w:pPr>
            <w:r>
              <w:rPr>
                <w:rFonts w:hint="eastAsia"/>
                <w:color w:val="000000"/>
                <w:sz w:val="18"/>
                <w:szCs w:val="18"/>
              </w:rPr>
              <w:t>本公司及中国境内山东、山西、新疆之子公司</w:t>
            </w:r>
          </w:p>
        </w:tc>
        <w:tc>
          <w:tcPr>
            <w:tcW w:w="2500" w:type="pct"/>
            <w:shd w:val="clear" w:color="auto" w:fill="auto"/>
            <w:noWrap/>
            <w:vAlign w:val="center"/>
          </w:tcPr>
          <w:p>
            <w:pPr>
              <w:jc w:val="center"/>
              <w:rPr>
                <w:color w:val="000000"/>
                <w:sz w:val="18"/>
                <w:szCs w:val="18"/>
              </w:rPr>
            </w:pPr>
            <w:r>
              <w:rPr>
                <w:rFonts w:hint="eastAsia"/>
                <w:color w:val="000000"/>
                <w:sz w:val="18"/>
                <w:szCs w:val="18"/>
              </w:rPr>
              <w:t>6元/吨、8.5元/吨</w:t>
            </w:r>
          </w:p>
        </w:tc>
      </w:tr>
      <w:tr>
        <w:trPr>
          <w:trHeight w:val="397"/>
          <w:jc w:val="center"/>
        </w:trPr>
        <w:tc>
          <w:tcPr>
            <w:tcW w:w="2500" w:type="pct"/>
            <w:shd w:val="clear" w:color="auto" w:fill="auto"/>
            <w:noWrap/>
            <w:vAlign w:val="center"/>
          </w:tcPr>
          <w:p>
            <w:pPr>
              <w:rPr>
                <w:color w:val="000000"/>
                <w:sz w:val="18"/>
                <w:szCs w:val="18"/>
              </w:rPr>
            </w:pPr>
            <w:r>
              <w:rPr>
                <w:rFonts w:hint="eastAsia"/>
                <w:color w:val="000000"/>
                <w:sz w:val="18"/>
                <w:szCs w:val="18"/>
              </w:rPr>
              <w:t>本公司所属中国境内内蒙古、陕西之子公司</w:t>
            </w:r>
          </w:p>
        </w:tc>
        <w:tc>
          <w:tcPr>
            <w:tcW w:w="2500" w:type="pct"/>
            <w:shd w:val="clear" w:color="auto" w:fill="auto"/>
            <w:noWrap/>
            <w:vAlign w:val="center"/>
          </w:tcPr>
          <w:p>
            <w:pPr>
              <w:jc w:val="center"/>
              <w:rPr>
                <w:color w:val="000000"/>
                <w:sz w:val="18"/>
                <w:szCs w:val="18"/>
              </w:rPr>
            </w:pPr>
            <w:r>
              <w:rPr>
                <w:rFonts w:hint="eastAsia"/>
                <w:color w:val="000000"/>
                <w:sz w:val="18"/>
                <w:szCs w:val="18"/>
              </w:rPr>
              <w:t>10.5元/吨</w:t>
            </w:r>
          </w:p>
        </w:tc>
      </w:tr>
    </w:tbl>
    <w:p>
      <w:pPr>
        <w:pStyle w:val="affffffffffffffffffffffffffffffffff4"/>
        <w:ind w:left="425"/>
        <w:rPr>
          <w:rFonts w:ascii="宋体" w:hAnsi="宋体" w:cs="宋体"/>
          <w:kern w:val="0"/>
          <w:szCs w:val="24"/>
        </w:rPr>
      </w:pPr>
    </w:p>
    <w:p>
      <w:pPr>
        <w:pStyle w:val="affffffffffffffffffffffffffffffffff4"/>
        <w:ind w:firstLineChars="0" w:firstLine="0"/>
        <w:rPr>
          <w:rFonts w:ascii="宋体" w:hAnsi="宋体" w:cs="宋体"/>
          <w:kern w:val="0"/>
          <w:szCs w:val="24"/>
        </w:rPr>
      </w:pPr>
      <w:r>
        <w:rPr>
          <w:rFonts w:ascii="宋体" w:hAnsi="宋体" w:cs="宋体"/>
          <w:kern w:val="0"/>
          <w:szCs w:val="24"/>
        </w:rPr>
        <w:t>2.安全生产费用</w:t>
      </w:r>
    </w:p>
    <w:p>
      <w:pPr>
        <w:pStyle w:val="affffffffffffffffffffffffffffffffff4"/>
        <w:rPr>
          <w:rFonts w:ascii="宋体" w:hAnsi="宋体" w:cs="宋体"/>
          <w:kern w:val="0"/>
          <w:szCs w:val="24"/>
        </w:rPr>
      </w:pPr>
      <w:r>
        <w:rPr>
          <w:rFonts w:ascii="宋体" w:hAnsi="宋体" w:cs="宋体" w:hint="eastAsia"/>
          <w:kern w:val="0"/>
          <w:szCs w:val="24"/>
        </w:rPr>
        <w:t>根据财政部、国家安全生产监督管理总局、国家煤炭安全监察局及有关地方政府部门的规定，本集团及中国境内涉及煤炭业务的子公司根据原煤产量计提安全生产费用，用于煤炭生产设备和煤炭井巷建筑设施安全支出，各公司计提标准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1"/>
        <w:gridCol w:w="4412"/>
      </w:tblGrid>
      <w:tr>
        <w:trPr>
          <w:trHeight w:val="397"/>
          <w:tblHeader/>
          <w:jc w:val="center"/>
        </w:trPr>
        <w:tc>
          <w:tcPr>
            <w:tcW w:w="2500" w:type="pct"/>
            <w:shd w:val="clear" w:color="auto" w:fill="auto"/>
            <w:vAlign w:val="center"/>
          </w:tcPr>
          <w:p>
            <w:pPr>
              <w:jc w:val="center"/>
              <w:rPr>
                <w:b/>
                <w:bCs/>
                <w:color w:val="000000"/>
                <w:sz w:val="18"/>
                <w:szCs w:val="18"/>
              </w:rPr>
            </w:pPr>
            <w:r>
              <w:rPr>
                <w:rFonts w:hint="eastAsia"/>
                <w:b/>
                <w:bCs/>
                <w:color w:val="000000"/>
                <w:sz w:val="18"/>
                <w:szCs w:val="18"/>
              </w:rPr>
              <w:t>公司名称</w:t>
            </w:r>
          </w:p>
        </w:tc>
        <w:tc>
          <w:tcPr>
            <w:tcW w:w="2500" w:type="pct"/>
            <w:shd w:val="clear" w:color="auto" w:fill="auto"/>
            <w:vAlign w:val="center"/>
          </w:tcPr>
          <w:p>
            <w:pPr>
              <w:jc w:val="center"/>
              <w:rPr>
                <w:b/>
                <w:bCs/>
                <w:color w:val="000000"/>
                <w:sz w:val="18"/>
                <w:szCs w:val="18"/>
              </w:rPr>
            </w:pPr>
            <w:r>
              <w:rPr>
                <w:rFonts w:hint="eastAsia"/>
                <w:b/>
                <w:bCs/>
                <w:color w:val="000000"/>
                <w:sz w:val="18"/>
                <w:szCs w:val="18"/>
              </w:rPr>
              <w:t>计提标准</w:t>
            </w:r>
          </w:p>
        </w:tc>
      </w:tr>
      <w:tr>
        <w:trPr>
          <w:trHeight w:val="397"/>
          <w:jc w:val="center"/>
        </w:trPr>
        <w:tc>
          <w:tcPr>
            <w:tcW w:w="2500" w:type="pct"/>
            <w:shd w:val="clear" w:color="auto" w:fill="auto"/>
            <w:noWrap/>
            <w:vAlign w:val="center"/>
          </w:tcPr>
          <w:p>
            <w:pPr>
              <w:rPr>
                <w:color w:val="000000"/>
                <w:sz w:val="18"/>
                <w:szCs w:val="18"/>
              </w:rPr>
            </w:pPr>
            <w:r>
              <w:rPr>
                <w:rFonts w:hint="eastAsia"/>
                <w:color w:val="000000"/>
                <w:sz w:val="18"/>
                <w:szCs w:val="18"/>
              </w:rPr>
              <w:t>本公司及山东、山西境内子公司</w:t>
            </w:r>
          </w:p>
        </w:tc>
        <w:tc>
          <w:tcPr>
            <w:tcW w:w="2500" w:type="pct"/>
            <w:shd w:val="clear" w:color="auto" w:fill="auto"/>
            <w:noWrap/>
            <w:vAlign w:val="center"/>
          </w:tcPr>
          <w:p>
            <w:pPr>
              <w:jc w:val="center"/>
              <w:rPr>
                <w:color w:val="000000"/>
                <w:sz w:val="18"/>
                <w:szCs w:val="18"/>
              </w:rPr>
            </w:pPr>
            <w:r>
              <w:rPr>
                <w:rFonts w:hint="eastAsia"/>
                <w:color w:val="000000"/>
                <w:sz w:val="18"/>
                <w:szCs w:val="18"/>
              </w:rPr>
              <w:t>15元/吨、50元/吨</w:t>
            </w:r>
          </w:p>
        </w:tc>
      </w:tr>
      <w:tr>
        <w:trPr>
          <w:trHeight w:val="397"/>
          <w:jc w:val="center"/>
        </w:trPr>
        <w:tc>
          <w:tcPr>
            <w:tcW w:w="2500" w:type="pct"/>
            <w:shd w:val="clear" w:color="auto" w:fill="auto"/>
            <w:noWrap/>
            <w:vAlign w:val="center"/>
          </w:tcPr>
          <w:p>
            <w:pPr>
              <w:rPr>
                <w:color w:val="000000"/>
                <w:sz w:val="18"/>
                <w:szCs w:val="18"/>
              </w:rPr>
            </w:pPr>
            <w:r>
              <w:rPr>
                <w:rFonts w:hint="eastAsia"/>
                <w:color w:val="000000"/>
                <w:sz w:val="18"/>
                <w:szCs w:val="18"/>
              </w:rPr>
              <w:t>本公司之内蒙古、陕西境内子公司</w:t>
            </w:r>
          </w:p>
        </w:tc>
        <w:tc>
          <w:tcPr>
            <w:tcW w:w="2500" w:type="pct"/>
            <w:shd w:val="clear" w:color="auto" w:fill="auto"/>
            <w:noWrap/>
            <w:vAlign w:val="center"/>
          </w:tcPr>
          <w:p>
            <w:pPr>
              <w:jc w:val="center"/>
              <w:rPr>
                <w:color w:val="000000"/>
                <w:sz w:val="18"/>
                <w:szCs w:val="18"/>
              </w:rPr>
            </w:pPr>
            <w:r>
              <w:rPr>
                <w:rFonts w:hint="eastAsia"/>
                <w:color w:val="000000"/>
                <w:sz w:val="18"/>
                <w:szCs w:val="18"/>
              </w:rPr>
              <w:t>30元/吨、50元/吨</w:t>
            </w:r>
          </w:p>
        </w:tc>
      </w:tr>
      <w:tr>
        <w:trPr>
          <w:trHeight w:val="397"/>
          <w:jc w:val="center"/>
        </w:trPr>
        <w:tc>
          <w:tcPr>
            <w:tcW w:w="2500" w:type="pct"/>
            <w:shd w:val="clear" w:color="auto" w:fill="auto"/>
            <w:noWrap/>
            <w:vAlign w:val="center"/>
          </w:tcPr>
          <w:p>
            <w:pPr>
              <w:rPr>
                <w:color w:val="000000"/>
                <w:sz w:val="18"/>
                <w:szCs w:val="18"/>
              </w:rPr>
            </w:pPr>
            <w:r>
              <w:rPr>
                <w:rFonts w:hint="eastAsia"/>
                <w:color w:val="000000"/>
                <w:sz w:val="18"/>
                <w:szCs w:val="18"/>
              </w:rPr>
              <w:t>本公司之新疆境内子公司</w:t>
            </w:r>
          </w:p>
        </w:tc>
        <w:tc>
          <w:tcPr>
            <w:tcW w:w="2500" w:type="pct"/>
            <w:shd w:val="clear" w:color="auto" w:fill="auto"/>
            <w:noWrap/>
            <w:vAlign w:val="center"/>
          </w:tcPr>
          <w:p>
            <w:pPr>
              <w:jc w:val="center"/>
              <w:rPr>
                <w:color w:val="000000"/>
                <w:sz w:val="18"/>
                <w:szCs w:val="18"/>
              </w:rPr>
            </w:pPr>
            <w:r>
              <w:rPr>
                <w:rFonts w:hint="eastAsia"/>
                <w:color w:val="000000"/>
                <w:sz w:val="18"/>
                <w:szCs w:val="18"/>
              </w:rPr>
              <w:t>15元/吨、30元/吨、50元/吨</w:t>
            </w:r>
          </w:p>
        </w:tc>
      </w:tr>
    </w:tbl>
    <w:p>
      <w:pPr>
        <w:pStyle w:val="affffffffffffffffffffffffffffffffff4"/>
        <w:ind w:left="425"/>
        <w:rPr>
          <w:rFonts w:ascii="宋体" w:hAnsi="宋体" w:cs="宋体"/>
          <w:kern w:val="0"/>
          <w:szCs w:val="24"/>
        </w:rPr>
      </w:pPr>
    </w:p>
    <w:p>
      <w:pPr>
        <w:pStyle w:val="affffffffffffffffffffffffffffffffff4"/>
        <w:rPr>
          <w:rFonts w:ascii="宋体" w:hAnsi="宋体" w:cs="宋体"/>
          <w:kern w:val="0"/>
          <w:szCs w:val="24"/>
        </w:rPr>
      </w:pPr>
      <w:r>
        <w:rPr>
          <w:rFonts w:ascii="宋体" w:hAnsi="宋体" w:cs="宋体" w:hint="eastAsia"/>
          <w:kern w:val="0"/>
          <w:szCs w:val="24"/>
        </w:rPr>
        <w:t>根据财政部、国家安全生产监督管理总局、国家煤炭安全监察局及有关地方政府部门的规定，自</w:t>
      </w:r>
      <w:r>
        <w:rPr>
          <w:rFonts w:ascii="宋体" w:hAnsi="宋体" w:cs="宋体"/>
          <w:kern w:val="0"/>
          <w:szCs w:val="24"/>
        </w:rPr>
        <w:t>2019年9月1日起，冲击地压煤矿应当在国家规定的安全费用提取标准的基础上，按照每吨煤不少于15元加提安全费用。本集团及山东境内子公司所属冲击地压煤矿自2019年9月1日起，在国家规定的安全费用提取标准的基础上，按照每吨煤15元加提安全费用。</w:t>
      </w:r>
    </w:p>
    <w:p>
      <w:pPr>
        <w:pStyle w:val="affffffffffffffffffffffffffffffffff4"/>
        <w:rPr>
          <w:rFonts w:ascii="宋体" w:hAnsi="宋体" w:cs="宋体"/>
          <w:kern w:val="0"/>
          <w:szCs w:val="24"/>
        </w:rPr>
      </w:pPr>
      <w:r>
        <w:rPr>
          <w:rFonts w:ascii="宋体" w:hAnsi="宋体" w:cs="宋体"/>
          <w:kern w:val="0"/>
          <w:szCs w:val="24"/>
        </w:rPr>
        <w:t>2022年11月21日财政部发布《财政部安全生产费管理办法-财资（2022）136号》，规定自管理办法颁布之日起，冲击地压煤矿按照每吨煤50元计提安全生产费。</w:t>
      </w:r>
    </w:p>
    <w:p>
      <w:pPr>
        <w:pStyle w:val="affffffffffffffffffffffffffffffffff4"/>
        <w:rPr>
          <w:rFonts w:ascii="宋体" w:hAnsi="宋体" w:cs="宋体"/>
          <w:kern w:val="0"/>
          <w:szCs w:val="24"/>
        </w:rPr>
      </w:pPr>
      <w:r>
        <w:rPr>
          <w:rFonts w:ascii="宋体" w:hAnsi="宋体" w:cs="宋体" w:hint="eastAsia"/>
          <w:kern w:val="0"/>
          <w:szCs w:val="24"/>
        </w:rPr>
        <w:t>上述计提额在成本费用中列支、已计提未使用金额在所有者权益的“专项储备”项目单独反映。使用安全生产费时，属于费用性支出的，直接冲减专项储备。企业使用提取的安全生产费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p>
      <w:pPr>
        <w:pStyle w:val="affffffffffffffffffffffffffffffffff4"/>
        <w:ind w:firstLineChars="0" w:firstLine="0"/>
        <w:rPr>
          <w:rFonts w:ascii="宋体" w:hAnsi="宋体" w:cs="宋体"/>
          <w:kern w:val="0"/>
          <w:szCs w:val="24"/>
        </w:rPr>
      </w:pPr>
      <w:r>
        <w:rPr>
          <w:rFonts w:ascii="宋体" w:hAnsi="宋体" w:cs="宋体"/>
          <w:kern w:val="0"/>
          <w:szCs w:val="24"/>
        </w:rPr>
        <w:t>3.一般风险准备</w:t>
      </w:r>
    </w:p>
    <w:p>
      <w:pPr>
        <w:pStyle w:val="affffffffffffffffffffffffffffffffff4"/>
        <w:ind w:firstLineChars="0" w:firstLine="0"/>
        <w:rPr>
          <w:rFonts w:ascii="宋体" w:hAnsi="宋体" w:cs="宋体"/>
          <w:kern w:val="0"/>
          <w:szCs w:val="24"/>
        </w:rPr>
      </w:pPr>
      <w:r>
        <w:rPr>
          <w:rFonts w:ascii="宋体" w:hAnsi="宋体" w:cs="宋体" w:hint="eastAsia"/>
          <w:kern w:val="0"/>
          <w:szCs w:val="24"/>
        </w:rPr>
        <w:t>根据财政部《金融企业准备金计提管理办法》（财金〔</w:t>
      </w:r>
      <w:r>
        <w:rPr>
          <w:rFonts w:ascii="宋体" w:hAnsi="宋体" w:cs="宋体"/>
          <w:kern w:val="0"/>
          <w:szCs w:val="24"/>
        </w:rPr>
        <w:t xml:space="preserve">2012〕20号）规定，本集团之子公司山东能源集团财务有限公司按照不低于风险资产资产负债表日余额的1.5%计提一般风险准备金。 </w:t>
      </w:r>
      <w:r>
        <w:rPr>
          <w:rFonts w:ascii="宋体" w:hAnsi="宋体" w:cs="宋体" w:hint="eastAsia"/>
          <w:kern w:val="0"/>
          <w:szCs w:val="24"/>
        </w:rPr>
        <w:t xml:space="preserve"> </w:t>
      </w:r>
    </w:p>
    <w:p>
      <w:pPr>
        <w:keepNext/>
        <w:keepLines/>
        <w:widowControl w:val="0"/>
        <w:numPr>
          <w:ilvl w:val="0"/>
          <w:numId w:val="94"/>
        </w:numPr>
        <w:spacing w:before="60" w:line="360" w:lineRule="auto"/>
        <w:jc w:val="both"/>
        <w:outlineLvl w:val="2"/>
        <w:rPr>
          <w:b/>
          <w:bCs/>
          <w:szCs w:val="21"/>
        </w:rPr>
      </w:pPr>
      <w:r>
        <w:rPr>
          <w:rFonts w:hint="eastAsia"/>
          <w:b/>
          <w:bCs/>
          <w:szCs w:val="21"/>
        </w:rPr>
        <w:lastRenderedPageBreak/>
        <w:t>收入</w:t>
      </w:r>
    </w:p>
    <w:p>
      <w:pPr>
        <w:pStyle w:val="afffffffffffffffffffffffffffffffff1"/>
        <w:numPr>
          <w:ilvl w:val="3"/>
          <w:numId w:val="100"/>
        </w:numPr>
        <w:rPr>
          <w:szCs w:val="21"/>
        </w:rPr>
      </w:pPr>
      <w:r>
        <w:rPr>
          <w:rFonts w:hint="eastAsia"/>
          <w:szCs w:val="21"/>
        </w:rPr>
        <w:t>按照业务类型披露收入确认和计量所采用的会计政策</w:t>
      </w:r>
    </w:p>
    <w:sdt>
      <w:sdtPr>
        <w:rPr>
          <w:szCs w:val="21"/>
        </w:rPr>
        <w:alias w:val="是否适用：收入确认和计量所采用的会计政策[双击切换]"/>
        <w:tag w:val="_GBC_58b9f76eca7b4d9d8e5c5dfd0fba5c09"/>
        <w:id w:val="-16609993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收入确认和计量所采用的会计政策"/>
        <w:tag w:val="_GBC_9ba2713a8f0a44ef9a4ee890aa13e0fb"/>
        <w:id w:val="1813061903"/>
        <w:placeholder>
          <w:docPart w:val="GBC22222222222222222222222222222"/>
        </w:placeholder>
      </w:sdtPr>
      <w:sdtContent>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本集团的营业收入包括销售煤炭、销售甲醇等煤制化工产品、销售电力及热力、销售矿用设备、机电设备、橡胶制品、辅助材料、大宗物资、贷款和租赁、物流运输等业务收入。</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本集团在履行了合同中的履约义务，即在客户取得相关商品或服务的控制权时，确认收入。</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合同中包含两项或多项履约义务的，本集团在合同开始日，按照各单项履约义务所承诺商品或服务的单独售价的相对比例，将交易价格分摊至各单项履约义务，按照分摊至各单项履约义务的交易价格计量收入。</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交易价格是本集团因向客户转让商品或服务而预期有权收取的对价金额，不包括代第三方收取的款项。本集团确认的交易价格不超过在相关不确定性消除时累计已确认收入极可能不会发生重大转回的金额。预期将退还给客户的款项作为退货负债，不计入交易价格。合同中存在重大融资成分的，本集团按照假定客户在取得商品或服务控制权时即以现金支付的应付金额确定交易价格。该交易价格与合同对价之间的差额，在合同期间内采用实际利率法摊销。合同开始日，本集团预计客户取得商品或服务控制权与客户支付价款间隔不超过一年的，不考虑合同中存在的重大融资成分。</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满足下列条件之一时，本集团属于在某一段时间内履行履约义务，否则，属于在某一时点履行履约义务：</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（1）客户在本集团履约的同时即取得并消耗本集团履约所带来的经济利益；</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（2）客户能够控制本集团履约过程中在建的商品；</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（3）本集团履约过程中所产出的商品具有不可替代用途，且本集团在整个合同期间内有权就累计至今已完成的履约部分收取款项。</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于在某一时段内履行的履约义务，本集团在该段时间内按照履约进度确认收入。履约进度不能合理确定时，本集团已经发生的成本预计能够得到补偿的，按照已经发生的成本金额确认收入，直到履约进度能够合理确定为止。</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对于在某一时点履行的履约义务，本集团在客户取得相关商品或服务控制权时点确认收入。在判断客户是否已取得商品或服务控制权时，本集团会考虑下列迹象：</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（1）本集团就该商品或服务享有现时收款权利；</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（2）本集团已将该商品的法定所有权转移给客户；</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（3）本集团已将该商品的实物转移给客户；</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（4）本集团已将该商品所有权上的主要风险和报酬转移给客户；</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（5）客户已接受该商品或服务等。</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本集团根据其在向客户转让商品前是否拥有对该商品的控制权，来判断其从事交易时的身份</w:t>
          </w:r>
          <w:r>
            <w:rPr>
              <w:rFonts w:asciiTheme="minorEastAsia" w:eastAsiaTheme="minorEastAsia" w:hAnsiTheme="minorEastAsia" w:hint="eastAsia"/>
              <w:szCs w:val="21"/>
            </w:rPr>
            <w:lastRenderedPageBreak/>
            <w:t>是主要责任人还是代理人。在向客户转让商品前能够控制该商品的，本集团为主要责任人，按照已收或对价总额确认收入；否则为代理人，按照预期有权收取的佣金或手续费的金额确认收入，该金额按照已收或应收对价总额扣除支付给其他相关方的价款后净额，或者按照既定的佣金额比例确定。本集团判断在向客户转让商品前能够控制该商品的情形包括：</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（1）本集团自第三方取得商品或其他资产控制权后，再转让给客户；</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（2）本集团能够主导第三方代表本集团向客户提供服务；</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（3）本集团自第三方取得商品控制权后，通过提供重大的服务将该商品与其他整合成某组产出转让给客户。</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在具体判断向客户转让商品前是否拥有对该商品的控制权时，不仅局限于合同的法律形式，并综合考虑所有相关事实和情况，这些事实和情况包括：</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（1）本集团承担向客户转让商品的主要责任；</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（2）本集团在转让商品之前或之后承担了该商品的存货风险；</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（3）本集团有权自主决定所交易商品的价格；</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（4）其他相关事实和情况。</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本集团已向客户转让商品或服务而有权收取对价的权利(且该权利取决于时间流逝之外的其他因素)作为合同资产列示，合同资产以预期信用损失为基础计提减值（参见本附注“五、（十一）金融工具”）。本集团拥有的、无条件（仅取决于时间流逝）向客户收取对价的权利作为应收款项列示。本集团已收或应收客户对价而应向客户转让商品或服务的义务作为合同负债列示。</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与本集团取得收入的主要活动相关的具体会计政策描述如下：</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（1）本集团煤炭、甲醇等化工产品、热力、矿用设备、机电设备、橡胶制品、辅助材料、大宗物资及其他商品在控制权转移给购货方时予以确认；</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（2）本集团电力销售收入在电力供应至各电厂所在地的电网公司，电网公司取得电力的控制权时确认收入，并根据供电量及每年与有关各电力公司确定的适用电价计算；</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（3）本集团出售房产开发产品的收入在房产开发产品完工并验收合格，签订具有法律约束力的销售合同，将房产开发产品的控制权转移给购买方时予以确认；</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（4）本集团铁路、航运、公路以及其他服务收入在劳务完成时确认；</w:t>
          </w:r>
        </w:p>
        <w:p>
          <w:pPr>
            <w:pStyle w:val="affffffffffffffffffffffffffffffffffb"/>
            <w:spacing w:afterLines="50" w:after="120" w:line="36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（5）本集团利息收入按借出货币资金的时间和实际利率计算确定。</w:t>
          </w:r>
        </w:p>
      </w:sdtContent>
    </w:sdt>
    <w:p>
      <w:pPr>
        <w:rPr>
          <w:szCs w:val="21"/>
        </w:rPr>
      </w:pPr>
    </w:p>
    <w:p>
      <w:pPr>
        <w:pStyle w:val="afffffffffffffffffffffffffffffffff1"/>
        <w:numPr>
          <w:ilvl w:val="3"/>
          <w:numId w:val="100"/>
        </w:numPr>
        <w:ind w:left="426" w:hanging="426"/>
        <w:rPr>
          <w:szCs w:val="21"/>
        </w:rPr>
      </w:pPr>
      <w:bookmarkStart w:id="336" w:name="_Hlk533668087"/>
      <w:bookmarkEnd w:id="335"/>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sdt>
      <w:sdtPr>
        <w:rPr>
          <w:szCs w:val="21"/>
        </w:rPr>
        <w:alias w:val="是否适用：同类业务采用不同经营模式导致收入确认会计政策存在差异的情况[双击切换]"/>
        <w:tag w:val="_GBC_778cfed951bb4cf4997e2d67e4b1e3a9"/>
        <w:id w:val="-196588456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keepNext/>
        <w:keepLines/>
        <w:widowControl w:val="0"/>
        <w:numPr>
          <w:ilvl w:val="0"/>
          <w:numId w:val="94"/>
        </w:numPr>
        <w:spacing w:before="60" w:line="360" w:lineRule="auto"/>
        <w:jc w:val="both"/>
        <w:outlineLvl w:val="2"/>
        <w:rPr>
          <w:b/>
          <w:szCs w:val="21"/>
        </w:rPr>
      </w:pPr>
      <w:bookmarkStart w:id="337" w:name="_Hlk533668133"/>
      <w:bookmarkEnd w:id="336"/>
      <w:r>
        <w:rPr>
          <w:rFonts w:hint="eastAsia"/>
          <w:b/>
          <w:szCs w:val="21"/>
        </w:rPr>
        <w:t>合同成本</w:t>
      </w:r>
    </w:p>
    <w:sdt>
      <w:sdtPr>
        <w:alias w:val="是否适用：合同成本_重要会计政策和估计[双击切换]"/>
        <w:tag w:val="_GBC_c5b4accd569d48e8a81ed05eb0bf64fb"/>
        <w:id w:val="67453429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合同成本_重要会计政策和估计"/>
        <w:tag w:val="_GBC_74258d199b3d4540b8df00b35751b505"/>
        <w:id w:val="1523287508"/>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合同成本分为合同履约成本与合同取得成本。</w:t>
          </w:r>
        </w:p>
        <w:p>
          <w:pPr>
            <w:pStyle w:val="affffffffffffffffffffffffffffffffffb"/>
            <w:spacing w:afterLines="50" w:after="120" w:line="360" w:lineRule="exact"/>
            <w:ind w:firstLineChars="200" w:firstLine="420"/>
            <w:rPr>
              <w:rFonts w:hAnsi="宋体"/>
            </w:rPr>
          </w:pPr>
          <w:r>
            <w:rPr>
              <w:rFonts w:hAnsi="宋体" w:hint="eastAsia"/>
            </w:rPr>
            <w:t>本集团企业为履行合同发生的成本同时满足下列条件的，作为合同履约成本确认为一项资产：</w:t>
          </w:r>
        </w:p>
        <w:p>
          <w:pPr>
            <w:pStyle w:val="affffffffffffffffffffffffffffffffffb"/>
            <w:spacing w:afterLines="50" w:after="120" w:line="360" w:lineRule="exact"/>
            <w:ind w:firstLineChars="200" w:firstLine="420"/>
            <w:rPr>
              <w:rFonts w:hAnsi="宋体"/>
            </w:rPr>
          </w:pPr>
          <w:r>
            <w:rPr>
              <w:rFonts w:hAnsi="宋体" w:hint="eastAsia"/>
            </w:rPr>
            <w:t>1.该成本与一份当前或预期取得的合同直接相关，包括直接人工、直接材料、制造费用（或类似费用）、明确由客户承担的成本以及仅因该合同而发生的其他成本；</w:t>
          </w:r>
        </w:p>
        <w:p>
          <w:pPr>
            <w:pStyle w:val="affffffffffffffffffffffffffffffffffb"/>
            <w:spacing w:afterLines="50" w:after="120" w:line="360" w:lineRule="exact"/>
            <w:ind w:firstLineChars="200" w:firstLine="420"/>
            <w:rPr>
              <w:rFonts w:hAnsi="宋体"/>
            </w:rPr>
          </w:pPr>
          <w:r>
            <w:rPr>
              <w:rFonts w:hAnsi="宋体" w:hint="eastAsia"/>
            </w:rPr>
            <w:t>2.该成本增加了企业未来用于履行履约义务的资源；</w:t>
          </w:r>
        </w:p>
        <w:p>
          <w:pPr>
            <w:pStyle w:val="affffffffffffffffffffffffffffffffffb"/>
            <w:spacing w:afterLines="50" w:after="120" w:line="360" w:lineRule="exact"/>
            <w:ind w:firstLineChars="200" w:firstLine="420"/>
            <w:rPr>
              <w:rFonts w:hAnsi="宋体"/>
            </w:rPr>
          </w:pPr>
          <w:r>
            <w:rPr>
              <w:rFonts w:hAnsi="宋体" w:hint="eastAsia"/>
            </w:rPr>
            <w:t>3.该成本预期能够收回。</w:t>
          </w:r>
        </w:p>
        <w:p>
          <w:pPr>
            <w:pStyle w:val="affffffffffffffffffffffffffffffffffb"/>
            <w:spacing w:afterLines="50" w:after="120" w:line="360" w:lineRule="exact"/>
            <w:ind w:firstLineChars="200" w:firstLine="420"/>
            <w:rPr>
              <w:rFonts w:hAnsi="宋体"/>
            </w:rPr>
          </w:pPr>
          <w:r>
            <w:rPr>
              <w:rFonts w:hAnsi="宋体" w:hint="eastAsia"/>
            </w:rPr>
            <w:t>本集团为取得合同发生的增量成本预期能够收回的，作为合同取得成本确认为一项资产；但是，该资产摊销不超过一年的可以在发生时计入当期损益。</w:t>
          </w:r>
        </w:p>
        <w:p>
          <w:pPr>
            <w:pStyle w:val="affffffffffffffffffffffffffffffffffb"/>
            <w:spacing w:afterLines="50" w:after="120" w:line="360" w:lineRule="exact"/>
            <w:ind w:firstLineChars="200" w:firstLine="420"/>
            <w:rPr>
              <w:rFonts w:hAnsi="宋体"/>
            </w:rPr>
          </w:pPr>
          <w:r>
            <w:rPr>
              <w:rFonts w:hAnsi="宋体" w:hint="eastAsia"/>
            </w:rPr>
            <w:t>与合同成本有关的资产采用与该资产相关的商品或服务收入确认相同的基础进行摊销。</w:t>
          </w:r>
        </w:p>
        <w:p>
          <w:pPr>
            <w:pStyle w:val="affffffffffffffffffffffffffffffffffb"/>
            <w:spacing w:afterLines="50" w:after="120" w:line="360" w:lineRule="exact"/>
            <w:ind w:firstLineChars="200" w:firstLine="420"/>
            <w:rPr>
              <w:rFonts w:hAnsi="宋体"/>
            </w:rPr>
          </w:pPr>
          <w:r>
            <w:rPr>
              <w:rFonts w:hAnsi="宋体" w:hint="eastAsia"/>
            </w:rPr>
            <w:t>与合同成本有关的资产，其账面价值高于下列两项的差额的，本集团将对于超出部分计提减值准备，并确认为资产减值损失：</w:t>
          </w:r>
        </w:p>
        <w:p>
          <w:pPr>
            <w:pStyle w:val="affffffffffffffffffffffffffffffffffb"/>
            <w:spacing w:afterLines="50" w:after="120" w:line="360" w:lineRule="exact"/>
            <w:ind w:firstLineChars="200" w:firstLine="420"/>
            <w:rPr>
              <w:rFonts w:hAnsi="宋体"/>
            </w:rPr>
          </w:pPr>
          <w:r>
            <w:rPr>
              <w:rFonts w:hAnsi="宋体" w:hint="eastAsia"/>
            </w:rPr>
            <w:t>1.因转让与该资产相关的商品或服务预期能够取得的剩余对价；</w:t>
          </w:r>
        </w:p>
        <w:p>
          <w:pPr>
            <w:pStyle w:val="affffffffffffffffffffffffffffffffffb"/>
            <w:spacing w:afterLines="50" w:after="120" w:line="360" w:lineRule="exact"/>
            <w:ind w:firstLineChars="200" w:firstLine="420"/>
            <w:rPr>
              <w:rFonts w:hAnsi="宋体"/>
            </w:rPr>
          </w:pPr>
          <w:r>
            <w:rPr>
              <w:rFonts w:hAnsi="宋体" w:hint="eastAsia"/>
            </w:rPr>
            <w:t>2.为转让该相关商品或服务估计将要发生的成本。</w:t>
          </w:r>
        </w:p>
        <w:p>
          <w:pPr>
            <w:pStyle w:val="affffffffffffffffffffffffffffffffffb"/>
            <w:spacing w:afterLines="50" w:after="120" w:line="360" w:lineRule="exact"/>
            <w:ind w:firstLineChars="200" w:firstLine="420"/>
            <w:rPr>
              <w:rFonts w:hAnsi="宋体"/>
            </w:rPr>
          </w:pPr>
          <w:r>
            <w:rPr>
              <w:rFonts w:hAnsi="宋体" w:hint="eastAsia"/>
            </w:rPr>
            <w:t>上述资产减值准备后续发生转回的，转回后的资产账面价值不超过假定不计提减值准备情况下该资产在转回日的账面价值。</w:t>
          </w:r>
        </w:p>
      </w:sdtContent>
    </w:sdt>
    <w:p>
      <w:pPr>
        <w:rPr>
          <w:szCs w:val="21"/>
        </w:rPr>
      </w:pPr>
    </w:p>
    <w:p>
      <w:pPr>
        <w:keepNext/>
        <w:keepLines/>
        <w:widowControl w:val="0"/>
        <w:numPr>
          <w:ilvl w:val="0"/>
          <w:numId w:val="94"/>
        </w:numPr>
        <w:spacing w:before="60" w:line="360" w:lineRule="auto"/>
        <w:jc w:val="both"/>
        <w:outlineLvl w:val="2"/>
        <w:rPr>
          <w:b/>
        </w:rPr>
      </w:pPr>
      <w:bookmarkStart w:id="338" w:name="_Hlk533668149"/>
      <w:bookmarkEnd w:id="337"/>
      <w:r>
        <w:rPr>
          <w:b/>
        </w:rPr>
        <w:t>政府补助</w:t>
      </w:r>
    </w:p>
    <w:sdt>
      <w:sdtPr>
        <w:alias w:val="是否适用：政府补助_重要会计政策和估计[双击切换]"/>
        <w:tag w:val="_GBC_d8ac76c6a68c49fb952fadc0e46c9ef4"/>
        <w:id w:val="187527061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政府补助_重要会计政策和估计"/>
        <w:tag w:val="_GBC_cbcbe4da2edd4cf1b6108f1c89e035f7"/>
        <w:id w:val="391712644"/>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政府补助在能够满足其所附的条件并且能够收到时，予以确认。政府补助为货币性资产的，按照实际收到的金额计量，对于按照固定的定额标准拨付的补助，或对年末有确凿证据表明能够符合财政扶持政策规定的相关条件且预计能够收到财政扶持资金时，按照应收的金额计量；政府补助为非货币性资产的，按照公允价值计量，公允价值不能可靠取得的，按照名义金额(1元)计量。</w:t>
          </w:r>
        </w:p>
        <w:p>
          <w:pPr>
            <w:pStyle w:val="affffffffffffffffffffffffffffffffffb"/>
            <w:spacing w:afterLines="50" w:after="120" w:line="360" w:lineRule="exact"/>
            <w:ind w:firstLineChars="200" w:firstLine="420"/>
            <w:rPr>
              <w:rFonts w:hAnsi="宋体"/>
            </w:rPr>
          </w:pPr>
          <w:r>
            <w:rPr>
              <w:rFonts w:hAnsi="宋体" w:hint="eastAsia"/>
            </w:rPr>
            <w:t>本集团的政府补助包括与资产相关的政府补助、与收益相关的政府补助。其中，与资产相关的政府补助，是指本集团取得的、用于购建或以其他方式形成长期资产的政府补助；与收益相关的政府补助，是指除与资产相关的政府补助之外的政府补助。如果政府文件中未明确规定补助对象，本集团按照上述区分原则进行判断，难以区分的，整体归类为与收益相关的政府补助。</w:t>
          </w:r>
        </w:p>
        <w:p>
          <w:pPr>
            <w:pStyle w:val="affffffffffffffffffffffffffffffffffb"/>
            <w:spacing w:afterLines="50" w:after="120" w:line="360" w:lineRule="exact"/>
            <w:ind w:firstLineChars="200" w:firstLine="420"/>
            <w:rPr>
              <w:rFonts w:hAnsi="宋体"/>
            </w:rPr>
          </w:pPr>
          <w:r>
            <w:rPr>
              <w:rFonts w:hAnsi="宋体" w:hint="eastAsia"/>
            </w:rPr>
            <w:t>与资产相关的政府补助确认为递延收益，在相关资产使用寿命内平均分配计入当期损益。相关资产在使用寿命结束前被出售、转让、报废或发生毁损的，将尚未分配的相关递延收益余额转入资产处置当期的损益。</w:t>
          </w:r>
        </w:p>
        <w:p>
          <w:pPr>
            <w:pStyle w:val="affffffffffffffffffffffffffffffffffb"/>
            <w:spacing w:afterLines="50" w:after="120" w:line="360" w:lineRule="exact"/>
            <w:ind w:firstLineChars="200" w:firstLine="420"/>
            <w:rPr>
              <w:rFonts w:hAnsi="宋体"/>
            </w:rPr>
          </w:pPr>
          <w:r>
            <w:rPr>
              <w:rFonts w:hAnsi="宋体" w:hint="eastAsia"/>
            </w:rPr>
            <w:t>与收益相关的政府补助，用于补偿以后期间的相关成本费用或损失的，确认为递延收益，并在确认相关成本费用或损失的期间计入当期损益。与日常活动相关的政府补助，按照经济业务实质，计入其他收益或冲减相关成本费用。与日常活动无关的政府补助，计入营业外收支。</w:t>
          </w:r>
        </w:p>
      </w:sdtContent>
    </w:sdt>
    <w:p>
      <w:pPr>
        <w:pStyle w:val="affffffffffffffffffffffffffffffffe"/>
      </w:pPr>
    </w:p>
    <w:bookmarkEnd w:id="338"/>
    <w:p>
      <w:pPr>
        <w:keepNext/>
        <w:keepLines/>
        <w:widowControl w:val="0"/>
        <w:numPr>
          <w:ilvl w:val="0"/>
          <w:numId w:val="94"/>
        </w:numPr>
        <w:spacing w:before="60" w:line="360" w:lineRule="auto"/>
        <w:jc w:val="both"/>
        <w:outlineLvl w:val="2"/>
        <w:rPr>
          <w:b/>
        </w:rPr>
      </w:pPr>
      <w:r>
        <w:rPr>
          <w:b/>
        </w:rPr>
        <w:t>递延所得税资产/递延所得税负债</w:t>
      </w:r>
    </w:p>
    <w:sdt>
      <w:sdtPr>
        <w:rPr>
          <w:rFonts w:hint="eastAsia"/>
          <w:szCs w:val="21"/>
        </w:rPr>
        <w:alias w:val="是否适用：所得税的会计处理方法[双击切换]"/>
        <w:tag w:val="_GBC_7e8295f4559b44568e5d37a6a605588c"/>
        <w:id w:val="-193087784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896278972"/>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递延所得税资产和递延所得税负债根据资产和负债的计税基础与其账面价值之间的差额、以及未作为资产和负债确认但按照税法规定可以确定其计税基础的项目的计税基础与其账面价值之间的差额产生的(暂时性差异)计算确认。</w:t>
          </w:r>
        </w:p>
        <w:p>
          <w:pPr>
            <w:pStyle w:val="affffffffffffffffffffffffffffffffffb"/>
            <w:spacing w:afterLines="50" w:after="120" w:line="360" w:lineRule="exact"/>
            <w:ind w:firstLineChars="200" w:firstLine="420"/>
            <w:rPr>
              <w:rFonts w:hAnsi="宋体"/>
            </w:rPr>
          </w:pPr>
          <w:r>
            <w:rPr>
              <w:rFonts w:hAnsi="宋体" w:hint="eastAsia"/>
            </w:rPr>
            <w:t>本集团对除以下情形外的所有应纳税暂时性差异确认递延所得税负债：（1）暂时性差异产生于商誉的初始确认或既不影响会计利润也不影响应纳税所得额(或可抵扣亏损)的非企业合并的交易中产生的资产或负债的初始确认；（2）与子公司、联营企业及合营企业投资相关的应纳税暂时性差异，本集团能够控制暂时性差异转回的时间且该暂时性差异在可预见的未来很可能不会转回的。</w:t>
          </w:r>
        </w:p>
        <w:p>
          <w:pPr>
            <w:pStyle w:val="affffffffffffffffffffffffffffffffffb"/>
            <w:spacing w:afterLines="50" w:after="120" w:line="360" w:lineRule="exact"/>
            <w:ind w:firstLineChars="200" w:firstLine="420"/>
            <w:rPr>
              <w:rFonts w:hAnsi="宋体"/>
            </w:rPr>
          </w:pPr>
          <w:r>
            <w:rPr>
              <w:rFonts w:hAnsi="宋体" w:hint="eastAsia"/>
            </w:rPr>
            <w:t>本集团以很可能取得用来抵扣可抵扣暂时性差异、可抵扣亏损和税款抵减的未来应纳税所得额为限，对除以下情形外产生的可抵扣暂时性差异、可抵扣亏损和税款抵减确认递延所得税资产：（1）暂时性差异产生于既不影响会计利润也不影响应纳税所得额(或可抵扣亏损)的非企业合并的交易中产生的资产或负债的初始确认；（2）与子公司、联营企业及合营企业投资相关的可抵扣暂时性差异，不能同时满足以下条件的：暂时性差异在可预见的未来很可能转回、未来很可能获得用来抵扣可抵扣暂时性差异的应纳税所得额。</w:t>
          </w:r>
        </w:p>
        <w:p>
          <w:pPr>
            <w:pStyle w:val="affffffffffffffffffffffffffffffffffb"/>
            <w:spacing w:afterLines="50" w:after="120" w:line="360" w:lineRule="exact"/>
            <w:ind w:firstLineChars="200" w:firstLine="420"/>
            <w:rPr>
              <w:rFonts w:hAnsi="宋体"/>
            </w:rPr>
          </w:pPr>
          <w:r>
            <w:rPr>
              <w:rFonts w:hAnsi="宋体" w:hint="eastAsia"/>
            </w:rPr>
            <w:t>本集团在很可能有足够的应纳税所得额用以抵扣可抵扣亏损的限度内，就所有尚未利用的可抵扣亏损确认递延所得税资产。管理层运用大量的判断来估计未来取得应纳税所得额的时间和金额，结合纳税筹划策略，决定应确认的递延所得税资产的金额，因此存在不确定性。</w:t>
          </w:r>
        </w:p>
        <w:p>
          <w:pPr>
            <w:pStyle w:val="affffffffffffffffffffffffffffffffffb"/>
            <w:spacing w:afterLines="50" w:after="120" w:line="360" w:lineRule="exact"/>
            <w:ind w:firstLineChars="200" w:firstLine="420"/>
            <w:rPr>
              <w:rFonts w:hAnsi="宋体"/>
            </w:rPr>
          </w:pPr>
          <w:r>
            <w:rPr>
              <w:rFonts w:hAnsi="宋体" w:hint="eastAsia"/>
            </w:rPr>
            <w:t>于资产负债表日，递延所得税资产和递延所得税负债，按照预期收回该资产或清偿该负债期间的适用税率计量。</w:t>
          </w:r>
        </w:p>
        <w:p>
          <w:pPr>
            <w:pStyle w:val="affffffffffffffffffffffffffffffffffb"/>
            <w:spacing w:afterLines="50" w:after="120" w:line="360" w:lineRule="exact"/>
            <w:ind w:firstLineChars="200" w:firstLine="420"/>
            <w:rPr>
              <w:rFonts w:hAnsi="宋体"/>
            </w:rPr>
          </w:pPr>
          <w:r>
            <w:rPr>
              <w:rFonts w:hAnsi="宋体" w:hint="eastAsia"/>
            </w:rPr>
            <w:t>在同时满足下列条件时，本集团将递延所得税资产及递延所得税负债以抵消后的净额列示：本集团拥有以净额结算当期所得税资产及当期递延所得税负债的法定权利；递延所得税资产和递延所得税负债是与同一税收征管部门对同一纳税主体征收的所得税相关或者对不同的纳税主体相关，但在未来每一具有重要性的递延所得税资产和递延所得税负债转回的期间内，涉及的纳税主体体意图以净额结算当期所得税资产及当期所得税负债或是同时取得资产、清偿债务。</w:t>
          </w:r>
        </w:p>
        <w:p>
          <w:pPr>
            <w:pStyle w:val="affffffffffffffffffffffffffffffffffb"/>
            <w:spacing w:afterLines="50" w:after="120" w:line="360" w:lineRule="exact"/>
            <w:ind w:firstLineChars="200" w:firstLine="420"/>
            <w:rPr>
              <w:rFonts w:hAnsi="宋体"/>
            </w:rPr>
          </w:pPr>
          <w:r>
            <w:rPr>
              <w:rFonts w:hAnsi="宋体" w:hint="eastAsia"/>
            </w:rPr>
            <w:t>本集团对因单项交易而确认的租赁负债和使用权资产，以及确认的弃置义务相关预计负债和对应的相关资产，产生应纳税暂时性差异和可抵扣暂时性差异的，在交易发生时分别确认相应的递延所得税负债和递延所得税资产。</w:t>
          </w:r>
        </w:p>
      </w:sdtContent>
    </w:sdt>
    <w:p>
      <w:pPr>
        <w:rPr>
          <w:szCs w:val="21"/>
        </w:rPr>
      </w:pPr>
    </w:p>
    <w:p>
      <w:pPr>
        <w:keepNext/>
        <w:keepLines/>
        <w:widowControl w:val="0"/>
        <w:numPr>
          <w:ilvl w:val="0"/>
          <w:numId w:val="94"/>
        </w:numPr>
        <w:spacing w:before="60" w:line="360" w:lineRule="auto"/>
        <w:jc w:val="both"/>
        <w:outlineLvl w:val="2"/>
        <w:rPr>
          <w:b/>
        </w:rPr>
      </w:pPr>
      <w:r>
        <w:rPr>
          <w:b/>
        </w:rPr>
        <w:t>租赁</w:t>
      </w:r>
    </w:p>
    <w:sdt>
      <w:sdtPr>
        <w:alias w:val="是否适用：租赁_重要会计政策和估计[双击切换]"/>
        <w:tag w:val="_GBC_6915a792f5f54d76bb3c5c2090ce337f"/>
        <w:id w:val="94034560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b"/>
        <w:spacing w:afterLines="50" w:after="120" w:line="360" w:lineRule="exact"/>
        <w:ind w:firstLineChars="200" w:firstLine="420"/>
        <w:rPr>
          <w:rFonts w:hAnsi="宋体"/>
        </w:rPr>
      </w:pPr>
      <w:r>
        <w:rPr>
          <w:rFonts w:hAnsi="宋体" w:hint="eastAsia"/>
        </w:rPr>
        <w:t>在合同开始日，本集团评估合同是否为租赁或者包含租赁。如果合同一方让渡了在一定期间内控制一项或多项已识别资产使用的权利以换取对价，则该合同为租赁或者包含租赁。合同中同时包含多项单独租赁的，本集团将合同予以分拆，并分别各项单独租赁进行会计处。合同中同时</w:t>
      </w:r>
      <w:r>
        <w:rPr>
          <w:rFonts w:hAnsi="宋体" w:hint="eastAsia"/>
        </w:rPr>
        <w:lastRenderedPageBreak/>
        <w:t>包含租赁和非租赁部分的，本集团将租赁和非租赁部分分拆后进行会计处。各租赁部分分别按照租赁准则进行会计处理，非租赁部分按照其他适用的企业会计准则进行会计处理。</w:t>
      </w:r>
    </w:p>
    <w:p>
      <w:pPr>
        <w:rPr>
          <w:rFonts w:ascii="Calibri" w:hAnsi="Calibri" w:cs="Times New Roman"/>
          <w:b/>
          <w:kern w:val="2"/>
          <w:szCs w:val="32"/>
        </w:rPr>
      </w:pPr>
      <w:r>
        <w:rPr>
          <w:rFonts w:ascii="Calibri" w:hAnsi="Calibri" w:cs="Times New Roman"/>
          <w:b/>
          <w:kern w:val="2"/>
          <w:szCs w:val="32"/>
        </w:rPr>
        <w:t>作为承租方对短期租赁和低价值资产租赁进行简化处理的判断依据和会计处理方法</w:t>
      </w:r>
    </w:p>
    <w:sdt>
      <w:sdtPr>
        <w:rPr>
          <w:szCs w:val="21"/>
        </w:rPr>
        <w:alias w:val="是否适用：作为承租方对短期租赁和低价值资产租赁进行简化处理的判断依据和会计处理方法[双击切换]"/>
        <w:tag w:val="_GBC_96c8873101a04b4ab58dc379b95e7de7"/>
        <w:id w:val="127806502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承租方对短期租赁和低价值资产租赁进行简化处理的判断依据和会计处理方法"/>
        <w:tag w:val="_GBC_608ebcbb99ad40879d4235963013eef6"/>
        <w:id w:val="1030066362"/>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（1）租赁确认</w:t>
          </w:r>
        </w:p>
        <w:p>
          <w:pPr>
            <w:pStyle w:val="affffffffffffffffffffffffffffffffffb"/>
            <w:spacing w:afterLines="50" w:after="120" w:line="360" w:lineRule="exact"/>
            <w:ind w:firstLineChars="200" w:firstLine="420"/>
            <w:rPr>
              <w:rFonts w:hAnsi="宋体"/>
            </w:rPr>
          </w:pPr>
          <w:r>
            <w:rPr>
              <w:rFonts w:hAnsi="宋体" w:hint="eastAsia"/>
            </w:rPr>
            <w:t>除了短期租赁和低价值资产租赁，在租赁期开始日，本集团对租赁确认使用权资产和租赁负债。</w:t>
          </w:r>
        </w:p>
        <w:p>
          <w:pPr>
            <w:pStyle w:val="affffffffffffffffffffffffffffffffffb"/>
            <w:spacing w:afterLines="50" w:after="120" w:line="360" w:lineRule="exact"/>
            <w:ind w:firstLineChars="200" w:firstLine="420"/>
            <w:rPr>
              <w:rFonts w:hAnsi="宋体"/>
            </w:rPr>
          </w:pPr>
          <w:r>
            <w:rPr>
              <w:rFonts w:hAnsi="宋体" w:hint="eastAsia"/>
            </w:rPr>
            <w:t>使用权资产，是指本集团作为承租人可在租赁期内使用租赁资产的权利，按照成本进行初始计量。该成本包括：①租赁负债的初始计量金额；②在租赁期开始日或之前支付的租赁付款额扣除已享受的租赁激励相关金额；③发生的初始直接费用；④为拆卸及移除租赁资产、复原租赁资产所在场地或将租赁资产恢复至租赁条款约定状态预计将发生的成本（属于为生产存货而发生的除外）。本集团按照租赁准则有关规定重新计量租赁负债的，相应调整使用权资产的账面价值。</w:t>
          </w:r>
        </w:p>
        <w:p>
          <w:pPr>
            <w:pStyle w:val="affffffffffffffffffffffffffffffffffb"/>
            <w:spacing w:afterLines="50" w:after="120" w:line="360" w:lineRule="exact"/>
            <w:ind w:firstLineChars="200" w:firstLine="420"/>
            <w:rPr>
              <w:rFonts w:hAnsi="宋体"/>
            </w:rPr>
          </w:pPr>
          <w:r>
            <w:rPr>
              <w:rFonts w:hAnsi="宋体" w:hint="eastAsia"/>
            </w:rPr>
            <w:t>本集团根据与使用权资产有关的经济利益的预期消耗方式以直线法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计提的折旧金额根据使用权资产的用途，计入相关资产的成本或者当期损益。</w:t>
          </w:r>
        </w:p>
        <w:p>
          <w:pPr>
            <w:pStyle w:val="affffffffffffffffffffffffffffffffffb"/>
            <w:spacing w:afterLines="50" w:after="120" w:line="360" w:lineRule="exact"/>
            <w:ind w:firstLineChars="200" w:firstLine="420"/>
            <w:rPr>
              <w:rFonts w:hAnsi="宋体"/>
            </w:rPr>
          </w:pPr>
          <w:r>
            <w:rPr>
              <w:rFonts w:hAnsi="宋体" w:hint="eastAsia"/>
            </w:rPr>
            <w:t>本集团按照租赁期开始日尚未支付的租赁付款额的现值对租赁负债进行初始计量。租赁付款额包括：①固定付款额及实质固定付款额，扣除租赁激励相关金额；②取决于指数或比率的可变租赁付款额；③本集团合理确定将行使购买选择权时，购买选择权的行权价格；④租赁期反映出本集团将行使终止租赁选择权时，行使终止租赁选择权需支付的款项；⑤根据本集团提供的担保余值预计应支付的款项。</w:t>
          </w:r>
        </w:p>
        <w:p>
          <w:pPr>
            <w:pStyle w:val="affffffffffffffffffffffffffffffffffb"/>
            <w:spacing w:afterLines="50" w:after="120" w:line="360" w:lineRule="exact"/>
            <w:ind w:firstLineChars="200" w:firstLine="420"/>
            <w:rPr>
              <w:rFonts w:hAnsi="宋体"/>
            </w:rPr>
          </w:pPr>
          <w:r>
            <w:rPr>
              <w:rFonts w:hAnsi="宋体" w:hint="eastAsia"/>
            </w:rPr>
            <w:t>在计算租赁付款额的现值时，本集团采用租赁内含利率作为折现率。本集团按照固定的周期性利率计算租赁负债在租赁期内各期间的利息费用，并计入当期损益，但应当资本化的除外。</w:t>
          </w:r>
        </w:p>
        <w:p>
          <w:pPr>
            <w:pStyle w:val="affffffffffffffffffffffffffffffffffb"/>
            <w:spacing w:afterLines="50" w:after="120" w:line="360" w:lineRule="exact"/>
            <w:ind w:firstLineChars="200" w:firstLine="420"/>
            <w:rPr>
              <w:rFonts w:hAnsi="宋体"/>
            </w:rPr>
          </w:pPr>
          <w:r>
            <w:rPr>
              <w:rFonts w:hAnsi="宋体" w:hint="eastAsia"/>
            </w:rPr>
            <w:t>在租赁期开始日后，本集团确认租赁负债的利息时，增加租赁负债的账面金额；支付租赁付款额时，减少租赁负债的账面金额。当实质固定付款额发生变动、担保余值预计的应付金额发生变化、用于确定租赁付款额的指数或比率发生变动、购买选择权、续租选择权或终止选择权的评估结果或实际行权情况发生变化时，本集团按照变动后的租赁付款额的现值重新计量租赁负债。</w:t>
          </w:r>
        </w:p>
        <w:p>
          <w:pPr>
            <w:pStyle w:val="affffffffffffffffffffffffffffffffffb"/>
            <w:spacing w:afterLines="50" w:after="120" w:line="360" w:lineRule="exact"/>
            <w:ind w:firstLineChars="200" w:firstLine="420"/>
            <w:rPr>
              <w:rFonts w:hAnsi="宋体"/>
            </w:rPr>
          </w:pPr>
          <w:r>
            <w:rPr>
              <w:rFonts w:hAnsi="宋体" w:hint="eastAsia"/>
            </w:rPr>
            <w:t>（2）短期租赁和低价值资产租赁</w:t>
          </w:r>
        </w:p>
        <w:p>
          <w:pPr>
            <w:pStyle w:val="affffffffffffffffffffffffffffffffffb"/>
            <w:spacing w:afterLines="50" w:after="120" w:line="360" w:lineRule="exact"/>
            <w:ind w:firstLineChars="200" w:firstLine="420"/>
            <w:rPr>
              <w:rFonts w:hAnsi="宋体"/>
            </w:rPr>
          </w:pPr>
          <w:r>
            <w:rPr>
              <w:rFonts w:hAnsi="宋体" w:hint="eastAsia"/>
            </w:rPr>
            <w:t>对于租赁期不超过12个月的短期租赁和单项租赁资产为全新资产时价值较低的低价值资产租赁，本集团选择不确认使用权资产和租赁负债。本集团将短期租赁和低价值资产租赁的租赁付款额，在租赁期内各个期间按照直线法或其他系统合理的方法计入相关资产成本或当期损益。</w:t>
          </w:r>
        </w:p>
        <w:p>
          <w:pPr>
            <w:pStyle w:val="affffffffffffffffffffffffffffffffffb"/>
            <w:spacing w:afterLines="50" w:after="120" w:line="360" w:lineRule="exact"/>
            <w:ind w:firstLineChars="200" w:firstLine="420"/>
            <w:rPr>
              <w:rFonts w:hAnsi="宋体"/>
            </w:rPr>
          </w:pPr>
          <w:r>
            <w:rPr>
              <w:rFonts w:hAnsi="宋体" w:hint="eastAsia"/>
            </w:rPr>
            <w:t>（3）售后回租</w:t>
          </w:r>
        </w:p>
        <w:p>
          <w:pPr>
            <w:pStyle w:val="affffffffffffffffffffffffffffffffffb"/>
            <w:spacing w:afterLines="50" w:after="120" w:line="360" w:lineRule="exact"/>
            <w:ind w:firstLineChars="200" w:firstLine="420"/>
            <w:rPr>
              <w:rFonts w:hAnsi="宋体"/>
            </w:rPr>
          </w:pPr>
          <w:r>
            <w:rPr>
              <w:rFonts w:hAnsi="宋体" w:hint="eastAsia"/>
            </w:rPr>
            <w:t>本集团作为售后租回交易中的卖方兼承租人，对相关标的资产转让是否构成销售进行评估。本集团判断不构成销售的，本集团继续确认被转让资产，同时确认一项与转让收入等的金融负债；构成销售的，本集团按原资产账面价值中与租回获得的使用权有关的部分，计量售后租回所形成</w:t>
          </w:r>
          <w:r>
            <w:rPr>
              <w:rFonts w:hAnsi="宋体" w:hint="eastAsia"/>
            </w:rPr>
            <w:lastRenderedPageBreak/>
            <w:t>的使用权资产，并仅就转让至出租人的权利确认相关利得或损失。</w:t>
          </w:r>
        </w:p>
      </w:sdtContent>
    </w:sdt>
    <w:p>
      <w:pPr>
        <w:rPr>
          <w:rFonts w:ascii="Calibri" w:hAnsi="Calibri" w:cs="Times New Roman"/>
          <w:kern w:val="2"/>
          <w:szCs w:val="32"/>
        </w:rPr>
      </w:pPr>
    </w:p>
    <w:p>
      <w:pPr>
        <w:rPr>
          <w:rFonts w:ascii="Calibri" w:hAnsi="Calibri" w:cs="Times New Roman"/>
          <w:b/>
          <w:kern w:val="2"/>
          <w:szCs w:val="32"/>
        </w:rPr>
      </w:pPr>
      <w:r>
        <w:rPr>
          <w:rFonts w:ascii="Calibri" w:hAnsi="Calibri" w:cs="Times New Roman"/>
          <w:b/>
          <w:kern w:val="2"/>
          <w:szCs w:val="32"/>
        </w:rPr>
        <w:t>作为出租方的租赁分类标准和会计处理方法</w:t>
      </w:r>
    </w:p>
    <w:sdt>
      <w:sdtPr>
        <w:rPr>
          <w:szCs w:val="21"/>
        </w:rPr>
        <w:alias w:val="是否适用：作为出租方的租赁分类标准和会计处理方法[双击切换]"/>
        <w:tag w:val="_GBC_4ce66446786b4db69563b4f1b2b86d89"/>
        <w:id w:val="-167332303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作为出租方的租赁分类标准和会计处理方法"/>
        <w:tag w:val="_GBC_ca849938b2044c5a8ca6cd68a06181a3"/>
        <w:id w:val="-1790975830"/>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本集团作为出租人，如果一项租赁实质上转移了与租赁资产所有权有关的几乎全部风险和报酬，本集团将该项租赁分类为融资租赁，除此之外分类为经营租赁。</w:t>
          </w:r>
        </w:p>
        <w:p>
          <w:pPr>
            <w:pStyle w:val="affffffffffffffffffffffffffffffffffb"/>
            <w:spacing w:afterLines="50" w:after="120" w:line="360" w:lineRule="exact"/>
            <w:ind w:firstLineChars="200" w:firstLine="420"/>
            <w:rPr>
              <w:rFonts w:hAnsi="宋体"/>
            </w:rPr>
          </w:pPr>
          <w:r>
            <w:rPr>
              <w:rFonts w:hAnsi="宋体" w:hint="eastAsia"/>
            </w:rPr>
            <w:t>（1）融资租赁</w:t>
          </w:r>
        </w:p>
        <w:p>
          <w:pPr>
            <w:pStyle w:val="affffffffffffffffffffffffffffffffffb"/>
            <w:spacing w:afterLines="50" w:after="120" w:line="360" w:lineRule="exact"/>
            <w:ind w:firstLineChars="200" w:firstLine="420"/>
            <w:rPr>
              <w:rFonts w:hAnsi="宋体"/>
            </w:rPr>
          </w:pPr>
          <w:r>
            <w:rPr>
              <w:rFonts w:hAnsi="宋体" w:hint="eastAsia"/>
            </w:rPr>
            <w:t>在租赁期开始日，本集团对融资租赁确认应收融资租赁款，并终止确认融资租赁资产。本集团对应收融资租赁款进行初始计量时，以租赁投资净额作为应收融资租赁款的入账价值。</w:t>
          </w:r>
        </w:p>
        <w:p>
          <w:pPr>
            <w:pStyle w:val="affffffffffffffffffffffffffffffffffb"/>
            <w:spacing w:afterLines="50" w:after="120" w:line="360" w:lineRule="exact"/>
            <w:ind w:firstLineChars="200" w:firstLine="420"/>
            <w:rPr>
              <w:rFonts w:hAnsi="宋体"/>
            </w:rPr>
          </w:pPr>
          <w:r>
            <w:rPr>
              <w:rFonts w:hAnsi="宋体" w:hint="eastAsia"/>
            </w:rPr>
            <w:t>租赁投资净额为未担保余值和租赁期开始日尚未收到的租赁收款额按照租赁内含利率折现的现值之和。本集团按照固定的周期性利率计算并确认租赁期内各个期间的利息收入。本集团取得的未纳入租赁投资净额计量的可变租赁付款额在实际发生时计入当期损益。</w:t>
          </w:r>
        </w:p>
        <w:p>
          <w:pPr>
            <w:pStyle w:val="affffffffffffffffffffffffffffffffffb"/>
            <w:spacing w:afterLines="50" w:after="120" w:line="360" w:lineRule="exact"/>
            <w:ind w:firstLineChars="200" w:firstLine="420"/>
            <w:rPr>
              <w:rFonts w:hAnsi="宋体"/>
            </w:rPr>
          </w:pPr>
          <w:r>
            <w:rPr>
              <w:rFonts w:hAnsi="宋体" w:hint="eastAsia"/>
            </w:rPr>
            <w:t>（2）经营租赁</w:t>
          </w:r>
        </w:p>
        <w:p>
          <w:pPr>
            <w:pStyle w:val="affffffffffffffffffffffffffffffffffb"/>
            <w:spacing w:afterLines="50" w:after="120" w:line="360" w:lineRule="exact"/>
            <w:ind w:firstLineChars="200" w:firstLine="420"/>
            <w:rPr>
              <w:rFonts w:hAnsi="宋体"/>
            </w:rPr>
          </w:pPr>
          <w:r>
            <w:rPr>
              <w:rFonts w:hAnsi="宋体" w:hint="eastAsia"/>
            </w:rPr>
            <w:t>在租赁期内各个期间，本集团采用直线法将经营租赁的租赁收款额确认为租金收入。</w:t>
          </w:r>
        </w:p>
        <w:p>
          <w:pPr>
            <w:pStyle w:val="affffffffffffffffffffffffffffffffffb"/>
            <w:spacing w:afterLines="50" w:after="120" w:line="360" w:lineRule="exact"/>
            <w:ind w:firstLineChars="200" w:firstLine="420"/>
            <w:rPr>
              <w:rFonts w:hAnsi="宋体"/>
            </w:rPr>
          </w:pPr>
          <w:r>
            <w:rPr>
              <w:rFonts w:hAnsi="宋体" w:hint="eastAsia"/>
            </w:rPr>
            <w:t>本集团发生的与经营租赁有关的初始直接费用资本化至租赁标的资产的成本，在租赁期内按照与租金收入相同的确认基础分期计入当期损益。本集团取得的与经营租赁有关的未计入租赁收款额的可变租赁付款额,在实际发生时计入当期损益。</w:t>
          </w:r>
        </w:p>
        <w:p>
          <w:pPr>
            <w:pStyle w:val="affffffffffffffffffffffffffffffffffb"/>
            <w:spacing w:afterLines="50" w:after="120" w:line="360" w:lineRule="exact"/>
            <w:ind w:firstLineChars="200" w:firstLine="420"/>
            <w:rPr>
              <w:rFonts w:hAnsi="宋体"/>
            </w:rPr>
          </w:pPr>
          <w:r>
            <w:rPr>
              <w:rFonts w:hAnsi="宋体" w:hint="eastAsia"/>
            </w:rPr>
            <w:t>经营租赁发生变更的，本集团自变更生效日开始，将其作为一项新的租赁进行会计处理，与变更前租赁有关的预收或应收租赁收款额视为新租赁的收款额。</w:t>
          </w:r>
        </w:p>
      </w:sdtContent>
    </w:sdt>
    <w:p>
      <w:pPr>
        <w:pStyle w:val="affffffffffffffffffffffffffffffffe"/>
      </w:pPr>
    </w:p>
    <w:p>
      <w:pPr>
        <w:keepNext/>
        <w:keepLines/>
        <w:widowControl w:val="0"/>
        <w:numPr>
          <w:ilvl w:val="0"/>
          <w:numId w:val="94"/>
        </w:numPr>
        <w:spacing w:before="60" w:line="360" w:lineRule="auto"/>
        <w:jc w:val="both"/>
        <w:outlineLvl w:val="2"/>
        <w:rPr>
          <w:b/>
        </w:rPr>
      </w:pPr>
      <w:r>
        <w:rPr>
          <w:rFonts w:hint="eastAsia"/>
          <w:b/>
        </w:rPr>
        <w:t>持有待售</w:t>
      </w:r>
    </w:p>
    <w:p>
      <w:pPr>
        <w:pStyle w:val="affffffffffffffffffffffffffffffffe"/>
        <w:ind w:firstLineChars="200" w:firstLine="420"/>
        <w:rPr>
          <w:rFonts w:cs="Times New Roman"/>
          <w:kern w:val="2"/>
          <w:szCs w:val="20"/>
        </w:rPr>
      </w:pPr>
      <w:r>
        <w:rPr>
          <w:rFonts w:cs="Times New Roman" w:hint="eastAsia"/>
          <w:kern w:val="2"/>
          <w:szCs w:val="20"/>
        </w:rPr>
        <w:t>本集团主要通过出售（包括具有商业实质的非货币性资产交换，下同）而非持续使用一项非流动资产或处置组收回其账面价值的，将其划分为持有待售类别。</w:t>
      </w:r>
    </w:p>
    <w:p>
      <w:pPr>
        <w:pStyle w:val="affffffffffffffffffffffffffffffffe"/>
        <w:ind w:firstLineChars="200" w:firstLine="420"/>
        <w:rPr>
          <w:rFonts w:cs="Times New Roman"/>
          <w:kern w:val="2"/>
          <w:szCs w:val="20"/>
        </w:rPr>
      </w:pPr>
      <w:r>
        <w:rPr>
          <w:rFonts w:cs="Times New Roman" w:hint="eastAsia"/>
          <w:kern w:val="2"/>
          <w:szCs w:val="20"/>
        </w:rPr>
        <w:t>本集团将同时符合下列条件的非流动资产或处置组划分为持有待售：①根据类似交易中出售此类资产或处置组的惯例，在当前状况下即可立即出售；②出售极可能发生，即已经就一项出售计划作出决议且获得确定的购买承诺，预计出售将在一年内完成。有关规定要求相关权力机构或者监管部门批准后方可出售的需要获得相关批准。本集团持有的非流动资产或处置组账面价值高于公允价值减去出售费用后的净额的，将账面价值减记至公允价值减去出售费用后的净额，减记的金额确认为资产减值损失，计入当期损益，同时计提持有待售资产减值准备。</w:t>
      </w:r>
    </w:p>
    <w:p>
      <w:pPr>
        <w:pStyle w:val="affffffffffffffffffffffffffffffffe"/>
        <w:ind w:firstLineChars="200" w:firstLine="420"/>
        <w:rPr>
          <w:rFonts w:cs="Times New Roman"/>
          <w:kern w:val="2"/>
          <w:szCs w:val="20"/>
        </w:rPr>
      </w:pPr>
      <w:r>
        <w:rPr>
          <w:rFonts w:cs="Times New Roman" w:hint="eastAsia"/>
          <w:kern w:val="2"/>
          <w:szCs w:val="20"/>
        </w:rPr>
        <w:t>本集团因出售对子公司的投资等原因导致丧失对子公司控制权的，无论出售后本集团是否保留部分权益性投资，在拟出售的对子公司投资满足持有待售类别划分条件时，在母公司个别财务报表中将对子公司投资整体划分为持有待售类别，在合并财务报表中将子公司所有资产和负债划分为持有待售类别。</w:t>
      </w:r>
    </w:p>
    <w:p>
      <w:pPr>
        <w:pStyle w:val="affffffffffffffffffffffffffffffffe"/>
        <w:ind w:firstLineChars="200" w:firstLine="420"/>
        <w:rPr>
          <w:rFonts w:cs="Times New Roman"/>
          <w:kern w:val="2"/>
          <w:szCs w:val="20"/>
        </w:rPr>
      </w:pPr>
      <w:r>
        <w:rPr>
          <w:rFonts w:cs="Times New Roman" w:hint="eastAsia"/>
          <w:kern w:val="2"/>
          <w:szCs w:val="20"/>
        </w:rPr>
        <w:t>持有待售的非流动资产或处置组中的非流动资产不计提折旧或摊销，持有待售的处置组中负债的利息和其他费用继续予以确认。</w:t>
      </w:r>
    </w:p>
    <w:p>
      <w:pPr>
        <w:pStyle w:val="affffffffffffffffffffffffffffffffe"/>
        <w:ind w:firstLineChars="200" w:firstLine="420"/>
        <w:rPr>
          <w:rFonts w:cs="Times New Roman"/>
          <w:kern w:val="2"/>
          <w:szCs w:val="20"/>
        </w:rPr>
      </w:pPr>
      <w:r>
        <w:rPr>
          <w:rFonts w:cs="Times New Roman" w:hint="eastAsia"/>
          <w:kern w:val="2"/>
          <w:szCs w:val="20"/>
        </w:rPr>
        <w:t>终止确认持有待售的非流动资产或处置组时，将尚未确认的利得或损失计入当期损益。</w:t>
      </w:r>
    </w:p>
    <w:p>
      <w:pPr>
        <w:keepNext/>
        <w:keepLines/>
        <w:widowControl w:val="0"/>
        <w:numPr>
          <w:ilvl w:val="0"/>
          <w:numId w:val="94"/>
        </w:numPr>
        <w:spacing w:before="60" w:line="360" w:lineRule="auto"/>
        <w:jc w:val="both"/>
        <w:outlineLvl w:val="2"/>
        <w:rPr>
          <w:b/>
        </w:rPr>
      </w:pPr>
      <w:r>
        <w:rPr>
          <w:rFonts w:hint="eastAsia"/>
          <w:b/>
        </w:rPr>
        <w:t>终止经营</w:t>
      </w:r>
    </w:p>
    <w:p>
      <w:pPr>
        <w:pStyle w:val="affffffffffffffffffffffffffffffffe"/>
        <w:ind w:firstLineChars="200" w:firstLine="420"/>
      </w:pPr>
      <w:r>
        <w:rPr>
          <w:rFonts w:hint="eastAsia"/>
        </w:rPr>
        <w:t xml:space="preserve"> 终止经营，是指本集团满足下列条件之一的、能够单独区分的组成部分，且该组成部分已经处置或划分为持有待售类别：（</w:t>
      </w:r>
      <w:r>
        <w:t>1）该组成部分代表一项独立的主要业务或一个单独的主要经</w:t>
      </w:r>
      <w:r>
        <w:lastRenderedPageBreak/>
        <w:t>营地区；（2）该组成部分是拟对一项独立的主要业务或一个单独的主要经营地区进行处置的一项相关联计划的一部分；（3）该组成部分是专为转售而取得的子公司。</w:t>
      </w:r>
    </w:p>
    <w:p>
      <w:pPr>
        <w:keepNext/>
        <w:keepLines/>
        <w:widowControl w:val="0"/>
        <w:numPr>
          <w:ilvl w:val="0"/>
          <w:numId w:val="94"/>
        </w:numPr>
        <w:spacing w:before="60" w:line="360" w:lineRule="auto"/>
        <w:jc w:val="both"/>
        <w:outlineLvl w:val="2"/>
        <w:rPr>
          <w:b/>
        </w:rPr>
      </w:pPr>
      <w:r>
        <w:rPr>
          <w:rFonts w:hint="eastAsia"/>
          <w:b/>
        </w:rPr>
        <w:t>公允价值</w:t>
      </w:r>
    </w:p>
    <w:p>
      <w:pPr>
        <w:pStyle w:val="affffffffffffffffffffffffffffffffe"/>
      </w:pPr>
      <w:r>
        <w:rPr>
          <w:rFonts w:hint="eastAsia"/>
        </w:rPr>
        <w:t xml:space="preserve"> </w:t>
      </w:r>
      <w:r>
        <w:t xml:space="preserve">  </w:t>
      </w:r>
      <w:r>
        <w:rPr>
          <w:rFonts w:hint="eastAsia"/>
        </w:rPr>
        <w:t>本集团于每个资产负债表日以公允价值计量投资性房地产、衍生金融工具和权益工具投资。公允价值，是指市场参与者在计量日发生的有序交易中，出售一项资产所能收到或者转移一项负债所需支付的价格。</w:t>
      </w:r>
    </w:p>
    <w:p>
      <w:pPr>
        <w:ind w:firstLineChars="200" w:firstLine="420"/>
      </w:pPr>
      <w:r>
        <w:rPr>
          <w:rFonts w:hint="eastAsia"/>
        </w:rPr>
        <w:t>在财务报表中以公允价值计量或披露的资产和负债，根据对公允价值计量整体而言具有重要意义的最低层次输入值，确定所属的公允价值层次：第一层次输入值，在计量日能够取得的相同资产或负债在活跃市场上未经调整的报价；第二层次输入值，除第一层次输入值外相关资产或负债直接或间接可观察的输入值；第三层次输入值，相关资产或负债的不可观察输入值。</w:t>
      </w:r>
    </w:p>
    <w:p>
      <w:pPr>
        <w:pStyle w:val="affffffffffffffffffffffffffffffffe"/>
      </w:pPr>
      <w:r>
        <w:rPr>
          <w:rFonts w:hint="eastAsia"/>
        </w:rPr>
        <w:t>对于在活跃市场上交易的金融工具，本集团以其活跃市场报价确定其公允价值；对于不在活跃市场上交易的金融工具，本集团采用估值技术确定其公允价值，所使用的估值模型主要为现金流量折现模型。估值技术的输入值主要包括：债权类为无风险利率、信用溢价和流动性溢价；股权类为估值乘数和流动性折价。</w:t>
      </w:r>
    </w:p>
    <w:p>
      <w:pPr>
        <w:ind w:firstLineChars="200" w:firstLine="420"/>
      </w:pPr>
      <w:r>
        <w:rPr>
          <w:rFonts w:hint="eastAsia"/>
        </w:rPr>
        <w:t>第三层级的公允价值以本集团的评估模型为依据确定，例如现金流折现模型。本集团还会考虑初始交易价格，相同或类似金融工具的近期交易，或者可比金融工具的完全第三方交易。于</w:t>
      </w:r>
      <w:r>
        <w:t>2024年12月31日，以公允价值计量的第三层级金融资产在估值时使用贴现率等重大不可观察的输入值，但其公允价值对这些重大不可观察输入值的合理变动无重大敏感性。</w:t>
      </w:r>
    </w:p>
    <w:p>
      <w:pPr>
        <w:pStyle w:val="affffffffffffffffffffffffffffffffe"/>
      </w:pPr>
      <w:r>
        <w:rPr>
          <w:rFonts w:hint="eastAsia"/>
        </w:rPr>
        <w:t>本集团采用市场法确定对非上市股权投资的公允价值。这要求本集团确定可比上市公司、选择市场乘数、对流动性折价进行估计等，因此具有不确定性。</w:t>
      </w:r>
    </w:p>
    <w:p>
      <w:pPr>
        <w:pStyle w:val="affffffffffffffffffffffffffffffffe"/>
      </w:pPr>
      <w:r>
        <w:rPr>
          <w:rFonts w:hint="eastAsia"/>
        </w:rPr>
        <w:t>每个资产负债表日，本集团对在财务报表中确认的持续以公允价值计量的资产和负债进行重新评估，以确定是否在公允价值计量层次之间发生转换</w:t>
      </w:r>
    </w:p>
    <w:p>
      <w:pPr>
        <w:keepNext/>
        <w:keepLines/>
        <w:widowControl w:val="0"/>
        <w:numPr>
          <w:ilvl w:val="0"/>
          <w:numId w:val="94"/>
        </w:numPr>
        <w:spacing w:before="60" w:line="360" w:lineRule="auto"/>
        <w:jc w:val="both"/>
        <w:outlineLvl w:val="2"/>
        <w:rPr>
          <w:b/>
        </w:rPr>
      </w:pPr>
      <w:r>
        <w:rPr>
          <w:rFonts w:hint="eastAsia"/>
          <w:b/>
        </w:rPr>
        <w:t>所得税的会计核算</w:t>
      </w:r>
    </w:p>
    <w:p>
      <w:pPr>
        <w:ind w:firstLineChars="200" w:firstLine="420"/>
      </w:pPr>
      <w:r>
        <w:rPr>
          <w:rFonts w:hint="eastAsia"/>
        </w:rPr>
        <w:t>所得税的会计核算采用资产负债表债务法。所得税费用包括当期所得税和递延所得税。将与直接计入股东权益的交易和事项相关的当期所得税和递延所得税计入股东权益，以及企业合并产生的递延所得税调整商誉的账面价值外，其余的当期所得税和递延所得税费用或收益计入当期损益。</w:t>
      </w:r>
    </w:p>
    <w:p>
      <w:pPr>
        <w:pStyle w:val="affffffffffffffffffffffffffffffffe"/>
        <w:ind w:firstLineChars="200" w:firstLine="420"/>
      </w:pPr>
      <w:r>
        <w:rPr>
          <w:rFonts w:hint="eastAsia"/>
        </w:rPr>
        <w:t>当期所得税费用是指企业按照税务规定计算确定的针对当期发生的交易和事项，应纳给税务部门的金额，即应交所得税；递延所得税是指按照资产负债表债务法应予确认的递延所得税资产和递延所得税负债在期末应有的金额相对于原已确认金额之间的差额。</w:t>
      </w:r>
    </w:p>
    <w:p>
      <w:pPr>
        <w:keepNext/>
        <w:keepLines/>
        <w:widowControl w:val="0"/>
        <w:numPr>
          <w:ilvl w:val="0"/>
          <w:numId w:val="94"/>
        </w:numPr>
        <w:spacing w:before="60" w:line="360" w:lineRule="auto"/>
        <w:jc w:val="both"/>
        <w:outlineLvl w:val="2"/>
        <w:rPr>
          <w:b/>
        </w:rPr>
      </w:pPr>
      <w:r>
        <w:rPr>
          <w:rFonts w:hint="eastAsia"/>
          <w:b/>
        </w:rPr>
        <w:t>分部信息</w:t>
      </w:r>
    </w:p>
    <w:p>
      <w:pPr>
        <w:pStyle w:val="affffffffffffffffffffffffffffffffe"/>
        <w:ind w:firstLineChars="200" w:firstLine="420"/>
      </w:pPr>
      <w:r>
        <w:rPr>
          <w:rFonts w:hint="eastAsia"/>
        </w:rPr>
        <w:t xml:space="preserve"> 本集团以内部组织结构、管理要求、内部报告制度为依据确定经营分部，以经营分部为基础确定报告分部。经营分部，是指企业内同时满足下列条件的组成部分：</w:t>
      </w:r>
    </w:p>
    <w:p>
      <w:pPr>
        <w:pStyle w:val="affffffffffffffffffffffffffffffffe"/>
        <w:ind w:firstLineChars="200" w:firstLine="420"/>
      </w:pPr>
      <w:r>
        <w:rPr>
          <w:rFonts w:hint="eastAsia"/>
        </w:rPr>
        <w:t>（</w:t>
      </w:r>
      <w:r>
        <w:t>1）该组成部分能够在日常活动中产生收入、发生费用；</w:t>
      </w:r>
    </w:p>
    <w:p>
      <w:pPr>
        <w:pStyle w:val="affffffffffffffffffffffffffffffffe"/>
        <w:ind w:firstLineChars="200" w:firstLine="420"/>
      </w:pPr>
      <w:r>
        <w:rPr>
          <w:rFonts w:hint="eastAsia"/>
        </w:rPr>
        <w:t>（</w:t>
      </w:r>
      <w:r>
        <w:t>2）本集团管理层能够定期评价该组成部分的经营成果，以决定向其配置资源、评价其业绩；</w:t>
      </w:r>
    </w:p>
    <w:p>
      <w:pPr>
        <w:pStyle w:val="affffffffffffffffffffffffffffffffe"/>
        <w:ind w:firstLineChars="200" w:firstLine="420"/>
      </w:pPr>
      <w:r>
        <w:rPr>
          <w:rFonts w:hint="eastAsia"/>
        </w:rPr>
        <w:t>（</w:t>
      </w:r>
      <w:r>
        <w:t>3）本集团能够取得该组成部分的财务状况、经营成果和现金流量等有关会计信息。</w:t>
      </w:r>
    </w:p>
    <w:p>
      <w:pPr>
        <w:pStyle w:val="affffffffffffffffffffffffffffffffff4"/>
        <w:numPr>
          <w:ilvl w:val="0"/>
          <w:numId w:val="101"/>
        </w:numPr>
        <w:ind w:firstLineChars="0"/>
        <w:rPr>
          <w:b/>
          <w:bCs/>
          <w:szCs w:val="32"/>
        </w:rPr>
      </w:pPr>
      <w:r>
        <w:rPr>
          <w:rFonts w:hint="eastAsia"/>
          <w:b/>
          <w:bCs/>
          <w:szCs w:val="32"/>
        </w:rPr>
        <w:t>套期业务的处理方法</w:t>
      </w:r>
    </w:p>
    <w:p>
      <w:pPr>
        <w:pStyle w:val="affffffffffffffffffffffffffffffffff4"/>
        <w:rPr>
          <w:rFonts w:ascii="宋体" w:hAnsi="宋体" w:cs="宋体"/>
          <w:kern w:val="0"/>
          <w:szCs w:val="24"/>
        </w:rPr>
      </w:pPr>
      <w:r>
        <w:rPr>
          <w:rFonts w:ascii="宋体" w:hAnsi="宋体" w:cs="宋体" w:hint="eastAsia"/>
          <w:kern w:val="0"/>
          <w:szCs w:val="24"/>
        </w:rPr>
        <w:t>本集团使用衍生金融工具如远期外汇合约、利率掉期合约等对与外汇相关的风险及利率波动风险进行现金流量套期。</w:t>
      </w:r>
    </w:p>
    <w:p>
      <w:pPr>
        <w:pStyle w:val="affffffffffffffffffffffffffffffffff4"/>
        <w:rPr>
          <w:rFonts w:ascii="宋体" w:hAnsi="宋体" w:cs="宋体"/>
          <w:kern w:val="0"/>
          <w:szCs w:val="24"/>
        </w:rPr>
      </w:pPr>
      <w:r>
        <w:rPr>
          <w:rFonts w:ascii="宋体" w:hAnsi="宋体" w:cs="宋体" w:hint="eastAsia"/>
          <w:kern w:val="0"/>
          <w:szCs w:val="24"/>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pPr>
        <w:pStyle w:val="affffffffffffffffffffffffffffffffff4"/>
        <w:rPr>
          <w:rFonts w:ascii="宋体" w:hAnsi="宋体" w:cs="宋体"/>
          <w:kern w:val="0"/>
          <w:szCs w:val="24"/>
        </w:rPr>
      </w:pPr>
      <w:r>
        <w:rPr>
          <w:rFonts w:ascii="宋体" w:hAnsi="宋体" w:cs="宋体" w:hint="eastAsia"/>
          <w:kern w:val="0"/>
          <w:szCs w:val="24"/>
        </w:rPr>
        <w:t>套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pPr>
        <w:pStyle w:val="affffffffffffffffffffffffffffffffff4"/>
        <w:ind w:firstLineChars="0" w:firstLine="0"/>
        <w:rPr>
          <w:rFonts w:ascii="宋体" w:hAnsi="宋体" w:cs="宋体"/>
          <w:kern w:val="0"/>
          <w:szCs w:val="24"/>
        </w:rPr>
      </w:pPr>
      <w:r>
        <w:rPr>
          <w:rFonts w:ascii="宋体" w:hAnsi="宋体" w:cs="宋体" w:hint="eastAsia"/>
          <w:kern w:val="0"/>
          <w:szCs w:val="24"/>
        </w:rPr>
        <w:t>当套期工具到期或被出售、终止或行使，或不再符合套期会计的条件，套期会计不再适用。在股</w:t>
      </w:r>
      <w:r>
        <w:rPr>
          <w:rFonts w:ascii="宋体" w:hAnsi="宋体" w:cs="宋体" w:hint="eastAsia"/>
          <w:kern w:val="0"/>
          <w:szCs w:val="24"/>
        </w:rPr>
        <w:lastRenderedPageBreak/>
        <w:t>东权益中确认的套期工具的累计利得或损失仍被计入权益中，并在交易最终发生时予以确认。如果套期交易预期不再发生，则在股东权益中记录的累计利得和损失就被转到当期损益。</w:t>
      </w:r>
    </w:p>
    <w:p>
      <w:pPr>
        <w:keepNext/>
        <w:keepLines/>
        <w:widowControl w:val="0"/>
        <w:numPr>
          <w:ilvl w:val="0"/>
          <w:numId w:val="94"/>
        </w:numPr>
        <w:spacing w:before="60" w:line="360" w:lineRule="auto"/>
        <w:jc w:val="both"/>
        <w:outlineLvl w:val="2"/>
      </w:pPr>
      <w:r>
        <w:rPr>
          <w:rFonts w:hint="eastAsia"/>
        </w:rPr>
        <w:t>套期业务的处理方法</w:t>
      </w:r>
    </w:p>
    <w:p>
      <w:pPr>
        <w:keepNext/>
        <w:keepLines/>
        <w:widowControl w:val="0"/>
        <w:spacing w:before="60" w:line="360" w:lineRule="auto"/>
        <w:ind w:firstLineChars="200" w:firstLine="420"/>
        <w:jc w:val="both"/>
      </w:pPr>
      <w:r>
        <w:rPr>
          <w:rFonts w:hint="eastAsia"/>
        </w:rPr>
        <w:t>本集团使用衍生金融工具如远期外汇合约、利率掉期合约等对与外汇相关的风险及利率波动风险进行现金流量套期。</w:t>
      </w:r>
    </w:p>
    <w:p>
      <w:pPr>
        <w:keepNext/>
        <w:keepLines/>
        <w:widowControl w:val="0"/>
        <w:spacing w:before="60" w:line="360" w:lineRule="auto"/>
        <w:ind w:firstLineChars="200" w:firstLine="420"/>
        <w:jc w:val="both"/>
      </w:pPr>
      <w:r>
        <w:rPr>
          <w:rFonts w:hint="eastAsia"/>
        </w:rPr>
        <w:t>本集团在套期交易开始时记录套期工具和被套保项目之间的套期关系，包括风险管理目标及各种套期交易策略。本集团在套期开始日及后续期间内会定期地评估套期交易中的衍生工具是否持续有效对冲被套期项目的现金流量。本集团以合同主要条款比较法作套期有效性预期性评价。</w:t>
      </w:r>
    </w:p>
    <w:p>
      <w:pPr>
        <w:keepNext/>
        <w:keepLines/>
        <w:widowControl w:val="0"/>
        <w:spacing w:before="60" w:line="360" w:lineRule="auto"/>
        <w:ind w:firstLineChars="200" w:firstLine="420"/>
        <w:jc w:val="both"/>
      </w:pPr>
      <w:r>
        <w:rPr>
          <w:rFonts w:hint="eastAsia"/>
        </w:rPr>
        <w:t>期交易的应收应付净额自套期开始时起作为资产或负债列入资产负债表中。相应的未实现利得和损失计入权益中的套期储备。远期外汇合约和利率掉期合约公允价值的变化通过套期储备予以确认直至预期交易发生。一旦预期交易发生，累计在权益中的余额将计入到利润表中或被确认为与其相关的资产成本的一部分。</w:t>
      </w:r>
    </w:p>
    <w:p>
      <w:pPr>
        <w:keepNext/>
        <w:keepLines/>
        <w:widowControl w:val="0"/>
        <w:spacing w:before="60" w:line="360" w:lineRule="auto"/>
        <w:ind w:firstLineChars="200" w:firstLine="420"/>
        <w:jc w:val="both"/>
      </w:pPr>
      <w:r>
        <w:rPr>
          <w:rFonts w:hint="eastAsia"/>
        </w:rPr>
        <w:t>当套期工具到期或被出售、终止或行使，或不再符合套期会计的条件，套期会计不再适用。在股东权益中确认的套期工具的累计利得或损失仍被计入权益中，并在交易最终发生时予以确认。如果套期交易预期不再发生，则在股东权益中记录的累计利得和损失就被转到当期损益。</w:t>
      </w:r>
    </w:p>
    <w:p>
      <w:pPr>
        <w:keepNext/>
        <w:keepLines/>
        <w:widowControl w:val="0"/>
        <w:numPr>
          <w:ilvl w:val="0"/>
          <w:numId w:val="94"/>
        </w:numPr>
        <w:spacing w:before="60" w:line="360" w:lineRule="auto"/>
        <w:jc w:val="both"/>
        <w:outlineLvl w:val="2"/>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83819323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其他主要会计政策会计估计和会计报表的编制方法"/>
        <w:tag w:val="_GBC_5cf318d9d3d148c4af010cce77bc955d"/>
        <w:id w:val="1080252390"/>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本集团在运用上述的会计政策过程中，由于经营活动内在的不确定性，本集团需要对无法准确计量的报表项目的账面价值进行判断、估计和假设。这些判断、估计和假设是基于本集团管理层过去的历史经验，并在考虑其他相关因素的基础上作出的。实际的结果可能与本集团的估计存在差异。</w:t>
          </w:r>
        </w:p>
        <w:p>
          <w:pPr>
            <w:pStyle w:val="affffffffffffffffffffffffffffffffffb"/>
            <w:spacing w:afterLines="50" w:after="120" w:line="360" w:lineRule="exact"/>
            <w:ind w:firstLineChars="200" w:firstLine="420"/>
            <w:rPr>
              <w:rFonts w:hAnsi="宋体"/>
            </w:rPr>
          </w:pPr>
          <w:r>
            <w:rPr>
              <w:rFonts w:hAnsi="宋体" w:hint="eastAsia"/>
            </w:rPr>
            <w:t>本集团对前述判断、估计和假设在持续经营的基础上进行定期复核，会计估计的变更仅影响变更当期的，其影响数在变更当期予以确认；既影响变更当期又影响未来期间的，其影响数在变更当期和未来期间予以确认。</w:t>
          </w:r>
        </w:p>
        <w:p>
          <w:pPr>
            <w:pStyle w:val="affffffffffffffffffffffffffffffffffb"/>
            <w:spacing w:afterLines="50" w:after="120" w:line="360" w:lineRule="exact"/>
            <w:ind w:firstLineChars="200" w:firstLine="420"/>
            <w:rPr>
              <w:rFonts w:hAnsi="宋体"/>
            </w:rPr>
          </w:pPr>
          <w:r>
            <w:rPr>
              <w:rFonts w:hAnsi="宋体" w:hint="eastAsia"/>
            </w:rPr>
            <w:t>资产负债表日，会计估计中很可能导致未来期间资产、负债账面价值作出重大调整的关键假设和不确定性主要有：</w:t>
          </w:r>
        </w:p>
        <w:p>
          <w:pPr>
            <w:pStyle w:val="affffffffffffffffffffffffffffffffffb"/>
            <w:spacing w:afterLines="50" w:after="120" w:line="360" w:lineRule="exact"/>
            <w:ind w:firstLineChars="200" w:firstLine="420"/>
            <w:rPr>
              <w:rFonts w:hAnsi="宋体"/>
            </w:rPr>
          </w:pPr>
          <w:r>
            <w:rPr>
              <w:rFonts w:hAnsi="宋体" w:hint="eastAsia"/>
            </w:rPr>
            <w:t>1.折旧和摊销</w:t>
          </w:r>
        </w:p>
        <w:p>
          <w:pPr>
            <w:pStyle w:val="affffffffffffffffffffffffffffffffffb"/>
            <w:spacing w:afterLines="50" w:after="120" w:line="360" w:lineRule="exact"/>
            <w:ind w:firstLineChars="200" w:firstLine="420"/>
            <w:rPr>
              <w:rFonts w:hAnsi="宋体"/>
            </w:rPr>
          </w:pPr>
          <w:r>
            <w:rPr>
              <w:rFonts w:hAnsi="宋体" w:hint="eastAsia"/>
            </w:rPr>
            <w:t>本集团对固定资产和无形资产在使用寿命内按直线法或产量法计提折旧和摊销。本集团定期审阅使用寿命和经济可开采煤炭储量，以决定将计入每个报告期的折旧和摊销费用数额。使用寿命是本集团根据对同类资产的以往经验并结合预期的技术改变而确定。经济可开采的煤炭储量是指本集团根据实测具有开采经济价值的煤炭资源而确定，如果以前的估计发生重大变化，则会在未来期间对折旧和摊销费用进行调整。</w:t>
          </w:r>
        </w:p>
        <w:p>
          <w:pPr>
            <w:pStyle w:val="affffffffffffffffffffffffffffffffffb"/>
            <w:spacing w:afterLines="50" w:after="120" w:line="360" w:lineRule="exact"/>
            <w:ind w:firstLineChars="200" w:firstLine="420"/>
            <w:rPr>
              <w:rFonts w:hAnsi="宋体"/>
            </w:rPr>
          </w:pPr>
          <w:r>
            <w:rPr>
              <w:rFonts w:hAnsi="宋体" w:hint="eastAsia"/>
            </w:rPr>
            <w:t>煤炭储量的估计涉及主观判断，因为煤炭储量的技术估计往往并不精确，仅为近似储量。经济可开采煤炭储量的估计会考虑各个煤矿最近的生产和技术资料，定期更新。此外，由于价格及</w:t>
          </w:r>
          <w:r>
            <w:rPr>
              <w:rFonts w:hAnsi="宋体" w:hint="eastAsia"/>
            </w:rPr>
            <w:lastRenderedPageBreak/>
            <w:t>成本水平逐年变更，经济可开采煤炭储量的估计也会出现变动，存在技术估计固有的不精确性。</w:t>
          </w:r>
        </w:p>
        <w:p>
          <w:pPr>
            <w:pStyle w:val="affffffffffffffffffffffffffffffffffb"/>
            <w:spacing w:afterLines="50" w:after="120" w:line="360" w:lineRule="exact"/>
            <w:ind w:firstLineChars="200" w:firstLine="420"/>
            <w:rPr>
              <w:rFonts w:hAnsi="宋体"/>
            </w:rPr>
          </w:pPr>
          <w:r>
            <w:rPr>
              <w:rFonts w:hAnsi="宋体" w:hint="eastAsia"/>
            </w:rPr>
            <w:t>2. 土地塌陷、复垦、重整及环保义务</w:t>
          </w:r>
        </w:p>
        <w:p>
          <w:pPr>
            <w:pStyle w:val="affffffffffffffffffffffffffffffffffb"/>
            <w:spacing w:afterLines="50" w:after="120" w:line="360" w:lineRule="exact"/>
            <w:ind w:firstLineChars="200" w:firstLine="420"/>
            <w:rPr>
              <w:rFonts w:hAnsi="宋体"/>
            </w:rPr>
          </w:pPr>
          <w:r>
            <w:rPr>
              <w:rFonts w:hAnsi="宋体" w:hint="eastAsia"/>
            </w:rPr>
            <w:t>公司因开采地下煤矿需要搬迁地面的村庄，以及因开采煤矿可能导致土地塌陷或影响环境，而应承担村庄搬迁费用、地面农作物（或附着物）赔偿、土地复原、重整及环境治理等各项义务。其履行很可能导致资源流出，在该义务的金额能够可靠计量时，确认为一项复垦环保义务。取决于其与未来生产活动的相关和估计确定的可靠程度，针对流动与非流动复垦准备相应确认当期损益或计入相关资产。</w:t>
          </w:r>
        </w:p>
        <w:p>
          <w:pPr>
            <w:pStyle w:val="affffffffffffffffffffffffffffffffffb"/>
            <w:spacing w:afterLines="50" w:after="120" w:line="360" w:lineRule="exact"/>
            <w:ind w:firstLineChars="200" w:firstLine="420"/>
            <w:rPr>
              <w:rFonts w:hAnsi="宋体"/>
            </w:rPr>
          </w:pPr>
          <w:r>
            <w:rPr>
              <w:rFonts w:hAnsi="宋体" w:hint="eastAsia"/>
            </w:rPr>
            <w:t>土地塌陷、复垦、重整及环保义务由管理层考虑现有的相关法规后根据其以往经验及对未来支出的最佳估计而确定，如货币时间价值的影响重大，将对预期未来现金流出折现至其净现值。随着目前的煤炭开采活动的进</w:t>
          </w:r>
          <w:r>
            <w:rPr>
              <w:rFonts w:ascii="Malgun Gothic" w:eastAsia="Malgun Gothic" w:hAnsi="Malgun Gothic" w:cs="Malgun Gothic" w:hint="eastAsia"/>
            </w:rPr>
            <w:t>行</w:t>
          </w:r>
          <w:r>
            <w:rPr>
              <w:rFonts w:hAnsi="宋体" w:cs="宋体" w:hint="eastAsia"/>
            </w:rPr>
            <w:t>，对未来土地及环境的影响变得明显的情况下，有关土地塌陷、复垦、重整及环保费成本的估计可能需不时修订。</w:t>
          </w:r>
        </w:p>
        <w:p>
          <w:pPr>
            <w:pStyle w:val="affffffffffffffffffffffffffffffffffb"/>
            <w:spacing w:afterLines="50" w:after="120" w:line="360" w:lineRule="exact"/>
            <w:ind w:firstLineChars="200" w:firstLine="420"/>
            <w:rPr>
              <w:rFonts w:hAnsi="宋体"/>
            </w:rPr>
          </w:pPr>
          <w:r>
            <w:rPr>
              <w:rFonts w:hAnsi="宋体" w:hint="eastAsia"/>
            </w:rPr>
            <w:t>3.非金融长期资产减值</w:t>
          </w:r>
        </w:p>
        <w:p>
          <w:pPr>
            <w:pStyle w:val="affffffffffffffffffffffffffffffffffb"/>
            <w:spacing w:afterLines="50" w:after="120" w:line="360" w:lineRule="exact"/>
            <w:ind w:firstLineChars="200" w:firstLine="420"/>
            <w:rPr>
              <w:rFonts w:hAnsi="宋体"/>
            </w:rPr>
          </w:pPr>
          <w:r>
            <w:rPr>
              <w:rFonts w:hAnsi="宋体" w:hint="eastAsia"/>
            </w:rPr>
            <w:t>如本附注“五、（二十九）长期资产减值”所述，本集团在资产负债表日对非金融资产进行减值评估，以确定资产可收回金额是否下跌至低于其账面价值。如果情况显示该资产的账面价值超过其可收回金额，其差额确认为减值损失。</w:t>
          </w:r>
        </w:p>
        <w:p>
          <w:pPr>
            <w:pStyle w:val="affffffffffffffffffffffffffffffffffb"/>
            <w:spacing w:afterLines="50" w:after="120" w:line="360" w:lineRule="exact"/>
            <w:ind w:firstLineChars="200" w:firstLine="420"/>
            <w:rPr>
              <w:rFonts w:hAnsi="宋体"/>
            </w:rPr>
          </w:pPr>
          <w:r>
            <w:rPr>
              <w:rFonts w:hAnsi="宋体" w:hint="eastAsia"/>
            </w:rPr>
            <w:t>可收回金额是资产（或资产组）的公允价值减去处置费用后的净额与资产（或资产组）预计未来现金流量的现值两者之间的较高者。在预计未来现金流量现值时，需要对该资产（或资产组）未来可使用寿命、生产产品的产量、售价、经营成本、资本性支出以及计算现值时使用的折现率等做出重大判断。本集团在估计可收回金额时会采用所有能够获得的相关资料，根据过往经验及对市场发展之预测来估计，可能与之后期间实际结果不同。</w:t>
          </w:r>
        </w:p>
        <w:p>
          <w:pPr>
            <w:pStyle w:val="affffffffffffffffffffffffffffffffffb"/>
            <w:spacing w:afterLines="50" w:after="120" w:line="360" w:lineRule="exact"/>
            <w:ind w:firstLineChars="200" w:firstLine="420"/>
            <w:rPr>
              <w:rFonts w:hAnsi="宋体"/>
            </w:rPr>
          </w:pPr>
          <w:r>
            <w:rPr>
              <w:rFonts w:hAnsi="宋体" w:hint="eastAsia"/>
            </w:rPr>
            <w:t>4.金融资产分类</w:t>
          </w:r>
        </w:p>
        <w:p>
          <w:pPr>
            <w:pStyle w:val="affffffffffffffffffffffffffffffffffb"/>
            <w:spacing w:afterLines="50" w:after="120" w:line="360" w:lineRule="exact"/>
            <w:ind w:firstLineChars="200" w:firstLine="420"/>
            <w:rPr>
              <w:rFonts w:hAnsi="宋体"/>
            </w:rPr>
          </w:pPr>
          <w:r>
            <w:rPr>
              <w:rFonts w:hAnsi="宋体" w:hint="eastAsia"/>
            </w:rPr>
            <w:t>本集团在确定金融资产的分类时涉及的重大判断包括业务模式及合同现金流量特征的分析等。</w:t>
          </w:r>
        </w:p>
        <w:p>
          <w:pPr>
            <w:pStyle w:val="affffffffffffffffffffffffffffffffffb"/>
            <w:spacing w:afterLines="50" w:after="120" w:line="360" w:lineRule="exact"/>
            <w:ind w:firstLineChars="200" w:firstLine="420"/>
            <w:rPr>
              <w:rFonts w:hAnsi="宋体"/>
            </w:rPr>
          </w:pPr>
          <w:r>
            <w:rPr>
              <w:rFonts w:hAnsi="宋体" w:hint="eastAsia"/>
            </w:rPr>
            <w:t>本集团在金融资产组合的层次上确定管理金融资产的业务模式，考虑的因素包括评价和向关键管理人员报告金融资产业绩的方式、影响金融资产业绩的风险及其管理方式、以及相关业务管理人员获得报酬的方式等。</w:t>
          </w:r>
        </w:p>
        <w:p>
          <w:pPr>
            <w:pStyle w:val="affffffffffffffffffffffffffffffffffb"/>
            <w:spacing w:afterLines="50" w:after="120" w:line="360" w:lineRule="exact"/>
            <w:ind w:firstLineChars="200" w:firstLine="420"/>
            <w:rPr>
              <w:rFonts w:hAnsi="宋体"/>
            </w:rPr>
          </w:pPr>
          <w:r>
            <w:rPr>
              <w:rFonts w:hAnsi="宋体" w:hint="eastAsia"/>
            </w:rPr>
            <w:t>本集团在评估金融资产的合同现金流量是否与基本借贷安排相一致时，存在以下主要判断：本金是否可能因提前还款等原因导致在存续期内的时间分布或者金额发生变动；利息是否仅包括货币时间价值、信用风险、其他基本借贷风险以及与成本和利润的对价。例如，提前偿付的金额是否仅反映了尚未支付的本金及以未偿付本金为基础的利息，以及因提前终止合同而支付的合理补偿。</w:t>
          </w:r>
        </w:p>
        <w:p>
          <w:pPr>
            <w:pStyle w:val="affffffffffffffffffffffffffffffffffb"/>
            <w:spacing w:afterLines="50" w:after="120" w:line="360" w:lineRule="exact"/>
            <w:ind w:firstLineChars="200" w:firstLine="420"/>
            <w:rPr>
              <w:rFonts w:hAnsi="宋体"/>
            </w:rPr>
          </w:pPr>
          <w:r>
            <w:rPr>
              <w:rFonts w:hAnsi="宋体" w:hint="eastAsia"/>
            </w:rPr>
            <w:t>5.预期信用损失的计量</w:t>
          </w:r>
        </w:p>
        <w:p>
          <w:pPr>
            <w:pStyle w:val="affffffffffffffffffffffffffffffffffb"/>
            <w:spacing w:afterLines="50" w:after="120" w:line="360" w:lineRule="exact"/>
            <w:ind w:firstLineChars="200" w:firstLine="420"/>
            <w:rPr>
              <w:rFonts w:hAnsi="宋体"/>
            </w:rPr>
          </w:pPr>
          <w:r>
            <w:rPr>
              <w:rFonts w:hAnsi="宋体" w:hint="eastAsia"/>
            </w:rPr>
            <w:t>本集团对以摊余成本计量的金融资产、以公允价值计量且其变动计入其他综合收益的债务工具投资、应收融资租赁款、应收账款、合同资产以及信用承诺，使用预期信用损失模型计量其减值准备；其中涉及关键定义、参数和假设的建立和定期复核，例如对未来的宏观经济情况和债务</w:t>
          </w:r>
          <w:r>
            <w:rPr>
              <w:rFonts w:hAnsi="宋体" w:hint="eastAsia"/>
            </w:rPr>
            <w:lastRenderedPageBreak/>
            <w:t>人的信用行为的估计(例如，客户违约的可能性及相应损失)。对预期信用损失的计量存在许多重大判断，例如：将具有类似信用风险特征的业务划入同一个组合，选择恰当的计量模型，并确定计量相关的关键参数；信用风险显著增加、违约和已发生信用减值的判断标准；用于前瞻性计量的经济指标、经济情景及其权重的采用。</w:t>
          </w:r>
        </w:p>
        <w:p>
          <w:pPr>
            <w:pStyle w:val="affffffffffffffffffffffffffffffffffb"/>
            <w:spacing w:afterLines="50" w:after="120" w:line="360" w:lineRule="exact"/>
            <w:ind w:firstLineChars="200" w:firstLine="420"/>
            <w:rPr>
              <w:rFonts w:hAnsi="宋体"/>
            </w:rPr>
          </w:pPr>
          <w:r>
            <w:rPr>
              <w:rFonts w:hAnsi="宋体" w:hint="eastAsia"/>
            </w:rPr>
            <w:t>6.金融工具的公允价值</w:t>
          </w:r>
        </w:p>
        <w:p>
          <w:pPr>
            <w:pStyle w:val="affffffffffffffffffffffffffffffffffb"/>
            <w:spacing w:afterLines="50" w:after="120" w:line="360" w:lineRule="exact"/>
            <w:ind w:firstLineChars="200" w:firstLine="420"/>
            <w:rPr>
              <w:rFonts w:hAnsi="宋体"/>
            </w:rPr>
          </w:pPr>
          <w:r>
            <w:rPr>
              <w:rFonts w:hAnsi="宋体" w:hint="eastAsia"/>
            </w:rPr>
            <w:t>对于不存在活跃市场的金融工具，本集团采用估值技术确定其公允价值。估值技术包括：使用熟悉情况的交易各方自愿进行的近期公平市场交易(若可获得)，参照本质相同的其他金融工具的现行公允价值，折现现金流量分析和期权定价模型。在可行的情况下，估值技术尽可能使用市场参数。然而，当缺乏市场参数时，管理层需就自身和交易对手的信用风险、市场波动率、相关性等方面作出估计。这些相关假设的变化会对金融工具的公允价值产生影响。</w:t>
          </w:r>
        </w:p>
        <w:p>
          <w:pPr>
            <w:pStyle w:val="affffffffffffffffffffffffffffffffffb"/>
            <w:spacing w:afterLines="50" w:after="120" w:line="360" w:lineRule="exact"/>
            <w:ind w:firstLineChars="200" w:firstLine="420"/>
            <w:rPr>
              <w:rFonts w:hAnsi="宋体"/>
            </w:rPr>
          </w:pPr>
          <w:r>
            <w:rPr>
              <w:rFonts w:hAnsi="宋体" w:hint="eastAsia"/>
            </w:rPr>
            <w:t>7.企业合并中采用的公允价值</w:t>
          </w:r>
        </w:p>
        <w:p>
          <w:pPr>
            <w:pStyle w:val="affffffffffffffffffffffffffffffffffb"/>
            <w:spacing w:afterLines="50" w:after="120" w:line="360" w:lineRule="exact"/>
            <w:ind w:firstLineChars="200" w:firstLine="420"/>
            <w:rPr>
              <w:rFonts w:hAnsi="宋体"/>
            </w:rPr>
          </w:pPr>
          <w:r>
            <w:rPr>
              <w:rFonts w:hAnsi="宋体" w:hint="eastAsia"/>
            </w:rPr>
            <w:t>非同一控制下企业合并中所取得的被购买方的可辨认资产、负债在收购日的公允价值计量，本集团采用了估值模型，包括使用收益现值法评估探矿权资产、使用重置成本法评估房屋建筑物和设备、使用市场法评估土地等。未来现金流量预测中涉及关键假设及参数，包括投产日期的假设、矿权资产剩余可使用年限的估计、矿产售价的估计、折现率的估计等。</w:t>
          </w:r>
        </w:p>
        <w:p>
          <w:pPr>
            <w:pStyle w:val="affffffffffffffffffffffffffffffffffb"/>
            <w:spacing w:afterLines="50" w:after="120" w:line="360" w:lineRule="exact"/>
            <w:ind w:firstLineChars="200" w:firstLine="420"/>
            <w:rPr>
              <w:rFonts w:hAnsi="宋体"/>
            </w:rPr>
          </w:pPr>
          <w:r>
            <w:rPr>
              <w:rFonts w:hAnsi="宋体" w:hint="eastAsia"/>
            </w:rPr>
            <w:t>同一控制下企业合并或有对价的公允价值初始计量，本集团采用了估算模型，包括影响业绩因素的假设、业绩承诺期间实现利润的金额和概率估计，以及折现率的估计。</w:t>
          </w:r>
        </w:p>
        <w:p>
          <w:pPr>
            <w:pStyle w:val="affffffffffffffffffffffffffffffffffb"/>
            <w:spacing w:afterLines="50" w:after="120" w:line="360" w:lineRule="exact"/>
            <w:ind w:firstLineChars="200" w:firstLine="420"/>
            <w:rPr>
              <w:rFonts w:hAnsi="宋体"/>
            </w:rPr>
          </w:pPr>
          <w:r>
            <w:rPr>
              <w:rFonts w:hAnsi="宋体" w:hint="eastAsia"/>
            </w:rPr>
            <w:t>8.税项</w:t>
          </w:r>
        </w:p>
        <w:p>
          <w:pPr>
            <w:pStyle w:val="affffffffffffffffffffffffffffffffffb"/>
            <w:spacing w:afterLines="50" w:after="120" w:line="360" w:lineRule="exact"/>
            <w:ind w:firstLineChars="200" w:firstLine="420"/>
            <w:rPr>
              <w:rFonts w:hAnsi="宋体"/>
            </w:rPr>
          </w:pPr>
          <w:r>
            <w:rPr>
              <w:rFonts w:hAnsi="宋体" w:hint="eastAsia"/>
            </w:rPr>
            <w:t>本集团在多个国家和地区缴纳多种税金，在正常经营活动中，很多交易和事项最终税务处理都存在不确定性。如果这些税务事项的最终认定结果与最初入账的金额存在差异，该差异将对作出上述最终认定期间的税金和金额产生影响。</w:t>
          </w:r>
        </w:p>
        <w:p>
          <w:pPr>
            <w:pStyle w:val="affffffffffffffffffffffffffffffffffb"/>
            <w:spacing w:afterLines="50" w:after="120" w:line="360" w:lineRule="exact"/>
            <w:ind w:firstLineChars="200" w:firstLine="420"/>
            <w:rPr>
              <w:rFonts w:hAnsi="宋体"/>
            </w:rPr>
          </w:pPr>
          <w:r>
            <w:rPr>
              <w:rFonts w:hAnsi="宋体" w:hint="eastAsia"/>
            </w:rPr>
            <w:t>若管理层预计未来很有可能出现应纳税盈利，并可用作可抵销暂时性差异或税项亏损，则确认与该暂时性差异及税项亏损有关的递延所得税资产。当预计的金额与原先估计有差异，则该差异将会影响与估计改变的期间内递延所得税资产及税项的确认。若管理层预计未来无法抵消应纳税所得额，则对暂时性差异及税项亏损不确认相关的递延所得税资产。</w:t>
          </w:r>
        </w:p>
      </w:sdtContent>
    </w:sdt>
    <w:p>
      <w:pPr>
        <w:rPr>
          <w:szCs w:val="21"/>
        </w:rPr>
      </w:pPr>
    </w:p>
    <w:p>
      <w:pPr>
        <w:keepNext/>
        <w:keepLines/>
        <w:widowControl w:val="0"/>
        <w:numPr>
          <w:ilvl w:val="0"/>
          <w:numId w:val="94"/>
        </w:numPr>
        <w:spacing w:before="60" w:line="360" w:lineRule="auto"/>
        <w:jc w:val="both"/>
        <w:outlineLvl w:val="2"/>
      </w:pPr>
      <w:r>
        <w:rPr>
          <w:rFonts w:hint="eastAsia"/>
        </w:rPr>
        <w:t>重要</w:t>
      </w:r>
      <w:r>
        <w:t>会计政策</w:t>
      </w:r>
      <w:r>
        <w:rPr>
          <w:rFonts w:hint="eastAsia"/>
        </w:rPr>
        <w:t>和</w:t>
      </w:r>
      <w:r>
        <w:t>会计估计的变更</w:t>
      </w:r>
    </w:p>
    <w:p>
      <w:pPr>
        <w:pStyle w:val="afffffffffffffffffffffffffffffffff1"/>
        <w:numPr>
          <w:ilvl w:val="3"/>
          <w:numId w:val="160"/>
        </w:numPr>
        <w:ind w:left="426" w:hanging="426"/>
      </w:pPr>
      <w:r>
        <w:rPr>
          <w:rFonts w:hint="eastAsia"/>
        </w:rPr>
        <w:t>重要</w:t>
      </w:r>
      <w:r>
        <w:t>会计政策变更</w:t>
      </w:r>
    </w:p>
    <w:sdt>
      <w:sdtPr>
        <w:rPr>
          <w:szCs w:val="21"/>
        </w:rPr>
        <w:alias w:val="是否适用：重要会计政策变更[双击切换]"/>
        <w:tag w:val="_GBC_f1ebc580f60c4d30a80747190ffbec4f"/>
        <w:id w:val="266507170"/>
        <w:lock w:val="contentLocked"/>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重要会计政策变更"/>
          <w:tag w:val="_GBC_dc95ba794b3e434f84be566c0074241d"/>
          <w:id w:val="29749949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重要会计政策变更"/>
          <w:tag w:val="_GBC_44ee0a93f6534d82b4818cfa882020f2"/>
          <w:id w:val="10906629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4"/>
        <w:gridCol w:w="2960"/>
        <w:gridCol w:w="2959"/>
      </w:tblGrid>
      <w:tr>
        <w:tc>
          <w:tcPr>
            <w:tcW w:w="1645" w:type="pct"/>
            <w:vAlign w:val="center"/>
          </w:tcPr>
          <w:p>
            <w:pPr>
              <w:jc w:val="center"/>
              <w:rPr>
                <w:szCs w:val="21"/>
              </w:rPr>
            </w:pPr>
            <w:sdt>
              <w:sdtPr>
                <w:tag w:val="_PLD_e1dec237a8bd4e95920b80a564ae1cb9"/>
                <w:id w:val="971872740"/>
              </w:sdtPr>
              <w:sdtContent>
                <w:r>
                  <w:rPr>
                    <w:rFonts w:hint="eastAsia"/>
                    <w:szCs w:val="21"/>
                  </w:rPr>
                  <w:t>会计政策变更的内容和原因</w:t>
                </w:r>
              </w:sdtContent>
            </w:sdt>
          </w:p>
        </w:tc>
        <w:tc>
          <w:tcPr>
            <w:tcW w:w="1677" w:type="pct"/>
          </w:tcPr>
          <w:sdt>
            <w:sdtPr>
              <w:tag w:val="_PLD_65f50e2312c947e8acdb47411e2295bd"/>
              <w:id w:val="607937604"/>
            </w:sdtPr>
            <w:sdtContent>
              <w:p>
                <w:pPr>
                  <w:jc w:val="center"/>
                </w:pPr>
                <w:r>
                  <w:rPr>
                    <w:rFonts w:hint="eastAsia"/>
                  </w:rPr>
                  <w:t>受重要影响的报表项目名称</w:t>
                </w:r>
              </w:p>
            </w:sdtContent>
          </w:sdt>
        </w:tc>
        <w:sdt>
          <w:sdtPr>
            <w:tag w:val="_PLD_f4b6323c0cf54fc0b4bff40f66002d51"/>
            <w:id w:val="-355890074"/>
          </w:sdtPr>
          <w:sdtContent>
            <w:tc>
              <w:tcPr>
                <w:tcW w:w="1677" w:type="pct"/>
                <w:tcBorders>
                  <w:bottom w:val="single" w:sz="4" w:space="0" w:color="auto"/>
                </w:tcBorders>
                <w:vAlign w:val="center"/>
              </w:tcPr>
              <w:p>
                <w:pPr>
                  <w:jc w:val="center"/>
                  <w:rPr>
                    <w:szCs w:val="21"/>
                  </w:rPr>
                </w:pPr>
                <w:r>
                  <w:rPr>
                    <w:szCs w:val="21"/>
                  </w:rPr>
                  <w:t>影响金额</w:t>
                </w:r>
              </w:p>
            </w:tc>
          </w:sdtContent>
        </w:sdt>
      </w:tr>
      <w:tr>
        <w:tc>
          <w:tcPr>
            <w:tcW w:w="1645" w:type="pct"/>
          </w:tcPr>
          <w:p>
            <w:pPr>
              <w:rPr>
                <w:szCs w:val="21"/>
              </w:rPr>
            </w:pPr>
            <w:r>
              <w:rPr>
                <w:rFonts w:hint="eastAsia"/>
                <w:szCs w:val="21"/>
              </w:rPr>
              <w:t>-</w:t>
            </w:r>
          </w:p>
        </w:tc>
        <w:tc>
          <w:tcPr>
            <w:tcW w:w="1677" w:type="pct"/>
          </w:tcPr>
          <w:p>
            <w:pPr>
              <w:rPr>
                <w:szCs w:val="21"/>
              </w:rPr>
            </w:pPr>
            <w:r>
              <w:rPr>
                <w:rFonts w:hint="eastAsia"/>
                <w:szCs w:val="21"/>
              </w:rPr>
              <w:t>-</w:t>
            </w:r>
          </w:p>
        </w:tc>
        <w:tc>
          <w:tcPr>
            <w:tcW w:w="1677" w:type="pct"/>
          </w:tcPr>
          <w:p>
            <w:pPr>
              <w:jc w:val="right"/>
              <w:rPr>
                <w:szCs w:val="21"/>
              </w:rPr>
            </w:pPr>
            <w:r>
              <w:rPr>
                <w:rFonts w:hint="eastAsia"/>
                <w:szCs w:val="21"/>
              </w:rPr>
              <w:t>-</w:t>
            </w:r>
          </w:p>
        </w:tc>
      </w:tr>
      <w:tr>
        <w:tc>
          <w:tcPr>
            <w:tcW w:w="1645" w:type="pct"/>
          </w:tcPr>
          <w:p>
            <w:pPr>
              <w:rPr>
                <w:szCs w:val="21"/>
              </w:rPr>
            </w:pPr>
            <w:r>
              <w:rPr>
                <w:rFonts w:hint="eastAsia"/>
                <w:szCs w:val="21"/>
              </w:rPr>
              <w:t>-</w:t>
            </w:r>
          </w:p>
        </w:tc>
        <w:tc>
          <w:tcPr>
            <w:tcW w:w="1677" w:type="pct"/>
          </w:tcPr>
          <w:p>
            <w:pPr>
              <w:rPr>
                <w:szCs w:val="21"/>
              </w:rPr>
            </w:pPr>
            <w:r>
              <w:rPr>
                <w:rFonts w:hint="eastAsia"/>
                <w:szCs w:val="21"/>
              </w:rPr>
              <w:t>-</w:t>
            </w:r>
          </w:p>
        </w:tc>
        <w:tc>
          <w:tcPr>
            <w:tcW w:w="1677" w:type="pct"/>
          </w:tcPr>
          <w:p>
            <w:pPr>
              <w:jc w:val="right"/>
              <w:rPr>
                <w:szCs w:val="21"/>
              </w:rPr>
            </w:pPr>
            <w:r>
              <w:rPr>
                <w:rFonts w:hint="eastAsia"/>
                <w:szCs w:val="21"/>
              </w:rPr>
              <w:t>-</w:t>
            </w:r>
          </w:p>
        </w:tc>
      </w:tr>
    </w:tbl>
    <w:p>
      <w:pPr>
        <w:pStyle w:val="affffffffffffffffffffffffffffffffe"/>
      </w:pPr>
    </w:p>
    <w:p>
      <w:pPr>
        <w:rPr>
          <w:szCs w:val="21"/>
        </w:rPr>
      </w:pPr>
      <w:r>
        <w:rPr>
          <w:rFonts w:hint="eastAsia"/>
          <w:szCs w:val="21"/>
        </w:rPr>
        <w:t>其他说明：</w:t>
      </w:r>
    </w:p>
    <w:sdt>
      <w:sdtPr>
        <w:rPr>
          <w:szCs w:val="21"/>
        </w:rPr>
        <w:alias w:val="会计政策的变更的其他说明"/>
        <w:tag w:val="_GBC_93e2fc5a38cb45958eae783eee8d98c3"/>
        <w:id w:val="-2007422990"/>
        <w:placeholder>
          <w:docPart w:val="GBC22222222222222222222222222222"/>
        </w:placeholder>
      </w:sdtPr>
      <w:sdtContent>
        <w:p>
          <w:pPr>
            <w:spacing w:afterLines="50" w:after="120" w:line="360" w:lineRule="exact"/>
            <w:ind w:firstLineChars="200" w:firstLine="420"/>
            <w:rPr>
              <w:rFonts w:hAnsiTheme="minorHAnsi" w:cstheme="minorBidi"/>
              <w14:ligatures w14:val="standardContextual"/>
            </w:rPr>
          </w:pPr>
          <w:r>
            <w:rPr>
              <w:rFonts w:hAnsiTheme="minorHAnsi" w:cstheme="minorBidi" w:hint="eastAsia"/>
              <w14:ligatures w14:val="standardContextual"/>
            </w:rPr>
            <w:t>公司自2024年1月1日起执行财政部颁布的《企业数据资源相关会计处理暂行规定》。该会计政策变更对公司无影响。</w:t>
          </w:r>
        </w:p>
        <w:p>
          <w:pPr>
            <w:spacing w:afterLines="50" w:after="120" w:line="360" w:lineRule="exact"/>
            <w:ind w:firstLineChars="200" w:firstLine="420"/>
            <w:rPr>
              <w:rFonts w:hAnsiTheme="minorHAnsi" w:cstheme="minorBidi"/>
              <w14:ligatures w14:val="standardContextual"/>
            </w:rPr>
          </w:pPr>
          <w:r>
            <w:rPr>
              <w:rFonts w:hAnsiTheme="minorHAnsi" w:cstheme="minorBidi" w:hint="eastAsia"/>
              <w14:ligatures w14:val="standardContextual"/>
            </w:rPr>
            <w:t>公司自2024年1月1日起执行财政部颁布的《企业会计准则解释第17号》关于流动负债与非流动负债的划分、关于供应商融资安排的披露、关于售后租回交易的会计处理规定。该会计政策变更对公司无影响。</w:t>
          </w:r>
        </w:p>
        <w:p>
          <w:pPr>
            <w:spacing w:afterLines="50" w:after="120" w:line="360" w:lineRule="exact"/>
            <w:ind w:firstLineChars="200" w:firstLine="420"/>
            <w:rPr>
              <w:rFonts w:hAnsiTheme="minorHAnsi" w:cstheme="minorBidi"/>
              <w14:ligatures w14:val="standardContextual"/>
            </w:rPr>
          </w:pPr>
          <w:r>
            <w:rPr>
              <w:rFonts w:hAnsiTheme="minorHAnsi" w:cstheme="minorBidi" w:hint="eastAsia"/>
              <w14:ligatures w14:val="standardContextual"/>
            </w:rPr>
            <w:t>公司自2024年12月6日起执行财政部颁布的《企业会计准则解释第18号》关于浮动收费法下作为基础项目持有的投资性房地产的后续计量、关于不属于单项履约义务的保证类质量保证的会计处理规定。该会计政策变更对公司无影响。</w:t>
          </w:r>
        </w:p>
        <w:p>
          <w:pPr>
            <w:rPr>
              <w:szCs w:val="21"/>
            </w:rPr>
          </w:pPr>
        </w:p>
      </w:sdtContent>
    </w:sdt>
    <w:p>
      <w:pPr>
        <w:rPr>
          <w:szCs w:val="21"/>
        </w:rPr>
      </w:pPr>
    </w:p>
    <w:p>
      <w:pPr>
        <w:pStyle w:val="afffffffffffffffffffffffffffffffff1"/>
        <w:numPr>
          <w:ilvl w:val="3"/>
          <w:numId w:val="160"/>
        </w:numPr>
        <w:ind w:left="426" w:hanging="426"/>
      </w:pPr>
      <w:r>
        <w:rPr>
          <w:rFonts w:hint="eastAsia"/>
        </w:rPr>
        <w:t>重要</w:t>
      </w:r>
      <w:r>
        <w:t>会计估计变更</w:t>
      </w:r>
    </w:p>
    <w:sdt>
      <w:sdtPr>
        <w:alias w:val="是否适用：重要会计估计变更[双击切换]"/>
        <w:tag w:val="_GBC_902f08bd36774074945386d2d1f9b67d"/>
        <w:id w:val="-967663904"/>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重要会计估计变更"/>
          <w:tag w:val="_GBC_d17bb277892948c1b6731d7bb9c8dd63"/>
          <w:id w:val="120429590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重要会计估计变更"/>
          <w:tag w:val="_GBC_9217514b698844179ed0aa78814210a2"/>
          <w:id w:val="8344986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8"/>
        <w:gridCol w:w="1719"/>
        <w:gridCol w:w="2243"/>
        <w:gridCol w:w="2243"/>
      </w:tblGrid>
      <w:tr>
        <w:tc>
          <w:tcPr>
            <w:tcW w:w="1484" w:type="pct"/>
            <w:vAlign w:val="center"/>
          </w:tcPr>
          <w:p>
            <w:pPr>
              <w:jc w:val="center"/>
              <w:rPr>
                <w:szCs w:val="21"/>
              </w:rPr>
            </w:pPr>
            <w:sdt>
              <w:sdtPr>
                <w:tag w:val="_PLD_222d51c58cbf4b3caf946a1b0b8a0d4c"/>
                <w:id w:val="1795099241"/>
              </w:sdtPr>
              <w:sdtContent>
                <w:r>
                  <w:rPr>
                    <w:szCs w:val="21"/>
                  </w:rPr>
                  <w:t>会计估计变更的内容和原因</w:t>
                </w:r>
              </w:sdtContent>
            </w:sdt>
          </w:p>
        </w:tc>
        <w:sdt>
          <w:sdtPr>
            <w:tag w:val="_PLD_64298bbc39aa49889d9eac93cdf93ecb"/>
            <w:id w:val="-1512755553"/>
          </w:sdtPr>
          <w:sdtContent>
            <w:tc>
              <w:tcPr>
                <w:tcW w:w="974" w:type="pct"/>
                <w:vAlign w:val="center"/>
              </w:tcPr>
              <w:p>
                <w:pPr>
                  <w:jc w:val="center"/>
                  <w:rPr>
                    <w:szCs w:val="21"/>
                  </w:rPr>
                </w:pPr>
                <w:r>
                  <w:rPr>
                    <w:rFonts w:hint="eastAsia"/>
                    <w:szCs w:val="21"/>
                  </w:rPr>
                  <w:t>开始适用的时点</w:t>
                </w:r>
              </w:p>
            </w:tc>
          </w:sdtContent>
        </w:sdt>
        <w:tc>
          <w:tcPr>
            <w:tcW w:w="1271" w:type="pct"/>
          </w:tcPr>
          <w:sdt>
            <w:sdtPr>
              <w:tag w:val="_PLD_a7af09d120f841859b1a40e8dd97e96c"/>
              <w:id w:val="-414017986"/>
            </w:sdtPr>
            <w:sdtContent>
              <w:p>
                <w:pPr>
                  <w:jc w:val="center"/>
                </w:pPr>
                <w:r>
                  <w:rPr>
                    <w:rFonts w:hint="eastAsia"/>
                  </w:rPr>
                  <w:t>受重要影响的报表项目名称</w:t>
                </w:r>
              </w:p>
            </w:sdtContent>
          </w:sdt>
        </w:tc>
        <w:sdt>
          <w:sdtPr>
            <w:tag w:val="_PLD_31b3984cdbbb420a89bfa9501c1cfa46"/>
            <w:id w:val="618270375"/>
          </w:sdtPr>
          <w:sdtContent>
            <w:tc>
              <w:tcPr>
                <w:tcW w:w="1271" w:type="pct"/>
                <w:tcBorders>
                  <w:bottom w:val="single" w:sz="4" w:space="0" w:color="auto"/>
                </w:tcBorders>
                <w:vAlign w:val="center"/>
              </w:tcPr>
              <w:p>
                <w:pPr>
                  <w:jc w:val="center"/>
                  <w:rPr>
                    <w:szCs w:val="21"/>
                  </w:rPr>
                </w:pPr>
                <w:r>
                  <w:rPr>
                    <w:szCs w:val="21"/>
                  </w:rPr>
                  <w:t>影响金额</w:t>
                </w:r>
              </w:p>
            </w:tc>
          </w:sdtContent>
        </w:sdt>
      </w:tr>
      <w:tr>
        <w:tc>
          <w:tcPr>
            <w:tcW w:w="1484" w:type="pct"/>
          </w:tcPr>
          <w:p>
            <w:pPr>
              <w:rPr>
                <w:szCs w:val="21"/>
              </w:rPr>
            </w:pPr>
            <w:r>
              <w:rPr>
                <w:rFonts w:hint="eastAsia"/>
                <w:szCs w:val="21"/>
              </w:rPr>
              <w:t>-</w:t>
            </w:r>
          </w:p>
        </w:tc>
        <w:tc>
          <w:tcPr>
            <w:tcW w:w="974" w:type="pct"/>
          </w:tcPr>
          <w:p>
            <w:pPr>
              <w:rPr>
                <w:szCs w:val="21"/>
              </w:rPr>
            </w:pPr>
            <w:r>
              <w:rPr>
                <w:rFonts w:hint="eastAsia"/>
                <w:szCs w:val="21"/>
              </w:rPr>
              <w:t>-</w:t>
            </w:r>
          </w:p>
        </w:tc>
        <w:tc>
          <w:tcPr>
            <w:tcW w:w="1271" w:type="pct"/>
          </w:tcPr>
          <w:p>
            <w:pPr>
              <w:rPr>
                <w:szCs w:val="21"/>
              </w:rPr>
            </w:pPr>
            <w:r>
              <w:rPr>
                <w:rFonts w:hint="eastAsia"/>
                <w:szCs w:val="21"/>
              </w:rPr>
              <w:t>-</w:t>
            </w:r>
          </w:p>
        </w:tc>
        <w:tc>
          <w:tcPr>
            <w:tcW w:w="1271" w:type="pct"/>
          </w:tcPr>
          <w:p>
            <w:pPr>
              <w:jc w:val="right"/>
              <w:rPr>
                <w:szCs w:val="21"/>
              </w:rPr>
            </w:pPr>
            <w:r>
              <w:rPr>
                <w:rFonts w:hint="eastAsia"/>
                <w:szCs w:val="21"/>
              </w:rPr>
              <w:t>-</w:t>
            </w:r>
          </w:p>
        </w:tc>
      </w:tr>
      <w:tr>
        <w:tc>
          <w:tcPr>
            <w:tcW w:w="1484" w:type="pct"/>
          </w:tcPr>
          <w:p>
            <w:pPr>
              <w:rPr>
                <w:szCs w:val="21"/>
              </w:rPr>
            </w:pPr>
            <w:r>
              <w:rPr>
                <w:rFonts w:hint="eastAsia"/>
                <w:szCs w:val="21"/>
              </w:rPr>
              <w:t>-</w:t>
            </w:r>
          </w:p>
        </w:tc>
        <w:tc>
          <w:tcPr>
            <w:tcW w:w="974" w:type="pct"/>
          </w:tcPr>
          <w:p>
            <w:pPr>
              <w:rPr>
                <w:szCs w:val="21"/>
              </w:rPr>
            </w:pPr>
            <w:r>
              <w:rPr>
                <w:rFonts w:hint="eastAsia"/>
                <w:szCs w:val="21"/>
              </w:rPr>
              <w:t>-</w:t>
            </w:r>
          </w:p>
        </w:tc>
        <w:tc>
          <w:tcPr>
            <w:tcW w:w="1271" w:type="pct"/>
          </w:tcPr>
          <w:p>
            <w:pPr>
              <w:rPr>
                <w:szCs w:val="21"/>
              </w:rPr>
            </w:pPr>
            <w:r>
              <w:rPr>
                <w:rFonts w:hint="eastAsia"/>
                <w:szCs w:val="21"/>
              </w:rPr>
              <w:t>-</w:t>
            </w:r>
          </w:p>
        </w:tc>
        <w:tc>
          <w:tcPr>
            <w:tcW w:w="1271" w:type="pct"/>
          </w:tcPr>
          <w:p>
            <w:pPr>
              <w:jc w:val="right"/>
              <w:rPr>
                <w:szCs w:val="21"/>
              </w:rPr>
            </w:pPr>
            <w:r>
              <w:rPr>
                <w:rFonts w:hint="eastAsia"/>
                <w:szCs w:val="21"/>
              </w:rPr>
              <w:t>-</w:t>
            </w:r>
          </w:p>
        </w:tc>
      </w:tr>
    </w:tbl>
    <w:p>
      <w:pPr>
        <w:pStyle w:val="affffffffffffffffffffffffffffffffe"/>
      </w:pPr>
    </w:p>
    <w:p>
      <w:pPr>
        <w:rPr>
          <w:szCs w:val="21"/>
        </w:rPr>
      </w:pPr>
      <w:r>
        <w:rPr>
          <w:rFonts w:hint="eastAsia"/>
          <w:szCs w:val="21"/>
        </w:rPr>
        <w:t>其他说明：</w:t>
      </w:r>
    </w:p>
    <w:sdt>
      <w:sdtPr>
        <w:rPr>
          <w:szCs w:val="21"/>
        </w:rPr>
        <w:alias w:val="会计估计的变更的其他说明"/>
        <w:tag w:val="_GBC_a41b27e651e046789ab16161a8619783"/>
        <w:id w:val="1707062270"/>
        <w:placeholder>
          <w:docPart w:val="GBC22222222222222222222222222222"/>
        </w:placeholder>
      </w:sdtPr>
      <w:sdtContent>
        <w:p>
          <w:pPr>
            <w:spacing w:afterLines="50" w:after="120" w:line="360" w:lineRule="exact"/>
            <w:ind w:firstLineChars="200" w:firstLine="420"/>
            <w:rPr>
              <w:rFonts w:hAnsiTheme="minorHAnsi" w:cstheme="minorBidi"/>
              <w14:ligatures w14:val="standardContextual"/>
            </w:rPr>
          </w:pPr>
          <w:r>
            <w:rPr>
              <w:rFonts w:hAnsiTheme="minorHAnsi" w:cstheme="minorBidi" w:hint="eastAsia"/>
              <w14:ligatures w14:val="standardContextual"/>
            </w:rPr>
            <w:t>本报告期本集团未发生重大会计估计变更事项。</w:t>
          </w:r>
        </w:p>
      </w:sdtContent>
    </w:sdt>
    <w:p>
      <w:pPr>
        <w:rPr>
          <w:szCs w:val="21"/>
        </w:rPr>
      </w:pPr>
    </w:p>
    <w:p>
      <w:pPr>
        <w:pStyle w:val="affffffffffffffffffffffffffffffffff4"/>
        <w:ind w:left="851" w:firstLineChars="0" w:firstLine="0"/>
        <w:rPr>
          <w:rFonts w:asciiTheme="minorEastAsia" w:eastAsiaTheme="minorEastAsia" w:hAnsiTheme="minorEastAsia"/>
          <w:b/>
          <w:bCs/>
          <w:szCs w:val="28"/>
        </w:rPr>
      </w:pPr>
      <w:bookmarkStart w:id="339" w:name="_Hlk10465969"/>
      <w:bookmarkStart w:id="340" w:name="_Hlk24100246"/>
      <w:bookmarkEnd w:id="339"/>
    </w:p>
    <w:p>
      <w:pPr>
        <w:pStyle w:val="afffffffffffffffffffffffffffffffff1"/>
        <w:numPr>
          <w:ilvl w:val="3"/>
          <w:numId w:val="160"/>
        </w:numPr>
        <w:ind w:left="426" w:hanging="426"/>
      </w:pPr>
      <w:r>
        <w:rPr>
          <w:rFonts w:hint="eastAsia"/>
        </w:rPr>
        <w:t>前期差错更正</w:t>
      </w:r>
    </w:p>
    <w:p>
      <w:pPr>
        <w:pStyle w:val="affffffffffffffffff3"/>
      </w:pPr>
      <w:r>
        <w:rPr>
          <w:rFonts w:hint="eastAsia"/>
        </w:rPr>
        <w:t xml:space="preserve"> </w:t>
      </w:r>
      <w:r>
        <w:t xml:space="preserve"> </w:t>
      </w:r>
      <w:r>
        <w:rPr>
          <w:rFonts w:hint="eastAsia"/>
        </w:rPr>
        <w:t>本报告期本集团未发生重大前期会计差错更正事项</w:t>
      </w:r>
    </w:p>
    <w:p>
      <w:pPr>
        <w:pStyle w:val="afffffffffffffffffffffffffffffffff1"/>
        <w:numPr>
          <w:ilvl w:val="3"/>
          <w:numId w:val="160"/>
        </w:numPr>
        <w:ind w:left="426" w:hanging="426"/>
      </w:pPr>
      <w:r>
        <w:t>2024年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808654404"/>
        <w:placeholder>
          <w:docPart w:val="GBC22222222222222222222222222222"/>
        </w:placeholder>
      </w:sdtPr>
      <w:sdtContent>
        <w:p>
          <w:pPr>
            <w:pStyle w:val="affffffffffffffff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keepNext/>
        <w:keepLines/>
        <w:widowControl w:val="0"/>
        <w:numPr>
          <w:ilvl w:val="0"/>
          <w:numId w:val="94"/>
        </w:numPr>
        <w:spacing w:before="60" w:line="360" w:lineRule="auto"/>
        <w:jc w:val="both"/>
        <w:outlineLvl w:val="2"/>
      </w:pPr>
      <w:bookmarkStart w:id="341" w:name="_Hlk24100423"/>
      <w:bookmarkEnd w:id="340"/>
      <w:bookmarkEnd w:id="341"/>
      <w:r>
        <w:rPr>
          <w:rFonts w:hint="eastAsia"/>
        </w:rPr>
        <w:t>其他</w:t>
      </w:r>
    </w:p>
    <w:sdt>
      <w:sdtPr>
        <w:rPr>
          <w:rFonts w:hint="eastAsia"/>
          <w:szCs w:val="21"/>
        </w:rPr>
        <w:alias w:val="是否适用：公司主要会计政策、会计估计和前期差错的其他说明[双击切换]"/>
        <w:tag w:val="_GBC_bcb348c2b015461e9de30ce69ad888ae"/>
        <w:id w:val="7472217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2"/>
        <w:numPr>
          <w:ilvl w:val="0"/>
          <w:numId w:val="155"/>
        </w:numPr>
        <w:rPr>
          <w:rFonts w:ascii="宋体" w:hAnsi="宋体"/>
        </w:rPr>
      </w:pPr>
      <w:r>
        <w:rPr>
          <w:rFonts w:ascii="宋体" w:hAnsi="宋体" w:hint="eastAsia"/>
        </w:rPr>
        <w:t>税项</w:t>
      </w:r>
    </w:p>
    <w:p>
      <w:pPr>
        <w:pStyle w:val="afffffffffffffffffffffffffffffffff0"/>
        <w:numPr>
          <w:ilvl w:val="0"/>
          <w:numId w:val="102"/>
        </w:numPr>
        <w:tabs>
          <w:tab w:val="left" w:pos="546"/>
        </w:tabs>
      </w:pPr>
      <w:r>
        <w:t>主要税种及税率</w:t>
      </w:r>
    </w:p>
    <w:p>
      <w:pPr>
        <w:pStyle w:val="affffffffffffffffffffffffffffffffe"/>
      </w:pPr>
      <w:r>
        <w:t>主要税种及税率</w:t>
      </w:r>
      <w:r>
        <w:rPr>
          <w:rFonts w:hint="eastAsia"/>
        </w:rPr>
        <w:t>情况</w:t>
      </w:r>
    </w:p>
    <w:p>
      <w:pPr>
        <w:tabs>
          <w:tab w:val="left" w:pos="2160"/>
        </w:tabs>
      </w:pPr>
      <w:sdt>
        <w:sdtPr>
          <w:alias w:val="是否适用：主要税种及税率情况 [双击切换]"/>
          <w:tag w:val="_GBC_f900f926144b41b9ba020b5a24aff3c0"/>
          <w:id w:val="-2087679354"/>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r>
        <w:tab/>
      </w:r>
    </w:p>
    <w:p>
      <w:pPr>
        <w:pStyle w:val="affffffffffffffffffffffffffffffffffffffe"/>
      </w:pPr>
      <w:r>
        <w:rPr>
          <w:rFonts w:hint="eastAsia"/>
        </w:rPr>
        <w:t>1</w:t>
      </w:r>
      <w:r>
        <w:t>.</w:t>
      </w:r>
      <w:r>
        <w:rPr>
          <w:rFonts w:hint="eastAsia"/>
        </w:rPr>
        <w:t>本集团及中国境内子公司税率如下：</w:t>
      </w:r>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sdt>
          <w:sdtPr>
            <w:tag w:val="_PLD_b5758c089ae1414f99b1cc36321c29a1"/>
            <w:id w:val="-1839061566"/>
          </w:sdtPr>
          <w:sdtContent>
            <w:tc>
              <w:tcPr>
                <w:tcW w:w="1537" w:type="pct"/>
                <w:vAlign w:val="center"/>
              </w:tcPr>
              <w:p>
                <w:pPr>
                  <w:jc w:val="center"/>
                  <w:rPr>
                    <w:szCs w:val="21"/>
                  </w:rPr>
                </w:pPr>
                <w:r>
                  <w:rPr>
                    <w:szCs w:val="21"/>
                  </w:rPr>
                  <w:t>税种</w:t>
                </w:r>
              </w:p>
            </w:tc>
          </w:sdtContent>
        </w:sdt>
        <w:sdt>
          <w:sdtPr>
            <w:tag w:val="_PLD_0e1599c84a4d47cc8f6f9b3d3069a1bd"/>
            <w:id w:val="-626238664"/>
          </w:sdtPr>
          <w:sdtContent>
            <w:tc>
              <w:tcPr>
                <w:tcW w:w="1738" w:type="pct"/>
                <w:vAlign w:val="center"/>
              </w:tcPr>
              <w:p>
                <w:pPr>
                  <w:jc w:val="center"/>
                  <w:rPr>
                    <w:szCs w:val="21"/>
                  </w:rPr>
                </w:pPr>
                <w:r>
                  <w:rPr>
                    <w:szCs w:val="21"/>
                  </w:rPr>
                  <w:t>计税依据</w:t>
                </w:r>
              </w:p>
            </w:tc>
          </w:sdtContent>
        </w:sdt>
        <w:sdt>
          <w:sdtPr>
            <w:tag w:val="_PLD_74e07bcec6714b078c64caa53447462a"/>
            <w:id w:val="-1075504634"/>
          </w:sdtPr>
          <w:sdtContent>
            <w:tc>
              <w:tcPr>
                <w:tcW w:w="1725" w:type="pct"/>
                <w:vAlign w:val="center"/>
              </w:tcPr>
              <w:p>
                <w:pPr>
                  <w:jc w:val="center"/>
                  <w:rPr>
                    <w:szCs w:val="21"/>
                  </w:rPr>
                </w:pPr>
                <w:r>
                  <w:rPr>
                    <w:szCs w:val="21"/>
                  </w:rPr>
                  <w:t>税率</w:t>
                </w:r>
              </w:p>
            </w:tc>
          </w:sdtContent>
        </w:sdt>
      </w:tr>
      <w:tr>
        <w:tc>
          <w:tcPr>
            <w:tcW w:w="1537" w:type="pct"/>
            <w:vAlign w:val="center"/>
          </w:tcPr>
          <w:p>
            <w:pPr>
              <w:jc w:val="both"/>
              <w:rPr>
                <w:szCs w:val="21"/>
              </w:rPr>
            </w:pPr>
            <w:r>
              <w:rPr>
                <w:szCs w:val="21"/>
              </w:rPr>
              <w:t>增值税</w:t>
            </w:r>
          </w:p>
        </w:tc>
        <w:tc>
          <w:tcPr>
            <w:tcW w:w="1738" w:type="pct"/>
            <w:vAlign w:val="center"/>
          </w:tcPr>
          <w:p>
            <w:pPr>
              <w:jc w:val="both"/>
              <w:rPr>
                <w:szCs w:val="21"/>
              </w:rPr>
            </w:pPr>
            <w:r>
              <w:rPr>
                <w:rFonts w:hint="eastAsia"/>
                <w:szCs w:val="21"/>
              </w:rPr>
              <w:t>按税法规定计算的销售货物和应税劳务收入为基础计算销项税额，在扣除当期允许抵扣的进</w:t>
            </w:r>
            <w:r>
              <w:rPr>
                <w:rFonts w:hint="eastAsia"/>
                <w:szCs w:val="21"/>
              </w:rPr>
              <w:lastRenderedPageBreak/>
              <w:t>项税额后，差额部分为应缴增值税</w:t>
            </w:r>
          </w:p>
        </w:tc>
        <w:tc>
          <w:tcPr>
            <w:tcW w:w="1725" w:type="pct"/>
            <w:vAlign w:val="center"/>
          </w:tcPr>
          <w:p>
            <w:pPr>
              <w:jc w:val="both"/>
              <w:rPr>
                <w:szCs w:val="21"/>
              </w:rPr>
            </w:pPr>
            <w:r>
              <w:rPr>
                <w:szCs w:val="21"/>
              </w:rPr>
              <w:lastRenderedPageBreak/>
              <w:t>3%、5%、6%、9%、13%</w:t>
            </w:r>
          </w:p>
        </w:tc>
      </w:tr>
      <w:tr>
        <w:tc>
          <w:tcPr>
            <w:tcW w:w="1537" w:type="pct"/>
          </w:tcPr>
          <w:p>
            <w:pPr>
              <w:rPr>
                <w:szCs w:val="21"/>
              </w:rPr>
            </w:pPr>
            <w:r>
              <w:rPr>
                <w:rFonts w:hint="eastAsia"/>
                <w:szCs w:val="21"/>
              </w:rPr>
              <w:t>城市维护建设税</w:t>
            </w:r>
          </w:p>
        </w:tc>
        <w:tc>
          <w:tcPr>
            <w:tcW w:w="1738" w:type="pct"/>
            <w:vAlign w:val="center"/>
          </w:tcPr>
          <w:p>
            <w:pPr>
              <w:rPr>
                <w:color w:val="000000"/>
                <w:sz w:val="18"/>
                <w:szCs w:val="18"/>
              </w:rPr>
            </w:pPr>
            <w:r>
              <w:rPr>
                <w:rFonts w:hint="eastAsia"/>
                <w:color w:val="000000"/>
                <w:sz w:val="18"/>
                <w:szCs w:val="18"/>
              </w:rPr>
              <w:t>按实际缴纳增值税计征</w:t>
            </w:r>
          </w:p>
        </w:tc>
        <w:tc>
          <w:tcPr>
            <w:tcW w:w="1725" w:type="pct"/>
          </w:tcPr>
          <w:p>
            <w:pPr>
              <w:rPr>
                <w:szCs w:val="21"/>
              </w:rPr>
            </w:pPr>
            <w:r>
              <w:rPr>
                <w:szCs w:val="21"/>
              </w:rPr>
              <w:t>1%、5%、7%</w:t>
            </w:r>
          </w:p>
        </w:tc>
      </w:tr>
      <w:tr>
        <w:tc>
          <w:tcPr>
            <w:tcW w:w="1537" w:type="pct"/>
          </w:tcPr>
          <w:p>
            <w:pPr>
              <w:rPr>
                <w:szCs w:val="21"/>
              </w:rPr>
            </w:pPr>
            <w:r>
              <w:rPr>
                <w:rFonts w:hint="eastAsia"/>
                <w:szCs w:val="21"/>
              </w:rPr>
              <w:t>教育费附加</w:t>
            </w:r>
          </w:p>
        </w:tc>
        <w:tc>
          <w:tcPr>
            <w:tcW w:w="1738" w:type="pct"/>
          </w:tcPr>
          <w:p>
            <w:pPr>
              <w:rPr>
                <w:szCs w:val="21"/>
              </w:rPr>
            </w:pPr>
            <w:r>
              <w:rPr>
                <w:rFonts w:hint="eastAsia"/>
                <w:szCs w:val="21"/>
              </w:rPr>
              <w:t>按实际缴纳增值税计征</w:t>
            </w:r>
          </w:p>
        </w:tc>
        <w:tc>
          <w:tcPr>
            <w:tcW w:w="1725" w:type="pct"/>
          </w:tcPr>
          <w:p>
            <w:pPr>
              <w:rPr>
                <w:szCs w:val="21"/>
              </w:rPr>
            </w:pPr>
            <w:r>
              <w:rPr>
                <w:szCs w:val="21"/>
              </w:rPr>
              <w:t>3%</w:t>
            </w:r>
          </w:p>
        </w:tc>
      </w:tr>
      <w:tr>
        <w:tc>
          <w:tcPr>
            <w:tcW w:w="1537" w:type="pct"/>
          </w:tcPr>
          <w:p>
            <w:pPr>
              <w:rPr>
                <w:szCs w:val="21"/>
              </w:rPr>
            </w:pPr>
            <w:r>
              <w:rPr>
                <w:rFonts w:hint="eastAsia"/>
                <w:szCs w:val="21"/>
              </w:rPr>
              <w:t>资源税</w:t>
            </w:r>
          </w:p>
        </w:tc>
        <w:tc>
          <w:tcPr>
            <w:tcW w:w="1738" w:type="pct"/>
          </w:tcPr>
          <w:p>
            <w:pPr>
              <w:rPr>
                <w:szCs w:val="21"/>
              </w:rPr>
            </w:pPr>
            <w:r>
              <w:rPr>
                <w:rFonts w:hint="eastAsia"/>
                <w:szCs w:val="21"/>
              </w:rPr>
              <w:t>按煤炭销售金额计征</w:t>
            </w:r>
          </w:p>
        </w:tc>
        <w:tc>
          <w:tcPr>
            <w:tcW w:w="1725" w:type="pct"/>
          </w:tcPr>
          <w:p>
            <w:pPr>
              <w:rPr>
                <w:szCs w:val="21"/>
              </w:rPr>
            </w:pPr>
            <w:r>
              <w:rPr>
                <w:szCs w:val="21"/>
              </w:rPr>
              <w:t>3.5%、4%、5%、6%、8%、</w:t>
            </w:r>
          </w:p>
        </w:tc>
      </w:tr>
      <w:tr>
        <w:tc>
          <w:tcPr>
            <w:tcW w:w="1537" w:type="pct"/>
          </w:tcPr>
          <w:p>
            <w:pPr>
              <w:rPr>
                <w:szCs w:val="21"/>
              </w:rPr>
            </w:pPr>
            <w:r>
              <w:rPr>
                <w:szCs w:val="21"/>
              </w:rPr>
              <w:t>企业所得税</w:t>
            </w:r>
          </w:p>
        </w:tc>
        <w:tc>
          <w:tcPr>
            <w:tcW w:w="1738" w:type="pct"/>
            <w:vAlign w:val="center"/>
          </w:tcPr>
          <w:p>
            <w:pPr>
              <w:rPr>
                <w:color w:val="000000"/>
                <w:sz w:val="18"/>
                <w:szCs w:val="18"/>
              </w:rPr>
            </w:pPr>
            <w:r>
              <w:rPr>
                <w:rFonts w:hint="eastAsia"/>
                <w:color w:val="000000"/>
                <w:sz w:val="18"/>
                <w:szCs w:val="18"/>
              </w:rPr>
              <w:t>按应纳税所得额计征</w:t>
            </w:r>
          </w:p>
        </w:tc>
        <w:tc>
          <w:tcPr>
            <w:tcW w:w="1725" w:type="pct"/>
          </w:tcPr>
          <w:p>
            <w:pPr>
              <w:rPr>
                <w:szCs w:val="21"/>
              </w:rPr>
            </w:pPr>
            <w:r>
              <w:rPr>
                <w:szCs w:val="21"/>
              </w:rPr>
              <w:t>25%</w:t>
            </w:r>
          </w:p>
        </w:tc>
      </w:tr>
      <w:tr>
        <w:tc>
          <w:tcPr>
            <w:tcW w:w="1537" w:type="pct"/>
          </w:tcPr>
          <w:p>
            <w:pPr>
              <w:rPr>
                <w:szCs w:val="21"/>
              </w:rPr>
            </w:pPr>
            <w:r>
              <w:rPr>
                <w:rFonts w:hint="eastAsia"/>
                <w:szCs w:val="21"/>
              </w:rPr>
              <w:t>环保税</w:t>
            </w:r>
          </w:p>
        </w:tc>
        <w:tc>
          <w:tcPr>
            <w:tcW w:w="1738" w:type="pct"/>
          </w:tcPr>
          <w:p>
            <w:pPr>
              <w:rPr>
                <w:szCs w:val="21"/>
              </w:rPr>
            </w:pPr>
            <w:r>
              <w:rPr>
                <w:rFonts w:hint="eastAsia"/>
                <w:szCs w:val="21"/>
              </w:rPr>
              <w:t>按实际排污量</w:t>
            </w:r>
          </w:p>
        </w:tc>
        <w:tc>
          <w:tcPr>
            <w:tcW w:w="1725" w:type="pct"/>
          </w:tcPr>
          <w:p>
            <w:pPr>
              <w:rPr>
                <w:szCs w:val="21"/>
              </w:rPr>
            </w:pPr>
            <w:r>
              <w:rPr>
                <w:szCs w:val="21"/>
              </w:rPr>
              <w:t>1.2至6元/污染当量</w:t>
            </w:r>
          </w:p>
        </w:tc>
      </w:tr>
      <w:tr>
        <w:tc>
          <w:tcPr>
            <w:tcW w:w="1537" w:type="pct"/>
          </w:tcPr>
          <w:p>
            <w:pPr>
              <w:rPr>
                <w:szCs w:val="21"/>
              </w:rPr>
            </w:pPr>
            <w:r>
              <w:rPr>
                <w:rFonts w:hint="eastAsia"/>
                <w:szCs w:val="21"/>
              </w:rPr>
              <w:t>水资源税</w:t>
            </w:r>
          </w:p>
        </w:tc>
        <w:tc>
          <w:tcPr>
            <w:tcW w:w="1738" w:type="pct"/>
          </w:tcPr>
          <w:p>
            <w:pPr>
              <w:rPr>
                <w:szCs w:val="21"/>
              </w:rPr>
            </w:pPr>
            <w:r>
              <w:rPr>
                <w:rFonts w:hint="eastAsia"/>
                <w:szCs w:val="21"/>
              </w:rPr>
              <w:t>按实际取水量或排水量</w:t>
            </w:r>
          </w:p>
        </w:tc>
        <w:tc>
          <w:tcPr>
            <w:tcW w:w="1725" w:type="pct"/>
          </w:tcPr>
          <w:p>
            <w:pPr>
              <w:rPr>
                <w:szCs w:val="21"/>
              </w:rPr>
            </w:pPr>
            <w:r>
              <w:rPr>
                <w:szCs w:val="21"/>
              </w:rPr>
              <w:t>0.4至5元/立方米</w:t>
            </w:r>
          </w:p>
        </w:tc>
      </w:tr>
      <w:tr>
        <w:tc>
          <w:tcPr>
            <w:tcW w:w="1537" w:type="pct"/>
            <w:vAlign w:val="center"/>
          </w:tcPr>
          <w:p>
            <w:pPr>
              <w:rPr>
                <w:color w:val="000000"/>
                <w:sz w:val="18"/>
                <w:szCs w:val="18"/>
              </w:rPr>
            </w:pPr>
            <w:r>
              <w:rPr>
                <w:rFonts w:hint="eastAsia"/>
                <w:color w:val="000000"/>
                <w:sz w:val="18"/>
                <w:szCs w:val="18"/>
              </w:rPr>
              <w:t>消费税</w:t>
            </w:r>
          </w:p>
        </w:tc>
        <w:tc>
          <w:tcPr>
            <w:tcW w:w="1738" w:type="pct"/>
          </w:tcPr>
          <w:p>
            <w:pPr>
              <w:rPr>
                <w:szCs w:val="21"/>
              </w:rPr>
            </w:pPr>
            <w:r>
              <w:rPr>
                <w:rFonts w:hint="eastAsia"/>
                <w:szCs w:val="21"/>
              </w:rPr>
              <w:t>按实际销量</w:t>
            </w:r>
          </w:p>
        </w:tc>
        <w:tc>
          <w:tcPr>
            <w:tcW w:w="1725" w:type="pct"/>
          </w:tcPr>
          <w:p>
            <w:pPr>
              <w:rPr>
                <w:szCs w:val="21"/>
              </w:rPr>
            </w:pPr>
            <w:r>
              <w:rPr>
                <w:szCs w:val="21"/>
              </w:rPr>
              <w:t>1.2至1.52元/升</w:t>
            </w:r>
          </w:p>
        </w:tc>
      </w:tr>
    </w:tbl>
    <w:p>
      <w:pPr>
        <w:pStyle w:val="affffffffffffffffffffffffffffffffffffffe"/>
      </w:pPr>
      <w:r>
        <w:rPr>
          <w:rFonts w:hint="eastAsia"/>
        </w:rPr>
        <w:t>2</w:t>
      </w:r>
      <w:r>
        <w:t>.</w:t>
      </w:r>
      <w:r>
        <w:rPr>
          <w:rFonts w:hint="eastAsia"/>
        </w:rPr>
        <w:t>本集团之澳大利亚子公司适用的主要税种及其税率列示如下：</w:t>
      </w:r>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3067"/>
        <w:gridCol w:w="3044"/>
      </w:tblGrid>
      <w:tr>
        <w:sdt>
          <w:sdtPr>
            <w:tag w:val="_PLD_b5758c089ae1414f99b1cc36321c29a1"/>
            <w:id w:val="-1403901584"/>
          </w:sdtPr>
          <w:sdtContent>
            <w:tc>
              <w:tcPr>
                <w:tcW w:w="1537" w:type="pct"/>
                <w:vAlign w:val="center"/>
              </w:tcPr>
              <w:p>
                <w:pPr>
                  <w:jc w:val="center"/>
                  <w:rPr>
                    <w:szCs w:val="21"/>
                  </w:rPr>
                </w:pPr>
                <w:r>
                  <w:rPr>
                    <w:szCs w:val="21"/>
                  </w:rPr>
                  <w:t>税种</w:t>
                </w:r>
              </w:p>
            </w:tc>
          </w:sdtContent>
        </w:sdt>
        <w:sdt>
          <w:sdtPr>
            <w:tag w:val="_PLD_0e1599c84a4d47cc8f6f9b3d3069a1bd"/>
            <w:id w:val="23910128"/>
          </w:sdtPr>
          <w:sdtContent>
            <w:tc>
              <w:tcPr>
                <w:tcW w:w="1738" w:type="pct"/>
                <w:vAlign w:val="center"/>
              </w:tcPr>
              <w:p>
                <w:pPr>
                  <w:jc w:val="center"/>
                  <w:rPr>
                    <w:szCs w:val="21"/>
                  </w:rPr>
                </w:pPr>
                <w:r>
                  <w:rPr>
                    <w:szCs w:val="21"/>
                  </w:rPr>
                  <w:t>计税依据</w:t>
                </w:r>
              </w:p>
            </w:tc>
          </w:sdtContent>
        </w:sdt>
        <w:sdt>
          <w:sdtPr>
            <w:tag w:val="_PLD_74e07bcec6714b078c64caa53447462a"/>
            <w:id w:val="230667737"/>
          </w:sdtPr>
          <w:sdtContent>
            <w:tc>
              <w:tcPr>
                <w:tcW w:w="1725" w:type="pct"/>
                <w:vAlign w:val="center"/>
              </w:tcPr>
              <w:p>
                <w:pPr>
                  <w:jc w:val="center"/>
                  <w:rPr>
                    <w:szCs w:val="21"/>
                  </w:rPr>
                </w:pPr>
                <w:r>
                  <w:rPr>
                    <w:szCs w:val="21"/>
                  </w:rPr>
                  <w:t>税率</w:t>
                </w:r>
              </w:p>
            </w:tc>
          </w:sdtContent>
        </w:sdt>
      </w:tr>
      <w:tr>
        <w:tc>
          <w:tcPr>
            <w:tcW w:w="1537" w:type="pct"/>
            <w:vAlign w:val="center"/>
          </w:tcPr>
          <w:p>
            <w:pPr>
              <w:jc w:val="both"/>
              <w:rPr>
                <w:szCs w:val="21"/>
              </w:rPr>
            </w:pPr>
            <w:r>
              <w:rPr>
                <w:rFonts w:hint="eastAsia"/>
                <w:szCs w:val="21"/>
              </w:rPr>
              <w:t>企业所得税（注）</w:t>
            </w:r>
          </w:p>
        </w:tc>
        <w:tc>
          <w:tcPr>
            <w:tcW w:w="1738" w:type="pct"/>
            <w:vAlign w:val="center"/>
          </w:tcPr>
          <w:p>
            <w:pPr>
              <w:jc w:val="both"/>
              <w:rPr>
                <w:szCs w:val="21"/>
              </w:rPr>
            </w:pPr>
            <w:r>
              <w:rPr>
                <w:rFonts w:hint="eastAsia"/>
                <w:szCs w:val="21"/>
              </w:rPr>
              <w:t>应纳税所得额</w:t>
            </w:r>
          </w:p>
        </w:tc>
        <w:tc>
          <w:tcPr>
            <w:tcW w:w="1725" w:type="pct"/>
            <w:vAlign w:val="center"/>
          </w:tcPr>
          <w:p>
            <w:pPr>
              <w:jc w:val="both"/>
              <w:rPr>
                <w:szCs w:val="21"/>
              </w:rPr>
            </w:pPr>
            <w:r>
              <w:rPr>
                <w:szCs w:val="21"/>
              </w:rPr>
              <w:t>30%</w:t>
            </w:r>
          </w:p>
        </w:tc>
      </w:tr>
      <w:tr>
        <w:tc>
          <w:tcPr>
            <w:tcW w:w="1537" w:type="pct"/>
          </w:tcPr>
          <w:p>
            <w:pPr>
              <w:rPr>
                <w:szCs w:val="21"/>
              </w:rPr>
            </w:pPr>
            <w:r>
              <w:rPr>
                <w:rFonts w:hint="eastAsia"/>
                <w:szCs w:val="21"/>
              </w:rPr>
              <w:t>商品及服务税</w:t>
            </w:r>
          </w:p>
        </w:tc>
        <w:tc>
          <w:tcPr>
            <w:tcW w:w="1738" w:type="pct"/>
            <w:vAlign w:val="center"/>
          </w:tcPr>
          <w:p>
            <w:pPr>
              <w:rPr>
                <w:color w:val="000000"/>
                <w:sz w:val="18"/>
                <w:szCs w:val="18"/>
              </w:rPr>
            </w:pPr>
            <w:r>
              <w:rPr>
                <w:rFonts w:hint="eastAsia"/>
                <w:color w:val="000000"/>
                <w:sz w:val="18"/>
                <w:szCs w:val="18"/>
              </w:rPr>
              <w:t>应纳税增值额</w:t>
            </w:r>
          </w:p>
        </w:tc>
        <w:tc>
          <w:tcPr>
            <w:tcW w:w="1725" w:type="pct"/>
          </w:tcPr>
          <w:p>
            <w:pPr>
              <w:rPr>
                <w:szCs w:val="21"/>
              </w:rPr>
            </w:pPr>
            <w:r>
              <w:rPr>
                <w:szCs w:val="21"/>
              </w:rPr>
              <w:t>10%</w:t>
            </w:r>
          </w:p>
        </w:tc>
      </w:tr>
      <w:tr>
        <w:tc>
          <w:tcPr>
            <w:tcW w:w="1537" w:type="pct"/>
          </w:tcPr>
          <w:p>
            <w:pPr>
              <w:rPr>
                <w:szCs w:val="21"/>
              </w:rPr>
            </w:pPr>
            <w:r>
              <w:rPr>
                <w:rFonts w:hint="eastAsia"/>
                <w:szCs w:val="21"/>
              </w:rPr>
              <w:t>资源税</w:t>
            </w:r>
          </w:p>
        </w:tc>
        <w:tc>
          <w:tcPr>
            <w:tcW w:w="1738" w:type="pct"/>
          </w:tcPr>
          <w:p>
            <w:pPr>
              <w:rPr>
                <w:szCs w:val="21"/>
              </w:rPr>
            </w:pPr>
            <w:r>
              <w:rPr>
                <w:rFonts w:hint="eastAsia"/>
                <w:szCs w:val="21"/>
              </w:rPr>
              <w:t>煤炭销售收入</w:t>
            </w:r>
          </w:p>
        </w:tc>
        <w:tc>
          <w:tcPr>
            <w:tcW w:w="1725" w:type="pct"/>
          </w:tcPr>
          <w:p>
            <w:pPr>
              <w:rPr>
                <w:szCs w:val="21"/>
              </w:rPr>
            </w:pPr>
            <w:r>
              <w:rPr>
                <w:szCs w:val="21"/>
              </w:rPr>
              <w:t>7%-40%</w:t>
            </w:r>
          </w:p>
        </w:tc>
      </w:tr>
      <w:tr>
        <w:tc>
          <w:tcPr>
            <w:tcW w:w="1537" w:type="pct"/>
          </w:tcPr>
          <w:p>
            <w:pPr>
              <w:rPr>
                <w:szCs w:val="21"/>
              </w:rPr>
            </w:pPr>
            <w:r>
              <w:rPr>
                <w:rFonts w:hint="eastAsia"/>
                <w:szCs w:val="21"/>
              </w:rPr>
              <w:t>职工薪酬税</w:t>
            </w:r>
            <w:r>
              <w:rPr>
                <w:szCs w:val="21"/>
              </w:rPr>
              <w:t>-昆士兰州</w:t>
            </w:r>
          </w:p>
        </w:tc>
        <w:tc>
          <w:tcPr>
            <w:tcW w:w="1738" w:type="pct"/>
            <w:vAlign w:val="center"/>
          </w:tcPr>
          <w:p>
            <w:pPr>
              <w:pStyle w:val="affffffffffffffffffffffffffffffffe"/>
            </w:pPr>
            <w:r>
              <w:t>职工工资总额</w:t>
            </w:r>
          </w:p>
        </w:tc>
        <w:tc>
          <w:tcPr>
            <w:tcW w:w="1725" w:type="pct"/>
            <w:vAlign w:val="center"/>
          </w:tcPr>
          <w:p>
            <w:pPr>
              <w:pStyle w:val="affffffffffffffffffffffffffffffffe"/>
            </w:pPr>
            <w:r>
              <w:t>4.75%、4.95%</w:t>
            </w:r>
          </w:p>
        </w:tc>
      </w:tr>
      <w:tr>
        <w:tc>
          <w:tcPr>
            <w:tcW w:w="1537" w:type="pct"/>
          </w:tcPr>
          <w:p>
            <w:pPr>
              <w:rPr>
                <w:szCs w:val="21"/>
              </w:rPr>
            </w:pPr>
            <w:r>
              <w:rPr>
                <w:rFonts w:hint="eastAsia"/>
                <w:szCs w:val="21"/>
              </w:rPr>
              <w:t>职工薪酬税</w:t>
            </w:r>
            <w:r>
              <w:rPr>
                <w:szCs w:val="21"/>
              </w:rPr>
              <w:t>-新南威尔士州</w:t>
            </w:r>
          </w:p>
        </w:tc>
        <w:tc>
          <w:tcPr>
            <w:tcW w:w="1738" w:type="pct"/>
            <w:vAlign w:val="center"/>
          </w:tcPr>
          <w:p>
            <w:pPr>
              <w:pStyle w:val="affffffffffffffffffffffffffffffffe"/>
            </w:pPr>
            <w:r>
              <w:t>职工工资总额</w:t>
            </w:r>
          </w:p>
        </w:tc>
        <w:tc>
          <w:tcPr>
            <w:tcW w:w="1725" w:type="pct"/>
            <w:vAlign w:val="center"/>
          </w:tcPr>
          <w:p>
            <w:pPr>
              <w:pStyle w:val="affffffffffffffffffffffffffffffffe"/>
            </w:pPr>
            <w:r>
              <w:t>5.45%</w:t>
            </w:r>
          </w:p>
        </w:tc>
      </w:tr>
    </w:tbl>
    <w:p>
      <w:pPr>
        <w:spacing w:afterLines="50" w:after="120" w:line="360" w:lineRule="exact"/>
        <w:ind w:firstLineChars="200" w:firstLine="420"/>
      </w:pPr>
      <w:r>
        <w:rPr>
          <w:rFonts w:hint="eastAsia"/>
        </w:rPr>
        <w:t>注：本集团之子公司兖煤澳大利亚有限公司所得税适用税率为30%。兖煤澳大利亚有限公司及其全资拥有的子公司根据澳大利亚合并纳税的规定构成一家所得税合并纳税集团；兖煤澳大利亚有限公司负责确认合并纳税集团的当期所得税资产和负债（包括合并纳税集团内各子公司的可抵扣损失及税款抵减产生的递延所得税资产）。合并纳税集团中的每一家实体确认各自的递延所得税资产和负债，但不包括可抵扣的损失及税款抵减产生的递延所得税资产。在这种情况下，仅由兖煤澳大利亚有限公司确认相应的递延所得税资产。该集团签订了一个共享税务协议，即集团中每个实体根据他们的税前利润占整个集团的比例来分配各自应缴纳的税金。合并纳税集团也签订一个纳税资金协议即每个实体通过集团内部往来科目确认各自的当期所得税资产和负债。</w:t>
      </w:r>
    </w:p>
    <w:p>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双击切换]"/>
        <w:tag w:val="_GBC_f117cb1e9d6f4e82900861637cf6a799"/>
        <w:id w:val="-154582453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4"/>
        <w:gridCol w:w="2188"/>
        <w:gridCol w:w="2186"/>
        <w:gridCol w:w="2185"/>
      </w:tblGrid>
      <w:tr>
        <w:sdt>
          <w:sdtPr>
            <w:tag w:val="_PLD_45211f01b9764dbc9a13b86554731418"/>
            <w:id w:val="-1095545709"/>
          </w:sdtPr>
          <w:sdtContent>
            <w:tc>
              <w:tcPr>
                <w:tcW w:w="1283" w:type="pct"/>
                <w:shd w:val="clear" w:color="auto" w:fill="auto"/>
                <w:vAlign w:val="center"/>
              </w:tcPr>
              <w:p>
                <w:pPr>
                  <w:jc w:val="center"/>
                  <w:rPr>
                    <w:szCs w:val="21"/>
                  </w:rPr>
                </w:pPr>
                <w:r>
                  <w:rPr>
                    <w:rFonts w:hint="eastAsia"/>
                    <w:szCs w:val="21"/>
                  </w:rPr>
                  <w:t>纳税主体名称</w:t>
                </w:r>
              </w:p>
            </w:tc>
          </w:sdtContent>
        </w:sdt>
        <w:tc>
          <w:tcPr>
            <w:tcW w:w="1240" w:type="pct"/>
          </w:tcPr>
          <w:p>
            <w:pPr>
              <w:jc w:val="center"/>
            </w:pPr>
            <w:r>
              <w:rPr>
                <w:rFonts w:hint="eastAsia"/>
                <w:szCs w:val="21"/>
              </w:rPr>
              <w:t>税种</w:t>
            </w:r>
          </w:p>
        </w:tc>
        <w:tc>
          <w:tcPr>
            <w:tcW w:w="1239" w:type="pct"/>
          </w:tcPr>
          <w:p>
            <w:pPr>
              <w:jc w:val="center"/>
            </w:pPr>
            <w:r>
              <w:rPr>
                <w:rFonts w:hint="eastAsia"/>
                <w:szCs w:val="21"/>
              </w:rPr>
              <w:t>计税依据</w:t>
            </w:r>
          </w:p>
        </w:tc>
        <w:sdt>
          <w:sdtPr>
            <w:tag w:val="_PLD_f364076e1daa46149b120da21925a155"/>
            <w:id w:val="-279342413"/>
          </w:sdtPr>
          <w:sdtContent>
            <w:tc>
              <w:tcPr>
                <w:tcW w:w="1238" w:type="pct"/>
                <w:shd w:val="clear" w:color="auto" w:fill="auto"/>
                <w:vAlign w:val="center"/>
              </w:tcPr>
              <w:p>
                <w:pPr>
                  <w:jc w:val="center"/>
                  <w:rPr>
                    <w:szCs w:val="21"/>
                  </w:rPr>
                </w:pPr>
                <w:r>
                  <w:rPr>
                    <w:rFonts w:hint="eastAsia"/>
                    <w:szCs w:val="21"/>
                  </w:rPr>
                  <w:t>所得税税率（%）</w:t>
                </w:r>
              </w:p>
            </w:tc>
          </w:sdtContent>
        </w:sdt>
      </w:tr>
      <w:tr>
        <w:tc>
          <w:tcPr>
            <w:tcW w:w="1283" w:type="pct"/>
            <w:shd w:val="clear" w:color="auto" w:fill="auto"/>
            <w:vAlign w:val="center"/>
          </w:tcPr>
          <w:p>
            <w:pPr>
              <w:jc w:val="both"/>
              <w:rPr>
                <w:szCs w:val="21"/>
              </w:rPr>
            </w:pPr>
            <w:r>
              <w:t>香港</w:t>
            </w:r>
          </w:p>
        </w:tc>
        <w:tc>
          <w:tcPr>
            <w:tcW w:w="1240" w:type="pct"/>
            <w:vAlign w:val="center"/>
          </w:tcPr>
          <w:p>
            <w:pPr>
              <w:jc w:val="both"/>
              <w:rPr>
                <w:szCs w:val="21"/>
              </w:rPr>
            </w:pPr>
            <w:r>
              <w:t>企业所得税</w:t>
            </w:r>
          </w:p>
        </w:tc>
        <w:tc>
          <w:tcPr>
            <w:tcW w:w="1239" w:type="pct"/>
            <w:vAlign w:val="center"/>
          </w:tcPr>
          <w:p>
            <w:pPr>
              <w:jc w:val="both"/>
              <w:rPr>
                <w:szCs w:val="21"/>
              </w:rPr>
            </w:pPr>
            <w:r>
              <w:t>应纳税所得额</w:t>
            </w:r>
          </w:p>
        </w:tc>
        <w:tc>
          <w:tcPr>
            <w:tcW w:w="1238" w:type="pct"/>
            <w:shd w:val="clear" w:color="auto" w:fill="auto"/>
            <w:vAlign w:val="center"/>
          </w:tcPr>
          <w:p>
            <w:pPr>
              <w:jc w:val="both"/>
              <w:rPr>
                <w:szCs w:val="21"/>
              </w:rPr>
            </w:pPr>
            <w:r>
              <w:t>16.5%</w:t>
            </w:r>
          </w:p>
        </w:tc>
      </w:tr>
      <w:tr>
        <w:tc>
          <w:tcPr>
            <w:tcW w:w="1283" w:type="pct"/>
            <w:shd w:val="clear" w:color="auto" w:fill="auto"/>
            <w:vAlign w:val="center"/>
          </w:tcPr>
          <w:p>
            <w:pPr>
              <w:jc w:val="both"/>
              <w:rPr>
                <w:szCs w:val="21"/>
              </w:rPr>
            </w:pPr>
            <w:r>
              <w:t>卢森堡</w:t>
            </w:r>
          </w:p>
        </w:tc>
        <w:tc>
          <w:tcPr>
            <w:tcW w:w="1240" w:type="pct"/>
            <w:vAlign w:val="center"/>
          </w:tcPr>
          <w:p>
            <w:pPr>
              <w:jc w:val="both"/>
              <w:rPr>
                <w:szCs w:val="21"/>
              </w:rPr>
            </w:pPr>
            <w:r>
              <w:t>企业所得税</w:t>
            </w:r>
          </w:p>
        </w:tc>
        <w:tc>
          <w:tcPr>
            <w:tcW w:w="1239" w:type="pct"/>
            <w:vAlign w:val="center"/>
          </w:tcPr>
          <w:p>
            <w:pPr>
              <w:jc w:val="both"/>
              <w:rPr>
                <w:szCs w:val="21"/>
              </w:rPr>
            </w:pPr>
            <w:r>
              <w:t>应纳税所得额</w:t>
            </w:r>
          </w:p>
        </w:tc>
        <w:tc>
          <w:tcPr>
            <w:tcW w:w="1238" w:type="pct"/>
            <w:shd w:val="clear" w:color="auto" w:fill="auto"/>
            <w:vAlign w:val="center"/>
          </w:tcPr>
          <w:p>
            <w:pPr>
              <w:jc w:val="both"/>
              <w:rPr>
                <w:szCs w:val="21"/>
              </w:rPr>
            </w:pPr>
            <w:r>
              <w:t>24.9%</w:t>
            </w:r>
          </w:p>
        </w:tc>
      </w:tr>
      <w:tr>
        <w:tc>
          <w:tcPr>
            <w:tcW w:w="1283" w:type="pct"/>
            <w:shd w:val="clear" w:color="auto" w:fill="auto"/>
            <w:vAlign w:val="center"/>
          </w:tcPr>
          <w:p>
            <w:pPr>
              <w:jc w:val="both"/>
              <w:rPr>
                <w:szCs w:val="21"/>
              </w:rPr>
            </w:pPr>
            <w:r>
              <w:t>加拿大</w:t>
            </w:r>
          </w:p>
        </w:tc>
        <w:tc>
          <w:tcPr>
            <w:tcW w:w="1240" w:type="pct"/>
            <w:vAlign w:val="center"/>
          </w:tcPr>
          <w:p>
            <w:pPr>
              <w:jc w:val="both"/>
              <w:rPr>
                <w:szCs w:val="21"/>
              </w:rPr>
            </w:pPr>
            <w:r>
              <w:t>货物及服务税</w:t>
            </w:r>
          </w:p>
        </w:tc>
        <w:tc>
          <w:tcPr>
            <w:tcW w:w="1239" w:type="pct"/>
            <w:vAlign w:val="center"/>
          </w:tcPr>
          <w:p>
            <w:pPr>
              <w:jc w:val="both"/>
              <w:rPr>
                <w:szCs w:val="21"/>
              </w:rPr>
            </w:pPr>
            <w:r>
              <w:t>商品计税价格</w:t>
            </w:r>
          </w:p>
        </w:tc>
        <w:tc>
          <w:tcPr>
            <w:tcW w:w="1238" w:type="pct"/>
            <w:shd w:val="clear" w:color="auto" w:fill="auto"/>
            <w:vAlign w:val="center"/>
          </w:tcPr>
          <w:p>
            <w:pPr>
              <w:jc w:val="both"/>
              <w:rPr>
                <w:szCs w:val="21"/>
              </w:rPr>
            </w:pPr>
            <w:r>
              <w:t>5%</w:t>
            </w:r>
          </w:p>
        </w:tc>
      </w:tr>
      <w:tr>
        <w:tc>
          <w:tcPr>
            <w:tcW w:w="1283" w:type="pct"/>
            <w:shd w:val="clear" w:color="auto" w:fill="auto"/>
            <w:vAlign w:val="center"/>
          </w:tcPr>
          <w:p>
            <w:pPr>
              <w:jc w:val="center"/>
              <w:rPr>
                <w:szCs w:val="21"/>
              </w:rPr>
            </w:pPr>
            <w:r>
              <w:t>纳税主体名称</w:t>
            </w:r>
          </w:p>
        </w:tc>
        <w:tc>
          <w:tcPr>
            <w:tcW w:w="1240" w:type="pct"/>
            <w:vAlign w:val="center"/>
          </w:tcPr>
          <w:p>
            <w:pPr>
              <w:jc w:val="center"/>
              <w:rPr>
                <w:szCs w:val="21"/>
              </w:rPr>
            </w:pPr>
            <w:r>
              <w:t>税种</w:t>
            </w:r>
          </w:p>
        </w:tc>
        <w:tc>
          <w:tcPr>
            <w:tcW w:w="1239" w:type="pct"/>
            <w:vAlign w:val="center"/>
          </w:tcPr>
          <w:p>
            <w:pPr>
              <w:jc w:val="center"/>
              <w:rPr>
                <w:szCs w:val="21"/>
              </w:rPr>
            </w:pPr>
            <w:r>
              <w:t>计税依据</w:t>
            </w:r>
          </w:p>
        </w:tc>
        <w:tc>
          <w:tcPr>
            <w:tcW w:w="1238" w:type="pct"/>
            <w:shd w:val="clear" w:color="auto" w:fill="auto"/>
            <w:vAlign w:val="center"/>
          </w:tcPr>
          <w:p>
            <w:pPr>
              <w:jc w:val="center"/>
              <w:rPr>
                <w:szCs w:val="21"/>
              </w:rPr>
            </w:pPr>
            <w:r>
              <w:t>所得税税率（%）</w:t>
            </w:r>
          </w:p>
        </w:tc>
      </w:tr>
      <w:tr>
        <w:tc>
          <w:tcPr>
            <w:tcW w:w="1283" w:type="pct"/>
            <w:shd w:val="clear" w:color="auto" w:fill="auto"/>
            <w:vAlign w:val="center"/>
          </w:tcPr>
          <w:p>
            <w:pPr>
              <w:jc w:val="both"/>
            </w:pPr>
            <w:r>
              <w:t>加拿大</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26.5%</w:t>
            </w:r>
          </w:p>
        </w:tc>
      </w:tr>
      <w:tr>
        <w:tc>
          <w:tcPr>
            <w:tcW w:w="1283" w:type="pct"/>
            <w:shd w:val="clear" w:color="auto" w:fill="auto"/>
            <w:vAlign w:val="center"/>
          </w:tcPr>
          <w:p>
            <w:pPr>
              <w:jc w:val="both"/>
            </w:pPr>
            <w:r>
              <w:t>德国</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32.1%</w:t>
            </w:r>
          </w:p>
        </w:tc>
      </w:tr>
      <w:tr>
        <w:tc>
          <w:tcPr>
            <w:tcW w:w="1283" w:type="pct"/>
            <w:shd w:val="clear" w:color="auto" w:fill="auto"/>
            <w:vAlign w:val="center"/>
          </w:tcPr>
          <w:p>
            <w:pPr>
              <w:jc w:val="both"/>
            </w:pPr>
            <w:r>
              <w:t>俄罗斯</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20%</w:t>
            </w:r>
          </w:p>
        </w:tc>
      </w:tr>
      <w:tr>
        <w:tc>
          <w:tcPr>
            <w:tcW w:w="1283" w:type="pct"/>
            <w:shd w:val="clear" w:color="auto" w:fill="auto"/>
            <w:vAlign w:val="center"/>
          </w:tcPr>
          <w:p>
            <w:pPr>
              <w:jc w:val="both"/>
            </w:pPr>
            <w:r>
              <w:t>南非</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27%</w:t>
            </w:r>
          </w:p>
        </w:tc>
      </w:tr>
      <w:tr>
        <w:tc>
          <w:tcPr>
            <w:tcW w:w="1283" w:type="pct"/>
            <w:shd w:val="clear" w:color="auto" w:fill="auto"/>
            <w:vAlign w:val="center"/>
          </w:tcPr>
          <w:p>
            <w:pPr>
              <w:jc w:val="both"/>
            </w:pPr>
            <w:r>
              <w:t>加拿大</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25%</w:t>
            </w:r>
          </w:p>
        </w:tc>
      </w:tr>
      <w:tr>
        <w:tc>
          <w:tcPr>
            <w:tcW w:w="1283" w:type="pct"/>
            <w:shd w:val="clear" w:color="auto" w:fill="auto"/>
            <w:vAlign w:val="center"/>
          </w:tcPr>
          <w:p>
            <w:pPr>
              <w:jc w:val="both"/>
            </w:pPr>
            <w:r>
              <w:t>智利</w:t>
            </w:r>
          </w:p>
        </w:tc>
        <w:tc>
          <w:tcPr>
            <w:tcW w:w="1240" w:type="pct"/>
            <w:vAlign w:val="center"/>
          </w:tcPr>
          <w:p>
            <w:pPr>
              <w:jc w:val="both"/>
            </w:pPr>
            <w:r>
              <w:t>企业所得税</w:t>
            </w:r>
          </w:p>
        </w:tc>
        <w:tc>
          <w:tcPr>
            <w:tcW w:w="1239" w:type="pct"/>
            <w:vAlign w:val="center"/>
          </w:tcPr>
          <w:p>
            <w:pPr>
              <w:jc w:val="both"/>
            </w:pPr>
            <w:r>
              <w:t>应纳税所得额</w:t>
            </w:r>
          </w:p>
        </w:tc>
        <w:tc>
          <w:tcPr>
            <w:tcW w:w="1238" w:type="pct"/>
            <w:shd w:val="clear" w:color="auto" w:fill="auto"/>
            <w:vAlign w:val="center"/>
          </w:tcPr>
          <w:p>
            <w:pPr>
              <w:jc w:val="both"/>
            </w:pPr>
            <w:r>
              <w:t>10%或 25%</w:t>
            </w:r>
          </w:p>
        </w:tc>
      </w:tr>
      <w:tr>
        <w:tc>
          <w:tcPr>
            <w:tcW w:w="1283" w:type="pct"/>
            <w:shd w:val="clear" w:color="auto" w:fill="auto"/>
            <w:vAlign w:val="center"/>
          </w:tcPr>
          <w:p>
            <w:pPr>
              <w:jc w:val="both"/>
              <w:rPr>
                <w:szCs w:val="21"/>
              </w:rPr>
            </w:pPr>
            <w:r>
              <w:t>波兰</w:t>
            </w:r>
          </w:p>
        </w:tc>
        <w:tc>
          <w:tcPr>
            <w:tcW w:w="1240" w:type="pct"/>
            <w:vAlign w:val="center"/>
          </w:tcPr>
          <w:p>
            <w:pPr>
              <w:jc w:val="both"/>
              <w:rPr>
                <w:szCs w:val="21"/>
              </w:rPr>
            </w:pPr>
            <w:r>
              <w:t>企业所得税</w:t>
            </w:r>
          </w:p>
        </w:tc>
        <w:tc>
          <w:tcPr>
            <w:tcW w:w="1239" w:type="pct"/>
            <w:vAlign w:val="center"/>
          </w:tcPr>
          <w:p>
            <w:pPr>
              <w:jc w:val="both"/>
              <w:rPr>
                <w:szCs w:val="21"/>
              </w:rPr>
            </w:pPr>
            <w:r>
              <w:t>应纳税所得额</w:t>
            </w:r>
          </w:p>
        </w:tc>
        <w:tc>
          <w:tcPr>
            <w:tcW w:w="1238" w:type="pct"/>
            <w:shd w:val="clear" w:color="auto" w:fill="auto"/>
            <w:vAlign w:val="center"/>
          </w:tcPr>
          <w:p>
            <w:pPr>
              <w:jc w:val="both"/>
              <w:rPr>
                <w:szCs w:val="21"/>
              </w:rPr>
            </w:pPr>
            <w:r>
              <w:t>19%</w:t>
            </w:r>
          </w:p>
        </w:tc>
      </w:tr>
    </w:tbl>
    <w:p>
      <w:pPr>
        <w:pStyle w:val="affffffffffffffffffffffffffffffffe"/>
      </w:pPr>
    </w:p>
    <w:p>
      <w:pPr>
        <w:keepNext/>
        <w:keepLines/>
        <w:widowControl w:val="0"/>
        <w:numPr>
          <w:ilvl w:val="0"/>
          <w:numId w:val="102"/>
        </w:numPr>
        <w:tabs>
          <w:tab w:val="left" w:pos="546"/>
        </w:tabs>
        <w:spacing w:before="60" w:line="360" w:lineRule="auto"/>
        <w:jc w:val="both"/>
        <w:outlineLvl w:val="2"/>
        <w:rPr>
          <w:rFonts w:ascii="Calibri" w:hAnsi="Calibri" w:cs="Times New Roman"/>
          <w:b/>
          <w:bCs/>
          <w:kern w:val="2"/>
          <w:szCs w:val="32"/>
        </w:rPr>
      </w:pPr>
      <w:r>
        <w:rPr>
          <w:rFonts w:ascii="Calibri" w:hAnsi="Calibri" w:cs="Times New Roman"/>
          <w:b/>
          <w:bCs/>
          <w:kern w:val="2"/>
          <w:szCs w:val="32"/>
        </w:rPr>
        <w:t>税收优惠</w:t>
      </w:r>
    </w:p>
    <w:sdt>
      <w:sdtPr>
        <w:rPr>
          <w:rFonts w:hint="eastAsia"/>
          <w:szCs w:val="21"/>
        </w:rPr>
        <w:alias w:val="是否适用：税收优惠[双击切换]"/>
        <w:tag w:val="_GBC_7b649dcf8ab54475bffc51edb3c33588"/>
        <w:id w:val="122409998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179732260"/>
        <w:placeholder>
          <w:docPart w:val="GBC22222222222222222222222222222"/>
        </w:placeholder>
      </w:sdtPr>
      <w:sdtContent>
        <w:p>
          <w:pPr>
            <w:pStyle w:val="affffffffffffffffffffffffffffffffffb"/>
            <w:spacing w:afterLines="50" w:after="120" w:line="360" w:lineRule="exact"/>
            <w:ind w:firstLineChars="200" w:firstLine="420"/>
            <w:rPr>
              <w:rFonts w:hAnsi="宋体"/>
            </w:rPr>
          </w:pPr>
          <w:r>
            <w:rPr>
              <w:rFonts w:hAnsi="宋体" w:hint="eastAsia"/>
            </w:rPr>
            <w:t>1</w:t>
          </w:r>
          <w:r>
            <w:rPr>
              <w:rFonts w:hAnsi="宋体"/>
            </w:rPr>
            <w:t>.</w:t>
          </w:r>
          <w:r>
            <w:rPr>
              <w:rFonts w:hAnsi="宋体" w:hint="eastAsia"/>
            </w:rPr>
            <w:t>增值税税收优惠</w:t>
          </w:r>
        </w:p>
        <w:p>
          <w:pPr>
            <w:pStyle w:val="affffffffffffffffffffffffffffffffffb"/>
            <w:spacing w:afterLines="50" w:after="120" w:line="360" w:lineRule="exact"/>
            <w:ind w:firstLineChars="200" w:firstLine="420"/>
            <w:rPr>
              <w:rFonts w:hAnsi="宋体"/>
            </w:rPr>
          </w:pPr>
          <w:r>
            <w:rPr>
              <w:rFonts w:hAnsi="宋体" w:hint="eastAsia"/>
            </w:rPr>
            <w:t>根据财政部、税务总局《关于增值税小规模纳税人减免增值税政策的公告》2023年第19号，</w:t>
          </w:r>
          <w:r>
            <w:rPr>
              <w:rFonts w:hAnsi="宋体" w:hint="eastAsia"/>
            </w:rPr>
            <w:lastRenderedPageBreak/>
            <w:t>自2023年8月1日至2027年12月31日，允许增值税小规模纳税人适用3%征收率的应税销售收入，减按1%征收率征收增值税；适用3%预征率的预缴增值税项目，减按1%预征率预缴增值税。</w:t>
          </w:r>
        </w:p>
        <w:p>
          <w:pPr>
            <w:pStyle w:val="affffffffffffffffffffffffffffffffffb"/>
            <w:spacing w:afterLines="50" w:after="120" w:line="360" w:lineRule="exact"/>
            <w:ind w:firstLineChars="200" w:firstLine="420"/>
            <w:rPr>
              <w:rFonts w:hAnsi="宋体"/>
            </w:rPr>
          </w:pPr>
          <w:r>
            <w:rPr>
              <w:rFonts w:hAnsi="宋体" w:hint="eastAsia"/>
            </w:rPr>
            <w:t>根据财政部、国家税务总局关于印发《资源综合利用产品和劳务增值税优惠目录》的通知(财税(2015)78号)本集团之下属子公司兖煤菏泽能化有限公司赵楼煤矿及山东兖矿济三电力有限公司享受电力、热力实现的增值税即征即退50%的政策。</w:t>
          </w:r>
        </w:p>
        <w:p>
          <w:pPr>
            <w:pStyle w:val="affffffffffffffffffffffffffffffffffb"/>
            <w:spacing w:afterLines="50" w:after="120" w:line="360" w:lineRule="exact"/>
            <w:ind w:firstLineChars="200" w:firstLine="420"/>
            <w:rPr>
              <w:rFonts w:hAnsi="宋体"/>
            </w:rPr>
          </w:pPr>
          <w:r>
            <w:rPr>
              <w:rFonts w:hAnsi="宋体" w:hint="eastAsia"/>
            </w:rPr>
            <w:t>2</w:t>
          </w:r>
          <w:r>
            <w:rPr>
              <w:rFonts w:hAnsi="宋体"/>
            </w:rPr>
            <w:t>.</w:t>
          </w:r>
          <w:r>
            <w:rPr>
              <w:rFonts w:hAnsi="宋体" w:hint="eastAsia"/>
            </w:rPr>
            <w:t>资源税税收优惠</w:t>
          </w:r>
        </w:p>
        <w:p>
          <w:pPr>
            <w:pStyle w:val="affffffffffffffffffffffffffffffffffb"/>
            <w:spacing w:afterLines="50" w:after="120" w:line="360" w:lineRule="exact"/>
            <w:ind w:firstLineChars="200" w:firstLine="420"/>
            <w:rPr>
              <w:rFonts w:hAnsi="宋体"/>
            </w:rPr>
          </w:pPr>
          <w:r>
            <w:rPr>
              <w:rFonts w:hAnsi="宋体" w:hint="eastAsia"/>
            </w:rPr>
            <w:t>根据《财政部、国家税务总局关于实施煤炭资源税改革的通知》（财税〔2014〕72号）对衰竭期煤矿开采的煤炭，资源税减征30%。衰竭期煤矿，是指剩余可采储量下降到原设计可采储量的20%（含）以下，或者剩余服务年限不超过5年的煤矿。本集团南屯煤矿、鲍店煤矿、兴隆庄煤矿、济宁二号煤矿自2015年起享受此优惠。杨村煤矿自2017年起享受此优惠。</w:t>
          </w:r>
        </w:p>
        <w:p>
          <w:pPr>
            <w:pStyle w:val="affffffffffffffffffffffffffffffffffb"/>
            <w:spacing w:afterLines="50" w:after="120" w:line="360" w:lineRule="exact"/>
            <w:ind w:firstLineChars="200" w:firstLine="420"/>
            <w:rPr>
              <w:rFonts w:hAnsi="宋体"/>
            </w:rPr>
          </w:pPr>
          <w:r>
            <w:rPr>
              <w:rFonts w:hAnsi="宋体"/>
            </w:rPr>
            <w:t>3.</w:t>
          </w:r>
          <w:r>
            <w:rPr>
              <w:rFonts w:hAnsi="宋体" w:hint="eastAsia"/>
            </w:rPr>
            <w:t>企业所得税税收优惠</w:t>
          </w:r>
        </w:p>
        <w:tbl>
          <w:tblPr>
            <w:tblStyle w:val="affffffffff8"/>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M78t2ImUKW71Z46U1LlQ|0|desc|||0|1"/>
          </w:tblPr>
          <w:tblGrid>
            <w:gridCol w:w="5006"/>
            <w:gridCol w:w="1930"/>
            <w:gridCol w:w="1932"/>
          </w:tblGrid>
          <w:tr>
            <w:trPr>
              <w:trHeight w:val="397"/>
              <w:tblHeader/>
              <w:jc w:val="center"/>
            </w:trPr>
            <w:tc>
              <w:tcPr>
                <w:tcW w:w="5006" w:type="dxa"/>
                <w:shd w:val="clear" w:color="auto" w:fill="auto"/>
                <w:vAlign w:val="center"/>
              </w:tcPr>
              <w:p>
                <w:pPr>
                  <w:jc w:val="center"/>
                  <w:rPr>
                    <w:b/>
                    <w:bCs/>
                    <w:color w:val="000000"/>
                    <w:szCs w:val="21"/>
                  </w:rPr>
                </w:pPr>
                <w:r>
                  <w:rPr>
                    <w:rFonts w:hint="eastAsia"/>
                    <w:b/>
                    <w:bCs/>
                    <w:color w:val="000000"/>
                    <w:szCs w:val="21"/>
                  </w:rPr>
                  <w:t>子公司</w:t>
                </w:r>
              </w:p>
            </w:tc>
            <w:tc>
              <w:tcPr>
                <w:tcW w:w="1930" w:type="dxa"/>
                <w:shd w:val="clear" w:color="auto" w:fill="auto"/>
                <w:vAlign w:val="center"/>
              </w:tcPr>
              <w:p>
                <w:pPr>
                  <w:jc w:val="center"/>
                  <w:rPr>
                    <w:b/>
                    <w:bCs/>
                    <w:color w:val="000000"/>
                    <w:szCs w:val="21"/>
                  </w:rPr>
                </w:pPr>
                <w:r>
                  <w:rPr>
                    <w:rFonts w:hint="eastAsia"/>
                    <w:b/>
                    <w:bCs/>
                    <w:color w:val="000000"/>
                    <w:szCs w:val="21"/>
                  </w:rPr>
                  <w:t>税率</w:t>
                </w:r>
              </w:p>
            </w:tc>
            <w:tc>
              <w:tcPr>
                <w:tcW w:w="1932" w:type="dxa"/>
                <w:shd w:val="clear" w:color="auto" w:fill="auto"/>
                <w:vAlign w:val="center"/>
              </w:tcPr>
              <w:p>
                <w:pPr>
                  <w:jc w:val="center"/>
                  <w:rPr>
                    <w:b/>
                    <w:bCs/>
                    <w:color w:val="000000"/>
                    <w:szCs w:val="21"/>
                  </w:rPr>
                </w:pPr>
                <w:r>
                  <w:rPr>
                    <w:rFonts w:hint="eastAsia"/>
                    <w:b/>
                    <w:bCs/>
                    <w:color w:val="000000"/>
                    <w:szCs w:val="21"/>
                  </w:rPr>
                  <w:t>注释</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鄂尔多斯市转龙湾煤炭有限公司</w:t>
                </w:r>
              </w:p>
            </w:tc>
            <w:tc>
              <w:tcPr>
                <w:tcW w:w="1930" w:type="dxa"/>
                <w:shd w:val="clear" w:color="auto" w:fill="auto"/>
                <w:vAlign w:val="center"/>
              </w:tcPr>
              <w:p>
                <w:pPr>
                  <w:jc w:val="center"/>
                  <w:rPr>
                    <w:color w:val="000000"/>
                    <w:szCs w:val="21"/>
                  </w:rPr>
                </w:pPr>
                <w:r>
                  <w:rPr>
                    <w:rFonts w:hint="eastAsia"/>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内蒙古荣信化工有限公司</w:t>
                </w:r>
              </w:p>
            </w:tc>
            <w:tc>
              <w:tcPr>
                <w:tcW w:w="1930" w:type="dxa"/>
                <w:shd w:val="clear" w:color="auto" w:fill="auto"/>
                <w:vAlign w:val="center"/>
              </w:tcPr>
              <w:p>
                <w:pPr>
                  <w:jc w:val="center"/>
                  <w:rPr>
                    <w:color w:val="000000"/>
                    <w:szCs w:val="21"/>
                  </w:rPr>
                </w:pPr>
                <w:r>
                  <w:rPr>
                    <w:rFonts w:hint="eastAsia"/>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兖州煤业榆林能化有限公司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陕西未来能源化工有限公司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鄂尔多斯市锋威光电有限公司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内蒙古昊盛煤业有限公司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内蒙古蒙达铁路有限公司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新汶矿业集团（伊犁）能源开发有限责任公司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新汶矿业集团（伊犁）能源开发有限责任公司一矿</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新汶矿业集团（伊犁）能源开发有限责任公司洗煤分公司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伊犁新矿煤业有限责任公司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兖矿东华重工有限公司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兖矿集团邹城金通橡胶有限公司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兖州东方机电有限公司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山东兖矿集团长龙电缆制造有限公司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兖矿集团唐村实业有限公司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兖矿榆林精细化工有限公司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兖矿鲁南化工有限公司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兖矿济宁化工装备有限公司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卡松科技股份有限公司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山东兖矿国拓科技工程股份有限公司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lastRenderedPageBreak/>
                  <w:t>兖矿新疆矿业有限公司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兖矿新疆煤化工有限公司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山东盟鲁采矿工程有限公司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上海钢软信息技术工程股份有限公司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上海钢软信息技术工程股份有限公司山西分公司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物泊（上海）数字科技有限公司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端信供应链（深圳）有限公司</w:t>
                </w:r>
              </w:p>
            </w:tc>
            <w:tc>
              <w:tcPr>
                <w:tcW w:w="1930" w:type="dxa"/>
                <w:shd w:val="clear" w:color="auto" w:fill="auto"/>
                <w:vAlign w:val="center"/>
              </w:tcPr>
              <w:p>
                <w:pPr>
                  <w:jc w:val="center"/>
                  <w:rPr>
                    <w:color w:val="000000"/>
                    <w:szCs w:val="21"/>
                  </w:rPr>
                </w:pPr>
                <w:r>
                  <w:rPr>
                    <w:color w:val="000000"/>
                    <w:szCs w:val="21"/>
                  </w:rPr>
                  <w:t>15%</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3</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山东兖煤航运有限公司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邹城诚验材料检测试验有限公司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河南中原云工有限责任公司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内蒙古物泊科技有限公司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连云港物云智能科技有限公司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邯郸市物泊物流科技有限公司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物泊车联网（深圳）有限公司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连云港星链物流有限公司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四川物泊科技有限公司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连云港奥泊源物流科技有限公司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山东山港舟道物泊信息科技有限公司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物泊科技（祁县）有限公司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宁波物泊明程物流有限公司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山西晋钢物泊运输有限公司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物泊国际物流（营口）有限公司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物泊科技（武安）有限公司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物泊科技</w:t>
                </w:r>
                <w:r>
                  <w:rPr>
                    <w:color w:val="000000"/>
                    <w:szCs w:val="21"/>
                  </w:rPr>
                  <w:t>(乌鲁木齐)有限公司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物泊科技</w:t>
                </w:r>
                <w:r>
                  <w:rPr>
                    <w:color w:val="000000"/>
                    <w:szCs w:val="21"/>
                  </w:rPr>
                  <w:t>(新疆)有限公司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天津物泊供应链管理有限公司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物泊科技</w:t>
                </w:r>
                <w:r>
                  <w:rPr>
                    <w:color w:val="000000"/>
                    <w:szCs w:val="21"/>
                  </w:rPr>
                  <w:t>(江苏)有限公司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贵州物泊科技有限公司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重庆物泊快一点科技有限公司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湖南物泊智慧物流科技有限公司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5006" w:type="dxa"/>
                <w:shd w:val="clear" w:color="auto" w:fill="auto"/>
                <w:noWrap/>
                <w:vAlign w:val="center"/>
              </w:tcPr>
              <w:p>
                <w:pPr>
                  <w:rPr>
                    <w:color w:val="000000"/>
                    <w:szCs w:val="21"/>
                  </w:rPr>
                </w:pPr>
                <w:r>
                  <w:rPr>
                    <w:rFonts w:hint="eastAsia"/>
                    <w:color w:val="000000"/>
                    <w:szCs w:val="21"/>
                  </w:rPr>
                  <w:t>山西物泊绿能第一运输有限公司</w:t>
                </w:r>
              </w:p>
            </w:tc>
            <w:tc>
              <w:tcPr>
                <w:tcW w:w="1930" w:type="dxa"/>
                <w:shd w:val="clear" w:color="auto" w:fill="auto"/>
                <w:vAlign w:val="center"/>
              </w:tcPr>
              <w:p>
                <w:pPr>
                  <w:jc w:val="center"/>
                  <w:rPr>
                    <w:color w:val="000000"/>
                    <w:szCs w:val="21"/>
                  </w:rPr>
                </w:pPr>
                <w:r>
                  <w:rPr>
                    <w:color w:val="000000"/>
                    <w:szCs w:val="21"/>
                  </w:rPr>
                  <w:t>20%</w:t>
                </w:r>
              </w:p>
            </w:tc>
            <w:tc>
              <w:tcPr>
                <w:tcW w:w="1932" w:type="dxa"/>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bl>
        <w:p>
          <w:pPr>
            <w:pStyle w:val="affffffffffffffffffffffffffffffffffb"/>
            <w:spacing w:afterLines="50" w:after="120" w:line="360" w:lineRule="exact"/>
            <w:ind w:firstLineChars="200" w:firstLine="420"/>
            <w:rPr>
              <w:rFonts w:hAnsi="宋体"/>
            </w:rPr>
          </w:pPr>
        </w:p>
        <w:p>
          <w:pPr>
            <w:pStyle w:val="affffffffffffffffffffffffffffffffffb"/>
            <w:spacing w:afterLines="50" w:after="120" w:line="360" w:lineRule="exact"/>
            <w:ind w:firstLineChars="200" w:firstLine="420"/>
            <w:rPr>
              <w:rFonts w:hAnsi="宋体"/>
            </w:rPr>
          </w:pPr>
          <w:r>
            <w:rPr>
              <w:rFonts w:hAnsi="宋体" w:hint="eastAsia"/>
            </w:rPr>
            <w:lastRenderedPageBreak/>
            <w:t>注1：鄂尔多斯市转龙湾煤炭有限公司、内蒙古荣信化工有限公司（同时也是高新技术企业，企业所得税申报时选择使用西部大开发优惠政策）、兖州煤业榆林能化有限公司、陕西未来能源化工有限公司、鄂尔多斯市锋威光电有限公司、内蒙古昊盛煤业有限公司、内蒙古蒙达铁路有限公司、新汶矿业集团（伊犁）能源开发有限责任公司、新汶矿业集团（伊犁）能源开发有限责任公司一矿、新汶矿业集团（伊犁）能源开发有限责任公司洗煤分公司和伊犁新矿煤业有限责任公司，根据《中共中央国务院关于深入实施西部大开发战略的若干意见》(中发〔2010〕11号)、《财政部、税务总局、国家发展改革委关于延续西部大开发企业所得税政策的公告》(财税发2020年第23号)的相关规定，符合西部大开发鼓励类产业优惠政策条件，适用的企业所得税税率为15%。</w:t>
          </w:r>
        </w:p>
        <w:p>
          <w:pPr>
            <w:pStyle w:val="affffffffffffffffffffffffffffffffffb"/>
            <w:spacing w:afterLines="50" w:after="120" w:line="360" w:lineRule="exact"/>
            <w:ind w:firstLineChars="200" w:firstLine="420"/>
            <w:rPr>
              <w:rFonts w:hAnsi="宋体"/>
            </w:rPr>
          </w:pPr>
          <w:r>
            <w:rPr>
              <w:rFonts w:hAnsi="宋体" w:hint="eastAsia"/>
            </w:rPr>
            <w:t>注2：兖矿东华重工有限公司、兖矿集团邹城金通橡胶有限公司、兖州东方机电有限公司、山东兖矿集团长龙电缆制造有限公司、兖矿集团唐村实业有限公司、兖矿榆林精细化工有限公司、兖矿鲁南化工有限公司、兖矿济宁化工装备有限公司、兖煤蓝天清洁能源有限公司、卡松科技股份有限公司、山东兖矿国拓科技工程股份有限公司、兖矿新疆矿业有限公司、兖矿新疆煤化工有限公司、上海钢软信息技术工程股份有限公司、上海钢软信息技术工程股份有限公司山西分公司、物泊（上海）数字科技有限公司和山东盟鲁采矿工程有限公司，获得高新技术企业认定，符合科技部 财政部 国家税务总局《关于修订印发高新技术企业认定管理办法的通知》国家国科发火（2016）32号和《关于修订印发高新技术企业认定管理工作指引的通知》国科发火（2016）195号、《中华人民共和国企业所得税法》第二十八条、《中华人民共和国企业所得税法实施条例》第九十三条的相关规定，适用的企业所得税税率为15%。</w:t>
          </w:r>
        </w:p>
        <w:p>
          <w:pPr>
            <w:pStyle w:val="affffffffffffffffffffffffffffffffffb"/>
            <w:spacing w:afterLines="50" w:after="120" w:line="360" w:lineRule="exact"/>
            <w:ind w:firstLineChars="200" w:firstLine="420"/>
            <w:rPr>
              <w:rFonts w:hAnsi="宋体"/>
            </w:rPr>
          </w:pPr>
          <w:r>
            <w:rPr>
              <w:rFonts w:hAnsi="宋体" w:hint="eastAsia"/>
            </w:rPr>
            <w:t>注3：端信供应链（深圳）有限公司根据财政部、国家税务总局《关于广东横琴新区福建平潭综合实验区深圳前海深港现代服务业合作区企业所得税优惠政策及优惠目录的通知》（财税〔2014〕26号）的规定，对设在横琴新区、平潭综合实验区和前海深港现代服务业合作区的鼓励类产业企业减按15%的税率征收企业所得税。</w:t>
          </w:r>
        </w:p>
        <w:p>
          <w:pPr>
            <w:pStyle w:val="affffffffffffffffffffffffffffffffffb"/>
            <w:spacing w:afterLines="50" w:after="120" w:line="360" w:lineRule="exact"/>
            <w:ind w:firstLineChars="200" w:firstLine="420"/>
            <w:rPr>
              <w:rFonts w:hAnsi="宋体"/>
            </w:rPr>
          </w:pPr>
          <w:r>
            <w:rPr>
              <w:rFonts w:hAnsi="宋体"/>
            </w:rPr>
            <w:t>注4：山东兖煤航运有限公司、邹城诚验材料检测试验有限公司、河南中原云工有限责任公司、内蒙古物泊科技有限公司、连云港物云智能科技有限公司、邯郸市物泊物流科技有限公司、物泊车联网（深圳）有限公司、连云港星链物流有限公司、四川物泊科技有限公司、连云港奥泊源物流科技有限公司、山东山港舟道物泊信息科技有限公司、物泊科技（祁县）有限公司、宁波物泊明程物流有限公司、山西晋钢物泊运输有限公司、物泊国际物流（营口）有限公司、物泊科技（武安）有限公司、物泊科技(乌鲁木齐)有限公司、物泊科技(新疆)有限公司、天津物泊供应链管理有限公司、物泊科技(江苏)有限公司、贵州物泊科技有限公司、重庆物泊快一点科技有限公司、湖南物泊智慧物流科技有限公司、山西物泊绿能第一运输有限公司属于符合小型微利企业认定标准的企业，根据财政部、税务总局《关于进一步支持小微企业和个体工商户发展有关税费政策的公告》（财税〔2023〕12号）规定，小微企业即：从事国家非限制和禁止行业，同时满足年度应纳税所得额不超过300万元、从业人数不超过300人、资产总额不超过5000万元等三项条件。根据政策规定，其应纳税所得额减按25%计入后，按20%税率缴纳企业所得税（实际税负5%），该项优惠政策执行期限延续至2027年12月31日。</w:t>
          </w:r>
        </w:p>
      </w:sdtContent>
    </w:sdt>
    <w:p>
      <w:pPr>
        <w:rPr>
          <w:rFonts w:asciiTheme="minorEastAsia" w:eastAsiaTheme="minorEastAsia" w:hAnsiTheme="minorEastAsia"/>
          <w:szCs w:val="21"/>
        </w:rPr>
      </w:pPr>
    </w:p>
    <w:p>
      <w:pPr>
        <w:keepNext/>
        <w:keepLines/>
        <w:widowControl w:val="0"/>
        <w:numPr>
          <w:ilvl w:val="0"/>
          <w:numId w:val="102"/>
        </w:numPr>
        <w:tabs>
          <w:tab w:val="left" w:pos="546"/>
        </w:tabs>
        <w:spacing w:before="60" w:line="360" w:lineRule="auto"/>
        <w:jc w:val="both"/>
        <w:outlineLvl w:val="2"/>
        <w:rPr>
          <w:rFonts w:asciiTheme="minorEastAsia" w:eastAsiaTheme="minorEastAsia" w:hAnsiTheme="minorEastAsia"/>
        </w:rPr>
      </w:pPr>
      <w:r>
        <w:rPr>
          <w:rFonts w:ascii="Calibri" w:hAnsi="Calibri" w:cs="Times New Roman"/>
          <w:b/>
          <w:bCs/>
          <w:kern w:val="2"/>
          <w:szCs w:val="32"/>
        </w:rPr>
        <w:lastRenderedPageBreak/>
        <w:t>其他</w:t>
      </w:r>
    </w:p>
    <w:sdt>
      <w:sdtPr>
        <w:rPr>
          <w:rFonts w:hint="eastAsia"/>
          <w:szCs w:val="21"/>
        </w:rPr>
        <w:alias w:val="是否适用：税项说明[双击切换]"/>
        <w:tag w:val="_GBC_cb15d487e8d84ad7877bd8820156d381"/>
        <w:id w:val="205319044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2"/>
        <w:numPr>
          <w:ilvl w:val="0"/>
          <w:numId w:val="155"/>
        </w:numPr>
      </w:pPr>
      <w:r>
        <w:rPr>
          <w:rFonts w:hint="eastAsia"/>
        </w:rPr>
        <w:t>合并财务报表项目注释</w:t>
      </w:r>
    </w:p>
    <w:p>
      <w:pPr>
        <w:pStyle w:val="afffffffffffffffffffffffffffffffff0"/>
        <w:numPr>
          <w:ilvl w:val="0"/>
          <w:numId w:val="103"/>
        </w:numPr>
        <w:rPr>
          <w:szCs w:val="21"/>
        </w:rPr>
      </w:pPr>
      <w:r>
        <w:rPr>
          <w:szCs w:val="21"/>
        </w:rPr>
        <w:t>货币资金</w:t>
      </w:r>
    </w:p>
    <w:sdt>
      <w:sdtPr>
        <w:rPr>
          <w:rFonts w:hint="eastAsia"/>
          <w:szCs w:val="21"/>
        </w:rPr>
        <w:alias w:val="是否适用：货币资金[双击切换]"/>
        <w:tag w:val="_GBC_7583a9a918ef405ba2d26448cc628ff5"/>
        <w:id w:val="1309898266"/>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2894880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货币资金"/>
          <w:tag w:val="_GBC_6a1d907ad1af44b1a90a92ac03d51b34"/>
          <w:id w:val="1969806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216"/>
        <w:gridCol w:w="3291"/>
        <w:gridCol w:w="3316"/>
      </w:tblGrid>
      <w:tr>
        <w:trPr>
          <w:cantSplit/>
        </w:trPr>
        <w:sdt>
          <w:sdtPr>
            <w:tag w:val="_PLD_640e7daf451b4f14ba49162bfbbd1e72"/>
            <w:id w:val="-709338077"/>
          </w:sdtPr>
          <w:sdtContent>
            <w:tc>
              <w:tcPr>
                <w:tcW w:w="125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96676190"/>
          </w:sdtPr>
          <w:sdtContent>
            <w:tc>
              <w:tcPr>
                <w:tcW w:w="1865"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08171034"/>
          </w:sdtPr>
          <w:sdtContent>
            <w:tc>
              <w:tcPr>
                <w:tcW w:w="1879"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库存现金</w:t>
            </w:r>
          </w:p>
        </w:tc>
        <w:tc>
          <w:tcPr>
            <w:tcW w:w="1865" w:type="pct"/>
            <w:shd w:val="clear" w:color="auto" w:fill="auto"/>
            <w:vAlign w:val="center"/>
          </w:tcPr>
          <w:p>
            <w:pPr>
              <w:autoSpaceDE w:val="0"/>
              <w:autoSpaceDN w:val="0"/>
              <w:adjustRightInd w:val="0"/>
              <w:snapToGrid w:val="0"/>
              <w:spacing w:line="240" w:lineRule="atLeast"/>
              <w:jc w:val="right"/>
              <w:rPr>
                <w:szCs w:val="21"/>
              </w:rPr>
            </w:pPr>
            <w:r>
              <w:rPr>
                <w:szCs w:val="21"/>
              </w:rPr>
              <w:t>205</w:t>
            </w:r>
          </w:p>
        </w:tc>
        <w:tc>
          <w:tcPr>
            <w:tcW w:w="1879" w:type="pct"/>
            <w:shd w:val="clear" w:color="auto" w:fill="auto"/>
            <w:vAlign w:val="center"/>
          </w:tcPr>
          <w:p>
            <w:pPr>
              <w:autoSpaceDE w:val="0"/>
              <w:autoSpaceDN w:val="0"/>
              <w:adjustRightInd w:val="0"/>
              <w:snapToGrid w:val="0"/>
              <w:spacing w:line="240" w:lineRule="atLeast"/>
              <w:jc w:val="right"/>
              <w:rPr>
                <w:szCs w:val="21"/>
              </w:rPr>
            </w:pPr>
            <w:r>
              <w:rPr>
                <w:szCs w:val="21"/>
              </w:rPr>
              <w:t>139</w:t>
            </w:r>
          </w:p>
        </w:tc>
      </w:tr>
      <w:tr>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银行存款</w:t>
            </w:r>
          </w:p>
        </w:tc>
        <w:tc>
          <w:tcPr>
            <w:tcW w:w="1865" w:type="pct"/>
            <w:shd w:val="clear" w:color="auto" w:fill="auto"/>
            <w:vAlign w:val="center"/>
          </w:tcPr>
          <w:p>
            <w:pPr>
              <w:autoSpaceDE w:val="0"/>
              <w:autoSpaceDN w:val="0"/>
              <w:adjustRightInd w:val="0"/>
              <w:snapToGrid w:val="0"/>
              <w:spacing w:line="240" w:lineRule="atLeast"/>
              <w:jc w:val="right"/>
              <w:rPr>
                <w:szCs w:val="21"/>
              </w:rPr>
            </w:pPr>
            <w:r>
              <w:rPr>
                <w:szCs w:val="21"/>
              </w:rPr>
              <w:t>30,495,017</w:t>
            </w:r>
          </w:p>
        </w:tc>
        <w:tc>
          <w:tcPr>
            <w:tcW w:w="1879" w:type="pct"/>
            <w:shd w:val="clear" w:color="auto" w:fill="auto"/>
            <w:vAlign w:val="center"/>
          </w:tcPr>
          <w:p>
            <w:pPr>
              <w:autoSpaceDE w:val="0"/>
              <w:autoSpaceDN w:val="0"/>
              <w:adjustRightInd w:val="0"/>
              <w:snapToGrid w:val="0"/>
              <w:spacing w:line="240" w:lineRule="atLeast"/>
              <w:jc w:val="right"/>
              <w:rPr>
                <w:szCs w:val="21"/>
              </w:rPr>
            </w:pPr>
            <w:r>
              <w:rPr>
                <w:szCs w:val="21"/>
              </w:rPr>
              <w:t>30,352,219</w:t>
            </w:r>
          </w:p>
        </w:tc>
      </w:tr>
      <w:tr>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其他货币资金</w:t>
            </w:r>
          </w:p>
        </w:tc>
        <w:tc>
          <w:tcPr>
            <w:tcW w:w="1865" w:type="pct"/>
            <w:shd w:val="clear" w:color="auto" w:fill="auto"/>
            <w:vAlign w:val="center"/>
          </w:tcPr>
          <w:p>
            <w:pPr>
              <w:autoSpaceDE w:val="0"/>
              <w:autoSpaceDN w:val="0"/>
              <w:adjustRightInd w:val="0"/>
              <w:snapToGrid w:val="0"/>
              <w:spacing w:line="240" w:lineRule="atLeast"/>
              <w:jc w:val="right"/>
              <w:rPr>
                <w:szCs w:val="21"/>
              </w:rPr>
            </w:pPr>
            <w:r>
              <w:rPr>
                <w:szCs w:val="21"/>
              </w:rPr>
              <w:t>7,849,643</w:t>
            </w:r>
          </w:p>
        </w:tc>
        <w:tc>
          <w:tcPr>
            <w:tcW w:w="1879" w:type="pct"/>
            <w:shd w:val="clear" w:color="auto" w:fill="auto"/>
            <w:vAlign w:val="center"/>
          </w:tcPr>
          <w:p>
            <w:pPr>
              <w:autoSpaceDE w:val="0"/>
              <w:autoSpaceDN w:val="0"/>
              <w:adjustRightInd w:val="0"/>
              <w:snapToGrid w:val="0"/>
              <w:spacing w:line="240" w:lineRule="atLeast"/>
              <w:jc w:val="right"/>
              <w:rPr>
                <w:szCs w:val="21"/>
              </w:rPr>
            </w:pPr>
            <w:r>
              <w:rPr>
                <w:szCs w:val="21"/>
              </w:rPr>
              <w:t>7,338,937</w:t>
            </w:r>
          </w:p>
        </w:tc>
      </w:tr>
      <w:tr>
        <w:trPr>
          <w:cantSplit/>
        </w:trPr>
        <w:tc>
          <w:tcPr>
            <w:tcW w:w="1256" w:type="pct"/>
            <w:shd w:val="clear" w:color="auto" w:fill="auto"/>
          </w:tcPr>
          <w:p>
            <w:pPr>
              <w:autoSpaceDE w:val="0"/>
              <w:autoSpaceDN w:val="0"/>
              <w:adjustRightInd w:val="0"/>
              <w:snapToGrid w:val="0"/>
              <w:spacing w:line="240" w:lineRule="atLeast"/>
              <w:rPr>
                <w:szCs w:val="21"/>
              </w:rPr>
            </w:pPr>
            <w:r>
              <w:rPr>
                <w:rFonts w:hint="eastAsia"/>
                <w:szCs w:val="21"/>
              </w:rPr>
              <w:t>存放财务公司存款</w:t>
            </w:r>
          </w:p>
        </w:tc>
        <w:tc>
          <w:tcPr>
            <w:tcW w:w="1865" w:type="pct"/>
            <w:shd w:val="clear" w:color="auto" w:fill="auto"/>
            <w:vAlign w:val="center"/>
          </w:tcPr>
          <w:p>
            <w:pPr>
              <w:tabs>
                <w:tab w:val="left" w:pos="2350"/>
              </w:tabs>
              <w:autoSpaceDE w:val="0"/>
              <w:autoSpaceDN w:val="0"/>
              <w:adjustRightInd w:val="0"/>
              <w:snapToGrid w:val="0"/>
              <w:spacing w:line="240" w:lineRule="atLeast"/>
              <w:jc w:val="right"/>
              <w:rPr>
                <w:szCs w:val="21"/>
              </w:rPr>
            </w:pPr>
          </w:p>
        </w:tc>
        <w:tc>
          <w:tcPr>
            <w:tcW w:w="1879" w:type="pct"/>
            <w:shd w:val="clear" w:color="auto" w:fill="auto"/>
            <w:vAlign w:val="center"/>
          </w:tcPr>
          <w:p>
            <w:pPr>
              <w:autoSpaceDE w:val="0"/>
              <w:autoSpaceDN w:val="0"/>
              <w:adjustRightInd w:val="0"/>
              <w:snapToGrid w:val="0"/>
              <w:spacing w:line="240" w:lineRule="atLeast"/>
              <w:jc w:val="right"/>
              <w:rPr>
                <w:szCs w:val="21"/>
              </w:rPr>
            </w:pPr>
          </w:p>
        </w:tc>
      </w:tr>
      <w:tr>
        <w:trPr>
          <w:cantSplit/>
        </w:trPr>
        <w:tc>
          <w:tcPr>
            <w:tcW w:w="1256" w:type="pct"/>
            <w:shd w:val="clear" w:color="auto" w:fill="auto"/>
            <w:vAlign w:val="center"/>
          </w:tcPr>
          <w:p>
            <w:pPr>
              <w:autoSpaceDE w:val="0"/>
              <w:autoSpaceDN w:val="0"/>
              <w:adjustRightInd w:val="0"/>
              <w:snapToGrid w:val="0"/>
              <w:spacing w:line="240" w:lineRule="atLeast"/>
              <w:rPr>
                <w:szCs w:val="21"/>
              </w:rPr>
            </w:pPr>
            <w:r>
              <w:rPr>
                <w:rFonts w:hint="eastAsia"/>
                <w:szCs w:val="21"/>
              </w:rPr>
              <w:t>合计</w:t>
            </w:r>
          </w:p>
        </w:tc>
        <w:tc>
          <w:tcPr>
            <w:tcW w:w="1865" w:type="pct"/>
            <w:shd w:val="clear" w:color="auto" w:fill="auto"/>
            <w:vAlign w:val="center"/>
          </w:tcPr>
          <w:p>
            <w:pPr>
              <w:autoSpaceDE w:val="0"/>
              <w:autoSpaceDN w:val="0"/>
              <w:adjustRightInd w:val="0"/>
              <w:snapToGrid w:val="0"/>
              <w:spacing w:line="240" w:lineRule="atLeast"/>
              <w:jc w:val="right"/>
              <w:rPr>
                <w:szCs w:val="21"/>
              </w:rPr>
            </w:pPr>
            <w:r>
              <w:rPr>
                <w:szCs w:val="21"/>
              </w:rPr>
              <w:t>38,344,865</w:t>
            </w:r>
          </w:p>
        </w:tc>
        <w:tc>
          <w:tcPr>
            <w:tcW w:w="1879" w:type="pct"/>
            <w:shd w:val="clear" w:color="auto" w:fill="auto"/>
            <w:vAlign w:val="center"/>
          </w:tcPr>
          <w:p>
            <w:pPr>
              <w:autoSpaceDE w:val="0"/>
              <w:autoSpaceDN w:val="0"/>
              <w:adjustRightInd w:val="0"/>
              <w:snapToGrid w:val="0"/>
              <w:spacing w:line="240" w:lineRule="atLeast"/>
              <w:jc w:val="right"/>
              <w:rPr>
                <w:szCs w:val="21"/>
              </w:rPr>
            </w:pPr>
            <w:r>
              <w:rPr>
                <w:szCs w:val="21"/>
              </w:rPr>
              <w:t>37,691,295</w:t>
            </w:r>
          </w:p>
        </w:tc>
      </w:tr>
      <w:tr>
        <w:trPr>
          <w:cantSplit/>
        </w:trPr>
        <w:tc>
          <w:tcPr>
            <w:tcW w:w="1256" w:type="pct"/>
            <w:shd w:val="clear" w:color="auto" w:fill="auto"/>
          </w:tcPr>
          <w:p>
            <w:pPr>
              <w:autoSpaceDE w:val="0"/>
              <w:autoSpaceDN w:val="0"/>
              <w:adjustRightInd w:val="0"/>
              <w:snapToGrid w:val="0"/>
              <w:ind w:firstLineChars="200" w:firstLine="420"/>
              <w:rPr>
                <w:szCs w:val="21"/>
              </w:rPr>
            </w:pPr>
            <w:r>
              <w:rPr>
                <w:rFonts w:hint="eastAsia"/>
                <w:szCs w:val="21"/>
              </w:rPr>
              <w:t>其中：存放在境外的款项总额</w:t>
            </w:r>
          </w:p>
        </w:tc>
        <w:tc>
          <w:tcPr>
            <w:tcW w:w="1865" w:type="pct"/>
            <w:shd w:val="clear" w:color="auto" w:fill="auto"/>
            <w:vAlign w:val="center"/>
          </w:tcPr>
          <w:p>
            <w:pPr>
              <w:autoSpaceDE w:val="0"/>
              <w:autoSpaceDN w:val="0"/>
              <w:adjustRightInd w:val="0"/>
              <w:snapToGrid w:val="0"/>
              <w:spacing w:line="240" w:lineRule="atLeast"/>
              <w:jc w:val="right"/>
              <w:rPr>
                <w:szCs w:val="21"/>
              </w:rPr>
            </w:pPr>
            <w:r>
              <w:rPr>
                <w:szCs w:val="21"/>
              </w:rPr>
              <w:t>14,692,496</w:t>
            </w:r>
          </w:p>
        </w:tc>
        <w:tc>
          <w:tcPr>
            <w:tcW w:w="1879" w:type="pct"/>
            <w:shd w:val="clear" w:color="auto" w:fill="auto"/>
            <w:vAlign w:val="center"/>
          </w:tcPr>
          <w:p>
            <w:pPr>
              <w:autoSpaceDE w:val="0"/>
              <w:autoSpaceDN w:val="0"/>
              <w:adjustRightInd w:val="0"/>
              <w:snapToGrid w:val="0"/>
              <w:spacing w:line="240" w:lineRule="atLeast"/>
              <w:jc w:val="right"/>
              <w:rPr>
                <w:szCs w:val="21"/>
              </w:rPr>
            </w:pPr>
            <w:r>
              <w:rPr>
                <w:szCs w:val="21"/>
              </w:rPr>
              <w:t>8,270,856</w:t>
            </w:r>
          </w:p>
        </w:tc>
      </w:tr>
    </w:tbl>
    <w:p>
      <w:pPr>
        <w:pStyle w:val="affffffffffffffffffffffffffffffffe"/>
      </w:pPr>
    </w:p>
    <w:p>
      <w:pPr>
        <w:rPr>
          <w:szCs w:val="21"/>
        </w:rPr>
      </w:pPr>
      <w:r>
        <w:rPr>
          <w:rFonts w:hint="eastAsia"/>
          <w:szCs w:val="21"/>
        </w:rPr>
        <w:t>其他说明：</w:t>
      </w:r>
    </w:p>
    <w:sdt>
      <w:sdtPr>
        <w:rPr>
          <w:rFonts w:hAnsi="宋体" w:cs="宋体"/>
          <w:kern w:val="0"/>
          <w:szCs w:val="21"/>
          <w14:ligatures w14:val="none"/>
        </w:rPr>
        <w:alias w:val="货币资金的说明"/>
        <w:tag w:val="_GBC_672a863055084dfabbc1ba40f04a68b4"/>
        <w:id w:val="848752110"/>
        <w:placeholder>
          <w:docPart w:val="GBC22222222222222222222222222222"/>
        </w:placeholder>
      </w:sdtPr>
      <w:sdtContent>
        <w:p>
          <w:pPr>
            <w:pStyle w:val="afffffffffffffffffffffffffffffffffffffff0"/>
          </w:pPr>
          <w:r>
            <w:rPr>
              <w:rFonts w:hint="eastAsia"/>
            </w:rPr>
            <w:t>本集团限制用途的资金主要包括</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1005020120230|0|desc|||0|1"/>
          </w:tblPr>
          <w:tblGrid>
            <w:gridCol w:w="2859"/>
            <w:gridCol w:w="2860"/>
            <w:gridCol w:w="2860"/>
          </w:tblGrid>
          <w:tr>
            <w:trPr>
              <w:trHeight w:val="397"/>
              <w:tblHeader/>
              <w:jc w:val="center"/>
            </w:trPr>
            <w:tc>
              <w:tcPr>
                <w:tcW w:w="2859" w:type="dxa"/>
                <w:shd w:val="clear" w:color="auto" w:fill="auto"/>
                <w:vAlign w:val="center"/>
              </w:tcPr>
              <w:p>
                <w:pPr>
                  <w:jc w:val="center"/>
                  <w:rPr>
                    <w:b/>
                    <w:bCs/>
                    <w:color w:val="000000"/>
                    <w:sz w:val="18"/>
                    <w:szCs w:val="22"/>
                  </w:rPr>
                </w:pPr>
                <w:r>
                  <w:rPr>
                    <w:rFonts w:hint="eastAsia"/>
                    <w:b/>
                    <w:bCs/>
                    <w:color w:val="000000"/>
                    <w:sz w:val="18"/>
                    <w:szCs w:val="22"/>
                  </w:rPr>
                  <w:t>项目</w:t>
                </w:r>
              </w:p>
            </w:tc>
            <w:tc>
              <w:tcPr>
                <w:tcW w:w="2860" w:type="dxa"/>
                <w:shd w:val="clear" w:color="auto" w:fill="auto"/>
                <w:vAlign w:val="center"/>
              </w:tcPr>
              <w:p>
                <w:pPr>
                  <w:jc w:val="center"/>
                  <w:rPr>
                    <w:b/>
                    <w:bCs/>
                    <w:color w:val="000000"/>
                    <w:sz w:val="18"/>
                    <w:szCs w:val="22"/>
                  </w:rPr>
                </w:pPr>
                <w:r>
                  <w:rPr>
                    <w:rFonts w:hint="eastAsia"/>
                    <w:b/>
                    <w:bCs/>
                    <w:color w:val="000000"/>
                    <w:sz w:val="18"/>
                    <w:szCs w:val="22"/>
                  </w:rPr>
                  <w:t>期末余额</w:t>
                </w:r>
              </w:p>
            </w:tc>
            <w:tc>
              <w:tcPr>
                <w:tcW w:w="2860" w:type="dxa"/>
                <w:shd w:val="clear" w:color="auto" w:fill="auto"/>
                <w:vAlign w:val="center"/>
              </w:tcPr>
              <w:p>
                <w:pPr>
                  <w:jc w:val="center"/>
                  <w:rPr>
                    <w:b/>
                    <w:bCs/>
                    <w:color w:val="000000"/>
                    <w:sz w:val="18"/>
                    <w:szCs w:val="22"/>
                  </w:rPr>
                </w:pPr>
                <w:r>
                  <w:rPr>
                    <w:rFonts w:hint="eastAsia"/>
                    <w:b/>
                    <w:bCs/>
                    <w:color w:val="000000"/>
                    <w:sz w:val="18"/>
                    <w:szCs w:val="22"/>
                  </w:rPr>
                  <w:t>期初余额</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票据及信用证保证金</w:t>
                </w:r>
              </w:p>
            </w:tc>
            <w:tc>
              <w:tcPr>
                <w:tcW w:w="2860" w:type="dxa"/>
                <w:shd w:val="clear" w:color="auto" w:fill="auto"/>
                <w:vAlign w:val="center"/>
              </w:tcPr>
              <w:p>
                <w:pPr>
                  <w:jc w:val="right"/>
                  <w:rPr>
                    <w:color w:val="000000"/>
                    <w:szCs w:val="21"/>
                  </w:rPr>
                </w:pPr>
                <w:r>
                  <w:rPr>
                    <w:color w:val="000000"/>
                    <w:szCs w:val="21"/>
                  </w:rPr>
                  <w:t>2,871,209</w:t>
                </w:r>
              </w:p>
            </w:tc>
            <w:tc>
              <w:tcPr>
                <w:tcW w:w="2860" w:type="dxa"/>
                <w:shd w:val="clear" w:color="auto" w:fill="auto"/>
                <w:vAlign w:val="center"/>
              </w:tcPr>
              <w:p>
                <w:pPr>
                  <w:jc w:val="right"/>
                  <w:rPr>
                    <w:color w:val="000000"/>
                    <w:szCs w:val="21"/>
                  </w:rPr>
                </w:pPr>
                <w:r>
                  <w:rPr>
                    <w:color w:val="000000"/>
                    <w:szCs w:val="21"/>
                  </w:rPr>
                  <w:t>2,875,788</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环境恢复治理基金</w:t>
                </w:r>
              </w:p>
            </w:tc>
            <w:tc>
              <w:tcPr>
                <w:tcW w:w="2860" w:type="dxa"/>
                <w:shd w:val="clear" w:color="auto" w:fill="auto"/>
                <w:vAlign w:val="center"/>
              </w:tcPr>
              <w:p>
                <w:pPr>
                  <w:jc w:val="right"/>
                  <w:rPr>
                    <w:color w:val="000000"/>
                    <w:szCs w:val="21"/>
                  </w:rPr>
                </w:pPr>
                <w:r>
                  <w:rPr>
                    <w:color w:val="000000"/>
                    <w:szCs w:val="21"/>
                  </w:rPr>
                  <w:t>3,704,404</w:t>
                </w:r>
              </w:p>
            </w:tc>
            <w:tc>
              <w:tcPr>
                <w:tcW w:w="2860" w:type="dxa"/>
                <w:shd w:val="clear" w:color="auto" w:fill="auto"/>
                <w:vAlign w:val="center"/>
              </w:tcPr>
              <w:p>
                <w:pPr>
                  <w:jc w:val="right"/>
                  <w:rPr>
                    <w:color w:val="000000"/>
                    <w:szCs w:val="21"/>
                  </w:rPr>
                </w:pPr>
                <w:r>
                  <w:rPr>
                    <w:color w:val="000000"/>
                    <w:szCs w:val="21"/>
                  </w:rPr>
                  <w:t>2,736,368</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法定存款保证金</w:t>
                </w:r>
              </w:p>
            </w:tc>
            <w:tc>
              <w:tcPr>
                <w:tcW w:w="2860" w:type="dxa"/>
                <w:shd w:val="clear" w:color="auto" w:fill="auto"/>
                <w:vAlign w:val="center"/>
              </w:tcPr>
              <w:p>
                <w:pPr>
                  <w:jc w:val="right"/>
                  <w:rPr>
                    <w:color w:val="000000"/>
                    <w:szCs w:val="21"/>
                  </w:rPr>
                </w:pPr>
                <w:r>
                  <w:rPr>
                    <w:color w:val="000000"/>
                    <w:szCs w:val="21"/>
                  </w:rPr>
                  <w:t>1,232,669</w:t>
                </w:r>
              </w:p>
            </w:tc>
            <w:tc>
              <w:tcPr>
                <w:tcW w:w="2860" w:type="dxa"/>
                <w:shd w:val="clear" w:color="auto" w:fill="auto"/>
                <w:vAlign w:val="center"/>
              </w:tcPr>
              <w:p>
                <w:pPr>
                  <w:jc w:val="right"/>
                  <w:rPr>
                    <w:color w:val="000000"/>
                    <w:szCs w:val="21"/>
                  </w:rPr>
                </w:pPr>
                <w:r>
                  <w:rPr>
                    <w:color w:val="000000"/>
                    <w:szCs w:val="21"/>
                  </w:rPr>
                  <w:t>1,524,257</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冻结资金</w:t>
                </w:r>
              </w:p>
            </w:tc>
            <w:tc>
              <w:tcPr>
                <w:tcW w:w="2860" w:type="dxa"/>
                <w:shd w:val="clear" w:color="auto" w:fill="auto"/>
                <w:vAlign w:val="center"/>
              </w:tcPr>
              <w:p>
                <w:pPr>
                  <w:jc w:val="right"/>
                  <w:rPr>
                    <w:color w:val="000000"/>
                    <w:szCs w:val="21"/>
                  </w:rPr>
                </w:pPr>
                <w:r>
                  <w:rPr>
                    <w:color w:val="000000"/>
                    <w:szCs w:val="21"/>
                  </w:rPr>
                  <w:t>16,504</w:t>
                </w:r>
              </w:p>
            </w:tc>
            <w:tc>
              <w:tcPr>
                <w:tcW w:w="2860" w:type="dxa"/>
                <w:shd w:val="clear" w:color="auto" w:fill="auto"/>
                <w:vAlign w:val="center"/>
              </w:tcPr>
              <w:p>
                <w:pPr>
                  <w:jc w:val="right"/>
                  <w:rPr>
                    <w:color w:val="000000"/>
                    <w:szCs w:val="21"/>
                  </w:rPr>
                </w:pPr>
                <w:r>
                  <w:rPr>
                    <w:color w:val="000000"/>
                    <w:szCs w:val="21"/>
                  </w:rPr>
                  <w:t>56,872</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质押的定期存款</w:t>
                </w:r>
              </w:p>
            </w:tc>
            <w:tc>
              <w:tcPr>
                <w:tcW w:w="2860" w:type="dxa"/>
                <w:shd w:val="clear" w:color="auto" w:fill="auto"/>
                <w:vAlign w:val="center"/>
              </w:tcPr>
              <w:p>
                <w:pPr>
                  <w:jc w:val="right"/>
                  <w:rPr>
                    <w:color w:val="000000"/>
                    <w:szCs w:val="21"/>
                  </w:rPr>
                </w:pPr>
                <w:r>
                  <w:rPr>
                    <w:color w:val="000000"/>
                    <w:szCs w:val="21"/>
                  </w:rPr>
                  <w:t>14,720</w:t>
                </w:r>
              </w:p>
            </w:tc>
            <w:tc>
              <w:tcPr>
                <w:tcW w:w="2860" w:type="dxa"/>
                <w:shd w:val="clear" w:color="auto" w:fill="auto"/>
                <w:vAlign w:val="center"/>
              </w:tcPr>
              <w:p>
                <w:pPr>
                  <w:jc w:val="right"/>
                  <w:rPr>
                    <w:color w:val="000000"/>
                    <w:szCs w:val="21"/>
                  </w:rPr>
                </w:pPr>
                <w:r>
                  <w:rPr>
                    <w:color w:val="000000"/>
                    <w:szCs w:val="21"/>
                  </w:rPr>
                  <w:t>66,600</w:t>
                </w:r>
              </w:p>
            </w:tc>
          </w:tr>
          <w:tr>
            <w:trPr>
              <w:trHeight w:val="397"/>
              <w:jc w:val="center"/>
            </w:trPr>
            <w:tc>
              <w:tcPr>
                <w:tcW w:w="2859" w:type="dxa"/>
                <w:shd w:val="clear" w:color="auto" w:fill="auto"/>
                <w:vAlign w:val="center"/>
              </w:tcPr>
              <w:p>
                <w:pPr>
                  <w:rPr>
                    <w:color w:val="000000"/>
                    <w:szCs w:val="21"/>
                  </w:rPr>
                </w:pPr>
                <w:r>
                  <w:rPr>
                    <w:rFonts w:hint="eastAsia"/>
                    <w:color w:val="000000"/>
                    <w:szCs w:val="21"/>
                  </w:rPr>
                  <w:t>其他保证金</w:t>
                </w:r>
              </w:p>
            </w:tc>
            <w:tc>
              <w:tcPr>
                <w:tcW w:w="2860" w:type="dxa"/>
                <w:shd w:val="clear" w:color="auto" w:fill="auto"/>
                <w:vAlign w:val="center"/>
              </w:tcPr>
              <w:p>
                <w:pPr>
                  <w:jc w:val="right"/>
                  <w:rPr>
                    <w:color w:val="000000"/>
                    <w:szCs w:val="21"/>
                  </w:rPr>
                </w:pPr>
                <w:r>
                  <w:rPr>
                    <w:color w:val="000000"/>
                    <w:szCs w:val="21"/>
                  </w:rPr>
                  <w:t>10,137</w:t>
                </w:r>
              </w:p>
            </w:tc>
            <w:tc>
              <w:tcPr>
                <w:tcW w:w="2860" w:type="dxa"/>
                <w:shd w:val="clear" w:color="auto" w:fill="auto"/>
                <w:vAlign w:val="center"/>
              </w:tcPr>
              <w:p>
                <w:pPr>
                  <w:jc w:val="right"/>
                  <w:rPr>
                    <w:color w:val="000000"/>
                    <w:szCs w:val="21"/>
                  </w:rPr>
                </w:pPr>
                <w:r>
                  <w:rPr>
                    <w:color w:val="000000"/>
                    <w:szCs w:val="21"/>
                  </w:rPr>
                  <w:t>79,052</w:t>
                </w:r>
              </w:p>
            </w:tc>
          </w:tr>
          <w:tr>
            <w:trPr>
              <w:trHeight w:val="397"/>
              <w:jc w:val="center"/>
            </w:trPr>
            <w:tc>
              <w:tcPr>
                <w:tcW w:w="2859" w:type="dxa"/>
                <w:shd w:val="clear" w:color="auto" w:fill="auto"/>
                <w:vAlign w:val="center"/>
              </w:tcPr>
              <w:p>
                <w:pPr>
                  <w:jc w:val="center"/>
                  <w:rPr>
                    <w:color w:val="000000"/>
                    <w:szCs w:val="21"/>
                  </w:rPr>
                </w:pPr>
                <w:r>
                  <w:rPr>
                    <w:rFonts w:hint="eastAsia"/>
                    <w:color w:val="000000"/>
                    <w:szCs w:val="21"/>
                  </w:rPr>
                  <w:t>合计</w:t>
                </w:r>
              </w:p>
            </w:tc>
            <w:tc>
              <w:tcPr>
                <w:tcW w:w="2860" w:type="dxa"/>
                <w:shd w:val="clear" w:color="auto" w:fill="auto"/>
                <w:vAlign w:val="center"/>
              </w:tcPr>
              <w:p>
                <w:pPr>
                  <w:jc w:val="right"/>
                  <w:rPr>
                    <w:color w:val="000000"/>
                    <w:szCs w:val="21"/>
                  </w:rPr>
                </w:pPr>
                <w:r>
                  <w:rPr>
                    <w:color w:val="000000"/>
                    <w:szCs w:val="21"/>
                  </w:rPr>
                  <w:t>7,849,643</w:t>
                </w:r>
              </w:p>
            </w:tc>
            <w:tc>
              <w:tcPr>
                <w:tcW w:w="2860" w:type="dxa"/>
                <w:shd w:val="clear" w:color="auto" w:fill="auto"/>
                <w:vAlign w:val="center"/>
              </w:tcPr>
              <w:p>
                <w:pPr>
                  <w:jc w:val="right"/>
                  <w:rPr>
                    <w:color w:val="000000"/>
                    <w:szCs w:val="21"/>
                  </w:rPr>
                </w:pPr>
                <w:r>
                  <w:rPr>
                    <w:color w:val="000000"/>
                    <w:szCs w:val="21"/>
                  </w:rPr>
                  <w:t>7,338,937</w:t>
                </w:r>
              </w:p>
            </w:tc>
          </w:tr>
        </w:tbl>
        <w:p>
          <w:pPr>
            <w:rPr>
              <w:szCs w:val="21"/>
            </w:rPr>
          </w:pPr>
        </w:p>
      </w:sdtContent>
    </w:sdt>
    <w:p>
      <w:pPr>
        <w:rPr>
          <w:szCs w:val="21"/>
        </w:rPr>
      </w:pPr>
    </w:p>
    <w:p>
      <w:pPr>
        <w:pStyle w:val="afffffffffffffffffffffffffffffffff0"/>
        <w:numPr>
          <w:ilvl w:val="0"/>
          <w:numId w:val="103"/>
        </w:numPr>
        <w:rPr>
          <w:szCs w:val="21"/>
        </w:rPr>
      </w:pPr>
      <w:r>
        <w:rPr>
          <w:rFonts w:hint="eastAsia"/>
          <w:szCs w:val="21"/>
        </w:rPr>
        <w:t>交易性金融资产</w:t>
      </w:r>
    </w:p>
    <w:sdt>
      <w:sdtPr>
        <w:alias w:val="是否适用：交易性金融资产[双击切换]"/>
        <w:tag w:val="_GBC_c852c730c6fa4a3e8930f5cbbab9909f"/>
        <w:id w:val="85908517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420" w:right="44"/>
        <w:jc w:val="right"/>
      </w:pPr>
      <w:r>
        <w:rPr>
          <w:rFonts w:hint="eastAsia"/>
        </w:rPr>
        <w:t xml:space="preserve">  </w:t>
      </w:r>
      <w:r>
        <w:t xml:space="preserve">  </w:t>
      </w:r>
      <w:r>
        <w:rPr>
          <w:rFonts w:hint="eastAsia"/>
        </w:rPr>
        <w:t>单位：</w:t>
      </w:r>
      <w:sdt>
        <w:sdtPr>
          <w:rPr>
            <w:rFonts w:hint="eastAsia"/>
          </w:rPr>
          <w:alias w:val="单位：财务附注：交易性金融资产"/>
          <w:tag w:val="_GBC_cba5007820a8401a8539607d9d055f75"/>
          <w:id w:val="-7023976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交易性金融资产"/>
          <w:tag w:val="_GBC_e8e3367ec5e14f73842c7a3ca8b264a2"/>
          <w:id w:val="-20433619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0"/>
        <w:gridCol w:w="1925"/>
        <w:gridCol w:w="2035"/>
        <w:gridCol w:w="2033"/>
      </w:tblGrid>
      <w:tr>
        <w:sdt>
          <w:sdtPr>
            <w:tag w:val="_PLD_3b99f59eccaa43478dfbfc184cd2ce48"/>
            <w:id w:val="-318728474"/>
          </w:sdtPr>
          <w:sdtContent>
            <w:tc>
              <w:tcPr>
                <w:tcW w:w="1604" w:type="pct"/>
                <w:shd w:val="clear" w:color="auto" w:fill="auto"/>
                <w:vAlign w:val="center"/>
              </w:tcPr>
              <w:p>
                <w:pPr>
                  <w:jc w:val="center"/>
                  <w:rPr>
                    <w:szCs w:val="21"/>
                  </w:rPr>
                </w:pPr>
                <w:r>
                  <w:rPr>
                    <w:rFonts w:hint="eastAsia"/>
                    <w:szCs w:val="21"/>
                  </w:rPr>
                  <w:t>项目</w:t>
                </w:r>
              </w:p>
            </w:tc>
          </w:sdtContent>
        </w:sdt>
        <w:sdt>
          <w:sdtPr>
            <w:tag w:val="_PLD_caf9d9000b3e44c1817249ef4121d5db"/>
            <w:id w:val="1219395527"/>
          </w:sdtPr>
          <w:sdtContent>
            <w:tc>
              <w:tcPr>
                <w:tcW w:w="1091"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d58d8f4bb044aef9b5735371503f591"/>
            <w:id w:val="1648158398"/>
          </w:sdtPr>
          <w:sdtContent>
            <w:tc>
              <w:tcPr>
                <w:tcW w:w="1153"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c>
          <w:tcPr>
            <w:tcW w:w="1152" w:type="pct"/>
          </w:tcPr>
          <w:sdt>
            <w:sdtPr>
              <w:tag w:val="_PLD_e55b7f6937ab489e93d6d5561f99f11e"/>
              <w:id w:val="1900484794"/>
            </w:sdtPr>
            <w:sdtContent>
              <w:p>
                <w:pPr>
                  <w:autoSpaceDE w:val="0"/>
                  <w:autoSpaceDN w:val="0"/>
                  <w:adjustRightInd w:val="0"/>
                  <w:snapToGrid w:val="0"/>
                  <w:spacing w:line="240" w:lineRule="atLeast"/>
                  <w:jc w:val="center"/>
                </w:pPr>
                <w:r>
                  <w:rPr>
                    <w:rFonts w:hint="eastAsia"/>
                  </w:rPr>
                  <w:t>指定理由和依据</w:t>
                </w:r>
              </w:p>
            </w:sdtContent>
          </w:sdt>
        </w:tc>
      </w:tr>
      <w:tr>
        <w:tc>
          <w:tcPr>
            <w:tcW w:w="1604" w:type="pct"/>
            <w:shd w:val="clear" w:color="auto" w:fill="auto"/>
            <w:vAlign w:val="center"/>
          </w:tcPr>
          <w:p>
            <w:pPr>
              <w:autoSpaceDE w:val="0"/>
              <w:autoSpaceDN w:val="0"/>
              <w:adjustRightInd w:val="0"/>
              <w:ind w:firstLineChars="270" w:firstLine="567"/>
              <w:jc w:val="both"/>
              <w:rPr>
                <w:szCs w:val="21"/>
              </w:rPr>
            </w:pPr>
            <w:r>
              <w:rPr>
                <w:rFonts w:hint="eastAsia"/>
                <w:szCs w:val="21"/>
              </w:rPr>
              <w:t>特别收益权（注</w:t>
            </w:r>
            <w:r>
              <w:rPr>
                <w:szCs w:val="21"/>
              </w:rPr>
              <w:t>1）</w:t>
            </w:r>
          </w:p>
        </w:tc>
        <w:tc>
          <w:tcPr>
            <w:tcW w:w="1091" w:type="pct"/>
            <w:shd w:val="clear" w:color="auto" w:fill="auto"/>
            <w:vAlign w:val="center"/>
          </w:tcPr>
          <w:p>
            <w:pPr>
              <w:jc w:val="right"/>
              <w:rPr>
                <w:szCs w:val="21"/>
              </w:rPr>
            </w:pPr>
            <w:r>
              <w:rPr>
                <w:szCs w:val="21"/>
              </w:rPr>
              <w:t>88,987</w:t>
            </w:r>
          </w:p>
        </w:tc>
        <w:tc>
          <w:tcPr>
            <w:tcW w:w="1153" w:type="pct"/>
            <w:shd w:val="clear" w:color="auto" w:fill="auto"/>
            <w:vAlign w:val="center"/>
          </w:tcPr>
          <w:p>
            <w:pPr>
              <w:jc w:val="right"/>
              <w:rPr>
                <w:szCs w:val="21"/>
              </w:rPr>
            </w:pPr>
            <w:r>
              <w:rPr>
                <w:szCs w:val="21"/>
              </w:rPr>
              <w:t>107,247</w:t>
            </w:r>
          </w:p>
        </w:tc>
        <w:tc>
          <w:tcPr>
            <w:tcW w:w="1152" w:type="pct"/>
            <w:vAlign w:val="center"/>
          </w:tcPr>
          <w:p>
            <w:pPr>
              <w:jc w:val="right"/>
              <w:rPr>
                <w:szCs w:val="21"/>
              </w:rPr>
            </w:pPr>
            <w:r>
              <w:rPr>
                <w:rFonts w:hint="eastAsia"/>
                <w:szCs w:val="21"/>
              </w:rPr>
              <w:t>/</w:t>
            </w:r>
          </w:p>
        </w:tc>
      </w:tr>
      <w:tr>
        <w:tc>
          <w:tcPr>
            <w:tcW w:w="1604" w:type="pct"/>
            <w:shd w:val="clear" w:color="auto" w:fill="auto"/>
            <w:vAlign w:val="center"/>
          </w:tcPr>
          <w:p>
            <w:pPr>
              <w:autoSpaceDE w:val="0"/>
              <w:autoSpaceDN w:val="0"/>
              <w:adjustRightInd w:val="0"/>
              <w:ind w:firstLineChars="270" w:firstLine="567"/>
              <w:jc w:val="both"/>
              <w:rPr>
                <w:szCs w:val="21"/>
              </w:rPr>
            </w:pPr>
            <w:r>
              <w:rPr>
                <w:rFonts w:hint="eastAsia"/>
                <w:szCs w:val="21"/>
              </w:rPr>
              <w:t>权益工具投资（注</w:t>
            </w:r>
            <w:r>
              <w:rPr>
                <w:szCs w:val="21"/>
              </w:rPr>
              <w:t>2）</w:t>
            </w:r>
          </w:p>
        </w:tc>
        <w:tc>
          <w:tcPr>
            <w:tcW w:w="1091" w:type="pct"/>
            <w:shd w:val="clear" w:color="auto" w:fill="auto"/>
            <w:vAlign w:val="center"/>
          </w:tcPr>
          <w:p>
            <w:pPr>
              <w:jc w:val="right"/>
              <w:rPr>
                <w:szCs w:val="21"/>
              </w:rPr>
            </w:pPr>
            <w:r>
              <w:rPr>
                <w:szCs w:val="21"/>
              </w:rPr>
              <w:t>481</w:t>
            </w:r>
          </w:p>
        </w:tc>
        <w:tc>
          <w:tcPr>
            <w:tcW w:w="1153" w:type="pct"/>
            <w:shd w:val="clear" w:color="auto" w:fill="auto"/>
            <w:vAlign w:val="center"/>
          </w:tcPr>
          <w:p>
            <w:pPr>
              <w:jc w:val="right"/>
              <w:rPr>
                <w:szCs w:val="21"/>
              </w:rPr>
            </w:pPr>
            <w:r>
              <w:rPr>
                <w:szCs w:val="21"/>
              </w:rPr>
              <w:t>225</w:t>
            </w:r>
          </w:p>
        </w:tc>
        <w:tc>
          <w:tcPr>
            <w:tcW w:w="1152" w:type="pct"/>
            <w:vAlign w:val="center"/>
          </w:tcPr>
          <w:p>
            <w:pPr>
              <w:jc w:val="right"/>
              <w:rPr>
                <w:szCs w:val="21"/>
              </w:rPr>
            </w:pPr>
            <w:r>
              <w:rPr>
                <w:rFonts w:hint="eastAsia"/>
                <w:szCs w:val="21"/>
              </w:rPr>
              <w:t>/</w:t>
            </w:r>
          </w:p>
        </w:tc>
      </w:tr>
      <w:tr>
        <w:tc>
          <w:tcPr>
            <w:tcW w:w="1604" w:type="pct"/>
            <w:shd w:val="clear" w:color="auto" w:fill="auto"/>
            <w:vAlign w:val="center"/>
          </w:tcPr>
          <w:p>
            <w:pPr>
              <w:autoSpaceDE w:val="0"/>
              <w:autoSpaceDN w:val="0"/>
              <w:adjustRightInd w:val="0"/>
              <w:ind w:firstLineChars="270" w:firstLine="567"/>
              <w:jc w:val="both"/>
              <w:rPr>
                <w:szCs w:val="21"/>
              </w:rPr>
            </w:pPr>
            <w:bookmarkStart w:id="342" w:name="_Hlk533595247"/>
            <w:r>
              <w:rPr>
                <w:rFonts w:hint="eastAsia"/>
                <w:szCs w:val="21"/>
              </w:rPr>
              <w:t>或有对价（注</w:t>
            </w:r>
            <w:r>
              <w:rPr>
                <w:szCs w:val="21"/>
              </w:rPr>
              <w:t>3）</w:t>
            </w:r>
          </w:p>
        </w:tc>
        <w:tc>
          <w:tcPr>
            <w:tcW w:w="1091" w:type="pct"/>
            <w:shd w:val="clear" w:color="auto" w:fill="auto"/>
            <w:vAlign w:val="center"/>
          </w:tcPr>
          <w:p>
            <w:pPr>
              <w:jc w:val="right"/>
              <w:rPr>
                <w:szCs w:val="21"/>
              </w:rPr>
            </w:pPr>
            <w:r>
              <w:rPr>
                <w:szCs w:val="21"/>
              </w:rPr>
              <w:t>77,304</w:t>
            </w:r>
          </w:p>
        </w:tc>
        <w:tc>
          <w:tcPr>
            <w:tcW w:w="1153" w:type="pct"/>
            <w:shd w:val="clear" w:color="auto" w:fill="auto"/>
            <w:vAlign w:val="center"/>
          </w:tcPr>
          <w:p>
            <w:pPr>
              <w:jc w:val="right"/>
              <w:rPr>
                <w:szCs w:val="21"/>
              </w:rPr>
            </w:pPr>
          </w:p>
        </w:tc>
        <w:tc>
          <w:tcPr>
            <w:tcW w:w="1152" w:type="pct"/>
            <w:vAlign w:val="center"/>
          </w:tcPr>
          <w:p>
            <w:pPr>
              <w:jc w:val="right"/>
              <w:rPr>
                <w:szCs w:val="21"/>
              </w:rPr>
            </w:pPr>
            <w:r>
              <w:rPr>
                <w:rFonts w:hint="eastAsia"/>
                <w:szCs w:val="21"/>
              </w:rPr>
              <w:t>-</w:t>
            </w:r>
          </w:p>
        </w:tc>
      </w:tr>
      <w:bookmarkEnd w:id="342"/>
      <w:tr>
        <w:tc>
          <w:tcPr>
            <w:tcW w:w="1604" w:type="pct"/>
            <w:shd w:val="clear" w:color="auto" w:fill="auto"/>
            <w:vAlign w:val="center"/>
          </w:tcPr>
          <w:p>
            <w:pPr>
              <w:jc w:val="center"/>
              <w:rPr>
                <w:szCs w:val="21"/>
              </w:rPr>
            </w:pPr>
            <w:r>
              <w:rPr>
                <w:rFonts w:hint="eastAsia"/>
                <w:szCs w:val="21"/>
              </w:rPr>
              <w:t>合计</w:t>
            </w:r>
          </w:p>
        </w:tc>
        <w:tc>
          <w:tcPr>
            <w:tcW w:w="1091" w:type="pct"/>
            <w:shd w:val="clear" w:color="auto" w:fill="auto"/>
            <w:vAlign w:val="center"/>
          </w:tcPr>
          <w:p>
            <w:pPr>
              <w:jc w:val="right"/>
              <w:rPr>
                <w:szCs w:val="21"/>
              </w:rPr>
            </w:pPr>
            <w:r>
              <w:rPr>
                <w:szCs w:val="21"/>
              </w:rPr>
              <w:t>166,772</w:t>
            </w:r>
          </w:p>
        </w:tc>
        <w:tc>
          <w:tcPr>
            <w:tcW w:w="1153" w:type="pct"/>
            <w:shd w:val="clear" w:color="auto" w:fill="auto"/>
            <w:vAlign w:val="center"/>
          </w:tcPr>
          <w:p>
            <w:pPr>
              <w:jc w:val="right"/>
              <w:rPr>
                <w:szCs w:val="21"/>
              </w:rPr>
            </w:pPr>
            <w:r>
              <w:rPr>
                <w:szCs w:val="21"/>
              </w:rPr>
              <w:t>107,472</w:t>
            </w:r>
          </w:p>
        </w:tc>
        <w:tc>
          <w:tcPr>
            <w:tcW w:w="1152" w:type="pct"/>
            <w:vAlign w:val="center"/>
          </w:tcPr>
          <w:p>
            <w:pPr>
              <w:jc w:val="right"/>
              <w:rPr>
                <w:szCs w:val="21"/>
              </w:rPr>
            </w:pPr>
            <w:r>
              <w:rPr>
                <w:rFonts w:hint="eastAsia"/>
                <w:szCs w:val="21"/>
              </w:rPr>
              <w:t>/</w:t>
            </w:r>
          </w:p>
        </w:tc>
      </w:tr>
    </w:tbl>
    <w:p>
      <w:pPr>
        <w:pStyle w:val="affffffffffffffffffffffffffffffffe"/>
      </w:pPr>
      <w:r>
        <w:rPr>
          <w:rFonts w:hint="eastAsia"/>
        </w:rPr>
        <w:t>其他</w:t>
      </w:r>
      <w:r>
        <w:t>说明：</w:t>
      </w:r>
    </w:p>
    <w:sdt>
      <w:sdtPr>
        <w:alias w:val="是否适用：交易性金融资产的说明[双击切换]"/>
        <w:tag w:val="_GBC_9bed9315a85147e7ac11c2b4bac78358"/>
        <w:id w:val="-70224796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交易性金融资产的说明"/>
        <w:tag w:val="_GBC_20a177fc99e145c4bb7b3119682db963"/>
        <w:id w:val="-2106805192"/>
        <w:placeholder>
          <w:docPart w:val="GBC22222222222222222222222222222"/>
        </w:placeholder>
      </w:sdtPr>
      <w:sdtContent>
        <w:p>
          <w:pPr>
            <w:spacing w:afterLines="50" w:after="120" w:line="360" w:lineRule="exact"/>
            <w:ind w:firstLine="420"/>
          </w:pPr>
          <w:r>
            <w:rPr>
              <w:rFonts w:hint="eastAsia"/>
            </w:rPr>
            <w:t>注1：交易性金融资产之特别收益权系本集团之子公司格罗斯特煤炭有限公司拥有的在中山矿项目中取得其按离港煤炭销售价4%计算的特别收益之权利。公司管理层于每报告日，对此项权利依据未来现金流量折现后的现值进行计量，变动损益计入当期损益。截至2024年12月31</w:t>
          </w:r>
          <w:r>
            <w:rPr>
              <w:rFonts w:hint="eastAsia"/>
            </w:rPr>
            <w:lastRenderedPageBreak/>
            <w:t>日，将未来一年内将取得的收益</w:t>
          </w:r>
          <w:fldSimple w:instr="DOCVARIABLE &quot;D:|Users|202435566|Desktop|0-兖矿能源2024年TB（内蒙古金控）-0320|2024兖矿职衡tb|TB-合：兖矿能源.xlsx||披露附注|_CpasitVarAqWanxcw4kuY4VnIEQ0OLQ|||||D501&quot; \* MERGEFORMAT">
            <w:r>
              <w:rPr>
                <w:bCs/>
              </w:rPr>
              <w:t>88,987</w:t>
            </w:r>
          </w:fldSimple>
          <w:r>
            <w:rPr>
              <w:rFonts w:hint="eastAsia"/>
            </w:rPr>
            <w:t>千元作为交易性金融资产，超过一年将取得的收益</w:t>
          </w:r>
          <w:fldSimple w:instr="DOCVARIABLE &quot;D:|Users|202435566|Desktop|0-兖矿能源2024年TB（内蒙古金控）-0320|2024兖矿职衡tb|TB-合：兖矿能源.xlsx||披露附注|_CpasitVarER2dzSOCfkqLQovHhOKBg|||||D2105&quot; \* MERGEFORMAT">
            <w:r>
              <w:rPr>
                <w:bCs/>
              </w:rPr>
              <w:t>891,508</w:t>
            </w:r>
          </w:fldSimple>
          <w:r>
            <w:rPr>
              <w:rFonts w:hint="eastAsia"/>
            </w:rPr>
            <w:t>千元作为其他非流动金融资产。</w:t>
          </w:r>
        </w:p>
        <w:p>
          <w:pPr>
            <w:spacing w:afterLines="50" w:after="120" w:line="360" w:lineRule="exact"/>
            <w:ind w:firstLineChars="200" w:firstLine="420"/>
          </w:pPr>
          <w:r>
            <w:rPr>
              <w:rFonts w:hint="eastAsia"/>
            </w:rPr>
            <w:t>注2：交易性金融资产之权益工具投资系本集团根据重庆力帆汽车销售有限公司重整计划，取得的力帆科技（集团）股份有限公司62,875股A股股票，报告期末以该股票2024年12月31日的收盘价作为公允价值计价，变动损益计入当期损益。</w:t>
          </w:r>
        </w:p>
        <w:p>
          <w:pPr>
            <w:spacing w:afterLines="50" w:after="120" w:line="360" w:lineRule="exact"/>
            <w:ind w:firstLineChars="200" w:firstLine="420"/>
          </w:pPr>
          <w:r>
            <w:rPr>
              <w:rFonts w:hint="eastAsia"/>
            </w:rPr>
            <w:t>注3:交易性金融资产之或有对价系本集团本期收购物泊科技有限公司4</w:t>
          </w:r>
          <w:r>
            <w:t>5%</w:t>
          </w:r>
          <w:r>
            <w:rPr>
              <w:rFonts w:hint="eastAsia"/>
            </w:rPr>
            <w:t>的股权，附有业绩补偿承诺形成的金融资产，以公允价值计量，变动计入当期损益。</w:t>
          </w:r>
        </w:p>
      </w:sdtContent>
    </w:sdt>
    <w:p>
      <w:pPr>
        <w:rPr>
          <w:szCs w:val="21"/>
        </w:rPr>
      </w:pPr>
    </w:p>
    <w:p>
      <w:pPr>
        <w:pStyle w:val="afffffffffffffffffffffffffffffffff0"/>
        <w:numPr>
          <w:ilvl w:val="0"/>
          <w:numId w:val="103"/>
        </w:numPr>
        <w:rPr>
          <w:szCs w:val="21"/>
        </w:rPr>
      </w:pPr>
      <w:r>
        <w:rPr>
          <w:rFonts w:hint="eastAsia"/>
          <w:szCs w:val="21"/>
        </w:rPr>
        <w:t>衍生金融资产</w:t>
      </w:r>
    </w:p>
    <w:sdt>
      <w:sdtPr>
        <w:alias w:val="是否适用：衍生金融资产[双击切换]"/>
        <w:tag w:val="_GBC_d17bfaab262c4a499d0afca62045c5e0"/>
        <w:id w:val="510030653"/>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rPr>
          <w:szCs w:val="21"/>
        </w:rPr>
      </w:pPr>
    </w:p>
    <w:p>
      <w:pPr>
        <w:snapToGrid w:val="0"/>
        <w:spacing w:line="240" w:lineRule="atLeast"/>
        <w:ind w:left="1470" w:rightChars="12" w:right="25" w:hangingChars="700" w:hanging="1470"/>
        <w:rPr>
          <w:szCs w:val="21"/>
        </w:rPr>
      </w:pPr>
    </w:p>
    <w:p>
      <w:pPr>
        <w:pStyle w:val="afffffffffffffffffffffffffffffffff0"/>
        <w:numPr>
          <w:ilvl w:val="0"/>
          <w:numId w:val="103"/>
        </w:numPr>
        <w:rPr>
          <w:rFonts w:ascii="宋体" w:hAnsi="宋体" w:cs="宋体"/>
          <w:kern w:val="0"/>
          <w:szCs w:val="21"/>
        </w:rPr>
      </w:pPr>
      <w:r>
        <w:rPr>
          <w:rFonts w:ascii="宋体" w:hAnsi="宋体" w:cs="宋体" w:hint="eastAsia"/>
          <w:kern w:val="0"/>
          <w:szCs w:val="21"/>
        </w:rPr>
        <w:t>应收票据</w:t>
      </w:r>
    </w:p>
    <w:p>
      <w:pPr>
        <w:pStyle w:val="afffffffffffffffffffffffffffffffff1"/>
        <w:numPr>
          <w:ilvl w:val="3"/>
          <w:numId w:val="104"/>
        </w:numPr>
        <w:ind w:left="426" w:hanging="426"/>
      </w:pPr>
      <w:r>
        <w:rPr>
          <w:rFonts w:hint="eastAsia"/>
        </w:rPr>
        <w:t>应收票据分类列示</w:t>
      </w:r>
    </w:p>
    <w:sdt>
      <w:sdtPr>
        <w:alias w:val="是否适用：应收票据分类列示[双击切换]"/>
        <w:tag w:val="_GBC_bdf010020d484a01ae60c52d7465a06a"/>
        <w:id w:val="116974843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9560679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应收票据分类"/>
          <w:tag w:val="_GBC_0daf818486924555b786788616dee3e7"/>
          <w:id w:val="-13130211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14"/>
        <w:gridCol w:w="3048"/>
        <w:gridCol w:w="2861"/>
      </w:tblGrid>
      <w:tr>
        <w:trPr>
          <w:cantSplit/>
        </w:trPr>
        <w:sdt>
          <w:sdtPr>
            <w:tag w:val="_PLD_bd44f6beac5e4b8688c30e166c6780c8"/>
            <w:id w:val="1084874368"/>
          </w:sdtPr>
          <w:sdtContent>
            <w:tc>
              <w:tcPr>
                <w:tcW w:w="1651"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773368150"/>
          </w:sdtPr>
          <w:sdtContent>
            <w:tc>
              <w:tcPr>
                <w:tcW w:w="1727" w:type="pct"/>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1248260034"/>
          </w:sdtPr>
          <w:sdtContent>
            <w:tc>
              <w:tcPr>
                <w:tcW w:w="1621" w:type="pct"/>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Pr>
        <w:tc>
          <w:tcPr>
            <w:tcW w:w="1651" w:type="pct"/>
          </w:tcPr>
          <w:p>
            <w:pPr>
              <w:autoSpaceDE w:val="0"/>
              <w:autoSpaceDN w:val="0"/>
              <w:adjustRightInd w:val="0"/>
              <w:snapToGrid w:val="0"/>
              <w:spacing w:line="240" w:lineRule="atLeast"/>
              <w:rPr>
                <w:szCs w:val="21"/>
              </w:rPr>
            </w:pPr>
            <w:r>
              <w:rPr>
                <w:rFonts w:hint="eastAsia"/>
                <w:szCs w:val="21"/>
              </w:rPr>
              <w:t>银行承兑票据</w:t>
            </w:r>
          </w:p>
        </w:tc>
        <w:tc>
          <w:tcPr>
            <w:tcW w:w="1727" w:type="pct"/>
          </w:tcPr>
          <w:p>
            <w:pPr>
              <w:ind w:right="13"/>
              <w:jc w:val="right"/>
              <w:rPr>
                <w:szCs w:val="21"/>
              </w:rPr>
            </w:pPr>
            <w:r>
              <w:rPr>
                <w:szCs w:val="21"/>
              </w:rPr>
              <w:t>935,543</w:t>
            </w:r>
          </w:p>
        </w:tc>
        <w:tc>
          <w:tcPr>
            <w:tcW w:w="1621" w:type="pct"/>
          </w:tcPr>
          <w:p>
            <w:pPr>
              <w:ind w:right="13"/>
              <w:jc w:val="right"/>
              <w:rPr>
                <w:szCs w:val="21"/>
              </w:rPr>
            </w:pPr>
            <w:r>
              <w:rPr>
                <w:szCs w:val="21"/>
              </w:rPr>
              <w:t>834,854</w:t>
            </w:r>
          </w:p>
        </w:tc>
      </w:tr>
      <w:tr>
        <w:trPr>
          <w:cantSplit/>
        </w:trPr>
        <w:tc>
          <w:tcPr>
            <w:tcW w:w="1651" w:type="pct"/>
          </w:tcPr>
          <w:p>
            <w:pPr>
              <w:autoSpaceDE w:val="0"/>
              <w:autoSpaceDN w:val="0"/>
              <w:adjustRightInd w:val="0"/>
              <w:snapToGrid w:val="0"/>
              <w:spacing w:line="240" w:lineRule="atLeast"/>
              <w:rPr>
                <w:szCs w:val="21"/>
              </w:rPr>
            </w:pPr>
            <w:r>
              <w:rPr>
                <w:rFonts w:hint="eastAsia"/>
                <w:szCs w:val="21"/>
              </w:rPr>
              <w:t>商业承兑票据</w:t>
            </w:r>
          </w:p>
        </w:tc>
        <w:tc>
          <w:tcPr>
            <w:tcW w:w="1727" w:type="pct"/>
          </w:tcPr>
          <w:p>
            <w:pPr>
              <w:ind w:right="13"/>
              <w:jc w:val="right"/>
              <w:rPr>
                <w:szCs w:val="21"/>
              </w:rPr>
            </w:pPr>
            <w:r>
              <w:rPr>
                <w:szCs w:val="21"/>
              </w:rPr>
              <w:t>11,760</w:t>
            </w:r>
          </w:p>
        </w:tc>
        <w:tc>
          <w:tcPr>
            <w:tcW w:w="1621" w:type="pct"/>
          </w:tcPr>
          <w:p>
            <w:pPr>
              <w:ind w:right="13"/>
              <w:jc w:val="right"/>
              <w:rPr>
                <w:szCs w:val="21"/>
              </w:rPr>
            </w:pPr>
            <w:r>
              <w:rPr>
                <w:szCs w:val="21"/>
              </w:rPr>
              <w:t>38,225</w:t>
            </w:r>
          </w:p>
        </w:tc>
      </w:tr>
      <w:tr>
        <w:trPr>
          <w:cantSplit/>
        </w:trPr>
        <w:tc>
          <w:tcPr>
            <w:tcW w:w="1651" w:type="pct"/>
            <w:vAlign w:val="center"/>
          </w:tcPr>
          <w:p>
            <w:pPr>
              <w:autoSpaceDE w:val="0"/>
              <w:autoSpaceDN w:val="0"/>
              <w:adjustRightInd w:val="0"/>
              <w:snapToGrid w:val="0"/>
              <w:spacing w:line="240" w:lineRule="atLeast"/>
              <w:jc w:val="center"/>
              <w:rPr>
                <w:szCs w:val="21"/>
              </w:rPr>
            </w:pPr>
            <w:r>
              <w:rPr>
                <w:rFonts w:hint="eastAsia"/>
                <w:szCs w:val="21"/>
              </w:rPr>
              <w:t>合计</w:t>
            </w:r>
          </w:p>
        </w:tc>
        <w:tc>
          <w:tcPr>
            <w:tcW w:w="1727" w:type="pct"/>
          </w:tcPr>
          <w:p>
            <w:pPr>
              <w:jc w:val="right"/>
              <w:rPr>
                <w:szCs w:val="21"/>
              </w:rPr>
            </w:pPr>
            <w:r>
              <w:rPr>
                <w:szCs w:val="21"/>
              </w:rPr>
              <w:t>947,303</w:t>
            </w:r>
          </w:p>
        </w:tc>
        <w:tc>
          <w:tcPr>
            <w:tcW w:w="1621" w:type="pct"/>
          </w:tcPr>
          <w:p>
            <w:pPr>
              <w:autoSpaceDE w:val="0"/>
              <w:autoSpaceDN w:val="0"/>
              <w:adjustRightInd w:val="0"/>
              <w:jc w:val="right"/>
              <w:rPr>
                <w:szCs w:val="21"/>
              </w:rPr>
            </w:pPr>
            <w:r>
              <w:rPr>
                <w:szCs w:val="21"/>
              </w:rPr>
              <w:t>873,079</w:t>
            </w:r>
          </w:p>
        </w:tc>
      </w:tr>
    </w:tbl>
    <w:p>
      <w:pPr>
        <w:snapToGrid w:val="0"/>
        <w:spacing w:line="240" w:lineRule="atLeast"/>
        <w:rPr>
          <w:szCs w:val="21"/>
        </w:rPr>
      </w:pPr>
    </w:p>
    <w:p>
      <w:pPr>
        <w:pStyle w:val="afffffffffffffffffffffffffffffffff1"/>
        <w:numPr>
          <w:ilvl w:val="3"/>
          <w:numId w:val="104"/>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55364904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17849189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0437994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9"/>
        <w:gridCol w:w="4544"/>
      </w:tblGrid>
      <w:tr>
        <w:sdt>
          <w:sdtPr>
            <w:tag w:val="_PLD_6fba821574d940ccb2b29fd9faa1df4d"/>
            <w:id w:val="1301499408"/>
          </w:sdtPr>
          <w:sdtContent>
            <w:tc>
              <w:tcPr>
                <w:tcW w:w="2425" w:type="pct"/>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rPr>
                    <w:szCs w:val="21"/>
                  </w:rPr>
                </w:pPr>
                <w:r>
                  <w:rPr>
                    <w:rFonts w:hint="eastAsia"/>
                    <w:szCs w:val="21"/>
                  </w:rPr>
                  <w:t>项目</w:t>
                </w:r>
              </w:p>
            </w:tc>
          </w:sdtContent>
        </w:sdt>
        <w:sdt>
          <w:sdtPr>
            <w:tag w:val="_PLD_6b8ef906a8a84040b5e0c0175f20353a"/>
            <w:id w:val="-32110256"/>
          </w:sdtPr>
          <w:sdtContent>
            <w:tc>
              <w:tcPr>
                <w:tcW w:w="2575" w:type="pct"/>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rPr>
                    <w:szCs w:val="21"/>
                  </w:rPr>
                </w:pPr>
                <w:r>
                  <w:rPr>
                    <w:rFonts w:hint="eastAsia"/>
                    <w:szCs w:val="21"/>
                  </w:rPr>
                  <w:t>期末已质押金额</w:t>
                </w:r>
              </w:p>
            </w:tc>
          </w:sdtContent>
        </w:sdt>
      </w:tr>
      <w:tr>
        <w:tc>
          <w:tcPr>
            <w:tcW w:w="2425" w:type="pct"/>
            <w:tcBorders>
              <w:top w:val="single" w:sz="4" w:space="0" w:color="auto"/>
              <w:left w:val="single" w:sz="4" w:space="0" w:color="auto"/>
              <w:bottom w:val="single" w:sz="4" w:space="0" w:color="auto"/>
              <w:right w:val="single" w:sz="4" w:space="0" w:color="auto"/>
            </w:tcBorders>
          </w:tcPr>
          <w:p>
            <w:pPr>
              <w:snapToGrid w:val="0"/>
              <w:spacing w:line="240" w:lineRule="atLeast"/>
              <w:rPr>
                <w:szCs w:val="21"/>
              </w:rPr>
            </w:pPr>
            <w:r>
              <w:rPr>
                <w:rFonts w:hint="eastAsia"/>
                <w:szCs w:val="21"/>
              </w:rPr>
              <w:t>银行承兑票据</w:t>
            </w:r>
          </w:p>
        </w:tc>
        <w:tc>
          <w:tcPr>
            <w:tcW w:w="2575" w:type="pct"/>
            <w:tcBorders>
              <w:top w:val="single" w:sz="4" w:space="0" w:color="auto"/>
              <w:left w:val="single" w:sz="4" w:space="0" w:color="auto"/>
              <w:bottom w:val="single" w:sz="4" w:space="0" w:color="auto"/>
              <w:right w:val="single" w:sz="4" w:space="0" w:color="auto"/>
            </w:tcBorders>
          </w:tcPr>
          <w:p>
            <w:pPr>
              <w:snapToGrid w:val="0"/>
              <w:spacing w:line="240" w:lineRule="atLeast"/>
              <w:jc w:val="right"/>
              <w:rPr>
                <w:szCs w:val="21"/>
              </w:rPr>
            </w:pPr>
            <w:r>
              <w:rPr>
                <w:szCs w:val="21"/>
              </w:rPr>
              <w:t>44,111</w:t>
            </w:r>
          </w:p>
        </w:tc>
      </w:tr>
      <w:tr>
        <w:tc>
          <w:tcPr>
            <w:tcW w:w="2425" w:type="pct"/>
            <w:tcBorders>
              <w:top w:val="single" w:sz="4" w:space="0" w:color="auto"/>
              <w:left w:val="single" w:sz="4" w:space="0" w:color="auto"/>
              <w:bottom w:val="single" w:sz="4" w:space="0" w:color="auto"/>
              <w:right w:val="single" w:sz="4" w:space="0" w:color="auto"/>
            </w:tcBorders>
          </w:tcPr>
          <w:p>
            <w:pPr>
              <w:snapToGrid w:val="0"/>
              <w:spacing w:line="240" w:lineRule="atLeast"/>
              <w:rPr>
                <w:szCs w:val="21"/>
              </w:rPr>
            </w:pPr>
            <w:r>
              <w:rPr>
                <w:rFonts w:hint="eastAsia"/>
                <w:szCs w:val="21"/>
              </w:rPr>
              <w:t>商业承兑票据</w:t>
            </w:r>
          </w:p>
        </w:tc>
        <w:tc>
          <w:tcPr>
            <w:tcW w:w="2575" w:type="pct"/>
            <w:tcBorders>
              <w:top w:val="single" w:sz="4" w:space="0" w:color="auto"/>
              <w:left w:val="single" w:sz="4" w:space="0" w:color="auto"/>
              <w:bottom w:val="single" w:sz="4" w:space="0" w:color="auto"/>
              <w:right w:val="single" w:sz="4" w:space="0" w:color="auto"/>
            </w:tcBorders>
          </w:tcPr>
          <w:p>
            <w:pPr>
              <w:snapToGrid w:val="0"/>
              <w:spacing w:line="240" w:lineRule="atLeast"/>
              <w:jc w:val="right"/>
              <w:rPr>
                <w:szCs w:val="21"/>
              </w:rPr>
            </w:pPr>
            <w:r>
              <w:rPr>
                <w:rFonts w:hint="eastAsia"/>
                <w:szCs w:val="21"/>
              </w:rPr>
              <w:t>-</w:t>
            </w:r>
          </w:p>
        </w:tc>
      </w:tr>
      <w:tr>
        <w:tc>
          <w:tcPr>
            <w:tcW w:w="24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合计</w:t>
            </w:r>
          </w:p>
        </w:tc>
        <w:tc>
          <w:tcPr>
            <w:tcW w:w="2575"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44,111</w:t>
            </w:r>
          </w:p>
        </w:tc>
      </w:tr>
    </w:tbl>
    <w:p>
      <w:pPr>
        <w:rPr>
          <w:szCs w:val="21"/>
        </w:rPr>
      </w:pPr>
    </w:p>
    <w:p>
      <w:pPr>
        <w:pStyle w:val="afffffffffffffffffffffffffffffffff1"/>
        <w:numPr>
          <w:ilvl w:val="3"/>
          <w:numId w:val="104"/>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173838502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8425530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8636225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6"/>
        <w:gridCol w:w="2973"/>
        <w:gridCol w:w="3044"/>
      </w:tblGrid>
      <w:tr>
        <w:sdt>
          <w:sdtPr>
            <w:tag w:val="_PLD_76a87ff67e5b45fd8796a3a35ba8193e"/>
            <w:id w:val="-1097783785"/>
          </w:sdtPr>
          <w:sdtContent>
            <w:tc>
              <w:tcPr>
                <w:tcW w:w="1590" w:type="pct"/>
                <w:shd w:val="clear" w:color="auto" w:fill="auto"/>
                <w:vAlign w:val="center"/>
              </w:tcPr>
              <w:p>
                <w:pPr>
                  <w:jc w:val="center"/>
                  <w:rPr>
                    <w:szCs w:val="21"/>
                  </w:rPr>
                </w:pPr>
                <w:r>
                  <w:rPr>
                    <w:rFonts w:hint="eastAsia"/>
                    <w:szCs w:val="21"/>
                  </w:rPr>
                  <w:t>项目</w:t>
                </w:r>
              </w:p>
            </w:tc>
          </w:sdtContent>
        </w:sdt>
        <w:sdt>
          <w:sdtPr>
            <w:tag w:val="_PLD_f9150e3257574b5dab33b7c7a9c74bd0"/>
            <w:id w:val="-1611355526"/>
          </w:sdtPr>
          <w:sdtContent>
            <w:tc>
              <w:tcPr>
                <w:tcW w:w="1685" w:type="pct"/>
                <w:shd w:val="clear" w:color="auto" w:fill="auto"/>
                <w:vAlign w:val="center"/>
              </w:tcPr>
              <w:p>
                <w:pPr>
                  <w:jc w:val="center"/>
                  <w:rPr>
                    <w:szCs w:val="21"/>
                  </w:rPr>
                </w:pPr>
                <w:r>
                  <w:rPr>
                    <w:rFonts w:hint="eastAsia"/>
                    <w:szCs w:val="21"/>
                  </w:rPr>
                  <w:t>期末终止确认金额</w:t>
                </w:r>
              </w:p>
            </w:tc>
          </w:sdtContent>
        </w:sdt>
        <w:sdt>
          <w:sdtPr>
            <w:tag w:val="_PLD_4f99e6fe1d4c4c57bab686890f8d0f57"/>
            <w:id w:val="2049175204"/>
          </w:sdtPr>
          <w:sdtContent>
            <w:tc>
              <w:tcPr>
                <w:tcW w:w="1725" w:type="pct"/>
                <w:shd w:val="clear" w:color="auto" w:fill="auto"/>
                <w:vAlign w:val="center"/>
              </w:tcPr>
              <w:p>
                <w:pPr>
                  <w:jc w:val="center"/>
                  <w:rPr>
                    <w:szCs w:val="21"/>
                  </w:rPr>
                </w:pPr>
                <w:r>
                  <w:rPr>
                    <w:rFonts w:hint="eastAsia"/>
                    <w:szCs w:val="21"/>
                  </w:rPr>
                  <w:t>期末未终止确认金额</w:t>
                </w:r>
              </w:p>
            </w:tc>
          </w:sdtContent>
        </w:sdt>
      </w:tr>
      <w:tr>
        <w:tc>
          <w:tcPr>
            <w:tcW w:w="1590" w:type="pct"/>
            <w:shd w:val="clear" w:color="auto" w:fill="auto"/>
          </w:tcPr>
          <w:p>
            <w:pPr>
              <w:rPr>
                <w:szCs w:val="21"/>
              </w:rPr>
            </w:pPr>
            <w:r>
              <w:rPr>
                <w:rFonts w:hint="eastAsia"/>
              </w:rPr>
              <w:t>银行承兑票据</w:t>
            </w:r>
          </w:p>
        </w:tc>
        <w:tc>
          <w:tcPr>
            <w:tcW w:w="1685" w:type="pct"/>
            <w:shd w:val="clear" w:color="auto" w:fill="auto"/>
            <w:vAlign w:val="center"/>
          </w:tcPr>
          <w:p>
            <w:pPr>
              <w:jc w:val="right"/>
            </w:pPr>
            <w:r>
              <w:t>621,969</w:t>
            </w:r>
          </w:p>
        </w:tc>
        <w:tc>
          <w:tcPr>
            <w:tcW w:w="1725" w:type="pct"/>
            <w:shd w:val="clear" w:color="auto" w:fill="auto"/>
            <w:vAlign w:val="center"/>
          </w:tcPr>
          <w:p>
            <w:pPr>
              <w:jc w:val="right"/>
            </w:pPr>
            <w:r>
              <w:t>337,377</w:t>
            </w:r>
          </w:p>
        </w:tc>
      </w:tr>
      <w:tr>
        <w:tc>
          <w:tcPr>
            <w:tcW w:w="1590" w:type="pct"/>
            <w:shd w:val="clear" w:color="auto" w:fill="auto"/>
          </w:tcPr>
          <w:p>
            <w:pPr>
              <w:pStyle w:val="affffffffffffffffffffffffffffffffe"/>
            </w:pPr>
            <w:r>
              <w:rPr>
                <w:rFonts w:hint="eastAsia"/>
              </w:rPr>
              <w:t>商业承兑票据</w:t>
            </w:r>
          </w:p>
        </w:tc>
        <w:tc>
          <w:tcPr>
            <w:tcW w:w="1685" w:type="pct"/>
            <w:shd w:val="clear" w:color="auto" w:fill="auto"/>
          </w:tcPr>
          <w:p>
            <w:pPr>
              <w:jc w:val="right"/>
              <w:rPr>
                <w:szCs w:val="21"/>
              </w:rPr>
            </w:pPr>
            <w:r>
              <w:rPr>
                <w:rFonts w:hint="eastAsia"/>
                <w:szCs w:val="21"/>
              </w:rPr>
              <w:t>-</w:t>
            </w:r>
          </w:p>
        </w:tc>
        <w:tc>
          <w:tcPr>
            <w:tcW w:w="1725" w:type="pct"/>
            <w:shd w:val="clear" w:color="auto" w:fill="auto"/>
          </w:tcPr>
          <w:p>
            <w:pPr>
              <w:jc w:val="right"/>
              <w:rPr>
                <w:szCs w:val="21"/>
              </w:rPr>
            </w:pPr>
            <w:r>
              <w:rPr>
                <w:rFonts w:hint="eastAsia"/>
                <w:szCs w:val="21"/>
              </w:rPr>
              <w:t>-</w:t>
            </w:r>
          </w:p>
        </w:tc>
      </w:tr>
      <w:tr>
        <w:tc>
          <w:tcPr>
            <w:tcW w:w="1590" w:type="pct"/>
            <w:shd w:val="clear" w:color="auto" w:fill="auto"/>
            <w:vAlign w:val="center"/>
          </w:tcPr>
          <w:p>
            <w:pPr>
              <w:jc w:val="center"/>
            </w:pPr>
            <w:r>
              <w:rPr>
                <w:rFonts w:hint="eastAsia"/>
              </w:rPr>
              <w:t>合计</w:t>
            </w:r>
          </w:p>
        </w:tc>
        <w:tc>
          <w:tcPr>
            <w:tcW w:w="1685" w:type="pct"/>
            <w:shd w:val="clear" w:color="auto" w:fill="auto"/>
            <w:vAlign w:val="center"/>
          </w:tcPr>
          <w:p>
            <w:pPr>
              <w:jc w:val="right"/>
            </w:pPr>
            <w:r>
              <w:t>621,969</w:t>
            </w:r>
          </w:p>
        </w:tc>
        <w:tc>
          <w:tcPr>
            <w:tcW w:w="1725" w:type="pct"/>
            <w:shd w:val="clear" w:color="auto" w:fill="auto"/>
            <w:vAlign w:val="center"/>
          </w:tcPr>
          <w:p>
            <w:pPr>
              <w:jc w:val="right"/>
            </w:pPr>
            <w:r>
              <w:t>337,377</w:t>
            </w:r>
          </w:p>
        </w:tc>
      </w:tr>
    </w:tbl>
    <w:p>
      <w:pPr>
        <w:rPr>
          <w:rFonts w:ascii="Times New Roman" w:hAnsi="Times New Roman" w:cs="Times New Roman"/>
          <w:kern w:val="2"/>
        </w:rPr>
      </w:pPr>
    </w:p>
    <w:p>
      <w:pPr>
        <w:pStyle w:val="afffffffffffffffffffffffffffffffff1"/>
        <w:numPr>
          <w:ilvl w:val="3"/>
          <w:numId w:val="104"/>
        </w:numPr>
        <w:ind w:left="426" w:hanging="426"/>
      </w:pPr>
      <w:bookmarkStart w:id="343" w:name="_Hlk533596246"/>
      <w:r>
        <w:t>按坏账计提方法分类披露</w:t>
      </w:r>
    </w:p>
    <w:sdt>
      <w:sdtPr>
        <w:alias w:val="是否适用：应收票据按坏账计提方法分类披露[双击切换]"/>
        <w:tag w:val="_GBC_806abc31b942462ba4b46f92c99312a5"/>
        <w:id w:val="193917648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8717275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应收票据按坏账计提方法分类披露"/>
          <w:tag w:val="_GBC_601e6cb0999d4fd599cfcacf79d2aa28"/>
          <w:id w:val="8009606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7"/>
        <w:gridCol w:w="951"/>
        <w:gridCol w:w="611"/>
        <w:gridCol w:w="609"/>
        <w:gridCol w:w="637"/>
        <w:gridCol w:w="951"/>
        <w:gridCol w:w="951"/>
        <w:gridCol w:w="625"/>
        <w:gridCol w:w="644"/>
        <w:gridCol w:w="646"/>
        <w:gridCol w:w="951"/>
      </w:tblGrid>
      <w:tr>
        <w:trPr>
          <w:cantSplit/>
          <w:trHeight w:val="259"/>
        </w:trPr>
        <w:bookmarkStart w:id="344" w:name="_Hlk533511527" w:displacedByCustomXml="next"/>
        <w:sdt>
          <w:sdtPr>
            <w:tag w:val="_PLD_694877484ae448bcbdceead91da15b38"/>
            <w:id w:val="1132908867"/>
          </w:sdtPr>
          <w:sdtContent>
            <w:tc>
              <w:tcPr>
                <w:tcW w:w="707"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类别</w:t>
                </w:r>
              </w:p>
            </w:tc>
          </w:sdtContent>
        </w:sdt>
        <w:sdt>
          <w:sdtPr>
            <w:tag w:val="_PLD_fafb5208264e4d4bb8e6b267fb648c20"/>
            <w:id w:val="1327550720"/>
          </w:sdtPr>
          <w:sdtContent>
            <w:tc>
              <w:tcPr>
                <w:tcW w:w="2130"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519503416"/>
          </w:sdtPr>
          <w:sdtContent>
            <w:tc>
              <w:tcPr>
                <w:tcW w:w="2163"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Height w:val="227"/>
        </w:trPr>
        <w:tc>
          <w:tcPr>
            <w:tcW w:w="707" w:type="pct"/>
            <w:vMerge/>
            <w:tcBorders>
              <w:left w:val="single" w:sz="4" w:space="0" w:color="auto"/>
              <w:right w:val="single" w:sz="4" w:space="0" w:color="auto"/>
            </w:tcBorders>
            <w:vAlign w:val="center"/>
          </w:tcPr>
          <w:p>
            <w:pPr>
              <w:rPr>
                <w:szCs w:val="21"/>
              </w:rPr>
            </w:pPr>
          </w:p>
        </w:tc>
        <w:sdt>
          <w:sdtPr>
            <w:tag w:val="_PLD_7056cf81ea5945de8de7b1a9d0e25fd7"/>
            <w:id w:val="2005236025"/>
          </w:sdtPr>
          <w:sdtContent>
            <w:tc>
              <w:tcPr>
                <w:tcW w:w="885"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tag w:val="_PLD_34f16de3fbfe4d57907bcde799e70cf5"/>
            <w:id w:val="-783729549"/>
          </w:sdtPr>
          <w:sdtContent>
            <w:tc>
              <w:tcPr>
                <w:tcW w:w="706"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sdt>
          <w:sdtPr>
            <w:tag w:val="_PLD_cd77106f5f004386a9ab2d4ac038ed51"/>
            <w:id w:val="1673834373"/>
          </w:sdtPr>
          <w:sdtContent>
            <w:tc>
              <w:tcPr>
                <w:tcW w:w="539"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lastRenderedPageBreak/>
                  <w:t>价值</w:t>
                </w:r>
              </w:p>
            </w:tc>
          </w:sdtContent>
        </w:sdt>
        <w:sdt>
          <w:sdtPr>
            <w:tag w:val="_PLD_f426e0de2bf0466d9f5f3a3cac025942"/>
            <w:id w:val="-598174742"/>
          </w:sdtPr>
          <w:sdtContent>
            <w:tc>
              <w:tcPr>
                <w:tcW w:w="893"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账面余额</w:t>
                </w:r>
              </w:p>
            </w:tc>
          </w:sdtContent>
        </w:sdt>
        <w:sdt>
          <w:sdtPr>
            <w:tag w:val="_PLD_42ed37b6856f4ff3b7f03ee8855d758a"/>
            <w:id w:val="-936523373"/>
          </w:sdtPr>
          <w:sdtContent>
            <w:tc>
              <w:tcPr>
                <w:tcW w:w="731"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坏账准备</w:t>
                </w:r>
              </w:p>
            </w:tc>
          </w:sdtContent>
        </w:sdt>
        <w:sdt>
          <w:sdtPr>
            <w:tag w:val="_PLD_f82bf84717ad44b1847dfdc19cbcf7f8"/>
            <w:id w:val="1842123834"/>
          </w:sdtPr>
          <w:sdtContent>
            <w:tc>
              <w:tcPr>
                <w:tcW w:w="539"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lastRenderedPageBreak/>
                  <w:t>价值</w:t>
                </w:r>
              </w:p>
            </w:tc>
          </w:sdtContent>
        </w:sdt>
      </w:tr>
      <w:tr>
        <w:trPr>
          <w:cantSplit/>
          <w:trHeight w:val="375"/>
        </w:trPr>
        <w:tc>
          <w:tcPr>
            <w:tcW w:w="707" w:type="pct"/>
            <w:vMerge/>
            <w:tcBorders>
              <w:left w:val="single" w:sz="4" w:space="0" w:color="auto"/>
              <w:bottom w:val="single" w:sz="4" w:space="0" w:color="auto"/>
              <w:right w:val="single" w:sz="4" w:space="0" w:color="auto"/>
            </w:tcBorders>
            <w:vAlign w:val="center"/>
          </w:tcPr>
          <w:p>
            <w:pPr>
              <w:rPr>
                <w:szCs w:val="21"/>
              </w:rPr>
            </w:pPr>
          </w:p>
        </w:tc>
        <w:sdt>
          <w:sdtPr>
            <w:tag w:val="_PLD_aa10a65b20404088a51399b13bc1f8a5"/>
            <w:id w:val="-957024517"/>
          </w:sdtPr>
          <w:sdtContent>
            <w:tc>
              <w:tcPr>
                <w:tcW w:w="53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5ca29603eb73434e9c2b6a938262bcf4"/>
            <w:id w:val="1770887366"/>
          </w:sdtPr>
          <w:sdtContent>
            <w:tc>
              <w:tcPr>
                <w:tcW w:w="346"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tag w:val="_PLD_6964d79d10954e17b7bb61b577242def"/>
            <w:id w:val="893546804"/>
          </w:sdtPr>
          <w:sdtContent>
            <w:tc>
              <w:tcPr>
                <w:tcW w:w="345"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3b8eaa1922a244bea17eec1b5b1e71f7"/>
            <w:id w:val="1066837279"/>
          </w:sdtPr>
          <w:sdtContent>
            <w:tc>
              <w:tcPr>
                <w:tcW w:w="361"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39" w:type="pct"/>
            <w:vMerge/>
            <w:tcBorders>
              <w:left w:val="single" w:sz="4" w:space="0" w:color="auto"/>
              <w:bottom w:val="single" w:sz="4" w:space="0" w:color="auto"/>
              <w:right w:val="single" w:sz="4" w:space="0" w:color="auto"/>
            </w:tcBorders>
            <w:vAlign w:val="center"/>
          </w:tcPr>
          <w:p>
            <w:pPr>
              <w:jc w:val="center"/>
              <w:rPr>
                <w:szCs w:val="21"/>
              </w:rPr>
            </w:pPr>
          </w:p>
        </w:tc>
        <w:sdt>
          <w:sdtPr>
            <w:tag w:val="_PLD_2643b99ff0364343807a178f0f8dd5da"/>
            <w:id w:val="-254595888"/>
          </w:sdtPr>
          <w:sdtContent>
            <w:tc>
              <w:tcPr>
                <w:tcW w:w="53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889230571c2941e88f231f43b4b8a99e"/>
            <w:id w:val="1721478669"/>
          </w:sdtPr>
          <w:sdtContent>
            <w:tc>
              <w:tcPr>
                <w:tcW w:w="354"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tag w:val="_PLD_e1c946a6d26548c493697d23050b8325"/>
            <w:id w:val="2092200168"/>
          </w:sdtPr>
          <w:sdtContent>
            <w:tc>
              <w:tcPr>
                <w:tcW w:w="365"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8bfda0f6261147ccb519211fb86f82f6"/>
            <w:id w:val="-995960668"/>
          </w:sdtPr>
          <w:sdtContent>
            <w:tc>
              <w:tcPr>
                <w:tcW w:w="366"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39" w:type="pct"/>
            <w:vMerge/>
            <w:tcBorders>
              <w:left w:val="single" w:sz="4" w:space="0" w:color="auto"/>
              <w:bottom w:val="single" w:sz="4" w:space="0" w:color="auto"/>
              <w:right w:val="single" w:sz="4" w:space="0" w:color="auto"/>
            </w:tcBorders>
          </w:tcPr>
          <w:p>
            <w:pPr>
              <w:jc w:val="center"/>
              <w:rPr>
                <w:szCs w:val="21"/>
              </w:rPr>
            </w:pPr>
          </w:p>
        </w:tc>
      </w:tr>
      <w:tr>
        <w:trPr>
          <w:cantSplit/>
        </w:trPr>
        <w:tc>
          <w:tcPr>
            <w:tcW w:w="707"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按单项计提坏账准备</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4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4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6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36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r>
        <w:trPr>
          <w:cantSplit/>
        </w:trPr>
        <w:tc>
          <w:tcPr>
            <w:tcW w:w="707"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按组合计提坏账准备</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947,687</w:t>
            </w:r>
          </w:p>
        </w:tc>
        <w:tc>
          <w:tcPr>
            <w:tcW w:w="34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w:t>
            </w:r>
          </w:p>
        </w:tc>
        <w:tc>
          <w:tcPr>
            <w:tcW w:w="34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384</w:t>
            </w:r>
          </w:p>
        </w:tc>
        <w:tc>
          <w:tcPr>
            <w:tcW w:w="3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0.04</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947,303</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873,897</w:t>
            </w:r>
          </w:p>
        </w:tc>
        <w:tc>
          <w:tcPr>
            <w:tcW w:w="3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w:t>
            </w:r>
          </w:p>
        </w:tc>
        <w:tc>
          <w:tcPr>
            <w:tcW w:w="36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818</w:t>
            </w:r>
          </w:p>
        </w:tc>
        <w:tc>
          <w:tcPr>
            <w:tcW w:w="36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0.09</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873,079</w:t>
            </w:r>
          </w:p>
        </w:tc>
      </w:tr>
      <w:tr>
        <w:trPr>
          <w:cantSplit/>
        </w:trPr>
        <w:tc>
          <w:tcPr>
            <w:tcW w:w="707"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947,687</w:t>
            </w:r>
          </w:p>
        </w:tc>
        <w:tc>
          <w:tcPr>
            <w:tcW w:w="34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w:t>
            </w:r>
          </w:p>
        </w:tc>
        <w:tc>
          <w:tcPr>
            <w:tcW w:w="34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384</w:t>
            </w:r>
          </w:p>
        </w:tc>
        <w:tc>
          <w:tcPr>
            <w:tcW w:w="361"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947,303</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873,897</w:t>
            </w:r>
          </w:p>
        </w:tc>
        <w:tc>
          <w:tcPr>
            <w:tcW w:w="354"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w:t>
            </w:r>
          </w:p>
        </w:tc>
        <w:tc>
          <w:tcPr>
            <w:tcW w:w="36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818</w:t>
            </w:r>
          </w:p>
        </w:tc>
        <w:tc>
          <w:tcPr>
            <w:tcW w:w="36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w:t>
            </w:r>
          </w:p>
        </w:tc>
        <w:tc>
          <w:tcPr>
            <w:tcW w:w="53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873,079</w:t>
            </w:r>
          </w:p>
        </w:tc>
      </w:tr>
    </w:tbl>
    <w:p>
      <w:pPr>
        <w:pStyle w:val="affffffffffffffffffffffffffffffffe"/>
      </w:pPr>
    </w:p>
    <w:bookmarkEnd w:id="343"/>
    <w:bookmarkEnd w:id="344"/>
    <w:p>
      <w:pPr>
        <w:pStyle w:val="affffffffffffffffffffffffffffffffe"/>
      </w:pPr>
      <w:r>
        <w:rPr>
          <w:rFonts w:hint="eastAsia"/>
        </w:rPr>
        <w:t>按单项计提坏账准备：</w:t>
      </w:r>
    </w:p>
    <w:sdt>
      <w:sdtPr>
        <w:rPr>
          <w:rFonts w:hint="eastAsia"/>
        </w:rPr>
        <w:alias w:val="是否适用：按单项计提坏账准备的应收票据详细情况[双击切换]"/>
        <w:tag w:val="_GBC_9f41f638de8f4c42b9d00ca6755931fb"/>
        <w:id w:val="1907408388"/>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Start w:id="345" w:name="_Hlk533597423" w:displacedByCustomXml="prev"/>
    <w:p>
      <w:pPr>
        <w:rPr>
          <w:szCs w:val="21"/>
        </w:rPr>
      </w:pPr>
    </w:p>
    <w:p>
      <w:pPr>
        <w:rPr>
          <w:szCs w:val="21"/>
        </w:rPr>
      </w:pPr>
    </w:p>
    <w:bookmarkEnd w:id="345" w:displacedByCustomXml="next"/>
    <w:sdt>
      <w:sdtPr>
        <w:tag w:val="_PLD_c5822df72e094b5083c45a32639c6995"/>
        <w:id w:val="272603144"/>
      </w:sdtPr>
      <w:sdtContent>
        <w:p>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008444205"/>
        <w:lock w:val="contentLocked"/>
        <w:placeholder>
          <w:docPart w:val="GBC22222222222222222222222222222"/>
        </w:placeholder>
      </w:sdtPr>
      <w:sdtContent>
        <w:p>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rFonts w:asciiTheme="minorHAnsi" w:hAnsiTheme="minorHAnsi" w:cstheme="minorBidi"/>
          <w:bCs/>
          <w:szCs w:val="22"/>
        </w:rPr>
      </w:pPr>
      <w:bookmarkStart w:id="346" w:name="_Hlk533601037"/>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844205985"/>
          <w:placeholder>
            <w:docPart w:val="GBC22222222222222222222222222222"/>
          </w:placeholder>
          <w:comboBox/>
        </w:sdtPr>
        <w:sdtContent>
          <w:r>
            <w:rPr>
              <w:rFonts w:asciiTheme="minorHAnsi" w:hAnsiTheme="minorHAnsi" w:cstheme="minorBidi"/>
              <w:bCs/>
              <w:szCs w:val="22"/>
            </w:rPr>
            <w:t>-</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9164012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857394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sdt>
          <w:sdtPr>
            <w:tag w:val="_PLD_74ad584541ec46019bc0ec583b56e6dc"/>
            <w:id w:val="1368023827"/>
          </w:sdtPr>
          <w:sdtContent>
            <w:tc>
              <w:tcPr>
                <w:tcW w:w="1158" w:type="pct"/>
                <w:vMerge w:val="restart"/>
                <w:vAlign w:val="center"/>
              </w:tcPr>
              <w:p>
                <w:pPr>
                  <w:jc w:val="center"/>
                  <w:rPr>
                    <w:szCs w:val="21"/>
                  </w:rPr>
                </w:pPr>
                <w:r>
                  <w:rPr>
                    <w:rFonts w:hint="eastAsia"/>
                    <w:szCs w:val="21"/>
                  </w:rPr>
                  <w:t>名称</w:t>
                </w:r>
              </w:p>
            </w:tc>
          </w:sdtContent>
        </w:sdt>
        <w:sdt>
          <w:sdtPr>
            <w:tag w:val="_PLD_4cf87ed9c9624586a738a40c94ad8178"/>
            <w:id w:val="386546302"/>
          </w:sdtPr>
          <w:sdtContent>
            <w:tc>
              <w:tcPr>
                <w:tcW w:w="3842" w:type="pct"/>
                <w:gridSpan w:val="3"/>
                <w:vAlign w:val="center"/>
              </w:tcPr>
              <w:p>
                <w:pPr>
                  <w:jc w:val="center"/>
                  <w:rPr>
                    <w:szCs w:val="21"/>
                  </w:rPr>
                </w:pPr>
                <w:r>
                  <w:rPr>
                    <w:rFonts w:hint="eastAsia"/>
                    <w:szCs w:val="21"/>
                  </w:rPr>
                  <w:t>期末余额</w:t>
                </w:r>
              </w:p>
            </w:tc>
          </w:sdtContent>
        </w:sdt>
      </w:tr>
      <w:tr>
        <w:tc>
          <w:tcPr>
            <w:tcW w:w="1158" w:type="pct"/>
            <w:vMerge/>
          </w:tcPr>
          <w:p>
            <w:pPr>
              <w:jc w:val="center"/>
              <w:rPr>
                <w:szCs w:val="21"/>
              </w:rPr>
            </w:pPr>
          </w:p>
        </w:tc>
        <w:sdt>
          <w:sdtPr>
            <w:tag w:val="_PLD_c7947e62ac1341a0ab9934cdaf575521"/>
            <w:id w:val="1205445174"/>
          </w:sdtPr>
          <w:sdtContent>
            <w:tc>
              <w:tcPr>
                <w:tcW w:w="1276" w:type="pct"/>
                <w:vAlign w:val="center"/>
              </w:tcPr>
              <w:p>
                <w:pPr>
                  <w:jc w:val="center"/>
                  <w:rPr>
                    <w:szCs w:val="21"/>
                  </w:rPr>
                </w:pPr>
                <w:r>
                  <w:rPr>
                    <w:rFonts w:hint="eastAsia"/>
                    <w:szCs w:val="21"/>
                  </w:rPr>
                  <w:t>应收票据</w:t>
                </w:r>
              </w:p>
            </w:tc>
          </w:sdtContent>
        </w:sdt>
        <w:sdt>
          <w:sdtPr>
            <w:tag w:val="_PLD_b0f88303dbd14344a84ee332cb6d53f9"/>
            <w:id w:val="1561823297"/>
          </w:sdtPr>
          <w:sdtContent>
            <w:tc>
              <w:tcPr>
                <w:tcW w:w="1299" w:type="pct"/>
                <w:vAlign w:val="center"/>
              </w:tcPr>
              <w:p>
                <w:pPr>
                  <w:jc w:val="center"/>
                  <w:rPr>
                    <w:szCs w:val="21"/>
                  </w:rPr>
                </w:pPr>
                <w:r>
                  <w:rPr>
                    <w:rFonts w:hint="eastAsia"/>
                    <w:szCs w:val="21"/>
                  </w:rPr>
                  <w:t>坏账准备</w:t>
                </w:r>
              </w:p>
            </w:tc>
          </w:sdtContent>
        </w:sdt>
        <w:sdt>
          <w:sdtPr>
            <w:tag w:val="_PLD_2ac8d6b7fbbb4250ab600dfdbe0fcb56"/>
            <w:id w:val="-1838532133"/>
          </w:sdtPr>
          <w:sdtContent>
            <w:tc>
              <w:tcPr>
                <w:tcW w:w="1267" w:type="pct"/>
                <w:vAlign w:val="center"/>
              </w:tcPr>
              <w:p>
                <w:pPr>
                  <w:jc w:val="center"/>
                  <w:rPr>
                    <w:szCs w:val="21"/>
                  </w:rPr>
                </w:pPr>
                <w:r>
                  <w:rPr>
                    <w:szCs w:val="21"/>
                  </w:rPr>
                  <w:t>计提比例</w:t>
                </w:r>
                <w:r>
                  <w:rPr>
                    <w:rFonts w:hint="eastAsia"/>
                    <w:szCs w:val="21"/>
                  </w:rPr>
                  <w:t>（%）</w:t>
                </w:r>
              </w:p>
            </w:tc>
          </w:sdtContent>
        </w:sdt>
      </w:tr>
      <w:tr>
        <w:tc>
          <w:tcPr>
            <w:tcW w:w="1158" w:type="pct"/>
          </w:tcPr>
          <w:p>
            <w:pPr>
              <w:rPr>
                <w:szCs w:val="21"/>
              </w:rPr>
            </w:pPr>
            <w:r>
              <w:rPr>
                <w:szCs w:val="21"/>
              </w:rPr>
              <w:t>1年以内</w:t>
            </w:r>
          </w:p>
        </w:tc>
        <w:tc>
          <w:tcPr>
            <w:tcW w:w="1276" w:type="pct"/>
          </w:tcPr>
          <w:p>
            <w:pPr>
              <w:jc w:val="right"/>
              <w:rPr>
                <w:szCs w:val="21"/>
              </w:rPr>
            </w:pPr>
            <w:r>
              <w:rPr>
                <w:szCs w:val="21"/>
              </w:rPr>
              <w:t>947,687</w:t>
            </w:r>
          </w:p>
        </w:tc>
        <w:tc>
          <w:tcPr>
            <w:tcW w:w="1299" w:type="pct"/>
          </w:tcPr>
          <w:p>
            <w:pPr>
              <w:jc w:val="right"/>
              <w:rPr>
                <w:szCs w:val="21"/>
              </w:rPr>
            </w:pPr>
            <w:r>
              <w:rPr>
                <w:szCs w:val="21"/>
              </w:rPr>
              <w:t>384</w:t>
            </w:r>
          </w:p>
        </w:tc>
        <w:tc>
          <w:tcPr>
            <w:tcW w:w="1267" w:type="pct"/>
          </w:tcPr>
          <w:p>
            <w:pPr>
              <w:jc w:val="right"/>
              <w:rPr>
                <w:szCs w:val="21"/>
              </w:rPr>
            </w:pPr>
            <w:r>
              <w:rPr>
                <w:szCs w:val="21"/>
              </w:rPr>
              <w:t>0.04</w:t>
            </w:r>
          </w:p>
        </w:tc>
      </w:tr>
      <w:tr>
        <w:tc>
          <w:tcPr>
            <w:tcW w:w="1158" w:type="pct"/>
            <w:vAlign w:val="center"/>
          </w:tcPr>
          <w:p>
            <w:pPr>
              <w:jc w:val="center"/>
              <w:rPr>
                <w:szCs w:val="21"/>
              </w:rPr>
            </w:pPr>
            <w:r>
              <w:rPr>
                <w:rFonts w:hint="eastAsia"/>
                <w:szCs w:val="21"/>
              </w:rPr>
              <w:t>合计</w:t>
            </w:r>
          </w:p>
        </w:tc>
        <w:tc>
          <w:tcPr>
            <w:tcW w:w="1276" w:type="pct"/>
          </w:tcPr>
          <w:p>
            <w:pPr>
              <w:jc w:val="right"/>
              <w:rPr>
                <w:szCs w:val="21"/>
              </w:rPr>
            </w:pPr>
            <w:r>
              <w:rPr>
                <w:szCs w:val="21"/>
              </w:rPr>
              <w:t>947,687</w:t>
            </w:r>
          </w:p>
        </w:tc>
        <w:tc>
          <w:tcPr>
            <w:tcW w:w="1299" w:type="pct"/>
          </w:tcPr>
          <w:p>
            <w:pPr>
              <w:jc w:val="right"/>
              <w:rPr>
                <w:szCs w:val="21"/>
              </w:rPr>
            </w:pPr>
            <w:r>
              <w:rPr>
                <w:szCs w:val="21"/>
              </w:rPr>
              <w:t>384</w:t>
            </w:r>
          </w:p>
        </w:tc>
        <w:tc>
          <w:tcPr>
            <w:tcW w:w="1267" w:type="pct"/>
          </w:tcPr>
          <w:p>
            <w:pPr>
              <w:jc w:val="right"/>
              <w:rPr>
                <w:szCs w:val="21"/>
              </w:rPr>
            </w:pPr>
            <w:r>
              <w:rPr>
                <w:szCs w:val="21"/>
              </w:rPr>
              <w:t>0.04</w:t>
            </w:r>
          </w:p>
        </w:tc>
      </w:tr>
    </w:tbl>
    <w:p>
      <w:pPr>
        <w:rPr>
          <w:szCs w:val="21"/>
        </w:rPr>
      </w:pPr>
      <w:r>
        <w:rPr>
          <w:rFonts w:hint="eastAsia"/>
          <w:szCs w:val="21"/>
        </w:rPr>
        <w:t>按组合计提坏账准备的说明</w:t>
      </w:r>
    </w:p>
    <w:sdt>
      <w:sdtPr>
        <w:rPr>
          <w:szCs w:val="21"/>
        </w:rPr>
        <w:alias w:val="是否适用：按组合计提坏账准备的应收票据确认标准[双击切换]"/>
        <w:tag w:val="_GBC_8da9c261e1b645a580319dc9ae336a84"/>
        <w:id w:val="-44284865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p>
      <w:pPr>
        <w:rPr>
          <w:rFonts w:cstheme="minorBidi"/>
          <w:bCs/>
          <w:szCs w:val="22"/>
        </w:rPr>
      </w:pPr>
      <w:bookmarkStart w:id="347" w:name="_Hlk153356892"/>
      <w:bookmarkEnd w:id="346"/>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36028683"/>
        <w:placeholder>
          <w:docPart w:val="GBC22222222222222222222222222222"/>
        </w:placeholder>
      </w:sdt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autoSpaceDE w:val="0"/>
        <w:autoSpaceDN w:val="0"/>
        <w:adjustRightInd w:val="0"/>
        <w:ind w:leftChars="86" w:left="181" w:rightChars="50" w:right="105"/>
        <w:jc w:val="right"/>
        <w:rPr>
          <w:szCs w:val="21"/>
        </w:rPr>
      </w:pPr>
      <w:r>
        <w:rPr>
          <w:rFonts w:hint="eastAsia"/>
          <w:szCs w:val="21"/>
        </w:rPr>
        <w:t>单位：</w:t>
      </w:r>
      <w:sdt>
        <w:sdtPr>
          <w:rPr>
            <w:rFonts w:hint="eastAsia"/>
            <w:szCs w:val="21"/>
          </w:rPr>
          <w:alias w:val="单位：按预期信用损失一般模型计提坏账准备"/>
          <w:tag w:val="_GBC_2cc2d909d1754ff19f99ac2c6fa788c1"/>
          <w:id w:val="-36128062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按预期信用损失一般模型计提坏账准备"/>
          <w:tag w:val="_GBC_c3a3fe554de74bdea2977c4831944e52"/>
          <w:id w:val="276840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4"/>
        <w:gridCol w:w="1519"/>
        <w:gridCol w:w="1659"/>
        <w:gridCol w:w="1659"/>
        <w:gridCol w:w="1392"/>
      </w:tblGrid>
      <w:tr>
        <w:sdt>
          <w:sdtPr>
            <w:tag w:val="_PLD_c5549b0384f346caa49bcbb13ecda128"/>
            <w:id w:val="109940591"/>
          </w:sdtPr>
          <w:sdtContent>
            <w:tc>
              <w:tcPr>
                <w:tcW w:w="1470" w:type="pct"/>
                <w:vMerge w:val="restart"/>
                <w:vAlign w:val="center"/>
              </w:tcPr>
              <w:p>
                <w:pPr>
                  <w:pStyle w:val="TableParagraph"/>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23311567934e470ab7a42b1192d0de3f"/>
            <w:id w:val="-1533405366"/>
          </w:sdtPr>
          <w:sdtContent>
            <w:tc>
              <w:tcPr>
                <w:tcW w:w="861" w:type="pct"/>
                <w:vAlign w:val="center"/>
              </w:tcPr>
              <w:p>
                <w:pPr>
                  <w:pStyle w:val="TableParagraph"/>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5a4e1b8ab26e4af8b3eadbc3b8ec74d1"/>
            <w:id w:val="-1210340858"/>
          </w:sdtPr>
          <w:sdtContent>
            <w:tc>
              <w:tcPr>
                <w:tcW w:w="940" w:type="pct"/>
                <w:vAlign w:val="center"/>
              </w:tcPr>
              <w:p>
                <w:pPr>
                  <w:pStyle w:val="TableParagraph"/>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d99cc0b8d26441cd993d62176f15af01"/>
            <w:id w:val="229517370"/>
          </w:sdtPr>
          <w:sdtContent>
            <w:tc>
              <w:tcPr>
                <w:tcW w:w="940" w:type="pct"/>
                <w:vAlign w:val="center"/>
              </w:tcPr>
              <w:p>
                <w:pPr>
                  <w:pStyle w:val="TableParagraph"/>
                  <w:spacing w:after="0" w:line="240" w:lineRule="auto"/>
                  <w:ind w:leftChars="86" w:left="181"/>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57d52ff3a7394af2969b68057bdf6514"/>
            <w:id w:val="2053507369"/>
          </w:sdtPr>
          <w:sdtContent>
            <w:tc>
              <w:tcPr>
                <w:tcW w:w="789" w:type="pct"/>
                <w:vMerge w:val="restar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c>
          <w:tcPr>
            <w:tcW w:w="1470" w:type="pct"/>
            <w:vMerge/>
            <w:vAlign w:val="center"/>
          </w:tcPr>
          <w:p>
            <w:pPr>
              <w:ind w:leftChars="86" w:left="181"/>
              <w:jc w:val="center"/>
              <w:rPr>
                <w:color w:val="008000"/>
                <w:szCs w:val="21"/>
              </w:rPr>
            </w:pPr>
          </w:p>
        </w:tc>
        <w:sdt>
          <w:sdtPr>
            <w:tag w:val="_PLD_1f5ad5e6387b4ff5abfa0a20e9963330"/>
            <w:id w:val="-1163084833"/>
          </w:sdtPr>
          <w:sdtContent>
            <w:tc>
              <w:tcPr>
                <w:tcW w:w="861"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d369752d8d7f4916b33ff278fc0ba846"/>
            <w:id w:val="-997953149"/>
          </w:sdtPr>
          <w:sdtContent>
            <w:tc>
              <w:tcPr>
                <w:tcW w:w="940"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ed206a945b84444b7609cf21b57962a"/>
            <w:id w:val="-43996399"/>
          </w:sdtPr>
          <w:sdtContent>
            <w:tc>
              <w:tcPr>
                <w:tcW w:w="940"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789" w:type="pct"/>
            <w:vMerge/>
            <w:vAlign w:val="center"/>
          </w:tcPr>
          <w:p>
            <w:pPr>
              <w:ind w:leftChars="86" w:left="181"/>
              <w:jc w:val="center"/>
              <w:rPr>
                <w:color w:val="008000"/>
                <w:szCs w:val="21"/>
              </w:rPr>
            </w:pP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r>
              <w:rPr>
                <w:szCs w:val="21"/>
              </w:rPr>
              <w:t>818</w:t>
            </w: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r>
              <w:rPr>
                <w:szCs w:val="21"/>
              </w:rPr>
              <w:t>818</w:t>
            </w: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ind w:leftChars="86" w:left="181"/>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rPr>
                <w:rFonts w:ascii="宋体" w:eastAsia="宋体" w:hAnsi="宋体"/>
                <w:sz w:val="21"/>
              </w:rPr>
            </w:pPr>
            <w:r>
              <w:rPr>
                <w:rFonts w:ascii="宋体" w:eastAsia="宋体" w:hAnsi="宋体" w:hint="eastAsia"/>
                <w:sz w:val="21"/>
              </w:rPr>
              <w:t>本期转回</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r>
              <w:rPr>
                <w:szCs w:val="21"/>
              </w:rPr>
              <w:t>434</w:t>
            </w: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r>
              <w:rPr>
                <w:szCs w:val="21"/>
              </w:rPr>
              <w:t>434</w:t>
            </w: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pPr>
            <w:r>
              <w:rPr>
                <w:rFonts w:ascii="宋体" w:eastAsia="宋体" w:hAnsi="宋体" w:cs="宋体" w:hint="eastAsia"/>
                <w:sz w:val="21"/>
                <w:szCs w:val="21"/>
                <w:lang w:eastAsia="zh-CN"/>
              </w:rPr>
              <w:t>本期核销</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p>
        </w:tc>
      </w:tr>
      <w:tr>
        <w:tc>
          <w:tcPr>
            <w:tcW w:w="1470"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1" w:type="pct"/>
            <w:vAlign w:val="center"/>
          </w:tcPr>
          <w:p>
            <w:pPr>
              <w:ind w:leftChars="86" w:left="181"/>
              <w:jc w:val="right"/>
              <w:rPr>
                <w:szCs w:val="21"/>
              </w:rPr>
            </w:pPr>
          </w:p>
        </w:tc>
        <w:tc>
          <w:tcPr>
            <w:tcW w:w="940" w:type="pct"/>
            <w:vAlign w:val="center"/>
          </w:tcPr>
          <w:p>
            <w:pPr>
              <w:ind w:leftChars="86" w:left="181"/>
              <w:jc w:val="right"/>
              <w:rPr>
                <w:szCs w:val="21"/>
              </w:rPr>
            </w:pPr>
            <w:r>
              <w:rPr>
                <w:szCs w:val="21"/>
              </w:rPr>
              <w:t>384</w:t>
            </w:r>
          </w:p>
        </w:tc>
        <w:tc>
          <w:tcPr>
            <w:tcW w:w="940" w:type="pct"/>
            <w:vAlign w:val="center"/>
          </w:tcPr>
          <w:p>
            <w:pPr>
              <w:ind w:leftChars="86" w:left="181"/>
              <w:jc w:val="right"/>
              <w:rPr>
                <w:szCs w:val="21"/>
              </w:rPr>
            </w:pPr>
          </w:p>
        </w:tc>
        <w:tc>
          <w:tcPr>
            <w:tcW w:w="789" w:type="pct"/>
            <w:vAlign w:val="center"/>
          </w:tcPr>
          <w:p>
            <w:pPr>
              <w:ind w:leftChars="86" w:left="181"/>
              <w:jc w:val="right"/>
              <w:rPr>
                <w:szCs w:val="21"/>
              </w:rPr>
            </w:pPr>
            <w:r>
              <w:rPr>
                <w:szCs w:val="21"/>
              </w:rPr>
              <w:t>384</w:t>
            </w:r>
          </w:p>
        </w:tc>
      </w:tr>
    </w:tbl>
    <w:p>
      <w:pPr>
        <w:autoSpaceDE w:val="0"/>
        <w:autoSpaceDN w:val="0"/>
        <w:adjustRightInd w:val="0"/>
        <w:ind w:rightChars="50" w:right="105"/>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64b745b874a741e0959d6b23dbf1c56a"/>
        <w:id w:val="7569030"/>
        <w:placeholder>
          <w:docPart w:val="GBC22222222222222222222222222222"/>
        </w:placeholder>
      </w:sdtPr>
      <w:sdtContent>
        <w:p>
          <w:pPr>
            <w:rPr>
              <w:rFonts w:cs="Times New Roman"/>
              <w:bCs/>
              <w:szCs w:val="22"/>
            </w:rPr>
          </w:pPr>
          <w:r>
            <w:rPr>
              <w:rFonts w:cs="Times New Roman"/>
              <w:bCs/>
              <w:szCs w:val="22"/>
            </w:rPr>
            <w:t>-</w:t>
          </w:r>
        </w:p>
      </w:sdtContent>
    </w:sdt>
    <w:p>
      <w:pPr>
        <w:rPr>
          <w:rFonts w:asciiTheme="minorHAnsi" w:hAnsiTheme="minorHAnsi" w:cstheme="minorBidi"/>
          <w:b/>
          <w:bCs/>
          <w:szCs w:val="22"/>
        </w:rPr>
      </w:pPr>
    </w:p>
    <w:p>
      <w:pPr>
        <w:pStyle w:val="affffffffffffffffffffffffffffffffffff"/>
      </w:pPr>
      <w:r>
        <w:rPr>
          <w:rFonts w:hint="eastAsia"/>
        </w:rPr>
        <w:t>对本期发生损失准备变动的应收票据账面余额显著变动的情况说明：</w:t>
      </w:r>
    </w:p>
    <w:sdt>
      <w:sdtPr>
        <w:rPr>
          <w:szCs w:val="21"/>
        </w:rPr>
        <w:alias w:val="是否适用：对本期发生损失准备变动的账面余额显著变动的情况说明[双击切换]"/>
        <w:tag w:val="_GBC_2f34fd35c9654c8fa0b6583125cc946c"/>
        <w:id w:val="1062979827"/>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p>
      <w:pPr>
        <w:pStyle w:val="afffffffffffffffffffffffffffffffff1"/>
        <w:numPr>
          <w:ilvl w:val="3"/>
          <w:numId w:val="104"/>
        </w:numPr>
        <w:ind w:left="426" w:hanging="426"/>
      </w:pPr>
      <w:bookmarkStart w:id="348" w:name="_Hlk532980547"/>
      <w:bookmarkStart w:id="349" w:name="_Hlk154148795"/>
      <w:bookmarkEnd w:id="347"/>
      <w:r>
        <w:rPr>
          <w:rFonts w:hint="eastAsia"/>
        </w:rPr>
        <w:t>坏账准备的情况</w:t>
      </w:r>
    </w:p>
    <w:sdt>
      <w:sdtPr>
        <w:alias w:val="是否适用：应收票据坏账准备情况[双击切换]"/>
        <w:tag w:val="_GBC_3c7b44ae9e3b4aa6a67012163093206f"/>
        <w:id w:val="199977065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票据坏账准备情况"/>
          <w:tag w:val="_GBC_369a6567da6f4681886799eccc7ce30e"/>
          <w:id w:val="2133148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应收票据坏账准备情况"/>
          <w:tag w:val="_GBC_2ca7f0c4216640399e139055a5b3f6df"/>
          <w:id w:val="6848720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28"/>
        <w:gridCol w:w="1189"/>
        <w:gridCol w:w="1189"/>
        <w:gridCol w:w="1322"/>
        <w:gridCol w:w="1449"/>
        <w:gridCol w:w="1057"/>
        <w:gridCol w:w="1189"/>
      </w:tblGrid>
      <w:tr>
        <w:sdt>
          <w:sdtPr>
            <w:tag w:val="_PLD_5c2e077065ea4069947c5dad1aefe7c9"/>
            <w:id w:val="-380330097"/>
          </w:sdtPr>
          <w:sdtContent>
            <w:tc>
              <w:tcPr>
                <w:tcW w:w="809" w:type="pct"/>
                <w:vMerge w:val="restart"/>
                <w:shd w:val="clear" w:color="auto" w:fill="FFFFFF"/>
                <w:vAlign w:val="center"/>
              </w:tcPr>
              <w:p>
                <w:pPr>
                  <w:widowControl w:val="0"/>
                  <w:jc w:val="center"/>
                </w:pPr>
                <w:r>
                  <w:t>类别</w:t>
                </w:r>
              </w:p>
            </w:tc>
          </w:sdtContent>
        </w:sdt>
        <w:sdt>
          <w:sdtPr>
            <w:tag w:val="_PLD_be42aed4ff82447ca43a862394d9d8b0"/>
            <w:id w:val="-1777016676"/>
          </w:sdtPr>
          <w:sdtContent>
            <w:tc>
              <w:tcPr>
                <w:tcW w:w="674" w:type="pct"/>
                <w:vMerge w:val="restart"/>
                <w:shd w:val="clear" w:color="auto" w:fill="FFFFFF"/>
                <w:vAlign w:val="center"/>
              </w:tcPr>
              <w:p>
                <w:pPr>
                  <w:widowControl w:val="0"/>
                  <w:jc w:val="center"/>
                </w:pPr>
                <w:r>
                  <w:t>期初余额</w:t>
                </w:r>
              </w:p>
            </w:tc>
          </w:sdtContent>
        </w:sdt>
        <w:sdt>
          <w:sdtPr>
            <w:tag w:val="_PLD_6aa2190a976944ebbcbd0551027474a9"/>
            <w:id w:val="767127463"/>
          </w:sdtPr>
          <w:sdtContent>
            <w:tc>
              <w:tcPr>
                <w:tcW w:w="2843" w:type="pct"/>
                <w:gridSpan w:val="4"/>
                <w:shd w:val="clear" w:color="auto" w:fill="FFFFFF"/>
                <w:vAlign w:val="center"/>
              </w:tcPr>
              <w:p>
                <w:pPr>
                  <w:widowControl w:val="0"/>
                  <w:jc w:val="center"/>
                </w:pPr>
                <w:r>
                  <w:rPr>
                    <w:rFonts w:hint="eastAsia"/>
                  </w:rPr>
                  <w:t>本期变动</w:t>
                </w:r>
                <w:r>
                  <w:t>金额</w:t>
                </w:r>
              </w:p>
            </w:tc>
          </w:sdtContent>
        </w:sdt>
        <w:sdt>
          <w:sdtPr>
            <w:tag w:val="_PLD_b9edf7d7d59c4a92b06644af7a055d81"/>
            <w:id w:val="-1316564830"/>
          </w:sdtPr>
          <w:sdtContent>
            <w:tc>
              <w:tcPr>
                <w:tcW w:w="674" w:type="pct"/>
                <w:vMerge w:val="restart"/>
                <w:shd w:val="clear" w:color="auto" w:fill="FFFFFF"/>
                <w:vAlign w:val="center"/>
              </w:tcPr>
              <w:p>
                <w:pPr>
                  <w:widowControl w:val="0"/>
                  <w:jc w:val="center"/>
                </w:pPr>
                <w:r>
                  <w:t>期末余额</w:t>
                </w:r>
              </w:p>
            </w:tc>
          </w:sdtContent>
        </w:sdt>
      </w:tr>
      <w:tr>
        <w:tc>
          <w:tcPr>
            <w:tcW w:w="809" w:type="pct"/>
            <w:vMerge/>
            <w:shd w:val="clear" w:color="auto" w:fill="FFFFFF"/>
          </w:tcPr>
          <w:p>
            <w:pPr>
              <w:widowControl w:val="0"/>
              <w:jc w:val="center"/>
            </w:pPr>
          </w:p>
        </w:tc>
        <w:tc>
          <w:tcPr>
            <w:tcW w:w="674" w:type="pct"/>
            <w:vMerge/>
            <w:shd w:val="clear" w:color="auto" w:fill="FFFFFF"/>
          </w:tcPr>
          <w:p>
            <w:pPr>
              <w:widowControl w:val="0"/>
              <w:jc w:val="right"/>
            </w:pPr>
          </w:p>
        </w:tc>
        <w:sdt>
          <w:sdtPr>
            <w:tag w:val="_PLD_36062efa6f854d3c8eee6ca1e0b72bca"/>
            <w:id w:val="1242065741"/>
          </w:sdtPr>
          <w:sdtContent>
            <w:tc>
              <w:tcPr>
                <w:tcW w:w="674" w:type="pct"/>
                <w:shd w:val="clear" w:color="auto" w:fill="FFFFFF"/>
                <w:vAlign w:val="center"/>
              </w:tcPr>
              <w:p>
                <w:pPr>
                  <w:widowControl w:val="0"/>
                  <w:jc w:val="center"/>
                </w:pPr>
                <w:r>
                  <w:t>计提</w:t>
                </w:r>
              </w:p>
            </w:tc>
          </w:sdtContent>
        </w:sdt>
        <w:sdt>
          <w:sdtPr>
            <w:tag w:val="_PLD_0b4224d18fad47e08fa90eb4f8c7e612"/>
            <w:id w:val="-1072660505"/>
          </w:sdtPr>
          <w:sdtContent>
            <w:tc>
              <w:tcPr>
                <w:tcW w:w="749" w:type="pct"/>
                <w:shd w:val="clear" w:color="auto" w:fill="FFFFFF"/>
                <w:vAlign w:val="center"/>
              </w:tcPr>
              <w:p>
                <w:pPr>
                  <w:widowControl w:val="0"/>
                  <w:jc w:val="center"/>
                </w:pPr>
                <w:r>
                  <w:rPr>
                    <w:rFonts w:hint="eastAsia"/>
                  </w:rPr>
                  <w:t>收回或转回</w:t>
                </w:r>
              </w:p>
            </w:tc>
          </w:sdtContent>
        </w:sdt>
        <w:tc>
          <w:tcPr>
            <w:tcW w:w="821" w:type="pct"/>
            <w:shd w:val="clear" w:color="auto" w:fill="FFFFFF"/>
            <w:vAlign w:val="center"/>
          </w:tcPr>
          <w:sdt>
            <w:sdtPr>
              <w:tag w:val="_PLD_dff8ef418de94a2b8e2615f6e297e890"/>
              <w:id w:val="380989160"/>
            </w:sdtPr>
            <w:sdtContent>
              <w:p>
                <w:pPr>
                  <w:widowControl w:val="0"/>
                  <w:jc w:val="center"/>
                </w:pPr>
                <w:r>
                  <w:rPr>
                    <w:rFonts w:hint="eastAsia"/>
                  </w:rPr>
                  <w:t>转销或核销</w:t>
                </w:r>
              </w:p>
            </w:sdtContent>
          </w:sdt>
        </w:tc>
        <w:tc>
          <w:tcPr>
            <w:tcW w:w="599" w:type="pct"/>
            <w:shd w:val="clear" w:color="auto" w:fill="FFFFFF"/>
            <w:vAlign w:val="center"/>
          </w:tcPr>
          <w:sdt>
            <w:sdtPr>
              <w:tag w:val="_PLD_529e6104ed0640fcab7db5615e37639f"/>
              <w:id w:val="49897983"/>
            </w:sdtPr>
            <w:sdtContent>
              <w:p>
                <w:pPr>
                  <w:widowControl w:val="0"/>
                  <w:jc w:val="center"/>
                </w:pPr>
                <w:r>
                  <w:rPr>
                    <w:rFonts w:hint="eastAsia"/>
                  </w:rPr>
                  <w:t>其他变动</w:t>
                </w:r>
              </w:p>
            </w:sdtContent>
          </w:sdt>
        </w:tc>
        <w:tc>
          <w:tcPr>
            <w:tcW w:w="674" w:type="pct"/>
            <w:vMerge/>
            <w:shd w:val="clear" w:color="auto" w:fill="FFFFFF"/>
          </w:tcPr>
          <w:p>
            <w:pPr>
              <w:widowControl w:val="0"/>
              <w:jc w:val="right"/>
            </w:pPr>
          </w:p>
        </w:tc>
      </w:tr>
      <w:tr>
        <w:tc>
          <w:tcPr>
            <w:tcW w:w="809" w:type="pct"/>
            <w:shd w:val="clear" w:color="auto" w:fill="auto"/>
            <w:vAlign w:val="center"/>
          </w:tcPr>
          <w:p>
            <w:pPr>
              <w:widowControl w:val="0"/>
              <w:jc w:val="both"/>
            </w:pPr>
            <w:r>
              <w:rPr>
                <w:rFonts w:hint="eastAsia"/>
              </w:rPr>
              <w:t>应收票据坏账准备</w:t>
            </w:r>
          </w:p>
        </w:tc>
        <w:tc>
          <w:tcPr>
            <w:tcW w:w="674" w:type="pct"/>
            <w:shd w:val="clear" w:color="auto" w:fill="auto"/>
            <w:vAlign w:val="center"/>
          </w:tcPr>
          <w:p>
            <w:pPr>
              <w:widowControl w:val="0"/>
              <w:jc w:val="right"/>
            </w:pPr>
            <w:r>
              <w:t>818</w:t>
            </w:r>
          </w:p>
        </w:tc>
        <w:tc>
          <w:tcPr>
            <w:tcW w:w="674" w:type="pct"/>
            <w:shd w:val="clear" w:color="auto" w:fill="auto"/>
            <w:vAlign w:val="center"/>
          </w:tcPr>
          <w:p>
            <w:pPr>
              <w:widowControl w:val="0"/>
              <w:jc w:val="right"/>
            </w:pPr>
          </w:p>
        </w:tc>
        <w:tc>
          <w:tcPr>
            <w:tcW w:w="749" w:type="pct"/>
            <w:shd w:val="clear" w:color="auto" w:fill="auto"/>
            <w:vAlign w:val="center"/>
          </w:tcPr>
          <w:p>
            <w:pPr>
              <w:widowControl w:val="0"/>
              <w:jc w:val="right"/>
            </w:pPr>
            <w:r>
              <w:t>434</w:t>
            </w:r>
          </w:p>
        </w:tc>
        <w:tc>
          <w:tcPr>
            <w:tcW w:w="821" w:type="pct"/>
          </w:tcPr>
          <w:p>
            <w:pPr>
              <w:widowControl w:val="0"/>
              <w:jc w:val="right"/>
            </w:pPr>
          </w:p>
        </w:tc>
        <w:tc>
          <w:tcPr>
            <w:tcW w:w="599" w:type="pct"/>
          </w:tcPr>
          <w:p>
            <w:pPr>
              <w:widowControl w:val="0"/>
              <w:jc w:val="right"/>
            </w:pPr>
          </w:p>
        </w:tc>
        <w:tc>
          <w:tcPr>
            <w:tcW w:w="674" w:type="pct"/>
            <w:shd w:val="clear" w:color="auto" w:fill="auto"/>
            <w:vAlign w:val="center"/>
          </w:tcPr>
          <w:p>
            <w:pPr>
              <w:widowControl w:val="0"/>
              <w:jc w:val="right"/>
            </w:pPr>
            <w:r>
              <w:t>384</w:t>
            </w:r>
          </w:p>
        </w:tc>
      </w:tr>
      <w:tr>
        <w:tc>
          <w:tcPr>
            <w:tcW w:w="809" w:type="pct"/>
            <w:shd w:val="clear" w:color="auto" w:fill="auto"/>
          </w:tcPr>
          <w:p>
            <w:pPr>
              <w:widowControl w:val="0"/>
              <w:jc w:val="center"/>
            </w:pPr>
            <w:r>
              <w:rPr>
                <w:rFonts w:hint="eastAsia"/>
              </w:rPr>
              <w:t>合计</w:t>
            </w:r>
          </w:p>
        </w:tc>
        <w:tc>
          <w:tcPr>
            <w:tcW w:w="674" w:type="pct"/>
            <w:shd w:val="clear" w:color="auto" w:fill="auto"/>
          </w:tcPr>
          <w:p>
            <w:pPr>
              <w:widowControl w:val="0"/>
              <w:jc w:val="right"/>
            </w:pPr>
            <w:r>
              <w:t>818</w:t>
            </w:r>
          </w:p>
        </w:tc>
        <w:tc>
          <w:tcPr>
            <w:tcW w:w="674" w:type="pct"/>
            <w:shd w:val="clear" w:color="auto" w:fill="auto"/>
          </w:tcPr>
          <w:p>
            <w:pPr>
              <w:widowControl w:val="0"/>
              <w:jc w:val="right"/>
            </w:pPr>
          </w:p>
        </w:tc>
        <w:tc>
          <w:tcPr>
            <w:tcW w:w="749" w:type="pct"/>
            <w:shd w:val="clear" w:color="auto" w:fill="auto"/>
          </w:tcPr>
          <w:p>
            <w:pPr>
              <w:widowControl w:val="0"/>
              <w:jc w:val="right"/>
            </w:pPr>
            <w:r>
              <w:t>434</w:t>
            </w:r>
          </w:p>
        </w:tc>
        <w:tc>
          <w:tcPr>
            <w:tcW w:w="821" w:type="pct"/>
          </w:tcPr>
          <w:p>
            <w:pPr>
              <w:widowControl w:val="0"/>
              <w:jc w:val="right"/>
            </w:pPr>
          </w:p>
        </w:tc>
        <w:tc>
          <w:tcPr>
            <w:tcW w:w="599" w:type="pct"/>
          </w:tcPr>
          <w:p>
            <w:pPr>
              <w:widowControl w:val="0"/>
              <w:jc w:val="right"/>
            </w:pPr>
          </w:p>
        </w:tc>
        <w:tc>
          <w:tcPr>
            <w:tcW w:w="674" w:type="pct"/>
            <w:shd w:val="clear" w:color="auto" w:fill="auto"/>
          </w:tcPr>
          <w:p>
            <w:pPr>
              <w:widowControl w:val="0"/>
              <w:jc w:val="right"/>
            </w:pPr>
            <w:r>
              <w:t>384</w:t>
            </w:r>
          </w:p>
        </w:tc>
      </w:tr>
    </w:tbl>
    <w:p>
      <w:pPr>
        <w:rPr>
          <w:szCs w:val="21"/>
        </w:rPr>
      </w:pPr>
    </w:p>
    <w:p>
      <w:pPr>
        <w:pStyle w:val="affffffffffffffffffffffffffffffffe"/>
      </w:pPr>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82974411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rPr>
          <w:rFonts w:cstheme="minorBidi"/>
          <w:bCs/>
          <w:szCs w:val="22"/>
        </w:rPr>
        <w:alias w:val="应收票据坏账准备的其他说明"/>
        <w:tag w:val="_GBC_861db5fd771c449390c4ea436bc9ad1e"/>
        <w:id w:val="1463613658"/>
        <w:placeholder>
          <w:docPart w:val="GBC22222222222222222222222222222"/>
        </w:placeholder>
      </w:sdtPr>
      <w:sdtEndPr>
        <w:rPr>
          <w:rFonts w:asciiTheme="minorHAnsi" w:hAnsiTheme="minorHAnsi"/>
          <w:b/>
        </w:rPr>
      </w:sdtEndPr>
      <w:sdtContent>
        <w:p>
          <w:pPr>
            <w:rPr>
              <w:rFonts w:asciiTheme="minorHAnsi" w:hAnsiTheme="minorHAnsi" w:cstheme="minorBidi"/>
              <w:b/>
              <w:bCs/>
              <w:szCs w:val="22"/>
            </w:rPr>
          </w:pPr>
          <w:r>
            <w:rPr>
              <w:rFonts w:cstheme="minorBidi"/>
              <w:bCs/>
              <w:szCs w:val="22"/>
            </w:rPr>
            <w:t>-</w:t>
          </w:r>
        </w:p>
      </w:sdtContent>
    </w:sdt>
    <w:p>
      <w:pPr>
        <w:rPr>
          <w:rFonts w:asciiTheme="minorHAnsi" w:hAnsiTheme="minorHAnsi" w:cstheme="minorBidi"/>
          <w:b/>
          <w:bCs/>
          <w:szCs w:val="22"/>
        </w:rPr>
      </w:pPr>
    </w:p>
    <w:p>
      <w:pPr>
        <w:pStyle w:val="afffffffffffffffffffffffffffffffff1"/>
        <w:numPr>
          <w:ilvl w:val="3"/>
          <w:numId w:val="104"/>
        </w:numPr>
        <w:ind w:left="426" w:hanging="426"/>
      </w:pPr>
      <w:bookmarkStart w:id="350" w:name="_Hlk152837614"/>
      <w:bookmarkStart w:id="351" w:name="_Hlk532982011"/>
      <w:bookmarkEnd w:id="348"/>
      <w:bookmarkEnd w:id="349"/>
      <w:r>
        <w:rPr>
          <w:rFonts w:hint="eastAsia"/>
        </w:rPr>
        <w:t>本期实际核销的应收票据情况</w:t>
      </w:r>
    </w:p>
    <w:sdt>
      <w:sdtPr>
        <w:alias w:val="是否适用：实际核销的应收票据[双击切换]"/>
        <w:tag w:val="_GBC_a0d8af67abfc4a1698fd198064d3b108"/>
        <w:id w:val="9488163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bookmarkStart w:id="352" w:name="_Hlk152837635"/>
      <w:bookmarkEnd w:id="350"/>
      <w:r>
        <w:rPr>
          <w:rFonts w:hint="eastAsia"/>
          <w:szCs w:val="21"/>
        </w:rPr>
        <w:t>其中重要的应收票据核销情况：</w:t>
      </w:r>
    </w:p>
    <w:sdt>
      <w:sdtPr>
        <w:rPr>
          <w:szCs w:val="21"/>
        </w:rPr>
        <w:alias w:val="是否适用：重要的应收票据核销[双击切换]"/>
        <w:tag w:val="_GBC_8a4eb0fe2cd044db955869f172508ff4"/>
        <w:id w:val="-37430811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bookmarkStart w:id="353" w:name="_Hlk152837641"/>
      <w:bookmarkEnd w:id="352"/>
      <w:r>
        <w:rPr>
          <w:rFonts w:hint="eastAsia"/>
          <w:szCs w:val="21"/>
        </w:rPr>
        <w:t>应收票据核销说明：</w:t>
      </w:r>
    </w:p>
    <w:sdt>
      <w:sdtPr>
        <w:rPr>
          <w:rFonts w:asciiTheme="minorHAnsi" w:hAnsiTheme="minorHAnsi" w:cstheme="minorBidi"/>
          <w:bCs/>
          <w:szCs w:val="22"/>
        </w:rPr>
        <w:alias w:val="是否适用：应收票据核销说明[双击切换]"/>
        <w:tag w:val="_GBC_8e9a6863f024409f96d0d85cebbd362b"/>
        <w:id w:val="918980917"/>
        <w:placeholder>
          <w:docPart w:val="GBC22222222222222222222222222222"/>
        </w:placeholder>
      </w:sdtPr>
      <w:sdtContent>
        <w:p>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bookmarkEnd w:id="351"/>
    <w:bookmarkEnd w:id="353"/>
    <w:p>
      <w:pPr>
        <w:pStyle w:val="affffffffffffffffffffffffffffffffe"/>
      </w:pPr>
      <w:r>
        <w:rPr>
          <w:rFonts w:hint="eastAsia"/>
        </w:rPr>
        <w:t>其他说明：</w:t>
      </w:r>
    </w:p>
    <w:sdt>
      <w:sdtPr>
        <w:alias w:val="是否适用：应收票据的说明[双击切换]"/>
        <w:tag w:val="_GBC_dc21e09520924a5db7020ba029631550"/>
        <w:id w:val="426394641"/>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pStyle w:val="afffffffffffffffffffffffffffffffff0"/>
        <w:numPr>
          <w:ilvl w:val="0"/>
          <w:numId w:val="103"/>
        </w:numPr>
        <w:rPr>
          <w:rFonts w:ascii="宋体" w:hAnsi="宋体" w:cs="宋体"/>
          <w:kern w:val="0"/>
          <w:szCs w:val="21"/>
        </w:rPr>
      </w:pPr>
      <w:r>
        <w:rPr>
          <w:rFonts w:ascii="宋体" w:hAnsi="宋体" w:cs="宋体" w:hint="eastAsia"/>
          <w:kern w:val="0"/>
          <w:szCs w:val="21"/>
        </w:rPr>
        <w:t>应收账款</w:t>
      </w:r>
    </w:p>
    <w:p>
      <w:pPr>
        <w:pStyle w:val="afffffffffffffffffffffffffffffffff1"/>
        <w:numPr>
          <w:ilvl w:val="3"/>
          <w:numId w:val="161"/>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1757584117"/>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5239299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7778567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trPr>
          <w:cantSplit/>
        </w:trPr>
        <w:sdt>
          <w:sdtPr>
            <w:tag w:val="_PLD_987827fb8f754c15801979884cb78127"/>
            <w:id w:val="1865175341"/>
          </w:sdtPr>
          <w:sdtContent>
            <w:tc>
              <w:tcPr>
                <w:tcW w:w="1628"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账龄</w:t>
                </w:r>
              </w:p>
            </w:tc>
          </w:sdtContent>
        </w:sdt>
        <w:sdt>
          <w:sdtPr>
            <w:tag w:val="_PLD_53a2def126e844eabd4ea223442a8a87"/>
            <w:id w:val="1910032461"/>
          </w:sdtPr>
          <w:sdtContent>
            <w:tc>
              <w:tcPr>
                <w:tcW w:w="168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期末账面余额</w:t>
                </w:r>
              </w:p>
            </w:tc>
          </w:sdtContent>
        </w:sdt>
        <w:sdt>
          <w:sdtPr>
            <w:tag w:val="_PLD_a827d93406c24ad3bf1a17438f1117c1"/>
            <w:id w:val="-1917697116"/>
          </w:sdtPr>
          <w:sdtContent>
            <w:tc>
              <w:tcPr>
                <w:tcW w:w="1686" w:type="pct"/>
                <w:tcBorders>
                  <w:top w:val="single" w:sz="4" w:space="0" w:color="auto"/>
                  <w:left w:val="single" w:sz="4" w:space="0" w:color="auto"/>
                  <w:bottom w:val="single" w:sz="4" w:space="0" w:color="auto"/>
                  <w:right w:val="single" w:sz="4" w:space="0" w:color="auto"/>
                </w:tcBorders>
              </w:tcPr>
              <w:p>
                <w:pPr>
                  <w:jc w:val="center"/>
                </w:pPr>
                <w:r>
                  <w:rPr>
                    <w:rFonts w:hint="eastAsia"/>
                  </w:rPr>
                  <w:t>期初账面余额</w:t>
                </w:r>
              </w:p>
            </w:tc>
          </w:sdtContent>
        </w:sdt>
      </w:tr>
      <w:tr>
        <w:trPr>
          <w:cantSplit/>
        </w:trPr>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1年以内合计</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8,765,264</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6,218,524</w:t>
            </w:r>
          </w:p>
        </w:tc>
      </w:tr>
      <w:tr>
        <w:trPr>
          <w:cantSplit/>
        </w:trPr>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1至2年</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328,289</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389,983</w:t>
            </w:r>
          </w:p>
        </w:tc>
      </w:tr>
      <w:tr>
        <w:trPr>
          <w:cantSplit/>
        </w:trPr>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2至3年</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267,716</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153,636</w:t>
            </w:r>
          </w:p>
        </w:tc>
      </w:tr>
      <w:tr>
        <w:trPr>
          <w:cantSplit/>
        </w:trPr>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3年以上</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851,642</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739,193</w:t>
            </w:r>
          </w:p>
        </w:tc>
      </w:tr>
      <w:tr>
        <w:trPr>
          <w:cantSplit/>
        </w:trPr>
        <w:tc>
          <w:tcPr>
            <w:tcW w:w="1628"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10,212,911</w:t>
            </w:r>
          </w:p>
        </w:tc>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7,501,336</w:t>
            </w:r>
          </w:p>
        </w:tc>
      </w:tr>
    </w:tbl>
    <w:p>
      <w:pPr>
        <w:pStyle w:val="affffffffffffffffffffffffffffffffe"/>
      </w:pPr>
    </w:p>
    <w:p>
      <w:pPr>
        <w:pStyle w:val="afffffffffffffffffffffffffffffffff1"/>
        <w:numPr>
          <w:ilvl w:val="3"/>
          <w:numId w:val="161"/>
        </w:numPr>
        <w:ind w:left="426" w:hanging="426"/>
      </w:pPr>
      <w:bookmarkStart w:id="354" w:name="_Hlk533601584"/>
      <w:r>
        <w:rPr>
          <w:rFonts w:hint="eastAsia"/>
        </w:rPr>
        <w:t>按坏账计提方法分类披露</w:t>
      </w:r>
    </w:p>
    <w:sdt>
      <w:sdtPr>
        <w:alias w:val="是否适用：应收账款分类披露[双击切换]"/>
        <w:tag w:val="_GBC_5532cbb0484a40fcb185be4bb8709d46"/>
        <w:id w:val="78693468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1331830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财务附注：应收账款按种类披露"/>
          <w:tag w:val="_GBC_45ed90b2e73740bfa8c1f5d7d12ff35e"/>
          <w:id w:val="194395624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618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34"/>
        <w:gridCol w:w="1428"/>
        <w:gridCol w:w="557"/>
        <w:gridCol w:w="1002"/>
        <w:gridCol w:w="424"/>
        <w:gridCol w:w="1135"/>
        <w:gridCol w:w="1133"/>
        <w:gridCol w:w="565"/>
        <w:gridCol w:w="991"/>
        <w:gridCol w:w="565"/>
        <w:gridCol w:w="1282"/>
      </w:tblGrid>
      <w:tr>
        <w:trPr>
          <w:cantSplit/>
          <w:trHeight w:val="259"/>
        </w:trPr>
        <w:sdt>
          <w:sdtPr>
            <w:rPr>
              <w:szCs w:val="21"/>
            </w:rPr>
            <w:tag w:val="_PLD_f8d5a19b9b724da98e30475a6df20be9"/>
            <w:id w:val="-975060894"/>
          </w:sdtPr>
          <w:sdtContent>
            <w:tc>
              <w:tcPr>
                <w:tcW w:w="840"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类别</w:t>
                </w:r>
              </w:p>
            </w:tc>
          </w:sdtContent>
        </w:sdt>
        <w:sdt>
          <w:sdtPr>
            <w:rPr>
              <w:szCs w:val="21"/>
            </w:rPr>
            <w:tag w:val="_PLD_8e6cd64a5cc84d259bab748be3f49169"/>
            <w:id w:val="-471296541"/>
          </w:sdtPr>
          <w:sdtContent>
            <w:tc>
              <w:tcPr>
                <w:tcW w:w="2082"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rPr>
              <w:szCs w:val="21"/>
            </w:rPr>
            <w:tag w:val="_PLD_f3718624b866493ab3b8d8edadf10560"/>
            <w:id w:val="-2061229308"/>
          </w:sdtPr>
          <w:sdtContent>
            <w:tc>
              <w:tcPr>
                <w:tcW w:w="2078"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Height w:val="227"/>
        </w:trPr>
        <w:tc>
          <w:tcPr>
            <w:tcW w:w="840" w:type="pct"/>
            <w:vMerge/>
            <w:tcBorders>
              <w:left w:val="single" w:sz="4" w:space="0" w:color="auto"/>
              <w:right w:val="single" w:sz="4" w:space="0" w:color="auto"/>
            </w:tcBorders>
            <w:vAlign w:val="center"/>
          </w:tcPr>
          <w:p>
            <w:pPr>
              <w:rPr>
                <w:szCs w:val="21"/>
              </w:rPr>
            </w:pPr>
          </w:p>
        </w:tc>
        <w:sdt>
          <w:sdtPr>
            <w:rPr>
              <w:szCs w:val="21"/>
            </w:rPr>
            <w:tag w:val="_PLD_696c52ce758e49deb616a7fb8df8ee20"/>
            <w:id w:val="-1721829240"/>
          </w:sdtPr>
          <w:sdtContent>
            <w:tc>
              <w:tcPr>
                <w:tcW w:w="909"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1ca261fa1763424688ba2be8550f43e1"/>
            <w:id w:val="-201869063"/>
          </w:sdtPr>
          <w:sdtContent>
            <w:tc>
              <w:tcPr>
                <w:tcW w:w="653"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sdt>
          <w:sdtPr>
            <w:rPr>
              <w:szCs w:val="21"/>
            </w:rPr>
            <w:tag w:val="_PLD_caaf7fb85a4a432890635f2eb9c38cd5"/>
            <w:id w:val="-1979681401"/>
          </w:sdtPr>
          <w:sdtContent>
            <w:tc>
              <w:tcPr>
                <w:tcW w:w="519"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lastRenderedPageBreak/>
                  <w:t>价值</w:t>
                </w:r>
              </w:p>
            </w:tc>
          </w:sdtContent>
        </w:sdt>
        <w:sdt>
          <w:sdtPr>
            <w:rPr>
              <w:szCs w:val="21"/>
            </w:rPr>
            <w:tag w:val="_PLD_f01498a5d6634d7ab63dd393e266902a"/>
            <w:id w:val="158748794"/>
          </w:sdtPr>
          <w:sdtContent>
            <w:tc>
              <w:tcPr>
                <w:tcW w:w="777"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e9336373677a4e1781b6e81f705c1bec"/>
            <w:id w:val="-1244491863"/>
          </w:sdtPr>
          <w:sdtContent>
            <w:tc>
              <w:tcPr>
                <w:tcW w:w="713"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坏账准备</w:t>
                </w:r>
              </w:p>
            </w:tc>
          </w:sdtContent>
        </w:sdt>
        <w:sdt>
          <w:sdtPr>
            <w:rPr>
              <w:szCs w:val="21"/>
            </w:rPr>
            <w:tag w:val="_PLD_09bacc527e7b4910a0c82606fe4a5754"/>
            <w:id w:val="-1636640791"/>
          </w:sdtPr>
          <w:sdtContent>
            <w:tc>
              <w:tcPr>
                <w:tcW w:w="588"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lastRenderedPageBreak/>
                  <w:t>价值</w:t>
                </w:r>
              </w:p>
            </w:tc>
          </w:sdtContent>
        </w:sdt>
      </w:tr>
      <w:tr>
        <w:trPr>
          <w:cantSplit/>
          <w:trHeight w:val="375"/>
        </w:trPr>
        <w:tc>
          <w:tcPr>
            <w:tcW w:w="840" w:type="pct"/>
            <w:vMerge/>
            <w:tcBorders>
              <w:left w:val="single" w:sz="4" w:space="0" w:color="auto"/>
              <w:bottom w:val="single" w:sz="4" w:space="0" w:color="auto"/>
              <w:right w:val="single" w:sz="4" w:space="0" w:color="auto"/>
            </w:tcBorders>
            <w:vAlign w:val="center"/>
          </w:tcPr>
          <w:p>
            <w:pPr>
              <w:rPr>
                <w:szCs w:val="21"/>
              </w:rPr>
            </w:pPr>
          </w:p>
        </w:tc>
        <w:sdt>
          <w:sdtPr>
            <w:rPr>
              <w:szCs w:val="21"/>
            </w:rPr>
            <w:tag w:val="_PLD_9a908e63a38c4885ae2f80c1b860b93a"/>
            <w:id w:val="1564148500"/>
          </w:sdtPr>
          <w:sdtContent>
            <w:tc>
              <w:tcPr>
                <w:tcW w:w="654"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df211ff0344e48aa8266bff852c13d4a"/>
            <w:id w:val="1596828523"/>
          </w:sdtPr>
          <w:sdtContent>
            <w:tc>
              <w:tcPr>
                <w:tcW w:w="255"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rPr>
              <w:szCs w:val="21"/>
            </w:rPr>
            <w:tag w:val="_PLD_bc7278fbd5c542a3abfb9a55090a49e0"/>
            <w:id w:val="-2094006651"/>
          </w:sdtPr>
          <w:sdtContent>
            <w:tc>
              <w:tcPr>
                <w:tcW w:w="45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98f107e07b5b44938d61d6b0984d9e2b"/>
            <w:id w:val="-1515997076"/>
          </w:sdtPr>
          <w:sdtContent>
            <w:tc>
              <w:tcPr>
                <w:tcW w:w="194"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19" w:type="pct"/>
            <w:vMerge/>
            <w:tcBorders>
              <w:left w:val="single" w:sz="4" w:space="0" w:color="auto"/>
              <w:bottom w:val="single" w:sz="4" w:space="0" w:color="auto"/>
              <w:right w:val="single" w:sz="4" w:space="0" w:color="auto"/>
            </w:tcBorders>
            <w:vAlign w:val="center"/>
          </w:tcPr>
          <w:p>
            <w:pPr>
              <w:jc w:val="center"/>
              <w:rPr>
                <w:szCs w:val="21"/>
              </w:rPr>
            </w:pPr>
          </w:p>
        </w:tc>
        <w:sdt>
          <w:sdtPr>
            <w:rPr>
              <w:szCs w:val="21"/>
            </w:rPr>
            <w:tag w:val="_PLD_27c35a851bfc461b93652bdd1c4da46e"/>
            <w:id w:val="2002620534"/>
          </w:sdtPr>
          <w:sdtContent>
            <w:tc>
              <w:tcPr>
                <w:tcW w:w="51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8cdcb4d0cfc74ea299eeda00998b7eed"/>
            <w:id w:val="1323005730"/>
          </w:sdtPr>
          <w:sdtContent>
            <w:tc>
              <w:tcPr>
                <w:tcW w:w="25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rPr>
              <w:szCs w:val="21"/>
            </w:rPr>
            <w:tag w:val="_PLD_205ec069d7004eaba20d3af25a7dfeda"/>
            <w:id w:val="-1564949389"/>
          </w:sdtPr>
          <w:sdtContent>
            <w:tc>
              <w:tcPr>
                <w:tcW w:w="454"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cee6517bce154e26a5f2a917cc143a54"/>
            <w:id w:val="-720053986"/>
          </w:sdtPr>
          <w:sdtContent>
            <w:tc>
              <w:tcPr>
                <w:tcW w:w="259"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88" w:type="pct"/>
            <w:vMerge/>
            <w:tcBorders>
              <w:left w:val="single" w:sz="4" w:space="0" w:color="auto"/>
              <w:bottom w:val="single" w:sz="4" w:space="0" w:color="auto"/>
              <w:right w:val="single" w:sz="4" w:space="0" w:color="auto"/>
            </w:tcBorders>
          </w:tcPr>
          <w:p>
            <w:pPr>
              <w:jc w:val="center"/>
              <w:rPr>
                <w:szCs w:val="21"/>
              </w:rPr>
            </w:pPr>
          </w:p>
        </w:tc>
      </w:tr>
      <w:tr>
        <w:trPr>
          <w:cantSplit/>
        </w:trPr>
        <w:tc>
          <w:tcPr>
            <w:tcW w:w="840"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按单项计提坏账准备</w:t>
            </w:r>
          </w:p>
        </w:tc>
        <w:tc>
          <w:tcPr>
            <w:tcW w:w="6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913,352</w:t>
            </w:r>
          </w:p>
        </w:tc>
        <w:tc>
          <w:tcPr>
            <w:tcW w:w="25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w:t>
            </w:r>
          </w:p>
        </w:tc>
        <w:tc>
          <w:tcPr>
            <w:tcW w:w="4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867,235</w:t>
            </w:r>
          </w:p>
        </w:tc>
        <w:tc>
          <w:tcPr>
            <w:tcW w:w="19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95</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46,117</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524,666</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w:t>
            </w:r>
          </w:p>
        </w:tc>
        <w:tc>
          <w:tcPr>
            <w:tcW w:w="4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448,081</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85</w:t>
            </w:r>
          </w:p>
        </w:tc>
        <w:tc>
          <w:tcPr>
            <w:tcW w:w="58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76,585</w:t>
            </w:r>
          </w:p>
        </w:tc>
      </w:tr>
      <w:tr>
        <w:trPr>
          <w:cantSplit/>
        </w:trPr>
        <w:tc>
          <w:tcPr>
            <w:tcW w:w="840"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按组合计提坏账准备</w:t>
            </w:r>
          </w:p>
        </w:tc>
        <w:tc>
          <w:tcPr>
            <w:tcW w:w="6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9,299,559</w:t>
            </w:r>
          </w:p>
        </w:tc>
        <w:tc>
          <w:tcPr>
            <w:tcW w:w="25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91</w:t>
            </w:r>
          </w:p>
        </w:tc>
        <w:tc>
          <w:tcPr>
            <w:tcW w:w="4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84,446</w:t>
            </w:r>
          </w:p>
        </w:tc>
        <w:tc>
          <w:tcPr>
            <w:tcW w:w="19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9,215,113</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6,976,670</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93</w:t>
            </w:r>
          </w:p>
        </w:tc>
        <w:tc>
          <w:tcPr>
            <w:tcW w:w="4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80,180</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w:t>
            </w:r>
          </w:p>
        </w:tc>
        <w:tc>
          <w:tcPr>
            <w:tcW w:w="58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6,896,490</w:t>
            </w:r>
          </w:p>
        </w:tc>
      </w:tr>
      <w:tr>
        <w:trPr>
          <w:cantSplit/>
        </w:trPr>
        <w:sdt>
          <w:sdtPr>
            <w:rPr>
              <w:szCs w:val="21"/>
            </w:rPr>
            <w:tag w:val="_PLD_ce0cfa8fc80147608db7db4b7ce1db69"/>
            <w:id w:val="-839928796"/>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pPr>
                  <w:jc w:val="both"/>
                  <w:rPr>
                    <w:szCs w:val="21"/>
                  </w:rPr>
                </w:pPr>
                <w:r>
                  <w:rPr>
                    <w:rFonts w:hint="eastAsia"/>
                    <w:szCs w:val="21"/>
                  </w:rPr>
                  <w:t>其中：</w:t>
                </w:r>
              </w:p>
            </w:tc>
          </w:sdtContent>
        </w:sdt>
      </w:tr>
      <w:tr>
        <w:trPr>
          <w:cantSplit/>
        </w:trPr>
        <w:tc>
          <w:tcPr>
            <w:tcW w:w="840" w:type="pct"/>
            <w:tcBorders>
              <w:top w:val="single" w:sz="4" w:space="0" w:color="auto"/>
              <w:left w:val="single" w:sz="4" w:space="0" w:color="auto"/>
              <w:bottom w:val="single" w:sz="4" w:space="0" w:color="auto"/>
              <w:right w:val="single" w:sz="4" w:space="0" w:color="auto"/>
            </w:tcBorders>
            <w:vAlign w:val="center"/>
          </w:tcPr>
          <w:p>
            <w:pPr>
              <w:spacing w:line="360" w:lineRule="exact"/>
              <w:ind w:leftChars="260" w:left="546"/>
              <w:jc w:val="both"/>
              <w:rPr>
                <w:color w:val="000000"/>
                <w:szCs w:val="21"/>
              </w:rPr>
            </w:pPr>
            <w:r>
              <w:rPr>
                <w:rFonts w:hint="eastAsia"/>
                <w:color w:val="000000"/>
                <w:szCs w:val="21"/>
              </w:rPr>
              <w:t>账龄组合</w:t>
            </w:r>
          </w:p>
        </w:tc>
        <w:tc>
          <w:tcPr>
            <w:tcW w:w="6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7,279,961</w:t>
            </w:r>
          </w:p>
        </w:tc>
        <w:tc>
          <w:tcPr>
            <w:tcW w:w="255"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71</w:t>
            </w:r>
          </w:p>
        </w:tc>
        <w:tc>
          <w:tcPr>
            <w:tcW w:w="4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84,446</w:t>
            </w:r>
          </w:p>
        </w:tc>
        <w:tc>
          <w:tcPr>
            <w:tcW w:w="19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1</w:t>
            </w:r>
          </w:p>
        </w:tc>
        <w:tc>
          <w:tcPr>
            <w:tcW w:w="51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7,195,515</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5,492,930</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73</w:t>
            </w:r>
          </w:p>
        </w:tc>
        <w:tc>
          <w:tcPr>
            <w:tcW w:w="4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80,180</w:t>
            </w:r>
          </w:p>
        </w:tc>
        <w:tc>
          <w:tcPr>
            <w:tcW w:w="2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1</w:t>
            </w:r>
          </w:p>
        </w:tc>
        <w:tc>
          <w:tcPr>
            <w:tcW w:w="58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5,412,750</w:t>
            </w:r>
          </w:p>
        </w:tc>
      </w:tr>
      <w:tr>
        <w:trPr>
          <w:cantSplit/>
        </w:trPr>
        <w:tc>
          <w:tcPr>
            <w:tcW w:w="840" w:type="pct"/>
            <w:tcBorders>
              <w:top w:val="single" w:sz="4" w:space="0" w:color="auto"/>
              <w:left w:val="single" w:sz="4" w:space="0" w:color="auto"/>
              <w:bottom w:val="single" w:sz="4" w:space="0" w:color="auto"/>
              <w:right w:val="single" w:sz="4" w:space="0" w:color="auto"/>
            </w:tcBorders>
            <w:vAlign w:val="center"/>
          </w:tcPr>
          <w:p>
            <w:pPr>
              <w:spacing w:line="360" w:lineRule="exact"/>
              <w:ind w:leftChars="260" w:left="546"/>
              <w:jc w:val="both"/>
              <w:rPr>
                <w:color w:val="000000"/>
                <w:szCs w:val="21"/>
              </w:rPr>
            </w:pPr>
            <w:r>
              <w:rPr>
                <w:rFonts w:hint="eastAsia"/>
                <w:color w:val="000000"/>
                <w:szCs w:val="21"/>
              </w:rPr>
              <w:t>关联方组合</w:t>
            </w:r>
          </w:p>
        </w:tc>
        <w:tc>
          <w:tcPr>
            <w:tcW w:w="6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2,019,598</w:t>
            </w:r>
          </w:p>
        </w:tc>
        <w:tc>
          <w:tcPr>
            <w:tcW w:w="255"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20</w:t>
            </w:r>
          </w:p>
        </w:tc>
        <w:tc>
          <w:tcPr>
            <w:tcW w:w="459"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19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2,019,598</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1,483,740</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20</w:t>
            </w:r>
          </w:p>
        </w:tc>
        <w:tc>
          <w:tcPr>
            <w:tcW w:w="454"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2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1,483,740</w:t>
            </w:r>
          </w:p>
        </w:tc>
      </w:tr>
      <w:tr>
        <w:trPr>
          <w:cantSplit/>
        </w:trPr>
        <w:tc>
          <w:tcPr>
            <w:tcW w:w="84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6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10,212,911</w:t>
            </w:r>
          </w:p>
        </w:tc>
        <w:tc>
          <w:tcPr>
            <w:tcW w:w="255"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w:t>
            </w:r>
          </w:p>
        </w:tc>
        <w:tc>
          <w:tcPr>
            <w:tcW w:w="4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951,681</w:t>
            </w:r>
          </w:p>
        </w:tc>
        <w:tc>
          <w:tcPr>
            <w:tcW w:w="19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9,261,230</w:t>
            </w:r>
          </w:p>
        </w:tc>
        <w:tc>
          <w:tcPr>
            <w:tcW w:w="51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7,501,336</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w:t>
            </w:r>
          </w:p>
        </w:tc>
        <w:tc>
          <w:tcPr>
            <w:tcW w:w="4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528,261</w:t>
            </w:r>
          </w:p>
        </w:tc>
        <w:tc>
          <w:tcPr>
            <w:tcW w:w="2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w:t>
            </w:r>
          </w:p>
        </w:tc>
        <w:tc>
          <w:tcPr>
            <w:tcW w:w="58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6,973,075</w:t>
            </w:r>
          </w:p>
        </w:tc>
      </w:tr>
    </w:tbl>
    <w:p>
      <w:pPr>
        <w:pStyle w:val="affffffffffffffffffffffffffffffffe"/>
      </w:pPr>
    </w:p>
    <w:p>
      <w:pPr>
        <w:rPr>
          <w:szCs w:val="21"/>
        </w:rPr>
      </w:pPr>
      <w:bookmarkStart w:id="355" w:name="_Hlk533606785"/>
      <w:bookmarkEnd w:id="354"/>
      <w:r>
        <w:rPr>
          <w:rFonts w:hint="eastAsia"/>
          <w:szCs w:val="21"/>
        </w:rPr>
        <w:t>按单项计提坏账准备：</w:t>
      </w:r>
    </w:p>
    <w:sdt>
      <w:sdtPr>
        <w:rPr>
          <w:rFonts w:hint="eastAsia"/>
        </w:rPr>
        <w:alias w:val="是否适用：按单项计提坏账准备的应收账款详细情况[双击切换]"/>
        <w:tag w:val="_GBC_1add32cead514597854ff8ba7f5bf59e"/>
        <w:id w:val="85061002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15090176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18213431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5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8"/>
        <w:gridCol w:w="1285"/>
        <w:gridCol w:w="1279"/>
        <w:gridCol w:w="1230"/>
        <w:gridCol w:w="1232"/>
        <w:gridCol w:w="1230"/>
        <w:gridCol w:w="1902"/>
      </w:tblGrid>
      <w:tr>
        <w:sdt>
          <w:sdtPr>
            <w:tag w:val="_PLD_97fa41067b8749859d9b8b001dab9dde"/>
            <w:id w:val="-1328590599"/>
          </w:sdtPr>
          <w:sdtContent>
            <w:tc>
              <w:tcPr>
                <w:tcW w:w="828" w:type="pct"/>
                <w:vMerge w:val="restart"/>
                <w:vAlign w:val="center"/>
              </w:tcPr>
              <w:p>
                <w:pPr>
                  <w:jc w:val="center"/>
                  <w:rPr>
                    <w:szCs w:val="21"/>
                  </w:rPr>
                </w:pPr>
                <w:r>
                  <w:rPr>
                    <w:rFonts w:hint="eastAsia"/>
                    <w:szCs w:val="21"/>
                  </w:rPr>
                  <w:t>名称</w:t>
                </w:r>
              </w:p>
            </w:tc>
          </w:sdtContent>
        </w:sdt>
        <w:tc>
          <w:tcPr>
            <w:tcW w:w="1311" w:type="pct"/>
            <w:gridSpan w:val="2"/>
            <w:vAlign w:val="center"/>
          </w:tcPr>
          <w:p>
            <w:pPr>
              <w:jc w:val="center"/>
              <w:rPr>
                <w:szCs w:val="21"/>
              </w:rPr>
            </w:pPr>
            <w:r>
              <w:rPr>
                <w:rFonts w:hint="eastAsia"/>
                <w:szCs w:val="21"/>
              </w:rPr>
              <w:t>期初余额</w:t>
            </w:r>
          </w:p>
        </w:tc>
        <w:sdt>
          <w:sdtPr>
            <w:tag w:val="_PLD_53121e07f76046af9290059d0b8136d4"/>
            <w:id w:val="-1093940478"/>
          </w:sdtPr>
          <w:sdtContent>
            <w:tc>
              <w:tcPr>
                <w:tcW w:w="2861" w:type="pct"/>
                <w:gridSpan w:val="4"/>
                <w:vAlign w:val="center"/>
              </w:tcPr>
              <w:p>
                <w:pPr>
                  <w:jc w:val="center"/>
                  <w:rPr>
                    <w:szCs w:val="21"/>
                  </w:rPr>
                </w:pPr>
                <w:r>
                  <w:rPr>
                    <w:rFonts w:hint="eastAsia"/>
                    <w:szCs w:val="21"/>
                  </w:rPr>
                  <w:t>期末余额</w:t>
                </w:r>
              </w:p>
            </w:tc>
          </w:sdtContent>
        </w:sdt>
      </w:tr>
      <w:tr>
        <w:tc>
          <w:tcPr>
            <w:tcW w:w="828" w:type="pct"/>
            <w:vMerge/>
          </w:tcPr>
          <w:p>
            <w:pPr>
              <w:jc w:val="center"/>
              <w:rPr>
                <w:szCs w:val="21"/>
              </w:rPr>
            </w:pPr>
          </w:p>
        </w:tc>
        <w:tc>
          <w:tcPr>
            <w:tcW w:w="657" w:type="pct"/>
          </w:tcPr>
          <w:p>
            <w:pPr>
              <w:jc w:val="center"/>
              <w:rPr>
                <w:szCs w:val="21"/>
              </w:rPr>
            </w:pPr>
            <w:r>
              <w:rPr>
                <w:rFonts w:hint="eastAsia"/>
                <w:szCs w:val="21"/>
              </w:rPr>
              <w:t>账面余额</w:t>
            </w:r>
          </w:p>
        </w:tc>
        <w:tc>
          <w:tcPr>
            <w:tcW w:w="654" w:type="pct"/>
          </w:tcPr>
          <w:p>
            <w:pPr>
              <w:jc w:val="center"/>
              <w:rPr>
                <w:szCs w:val="21"/>
              </w:rPr>
            </w:pPr>
            <w:r>
              <w:rPr>
                <w:rFonts w:hint="eastAsia"/>
                <w:szCs w:val="21"/>
              </w:rPr>
              <w:t>坏账准备</w:t>
            </w:r>
          </w:p>
        </w:tc>
        <w:sdt>
          <w:sdtPr>
            <w:tag w:val="_PLD_89b2d64d2083464fae141734d17523d3"/>
            <w:id w:val="1839349513"/>
          </w:sdtPr>
          <w:sdtContent>
            <w:tc>
              <w:tcPr>
                <w:tcW w:w="629" w:type="pct"/>
                <w:vAlign w:val="center"/>
              </w:tcPr>
              <w:p>
                <w:pPr>
                  <w:jc w:val="center"/>
                  <w:rPr>
                    <w:szCs w:val="21"/>
                  </w:rPr>
                </w:pPr>
                <w:r>
                  <w:rPr>
                    <w:rFonts w:hint="eastAsia"/>
                    <w:szCs w:val="21"/>
                  </w:rPr>
                  <w:t>账面余额</w:t>
                </w:r>
              </w:p>
            </w:tc>
          </w:sdtContent>
        </w:sdt>
        <w:sdt>
          <w:sdtPr>
            <w:tag w:val="_PLD_ace529544c544606915552a352f0e13b"/>
            <w:id w:val="-1851091109"/>
          </w:sdtPr>
          <w:sdtContent>
            <w:tc>
              <w:tcPr>
                <w:tcW w:w="630" w:type="pct"/>
                <w:vAlign w:val="center"/>
              </w:tcPr>
              <w:p>
                <w:pPr>
                  <w:jc w:val="center"/>
                  <w:rPr>
                    <w:szCs w:val="21"/>
                  </w:rPr>
                </w:pPr>
                <w:r>
                  <w:rPr>
                    <w:rFonts w:hint="eastAsia"/>
                    <w:szCs w:val="21"/>
                  </w:rPr>
                  <w:t>坏账准备</w:t>
                </w:r>
              </w:p>
            </w:tc>
          </w:sdtContent>
        </w:sdt>
        <w:sdt>
          <w:sdtPr>
            <w:tag w:val="_PLD_8fd7658c68a540cf9892f97231c626d7"/>
            <w:id w:val="-696156495"/>
          </w:sdtPr>
          <w:sdtContent>
            <w:tc>
              <w:tcPr>
                <w:tcW w:w="629" w:type="pct"/>
                <w:vAlign w:val="center"/>
              </w:tcPr>
              <w:p>
                <w:pPr>
                  <w:jc w:val="center"/>
                  <w:rPr>
                    <w:szCs w:val="21"/>
                  </w:rPr>
                </w:pPr>
                <w:r>
                  <w:rPr>
                    <w:szCs w:val="21"/>
                  </w:rPr>
                  <w:t>计提比例</w:t>
                </w:r>
                <w:r>
                  <w:rPr>
                    <w:rFonts w:hint="eastAsia"/>
                    <w:szCs w:val="21"/>
                  </w:rPr>
                  <w:t>（%）</w:t>
                </w:r>
              </w:p>
            </w:tc>
          </w:sdtContent>
        </w:sdt>
        <w:sdt>
          <w:sdtPr>
            <w:tag w:val="_PLD_e9726e8171bb463ba9719bc643c14988"/>
            <w:id w:val="-1716113059"/>
          </w:sdtPr>
          <w:sdtContent>
            <w:tc>
              <w:tcPr>
                <w:tcW w:w="973" w:type="pct"/>
                <w:vAlign w:val="center"/>
              </w:tcPr>
              <w:p>
                <w:pPr>
                  <w:jc w:val="center"/>
                  <w:rPr>
                    <w:szCs w:val="21"/>
                  </w:rPr>
                </w:pPr>
                <w:r>
                  <w:rPr>
                    <w:rFonts w:hint="eastAsia"/>
                    <w:szCs w:val="21"/>
                  </w:rPr>
                  <w:t>计提理由</w:t>
                </w:r>
              </w:p>
            </w:tc>
          </w:sdtContent>
        </w:sdt>
      </w:tr>
      <w:tr>
        <w:tc>
          <w:tcPr>
            <w:tcW w:w="828" w:type="pct"/>
          </w:tcPr>
          <w:p>
            <w:pPr>
              <w:rPr>
                <w:szCs w:val="21"/>
              </w:rPr>
            </w:pPr>
            <w:r>
              <w:rPr>
                <w:rFonts w:hint="eastAsia"/>
                <w:szCs w:val="21"/>
              </w:rPr>
              <w:t>公司1</w:t>
            </w:r>
          </w:p>
        </w:tc>
        <w:tc>
          <w:tcPr>
            <w:tcW w:w="657" w:type="pct"/>
            <w:vAlign w:val="center"/>
          </w:tcPr>
          <w:p>
            <w:pPr>
              <w:jc w:val="right"/>
              <w:rPr>
                <w:color w:val="000000"/>
                <w:szCs w:val="21"/>
              </w:rPr>
            </w:pPr>
          </w:p>
        </w:tc>
        <w:tc>
          <w:tcPr>
            <w:tcW w:w="654" w:type="pct"/>
            <w:vAlign w:val="center"/>
          </w:tcPr>
          <w:p>
            <w:pPr>
              <w:jc w:val="right"/>
              <w:rPr>
                <w:color w:val="000000"/>
                <w:szCs w:val="21"/>
              </w:rPr>
            </w:pPr>
          </w:p>
        </w:tc>
        <w:tc>
          <w:tcPr>
            <w:tcW w:w="629" w:type="pct"/>
            <w:vAlign w:val="center"/>
          </w:tcPr>
          <w:p>
            <w:pPr>
              <w:jc w:val="right"/>
              <w:rPr>
                <w:szCs w:val="21"/>
              </w:rPr>
            </w:pPr>
            <w:r>
              <w:rPr>
                <w:szCs w:val="21"/>
              </w:rPr>
              <w:t>310,740</w:t>
            </w:r>
          </w:p>
        </w:tc>
        <w:tc>
          <w:tcPr>
            <w:tcW w:w="630" w:type="pct"/>
            <w:vAlign w:val="center"/>
          </w:tcPr>
          <w:p>
            <w:pPr>
              <w:jc w:val="right"/>
              <w:rPr>
                <w:szCs w:val="21"/>
              </w:rPr>
            </w:pPr>
            <w:r>
              <w:rPr>
                <w:szCs w:val="21"/>
              </w:rPr>
              <w:t>310,740</w:t>
            </w:r>
          </w:p>
        </w:tc>
        <w:tc>
          <w:tcPr>
            <w:tcW w:w="629" w:type="pct"/>
            <w:vAlign w:val="center"/>
          </w:tcPr>
          <w:p>
            <w:pPr>
              <w:jc w:val="right"/>
              <w:rPr>
                <w:szCs w:val="21"/>
              </w:rPr>
            </w:pPr>
            <w:r>
              <w:rPr>
                <w:szCs w:val="21"/>
              </w:rPr>
              <w:t>100</w:t>
            </w:r>
          </w:p>
        </w:tc>
        <w:tc>
          <w:tcPr>
            <w:tcW w:w="973" w:type="pct"/>
            <w:vAlign w:val="center"/>
          </w:tcPr>
          <w:p>
            <w:pPr>
              <w:pStyle w:val="affffffffffffffffff3"/>
              <w:jc w:val="both"/>
            </w:pPr>
            <w:r>
              <w:t>预计无法收回</w:t>
            </w:r>
          </w:p>
        </w:tc>
      </w:tr>
      <w:tr>
        <w:tc>
          <w:tcPr>
            <w:tcW w:w="828" w:type="pct"/>
          </w:tcPr>
          <w:p>
            <w:pPr>
              <w:rPr>
                <w:szCs w:val="21"/>
              </w:rPr>
            </w:pPr>
            <w:r>
              <w:rPr>
                <w:rFonts w:hint="eastAsia"/>
                <w:szCs w:val="21"/>
              </w:rPr>
              <w:t>公司</w:t>
            </w:r>
            <w:r>
              <w:rPr>
                <w:szCs w:val="21"/>
              </w:rPr>
              <w:t>2</w:t>
            </w:r>
          </w:p>
        </w:tc>
        <w:tc>
          <w:tcPr>
            <w:tcW w:w="657" w:type="pct"/>
            <w:vAlign w:val="center"/>
          </w:tcPr>
          <w:p>
            <w:pPr>
              <w:jc w:val="right"/>
              <w:rPr>
                <w:color w:val="000000"/>
                <w:szCs w:val="21"/>
              </w:rPr>
            </w:pPr>
            <w:r>
              <w:rPr>
                <w:color w:val="000000"/>
                <w:szCs w:val="21"/>
              </w:rPr>
              <w:t>262,282</w:t>
            </w:r>
          </w:p>
        </w:tc>
        <w:tc>
          <w:tcPr>
            <w:tcW w:w="654" w:type="pct"/>
            <w:vAlign w:val="center"/>
          </w:tcPr>
          <w:p>
            <w:pPr>
              <w:jc w:val="right"/>
              <w:rPr>
                <w:color w:val="000000"/>
                <w:szCs w:val="21"/>
              </w:rPr>
            </w:pPr>
            <w:r>
              <w:rPr>
                <w:color w:val="000000"/>
                <w:szCs w:val="21"/>
              </w:rPr>
              <w:t>185,697</w:t>
            </w:r>
          </w:p>
        </w:tc>
        <w:tc>
          <w:tcPr>
            <w:tcW w:w="629" w:type="pct"/>
            <w:vAlign w:val="center"/>
          </w:tcPr>
          <w:p>
            <w:pPr>
              <w:jc w:val="right"/>
              <w:rPr>
                <w:szCs w:val="21"/>
              </w:rPr>
            </w:pPr>
            <w:r>
              <w:rPr>
                <w:szCs w:val="21"/>
              </w:rPr>
              <w:t>235,613</w:t>
            </w:r>
          </w:p>
        </w:tc>
        <w:tc>
          <w:tcPr>
            <w:tcW w:w="630" w:type="pct"/>
            <w:vAlign w:val="center"/>
          </w:tcPr>
          <w:p>
            <w:pPr>
              <w:jc w:val="right"/>
              <w:rPr>
                <w:szCs w:val="21"/>
              </w:rPr>
            </w:pPr>
            <w:r>
              <w:rPr>
                <w:szCs w:val="21"/>
              </w:rPr>
              <w:t>189,496</w:t>
            </w:r>
          </w:p>
        </w:tc>
        <w:tc>
          <w:tcPr>
            <w:tcW w:w="629" w:type="pct"/>
            <w:vAlign w:val="center"/>
          </w:tcPr>
          <w:p>
            <w:pPr>
              <w:jc w:val="right"/>
              <w:rPr>
                <w:szCs w:val="21"/>
              </w:rPr>
            </w:pPr>
            <w:r>
              <w:rPr>
                <w:szCs w:val="21"/>
              </w:rPr>
              <w:t>80</w:t>
            </w:r>
          </w:p>
        </w:tc>
        <w:tc>
          <w:tcPr>
            <w:tcW w:w="973" w:type="pct"/>
            <w:vAlign w:val="center"/>
          </w:tcPr>
          <w:p>
            <w:pPr>
              <w:pStyle w:val="affffffffffffffffff3"/>
              <w:jc w:val="both"/>
            </w:pPr>
            <w:r>
              <w:t>部分无法收回</w:t>
            </w:r>
          </w:p>
        </w:tc>
      </w:tr>
      <w:tr>
        <w:tc>
          <w:tcPr>
            <w:tcW w:w="828" w:type="pct"/>
          </w:tcPr>
          <w:p>
            <w:pPr>
              <w:rPr>
                <w:szCs w:val="21"/>
              </w:rPr>
            </w:pPr>
            <w:r>
              <w:rPr>
                <w:rFonts w:hint="eastAsia"/>
                <w:szCs w:val="21"/>
              </w:rPr>
              <w:t>公司3</w:t>
            </w:r>
          </w:p>
        </w:tc>
        <w:tc>
          <w:tcPr>
            <w:tcW w:w="657" w:type="pct"/>
            <w:vAlign w:val="center"/>
          </w:tcPr>
          <w:p>
            <w:pPr>
              <w:jc w:val="right"/>
              <w:rPr>
                <w:color w:val="000000"/>
                <w:szCs w:val="21"/>
              </w:rPr>
            </w:pPr>
          </w:p>
        </w:tc>
        <w:tc>
          <w:tcPr>
            <w:tcW w:w="654" w:type="pct"/>
            <w:vAlign w:val="center"/>
          </w:tcPr>
          <w:p>
            <w:pPr>
              <w:jc w:val="right"/>
              <w:rPr>
                <w:color w:val="000000"/>
                <w:szCs w:val="21"/>
              </w:rPr>
            </w:pPr>
          </w:p>
        </w:tc>
        <w:tc>
          <w:tcPr>
            <w:tcW w:w="629" w:type="pct"/>
            <w:vAlign w:val="center"/>
          </w:tcPr>
          <w:p>
            <w:pPr>
              <w:jc w:val="right"/>
              <w:rPr>
                <w:szCs w:val="21"/>
              </w:rPr>
            </w:pPr>
            <w:r>
              <w:rPr>
                <w:szCs w:val="21"/>
              </w:rPr>
              <w:t>97,565</w:t>
            </w:r>
          </w:p>
        </w:tc>
        <w:tc>
          <w:tcPr>
            <w:tcW w:w="630" w:type="pct"/>
            <w:vAlign w:val="center"/>
          </w:tcPr>
          <w:p>
            <w:pPr>
              <w:jc w:val="right"/>
              <w:rPr>
                <w:szCs w:val="21"/>
              </w:rPr>
            </w:pPr>
            <w:r>
              <w:rPr>
                <w:szCs w:val="21"/>
              </w:rPr>
              <w:t>97,565</w:t>
            </w:r>
          </w:p>
        </w:tc>
        <w:tc>
          <w:tcPr>
            <w:tcW w:w="629" w:type="pct"/>
            <w:vAlign w:val="center"/>
          </w:tcPr>
          <w:p>
            <w:pPr>
              <w:jc w:val="right"/>
              <w:rPr>
                <w:szCs w:val="21"/>
              </w:rPr>
            </w:pPr>
            <w:r>
              <w:rPr>
                <w:szCs w:val="21"/>
              </w:rPr>
              <w:t>100</w:t>
            </w:r>
          </w:p>
        </w:tc>
        <w:tc>
          <w:tcPr>
            <w:tcW w:w="973" w:type="pct"/>
            <w:vAlign w:val="center"/>
          </w:tcPr>
          <w:p>
            <w:pPr>
              <w:pStyle w:val="affffffffffffffffff3"/>
              <w:jc w:val="both"/>
            </w:pPr>
            <w:r>
              <w:t>预计无法收回</w:t>
            </w:r>
          </w:p>
        </w:tc>
      </w:tr>
      <w:tr>
        <w:tc>
          <w:tcPr>
            <w:tcW w:w="828" w:type="pct"/>
          </w:tcPr>
          <w:p>
            <w:pPr>
              <w:rPr>
                <w:szCs w:val="21"/>
              </w:rPr>
            </w:pPr>
            <w:r>
              <w:rPr>
                <w:rFonts w:hint="eastAsia"/>
                <w:szCs w:val="21"/>
              </w:rPr>
              <w:t>公司4</w:t>
            </w:r>
          </w:p>
        </w:tc>
        <w:tc>
          <w:tcPr>
            <w:tcW w:w="657" w:type="pct"/>
            <w:vAlign w:val="center"/>
          </w:tcPr>
          <w:p>
            <w:pPr>
              <w:jc w:val="right"/>
              <w:rPr>
                <w:color w:val="000000"/>
                <w:szCs w:val="21"/>
              </w:rPr>
            </w:pPr>
            <w:r>
              <w:rPr>
                <w:color w:val="000000"/>
                <w:szCs w:val="21"/>
              </w:rPr>
              <w:t>26,069</w:t>
            </w:r>
          </w:p>
        </w:tc>
        <w:tc>
          <w:tcPr>
            <w:tcW w:w="654" w:type="pct"/>
            <w:vAlign w:val="center"/>
          </w:tcPr>
          <w:p>
            <w:pPr>
              <w:jc w:val="right"/>
              <w:rPr>
                <w:color w:val="000000"/>
                <w:szCs w:val="21"/>
              </w:rPr>
            </w:pPr>
            <w:r>
              <w:rPr>
                <w:color w:val="000000"/>
                <w:szCs w:val="21"/>
              </w:rPr>
              <w:t>26,069</w:t>
            </w:r>
          </w:p>
        </w:tc>
        <w:tc>
          <w:tcPr>
            <w:tcW w:w="629" w:type="pct"/>
            <w:vAlign w:val="center"/>
          </w:tcPr>
          <w:p>
            <w:pPr>
              <w:jc w:val="right"/>
              <w:rPr>
                <w:rFonts w:cs="Times New Roman"/>
                <w:szCs w:val="21"/>
              </w:rPr>
            </w:pPr>
            <w:r>
              <w:rPr>
                <w:rFonts w:cs="Times New Roman"/>
                <w:szCs w:val="21"/>
              </w:rPr>
              <w:t>26,069</w:t>
            </w:r>
          </w:p>
        </w:tc>
        <w:tc>
          <w:tcPr>
            <w:tcW w:w="630" w:type="pct"/>
            <w:vAlign w:val="center"/>
          </w:tcPr>
          <w:p>
            <w:pPr>
              <w:jc w:val="right"/>
              <w:rPr>
                <w:szCs w:val="21"/>
              </w:rPr>
            </w:pPr>
            <w:r>
              <w:rPr>
                <w:szCs w:val="21"/>
              </w:rPr>
              <w:t>26,069</w:t>
            </w:r>
          </w:p>
        </w:tc>
        <w:tc>
          <w:tcPr>
            <w:tcW w:w="629" w:type="pct"/>
            <w:vAlign w:val="center"/>
          </w:tcPr>
          <w:p>
            <w:pPr>
              <w:jc w:val="right"/>
              <w:rPr>
                <w:szCs w:val="21"/>
              </w:rPr>
            </w:pPr>
            <w:r>
              <w:rPr>
                <w:rFonts w:hint="eastAsia"/>
                <w:szCs w:val="21"/>
              </w:rPr>
              <w:t>1</w:t>
            </w:r>
            <w:r>
              <w:rPr>
                <w:szCs w:val="21"/>
              </w:rPr>
              <w:t>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公司5</w:t>
            </w:r>
          </w:p>
        </w:tc>
        <w:tc>
          <w:tcPr>
            <w:tcW w:w="657" w:type="pct"/>
            <w:vAlign w:val="center"/>
          </w:tcPr>
          <w:p>
            <w:pPr>
              <w:jc w:val="right"/>
              <w:rPr>
                <w:color w:val="000000"/>
                <w:szCs w:val="21"/>
              </w:rPr>
            </w:pPr>
            <w:r>
              <w:rPr>
                <w:color w:val="000000"/>
                <w:szCs w:val="21"/>
              </w:rPr>
              <w:t>19,678</w:t>
            </w:r>
          </w:p>
        </w:tc>
        <w:tc>
          <w:tcPr>
            <w:tcW w:w="654" w:type="pct"/>
            <w:vAlign w:val="center"/>
          </w:tcPr>
          <w:p>
            <w:pPr>
              <w:jc w:val="right"/>
              <w:rPr>
                <w:color w:val="000000"/>
                <w:szCs w:val="21"/>
              </w:rPr>
            </w:pPr>
            <w:r>
              <w:rPr>
                <w:color w:val="000000"/>
                <w:szCs w:val="21"/>
              </w:rPr>
              <w:t>19,678</w:t>
            </w:r>
          </w:p>
        </w:tc>
        <w:tc>
          <w:tcPr>
            <w:tcW w:w="629" w:type="pct"/>
            <w:vAlign w:val="center"/>
          </w:tcPr>
          <w:p>
            <w:pPr>
              <w:jc w:val="right"/>
              <w:rPr>
                <w:szCs w:val="21"/>
              </w:rPr>
            </w:pPr>
            <w:r>
              <w:rPr>
                <w:szCs w:val="21"/>
              </w:rPr>
              <w:t>19,359</w:t>
            </w:r>
          </w:p>
        </w:tc>
        <w:tc>
          <w:tcPr>
            <w:tcW w:w="630" w:type="pct"/>
            <w:vAlign w:val="center"/>
          </w:tcPr>
          <w:p>
            <w:pPr>
              <w:jc w:val="right"/>
              <w:rPr>
                <w:szCs w:val="21"/>
              </w:rPr>
            </w:pPr>
            <w:r>
              <w:rPr>
                <w:szCs w:val="21"/>
              </w:rPr>
              <w:t>19,359</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公司6</w:t>
            </w:r>
          </w:p>
        </w:tc>
        <w:tc>
          <w:tcPr>
            <w:tcW w:w="657" w:type="pct"/>
            <w:vAlign w:val="center"/>
          </w:tcPr>
          <w:p>
            <w:pPr>
              <w:jc w:val="right"/>
              <w:rPr>
                <w:color w:val="000000"/>
                <w:szCs w:val="21"/>
              </w:rPr>
            </w:pPr>
            <w:r>
              <w:rPr>
                <w:color w:val="000000"/>
                <w:szCs w:val="21"/>
              </w:rPr>
              <w:t>19,070</w:t>
            </w:r>
          </w:p>
        </w:tc>
        <w:tc>
          <w:tcPr>
            <w:tcW w:w="654" w:type="pct"/>
            <w:vAlign w:val="center"/>
          </w:tcPr>
          <w:p>
            <w:pPr>
              <w:jc w:val="right"/>
              <w:rPr>
                <w:color w:val="000000"/>
                <w:szCs w:val="21"/>
              </w:rPr>
            </w:pPr>
            <w:r>
              <w:rPr>
                <w:color w:val="000000"/>
                <w:szCs w:val="21"/>
              </w:rPr>
              <w:t>19,070</w:t>
            </w:r>
          </w:p>
        </w:tc>
        <w:tc>
          <w:tcPr>
            <w:tcW w:w="629" w:type="pct"/>
            <w:vAlign w:val="center"/>
          </w:tcPr>
          <w:p>
            <w:pPr>
              <w:jc w:val="right"/>
              <w:rPr>
                <w:szCs w:val="21"/>
              </w:rPr>
            </w:pPr>
            <w:r>
              <w:rPr>
                <w:szCs w:val="21"/>
              </w:rPr>
              <w:t>19,070</w:t>
            </w:r>
          </w:p>
        </w:tc>
        <w:tc>
          <w:tcPr>
            <w:tcW w:w="630" w:type="pct"/>
            <w:vAlign w:val="center"/>
          </w:tcPr>
          <w:p>
            <w:pPr>
              <w:jc w:val="right"/>
              <w:rPr>
                <w:szCs w:val="21"/>
              </w:rPr>
            </w:pPr>
            <w:r>
              <w:rPr>
                <w:szCs w:val="21"/>
              </w:rPr>
              <w:t>19,070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公司7</w:t>
            </w:r>
          </w:p>
        </w:tc>
        <w:tc>
          <w:tcPr>
            <w:tcW w:w="657" w:type="pct"/>
            <w:vAlign w:val="center"/>
          </w:tcPr>
          <w:p>
            <w:pPr>
              <w:jc w:val="right"/>
              <w:rPr>
                <w:color w:val="000000"/>
                <w:szCs w:val="21"/>
              </w:rPr>
            </w:pPr>
            <w:r>
              <w:rPr>
                <w:color w:val="000000"/>
                <w:szCs w:val="21"/>
              </w:rPr>
              <w:t>12,072</w:t>
            </w:r>
          </w:p>
        </w:tc>
        <w:tc>
          <w:tcPr>
            <w:tcW w:w="654" w:type="pct"/>
            <w:vAlign w:val="center"/>
          </w:tcPr>
          <w:p>
            <w:pPr>
              <w:jc w:val="right"/>
              <w:rPr>
                <w:color w:val="000000"/>
                <w:szCs w:val="21"/>
              </w:rPr>
            </w:pPr>
            <w:r>
              <w:rPr>
                <w:color w:val="000000"/>
                <w:szCs w:val="21"/>
              </w:rPr>
              <w:t>12,072</w:t>
            </w:r>
          </w:p>
        </w:tc>
        <w:tc>
          <w:tcPr>
            <w:tcW w:w="629" w:type="pct"/>
            <w:vAlign w:val="center"/>
          </w:tcPr>
          <w:p>
            <w:pPr>
              <w:jc w:val="right"/>
              <w:rPr>
                <w:szCs w:val="21"/>
              </w:rPr>
            </w:pPr>
            <w:r>
              <w:rPr>
                <w:szCs w:val="21"/>
              </w:rPr>
              <w:t>12,072</w:t>
            </w:r>
          </w:p>
        </w:tc>
        <w:tc>
          <w:tcPr>
            <w:tcW w:w="630" w:type="pct"/>
            <w:vAlign w:val="center"/>
          </w:tcPr>
          <w:p>
            <w:pPr>
              <w:jc w:val="right"/>
              <w:rPr>
                <w:szCs w:val="21"/>
              </w:rPr>
            </w:pPr>
            <w:r>
              <w:rPr>
                <w:szCs w:val="21"/>
              </w:rPr>
              <w:t>12,072</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公司8</w:t>
            </w:r>
          </w:p>
        </w:tc>
        <w:tc>
          <w:tcPr>
            <w:tcW w:w="657" w:type="pct"/>
            <w:vAlign w:val="center"/>
          </w:tcPr>
          <w:p>
            <w:pPr>
              <w:jc w:val="right"/>
              <w:rPr>
                <w:color w:val="000000"/>
                <w:szCs w:val="21"/>
              </w:rPr>
            </w:pPr>
            <w:r>
              <w:rPr>
                <w:color w:val="000000"/>
                <w:szCs w:val="21"/>
              </w:rPr>
              <w:t>10,660</w:t>
            </w:r>
          </w:p>
        </w:tc>
        <w:tc>
          <w:tcPr>
            <w:tcW w:w="654" w:type="pct"/>
            <w:vAlign w:val="center"/>
          </w:tcPr>
          <w:p>
            <w:pPr>
              <w:jc w:val="right"/>
              <w:rPr>
                <w:color w:val="000000"/>
                <w:szCs w:val="21"/>
              </w:rPr>
            </w:pPr>
            <w:r>
              <w:rPr>
                <w:color w:val="000000"/>
                <w:szCs w:val="21"/>
              </w:rPr>
              <w:t>10,660</w:t>
            </w:r>
          </w:p>
        </w:tc>
        <w:tc>
          <w:tcPr>
            <w:tcW w:w="629" w:type="pct"/>
            <w:vAlign w:val="center"/>
          </w:tcPr>
          <w:p>
            <w:pPr>
              <w:jc w:val="right"/>
              <w:rPr>
                <w:szCs w:val="21"/>
              </w:rPr>
            </w:pPr>
            <w:r>
              <w:rPr>
                <w:szCs w:val="21"/>
              </w:rPr>
              <w:t>10,660</w:t>
            </w:r>
          </w:p>
        </w:tc>
        <w:tc>
          <w:tcPr>
            <w:tcW w:w="630" w:type="pct"/>
            <w:vAlign w:val="center"/>
          </w:tcPr>
          <w:p>
            <w:pPr>
              <w:jc w:val="right"/>
              <w:rPr>
                <w:szCs w:val="21"/>
              </w:rPr>
            </w:pPr>
            <w:r>
              <w:rPr>
                <w:szCs w:val="21"/>
              </w:rPr>
              <w:t>10,660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公司9</w:t>
            </w:r>
          </w:p>
        </w:tc>
        <w:tc>
          <w:tcPr>
            <w:tcW w:w="657" w:type="pct"/>
            <w:vAlign w:val="center"/>
          </w:tcPr>
          <w:p>
            <w:pPr>
              <w:jc w:val="right"/>
              <w:rPr>
                <w:color w:val="000000"/>
                <w:szCs w:val="21"/>
              </w:rPr>
            </w:pPr>
            <w:r>
              <w:rPr>
                <w:color w:val="000000"/>
                <w:szCs w:val="21"/>
              </w:rPr>
              <w:t>9,195</w:t>
            </w:r>
          </w:p>
        </w:tc>
        <w:tc>
          <w:tcPr>
            <w:tcW w:w="654" w:type="pct"/>
            <w:vAlign w:val="center"/>
          </w:tcPr>
          <w:p>
            <w:pPr>
              <w:jc w:val="right"/>
              <w:rPr>
                <w:color w:val="000000"/>
                <w:szCs w:val="21"/>
              </w:rPr>
            </w:pPr>
            <w:r>
              <w:rPr>
                <w:color w:val="000000"/>
                <w:szCs w:val="21"/>
              </w:rPr>
              <w:t>9,195</w:t>
            </w:r>
          </w:p>
        </w:tc>
        <w:tc>
          <w:tcPr>
            <w:tcW w:w="629" w:type="pct"/>
            <w:vAlign w:val="center"/>
          </w:tcPr>
          <w:p>
            <w:pPr>
              <w:jc w:val="right"/>
              <w:rPr>
                <w:szCs w:val="21"/>
              </w:rPr>
            </w:pPr>
            <w:r>
              <w:rPr>
                <w:szCs w:val="21"/>
              </w:rPr>
              <w:t>9,195</w:t>
            </w:r>
          </w:p>
        </w:tc>
        <w:tc>
          <w:tcPr>
            <w:tcW w:w="630" w:type="pct"/>
            <w:vAlign w:val="center"/>
          </w:tcPr>
          <w:p>
            <w:pPr>
              <w:jc w:val="right"/>
              <w:rPr>
                <w:szCs w:val="21"/>
              </w:rPr>
            </w:pPr>
            <w:r>
              <w:rPr>
                <w:szCs w:val="21"/>
              </w:rPr>
              <w:t>9,195</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10</w:t>
            </w:r>
          </w:p>
        </w:tc>
        <w:tc>
          <w:tcPr>
            <w:tcW w:w="657" w:type="pct"/>
            <w:vAlign w:val="center"/>
          </w:tcPr>
          <w:p>
            <w:pPr>
              <w:jc w:val="right"/>
              <w:rPr>
                <w:color w:val="000000"/>
                <w:szCs w:val="21"/>
              </w:rPr>
            </w:pPr>
            <w:r>
              <w:rPr>
                <w:color w:val="000000"/>
                <w:szCs w:val="21"/>
              </w:rPr>
              <w:t>8,800</w:t>
            </w:r>
          </w:p>
        </w:tc>
        <w:tc>
          <w:tcPr>
            <w:tcW w:w="654" w:type="pct"/>
            <w:vAlign w:val="center"/>
          </w:tcPr>
          <w:p>
            <w:pPr>
              <w:jc w:val="right"/>
              <w:rPr>
                <w:color w:val="000000"/>
                <w:szCs w:val="21"/>
              </w:rPr>
            </w:pPr>
            <w:r>
              <w:rPr>
                <w:color w:val="000000"/>
                <w:szCs w:val="21"/>
              </w:rPr>
              <w:t>8,800</w:t>
            </w:r>
          </w:p>
        </w:tc>
        <w:tc>
          <w:tcPr>
            <w:tcW w:w="629" w:type="pct"/>
            <w:vAlign w:val="center"/>
          </w:tcPr>
          <w:p>
            <w:pPr>
              <w:jc w:val="right"/>
              <w:rPr>
                <w:szCs w:val="21"/>
              </w:rPr>
            </w:pPr>
            <w:r>
              <w:rPr>
                <w:szCs w:val="21"/>
              </w:rPr>
              <w:t>8,800</w:t>
            </w:r>
          </w:p>
        </w:tc>
        <w:tc>
          <w:tcPr>
            <w:tcW w:w="630" w:type="pct"/>
            <w:vAlign w:val="center"/>
          </w:tcPr>
          <w:p>
            <w:pPr>
              <w:jc w:val="right"/>
              <w:rPr>
                <w:szCs w:val="21"/>
              </w:rPr>
            </w:pPr>
            <w:r>
              <w:rPr>
                <w:szCs w:val="21"/>
              </w:rPr>
              <w:t>8,800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11</w:t>
            </w:r>
          </w:p>
        </w:tc>
        <w:tc>
          <w:tcPr>
            <w:tcW w:w="657" w:type="pct"/>
            <w:vAlign w:val="center"/>
          </w:tcPr>
          <w:p>
            <w:pPr>
              <w:jc w:val="right"/>
              <w:rPr>
                <w:color w:val="000000"/>
                <w:szCs w:val="21"/>
              </w:rPr>
            </w:pPr>
            <w:r>
              <w:rPr>
                <w:color w:val="000000"/>
                <w:szCs w:val="21"/>
              </w:rPr>
              <w:t>8,630</w:t>
            </w:r>
          </w:p>
        </w:tc>
        <w:tc>
          <w:tcPr>
            <w:tcW w:w="654" w:type="pct"/>
            <w:vAlign w:val="center"/>
          </w:tcPr>
          <w:p>
            <w:pPr>
              <w:jc w:val="right"/>
              <w:rPr>
                <w:color w:val="000000"/>
                <w:szCs w:val="21"/>
              </w:rPr>
            </w:pPr>
            <w:r>
              <w:rPr>
                <w:color w:val="000000"/>
                <w:szCs w:val="21"/>
              </w:rPr>
              <w:t>8,630</w:t>
            </w:r>
          </w:p>
        </w:tc>
        <w:tc>
          <w:tcPr>
            <w:tcW w:w="629" w:type="pct"/>
            <w:vAlign w:val="center"/>
          </w:tcPr>
          <w:p>
            <w:pPr>
              <w:jc w:val="right"/>
              <w:rPr>
                <w:szCs w:val="21"/>
              </w:rPr>
            </w:pPr>
            <w:r>
              <w:rPr>
                <w:szCs w:val="21"/>
              </w:rPr>
              <w:t>8,630</w:t>
            </w:r>
          </w:p>
        </w:tc>
        <w:tc>
          <w:tcPr>
            <w:tcW w:w="630" w:type="pct"/>
            <w:vAlign w:val="center"/>
          </w:tcPr>
          <w:p>
            <w:pPr>
              <w:jc w:val="right"/>
              <w:rPr>
                <w:szCs w:val="21"/>
              </w:rPr>
            </w:pPr>
            <w:r>
              <w:rPr>
                <w:szCs w:val="21"/>
              </w:rPr>
              <w:t>8,630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12</w:t>
            </w:r>
          </w:p>
        </w:tc>
        <w:tc>
          <w:tcPr>
            <w:tcW w:w="657" w:type="pct"/>
            <w:vAlign w:val="center"/>
          </w:tcPr>
          <w:p>
            <w:pPr>
              <w:jc w:val="right"/>
              <w:rPr>
                <w:color w:val="000000"/>
                <w:szCs w:val="21"/>
              </w:rPr>
            </w:pPr>
            <w:r>
              <w:rPr>
                <w:color w:val="000000"/>
                <w:szCs w:val="21"/>
              </w:rPr>
              <w:t>8,300</w:t>
            </w:r>
          </w:p>
        </w:tc>
        <w:tc>
          <w:tcPr>
            <w:tcW w:w="654" w:type="pct"/>
            <w:vAlign w:val="center"/>
          </w:tcPr>
          <w:p>
            <w:pPr>
              <w:jc w:val="right"/>
              <w:rPr>
                <w:color w:val="000000"/>
                <w:szCs w:val="21"/>
              </w:rPr>
            </w:pPr>
            <w:r>
              <w:rPr>
                <w:color w:val="000000"/>
                <w:szCs w:val="21"/>
              </w:rPr>
              <w:t>8,300</w:t>
            </w:r>
          </w:p>
        </w:tc>
        <w:tc>
          <w:tcPr>
            <w:tcW w:w="629" w:type="pct"/>
            <w:vAlign w:val="center"/>
          </w:tcPr>
          <w:p>
            <w:pPr>
              <w:jc w:val="right"/>
              <w:rPr>
                <w:szCs w:val="21"/>
              </w:rPr>
            </w:pPr>
            <w:r>
              <w:rPr>
                <w:szCs w:val="21"/>
              </w:rPr>
              <w:t>8,300</w:t>
            </w:r>
          </w:p>
        </w:tc>
        <w:tc>
          <w:tcPr>
            <w:tcW w:w="630" w:type="pct"/>
            <w:vAlign w:val="center"/>
          </w:tcPr>
          <w:p>
            <w:pPr>
              <w:jc w:val="right"/>
              <w:rPr>
                <w:szCs w:val="21"/>
              </w:rPr>
            </w:pPr>
            <w:r>
              <w:rPr>
                <w:szCs w:val="21"/>
              </w:rPr>
              <w:t>8,300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13</w:t>
            </w:r>
          </w:p>
        </w:tc>
        <w:tc>
          <w:tcPr>
            <w:tcW w:w="657" w:type="pct"/>
            <w:vAlign w:val="center"/>
          </w:tcPr>
          <w:p>
            <w:pPr>
              <w:jc w:val="right"/>
              <w:rPr>
                <w:color w:val="000000"/>
                <w:szCs w:val="21"/>
              </w:rPr>
            </w:pPr>
            <w:r>
              <w:rPr>
                <w:color w:val="000000"/>
                <w:szCs w:val="21"/>
              </w:rPr>
              <w:t>7,459</w:t>
            </w:r>
          </w:p>
        </w:tc>
        <w:tc>
          <w:tcPr>
            <w:tcW w:w="654" w:type="pct"/>
            <w:vAlign w:val="center"/>
          </w:tcPr>
          <w:p>
            <w:pPr>
              <w:jc w:val="right"/>
              <w:rPr>
                <w:color w:val="000000"/>
                <w:szCs w:val="21"/>
              </w:rPr>
            </w:pPr>
            <w:r>
              <w:rPr>
                <w:color w:val="000000"/>
                <w:szCs w:val="21"/>
              </w:rPr>
              <w:t>7,459</w:t>
            </w:r>
          </w:p>
        </w:tc>
        <w:tc>
          <w:tcPr>
            <w:tcW w:w="629" w:type="pct"/>
            <w:vAlign w:val="center"/>
          </w:tcPr>
          <w:p>
            <w:pPr>
              <w:jc w:val="right"/>
              <w:rPr>
                <w:szCs w:val="21"/>
              </w:rPr>
            </w:pPr>
            <w:r>
              <w:rPr>
                <w:szCs w:val="21"/>
              </w:rPr>
              <w:t>7,459</w:t>
            </w:r>
          </w:p>
        </w:tc>
        <w:tc>
          <w:tcPr>
            <w:tcW w:w="630" w:type="pct"/>
            <w:vAlign w:val="center"/>
          </w:tcPr>
          <w:p>
            <w:pPr>
              <w:jc w:val="right"/>
              <w:rPr>
                <w:szCs w:val="21"/>
              </w:rPr>
            </w:pPr>
            <w:r>
              <w:rPr>
                <w:szCs w:val="21"/>
              </w:rPr>
              <w:t>7,459</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14</w:t>
            </w:r>
          </w:p>
        </w:tc>
        <w:tc>
          <w:tcPr>
            <w:tcW w:w="657" w:type="pct"/>
            <w:vAlign w:val="center"/>
          </w:tcPr>
          <w:p>
            <w:pPr>
              <w:jc w:val="right"/>
              <w:rPr>
                <w:color w:val="000000"/>
                <w:szCs w:val="21"/>
              </w:rPr>
            </w:pPr>
            <w:r>
              <w:rPr>
                <w:color w:val="000000"/>
                <w:szCs w:val="21"/>
              </w:rPr>
              <w:t>6,700</w:t>
            </w:r>
          </w:p>
        </w:tc>
        <w:tc>
          <w:tcPr>
            <w:tcW w:w="654" w:type="pct"/>
            <w:vAlign w:val="center"/>
          </w:tcPr>
          <w:p>
            <w:pPr>
              <w:jc w:val="right"/>
              <w:rPr>
                <w:color w:val="000000"/>
                <w:szCs w:val="21"/>
              </w:rPr>
            </w:pPr>
            <w:r>
              <w:rPr>
                <w:color w:val="000000"/>
                <w:szCs w:val="21"/>
              </w:rPr>
              <w:t>6,700</w:t>
            </w:r>
          </w:p>
        </w:tc>
        <w:tc>
          <w:tcPr>
            <w:tcW w:w="629" w:type="pct"/>
            <w:vAlign w:val="center"/>
          </w:tcPr>
          <w:p>
            <w:pPr>
              <w:jc w:val="right"/>
              <w:rPr>
                <w:szCs w:val="21"/>
              </w:rPr>
            </w:pPr>
            <w:r>
              <w:rPr>
                <w:szCs w:val="21"/>
              </w:rPr>
              <w:t>6,700</w:t>
            </w:r>
          </w:p>
        </w:tc>
        <w:tc>
          <w:tcPr>
            <w:tcW w:w="630" w:type="pct"/>
            <w:vAlign w:val="center"/>
          </w:tcPr>
          <w:p>
            <w:pPr>
              <w:jc w:val="right"/>
              <w:rPr>
                <w:szCs w:val="21"/>
              </w:rPr>
            </w:pPr>
            <w:r>
              <w:rPr>
                <w:szCs w:val="21"/>
              </w:rPr>
              <w:t>6,700</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15</w:t>
            </w:r>
          </w:p>
        </w:tc>
        <w:tc>
          <w:tcPr>
            <w:tcW w:w="657" w:type="pct"/>
            <w:vAlign w:val="center"/>
          </w:tcPr>
          <w:p>
            <w:pPr>
              <w:jc w:val="right"/>
              <w:rPr>
                <w:color w:val="000000"/>
                <w:szCs w:val="21"/>
              </w:rPr>
            </w:pPr>
            <w:r>
              <w:rPr>
                <w:color w:val="000000"/>
                <w:szCs w:val="21"/>
              </w:rPr>
              <w:t>5,895</w:t>
            </w:r>
          </w:p>
        </w:tc>
        <w:tc>
          <w:tcPr>
            <w:tcW w:w="654" w:type="pct"/>
            <w:vAlign w:val="center"/>
          </w:tcPr>
          <w:p>
            <w:pPr>
              <w:jc w:val="right"/>
              <w:rPr>
                <w:color w:val="000000"/>
                <w:szCs w:val="21"/>
              </w:rPr>
            </w:pPr>
            <w:r>
              <w:rPr>
                <w:color w:val="000000"/>
                <w:szCs w:val="21"/>
              </w:rPr>
              <w:t>5,895</w:t>
            </w:r>
          </w:p>
        </w:tc>
        <w:tc>
          <w:tcPr>
            <w:tcW w:w="629" w:type="pct"/>
            <w:vAlign w:val="center"/>
          </w:tcPr>
          <w:p>
            <w:pPr>
              <w:jc w:val="right"/>
              <w:rPr>
                <w:szCs w:val="21"/>
              </w:rPr>
            </w:pPr>
            <w:r>
              <w:rPr>
                <w:szCs w:val="21"/>
              </w:rPr>
              <w:t>5,895</w:t>
            </w:r>
          </w:p>
        </w:tc>
        <w:tc>
          <w:tcPr>
            <w:tcW w:w="630" w:type="pct"/>
            <w:vAlign w:val="center"/>
          </w:tcPr>
          <w:p>
            <w:pPr>
              <w:jc w:val="right"/>
              <w:rPr>
                <w:szCs w:val="21"/>
              </w:rPr>
            </w:pPr>
            <w:r>
              <w:rPr>
                <w:szCs w:val="21"/>
              </w:rPr>
              <w:t>5,895</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16</w:t>
            </w:r>
          </w:p>
        </w:tc>
        <w:tc>
          <w:tcPr>
            <w:tcW w:w="657" w:type="pct"/>
            <w:vAlign w:val="center"/>
          </w:tcPr>
          <w:p>
            <w:pPr>
              <w:jc w:val="right"/>
              <w:rPr>
                <w:color w:val="000000"/>
                <w:szCs w:val="21"/>
              </w:rPr>
            </w:pPr>
            <w:r>
              <w:rPr>
                <w:color w:val="000000"/>
                <w:szCs w:val="21"/>
              </w:rPr>
              <w:t>5,773</w:t>
            </w:r>
          </w:p>
        </w:tc>
        <w:tc>
          <w:tcPr>
            <w:tcW w:w="654" w:type="pct"/>
            <w:vAlign w:val="center"/>
          </w:tcPr>
          <w:p>
            <w:pPr>
              <w:jc w:val="right"/>
              <w:rPr>
                <w:color w:val="000000"/>
                <w:szCs w:val="21"/>
              </w:rPr>
            </w:pPr>
            <w:r>
              <w:rPr>
                <w:color w:val="000000"/>
                <w:szCs w:val="21"/>
              </w:rPr>
              <w:t>5,773</w:t>
            </w:r>
          </w:p>
        </w:tc>
        <w:tc>
          <w:tcPr>
            <w:tcW w:w="629" w:type="pct"/>
            <w:vAlign w:val="center"/>
          </w:tcPr>
          <w:p>
            <w:pPr>
              <w:jc w:val="right"/>
              <w:rPr>
                <w:szCs w:val="21"/>
              </w:rPr>
            </w:pPr>
            <w:r>
              <w:rPr>
                <w:szCs w:val="21"/>
              </w:rPr>
              <w:t>5,773</w:t>
            </w:r>
          </w:p>
        </w:tc>
        <w:tc>
          <w:tcPr>
            <w:tcW w:w="630" w:type="pct"/>
            <w:vAlign w:val="center"/>
          </w:tcPr>
          <w:p>
            <w:pPr>
              <w:jc w:val="right"/>
              <w:rPr>
                <w:szCs w:val="21"/>
              </w:rPr>
            </w:pPr>
            <w:r>
              <w:rPr>
                <w:szCs w:val="21"/>
              </w:rPr>
              <w:t>5,773</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17</w:t>
            </w:r>
          </w:p>
        </w:tc>
        <w:tc>
          <w:tcPr>
            <w:tcW w:w="657" w:type="pct"/>
            <w:vAlign w:val="center"/>
          </w:tcPr>
          <w:p>
            <w:pPr>
              <w:jc w:val="right"/>
              <w:rPr>
                <w:color w:val="000000"/>
                <w:szCs w:val="21"/>
              </w:rPr>
            </w:pPr>
            <w:r>
              <w:rPr>
                <w:rFonts w:hint="eastAsia"/>
                <w:color w:val="000000"/>
                <w:szCs w:val="21"/>
              </w:rPr>
              <w:t>5,707</w:t>
            </w:r>
          </w:p>
        </w:tc>
        <w:tc>
          <w:tcPr>
            <w:tcW w:w="654" w:type="pct"/>
            <w:vAlign w:val="center"/>
          </w:tcPr>
          <w:p>
            <w:pPr>
              <w:jc w:val="right"/>
              <w:rPr>
                <w:color w:val="000000"/>
                <w:szCs w:val="21"/>
              </w:rPr>
            </w:pPr>
            <w:r>
              <w:rPr>
                <w:rFonts w:hint="eastAsia"/>
                <w:color w:val="000000"/>
                <w:szCs w:val="21"/>
              </w:rPr>
              <w:t>5,707</w:t>
            </w:r>
          </w:p>
        </w:tc>
        <w:tc>
          <w:tcPr>
            <w:tcW w:w="629" w:type="pct"/>
            <w:vAlign w:val="center"/>
          </w:tcPr>
          <w:p>
            <w:pPr>
              <w:jc w:val="right"/>
              <w:rPr>
                <w:szCs w:val="21"/>
              </w:rPr>
            </w:pPr>
            <w:r>
              <w:rPr>
                <w:szCs w:val="21"/>
              </w:rPr>
              <w:t>5,707</w:t>
            </w:r>
          </w:p>
        </w:tc>
        <w:tc>
          <w:tcPr>
            <w:tcW w:w="630" w:type="pct"/>
            <w:vAlign w:val="center"/>
          </w:tcPr>
          <w:p>
            <w:pPr>
              <w:jc w:val="right"/>
              <w:rPr>
                <w:szCs w:val="21"/>
              </w:rPr>
            </w:pPr>
            <w:r>
              <w:rPr>
                <w:szCs w:val="21"/>
              </w:rPr>
              <w:t>5,707</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公司</w:t>
            </w:r>
            <w:r>
              <w:rPr>
                <w:szCs w:val="21"/>
              </w:rPr>
              <w:t>18</w:t>
            </w:r>
          </w:p>
        </w:tc>
        <w:tc>
          <w:tcPr>
            <w:tcW w:w="657" w:type="pct"/>
            <w:vAlign w:val="center"/>
          </w:tcPr>
          <w:p>
            <w:pPr>
              <w:jc w:val="right"/>
              <w:rPr>
                <w:color w:val="000000"/>
                <w:szCs w:val="21"/>
              </w:rPr>
            </w:pPr>
            <w:r>
              <w:rPr>
                <w:color w:val="000000"/>
                <w:szCs w:val="21"/>
              </w:rPr>
              <w:t>5,289</w:t>
            </w:r>
          </w:p>
        </w:tc>
        <w:tc>
          <w:tcPr>
            <w:tcW w:w="654" w:type="pct"/>
            <w:vAlign w:val="center"/>
          </w:tcPr>
          <w:p>
            <w:pPr>
              <w:jc w:val="right"/>
              <w:rPr>
                <w:color w:val="000000"/>
                <w:szCs w:val="21"/>
              </w:rPr>
            </w:pPr>
            <w:r>
              <w:rPr>
                <w:color w:val="000000"/>
                <w:szCs w:val="21"/>
              </w:rPr>
              <w:t>5,289</w:t>
            </w:r>
          </w:p>
        </w:tc>
        <w:tc>
          <w:tcPr>
            <w:tcW w:w="629" w:type="pct"/>
            <w:vAlign w:val="center"/>
          </w:tcPr>
          <w:p>
            <w:pPr>
              <w:jc w:val="right"/>
              <w:rPr>
                <w:szCs w:val="21"/>
              </w:rPr>
            </w:pPr>
            <w:r>
              <w:rPr>
                <w:szCs w:val="21"/>
              </w:rPr>
              <w:t>4,769</w:t>
            </w:r>
          </w:p>
        </w:tc>
        <w:tc>
          <w:tcPr>
            <w:tcW w:w="630" w:type="pct"/>
            <w:vAlign w:val="center"/>
          </w:tcPr>
          <w:p>
            <w:pPr>
              <w:jc w:val="right"/>
              <w:rPr>
                <w:szCs w:val="21"/>
              </w:rPr>
            </w:pPr>
            <w:r>
              <w:rPr>
                <w:szCs w:val="21"/>
              </w:rPr>
              <w:t>4,769</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tcPr>
          <w:p>
            <w:pPr>
              <w:rPr>
                <w:szCs w:val="21"/>
              </w:rPr>
            </w:pPr>
            <w:r>
              <w:rPr>
                <w:rFonts w:hint="eastAsia"/>
                <w:szCs w:val="21"/>
              </w:rPr>
              <w:t>其他不重大客户</w:t>
            </w:r>
          </w:p>
        </w:tc>
        <w:tc>
          <w:tcPr>
            <w:tcW w:w="657" w:type="pct"/>
            <w:vAlign w:val="center"/>
          </w:tcPr>
          <w:p>
            <w:pPr>
              <w:jc w:val="right"/>
              <w:rPr>
                <w:color w:val="000000"/>
                <w:szCs w:val="21"/>
              </w:rPr>
            </w:pPr>
            <w:r>
              <w:rPr>
                <w:rFonts w:hint="eastAsia"/>
                <w:color w:val="000000"/>
                <w:szCs w:val="21"/>
              </w:rPr>
              <w:t>103,087</w:t>
            </w:r>
          </w:p>
        </w:tc>
        <w:tc>
          <w:tcPr>
            <w:tcW w:w="654" w:type="pct"/>
            <w:vAlign w:val="center"/>
          </w:tcPr>
          <w:p>
            <w:pPr>
              <w:jc w:val="right"/>
              <w:rPr>
                <w:color w:val="000000"/>
                <w:szCs w:val="21"/>
              </w:rPr>
            </w:pPr>
            <w:r>
              <w:rPr>
                <w:rFonts w:hint="eastAsia"/>
                <w:color w:val="000000"/>
                <w:szCs w:val="21"/>
              </w:rPr>
              <w:t>103,087</w:t>
            </w:r>
          </w:p>
        </w:tc>
        <w:tc>
          <w:tcPr>
            <w:tcW w:w="629" w:type="pct"/>
            <w:vAlign w:val="center"/>
          </w:tcPr>
          <w:p>
            <w:pPr>
              <w:jc w:val="right"/>
              <w:rPr>
                <w:szCs w:val="21"/>
              </w:rPr>
            </w:pPr>
            <w:r>
              <w:rPr>
                <w:szCs w:val="21"/>
              </w:rPr>
              <w:t>110,976</w:t>
            </w:r>
          </w:p>
        </w:tc>
        <w:tc>
          <w:tcPr>
            <w:tcW w:w="630" w:type="pct"/>
            <w:vAlign w:val="center"/>
          </w:tcPr>
          <w:p>
            <w:pPr>
              <w:jc w:val="right"/>
              <w:rPr>
                <w:szCs w:val="21"/>
              </w:rPr>
            </w:pPr>
            <w:r>
              <w:rPr>
                <w:szCs w:val="21"/>
              </w:rPr>
              <w:t>110,976</w:t>
            </w:r>
          </w:p>
        </w:tc>
        <w:tc>
          <w:tcPr>
            <w:tcW w:w="629" w:type="pct"/>
            <w:vAlign w:val="center"/>
          </w:tcPr>
          <w:p>
            <w:pPr>
              <w:jc w:val="right"/>
              <w:rPr>
                <w:szCs w:val="21"/>
              </w:rPr>
            </w:pPr>
            <w:r>
              <w:rPr>
                <w:szCs w:val="21"/>
              </w:rPr>
              <w:t>100</w:t>
            </w:r>
          </w:p>
        </w:tc>
        <w:tc>
          <w:tcPr>
            <w:tcW w:w="973" w:type="pct"/>
            <w:vAlign w:val="center"/>
          </w:tcPr>
          <w:p>
            <w:pPr>
              <w:jc w:val="both"/>
              <w:rPr>
                <w:szCs w:val="21"/>
              </w:rPr>
            </w:pPr>
            <w:r>
              <w:rPr>
                <w:rFonts w:hint="eastAsia"/>
                <w:szCs w:val="21"/>
              </w:rPr>
              <w:t>预计无法收回</w:t>
            </w:r>
          </w:p>
        </w:tc>
      </w:tr>
      <w:tr>
        <w:tc>
          <w:tcPr>
            <w:tcW w:w="828" w:type="pct"/>
            <w:vAlign w:val="center"/>
          </w:tcPr>
          <w:p>
            <w:pPr>
              <w:jc w:val="center"/>
              <w:rPr>
                <w:szCs w:val="21"/>
              </w:rPr>
            </w:pPr>
            <w:r>
              <w:rPr>
                <w:rFonts w:hint="eastAsia"/>
                <w:szCs w:val="21"/>
              </w:rPr>
              <w:t>合计</w:t>
            </w:r>
          </w:p>
        </w:tc>
        <w:tc>
          <w:tcPr>
            <w:tcW w:w="657" w:type="pct"/>
            <w:vAlign w:val="center"/>
          </w:tcPr>
          <w:p>
            <w:pPr>
              <w:jc w:val="right"/>
              <w:rPr>
                <w:color w:val="000000"/>
                <w:szCs w:val="21"/>
              </w:rPr>
            </w:pPr>
            <w:r>
              <w:rPr>
                <w:rFonts w:hint="eastAsia"/>
                <w:color w:val="000000"/>
                <w:szCs w:val="21"/>
              </w:rPr>
              <w:t>524,666</w:t>
            </w:r>
          </w:p>
        </w:tc>
        <w:tc>
          <w:tcPr>
            <w:tcW w:w="654" w:type="pct"/>
            <w:vAlign w:val="center"/>
          </w:tcPr>
          <w:p>
            <w:pPr>
              <w:jc w:val="right"/>
              <w:rPr>
                <w:color w:val="000000"/>
                <w:szCs w:val="21"/>
              </w:rPr>
            </w:pPr>
            <w:r>
              <w:rPr>
                <w:rFonts w:hint="eastAsia"/>
                <w:color w:val="000000"/>
                <w:szCs w:val="21"/>
              </w:rPr>
              <w:t>448,081</w:t>
            </w:r>
          </w:p>
        </w:tc>
        <w:tc>
          <w:tcPr>
            <w:tcW w:w="629" w:type="pct"/>
            <w:vAlign w:val="center"/>
          </w:tcPr>
          <w:p>
            <w:pPr>
              <w:jc w:val="right"/>
              <w:rPr>
                <w:szCs w:val="21"/>
              </w:rPr>
            </w:pPr>
            <w:r>
              <w:rPr>
                <w:color w:val="000000"/>
                <w:szCs w:val="21"/>
              </w:rPr>
              <w:t>913,352</w:t>
            </w:r>
          </w:p>
        </w:tc>
        <w:tc>
          <w:tcPr>
            <w:tcW w:w="630" w:type="pct"/>
            <w:vAlign w:val="center"/>
          </w:tcPr>
          <w:p>
            <w:pPr>
              <w:jc w:val="right"/>
              <w:rPr>
                <w:szCs w:val="21"/>
              </w:rPr>
            </w:pPr>
            <w:r>
              <w:rPr>
                <w:color w:val="000000"/>
                <w:szCs w:val="21"/>
              </w:rPr>
              <w:t>867,235</w:t>
            </w:r>
          </w:p>
        </w:tc>
        <w:tc>
          <w:tcPr>
            <w:tcW w:w="629" w:type="pct"/>
            <w:vAlign w:val="center"/>
          </w:tcPr>
          <w:p>
            <w:pPr>
              <w:jc w:val="right"/>
              <w:rPr>
                <w:szCs w:val="21"/>
              </w:rPr>
            </w:pPr>
            <w:r>
              <w:rPr>
                <w:rFonts w:hint="eastAsia"/>
                <w:szCs w:val="21"/>
              </w:rPr>
              <w:t>-</w:t>
            </w:r>
          </w:p>
        </w:tc>
        <w:tc>
          <w:tcPr>
            <w:tcW w:w="973" w:type="pct"/>
            <w:vAlign w:val="center"/>
          </w:tcPr>
          <w:p>
            <w:pPr>
              <w:jc w:val="center"/>
              <w:rPr>
                <w:szCs w:val="21"/>
              </w:rPr>
            </w:pPr>
            <w:r>
              <w:rPr>
                <w:rFonts w:hint="eastAsia"/>
                <w:szCs w:val="21"/>
              </w:rPr>
              <w:t>/</w:t>
            </w:r>
          </w:p>
        </w:tc>
      </w:tr>
    </w:tbl>
    <w:p>
      <w:pPr>
        <w:pStyle w:val="affffffffffffffffff3"/>
      </w:pPr>
    </w:p>
    <w:p>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27260390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355" w:displacedByCustomXml="next"/>
    <w:sdt>
      <w:sdtPr>
        <w:tag w:val="_PLD_21b31dda4e9f44bd901ccb9e126e1392"/>
        <w:id w:val="1493373189"/>
      </w:sdtPr>
      <w:sdtContent>
        <w:p>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1138456927"/>
        <w:lock w:val="contentLocked"/>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bookmarkStart w:id="356" w:name="_Hlk533607573"/>
      <w:r>
        <w:rPr>
          <w:rFonts w:hint="eastAsia"/>
          <w:szCs w:val="21"/>
        </w:rPr>
        <w:t>组合计提项目：</w:t>
      </w:r>
      <w:sdt>
        <w:sdtPr>
          <w:rPr>
            <w:rFonts w:hint="eastAsia"/>
            <w:szCs w:val="21"/>
          </w:rPr>
          <w:alias w:val="按组合计提坏账准备的应收账款明细-组合名称"/>
          <w:tag w:val="_GBC_a99af83acd7e492a99d5eed2536b8adb"/>
          <w:id w:val="-1957173879"/>
          <w:placeholder>
            <w:docPart w:val="GBC22222222222222222222222222222"/>
          </w:placeholder>
          <w:comboBox/>
        </w:sdtPr>
        <w:sdtContent>
          <w:r>
            <w:rPr>
              <w:szCs w:val="21"/>
            </w:rPr>
            <w:t>-</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6944298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2105221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3"/>
        <w:gridCol w:w="2172"/>
        <w:gridCol w:w="2292"/>
        <w:gridCol w:w="2236"/>
      </w:tblGrid>
      <w:tr>
        <w:sdt>
          <w:sdtPr>
            <w:tag w:val="_PLD_76fac25a376f4d4b884d95c8c8b4cdbd"/>
            <w:id w:val="-205636134"/>
          </w:sdtPr>
          <w:sdtContent>
            <w:tc>
              <w:tcPr>
                <w:tcW w:w="1203" w:type="pct"/>
                <w:vMerge w:val="restart"/>
                <w:vAlign w:val="center"/>
              </w:tcPr>
              <w:p>
                <w:pPr>
                  <w:jc w:val="center"/>
                  <w:rPr>
                    <w:szCs w:val="21"/>
                  </w:rPr>
                </w:pPr>
                <w:r>
                  <w:rPr>
                    <w:rFonts w:hint="eastAsia"/>
                    <w:szCs w:val="21"/>
                  </w:rPr>
                  <w:t>名称</w:t>
                </w:r>
              </w:p>
            </w:tc>
          </w:sdtContent>
        </w:sdt>
        <w:sdt>
          <w:sdtPr>
            <w:tag w:val="_PLD_2ea73da2ba22410090605fad4228c06a"/>
            <w:id w:val="967250721"/>
          </w:sdtPr>
          <w:sdtContent>
            <w:tc>
              <w:tcPr>
                <w:tcW w:w="3797" w:type="pct"/>
                <w:gridSpan w:val="3"/>
                <w:vAlign w:val="center"/>
              </w:tcPr>
              <w:p>
                <w:pPr>
                  <w:jc w:val="center"/>
                  <w:rPr>
                    <w:szCs w:val="21"/>
                  </w:rPr>
                </w:pPr>
                <w:r>
                  <w:rPr>
                    <w:rFonts w:hint="eastAsia"/>
                    <w:szCs w:val="21"/>
                  </w:rPr>
                  <w:t>期末余额</w:t>
                </w:r>
              </w:p>
            </w:tc>
          </w:sdtContent>
        </w:sdt>
      </w:tr>
      <w:tr>
        <w:tc>
          <w:tcPr>
            <w:tcW w:w="1203" w:type="pct"/>
            <w:vMerge/>
          </w:tcPr>
          <w:p>
            <w:pPr>
              <w:jc w:val="center"/>
              <w:rPr>
                <w:szCs w:val="21"/>
              </w:rPr>
            </w:pPr>
          </w:p>
        </w:tc>
        <w:sdt>
          <w:sdtPr>
            <w:tag w:val="_PLD_841eb33e3b60464dbe6b3cefac602503"/>
            <w:id w:val="886217999"/>
          </w:sdtPr>
          <w:sdtContent>
            <w:tc>
              <w:tcPr>
                <w:tcW w:w="1231" w:type="pct"/>
                <w:vAlign w:val="center"/>
              </w:tcPr>
              <w:p>
                <w:pPr>
                  <w:jc w:val="center"/>
                  <w:rPr>
                    <w:szCs w:val="21"/>
                  </w:rPr>
                </w:pPr>
                <w:r>
                  <w:rPr>
                    <w:rFonts w:hint="eastAsia"/>
                    <w:szCs w:val="21"/>
                  </w:rPr>
                  <w:t>应收账款</w:t>
                </w:r>
              </w:p>
            </w:tc>
          </w:sdtContent>
        </w:sdt>
        <w:sdt>
          <w:sdtPr>
            <w:tag w:val="_PLD_b28da65f0aac478c80ab20a817d350ac"/>
            <w:id w:val="-1298594572"/>
          </w:sdtPr>
          <w:sdtContent>
            <w:tc>
              <w:tcPr>
                <w:tcW w:w="1299" w:type="pct"/>
                <w:vAlign w:val="center"/>
              </w:tcPr>
              <w:p>
                <w:pPr>
                  <w:jc w:val="center"/>
                  <w:rPr>
                    <w:szCs w:val="21"/>
                  </w:rPr>
                </w:pPr>
                <w:r>
                  <w:rPr>
                    <w:rFonts w:hint="eastAsia"/>
                    <w:szCs w:val="21"/>
                  </w:rPr>
                  <w:t>坏账准备</w:t>
                </w:r>
              </w:p>
            </w:tc>
          </w:sdtContent>
        </w:sdt>
        <w:sdt>
          <w:sdtPr>
            <w:tag w:val="_PLD_98321f537bf94701b17705eae6c543e2"/>
            <w:id w:val="1035462590"/>
          </w:sdtPr>
          <w:sdtContent>
            <w:tc>
              <w:tcPr>
                <w:tcW w:w="1267" w:type="pct"/>
                <w:vAlign w:val="center"/>
              </w:tcPr>
              <w:p>
                <w:pPr>
                  <w:jc w:val="center"/>
                  <w:rPr>
                    <w:szCs w:val="21"/>
                  </w:rPr>
                </w:pPr>
                <w:r>
                  <w:rPr>
                    <w:szCs w:val="21"/>
                  </w:rPr>
                  <w:t>计提比例</w:t>
                </w:r>
                <w:r>
                  <w:rPr>
                    <w:rFonts w:hint="eastAsia"/>
                    <w:szCs w:val="21"/>
                  </w:rPr>
                  <w:t>（%）</w:t>
                </w:r>
              </w:p>
            </w:tc>
          </w:sdtContent>
        </w:sdt>
      </w:tr>
      <w:tr>
        <w:tc>
          <w:tcPr>
            <w:tcW w:w="1203" w:type="pct"/>
          </w:tcPr>
          <w:p>
            <w:pPr>
              <w:rPr>
                <w:szCs w:val="21"/>
              </w:rPr>
            </w:pPr>
            <w:r>
              <w:t>1年以内（含1年）</w:t>
            </w:r>
          </w:p>
        </w:tc>
        <w:tc>
          <w:tcPr>
            <w:tcW w:w="1231" w:type="pct"/>
            <w:vAlign w:val="center"/>
          </w:tcPr>
          <w:p>
            <w:pPr>
              <w:pStyle w:val="affffffffffffffffffffffffffffffffe"/>
              <w:jc w:val="right"/>
            </w:pPr>
            <w:r>
              <w:t>7,035,193</w:t>
            </w:r>
          </w:p>
        </w:tc>
        <w:tc>
          <w:tcPr>
            <w:tcW w:w="1299" w:type="pct"/>
            <w:vAlign w:val="center"/>
          </w:tcPr>
          <w:p>
            <w:pPr>
              <w:pStyle w:val="affffffffffffffffffffffffffffffffe"/>
              <w:jc w:val="right"/>
            </w:pPr>
            <w:r>
              <w:t>9,445</w:t>
            </w:r>
          </w:p>
        </w:tc>
        <w:tc>
          <w:tcPr>
            <w:tcW w:w="1267" w:type="pct"/>
            <w:vAlign w:val="center"/>
          </w:tcPr>
          <w:p>
            <w:pPr>
              <w:pStyle w:val="affffffffffffffffffffffffffffffffe"/>
              <w:jc w:val="right"/>
            </w:pPr>
            <w:r>
              <w:rPr>
                <w:rFonts w:hint="eastAsia"/>
              </w:rPr>
              <w:t>1</w:t>
            </w:r>
          </w:p>
        </w:tc>
      </w:tr>
      <w:tr>
        <w:tc>
          <w:tcPr>
            <w:tcW w:w="1203" w:type="pct"/>
          </w:tcPr>
          <w:p>
            <w:pPr>
              <w:rPr>
                <w:szCs w:val="21"/>
              </w:rPr>
            </w:pPr>
            <w:r>
              <w:t>1-2年</w:t>
            </w:r>
          </w:p>
        </w:tc>
        <w:tc>
          <w:tcPr>
            <w:tcW w:w="1231" w:type="pct"/>
            <w:vAlign w:val="center"/>
          </w:tcPr>
          <w:p>
            <w:pPr>
              <w:pStyle w:val="affffffffffffffffffffffffffffffffe"/>
              <w:jc w:val="right"/>
            </w:pPr>
            <w:r>
              <w:t>106,690</w:t>
            </w:r>
          </w:p>
        </w:tc>
        <w:tc>
          <w:tcPr>
            <w:tcW w:w="1299" w:type="pct"/>
            <w:vAlign w:val="center"/>
          </w:tcPr>
          <w:p>
            <w:pPr>
              <w:pStyle w:val="affffffffffffffffffffffffffffffffe"/>
              <w:jc w:val="right"/>
            </w:pPr>
            <w:r>
              <w:t>3,933</w:t>
            </w:r>
          </w:p>
        </w:tc>
        <w:tc>
          <w:tcPr>
            <w:tcW w:w="1267" w:type="pct"/>
            <w:vAlign w:val="center"/>
          </w:tcPr>
          <w:p>
            <w:pPr>
              <w:pStyle w:val="affffffffffffffffffffffffffffffffe"/>
              <w:jc w:val="right"/>
            </w:pPr>
            <w:r>
              <w:t>4</w:t>
            </w:r>
          </w:p>
        </w:tc>
      </w:tr>
      <w:tr>
        <w:tc>
          <w:tcPr>
            <w:tcW w:w="1203" w:type="pct"/>
          </w:tcPr>
          <w:p>
            <w:pPr>
              <w:rPr>
                <w:szCs w:val="21"/>
              </w:rPr>
            </w:pPr>
            <w:r>
              <w:t>2-3年</w:t>
            </w:r>
          </w:p>
        </w:tc>
        <w:tc>
          <w:tcPr>
            <w:tcW w:w="1231" w:type="pct"/>
            <w:vAlign w:val="center"/>
          </w:tcPr>
          <w:p>
            <w:pPr>
              <w:pStyle w:val="affffffffffffffffffffffffffffffffe"/>
              <w:jc w:val="right"/>
            </w:pPr>
            <w:r>
              <w:t>70,661</w:t>
            </w:r>
          </w:p>
        </w:tc>
        <w:tc>
          <w:tcPr>
            <w:tcW w:w="1299" w:type="pct"/>
            <w:vAlign w:val="center"/>
          </w:tcPr>
          <w:p>
            <w:pPr>
              <w:pStyle w:val="affffffffffffffffffffffffffffffffe"/>
              <w:jc w:val="right"/>
            </w:pPr>
            <w:r>
              <w:t>17,478</w:t>
            </w:r>
          </w:p>
        </w:tc>
        <w:tc>
          <w:tcPr>
            <w:tcW w:w="1267" w:type="pct"/>
            <w:vAlign w:val="center"/>
          </w:tcPr>
          <w:p>
            <w:pPr>
              <w:pStyle w:val="affffffffffffffffffffffffffffffffe"/>
              <w:jc w:val="right"/>
            </w:pPr>
            <w:r>
              <w:t>25</w:t>
            </w:r>
          </w:p>
        </w:tc>
      </w:tr>
      <w:tr>
        <w:tc>
          <w:tcPr>
            <w:tcW w:w="1203" w:type="pct"/>
          </w:tcPr>
          <w:p>
            <w:pPr>
              <w:rPr>
                <w:szCs w:val="21"/>
              </w:rPr>
            </w:pPr>
            <w:r>
              <w:t>3年以上</w:t>
            </w:r>
          </w:p>
        </w:tc>
        <w:tc>
          <w:tcPr>
            <w:tcW w:w="1231" w:type="pct"/>
            <w:vAlign w:val="center"/>
          </w:tcPr>
          <w:p>
            <w:pPr>
              <w:pStyle w:val="affffffffffffffffffffffffffffffffe"/>
              <w:jc w:val="right"/>
            </w:pPr>
            <w:r>
              <w:t>67,417</w:t>
            </w:r>
          </w:p>
        </w:tc>
        <w:tc>
          <w:tcPr>
            <w:tcW w:w="1299" w:type="pct"/>
            <w:vAlign w:val="center"/>
          </w:tcPr>
          <w:p>
            <w:pPr>
              <w:pStyle w:val="affffffffffffffffffffffffffffffffe"/>
              <w:jc w:val="right"/>
            </w:pPr>
            <w:r>
              <w:t>53,590</w:t>
            </w:r>
          </w:p>
        </w:tc>
        <w:tc>
          <w:tcPr>
            <w:tcW w:w="1267" w:type="pct"/>
            <w:vAlign w:val="center"/>
          </w:tcPr>
          <w:p>
            <w:pPr>
              <w:pStyle w:val="affffffffffffffffffffffffffffffffe"/>
              <w:jc w:val="right"/>
            </w:pPr>
            <w:r>
              <w:t>79</w:t>
            </w:r>
          </w:p>
        </w:tc>
      </w:tr>
      <w:tr>
        <w:tc>
          <w:tcPr>
            <w:tcW w:w="1203" w:type="pct"/>
            <w:vAlign w:val="center"/>
          </w:tcPr>
          <w:p>
            <w:pPr>
              <w:jc w:val="center"/>
              <w:rPr>
                <w:szCs w:val="21"/>
              </w:rPr>
            </w:pPr>
            <w:r>
              <w:rPr>
                <w:rFonts w:hint="eastAsia"/>
                <w:szCs w:val="21"/>
              </w:rPr>
              <w:t>合计</w:t>
            </w:r>
          </w:p>
        </w:tc>
        <w:tc>
          <w:tcPr>
            <w:tcW w:w="1231" w:type="pct"/>
            <w:vAlign w:val="center"/>
          </w:tcPr>
          <w:p>
            <w:pPr>
              <w:pStyle w:val="affffffffffffffffffffffffffffffffe"/>
              <w:jc w:val="right"/>
            </w:pPr>
            <w:r>
              <w:t>7,279,961</w:t>
            </w:r>
          </w:p>
        </w:tc>
        <w:tc>
          <w:tcPr>
            <w:tcW w:w="1299" w:type="pct"/>
            <w:vAlign w:val="center"/>
          </w:tcPr>
          <w:p>
            <w:pPr>
              <w:pStyle w:val="affffffffffffffffffffffffffffffffe"/>
              <w:jc w:val="right"/>
            </w:pPr>
            <w:r>
              <w:t>84,446</w:t>
            </w:r>
          </w:p>
        </w:tc>
        <w:tc>
          <w:tcPr>
            <w:tcW w:w="1267" w:type="pct"/>
            <w:vAlign w:val="center"/>
          </w:tcPr>
          <w:p>
            <w:pPr>
              <w:pStyle w:val="affffffffffffffffffffffffffffffffe"/>
              <w:jc w:val="right"/>
            </w:pPr>
            <w:r>
              <w:t>1</w:t>
            </w:r>
          </w:p>
        </w:tc>
      </w:tr>
    </w:tbl>
    <w:p>
      <w:pPr>
        <w:pStyle w:val="affffffffffffffffffffffffffffffffe"/>
      </w:pPr>
    </w:p>
    <w:p>
      <w:pPr>
        <w:rPr>
          <w:szCs w:val="21"/>
        </w:rPr>
      </w:pPr>
      <w:r>
        <w:rPr>
          <w:rFonts w:hint="eastAsia"/>
          <w:szCs w:val="21"/>
        </w:rPr>
        <w:t>按组合计提坏账准备的说明：</w:t>
      </w:r>
    </w:p>
    <w:sdt>
      <w:sdtPr>
        <w:rPr>
          <w:szCs w:val="21"/>
        </w:rPr>
        <w:alias w:val="是否适用：按组合计提坏账准备的应收账款确认标准[双击切换]"/>
        <w:tag w:val="_GBC_d256dc36994548098f599f5c34cca3f5"/>
        <w:id w:val="-75913732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rPr>
          <w:rFonts w:cstheme="minorBidi"/>
          <w:bCs/>
          <w:szCs w:val="22"/>
        </w:rPr>
      </w:pPr>
      <w:bookmarkStart w:id="357" w:name="_Hlk154134618"/>
      <w:bookmarkStart w:id="358" w:name="_Hlk153357523"/>
      <w:bookmarkEnd w:id="356"/>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467314567"/>
        <w:placeholder>
          <w:docPart w:val="GBC22222222222222222222222222222"/>
        </w:placeholder>
      </w:sdt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fefa2e57cd9349fba804e9f0aa553bb9"/>
        <w:id w:val="-1305157571"/>
        <w:placeholder>
          <w:docPart w:val="GBC22222222222222222222222222222"/>
        </w:placeholder>
      </w:sdtPr>
      <w:sdtContent>
        <w:p>
          <w:pPr>
            <w:rPr>
              <w:rFonts w:cs="Times New Roman"/>
              <w:bCs/>
              <w:szCs w:val="22"/>
            </w:rPr>
          </w:pPr>
          <w:r>
            <w:rPr>
              <w:rFonts w:cs="Times New Roman"/>
              <w:bCs/>
              <w:szCs w:val="22"/>
            </w:rPr>
            <w:t>-</w:t>
          </w:r>
        </w:p>
      </w:sdtContent>
    </w:sdt>
    <w:p>
      <w:pPr>
        <w:rPr>
          <w:rFonts w:asciiTheme="minorHAnsi" w:hAnsiTheme="minorHAnsi" w:cstheme="minorBidi"/>
          <w:b/>
          <w:bCs/>
          <w:szCs w:val="22"/>
        </w:rPr>
      </w:pPr>
    </w:p>
    <w:p>
      <w:pPr>
        <w:pStyle w:val="affffffffffffffffffffffffffffffffffff"/>
      </w:pPr>
      <w:r>
        <w:rPr>
          <w:rFonts w:hint="eastAsia"/>
        </w:rPr>
        <w:t>对本期发生损失准备变动的应收账款账面余额显著变动的情况说明：</w:t>
      </w:r>
    </w:p>
    <w:sdt>
      <w:sdtPr>
        <w:rPr>
          <w:szCs w:val="21"/>
        </w:rPr>
        <w:alias w:val="是否适用：对本期发生损失准备变动的账面余额显著变动的情况说明[双击切换]"/>
        <w:tag w:val="_GBC_253db3108f924621ad49e8a14b359867"/>
        <w:id w:val="-371695215"/>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p>
      <w:pPr>
        <w:pStyle w:val="afffffffffffffffffffffffffffffffff1"/>
        <w:numPr>
          <w:ilvl w:val="3"/>
          <w:numId w:val="161"/>
        </w:numPr>
        <w:ind w:left="426" w:hanging="426"/>
      </w:pPr>
      <w:bookmarkStart w:id="359" w:name="_Hlk532991911"/>
      <w:bookmarkEnd w:id="357"/>
      <w:bookmarkEnd w:id="358"/>
      <w:r>
        <w:rPr>
          <w:rFonts w:hint="eastAsia"/>
        </w:rPr>
        <w:t>坏账准备的情况</w:t>
      </w:r>
    </w:p>
    <w:sdt>
      <w:sdtPr>
        <w:alias w:val="是否适用：应收账款坏账准备[双击切换]"/>
        <w:tag w:val="_GBC_9f417fa21150444abc4efab15ee99d53"/>
        <w:id w:val="162295509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11340913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应收账款坏账准备"/>
          <w:tag w:val="_GBC_0ea3ceddf10d4313a5111e5088ac98cf"/>
          <w:id w:val="13439010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4"/>
        <w:gridCol w:w="1213"/>
        <w:gridCol w:w="1317"/>
        <w:gridCol w:w="1212"/>
        <w:gridCol w:w="1216"/>
        <w:gridCol w:w="1212"/>
        <w:gridCol w:w="1209"/>
      </w:tblGrid>
      <w:tr>
        <w:bookmarkEnd w:id="359" w:displacedByCustomXml="next"/>
        <w:sdt>
          <w:sdtPr>
            <w:tag w:val="_PLD_4744c2787819466dad3d228aea9d34a1"/>
            <w:id w:val="-207421931"/>
          </w:sdtPr>
          <w:sdtContent>
            <w:tc>
              <w:tcPr>
                <w:tcW w:w="818" w:type="pct"/>
                <w:vMerge w:val="restart"/>
                <w:shd w:val="clear" w:color="auto" w:fill="FFFFFF"/>
                <w:vAlign w:val="center"/>
              </w:tcPr>
              <w:p>
                <w:pPr>
                  <w:jc w:val="center"/>
                </w:pPr>
                <w:r>
                  <w:t>类别</w:t>
                </w:r>
              </w:p>
            </w:tc>
          </w:sdtContent>
        </w:sdt>
        <w:sdt>
          <w:sdtPr>
            <w:tag w:val="_PLD_c730e797b90345869cdb1a0f449d27c4"/>
            <w:id w:val="-478155258"/>
          </w:sdtPr>
          <w:sdtContent>
            <w:tc>
              <w:tcPr>
                <w:tcW w:w="687" w:type="pct"/>
                <w:vMerge w:val="restart"/>
                <w:shd w:val="clear" w:color="auto" w:fill="FFFFFF"/>
                <w:vAlign w:val="center"/>
              </w:tcPr>
              <w:p>
                <w:pPr>
                  <w:jc w:val="center"/>
                </w:pPr>
                <w:r>
                  <w:t>期初余额</w:t>
                </w:r>
              </w:p>
            </w:tc>
          </w:sdtContent>
        </w:sdt>
        <w:sdt>
          <w:sdtPr>
            <w:tag w:val="_PLD_b648ee5a72ff43aabfa5e5467354f612"/>
            <w:id w:val="-673190392"/>
          </w:sdtPr>
          <w:sdtContent>
            <w:tc>
              <w:tcPr>
                <w:tcW w:w="2809" w:type="pct"/>
                <w:gridSpan w:val="4"/>
                <w:shd w:val="clear" w:color="auto" w:fill="FFFFFF"/>
                <w:vAlign w:val="center"/>
              </w:tcPr>
              <w:p>
                <w:pPr>
                  <w:jc w:val="center"/>
                </w:pPr>
                <w:r>
                  <w:rPr>
                    <w:rFonts w:hint="eastAsia"/>
                  </w:rPr>
                  <w:t>本期变动</w:t>
                </w:r>
                <w:r>
                  <w:t>金额</w:t>
                </w:r>
              </w:p>
            </w:tc>
          </w:sdtContent>
        </w:sdt>
        <w:sdt>
          <w:sdtPr>
            <w:tag w:val="_PLD_670842119a0446778c0343318379e7bb"/>
            <w:id w:val="330648245"/>
          </w:sdtPr>
          <w:sdtContent>
            <w:tc>
              <w:tcPr>
                <w:tcW w:w="685" w:type="pct"/>
                <w:vMerge w:val="restart"/>
                <w:shd w:val="clear" w:color="auto" w:fill="FFFFFF"/>
                <w:vAlign w:val="center"/>
              </w:tcPr>
              <w:p>
                <w:pPr>
                  <w:jc w:val="center"/>
                </w:pPr>
                <w:r>
                  <w:t>期末余额</w:t>
                </w:r>
              </w:p>
            </w:tc>
          </w:sdtContent>
        </w:sdt>
      </w:tr>
      <w:tr>
        <w:tc>
          <w:tcPr>
            <w:tcW w:w="818" w:type="pct"/>
            <w:vMerge/>
            <w:shd w:val="clear" w:color="auto" w:fill="FFFFFF"/>
          </w:tcPr>
          <w:p>
            <w:pPr>
              <w:jc w:val="center"/>
            </w:pPr>
          </w:p>
        </w:tc>
        <w:tc>
          <w:tcPr>
            <w:tcW w:w="687" w:type="pct"/>
            <w:vMerge/>
            <w:shd w:val="clear" w:color="auto" w:fill="FFFFFF"/>
          </w:tcPr>
          <w:p>
            <w:pPr>
              <w:jc w:val="center"/>
            </w:pPr>
          </w:p>
        </w:tc>
        <w:sdt>
          <w:sdtPr>
            <w:tag w:val="_PLD_9f89b7b6eb974ea9b6438eecb96ab8d7"/>
            <w:id w:val="1709528581"/>
          </w:sdtPr>
          <w:sdtContent>
            <w:tc>
              <w:tcPr>
                <w:tcW w:w="746" w:type="pct"/>
                <w:shd w:val="clear" w:color="auto" w:fill="FFFFFF"/>
                <w:vAlign w:val="center"/>
              </w:tcPr>
              <w:p>
                <w:pPr>
                  <w:jc w:val="center"/>
                </w:pPr>
                <w:r>
                  <w:t>计提</w:t>
                </w:r>
              </w:p>
            </w:tc>
          </w:sdtContent>
        </w:sdt>
        <w:sdt>
          <w:sdtPr>
            <w:tag w:val="_PLD_d83025520e1c49cb905bac81a5fe67a9"/>
            <w:id w:val="1229809946"/>
          </w:sdtPr>
          <w:sdtContent>
            <w:tc>
              <w:tcPr>
                <w:tcW w:w="687" w:type="pct"/>
                <w:shd w:val="clear" w:color="auto" w:fill="FFFFFF"/>
                <w:vAlign w:val="center"/>
              </w:tcPr>
              <w:p>
                <w:pPr>
                  <w:jc w:val="center"/>
                </w:pPr>
                <w:r>
                  <w:rPr>
                    <w:rFonts w:hint="eastAsia"/>
                  </w:rPr>
                  <w:t>收回或转回</w:t>
                </w:r>
              </w:p>
            </w:tc>
          </w:sdtContent>
        </w:sdt>
        <w:tc>
          <w:tcPr>
            <w:tcW w:w="689" w:type="pct"/>
            <w:shd w:val="clear" w:color="auto" w:fill="FFFFFF"/>
            <w:vAlign w:val="center"/>
          </w:tcPr>
          <w:sdt>
            <w:sdtPr>
              <w:tag w:val="_PLD_43341cdf094c434589f9f5a4eeb8fb4a"/>
              <w:id w:val="1891460837"/>
            </w:sdtPr>
            <w:sdtContent>
              <w:p>
                <w:pPr>
                  <w:jc w:val="center"/>
                </w:pPr>
                <w:r>
                  <w:rPr>
                    <w:rFonts w:hint="eastAsia"/>
                  </w:rPr>
                  <w:t>转销或核销</w:t>
                </w:r>
              </w:p>
            </w:sdtContent>
          </w:sdt>
        </w:tc>
        <w:tc>
          <w:tcPr>
            <w:tcW w:w="687" w:type="pct"/>
            <w:shd w:val="clear" w:color="auto" w:fill="FFFFFF"/>
            <w:vAlign w:val="center"/>
          </w:tcPr>
          <w:sdt>
            <w:sdtPr>
              <w:tag w:val="_PLD_4105509cd7cf412981897dd91879a014"/>
              <w:id w:val="-1278023404"/>
            </w:sdtPr>
            <w:sdtContent>
              <w:p>
                <w:pPr>
                  <w:jc w:val="center"/>
                </w:pPr>
                <w:r>
                  <w:rPr>
                    <w:rFonts w:hint="eastAsia"/>
                  </w:rPr>
                  <w:t>其他变动</w:t>
                </w:r>
              </w:p>
            </w:sdtContent>
          </w:sdt>
        </w:tc>
        <w:tc>
          <w:tcPr>
            <w:tcW w:w="685" w:type="pct"/>
            <w:vMerge/>
            <w:shd w:val="clear" w:color="auto" w:fill="FFFFFF"/>
          </w:tcPr>
          <w:p>
            <w:pPr>
              <w:jc w:val="right"/>
            </w:pPr>
          </w:p>
        </w:tc>
      </w:tr>
      <w:tr>
        <w:tc>
          <w:tcPr>
            <w:tcW w:w="818" w:type="pct"/>
            <w:shd w:val="clear" w:color="auto" w:fill="auto"/>
          </w:tcPr>
          <w:p>
            <w:pPr>
              <w:pStyle w:val="affffffffffffffffffffffffffffffffe"/>
            </w:pPr>
            <w:r>
              <w:t>应收账款坏账准备</w:t>
            </w:r>
          </w:p>
        </w:tc>
        <w:tc>
          <w:tcPr>
            <w:tcW w:w="687" w:type="pct"/>
            <w:shd w:val="clear" w:color="auto" w:fill="auto"/>
            <w:vAlign w:val="center"/>
          </w:tcPr>
          <w:p>
            <w:pPr>
              <w:jc w:val="right"/>
            </w:pPr>
            <w:r>
              <w:t>528,261</w:t>
            </w:r>
          </w:p>
        </w:tc>
        <w:tc>
          <w:tcPr>
            <w:tcW w:w="746" w:type="pct"/>
            <w:shd w:val="clear" w:color="auto" w:fill="auto"/>
            <w:vAlign w:val="center"/>
          </w:tcPr>
          <w:p>
            <w:pPr>
              <w:jc w:val="right"/>
            </w:pPr>
            <w:r>
              <w:t>422,369</w:t>
            </w:r>
          </w:p>
        </w:tc>
        <w:tc>
          <w:tcPr>
            <w:tcW w:w="687" w:type="pct"/>
            <w:shd w:val="clear" w:color="auto" w:fill="auto"/>
            <w:vAlign w:val="center"/>
          </w:tcPr>
          <w:p>
            <w:pPr>
              <w:jc w:val="right"/>
            </w:pPr>
            <w:r>
              <w:t>7,953</w:t>
            </w:r>
          </w:p>
        </w:tc>
        <w:tc>
          <w:tcPr>
            <w:tcW w:w="689" w:type="pct"/>
            <w:vAlign w:val="center"/>
          </w:tcPr>
          <w:p>
            <w:pPr>
              <w:jc w:val="right"/>
            </w:pPr>
            <w:r>
              <w:t>2,883</w:t>
            </w:r>
          </w:p>
        </w:tc>
        <w:tc>
          <w:tcPr>
            <w:tcW w:w="687" w:type="pct"/>
            <w:vAlign w:val="center"/>
          </w:tcPr>
          <w:p>
            <w:pPr>
              <w:jc w:val="right"/>
            </w:pPr>
            <w:r>
              <w:t>11,887</w:t>
            </w:r>
          </w:p>
        </w:tc>
        <w:tc>
          <w:tcPr>
            <w:tcW w:w="685" w:type="pct"/>
            <w:shd w:val="clear" w:color="auto" w:fill="auto"/>
            <w:vAlign w:val="center"/>
          </w:tcPr>
          <w:p>
            <w:pPr>
              <w:jc w:val="right"/>
            </w:pPr>
            <w:r>
              <w:t>951,681</w:t>
            </w:r>
          </w:p>
        </w:tc>
      </w:tr>
      <w:tr>
        <w:tc>
          <w:tcPr>
            <w:tcW w:w="818" w:type="pct"/>
            <w:shd w:val="clear" w:color="auto" w:fill="auto"/>
          </w:tcPr>
          <w:p>
            <w:pPr>
              <w:jc w:val="center"/>
            </w:pPr>
            <w:r>
              <w:rPr>
                <w:rFonts w:hint="eastAsia"/>
              </w:rPr>
              <w:t>合计</w:t>
            </w:r>
          </w:p>
        </w:tc>
        <w:tc>
          <w:tcPr>
            <w:tcW w:w="687" w:type="pct"/>
            <w:shd w:val="clear" w:color="auto" w:fill="auto"/>
            <w:vAlign w:val="center"/>
          </w:tcPr>
          <w:p>
            <w:pPr>
              <w:pStyle w:val="affffffffffffffffffffffffffffffffe"/>
              <w:jc w:val="right"/>
            </w:pPr>
            <w:r>
              <w:t>528,261</w:t>
            </w:r>
          </w:p>
        </w:tc>
        <w:tc>
          <w:tcPr>
            <w:tcW w:w="746" w:type="pct"/>
            <w:shd w:val="clear" w:color="auto" w:fill="auto"/>
            <w:vAlign w:val="center"/>
          </w:tcPr>
          <w:p>
            <w:pPr>
              <w:pStyle w:val="affffffffffffffffffffffffffffffffe"/>
              <w:jc w:val="right"/>
            </w:pPr>
            <w:r>
              <w:t>422,369</w:t>
            </w:r>
          </w:p>
        </w:tc>
        <w:tc>
          <w:tcPr>
            <w:tcW w:w="687" w:type="pct"/>
            <w:shd w:val="clear" w:color="auto" w:fill="auto"/>
            <w:vAlign w:val="center"/>
          </w:tcPr>
          <w:p>
            <w:pPr>
              <w:pStyle w:val="affffffffffffffffffffffffffffffffe"/>
              <w:jc w:val="right"/>
            </w:pPr>
            <w:r>
              <w:t>7,953</w:t>
            </w:r>
          </w:p>
        </w:tc>
        <w:tc>
          <w:tcPr>
            <w:tcW w:w="689" w:type="pct"/>
            <w:vAlign w:val="center"/>
          </w:tcPr>
          <w:p>
            <w:pPr>
              <w:pStyle w:val="affffffffffffffffffffffffffffffffe"/>
              <w:jc w:val="right"/>
            </w:pPr>
            <w:r>
              <w:t>2,883</w:t>
            </w:r>
          </w:p>
        </w:tc>
        <w:tc>
          <w:tcPr>
            <w:tcW w:w="687" w:type="pct"/>
            <w:vAlign w:val="center"/>
          </w:tcPr>
          <w:p>
            <w:pPr>
              <w:pStyle w:val="affffffffffffffffffffffffffffffffe"/>
              <w:jc w:val="right"/>
            </w:pPr>
            <w:r>
              <w:t>11,887</w:t>
            </w:r>
          </w:p>
        </w:tc>
        <w:tc>
          <w:tcPr>
            <w:tcW w:w="685" w:type="pct"/>
            <w:shd w:val="clear" w:color="auto" w:fill="auto"/>
            <w:vAlign w:val="center"/>
          </w:tcPr>
          <w:p>
            <w:pPr>
              <w:pStyle w:val="affffffffffffffffffffffffffffffffe"/>
              <w:jc w:val="right"/>
            </w:pPr>
            <w:r>
              <w:t>951,681</w:t>
            </w:r>
          </w:p>
        </w:tc>
      </w:tr>
    </w:tbl>
    <w:p>
      <w:pPr>
        <w:pStyle w:val="affffffffffffffffffffffffffffffffe"/>
      </w:pPr>
    </w:p>
    <w:p>
      <w:pPr>
        <w:pStyle w:val="affffffffffffffffffffffffffffffffe"/>
      </w:pPr>
      <w:r>
        <w:rPr>
          <w:rFonts w:hint="eastAsia"/>
        </w:rPr>
        <w:t>其中本期坏账准备收回或转回金额重要的：</w:t>
      </w:r>
    </w:p>
    <w:sdt>
      <w:sdtPr>
        <w:alias w:val="是否适用：其中本期坏账准备收回或转回金额重要的[双击切换]"/>
        <w:tag w:val="_GBC_6da74212535e450f9d1465f00dddd00b"/>
        <w:id w:val="1018818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应收账款坏账准备情况的说明"/>
        <w:tag w:val="_GBC_497841b0d4bf4697928b74836200c0fa"/>
        <w:id w:val="-582675985"/>
        <w:placeholder>
          <w:docPart w:val="GBC22222222222222222222222222222"/>
        </w:placeholder>
      </w:sdtPr>
      <w:sdtContent>
        <w:p>
          <w:pPr>
            <w:ind w:rightChars="20" w:right="42"/>
          </w:pPr>
          <w:r>
            <w:t>-</w:t>
          </w:r>
        </w:p>
      </w:sdtContent>
    </w:sdt>
    <w:p>
      <w:pPr>
        <w:ind w:rightChars="-759" w:right="-1594"/>
      </w:pPr>
    </w:p>
    <w:p>
      <w:pPr>
        <w:pStyle w:val="afffffffffffffffffffffffffffffffff1"/>
        <w:numPr>
          <w:ilvl w:val="3"/>
          <w:numId w:val="161"/>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95553032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5080161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689946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sdt>
          <w:sdtPr>
            <w:tag w:val="_PLD_b31b4d2de9bc4878bfaf030b4ac7f864"/>
            <w:id w:val="-1499720889"/>
          </w:sdtPr>
          <w:sdtContent>
            <w:tc>
              <w:tcPr>
                <w:tcW w:w="2361" w:type="pct"/>
                <w:vAlign w:val="center"/>
              </w:tcPr>
              <w:p>
                <w:pPr>
                  <w:jc w:val="center"/>
                  <w:rPr>
                    <w:szCs w:val="21"/>
                  </w:rPr>
                </w:pPr>
                <w:r>
                  <w:rPr>
                    <w:rFonts w:hint="eastAsia"/>
                    <w:szCs w:val="21"/>
                  </w:rPr>
                  <w:t>项目</w:t>
                </w:r>
              </w:p>
            </w:tc>
          </w:sdtContent>
        </w:sdt>
        <w:sdt>
          <w:sdtPr>
            <w:tag w:val="_PLD_8157ba5967c14e4e821de564c4546b40"/>
            <w:id w:val="-722676424"/>
          </w:sdtPr>
          <w:sdtContent>
            <w:tc>
              <w:tcPr>
                <w:tcW w:w="2639" w:type="pct"/>
              </w:tcPr>
              <w:p>
                <w:pPr>
                  <w:jc w:val="center"/>
                  <w:rPr>
                    <w:szCs w:val="21"/>
                  </w:rPr>
                </w:pPr>
                <w:r>
                  <w:rPr>
                    <w:rFonts w:hint="eastAsia"/>
                    <w:szCs w:val="21"/>
                  </w:rPr>
                  <w:t>核销金额</w:t>
                </w:r>
              </w:p>
            </w:tc>
          </w:sdtContent>
        </w:sdt>
      </w:tr>
      <w:tr>
        <w:tc>
          <w:tcPr>
            <w:tcW w:w="2361" w:type="pct"/>
          </w:tcPr>
          <w:p>
            <w:pPr>
              <w:rPr>
                <w:szCs w:val="21"/>
              </w:rPr>
            </w:pPr>
            <w:r>
              <w:rPr>
                <w:rFonts w:hint="eastAsia"/>
                <w:szCs w:val="21"/>
              </w:rPr>
              <w:t>实际核销的应收账款</w:t>
            </w:r>
          </w:p>
        </w:tc>
        <w:tc>
          <w:tcPr>
            <w:tcW w:w="2639" w:type="pct"/>
          </w:tcPr>
          <w:p>
            <w:pPr>
              <w:jc w:val="right"/>
              <w:rPr>
                <w:szCs w:val="21"/>
              </w:rPr>
            </w:pPr>
            <w:r>
              <w:rPr>
                <w:szCs w:val="21"/>
              </w:rPr>
              <w:t>2,883</w:t>
            </w:r>
          </w:p>
        </w:tc>
      </w:tr>
    </w:tbl>
    <w:p>
      <w:pPr>
        <w:rPr>
          <w:szCs w:val="21"/>
        </w:rPr>
      </w:pPr>
    </w:p>
    <w:p>
      <w:pPr>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1073004767"/>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应收账款核销说明：</w:t>
      </w:r>
    </w:p>
    <w:sdt>
      <w:sdtPr>
        <w:rPr>
          <w:szCs w:val="21"/>
        </w:rPr>
        <w:alias w:val="是否适用：应收账款核销说明[双击切换]"/>
        <w:tag w:val="_GBC_e00d0b458c1b4b5f99d670e3f2a2b2e2"/>
        <w:id w:val="-1584993130"/>
        <w:placeholder>
          <w:docPart w:val="GBC22222222222222222222222222222"/>
        </w:placeholder>
      </w:sdtPr>
      <w:sdtContent>
        <w:p>
          <w:pPr>
            <w:snapToGrid w:val="0"/>
            <w:spacing w:line="240" w:lineRule="atLeast"/>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3"/>
          <w:numId w:val="161"/>
        </w:numPr>
        <w:ind w:left="426" w:hanging="426"/>
      </w:pPr>
      <w:r>
        <w:rPr>
          <w:rFonts w:hint="eastAsia"/>
        </w:rPr>
        <w:lastRenderedPageBreak/>
        <w:t>按欠款方归集的期末余额前五名的应收账款和合同资产情况</w:t>
      </w:r>
    </w:p>
    <w:sdt>
      <w:sdtPr>
        <w:rPr>
          <w:rFonts w:hint="eastAsia"/>
          <w:szCs w:val="21"/>
        </w:rPr>
        <w:alias w:val="是否适用：按欠款方归集的期末余额前五名的应收账款情况[双击切换]"/>
        <w:tag w:val="_GBC_384d0a1c7eac41bb9693117cbe9c7e5b"/>
        <w:id w:val="-1743871553"/>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instrText xml:space="preserve">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1876605028"/>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20540719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1"/>
        <w:gridCol w:w="1472"/>
        <w:gridCol w:w="1472"/>
        <w:gridCol w:w="1470"/>
        <w:gridCol w:w="1470"/>
        <w:gridCol w:w="1468"/>
      </w:tblGrid>
      <w:tr>
        <w:trPr>
          <w:cantSplit/>
        </w:trPr>
        <w:sdt>
          <w:sdtPr>
            <w:tag w:val="_PLD_393da722a1e6440ebfe654baf23b690e"/>
            <w:id w:val="1078482655"/>
          </w:sdtPr>
          <w:sdtContent>
            <w:tc>
              <w:tcPr>
                <w:tcW w:w="834" w:type="pct"/>
                <w:vAlign w:val="center"/>
              </w:tcPr>
              <w:p>
                <w:pPr>
                  <w:ind w:right="105"/>
                  <w:jc w:val="center"/>
                  <w:rPr>
                    <w:szCs w:val="21"/>
                  </w:rPr>
                </w:pPr>
                <w:r>
                  <w:rPr>
                    <w:rFonts w:hint="eastAsia"/>
                    <w:szCs w:val="21"/>
                  </w:rPr>
                  <w:t>单位名称</w:t>
                </w:r>
              </w:p>
            </w:tc>
          </w:sdtContent>
        </w:sdt>
        <w:sdt>
          <w:sdtPr>
            <w:tag w:val="_PLD_e14b89c8ccbc4e1fbb83ed437d4f7c27"/>
            <w:id w:val="251480711"/>
          </w:sdtPr>
          <w:sdtContent>
            <w:tc>
              <w:tcPr>
                <w:tcW w:w="834" w:type="pct"/>
                <w:vAlign w:val="center"/>
              </w:tcPr>
              <w:p>
                <w:pPr>
                  <w:ind w:right="73"/>
                  <w:jc w:val="center"/>
                  <w:rPr>
                    <w:szCs w:val="21"/>
                  </w:rPr>
                </w:pPr>
                <w:r>
                  <w:rPr>
                    <w:rFonts w:hint="eastAsia"/>
                    <w:szCs w:val="21"/>
                  </w:rPr>
                  <w:t>应收账款期末余额</w:t>
                </w:r>
              </w:p>
            </w:tc>
          </w:sdtContent>
        </w:sdt>
        <w:sdt>
          <w:sdtPr>
            <w:tag w:val="_PLD_9e781bfbeaa241238adba8f92d150259"/>
            <w:id w:val="2041088664"/>
          </w:sdtPr>
          <w:sdtContent>
            <w:tc>
              <w:tcPr>
                <w:tcW w:w="834" w:type="pct"/>
                <w:vAlign w:val="center"/>
              </w:tcPr>
              <w:p>
                <w:pPr>
                  <w:jc w:val="center"/>
                  <w:rPr>
                    <w:szCs w:val="21"/>
                  </w:rPr>
                </w:pPr>
                <w:r>
                  <w:rPr>
                    <w:rFonts w:hint="eastAsia"/>
                    <w:szCs w:val="21"/>
                  </w:rPr>
                  <w:t>合同资产期末余额</w:t>
                </w:r>
              </w:p>
            </w:tc>
          </w:sdtContent>
        </w:sdt>
        <w:sdt>
          <w:sdtPr>
            <w:tag w:val="_PLD_666c0ccb3f21467e9e36a3c674bf8485"/>
            <w:id w:val="1405569678"/>
          </w:sdtPr>
          <w:sdtContent>
            <w:tc>
              <w:tcPr>
                <w:tcW w:w="833" w:type="pct"/>
                <w:vAlign w:val="center"/>
              </w:tcPr>
              <w:p>
                <w:pPr>
                  <w:jc w:val="center"/>
                  <w:rPr>
                    <w:szCs w:val="21"/>
                  </w:rPr>
                </w:pPr>
                <w:r>
                  <w:rPr>
                    <w:rFonts w:hint="eastAsia"/>
                    <w:szCs w:val="21"/>
                  </w:rPr>
                  <w:t>应收账款和合同资产期末余额</w:t>
                </w:r>
              </w:p>
            </w:tc>
          </w:sdtContent>
        </w:sdt>
        <w:sdt>
          <w:sdtPr>
            <w:tag w:val="_PLD_8b734501e3a344dda6644cb9d228c237"/>
            <w:id w:val="-1973586353"/>
          </w:sdtPr>
          <w:sdtContent>
            <w:tc>
              <w:tcPr>
                <w:tcW w:w="833" w:type="pct"/>
                <w:vAlign w:val="center"/>
              </w:tcPr>
              <w:p>
                <w:pPr>
                  <w:jc w:val="center"/>
                  <w:rPr>
                    <w:szCs w:val="21"/>
                  </w:rPr>
                </w:pPr>
                <w:r>
                  <w:rPr>
                    <w:rFonts w:hint="eastAsia"/>
                    <w:szCs w:val="21"/>
                  </w:rPr>
                  <w:t>占应收账款和合同资产期末余额合计数的比例（%）</w:t>
                </w:r>
              </w:p>
            </w:tc>
          </w:sdtContent>
        </w:sdt>
        <w:sdt>
          <w:sdtPr>
            <w:tag w:val="_PLD_e198f1b6108c4fccacfc45ea46e8ff41"/>
            <w:id w:val="55137892"/>
          </w:sdtPr>
          <w:sdtContent>
            <w:tc>
              <w:tcPr>
                <w:tcW w:w="832" w:type="pct"/>
                <w:vAlign w:val="center"/>
              </w:tcPr>
              <w:p>
                <w:pPr>
                  <w:jc w:val="center"/>
                  <w:rPr>
                    <w:szCs w:val="21"/>
                  </w:rPr>
                </w:pPr>
                <w:r>
                  <w:rPr>
                    <w:rFonts w:hint="eastAsia"/>
                    <w:szCs w:val="21"/>
                  </w:rPr>
                  <w:t>坏账准备期末余额</w:t>
                </w:r>
              </w:p>
            </w:tc>
          </w:sdtContent>
        </w:sdt>
      </w:tr>
      <w:tr>
        <w:trPr>
          <w:cantSplit/>
        </w:trPr>
        <w:tc>
          <w:tcPr>
            <w:tcW w:w="834" w:type="pct"/>
          </w:tcPr>
          <w:p>
            <w:pPr>
              <w:ind w:right="105"/>
              <w:rPr>
                <w:szCs w:val="21"/>
              </w:rPr>
            </w:pPr>
            <w:r>
              <w:rPr>
                <w:rFonts w:hint="eastAsia"/>
                <w:szCs w:val="21"/>
              </w:rPr>
              <w:t>公司1</w:t>
            </w:r>
          </w:p>
        </w:tc>
        <w:tc>
          <w:tcPr>
            <w:tcW w:w="834" w:type="pct"/>
            <w:vAlign w:val="center"/>
          </w:tcPr>
          <w:p>
            <w:pPr>
              <w:pStyle w:val="affffffffffffffffffffffffffffffffe"/>
              <w:jc w:val="right"/>
            </w:pPr>
            <w:r>
              <w:t>700,899</w:t>
            </w:r>
          </w:p>
        </w:tc>
        <w:tc>
          <w:tcPr>
            <w:tcW w:w="834" w:type="pct"/>
            <w:vAlign w:val="center"/>
          </w:tcPr>
          <w:p>
            <w:pPr>
              <w:jc w:val="right"/>
              <w:rPr>
                <w:szCs w:val="21"/>
              </w:rPr>
            </w:pPr>
          </w:p>
        </w:tc>
        <w:tc>
          <w:tcPr>
            <w:tcW w:w="833" w:type="pct"/>
            <w:vAlign w:val="center"/>
          </w:tcPr>
          <w:p>
            <w:pPr>
              <w:pStyle w:val="affffffffffffffffffffffffffffffffe"/>
              <w:jc w:val="right"/>
            </w:pPr>
            <w:r>
              <w:t>700,899</w:t>
            </w:r>
          </w:p>
        </w:tc>
        <w:tc>
          <w:tcPr>
            <w:tcW w:w="833" w:type="pct"/>
            <w:vAlign w:val="center"/>
          </w:tcPr>
          <w:p>
            <w:pPr>
              <w:pStyle w:val="affffffffffffffffffffffffffffffffe"/>
              <w:jc w:val="right"/>
            </w:pPr>
            <w:r>
              <w:t>7</w:t>
            </w:r>
          </w:p>
        </w:tc>
        <w:tc>
          <w:tcPr>
            <w:tcW w:w="832" w:type="pct"/>
            <w:vAlign w:val="center"/>
          </w:tcPr>
          <w:p>
            <w:pPr>
              <w:pStyle w:val="affffffffffffffffffffffffffffffffe"/>
              <w:jc w:val="right"/>
            </w:pPr>
            <w:r>
              <w:t>295</w:t>
            </w:r>
          </w:p>
        </w:tc>
      </w:tr>
      <w:tr>
        <w:trPr>
          <w:cantSplit/>
        </w:trPr>
        <w:tc>
          <w:tcPr>
            <w:tcW w:w="834" w:type="pct"/>
          </w:tcPr>
          <w:p>
            <w:pPr>
              <w:ind w:right="105"/>
              <w:rPr>
                <w:szCs w:val="21"/>
              </w:rPr>
            </w:pPr>
            <w:r>
              <w:rPr>
                <w:rFonts w:hint="eastAsia"/>
                <w:szCs w:val="21"/>
              </w:rPr>
              <w:t>公司2</w:t>
            </w:r>
          </w:p>
        </w:tc>
        <w:tc>
          <w:tcPr>
            <w:tcW w:w="834" w:type="pct"/>
            <w:vAlign w:val="center"/>
          </w:tcPr>
          <w:p>
            <w:pPr>
              <w:pStyle w:val="affffffffffffffffffffffffffffffffe"/>
              <w:jc w:val="right"/>
            </w:pPr>
            <w:r>
              <w:t>610,436</w:t>
            </w:r>
          </w:p>
        </w:tc>
        <w:tc>
          <w:tcPr>
            <w:tcW w:w="834" w:type="pct"/>
            <w:vAlign w:val="center"/>
          </w:tcPr>
          <w:p>
            <w:pPr>
              <w:jc w:val="right"/>
              <w:rPr>
                <w:szCs w:val="21"/>
              </w:rPr>
            </w:pPr>
          </w:p>
        </w:tc>
        <w:tc>
          <w:tcPr>
            <w:tcW w:w="833" w:type="pct"/>
            <w:vAlign w:val="center"/>
          </w:tcPr>
          <w:p>
            <w:pPr>
              <w:pStyle w:val="affffffffffffffffffffffffffffffffe"/>
              <w:jc w:val="right"/>
            </w:pPr>
            <w:r>
              <w:t>610,436</w:t>
            </w:r>
          </w:p>
        </w:tc>
        <w:tc>
          <w:tcPr>
            <w:tcW w:w="833" w:type="pct"/>
            <w:vAlign w:val="center"/>
          </w:tcPr>
          <w:p>
            <w:pPr>
              <w:pStyle w:val="affffffffffffffffffffffffffffffffe"/>
              <w:jc w:val="right"/>
            </w:pPr>
            <w:r>
              <w:t>6</w:t>
            </w:r>
          </w:p>
        </w:tc>
        <w:tc>
          <w:tcPr>
            <w:tcW w:w="832" w:type="pct"/>
            <w:vAlign w:val="center"/>
          </w:tcPr>
          <w:p>
            <w:pPr>
              <w:pStyle w:val="affffffffffffffffffffffffffffffffe"/>
              <w:jc w:val="right"/>
            </w:pPr>
            <w:r>
              <w:t>61</w:t>
            </w:r>
          </w:p>
        </w:tc>
      </w:tr>
      <w:tr>
        <w:trPr>
          <w:cantSplit/>
        </w:trPr>
        <w:tc>
          <w:tcPr>
            <w:tcW w:w="834" w:type="pct"/>
          </w:tcPr>
          <w:p>
            <w:pPr>
              <w:ind w:right="105"/>
              <w:rPr>
                <w:szCs w:val="21"/>
              </w:rPr>
            </w:pPr>
            <w:r>
              <w:rPr>
                <w:rFonts w:hint="eastAsia"/>
                <w:szCs w:val="21"/>
              </w:rPr>
              <w:t>公司3</w:t>
            </w:r>
          </w:p>
        </w:tc>
        <w:tc>
          <w:tcPr>
            <w:tcW w:w="834" w:type="pct"/>
            <w:vAlign w:val="center"/>
          </w:tcPr>
          <w:p>
            <w:pPr>
              <w:pStyle w:val="affffffffffffffffffffffffffffffffe"/>
              <w:jc w:val="right"/>
            </w:pPr>
            <w:r>
              <w:t>235,613</w:t>
            </w:r>
          </w:p>
        </w:tc>
        <w:tc>
          <w:tcPr>
            <w:tcW w:w="834" w:type="pct"/>
            <w:vAlign w:val="center"/>
          </w:tcPr>
          <w:p>
            <w:pPr>
              <w:jc w:val="right"/>
              <w:rPr>
                <w:szCs w:val="21"/>
              </w:rPr>
            </w:pPr>
          </w:p>
        </w:tc>
        <w:tc>
          <w:tcPr>
            <w:tcW w:w="833" w:type="pct"/>
            <w:vAlign w:val="center"/>
          </w:tcPr>
          <w:p>
            <w:pPr>
              <w:pStyle w:val="affffffffffffffffffffffffffffffffe"/>
              <w:jc w:val="right"/>
            </w:pPr>
            <w:r>
              <w:t>235,613</w:t>
            </w:r>
          </w:p>
        </w:tc>
        <w:tc>
          <w:tcPr>
            <w:tcW w:w="833" w:type="pct"/>
            <w:vAlign w:val="center"/>
          </w:tcPr>
          <w:p>
            <w:pPr>
              <w:pStyle w:val="affffffffffffffffffffffffffffffffe"/>
              <w:jc w:val="right"/>
            </w:pPr>
            <w:r>
              <w:t>2</w:t>
            </w:r>
          </w:p>
        </w:tc>
        <w:tc>
          <w:tcPr>
            <w:tcW w:w="832" w:type="pct"/>
            <w:vAlign w:val="center"/>
          </w:tcPr>
          <w:p>
            <w:pPr>
              <w:pStyle w:val="affffffffffffffffffffffffffffffffe"/>
              <w:jc w:val="right"/>
            </w:pPr>
            <w:r>
              <w:t>189,496</w:t>
            </w:r>
          </w:p>
        </w:tc>
      </w:tr>
      <w:tr>
        <w:trPr>
          <w:cantSplit/>
        </w:trPr>
        <w:tc>
          <w:tcPr>
            <w:tcW w:w="834" w:type="pct"/>
          </w:tcPr>
          <w:p>
            <w:pPr>
              <w:ind w:right="105"/>
              <w:rPr>
                <w:szCs w:val="21"/>
              </w:rPr>
            </w:pPr>
            <w:r>
              <w:rPr>
                <w:rFonts w:hint="eastAsia"/>
                <w:szCs w:val="21"/>
              </w:rPr>
              <w:t>公司4</w:t>
            </w:r>
          </w:p>
        </w:tc>
        <w:tc>
          <w:tcPr>
            <w:tcW w:w="834" w:type="pct"/>
            <w:vAlign w:val="center"/>
          </w:tcPr>
          <w:p>
            <w:pPr>
              <w:pStyle w:val="affffffffffffffffffffffffffffffffe"/>
              <w:jc w:val="right"/>
            </w:pPr>
            <w:r>
              <w:t>196,779</w:t>
            </w:r>
          </w:p>
        </w:tc>
        <w:tc>
          <w:tcPr>
            <w:tcW w:w="834" w:type="pct"/>
            <w:vAlign w:val="center"/>
          </w:tcPr>
          <w:p>
            <w:pPr>
              <w:jc w:val="right"/>
              <w:rPr>
                <w:szCs w:val="21"/>
              </w:rPr>
            </w:pPr>
          </w:p>
        </w:tc>
        <w:tc>
          <w:tcPr>
            <w:tcW w:w="833" w:type="pct"/>
            <w:vAlign w:val="center"/>
          </w:tcPr>
          <w:p>
            <w:pPr>
              <w:pStyle w:val="affffffffffffffffffffffffffffffffe"/>
              <w:jc w:val="right"/>
            </w:pPr>
            <w:r>
              <w:t>196,779</w:t>
            </w:r>
          </w:p>
        </w:tc>
        <w:tc>
          <w:tcPr>
            <w:tcW w:w="833" w:type="pct"/>
            <w:vAlign w:val="center"/>
          </w:tcPr>
          <w:p>
            <w:pPr>
              <w:pStyle w:val="affffffffffffffffffffffffffffffffe"/>
              <w:jc w:val="right"/>
            </w:pPr>
            <w:r>
              <w:t>2</w:t>
            </w:r>
          </w:p>
        </w:tc>
        <w:tc>
          <w:tcPr>
            <w:tcW w:w="832" w:type="pct"/>
            <w:vAlign w:val="center"/>
          </w:tcPr>
          <w:p>
            <w:pPr>
              <w:pStyle w:val="affffffffffffffffffffffffffffffffe"/>
              <w:jc w:val="right"/>
            </w:pPr>
            <w:r>
              <w:t>1</w:t>
            </w:r>
          </w:p>
        </w:tc>
      </w:tr>
      <w:tr>
        <w:trPr>
          <w:cantSplit/>
        </w:trPr>
        <w:tc>
          <w:tcPr>
            <w:tcW w:w="834" w:type="pct"/>
          </w:tcPr>
          <w:p>
            <w:pPr>
              <w:ind w:right="105"/>
              <w:rPr>
                <w:szCs w:val="21"/>
              </w:rPr>
            </w:pPr>
            <w:r>
              <w:rPr>
                <w:rFonts w:hint="eastAsia"/>
                <w:szCs w:val="21"/>
              </w:rPr>
              <w:t>公司5</w:t>
            </w:r>
          </w:p>
        </w:tc>
        <w:tc>
          <w:tcPr>
            <w:tcW w:w="834" w:type="pct"/>
            <w:vAlign w:val="center"/>
          </w:tcPr>
          <w:p>
            <w:pPr>
              <w:pStyle w:val="affffffffffffffffffffffffffffffffe"/>
              <w:jc w:val="right"/>
            </w:pPr>
            <w:r>
              <w:t>182,697</w:t>
            </w:r>
          </w:p>
        </w:tc>
        <w:tc>
          <w:tcPr>
            <w:tcW w:w="834" w:type="pct"/>
            <w:vAlign w:val="center"/>
          </w:tcPr>
          <w:p>
            <w:pPr>
              <w:jc w:val="right"/>
              <w:rPr>
                <w:szCs w:val="21"/>
              </w:rPr>
            </w:pPr>
          </w:p>
        </w:tc>
        <w:tc>
          <w:tcPr>
            <w:tcW w:w="833" w:type="pct"/>
            <w:vAlign w:val="center"/>
          </w:tcPr>
          <w:p>
            <w:pPr>
              <w:pStyle w:val="affffffffffffffffffffffffffffffffe"/>
              <w:jc w:val="right"/>
            </w:pPr>
            <w:r>
              <w:t>182,697</w:t>
            </w:r>
          </w:p>
        </w:tc>
        <w:tc>
          <w:tcPr>
            <w:tcW w:w="833" w:type="pct"/>
            <w:vAlign w:val="center"/>
          </w:tcPr>
          <w:p>
            <w:pPr>
              <w:pStyle w:val="affffffffffffffffffffffffffffffffe"/>
              <w:jc w:val="right"/>
            </w:pPr>
            <w:r>
              <w:t>2</w:t>
            </w:r>
          </w:p>
        </w:tc>
        <w:tc>
          <w:tcPr>
            <w:tcW w:w="832" w:type="pct"/>
            <w:vAlign w:val="center"/>
          </w:tcPr>
          <w:p>
            <w:pPr>
              <w:pStyle w:val="affffffffffffffffffffffffffffffffe"/>
              <w:jc w:val="right"/>
            </w:pPr>
            <w:r>
              <w:t>18</w:t>
            </w:r>
          </w:p>
        </w:tc>
      </w:tr>
      <w:tr>
        <w:trPr>
          <w:cantSplit/>
        </w:trPr>
        <w:tc>
          <w:tcPr>
            <w:tcW w:w="834" w:type="pct"/>
          </w:tcPr>
          <w:p>
            <w:pPr>
              <w:ind w:right="105"/>
              <w:jc w:val="center"/>
              <w:rPr>
                <w:szCs w:val="21"/>
              </w:rPr>
            </w:pPr>
            <w:r>
              <w:rPr>
                <w:rFonts w:hint="eastAsia"/>
                <w:szCs w:val="21"/>
              </w:rPr>
              <w:t>合计</w:t>
            </w:r>
          </w:p>
        </w:tc>
        <w:tc>
          <w:tcPr>
            <w:tcW w:w="834" w:type="pct"/>
            <w:vAlign w:val="center"/>
          </w:tcPr>
          <w:p>
            <w:pPr>
              <w:pStyle w:val="affffffffffffffffffffffffffffffffe"/>
              <w:jc w:val="right"/>
            </w:pPr>
            <w:r>
              <w:t>1,926,424</w:t>
            </w:r>
          </w:p>
        </w:tc>
        <w:tc>
          <w:tcPr>
            <w:tcW w:w="834" w:type="pct"/>
            <w:vAlign w:val="center"/>
          </w:tcPr>
          <w:p>
            <w:pPr>
              <w:jc w:val="right"/>
              <w:rPr>
                <w:szCs w:val="21"/>
              </w:rPr>
            </w:pPr>
          </w:p>
        </w:tc>
        <w:tc>
          <w:tcPr>
            <w:tcW w:w="833" w:type="pct"/>
            <w:vAlign w:val="center"/>
          </w:tcPr>
          <w:p>
            <w:pPr>
              <w:pStyle w:val="affffffffffffffffffffffffffffffffe"/>
              <w:jc w:val="right"/>
            </w:pPr>
            <w:r>
              <w:t>1,926,424</w:t>
            </w:r>
          </w:p>
        </w:tc>
        <w:tc>
          <w:tcPr>
            <w:tcW w:w="833" w:type="pct"/>
            <w:vAlign w:val="center"/>
          </w:tcPr>
          <w:p>
            <w:pPr>
              <w:pStyle w:val="affffffffffffffffffffffffffffffffe"/>
              <w:jc w:val="right"/>
            </w:pPr>
            <w:r>
              <w:t>19</w:t>
            </w:r>
          </w:p>
        </w:tc>
        <w:tc>
          <w:tcPr>
            <w:tcW w:w="832" w:type="pct"/>
            <w:vAlign w:val="center"/>
          </w:tcPr>
          <w:p>
            <w:pPr>
              <w:pStyle w:val="affffffffffffffffffffffffffffffffe"/>
              <w:jc w:val="right"/>
            </w:pPr>
            <w:r>
              <w:t>189,871</w:t>
            </w:r>
          </w:p>
        </w:tc>
      </w:tr>
    </w:tbl>
    <w:p>
      <w:pPr>
        <w:pStyle w:val="affffffffffffffffffffffffffffffffe"/>
      </w:pPr>
    </w:p>
    <w:p>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c00993263f034b6b95498635f166760d"/>
        <w:id w:val="-1718425327"/>
        <w:placeholder>
          <w:docPart w:val="GBC22222222222222222222222222222"/>
        </w:placeholder>
      </w:sdtPr>
      <w:sdtContent>
        <w:p>
          <w:pPr>
            <w:snapToGrid w:val="0"/>
            <w:spacing w:line="240" w:lineRule="atLeast"/>
            <w:rPr>
              <w:szCs w:val="21"/>
            </w:rPr>
          </w:pPr>
          <w:r>
            <w:rPr>
              <w:szCs w:val="21"/>
            </w:rPr>
            <w:t>-</w:t>
          </w:r>
        </w:p>
      </w:sdtContent>
    </w:sdt>
    <w:p>
      <w:pPr>
        <w:snapToGrid w:val="0"/>
        <w:spacing w:line="240" w:lineRule="atLeast"/>
        <w:rPr>
          <w:szCs w:val="21"/>
        </w:rPr>
      </w:pPr>
    </w:p>
    <w:p>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666619068"/>
        <w:placeholder>
          <w:docPart w:val="GBC22222222222222222222222222222"/>
        </w:placeholder>
      </w:sdt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0"/>
        <w:numPr>
          <w:ilvl w:val="0"/>
          <w:numId w:val="103"/>
        </w:numPr>
        <w:tabs>
          <w:tab w:val="left" w:pos="504"/>
        </w:tabs>
      </w:pPr>
      <w:bookmarkStart w:id="360" w:name="_Hlk533409560"/>
      <w:r>
        <w:rPr>
          <w:rFonts w:hint="eastAsia"/>
        </w:rPr>
        <w:t>合同资产</w:t>
      </w:r>
    </w:p>
    <w:p>
      <w:pPr>
        <w:pStyle w:val="afffffffffffffffffffffffffffffffff1"/>
        <w:numPr>
          <w:ilvl w:val="3"/>
          <w:numId w:val="105"/>
        </w:numPr>
        <w:ind w:left="426" w:hanging="426"/>
      </w:pPr>
      <w:bookmarkStart w:id="361" w:name="_Hlk532992678"/>
      <w:r>
        <w:rPr>
          <w:rFonts w:hint="eastAsia"/>
        </w:rPr>
        <w:t>合同资产情况</w:t>
      </w:r>
    </w:p>
    <w:sdt>
      <w:sdtPr>
        <w:alias w:val="是否适用：合同资产情况[双击切换]"/>
        <w:tag w:val="_GBC_71da29cd2c0f4ec4a2849d6760e0ec90"/>
        <w:id w:val="-118073081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3"/>
          <w:numId w:val="105"/>
        </w:numPr>
        <w:ind w:left="426" w:hanging="426"/>
      </w:pPr>
      <w:bookmarkStart w:id="362" w:name="_Hlk532993169"/>
      <w:bookmarkEnd w:id="360"/>
      <w:bookmarkEnd w:id="361"/>
      <w:r>
        <w:rPr>
          <w:rFonts w:hint="eastAsia"/>
        </w:rPr>
        <w:t>报告期内账面价值发生重大变动的金额和原因</w:t>
      </w:r>
    </w:p>
    <w:sdt>
      <w:sdtPr>
        <w:rPr>
          <w:szCs w:val="21"/>
        </w:rPr>
        <w:alias w:val="是否适用：合同资产账面价值发生重大变动[双击切换]"/>
        <w:tag w:val="_GBC_d707053a57f34cbab810279b617bfcc7"/>
        <w:id w:val="-209269686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3"/>
          <w:numId w:val="105"/>
        </w:numPr>
        <w:ind w:left="426" w:hanging="426"/>
        <w:rPr>
          <w:rFonts w:ascii="宋体" w:eastAsia="宋体" w:hAnsi="宋体" w:cs="宋体"/>
          <w:kern w:val="0"/>
          <w:szCs w:val="24"/>
        </w:rPr>
      </w:pPr>
      <w:bookmarkStart w:id="363" w:name="_Hlk153378989"/>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6dd4a97ab67f497ba65822d927d1d29e"/>
        <w:id w:val="-69084331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按单项计提坏账准备的详细情况[双击切换]"/>
        <w:tag w:val="_GBC_0ab170ec63fb435387c8b835e9d77a54"/>
        <w:id w:val="-195932386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按单项计提坏账准备的说明[双击切换]"/>
        <w:tag w:val="_GBC_0aa7517d534e4bfeae4b430fe21b3412"/>
        <w:id w:val="-135572018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dd62dad60e90472bb2ac73e80b2edb97"/>
        <w:id w:val="-937298093"/>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rPr>
          <w:rFonts w:cstheme="minorBidi"/>
          <w:bCs/>
          <w:szCs w:val="22"/>
        </w:rPr>
      </w:pPr>
      <w:bookmarkStart w:id="364" w:name="_Hlk154135145"/>
      <w:bookmarkStart w:id="365" w:name="_Hlk153379126"/>
      <w:bookmarkEnd w:id="36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1438596862"/>
        <w:placeholder>
          <w:docPart w:val="GBC22222222222222222222222222222"/>
        </w:placeholder>
      </w:sdt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a54eb55cbb24473b8392e013b4be1c8a"/>
        <w:id w:val="-1087297283"/>
        <w:placeholder>
          <w:docPart w:val="GBC22222222222222222222222222222"/>
        </w:placeholder>
      </w:sdtPr>
      <w:sdtContent>
        <w:p>
          <w:pPr>
            <w:rPr>
              <w:rFonts w:cs="Times New Roman"/>
              <w:bCs/>
              <w:szCs w:val="22"/>
            </w:rPr>
          </w:pPr>
          <w:r>
            <w:rPr>
              <w:rFonts w:cs="Times New Roman"/>
              <w:bCs/>
              <w:szCs w:val="22"/>
            </w:rPr>
            <w:t>-</w:t>
          </w:r>
        </w:p>
      </w:sdtContent>
    </w:sdt>
    <w:p>
      <w:pPr>
        <w:pStyle w:val="affffffffffffffffffffffffffffffffffff"/>
        <w:rPr>
          <w:rFonts w:ascii="宋体" w:hAnsi="宋体" w:cs="宋体"/>
          <w:kern w:val="0"/>
          <w:szCs w:val="24"/>
        </w:rPr>
      </w:pPr>
    </w:p>
    <w:p>
      <w:pPr>
        <w:pStyle w:val="affffffffffffffffffffffffffffffffffff"/>
      </w:pPr>
      <w:r>
        <w:rPr>
          <w:rFonts w:hint="eastAsia"/>
        </w:rPr>
        <w:lastRenderedPageBreak/>
        <w:t>对本期发生损失准备变动的合同资产账面余额显著变动的情况说明：</w:t>
      </w:r>
    </w:p>
    <w:sdt>
      <w:sdtPr>
        <w:rPr>
          <w:szCs w:val="21"/>
        </w:rPr>
        <w:alias w:val="是否适用：对本期发生损失准备变动的账面余额显著变动的情况说明[双击切换]"/>
        <w:tag w:val="_GBC_5d2109eaa8194f47bcc2f4bbd6c081ae"/>
        <w:id w:val="-1195683158"/>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p>
      <w:pPr>
        <w:pStyle w:val="afffffffffffffffffffffffffffffffff1"/>
        <w:numPr>
          <w:ilvl w:val="3"/>
          <w:numId w:val="105"/>
        </w:numPr>
        <w:ind w:left="426" w:hanging="426"/>
        <w:rPr>
          <w:szCs w:val="21"/>
        </w:rPr>
      </w:pPr>
      <w:bookmarkStart w:id="366" w:name="_Hlk533847869"/>
      <w:bookmarkEnd w:id="362"/>
      <w:bookmarkEnd w:id="364"/>
      <w:bookmarkEnd w:id="365"/>
      <w:r>
        <w:rPr>
          <w:rFonts w:hint="eastAsia"/>
          <w:szCs w:val="21"/>
        </w:rPr>
        <w:t>本期合同资产计提坏账准备情况</w:t>
      </w:r>
    </w:p>
    <w:sdt>
      <w:sdtPr>
        <w:rPr>
          <w:szCs w:val="21"/>
        </w:rPr>
        <w:alias w:val="是否适用：合同资产减值准备[双击切换]"/>
        <w:tag w:val="_GBC_7a32a2cf2788460d8c760b8ac21cef48"/>
        <w:id w:val="-1994329328"/>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Start w:id="367" w:name="_Hlk182483958" w:displacedByCustomXml="prev"/>
    <w:p>
      <w:pPr>
        <w:autoSpaceDE w:val="0"/>
        <w:autoSpaceDN w:val="0"/>
        <w:adjustRightInd w:val="0"/>
        <w:ind w:rightChars="50" w:right="105"/>
        <w:rPr>
          <w:szCs w:val="21"/>
        </w:rPr>
      </w:pPr>
    </w:p>
    <w:p>
      <w:pPr>
        <w:pStyle w:val="affffffffffffffffffffffffffffffffe"/>
      </w:pPr>
      <w:bookmarkStart w:id="368" w:name="_Hlk153379287"/>
      <w:bookmarkEnd w:id="367"/>
      <w:r>
        <w:rPr>
          <w:rFonts w:hint="eastAsia"/>
        </w:rPr>
        <w:t>其中本期坏账准备收回或转回金额重要的：</w:t>
      </w:r>
    </w:p>
    <w:sdt>
      <w:sdtPr>
        <w:alias w:val="是否适用：本期坏账准备收回或转回金额重要的[双击切换]"/>
        <w:tag w:val="_GBC_40c6e5cd3d9b48fa9d8ddf51159f73e3"/>
        <w:id w:val="66475586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坏账准备情况的说明"/>
        <w:tag w:val="_GBC_eaa032ce9f4b4651bc1d170afdd0f594"/>
        <w:id w:val="-650897099"/>
        <w:placeholder>
          <w:docPart w:val="GBC22222222222222222222222222222"/>
        </w:placeholder>
      </w:sdtPr>
      <w:sdtContent>
        <w:p>
          <w:pPr>
            <w:ind w:rightChars="20" w:right="42"/>
          </w:pPr>
          <w:r>
            <w:t>-</w:t>
          </w:r>
        </w:p>
      </w:sdtContent>
    </w:sdt>
    <w:p>
      <w:pPr>
        <w:ind w:rightChars="-759" w:right="-1594"/>
      </w:pPr>
    </w:p>
    <w:p>
      <w:pPr>
        <w:pStyle w:val="afffffffffffffffffffffffffffffffff1"/>
        <w:numPr>
          <w:ilvl w:val="3"/>
          <w:numId w:val="105"/>
        </w:numPr>
        <w:ind w:left="426" w:hanging="426"/>
        <w:rPr>
          <w:szCs w:val="21"/>
        </w:rPr>
      </w:pPr>
      <w:bookmarkStart w:id="369" w:name="_Hlk153379426"/>
      <w:bookmarkEnd w:id="368"/>
      <w:r>
        <w:rPr>
          <w:szCs w:val="21"/>
        </w:rPr>
        <w:t>本期实际核销的</w:t>
      </w:r>
      <w:r>
        <w:rPr>
          <w:rFonts w:hint="eastAsia"/>
          <w:szCs w:val="21"/>
        </w:rPr>
        <w:t>合同资产</w:t>
      </w:r>
      <w:r>
        <w:rPr>
          <w:szCs w:val="21"/>
        </w:rPr>
        <w:t>情况</w:t>
      </w:r>
    </w:p>
    <w:sdt>
      <w:sdtPr>
        <w:alias w:val="是否适用：实际核销的情况[双击切换]"/>
        <w:tag w:val="_GBC_d2036f8632c6441bbae156d4fcc0a1bb"/>
        <w:id w:val="132586289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其中重要的合同资产核销情况</w:t>
      </w:r>
    </w:p>
    <w:sdt>
      <w:sdtPr>
        <w:rPr>
          <w:rFonts w:hint="eastAsia"/>
          <w:szCs w:val="21"/>
        </w:rPr>
        <w:alias w:val="是否适用：重要的核销情况[双击切换]"/>
        <w:tag w:val="_GBC_a32f8e56eb4941f98078bbae5f9968b0"/>
        <w:id w:val="-98839764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合同资产核销说明：</w:t>
      </w:r>
    </w:p>
    <w:sdt>
      <w:sdtPr>
        <w:rPr>
          <w:szCs w:val="21"/>
        </w:rPr>
        <w:alias w:val="是否适用：核销说明[双击切换]"/>
        <w:tag w:val="_GBC_837b8448d70d489b99f47e83a77e0bef"/>
        <w:id w:val="-1300065943"/>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366"/>
    <w:bookmarkEnd w:id="369"/>
    <w:p>
      <w:pPr>
        <w:rPr>
          <w:szCs w:val="21"/>
        </w:rPr>
      </w:pPr>
      <w:r>
        <w:rPr>
          <w:rFonts w:hint="eastAsia"/>
          <w:szCs w:val="21"/>
        </w:rPr>
        <w:t>其他说明：</w:t>
      </w:r>
    </w:p>
    <w:sdt>
      <w:sdtPr>
        <w:rPr>
          <w:szCs w:val="21"/>
        </w:rPr>
        <w:alias w:val="是否适用：合同资产其他说明[双击切换]"/>
        <w:tag w:val="_GBC_92ce0006559b479d93e7dbde6e8efca4"/>
        <w:id w:val="-1224054202"/>
        <w:placeholder>
          <w:docPart w:val="GBC22222222222222222222222222222"/>
        </w:placeholder>
      </w:sdtPr>
      <w:sdtContent>
        <w:p>
          <w:pPr>
            <w:pStyle w:val="affffffffffffffffffffffffffffffffe"/>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0"/>
        <w:numPr>
          <w:ilvl w:val="0"/>
          <w:numId w:val="103"/>
        </w:numPr>
        <w:rPr>
          <w:szCs w:val="21"/>
        </w:rPr>
      </w:pPr>
      <w:bookmarkStart w:id="370" w:name="_Hlk24102175"/>
      <w:r>
        <w:rPr>
          <w:rFonts w:hint="eastAsia"/>
          <w:szCs w:val="21"/>
        </w:rPr>
        <w:t>应收款项融资</w:t>
      </w:r>
    </w:p>
    <w:p>
      <w:pPr>
        <w:pStyle w:val="afffffffffffffffffffffffffffffffff1"/>
        <w:numPr>
          <w:ilvl w:val="0"/>
          <w:numId w:val="106"/>
        </w:numPr>
      </w:pPr>
      <w:r>
        <w:rPr>
          <w:rFonts w:hint="eastAsia"/>
        </w:rPr>
        <w:t>应收款项融资分类列示</w:t>
      </w:r>
    </w:p>
    <w:sdt>
      <w:sdtPr>
        <w:rPr>
          <w:szCs w:val="21"/>
        </w:rPr>
        <w:alias w:val="是否适用：应收款项融资[双击切换]"/>
        <w:tag w:val="_GBC_e38b7d767cdd4e9f8dd5f7f6ea2330da"/>
        <w:id w:val="128392434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left="420" w:right="-98"/>
        <w:jc w:val="right"/>
      </w:pPr>
      <w:r>
        <w:rPr>
          <w:rFonts w:hint="eastAsia"/>
        </w:rPr>
        <w:t xml:space="preserve">  单位：</w:t>
      </w:r>
      <w:sdt>
        <w:sdtPr>
          <w:rPr>
            <w:rFonts w:hint="eastAsia"/>
          </w:rPr>
          <w:alias w:val="单位：应收款项融资"/>
          <w:tag w:val="_GBC_718fb908b95f48ec84742dfac4338fd4"/>
          <w:id w:val="-166015838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应收款项融资"/>
          <w:tag w:val="_GBC_e0c43db94ecc4e51b884c86496138ea2"/>
          <w:id w:val="-13293570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25"/>
        <w:gridCol w:w="2834"/>
      </w:tblGrid>
      <w:tr>
        <w:bookmarkStart w:id="371" w:name="_Hlk13057555" w:displacedByCustomXml="next"/>
        <w:bookmarkStart w:id="372" w:name="_Hlk12969247" w:displacedByCustomXml="next"/>
        <w:sdt>
          <w:sdtPr>
            <w:tag w:val="_PLD_03e528ffb61e4b53acdd40b3208f06a9"/>
            <w:id w:val="-1381248590"/>
          </w:sdtPr>
          <w:sdtContent>
            <w:tc>
              <w:tcPr>
                <w:tcW w:w="1793" w:type="pct"/>
                <w:shd w:val="clear" w:color="auto" w:fill="auto"/>
                <w:vAlign w:val="center"/>
              </w:tcPr>
              <w:p>
                <w:pPr>
                  <w:jc w:val="center"/>
                  <w:rPr>
                    <w:szCs w:val="21"/>
                  </w:rPr>
                </w:pPr>
                <w:r>
                  <w:rPr>
                    <w:rFonts w:hint="eastAsia"/>
                    <w:szCs w:val="21"/>
                  </w:rPr>
                  <w:t>项目</w:t>
                </w:r>
              </w:p>
            </w:tc>
          </w:sdtContent>
        </w:sdt>
        <w:sdt>
          <w:sdtPr>
            <w:tag w:val="_PLD_8d81c1822e774f6081deb29ea5466dc8"/>
            <w:id w:val="38396496"/>
          </w:sdtPr>
          <w:sdtContent>
            <w:tc>
              <w:tcPr>
                <w:tcW w:w="1601"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c1ad8d0386f942b4b74733e3287ad275"/>
            <w:id w:val="2003923479"/>
          </w:sdtPr>
          <w:sdtContent>
            <w:tc>
              <w:tcPr>
                <w:tcW w:w="160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c>
          <w:tcPr>
            <w:tcW w:w="1793" w:type="pct"/>
            <w:shd w:val="clear" w:color="auto" w:fill="auto"/>
          </w:tcPr>
          <w:p>
            <w:pPr>
              <w:autoSpaceDE w:val="0"/>
              <w:autoSpaceDN w:val="0"/>
              <w:adjustRightInd w:val="0"/>
              <w:rPr>
                <w:szCs w:val="21"/>
              </w:rPr>
            </w:pPr>
            <w:r>
              <w:t>银行承兑汇票</w:t>
            </w:r>
          </w:p>
        </w:tc>
        <w:tc>
          <w:tcPr>
            <w:tcW w:w="1601" w:type="pct"/>
            <w:shd w:val="clear" w:color="auto" w:fill="auto"/>
          </w:tcPr>
          <w:p>
            <w:pPr>
              <w:jc w:val="right"/>
              <w:rPr>
                <w:szCs w:val="21"/>
              </w:rPr>
            </w:pPr>
            <w:r>
              <w:t>2,979,968</w:t>
            </w:r>
          </w:p>
        </w:tc>
        <w:tc>
          <w:tcPr>
            <w:tcW w:w="1606" w:type="pct"/>
            <w:shd w:val="clear" w:color="auto" w:fill="auto"/>
          </w:tcPr>
          <w:p>
            <w:pPr>
              <w:jc w:val="right"/>
              <w:rPr>
                <w:szCs w:val="21"/>
              </w:rPr>
            </w:pPr>
            <w:r>
              <w:t>4,670,846</w:t>
            </w:r>
          </w:p>
        </w:tc>
      </w:tr>
      <w:tr>
        <w:tc>
          <w:tcPr>
            <w:tcW w:w="1793" w:type="pct"/>
            <w:shd w:val="clear" w:color="auto" w:fill="auto"/>
            <w:vAlign w:val="center"/>
          </w:tcPr>
          <w:p>
            <w:pPr>
              <w:jc w:val="center"/>
              <w:rPr>
                <w:szCs w:val="21"/>
              </w:rPr>
            </w:pPr>
            <w:r>
              <w:rPr>
                <w:rFonts w:hint="eastAsia"/>
                <w:szCs w:val="21"/>
              </w:rPr>
              <w:t>合计</w:t>
            </w:r>
          </w:p>
        </w:tc>
        <w:tc>
          <w:tcPr>
            <w:tcW w:w="1601" w:type="pct"/>
            <w:shd w:val="clear" w:color="auto" w:fill="auto"/>
            <w:vAlign w:val="center"/>
          </w:tcPr>
          <w:p>
            <w:pPr>
              <w:jc w:val="right"/>
            </w:pPr>
            <w:r>
              <w:t>2,979,968</w:t>
            </w:r>
          </w:p>
        </w:tc>
        <w:tc>
          <w:tcPr>
            <w:tcW w:w="1606" w:type="pct"/>
            <w:shd w:val="clear" w:color="auto" w:fill="auto"/>
            <w:vAlign w:val="center"/>
          </w:tcPr>
          <w:p>
            <w:pPr>
              <w:jc w:val="right"/>
            </w:pPr>
            <w:r>
              <w:t>4,670,846</w:t>
            </w:r>
          </w:p>
        </w:tc>
      </w:tr>
    </w:tbl>
    <w:p>
      <w:pPr>
        <w:pStyle w:val="affffffffffffffffffffffffffffffffe"/>
      </w:pPr>
    </w:p>
    <w:p>
      <w:pPr>
        <w:pStyle w:val="afffffffffffffffffffffffffffffffff1"/>
        <w:numPr>
          <w:ilvl w:val="0"/>
          <w:numId w:val="106"/>
        </w:numPr>
      </w:pPr>
      <w:r>
        <w:t>期末公司已</w:t>
      </w:r>
      <w:r>
        <w:rPr>
          <w:rFonts w:hint="eastAsia"/>
        </w:rPr>
        <w:t>质押</w:t>
      </w:r>
      <w:r>
        <w:t>的应收款项融资</w:t>
      </w:r>
    </w:p>
    <w:sdt>
      <w:sdtPr>
        <w:alias w:val="是否适用：期末公司已质押的应收款项融资[双击切换]"/>
        <w:tag w:val="_GBC_31b898cd43844d68932063bb1e6347a8"/>
        <w:id w:val="83195158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期末公司已质押的应收款项融资"/>
          <w:tag w:val="_GBC_9e6b3fd4af074660a7fbfec2b5551544"/>
          <w:id w:val="-10626399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期末公司已质押的应收款项融资"/>
          <w:tag w:val="_GBC_89090210038149448272d1e532edc47b"/>
          <w:id w:val="-3068660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9"/>
        <w:gridCol w:w="4544"/>
      </w:tblGrid>
      <w:tr>
        <w:sdt>
          <w:sdtPr>
            <w:tag w:val="_PLD_56e5861318574eb9b63389d46eca70c6"/>
            <w:id w:val="-1515057509"/>
          </w:sdtPr>
          <w:sdtContent>
            <w:tc>
              <w:tcPr>
                <w:tcW w:w="2425" w:type="pct"/>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rPr>
                    <w:szCs w:val="21"/>
                  </w:rPr>
                </w:pPr>
                <w:r>
                  <w:rPr>
                    <w:rFonts w:hint="eastAsia"/>
                    <w:szCs w:val="21"/>
                  </w:rPr>
                  <w:t>项目</w:t>
                </w:r>
              </w:p>
            </w:tc>
          </w:sdtContent>
        </w:sdt>
        <w:sdt>
          <w:sdtPr>
            <w:tag w:val="_PLD_904d0f9cc8304fb883685e2968d4b686"/>
            <w:id w:val="-1429575060"/>
          </w:sdtPr>
          <w:sdtContent>
            <w:tc>
              <w:tcPr>
                <w:tcW w:w="2575" w:type="pct"/>
                <w:tcBorders>
                  <w:top w:val="single" w:sz="4" w:space="0" w:color="auto"/>
                  <w:left w:val="single" w:sz="4" w:space="0" w:color="auto"/>
                  <w:bottom w:val="single" w:sz="4" w:space="0" w:color="auto"/>
                  <w:right w:val="single" w:sz="4" w:space="0" w:color="auto"/>
                </w:tcBorders>
                <w:vAlign w:val="center"/>
              </w:tcPr>
              <w:p>
                <w:pPr>
                  <w:snapToGrid w:val="0"/>
                  <w:spacing w:line="240" w:lineRule="atLeast"/>
                  <w:jc w:val="center"/>
                  <w:rPr>
                    <w:szCs w:val="21"/>
                  </w:rPr>
                </w:pPr>
                <w:r>
                  <w:rPr>
                    <w:rFonts w:hint="eastAsia"/>
                    <w:szCs w:val="21"/>
                  </w:rPr>
                  <w:t>期末已质押金额</w:t>
                </w:r>
              </w:p>
            </w:tc>
          </w:sdtContent>
        </w:sdt>
      </w:tr>
      <w:tr>
        <w:tc>
          <w:tcPr>
            <w:tcW w:w="2425" w:type="pct"/>
            <w:tcBorders>
              <w:top w:val="single" w:sz="4" w:space="0" w:color="auto"/>
              <w:left w:val="single" w:sz="4" w:space="0" w:color="auto"/>
              <w:bottom w:val="single" w:sz="4" w:space="0" w:color="auto"/>
              <w:right w:val="single" w:sz="4" w:space="0" w:color="auto"/>
            </w:tcBorders>
          </w:tcPr>
          <w:p>
            <w:pPr>
              <w:snapToGrid w:val="0"/>
              <w:spacing w:line="240" w:lineRule="atLeast"/>
              <w:rPr>
                <w:szCs w:val="21"/>
              </w:rPr>
            </w:pPr>
            <w:r>
              <w:rPr>
                <w:rFonts w:hint="eastAsia"/>
                <w:szCs w:val="21"/>
              </w:rPr>
              <w:t>银行承兑汇票</w:t>
            </w:r>
          </w:p>
        </w:tc>
        <w:tc>
          <w:tcPr>
            <w:tcW w:w="2575" w:type="pct"/>
            <w:tcBorders>
              <w:top w:val="single" w:sz="4" w:space="0" w:color="auto"/>
              <w:left w:val="single" w:sz="4" w:space="0" w:color="auto"/>
              <w:bottom w:val="single" w:sz="4" w:space="0" w:color="auto"/>
              <w:right w:val="single" w:sz="4" w:space="0" w:color="auto"/>
            </w:tcBorders>
          </w:tcPr>
          <w:p>
            <w:pPr>
              <w:snapToGrid w:val="0"/>
              <w:spacing w:line="240" w:lineRule="atLeast"/>
              <w:jc w:val="right"/>
              <w:rPr>
                <w:szCs w:val="21"/>
              </w:rPr>
            </w:pPr>
            <w:r>
              <w:rPr>
                <w:szCs w:val="21"/>
              </w:rPr>
              <w:t>1,450,491</w:t>
            </w:r>
          </w:p>
        </w:tc>
      </w:tr>
      <w:tr>
        <w:tc>
          <w:tcPr>
            <w:tcW w:w="24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合计</w:t>
            </w:r>
          </w:p>
        </w:tc>
        <w:tc>
          <w:tcPr>
            <w:tcW w:w="2575"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1,450,491</w:t>
            </w:r>
          </w:p>
        </w:tc>
      </w:tr>
    </w:tbl>
    <w:p>
      <w:pPr>
        <w:rPr>
          <w:szCs w:val="21"/>
        </w:rPr>
      </w:pPr>
    </w:p>
    <w:p>
      <w:pPr>
        <w:pStyle w:val="afffffffffffffffffffffffffffffffff1"/>
        <w:numPr>
          <w:ilvl w:val="0"/>
          <w:numId w:val="106"/>
        </w:num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8585634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期末公司已背书或贴现且在资产负债表日尚未到期的应收款项融资"/>
          <w:tag w:val="_GBC_93228107c43a481da9506f790cd8af92"/>
          <w:id w:val="-4304321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期末公司已背书或贴现且在资产负债表日尚未到期的应收款项融资"/>
          <w:tag w:val="_GBC_321f16b9d20241dd9a8da269a46b1e36"/>
          <w:id w:val="-15909960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7"/>
        <w:gridCol w:w="3050"/>
        <w:gridCol w:w="3122"/>
      </w:tblGrid>
      <w:tr>
        <w:sdt>
          <w:sdtPr>
            <w:tag w:val="_PLD_33b7f0ccb35e48099a6f7696604b4e21"/>
            <w:id w:val="-734776882"/>
          </w:sdtPr>
          <w:sdtContent>
            <w:tc>
              <w:tcPr>
                <w:tcW w:w="2877" w:type="dxa"/>
                <w:shd w:val="clear" w:color="auto" w:fill="auto"/>
                <w:vAlign w:val="center"/>
              </w:tcPr>
              <w:p>
                <w:pPr>
                  <w:jc w:val="center"/>
                  <w:rPr>
                    <w:szCs w:val="21"/>
                  </w:rPr>
                </w:pPr>
                <w:r>
                  <w:rPr>
                    <w:rFonts w:hint="eastAsia"/>
                    <w:szCs w:val="21"/>
                  </w:rPr>
                  <w:t>项目</w:t>
                </w:r>
              </w:p>
            </w:tc>
          </w:sdtContent>
        </w:sdt>
        <w:sdt>
          <w:sdtPr>
            <w:tag w:val="_PLD_149743054c254feca84017182a25be7d"/>
            <w:id w:val="-19096439"/>
          </w:sdtPr>
          <w:sdtContent>
            <w:tc>
              <w:tcPr>
                <w:tcW w:w="3050" w:type="dxa"/>
                <w:shd w:val="clear" w:color="auto" w:fill="auto"/>
                <w:vAlign w:val="center"/>
              </w:tcPr>
              <w:p>
                <w:pPr>
                  <w:jc w:val="center"/>
                  <w:rPr>
                    <w:szCs w:val="21"/>
                  </w:rPr>
                </w:pPr>
                <w:r>
                  <w:rPr>
                    <w:rFonts w:hint="eastAsia"/>
                    <w:szCs w:val="21"/>
                  </w:rPr>
                  <w:t>期末终止确认金额</w:t>
                </w:r>
              </w:p>
            </w:tc>
          </w:sdtContent>
        </w:sdt>
        <w:sdt>
          <w:sdtPr>
            <w:tag w:val="_PLD_9f59617eec3d4ee4b21512d75b778f97"/>
            <w:id w:val="-1789187821"/>
          </w:sdtPr>
          <w:sdtContent>
            <w:tc>
              <w:tcPr>
                <w:tcW w:w="3122" w:type="dxa"/>
                <w:shd w:val="clear" w:color="auto" w:fill="auto"/>
                <w:vAlign w:val="center"/>
              </w:tcPr>
              <w:p>
                <w:pPr>
                  <w:jc w:val="center"/>
                  <w:rPr>
                    <w:szCs w:val="21"/>
                  </w:rPr>
                </w:pPr>
                <w:r>
                  <w:rPr>
                    <w:rFonts w:hint="eastAsia"/>
                    <w:szCs w:val="21"/>
                  </w:rPr>
                  <w:t>期末未终止确认金额</w:t>
                </w:r>
              </w:p>
            </w:tc>
          </w:sdtContent>
        </w:sdt>
      </w:tr>
      <w:tr>
        <w:tc>
          <w:tcPr>
            <w:tcW w:w="2877" w:type="dxa"/>
            <w:shd w:val="clear" w:color="auto" w:fill="auto"/>
          </w:tcPr>
          <w:p>
            <w:pPr>
              <w:rPr>
                <w:szCs w:val="21"/>
              </w:rPr>
            </w:pPr>
            <w:r>
              <w:rPr>
                <w:rFonts w:hint="eastAsia"/>
                <w:szCs w:val="21"/>
              </w:rPr>
              <w:t>银行承兑汇票</w:t>
            </w:r>
          </w:p>
        </w:tc>
        <w:tc>
          <w:tcPr>
            <w:tcW w:w="3050" w:type="dxa"/>
            <w:shd w:val="clear" w:color="auto" w:fill="auto"/>
          </w:tcPr>
          <w:p>
            <w:pPr>
              <w:jc w:val="right"/>
              <w:rPr>
                <w:szCs w:val="21"/>
              </w:rPr>
            </w:pPr>
            <w:r>
              <w:rPr>
                <w:szCs w:val="21"/>
              </w:rPr>
              <w:t>2,739,883</w:t>
            </w:r>
          </w:p>
        </w:tc>
        <w:tc>
          <w:tcPr>
            <w:tcW w:w="3122" w:type="dxa"/>
            <w:shd w:val="clear" w:color="auto" w:fill="auto"/>
          </w:tcPr>
          <w:p>
            <w:pPr>
              <w:jc w:val="right"/>
              <w:rPr>
                <w:szCs w:val="21"/>
              </w:rPr>
            </w:pPr>
          </w:p>
        </w:tc>
      </w:tr>
      <w:tr>
        <w:tc>
          <w:tcPr>
            <w:tcW w:w="2877" w:type="dxa"/>
            <w:shd w:val="clear" w:color="auto" w:fill="auto"/>
            <w:vAlign w:val="center"/>
          </w:tcPr>
          <w:p>
            <w:pPr>
              <w:jc w:val="center"/>
            </w:pPr>
            <w:r>
              <w:rPr>
                <w:rFonts w:hint="eastAsia"/>
              </w:rPr>
              <w:t>合计</w:t>
            </w:r>
          </w:p>
        </w:tc>
        <w:tc>
          <w:tcPr>
            <w:tcW w:w="3050" w:type="dxa"/>
            <w:shd w:val="clear" w:color="auto" w:fill="auto"/>
          </w:tcPr>
          <w:p>
            <w:pPr>
              <w:jc w:val="right"/>
              <w:rPr>
                <w:szCs w:val="21"/>
              </w:rPr>
            </w:pPr>
            <w:r>
              <w:rPr>
                <w:szCs w:val="21"/>
              </w:rPr>
              <w:t>2,739,883</w:t>
            </w:r>
          </w:p>
        </w:tc>
        <w:tc>
          <w:tcPr>
            <w:tcW w:w="3122" w:type="dxa"/>
            <w:shd w:val="clear" w:color="auto" w:fill="auto"/>
          </w:tcPr>
          <w:p>
            <w:pPr>
              <w:jc w:val="right"/>
              <w:rPr>
                <w:szCs w:val="21"/>
              </w:rPr>
            </w:pPr>
          </w:p>
        </w:tc>
      </w:tr>
    </w:tbl>
    <w:p>
      <w:pPr>
        <w:rPr>
          <w:szCs w:val="21"/>
        </w:rPr>
      </w:pPr>
    </w:p>
    <w:p>
      <w:pPr>
        <w:pStyle w:val="afffffffffffffffffffffffffffffffff1"/>
        <w:numPr>
          <w:ilvl w:val="0"/>
          <w:numId w:val="106"/>
        </w:numPr>
      </w:pPr>
      <w:r>
        <w:rPr>
          <w:rFonts w:hint="eastAsia"/>
        </w:rPr>
        <w:lastRenderedPageBreak/>
        <w:t>按</w:t>
      </w:r>
      <w:r>
        <w:t>坏账计提方法分类披露</w:t>
      </w:r>
    </w:p>
    <w:sdt>
      <w:sdtPr>
        <w:alias w:val="是否适用：按坏账计提方法分类披露[双击切换]"/>
        <w:tag w:val="_GBC_bb62f97adc6849f2b3d956a701e7fa7d"/>
        <w:id w:val="1443651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按单项计提坏账准备的详细情况[双击切换]"/>
        <w:tag w:val="_GBC_65f67a26c8854813ab351f644b5cb549"/>
        <w:id w:val="-199209893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按单项计提坏账准备的说明[双击切换]"/>
        <w:tag w:val="_GBC_d2e6ec1c09f24f3f8d01b46d2d307db0"/>
        <w:id w:val="-138779941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8f072c0ad15941d789bf25455711e72b"/>
        <w:id w:val="-604509725"/>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rPr>
          <w:rFonts w:cstheme="minorBidi"/>
          <w:bCs/>
          <w:szCs w:val="22"/>
        </w:rPr>
      </w:pPr>
      <w:bookmarkStart w:id="373" w:name="_Hlk154134692"/>
      <w:bookmarkStart w:id="374"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630828967"/>
        <w:placeholder>
          <w:docPart w:val="GBC22222222222222222222222222222"/>
        </w:placeholder>
      </w:sdt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2bf6f4d4451c46a9a45370b7317253a2"/>
        <w:id w:val="71787671"/>
        <w:placeholder>
          <w:docPart w:val="GBC22222222222222222222222222222"/>
        </w:placeholder>
      </w:sdtPr>
      <w:sdtContent>
        <w:p>
          <w:pPr>
            <w:rPr>
              <w:rFonts w:cs="Times New Roman"/>
              <w:bCs/>
              <w:szCs w:val="22"/>
            </w:rPr>
          </w:pPr>
          <w:r>
            <w:rPr>
              <w:rFonts w:cs="Times New Roman"/>
              <w:bCs/>
              <w:szCs w:val="22"/>
            </w:rPr>
            <w:t>-</w:t>
          </w:r>
        </w:p>
      </w:sdtContent>
    </w:sdt>
    <w:p>
      <w:pPr>
        <w:rPr>
          <w:rFonts w:asciiTheme="minorHAnsi" w:hAnsiTheme="minorHAnsi" w:cstheme="minorBidi"/>
          <w:b/>
          <w:bCs/>
          <w:szCs w:val="22"/>
        </w:rPr>
      </w:pPr>
    </w:p>
    <w:p>
      <w:pPr>
        <w:pStyle w:val="affffffffffffffffffffffffffffffffffff"/>
      </w:pPr>
      <w:r>
        <w:rPr>
          <w:rFonts w:hint="eastAsia"/>
        </w:rPr>
        <w:t>对本期发生损失准备变动的应收款项融资账面余额显著变动的情况说明：</w:t>
      </w:r>
    </w:p>
    <w:sdt>
      <w:sdtPr>
        <w:rPr>
          <w:szCs w:val="21"/>
        </w:rPr>
        <w:alias w:val="是否适用：对本期发生损失准备变动的账面余额显著变动的情况说明[双击切换]"/>
        <w:tag w:val="_GBC_14de6d8177254b0abb86a102aa2886f9"/>
        <w:id w:val="1123342404"/>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bookmarkEnd w:id="373"/>
    <w:bookmarkEnd w:id="374"/>
    <w:p>
      <w:pPr>
        <w:pStyle w:val="afffffffffffffffffffffffffffffffff1"/>
        <w:numPr>
          <w:ilvl w:val="0"/>
          <w:numId w:val="106"/>
        </w:numPr>
      </w:pPr>
      <w:r>
        <w:rPr>
          <w:rFonts w:hint="eastAsia"/>
        </w:rPr>
        <w:t>坏账准备的情况</w:t>
      </w:r>
    </w:p>
    <w:sdt>
      <w:sdtPr>
        <w:alias w:val="是否适用：坏账准备情况[双击切换]"/>
        <w:tag w:val="_GBC_9eb14f08b86f4a7096cd60413baf3092"/>
        <w:id w:val="28477877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其中本期坏账准备收回或转回金额重要的：</w:t>
      </w:r>
    </w:p>
    <w:sdt>
      <w:sdtPr>
        <w:alias w:val="是否适用：本期坏账准备收回或转回金额重要的[双击切换]"/>
        <w:tag w:val="_GBC_2b51db20288a43b39962432da30280fe"/>
        <w:id w:val="167484189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坏账准备情况的说明"/>
        <w:tag w:val="_GBC_e8b4225586244ec9b8d5ae0de000f4e4"/>
        <w:id w:val="1522045792"/>
        <w:placeholder>
          <w:docPart w:val="GBC22222222222222222222222222222"/>
        </w:placeholder>
      </w:sdtPr>
      <w:sdtContent>
        <w:p>
          <w:pPr>
            <w:ind w:rightChars="20" w:right="42"/>
          </w:pPr>
          <w:r>
            <w:t>-</w:t>
          </w:r>
        </w:p>
      </w:sdtContent>
    </w:sdt>
    <w:p>
      <w:pPr>
        <w:ind w:rightChars="-759" w:right="-1594"/>
      </w:pPr>
    </w:p>
    <w:p>
      <w:pPr>
        <w:pStyle w:val="afffffffffffffffffffffffffffffffff1"/>
        <w:numPr>
          <w:ilvl w:val="0"/>
          <w:numId w:val="106"/>
        </w:numPr>
      </w:pPr>
      <w:r>
        <w:t>本期实际核销的应收款项融资情况</w:t>
      </w:r>
    </w:p>
    <w:sdt>
      <w:sdtPr>
        <w:alias w:val="是否适用：实际核销的情况[双击切换]"/>
        <w:tag w:val="_GBC_4075b47847034ec5b4b4aeeb85217687"/>
        <w:id w:val="78755092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其中重要的应收款项融资核销情况</w:t>
      </w:r>
    </w:p>
    <w:sdt>
      <w:sdtPr>
        <w:rPr>
          <w:rFonts w:hint="eastAsia"/>
          <w:szCs w:val="21"/>
        </w:rPr>
        <w:alias w:val="是否适用：重要的核销情况[双击切换]"/>
        <w:tag w:val="_GBC_a1c05dd99dc343f883b67997da317840"/>
        <w:id w:val="-60103891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核销说明：</w:t>
      </w:r>
    </w:p>
    <w:sdt>
      <w:sdtPr>
        <w:rPr>
          <w:szCs w:val="21"/>
        </w:rPr>
        <w:alias w:val="是否适用：核销说明[双击切换]"/>
        <w:tag w:val="_GBC_960239b4d8f94352ba13280d190272c1"/>
        <w:id w:val="998765072"/>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核销说明"/>
        <w:tag w:val="_GBC_069a1a6da4a94c81834b86de43016346"/>
        <w:id w:val="-848791199"/>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1"/>
        <w:numPr>
          <w:ilvl w:val="0"/>
          <w:numId w:val="106"/>
        </w:num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33778158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bookmarkEnd w:id="370"/>
    <w:bookmarkEnd w:id="372"/>
    <w:bookmarkEnd w:id="371"/>
    <w:p>
      <w:pPr>
        <w:pStyle w:val="afffffffffffffffffffffffffffffffff1"/>
        <w:numPr>
          <w:ilvl w:val="0"/>
          <w:numId w:val="106"/>
        </w:numPr>
      </w:pPr>
      <w:r>
        <w:rPr>
          <w:rFonts w:hint="eastAsia"/>
        </w:rPr>
        <w:t>其他</w:t>
      </w:r>
      <w:r>
        <w:t>说明</w:t>
      </w:r>
    </w:p>
    <w:bookmarkStart w:id="375" w:name="_Hlk13057390" w:displacedByCustomXml="next"/>
    <w:sdt>
      <w:sdtPr>
        <w:rPr>
          <w:rFonts w:hint="eastAsia"/>
        </w:rPr>
        <w:alias w:val="是否适用：应收款项融资其他说明[双击切换]"/>
        <w:tag w:val="_GBC_19d5ef5dfbe64f2d98d9ab83a2e48c14"/>
        <w:id w:val="1744216819"/>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375" w:displacedByCustomXml="prev"/>
    <w:p>
      <w:pPr>
        <w:rPr>
          <w:szCs w:val="21"/>
        </w:rPr>
      </w:pPr>
    </w:p>
    <w:p>
      <w:pPr>
        <w:pStyle w:val="afffffffffffffffffffffffffffffffff0"/>
        <w:numPr>
          <w:ilvl w:val="0"/>
          <w:numId w:val="103"/>
        </w:numPr>
      </w:pPr>
      <w:r>
        <w:rPr>
          <w:rFonts w:hint="eastAsia"/>
        </w:rPr>
        <w:lastRenderedPageBreak/>
        <w:t>预付款项</w:t>
      </w:r>
    </w:p>
    <w:p>
      <w:pPr>
        <w:pStyle w:val="afffffffffffffffffffffffffffffffff1"/>
        <w:numPr>
          <w:ilvl w:val="3"/>
          <w:numId w:val="107"/>
        </w:numPr>
        <w:ind w:hanging="426"/>
      </w:pPr>
      <w:r>
        <w:rPr>
          <w:rFonts w:hint="eastAsia"/>
        </w:rPr>
        <w:t>预付款项按账龄列示</w:t>
      </w:r>
    </w:p>
    <w:sdt>
      <w:sdtPr>
        <w:rPr>
          <w:rFonts w:hint="eastAsia"/>
        </w:rPr>
        <w:alias w:val="是否适用：预付款项按账龄列示[双击切换]"/>
        <w:tag w:val="_GBC_9c50af2eedb44a33921bab4a9f5ef35c"/>
        <w:id w:val="-170785947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预付账款账龄"/>
          <w:tag w:val="_GBC_25e874c523c14d528beabbdb96c27981"/>
          <w:id w:val="-4618829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预付账款账龄"/>
          <w:tag w:val="_GBC_5fd49f072b7e406886d7d66537c647e5"/>
          <w:id w:val="343204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49"/>
        <w:gridCol w:w="1876"/>
        <w:gridCol w:w="1862"/>
        <w:gridCol w:w="1860"/>
        <w:gridCol w:w="1876"/>
      </w:tblGrid>
      <w:tr>
        <w:trPr>
          <w:cantSplit/>
          <w:trHeight w:val="237"/>
        </w:trPr>
        <w:sdt>
          <w:sdtPr>
            <w:tag w:val="_PLD_497c76328aa14442bd9ed8d02efaffdc"/>
            <w:id w:val="146950711"/>
          </w:sdtPr>
          <w:sdtContent>
            <w:tc>
              <w:tcPr>
                <w:tcW w:w="764" w:type="pct"/>
                <w:vMerge w:val="restart"/>
                <w:vAlign w:val="center"/>
              </w:tcPr>
              <w:p>
                <w:pPr>
                  <w:ind w:right="5"/>
                  <w:jc w:val="center"/>
                  <w:rPr>
                    <w:szCs w:val="21"/>
                  </w:rPr>
                </w:pPr>
                <w:r>
                  <w:rPr>
                    <w:rFonts w:hint="eastAsia"/>
                    <w:szCs w:val="21"/>
                  </w:rPr>
                  <w:t>账龄</w:t>
                </w:r>
              </w:p>
            </w:tc>
          </w:sdtContent>
        </w:sdt>
        <w:sdt>
          <w:sdtPr>
            <w:tag w:val="_PLD_3c7cef9fd55549768916decb59114918"/>
            <w:id w:val="1682545754"/>
          </w:sdtPr>
          <w:sdtContent>
            <w:tc>
              <w:tcPr>
                <w:tcW w:w="2118" w:type="pct"/>
                <w:gridSpan w:val="2"/>
                <w:vAlign w:val="center"/>
              </w:tcPr>
              <w:p>
                <w:pPr>
                  <w:ind w:right="5"/>
                  <w:jc w:val="center"/>
                  <w:rPr>
                    <w:szCs w:val="21"/>
                  </w:rPr>
                </w:pPr>
                <w:r>
                  <w:rPr>
                    <w:rFonts w:hint="eastAsia"/>
                    <w:szCs w:val="21"/>
                  </w:rPr>
                  <w:t>期末余额</w:t>
                </w:r>
              </w:p>
            </w:tc>
          </w:sdtContent>
        </w:sdt>
        <w:sdt>
          <w:sdtPr>
            <w:tag w:val="_PLD_3338d9aea932468fa8faa1bef2db4526"/>
            <w:id w:val="-1907066289"/>
          </w:sdtPr>
          <w:sdtContent>
            <w:tc>
              <w:tcPr>
                <w:tcW w:w="2117" w:type="pct"/>
                <w:gridSpan w:val="2"/>
                <w:vAlign w:val="center"/>
              </w:tcPr>
              <w:p>
                <w:pPr>
                  <w:ind w:right="5"/>
                  <w:jc w:val="center"/>
                  <w:rPr>
                    <w:szCs w:val="21"/>
                  </w:rPr>
                </w:pPr>
                <w:r>
                  <w:rPr>
                    <w:rFonts w:hint="eastAsia"/>
                    <w:szCs w:val="21"/>
                  </w:rPr>
                  <w:t>期初余额</w:t>
                </w:r>
              </w:p>
            </w:tc>
          </w:sdtContent>
        </w:sdt>
      </w:tr>
      <w:tr>
        <w:trPr>
          <w:cantSplit/>
        </w:trPr>
        <w:tc>
          <w:tcPr>
            <w:tcW w:w="764" w:type="pct"/>
            <w:vMerge/>
          </w:tcPr>
          <w:p>
            <w:pPr>
              <w:rPr>
                <w:szCs w:val="21"/>
              </w:rPr>
            </w:pPr>
          </w:p>
        </w:tc>
        <w:sdt>
          <w:sdtPr>
            <w:tag w:val="_PLD_2b1b05d61c574fe485d979f04a81c8c9"/>
            <w:id w:val="-2061701967"/>
          </w:sdtPr>
          <w:sdtContent>
            <w:tc>
              <w:tcPr>
                <w:tcW w:w="1063" w:type="pct"/>
                <w:vAlign w:val="center"/>
              </w:tcPr>
              <w:p>
                <w:pPr>
                  <w:ind w:right="5"/>
                  <w:jc w:val="center"/>
                  <w:rPr>
                    <w:szCs w:val="21"/>
                  </w:rPr>
                </w:pPr>
                <w:r>
                  <w:rPr>
                    <w:rFonts w:hint="eastAsia"/>
                    <w:szCs w:val="21"/>
                  </w:rPr>
                  <w:t>金额</w:t>
                </w:r>
              </w:p>
            </w:tc>
          </w:sdtContent>
        </w:sdt>
        <w:sdt>
          <w:sdtPr>
            <w:tag w:val="_PLD_7faf25028eff45ce8c6bf33a9060f296"/>
            <w:id w:val="-1421410548"/>
          </w:sdtPr>
          <w:sdtContent>
            <w:tc>
              <w:tcPr>
                <w:tcW w:w="1055" w:type="pct"/>
                <w:vAlign w:val="center"/>
              </w:tcPr>
              <w:p>
                <w:pPr>
                  <w:ind w:right="5"/>
                  <w:jc w:val="center"/>
                  <w:rPr>
                    <w:szCs w:val="21"/>
                  </w:rPr>
                </w:pPr>
                <w:r>
                  <w:rPr>
                    <w:rFonts w:hint="eastAsia"/>
                    <w:szCs w:val="21"/>
                  </w:rPr>
                  <w:t>比例</w:t>
                </w:r>
                <w:r>
                  <w:rPr>
                    <w:szCs w:val="21"/>
                  </w:rPr>
                  <w:t>(%)</w:t>
                </w:r>
              </w:p>
            </w:tc>
          </w:sdtContent>
        </w:sdt>
        <w:sdt>
          <w:sdtPr>
            <w:tag w:val="_PLD_56219e7f20ba4e60b1a3edd32c1c534e"/>
            <w:id w:val="-659310128"/>
          </w:sdtPr>
          <w:sdtContent>
            <w:tc>
              <w:tcPr>
                <w:tcW w:w="1054" w:type="pct"/>
                <w:vAlign w:val="center"/>
              </w:tcPr>
              <w:p>
                <w:pPr>
                  <w:ind w:right="5"/>
                  <w:jc w:val="center"/>
                  <w:rPr>
                    <w:szCs w:val="21"/>
                  </w:rPr>
                </w:pPr>
                <w:r>
                  <w:rPr>
                    <w:rFonts w:hint="eastAsia"/>
                    <w:szCs w:val="21"/>
                  </w:rPr>
                  <w:t>金额</w:t>
                </w:r>
              </w:p>
            </w:tc>
          </w:sdtContent>
        </w:sdt>
        <w:sdt>
          <w:sdtPr>
            <w:tag w:val="_PLD_430fca228ced43ada83018b2091f7abf"/>
            <w:id w:val="-1094085433"/>
          </w:sdtPr>
          <w:sdtContent>
            <w:tc>
              <w:tcPr>
                <w:tcW w:w="1063" w:type="pct"/>
                <w:vAlign w:val="center"/>
              </w:tcPr>
              <w:p>
                <w:pPr>
                  <w:ind w:right="5"/>
                  <w:jc w:val="center"/>
                  <w:rPr>
                    <w:szCs w:val="21"/>
                  </w:rPr>
                </w:pPr>
                <w:r>
                  <w:rPr>
                    <w:rFonts w:hint="eastAsia"/>
                    <w:szCs w:val="21"/>
                  </w:rPr>
                  <w:t>比例</w:t>
                </w:r>
                <w:r>
                  <w:rPr>
                    <w:szCs w:val="21"/>
                  </w:rPr>
                  <w:t>(%)</w:t>
                </w:r>
              </w:p>
            </w:tc>
          </w:sdtContent>
        </w:sdt>
      </w:tr>
      <w:tr>
        <w:trPr>
          <w:cantSplit/>
          <w:trHeight w:val="99"/>
        </w:trPr>
        <w:tc>
          <w:tcPr>
            <w:tcW w:w="764" w:type="pct"/>
          </w:tcPr>
          <w:p>
            <w:pPr>
              <w:ind w:right="5"/>
              <w:rPr>
                <w:szCs w:val="21"/>
              </w:rPr>
            </w:pPr>
            <w:r>
              <w:rPr>
                <w:rFonts w:hint="eastAsia"/>
                <w:szCs w:val="21"/>
              </w:rPr>
              <w:t>1年以内</w:t>
            </w:r>
          </w:p>
        </w:tc>
        <w:tc>
          <w:tcPr>
            <w:tcW w:w="1063" w:type="pct"/>
            <w:vAlign w:val="center"/>
          </w:tcPr>
          <w:p>
            <w:pPr>
              <w:pStyle w:val="affffffffffffffffffffffffffffffffe"/>
              <w:jc w:val="right"/>
            </w:pPr>
            <w:r>
              <w:t>4,675,044</w:t>
            </w:r>
          </w:p>
        </w:tc>
        <w:tc>
          <w:tcPr>
            <w:tcW w:w="1055" w:type="pct"/>
            <w:vAlign w:val="center"/>
          </w:tcPr>
          <w:p>
            <w:pPr>
              <w:pStyle w:val="affffffffffffffffffffffffffffffffe"/>
              <w:jc w:val="right"/>
            </w:pPr>
            <w:r>
              <w:t>98</w:t>
            </w:r>
          </w:p>
        </w:tc>
        <w:tc>
          <w:tcPr>
            <w:tcW w:w="1054" w:type="pct"/>
            <w:vAlign w:val="center"/>
          </w:tcPr>
          <w:p>
            <w:pPr>
              <w:pStyle w:val="affffffffffffffffffffffffffffffffe"/>
              <w:jc w:val="right"/>
            </w:pPr>
            <w:r>
              <w:t>4,940,235</w:t>
            </w:r>
          </w:p>
        </w:tc>
        <w:tc>
          <w:tcPr>
            <w:tcW w:w="1063" w:type="pct"/>
            <w:vAlign w:val="center"/>
          </w:tcPr>
          <w:p>
            <w:pPr>
              <w:pStyle w:val="affffffffffffffffffffffffffffffffe"/>
              <w:jc w:val="right"/>
            </w:pPr>
            <w:r>
              <w:t>97</w:t>
            </w:r>
          </w:p>
        </w:tc>
      </w:tr>
      <w:tr>
        <w:trPr>
          <w:cantSplit/>
        </w:trPr>
        <w:tc>
          <w:tcPr>
            <w:tcW w:w="764" w:type="pct"/>
          </w:tcPr>
          <w:p>
            <w:pPr>
              <w:ind w:right="5"/>
              <w:rPr>
                <w:szCs w:val="21"/>
              </w:rPr>
            </w:pPr>
            <w:r>
              <w:rPr>
                <w:rFonts w:hint="eastAsia"/>
                <w:szCs w:val="21"/>
              </w:rPr>
              <w:t>1至2年</w:t>
            </w:r>
          </w:p>
        </w:tc>
        <w:tc>
          <w:tcPr>
            <w:tcW w:w="1063" w:type="pct"/>
            <w:vAlign w:val="center"/>
          </w:tcPr>
          <w:p>
            <w:pPr>
              <w:pStyle w:val="affffffffffffffffffffffffffffffffe"/>
              <w:jc w:val="right"/>
            </w:pPr>
            <w:r>
              <w:t>50,531</w:t>
            </w:r>
          </w:p>
        </w:tc>
        <w:tc>
          <w:tcPr>
            <w:tcW w:w="1055" w:type="pct"/>
            <w:vAlign w:val="center"/>
          </w:tcPr>
          <w:p>
            <w:pPr>
              <w:pStyle w:val="affffffffffffffffffffffffffffffffe"/>
              <w:jc w:val="right"/>
            </w:pPr>
            <w:r>
              <w:t>1</w:t>
            </w:r>
          </w:p>
        </w:tc>
        <w:tc>
          <w:tcPr>
            <w:tcW w:w="1054" w:type="pct"/>
            <w:vAlign w:val="center"/>
          </w:tcPr>
          <w:p>
            <w:pPr>
              <w:pStyle w:val="affffffffffffffffffffffffffffffffe"/>
              <w:jc w:val="right"/>
            </w:pPr>
            <w:r>
              <w:t>42,517</w:t>
            </w:r>
          </w:p>
        </w:tc>
        <w:tc>
          <w:tcPr>
            <w:tcW w:w="1063" w:type="pct"/>
            <w:vAlign w:val="center"/>
          </w:tcPr>
          <w:p>
            <w:pPr>
              <w:pStyle w:val="affffffffffffffffffffffffffffffffe"/>
              <w:jc w:val="right"/>
            </w:pPr>
            <w:r>
              <w:t>1</w:t>
            </w:r>
          </w:p>
        </w:tc>
      </w:tr>
      <w:tr>
        <w:trPr>
          <w:cantSplit/>
        </w:trPr>
        <w:tc>
          <w:tcPr>
            <w:tcW w:w="764" w:type="pct"/>
          </w:tcPr>
          <w:p>
            <w:pPr>
              <w:ind w:right="5"/>
              <w:rPr>
                <w:szCs w:val="21"/>
              </w:rPr>
            </w:pPr>
            <w:r>
              <w:rPr>
                <w:rFonts w:hint="eastAsia"/>
                <w:szCs w:val="21"/>
              </w:rPr>
              <w:t>2至3年</w:t>
            </w:r>
          </w:p>
        </w:tc>
        <w:tc>
          <w:tcPr>
            <w:tcW w:w="1063" w:type="pct"/>
            <w:vAlign w:val="center"/>
          </w:tcPr>
          <w:p>
            <w:pPr>
              <w:pStyle w:val="affffffffffffffffffffffffffffffffe"/>
              <w:jc w:val="right"/>
            </w:pPr>
            <w:r>
              <w:t>12,755</w:t>
            </w:r>
          </w:p>
        </w:tc>
        <w:tc>
          <w:tcPr>
            <w:tcW w:w="1055" w:type="pct"/>
            <w:vAlign w:val="center"/>
          </w:tcPr>
          <w:p>
            <w:pPr>
              <w:pStyle w:val="affffffffffffffffffffffffffffffffe"/>
              <w:jc w:val="right"/>
            </w:pPr>
            <w:r>
              <w:t>1</w:t>
            </w:r>
          </w:p>
        </w:tc>
        <w:tc>
          <w:tcPr>
            <w:tcW w:w="1054" w:type="pct"/>
            <w:vAlign w:val="center"/>
          </w:tcPr>
          <w:p>
            <w:pPr>
              <w:pStyle w:val="affffffffffffffffffffffffffffffffe"/>
              <w:jc w:val="right"/>
            </w:pPr>
            <w:r>
              <w:t>12,789</w:t>
            </w:r>
          </w:p>
        </w:tc>
        <w:tc>
          <w:tcPr>
            <w:tcW w:w="1063" w:type="pct"/>
            <w:vAlign w:val="center"/>
          </w:tcPr>
          <w:p>
            <w:pPr>
              <w:pStyle w:val="affffffffffffffffffffffffffffffffe"/>
              <w:jc w:val="right"/>
            </w:pPr>
            <w:r>
              <w:rPr>
                <w:rFonts w:hint="eastAsia"/>
              </w:rPr>
              <w:t>1</w:t>
            </w:r>
          </w:p>
        </w:tc>
      </w:tr>
      <w:tr>
        <w:trPr>
          <w:cantSplit/>
        </w:trPr>
        <w:tc>
          <w:tcPr>
            <w:tcW w:w="764" w:type="pct"/>
          </w:tcPr>
          <w:p>
            <w:pPr>
              <w:ind w:right="5"/>
              <w:rPr>
                <w:szCs w:val="21"/>
              </w:rPr>
            </w:pPr>
            <w:r>
              <w:rPr>
                <w:rFonts w:hint="eastAsia"/>
                <w:szCs w:val="21"/>
              </w:rPr>
              <w:t>3年以上</w:t>
            </w:r>
          </w:p>
        </w:tc>
        <w:tc>
          <w:tcPr>
            <w:tcW w:w="1063" w:type="pct"/>
            <w:vAlign w:val="center"/>
          </w:tcPr>
          <w:p>
            <w:pPr>
              <w:pStyle w:val="affffffffffffffffffffffffffffffffe"/>
              <w:jc w:val="right"/>
            </w:pPr>
            <w:r>
              <w:t>8,737</w:t>
            </w:r>
          </w:p>
        </w:tc>
        <w:tc>
          <w:tcPr>
            <w:tcW w:w="1055" w:type="pct"/>
            <w:vAlign w:val="center"/>
          </w:tcPr>
          <w:p>
            <w:pPr>
              <w:pStyle w:val="affffffffffffffffffffffffffffffffe"/>
              <w:jc w:val="right"/>
            </w:pPr>
            <w:r>
              <w:rPr>
                <w:rFonts w:hint="eastAsia"/>
              </w:rPr>
              <w:t>1</w:t>
            </w:r>
          </w:p>
        </w:tc>
        <w:tc>
          <w:tcPr>
            <w:tcW w:w="1054" w:type="pct"/>
            <w:vAlign w:val="center"/>
          </w:tcPr>
          <w:p>
            <w:pPr>
              <w:pStyle w:val="affffffffffffffffffffffffffffffffe"/>
              <w:jc w:val="right"/>
            </w:pPr>
            <w:r>
              <w:t>87,395</w:t>
            </w:r>
          </w:p>
        </w:tc>
        <w:tc>
          <w:tcPr>
            <w:tcW w:w="1063" w:type="pct"/>
            <w:vAlign w:val="center"/>
          </w:tcPr>
          <w:p>
            <w:pPr>
              <w:pStyle w:val="affffffffffffffffffffffffffffffffe"/>
              <w:jc w:val="right"/>
            </w:pPr>
            <w:r>
              <w:t>2</w:t>
            </w:r>
          </w:p>
        </w:tc>
      </w:tr>
      <w:tr>
        <w:trPr>
          <w:cantSplit/>
        </w:trPr>
        <w:tc>
          <w:tcPr>
            <w:tcW w:w="764" w:type="pct"/>
          </w:tcPr>
          <w:p>
            <w:pPr>
              <w:ind w:right="5"/>
              <w:jc w:val="center"/>
              <w:rPr>
                <w:szCs w:val="21"/>
              </w:rPr>
            </w:pPr>
            <w:r>
              <w:rPr>
                <w:rFonts w:hint="eastAsia"/>
                <w:szCs w:val="21"/>
              </w:rPr>
              <w:t>合计</w:t>
            </w:r>
          </w:p>
        </w:tc>
        <w:tc>
          <w:tcPr>
            <w:tcW w:w="1063" w:type="pct"/>
            <w:vAlign w:val="center"/>
          </w:tcPr>
          <w:p>
            <w:pPr>
              <w:pStyle w:val="affffffffffffffffffffffffffffffffe"/>
              <w:jc w:val="right"/>
            </w:pPr>
            <w:r>
              <w:t>4,747,067</w:t>
            </w:r>
          </w:p>
        </w:tc>
        <w:tc>
          <w:tcPr>
            <w:tcW w:w="1055" w:type="pct"/>
            <w:vAlign w:val="center"/>
          </w:tcPr>
          <w:p>
            <w:pPr>
              <w:pStyle w:val="affffffffffffffffffffffffffffffffe"/>
              <w:jc w:val="right"/>
            </w:pPr>
            <w:r>
              <w:t>100</w:t>
            </w:r>
          </w:p>
        </w:tc>
        <w:tc>
          <w:tcPr>
            <w:tcW w:w="1054" w:type="pct"/>
            <w:vAlign w:val="center"/>
          </w:tcPr>
          <w:p>
            <w:pPr>
              <w:pStyle w:val="affffffffffffffffffffffffffffffffe"/>
              <w:jc w:val="right"/>
            </w:pPr>
            <w:r>
              <w:t>5,082,936</w:t>
            </w:r>
          </w:p>
        </w:tc>
        <w:tc>
          <w:tcPr>
            <w:tcW w:w="1063" w:type="pct"/>
            <w:vAlign w:val="center"/>
          </w:tcPr>
          <w:p>
            <w:pPr>
              <w:pStyle w:val="affffffffffffffffffffffffffffffffe"/>
              <w:jc w:val="right"/>
            </w:pPr>
            <w:r>
              <w:t>100</w:t>
            </w:r>
          </w:p>
        </w:tc>
      </w:tr>
    </w:tbl>
    <w:p>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264852806"/>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1"/>
        <w:numPr>
          <w:ilvl w:val="3"/>
          <w:numId w:val="107"/>
        </w:numPr>
        <w:ind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1058374"/>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按预付对象归集的期末余额前五名的预付款情况"/>
          <w:tag w:val="_GBC_1bbaf3870d2242f8a1ec8260382d458c"/>
          <w:id w:val="44110941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按预付对象归集的期末余额前五名的预付款情况"/>
          <w:tag w:val="_GBC_77617525e63041b99aaabf038d02c871"/>
          <w:id w:val="-21473381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5"/>
        <w:gridCol w:w="2206"/>
        <w:gridCol w:w="2206"/>
        <w:gridCol w:w="2206"/>
      </w:tblGrid>
      <w:tr>
        <w:trPr>
          <w:cantSplit/>
        </w:trPr>
        <w:sdt>
          <w:sdtPr>
            <w:tag w:val="_PLD_0ab17d7ae0014b6192c9dd0e6d3d3a25"/>
            <w:id w:val="-1220052146"/>
          </w:sdtPr>
          <w:sdtContent>
            <w:tc>
              <w:tcPr>
                <w:tcW w:w="1250" w:type="pct"/>
                <w:vAlign w:val="center"/>
              </w:tcPr>
              <w:p>
                <w:pPr>
                  <w:ind w:right="105"/>
                  <w:jc w:val="center"/>
                  <w:rPr>
                    <w:szCs w:val="21"/>
                  </w:rPr>
                </w:pPr>
                <w:r>
                  <w:rPr>
                    <w:rFonts w:hint="eastAsia"/>
                    <w:szCs w:val="21"/>
                  </w:rPr>
                  <w:t>单位名称</w:t>
                </w:r>
              </w:p>
            </w:tc>
          </w:sdtContent>
        </w:sdt>
        <w:sdt>
          <w:sdtPr>
            <w:tag w:val="_PLD_cdd4a1e632c94d14908eb36a620946a9"/>
            <w:id w:val="-1319564879"/>
          </w:sdtPr>
          <w:sdtContent>
            <w:tc>
              <w:tcPr>
                <w:tcW w:w="1250" w:type="pct"/>
                <w:vAlign w:val="center"/>
              </w:tcPr>
              <w:p>
                <w:pPr>
                  <w:ind w:right="73"/>
                  <w:jc w:val="center"/>
                  <w:rPr>
                    <w:szCs w:val="21"/>
                  </w:rPr>
                </w:pPr>
                <w:r>
                  <w:rPr>
                    <w:rFonts w:hint="eastAsia"/>
                    <w:szCs w:val="21"/>
                  </w:rPr>
                  <w:t>期末余额</w:t>
                </w:r>
              </w:p>
            </w:tc>
          </w:sdtContent>
        </w:sdt>
        <w:tc>
          <w:tcPr>
            <w:tcW w:w="1250" w:type="pct"/>
            <w:vAlign w:val="center"/>
          </w:tcPr>
          <w:p>
            <w:pPr>
              <w:jc w:val="center"/>
            </w:pPr>
            <w:r>
              <w:rPr>
                <w:rFonts w:hint="eastAsia"/>
                <w:szCs w:val="21"/>
              </w:rPr>
              <w:t>账龄</w:t>
            </w:r>
          </w:p>
        </w:tc>
        <w:sdt>
          <w:sdtPr>
            <w:tag w:val="_PLD_c9db34035f63426095900b82cc8a8131"/>
            <w:id w:val="67319447"/>
          </w:sdtPr>
          <w:sdtContent>
            <w:tc>
              <w:tcPr>
                <w:tcW w:w="1250" w:type="pct"/>
                <w:vAlign w:val="center"/>
              </w:tcPr>
              <w:p>
                <w:pPr>
                  <w:jc w:val="center"/>
                  <w:rPr>
                    <w:szCs w:val="21"/>
                  </w:rPr>
                </w:pPr>
                <w:r>
                  <w:rPr>
                    <w:rFonts w:hint="eastAsia"/>
                    <w:szCs w:val="21"/>
                  </w:rPr>
                  <w:t>占预付款项期末余额合计数的比例(</w:t>
                </w:r>
                <w:r>
                  <w:rPr>
                    <w:szCs w:val="21"/>
                  </w:rPr>
                  <w:t>%)</w:t>
                </w:r>
              </w:p>
            </w:tc>
          </w:sdtContent>
        </w:sdt>
      </w:tr>
      <w:tr>
        <w:trPr>
          <w:cantSplit/>
        </w:trPr>
        <w:tc>
          <w:tcPr>
            <w:tcW w:w="1250" w:type="pct"/>
          </w:tcPr>
          <w:p>
            <w:pPr>
              <w:ind w:right="105"/>
              <w:rPr>
                <w:szCs w:val="21"/>
              </w:rPr>
            </w:pPr>
            <w:r>
              <w:rPr>
                <w:rFonts w:hint="eastAsia"/>
                <w:szCs w:val="21"/>
              </w:rPr>
              <w:t>公司1</w:t>
            </w:r>
          </w:p>
        </w:tc>
        <w:tc>
          <w:tcPr>
            <w:tcW w:w="1250" w:type="pct"/>
            <w:vAlign w:val="center"/>
          </w:tcPr>
          <w:p>
            <w:pPr>
              <w:pStyle w:val="affffffffffffffffffffffffffffffffe"/>
              <w:jc w:val="right"/>
            </w:pPr>
            <w:r>
              <w:t>299,805</w:t>
            </w:r>
          </w:p>
        </w:tc>
        <w:tc>
          <w:tcPr>
            <w:tcW w:w="1250" w:type="pct"/>
            <w:vAlign w:val="center"/>
          </w:tcPr>
          <w:p>
            <w:pPr>
              <w:pStyle w:val="affffffffffffffffffffffffffffffffe"/>
              <w:jc w:val="right"/>
            </w:pPr>
            <w:r>
              <w:t>1年以内</w:t>
            </w:r>
          </w:p>
        </w:tc>
        <w:tc>
          <w:tcPr>
            <w:tcW w:w="1250" w:type="pct"/>
            <w:vAlign w:val="center"/>
          </w:tcPr>
          <w:p>
            <w:pPr>
              <w:jc w:val="right"/>
              <w:rPr>
                <w:rFonts w:cs="Times New Roman"/>
                <w:szCs w:val="20"/>
              </w:rPr>
            </w:pPr>
            <w:r>
              <w:rPr>
                <w:rFonts w:cs="Times New Roman"/>
                <w:szCs w:val="20"/>
              </w:rPr>
              <w:t>6</w:t>
            </w:r>
          </w:p>
        </w:tc>
      </w:tr>
      <w:tr>
        <w:trPr>
          <w:cantSplit/>
        </w:trPr>
        <w:tc>
          <w:tcPr>
            <w:tcW w:w="1250" w:type="pct"/>
          </w:tcPr>
          <w:p>
            <w:pPr>
              <w:ind w:right="105"/>
              <w:rPr>
                <w:szCs w:val="21"/>
              </w:rPr>
            </w:pPr>
            <w:r>
              <w:rPr>
                <w:rFonts w:hint="eastAsia"/>
                <w:szCs w:val="21"/>
              </w:rPr>
              <w:t>公司2</w:t>
            </w:r>
          </w:p>
        </w:tc>
        <w:tc>
          <w:tcPr>
            <w:tcW w:w="1250" w:type="pct"/>
            <w:vAlign w:val="center"/>
          </w:tcPr>
          <w:p>
            <w:pPr>
              <w:pStyle w:val="affffffffffffffffffffffffffffffffe"/>
              <w:jc w:val="right"/>
            </w:pPr>
            <w:r>
              <w:t>648,840</w:t>
            </w:r>
          </w:p>
        </w:tc>
        <w:tc>
          <w:tcPr>
            <w:tcW w:w="1250" w:type="pct"/>
            <w:vAlign w:val="center"/>
          </w:tcPr>
          <w:p>
            <w:pPr>
              <w:pStyle w:val="affffffffffffffffffffffffffffffffe"/>
              <w:jc w:val="right"/>
            </w:pPr>
            <w:r>
              <w:t>1年以内</w:t>
            </w:r>
          </w:p>
        </w:tc>
        <w:tc>
          <w:tcPr>
            <w:tcW w:w="1250" w:type="pct"/>
            <w:vAlign w:val="center"/>
          </w:tcPr>
          <w:p>
            <w:pPr>
              <w:jc w:val="right"/>
              <w:rPr>
                <w:rFonts w:cs="Times New Roman"/>
                <w:sz w:val="20"/>
                <w:szCs w:val="20"/>
              </w:rPr>
            </w:pPr>
            <w:r>
              <w:rPr>
                <w:rFonts w:cs="Times New Roman"/>
                <w:sz w:val="20"/>
                <w:szCs w:val="20"/>
              </w:rPr>
              <w:t>14</w:t>
            </w:r>
          </w:p>
        </w:tc>
      </w:tr>
      <w:tr>
        <w:trPr>
          <w:cantSplit/>
        </w:trPr>
        <w:tc>
          <w:tcPr>
            <w:tcW w:w="1250" w:type="pct"/>
          </w:tcPr>
          <w:p>
            <w:pPr>
              <w:ind w:right="105"/>
              <w:rPr>
                <w:szCs w:val="21"/>
              </w:rPr>
            </w:pPr>
            <w:r>
              <w:rPr>
                <w:rFonts w:hint="eastAsia"/>
                <w:szCs w:val="21"/>
              </w:rPr>
              <w:t>公司3</w:t>
            </w:r>
          </w:p>
        </w:tc>
        <w:tc>
          <w:tcPr>
            <w:tcW w:w="1250" w:type="pct"/>
            <w:vAlign w:val="center"/>
          </w:tcPr>
          <w:p>
            <w:pPr>
              <w:pStyle w:val="affffffffffffffffffffffffffffffffe"/>
              <w:jc w:val="right"/>
            </w:pPr>
            <w:r>
              <w:t>396,960</w:t>
            </w:r>
          </w:p>
        </w:tc>
        <w:tc>
          <w:tcPr>
            <w:tcW w:w="1250" w:type="pct"/>
            <w:vAlign w:val="center"/>
          </w:tcPr>
          <w:p>
            <w:pPr>
              <w:pStyle w:val="affffffffffffffffffffffffffffffffe"/>
              <w:jc w:val="right"/>
            </w:pPr>
            <w:r>
              <w:t>1年以内</w:t>
            </w:r>
          </w:p>
        </w:tc>
        <w:tc>
          <w:tcPr>
            <w:tcW w:w="1250" w:type="pct"/>
            <w:vAlign w:val="center"/>
          </w:tcPr>
          <w:p>
            <w:pPr>
              <w:jc w:val="right"/>
              <w:rPr>
                <w:rFonts w:cs="Times New Roman"/>
                <w:sz w:val="20"/>
                <w:szCs w:val="20"/>
              </w:rPr>
            </w:pPr>
            <w:r>
              <w:rPr>
                <w:rFonts w:cs="Times New Roman"/>
                <w:sz w:val="20"/>
                <w:szCs w:val="20"/>
              </w:rPr>
              <w:t>8</w:t>
            </w:r>
          </w:p>
        </w:tc>
      </w:tr>
      <w:tr>
        <w:trPr>
          <w:cantSplit/>
        </w:trPr>
        <w:tc>
          <w:tcPr>
            <w:tcW w:w="1250" w:type="pct"/>
          </w:tcPr>
          <w:p>
            <w:pPr>
              <w:ind w:right="105"/>
              <w:rPr>
                <w:szCs w:val="21"/>
              </w:rPr>
            </w:pPr>
            <w:r>
              <w:rPr>
                <w:rFonts w:hint="eastAsia"/>
                <w:szCs w:val="21"/>
              </w:rPr>
              <w:t>公司4</w:t>
            </w:r>
          </w:p>
        </w:tc>
        <w:tc>
          <w:tcPr>
            <w:tcW w:w="1250" w:type="pct"/>
            <w:vAlign w:val="center"/>
          </w:tcPr>
          <w:p>
            <w:pPr>
              <w:ind w:right="73"/>
              <w:jc w:val="right"/>
              <w:rPr>
                <w:szCs w:val="21"/>
              </w:rPr>
            </w:pPr>
            <w:r>
              <w:rPr>
                <w:szCs w:val="21"/>
              </w:rPr>
              <w:t>366,170</w:t>
            </w:r>
          </w:p>
        </w:tc>
        <w:tc>
          <w:tcPr>
            <w:tcW w:w="1250" w:type="pct"/>
            <w:vAlign w:val="center"/>
          </w:tcPr>
          <w:p>
            <w:pPr>
              <w:jc w:val="right"/>
              <w:rPr>
                <w:szCs w:val="21"/>
              </w:rPr>
            </w:pPr>
            <w:r>
              <w:rPr>
                <w:szCs w:val="21"/>
              </w:rPr>
              <w:t>1年以内</w:t>
            </w:r>
          </w:p>
        </w:tc>
        <w:tc>
          <w:tcPr>
            <w:tcW w:w="1250" w:type="pct"/>
            <w:vAlign w:val="center"/>
          </w:tcPr>
          <w:p>
            <w:pPr>
              <w:jc w:val="right"/>
              <w:rPr>
                <w:szCs w:val="21"/>
              </w:rPr>
            </w:pPr>
            <w:r>
              <w:rPr>
                <w:szCs w:val="21"/>
              </w:rPr>
              <w:t>8</w:t>
            </w:r>
          </w:p>
        </w:tc>
      </w:tr>
      <w:tr>
        <w:trPr>
          <w:cantSplit/>
        </w:trPr>
        <w:tc>
          <w:tcPr>
            <w:tcW w:w="1250" w:type="pct"/>
          </w:tcPr>
          <w:p>
            <w:pPr>
              <w:ind w:right="105"/>
              <w:rPr>
                <w:szCs w:val="21"/>
              </w:rPr>
            </w:pPr>
            <w:r>
              <w:rPr>
                <w:rFonts w:hint="eastAsia"/>
                <w:szCs w:val="21"/>
              </w:rPr>
              <w:t>公司5</w:t>
            </w:r>
          </w:p>
        </w:tc>
        <w:tc>
          <w:tcPr>
            <w:tcW w:w="1250" w:type="pct"/>
            <w:vAlign w:val="center"/>
          </w:tcPr>
          <w:p>
            <w:pPr>
              <w:ind w:right="73"/>
              <w:jc w:val="right"/>
              <w:rPr>
                <w:szCs w:val="21"/>
              </w:rPr>
            </w:pPr>
            <w:r>
              <w:rPr>
                <w:szCs w:val="21"/>
              </w:rPr>
              <w:t>299,905</w:t>
            </w:r>
          </w:p>
        </w:tc>
        <w:tc>
          <w:tcPr>
            <w:tcW w:w="1250" w:type="pct"/>
            <w:vAlign w:val="center"/>
          </w:tcPr>
          <w:p>
            <w:pPr>
              <w:jc w:val="right"/>
              <w:rPr>
                <w:szCs w:val="21"/>
              </w:rPr>
            </w:pPr>
            <w:r>
              <w:rPr>
                <w:szCs w:val="21"/>
              </w:rPr>
              <w:t>1年以内</w:t>
            </w:r>
          </w:p>
        </w:tc>
        <w:tc>
          <w:tcPr>
            <w:tcW w:w="1250" w:type="pct"/>
            <w:vAlign w:val="center"/>
          </w:tcPr>
          <w:p>
            <w:pPr>
              <w:jc w:val="right"/>
              <w:rPr>
                <w:szCs w:val="21"/>
              </w:rPr>
            </w:pPr>
            <w:r>
              <w:rPr>
                <w:szCs w:val="21"/>
              </w:rPr>
              <w:t>6</w:t>
            </w:r>
          </w:p>
        </w:tc>
      </w:tr>
      <w:tr>
        <w:trPr>
          <w:cantSplit/>
        </w:trPr>
        <w:tc>
          <w:tcPr>
            <w:tcW w:w="1250" w:type="pct"/>
          </w:tcPr>
          <w:p>
            <w:pPr>
              <w:ind w:right="105"/>
              <w:jc w:val="center"/>
              <w:rPr>
                <w:szCs w:val="21"/>
              </w:rPr>
            </w:pPr>
            <w:r>
              <w:rPr>
                <w:rFonts w:hint="eastAsia"/>
                <w:szCs w:val="21"/>
              </w:rPr>
              <w:t>合计</w:t>
            </w:r>
          </w:p>
        </w:tc>
        <w:tc>
          <w:tcPr>
            <w:tcW w:w="1250" w:type="pct"/>
            <w:vAlign w:val="center"/>
          </w:tcPr>
          <w:p>
            <w:pPr>
              <w:jc w:val="right"/>
            </w:pPr>
            <w:r>
              <w:t>2,011,680</w:t>
            </w:r>
          </w:p>
        </w:tc>
        <w:tc>
          <w:tcPr>
            <w:tcW w:w="1250" w:type="pct"/>
            <w:vAlign w:val="center"/>
          </w:tcPr>
          <w:p>
            <w:pPr>
              <w:jc w:val="right"/>
            </w:pPr>
          </w:p>
        </w:tc>
        <w:tc>
          <w:tcPr>
            <w:tcW w:w="1250" w:type="pct"/>
            <w:vAlign w:val="center"/>
          </w:tcPr>
          <w:p>
            <w:pPr>
              <w:jc w:val="right"/>
            </w:pPr>
            <w:r>
              <w:t>42</w:t>
            </w:r>
          </w:p>
        </w:tc>
      </w:tr>
    </w:tbl>
    <w:p>
      <w:pPr>
        <w:snapToGrid w:val="0"/>
        <w:spacing w:line="240" w:lineRule="atLeast"/>
        <w:rPr>
          <w:szCs w:val="21"/>
        </w:rPr>
      </w:pPr>
    </w:p>
    <w:p>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1774083120"/>
        <w:placeholder>
          <w:docPart w:val="GBC22222222222222222222222222222"/>
        </w:placeholder>
      </w:sdtPr>
      <w:sdtContent>
        <w:p>
          <w:pPr>
            <w:snapToGrid w:val="0"/>
            <w:spacing w:line="240" w:lineRule="atLeast"/>
            <w:rPr>
              <w:szCs w:val="21"/>
            </w:rPr>
          </w:pPr>
          <w:r>
            <w:rPr>
              <w:szCs w:val="21"/>
            </w:rPr>
            <w:t>-</w:t>
          </w:r>
        </w:p>
      </w:sdtContent>
    </w:sdt>
    <w:p>
      <w:pPr>
        <w:snapToGrid w:val="0"/>
        <w:spacing w:line="240" w:lineRule="atLeast"/>
        <w:rPr>
          <w:szCs w:val="21"/>
        </w:rPr>
      </w:pPr>
    </w:p>
    <w:p>
      <w:pPr>
        <w:pStyle w:val="affffffffffffffffffffffffffffffffe"/>
      </w:pPr>
      <w:r>
        <w:rPr>
          <w:rFonts w:hint="eastAsia"/>
        </w:rPr>
        <w:t>其他说明：</w:t>
      </w:r>
    </w:p>
    <w:sdt>
      <w:sdtPr>
        <w:rPr>
          <w:rFonts w:hint="eastAsia"/>
          <w:szCs w:val="21"/>
        </w:rPr>
        <w:alias w:val="是否适用：预付帐款的说明[双击切换]"/>
        <w:tag w:val="_GBC_292d88b78b6d439981e508e0126d8061"/>
        <w:id w:val="-107897342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03"/>
        </w:numPr>
      </w:pPr>
      <w:r>
        <w:rPr>
          <w:rFonts w:hint="eastAsia"/>
        </w:rPr>
        <w:t>其他应收款</w:t>
      </w:r>
    </w:p>
    <w:p>
      <w:pPr>
        <w:pStyle w:val="afffffffffffffffffffffffffffffffff1"/>
        <w:numPr>
          <w:ilvl w:val="0"/>
          <w:numId w:val="162"/>
        </w:numPr>
      </w:pPr>
      <w:bookmarkStart w:id="376"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205765896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收款分类列示"/>
          <w:tag w:val="_GBC_7f9aa6546943491ca0ac8585be1822b5"/>
          <w:id w:val="-1829358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其他应收款分类列示"/>
          <w:tag w:val="_GBC_04bd5c819b004daf9b35f05cdd98046d"/>
          <w:id w:val="-262537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trPr>
          <w:cantSplit/>
        </w:trPr>
        <w:sdt>
          <w:sdtPr>
            <w:tag w:val="_PLD_4377dcbf8fc04365884311b6628ee70c"/>
            <w:id w:val="-861360138"/>
          </w:sdtPr>
          <w:sdtContent>
            <w:tc>
              <w:tcPr>
                <w:tcW w:w="1764" w:type="pct"/>
                <w:vAlign w:val="center"/>
              </w:tcPr>
              <w:p>
                <w:pPr>
                  <w:jc w:val="center"/>
                  <w:rPr>
                    <w:szCs w:val="21"/>
                  </w:rPr>
                </w:pPr>
                <w:r>
                  <w:rPr>
                    <w:rFonts w:hint="eastAsia"/>
                    <w:szCs w:val="21"/>
                  </w:rPr>
                  <w:t>项目</w:t>
                </w:r>
              </w:p>
            </w:tc>
          </w:sdtContent>
        </w:sdt>
        <w:sdt>
          <w:sdtPr>
            <w:tag w:val="_PLD_9eed799cfa4b445abd6bf2c21c8e53d1"/>
            <w:id w:val="-892347249"/>
          </w:sdtPr>
          <w:sdtContent>
            <w:tc>
              <w:tcPr>
                <w:tcW w:w="1622" w:type="pct"/>
                <w:vAlign w:val="center"/>
              </w:tcPr>
              <w:p>
                <w:pPr>
                  <w:jc w:val="center"/>
                  <w:rPr>
                    <w:szCs w:val="21"/>
                  </w:rPr>
                </w:pPr>
                <w:r>
                  <w:rPr>
                    <w:rFonts w:hint="eastAsia"/>
                    <w:szCs w:val="21"/>
                  </w:rPr>
                  <w:t>期末余额</w:t>
                </w:r>
              </w:p>
            </w:tc>
          </w:sdtContent>
        </w:sdt>
        <w:sdt>
          <w:sdtPr>
            <w:tag w:val="_PLD_200365ee1196470e91075b949a7f5552"/>
            <w:id w:val="-787274856"/>
          </w:sdtPr>
          <w:sdtContent>
            <w:tc>
              <w:tcPr>
                <w:tcW w:w="1614" w:type="pct"/>
                <w:vAlign w:val="center"/>
              </w:tcPr>
              <w:p>
                <w:pPr>
                  <w:jc w:val="center"/>
                  <w:rPr>
                    <w:szCs w:val="21"/>
                  </w:rPr>
                </w:pPr>
                <w:r>
                  <w:rPr>
                    <w:rFonts w:hint="eastAsia"/>
                    <w:szCs w:val="21"/>
                  </w:rPr>
                  <w:t>期初余额</w:t>
                </w:r>
              </w:p>
            </w:tc>
          </w:sdtContent>
        </w:sdt>
      </w:tr>
      <w:tr>
        <w:trPr>
          <w:cantSplit/>
        </w:trPr>
        <w:tc>
          <w:tcPr>
            <w:tcW w:w="1764" w:type="pct"/>
          </w:tcPr>
          <w:p>
            <w:pPr>
              <w:ind w:right="5"/>
              <w:rPr>
                <w:szCs w:val="21"/>
              </w:rPr>
            </w:pPr>
            <w:r>
              <w:rPr>
                <w:rFonts w:hint="eastAsia"/>
                <w:szCs w:val="21"/>
              </w:rPr>
              <w:t>应收利息</w:t>
            </w:r>
          </w:p>
        </w:tc>
        <w:tc>
          <w:tcPr>
            <w:tcW w:w="1622" w:type="pct"/>
            <w:vAlign w:val="center"/>
          </w:tcPr>
          <w:p>
            <w:pPr>
              <w:pStyle w:val="affffffffffffffffffffffffffffffffe"/>
              <w:jc w:val="right"/>
            </w:pPr>
          </w:p>
        </w:tc>
        <w:tc>
          <w:tcPr>
            <w:tcW w:w="1614" w:type="pct"/>
            <w:vAlign w:val="center"/>
          </w:tcPr>
          <w:p>
            <w:pPr>
              <w:pStyle w:val="affffffffffffffffffffffffffffffffe"/>
              <w:jc w:val="right"/>
            </w:pPr>
          </w:p>
        </w:tc>
      </w:tr>
      <w:tr>
        <w:trPr>
          <w:cantSplit/>
        </w:trPr>
        <w:tc>
          <w:tcPr>
            <w:tcW w:w="1764" w:type="pct"/>
          </w:tcPr>
          <w:p>
            <w:pPr>
              <w:ind w:right="5"/>
              <w:rPr>
                <w:szCs w:val="21"/>
              </w:rPr>
            </w:pPr>
            <w:r>
              <w:rPr>
                <w:rFonts w:hint="eastAsia"/>
                <w:szCs w:val="21"/>
              </w:rPr>
              <w:t>应收股利</w:t>
            </w:r>
          </w:p>
        </w:tc>
        <w:tc>
          <w:tcPr>
            <w:tcW w:w="1622" w:type="pct"/>
            <w:vAlign w:val="center"/>
          </w:tcPr>
          <w:p>
            <w:pPr>
              <w:pStyle w:val="affffffffffffffffffffffffffffffffe"/>
              <w:jc w:val="right"/>
            </w:pPr>
            <w:r>
              <w:t>45,974</w:t>
            </w:r>
          </w:p>
        </w:tc>
        <w:tc>
          <w:tcPr>
            <w:tcW w:w="1614" w:type="pct"/>
            <w:vAlign w:val="center"/>
          </w:tcPr>
          <w:p>
            <w:pPr>
              <w:pStyle w:val="affffffffffffffffffffffffffffffffe"/>
              <w:jc w:val="right"/>
            </w:pPr>
            <w:r>
              <w:t>455,230</w:t>
            </w:r>
          </w:p>
        </w:tc>
      </w:tr>
      <w:tr>
        <w:trPr>
          <w:cantSplit/>
        </w:trPr>
        <w:tc>
          <w:tcPr>
            <w:tcW w:w="1764" w:type="pct"/>
          </w:tcPr>
          <w:p>
            <w:pPr>
              <w:ind w:right="5"/>
              <w:rPr>
                <w:szCs w:val="21"/>
              </w:rPr>
            </w:pPr>
            <w:r>
              <w:rPr>
                <w:rFonts w:hint="eastAsia"/>
                <w:szCs w:val="21"/>
              </w:rPr>
              <w:t>其他应收款</w:t>
            </w:r>
          </w:p>
        </w:tc>
        <w:tc>
          <w:tcPr>
            <w:tcW w:w="1622" w:type="pct"/>
            <w:vAlign w:val="center"/>
          </w:tcPr>
          <w:p>
            <w:pPr>
              <w:pStyle w:val="affffffffffffffffffffffffffffffffe"/>
              <w:jc w:val="right"/>
            </w:pPr>
            <w:r>
              <w:t>3,437,964</w:t>
            </w:r>
          </w:p>
        </w:tc>
        <w:tc>
          <w:tcPr>
            <w:tcW w:w="1614" w:type="pct"/>
            <w:vAlign w:val="center"/>
          </w:tcPr>
          <w:p>
            <w:pPr>
              <w:pStyle w:val="affffffffffffffffffffffffffffffffe"/>
              <w:jc w:val="right"/>
            </w:pPr>
            <w:r>
              <w:t>3,745,998</w:t>
            </w:r>
          </w:p>
        </w:tc>
      </w:tr>
      <w:tr>
        <w:trPr>
          <w:cantSplit/>
        </w:trPr>
        <w:tc>
          <w:tcPr>
            <w:tcW w:w="1764" w:type="pct"/>
          </w:tcPr>
          <w:p>
            <w:pPr>
              <w:autoSpaceDE w:val="0"/>
              <w:autoSpaceDN w:val="0"/>
              <w:adjustRightInd w:val="0"/>
              <w:rPr>
                <w:szCs w:val="21"/>
              </w:rPr>
            </w:pPr>
            <w:r>
              <w:rPr>
                <w:rFonts w:hint="eastAsia"/>
                <w:szCs w:val="21"/>
              </w:rPr>
              <w:t>合计</w:t>
            </w:r>
          </w:p>
        </w:tc>
        <w:tc>
          <w:tcPr>
            <w:tcW w:w="1622" w:type="pct"/>
            <w:vAlign w:val="center"/>
          </w:tcPr>
          <w:p>
            <w:pPr>
              <w:pStyle w:val="affffffffffffffffffffffffffffffffe"/>
              <w:jc w:val="right"/>
            </w:pPr>
            <w:r>
              <w:t>3,483,938</w:t>
            </w:r>
          </w:p>
        </w:tc>
        <w:tc>
          <w:tcPr>
            <w:tcW w:w="1614" w:type="pct"/>
            <w:vAlign w:val="center"/>
          </w:tcPr>
          <w:p>
            <w:pPr>
              <w:pStyle w:val="affffffffffffffffffffffffffffffffe"/>
              <w:jc w:val="right"/>
            </w:pPr>
            <w:r>
              <w:t>4,201,228</w:t>
            </w:r>
          </w:p>
        </w:tc>
      </w:tr>
    </w:tbl>
    <w:p>
      <w:pPr>
        <w:pStyle w:val="affffffffffffffffffffffffffffffffe"/>
      </w:pPr>
    </w:p>
    <w:p>
      <w:pPr>
        <w:rPr>
          <w:szCs w:val="21"/>
        </w:rPr>
      </w:pPr>
      <w:bookmarkStart w:id="377" w:name="_Hlk532906097"/>
      <w:bookmarkEnd w:id="376"/>
      <w:r>
        <w:rPr>
          <w:rFonts w:hint="eastAsia"/>
          <w:szCs w:val="21"/>
        </w:rPr>
        <w:t>其他说明</w:t>
      </w:r>
      <w:bookmarkEnd w:id="377"/>
      <w:r>
        <w:rPr>
          <w:rFonts w:hint="eastAsia"/>
          <w:szCs w:val="21"/>
        </w:rPr>
        <w:t>：</w:t>
      </w:r>
    </w:p>
    <w:sdt>
      <w:sdtPr>
        <w:rPr>
          <w:szCs w:val="21"/>
        </w:rPr>
        <w:alias w:val="是否适用：其他应收款分类列示其他说明[双击切换]"/>
        <w:tag w:val="_GBC_87a25d8043fc4fcfac6a8c802b58dfc7"/>
        <w:id w:val="-109170730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62"/>
        </w:numPr>
      </w:pPr>
      <w:r>
        <w:rPr>
          <w:rFonts w:hint="eastAsia"/>
        </w:rPr>
        <w:lastRenderedPageBreak/>
        <w:t>应收利息</w:t>
      </w:r>
    </w:p>
    <w:p>
      <w:pPr>
        <w:pStyle w:val="afffffffffffffffffffffffffffffffff2"/>
        <w:numPr>
          <w:ilvl w:val="0"/>
          <w:numId w:val="163"/>
        </w:numPr>
        <w:ind w:leftChars="0"/>
      </w:pPr>
      <w:r>
        <w:rPr>
          <w:rFonts w:hint="eastAsia"/>
        </w:rPr>
        <w:t>应收利息分类</w:t>
      </w:r>
    </w:p>
    <w:sdt>
      <w:sdtPr>
        <w:alias w:val="是否适用：应收利息分类[双击切换]"/>
        <w:tag w:val="_GBC_83217ec91e3240eeb9ff337eca1b11bb"/>
        <w:id w:val="151672888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2"/>
        <w:numPr>
          <w:ilvl w:val="0"/>
          <w:numId w:val="163"/>
        </w:numPr>
        <w:ind w:leftChars="0"/>
      </w:pPr>
      <w:r>
        <w:rPr>
          <w:rFonts w:hint="eastAsia"/>
        </w:rPr>
        <w:t>重要逾期利息</w:t>
      </w:r>
    </w:p>
    <w:sdt>
      <w:sdtPr>
        <w:alias w:val="是否适用：重要逾期利息[双击切换]"/>
        <w:tag w:val="_GBC_4720cbb6fd9144c2b14ef7120e6159be"/>
        <w:id w:val="204671701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63"/>
        </w:numPr>
        <w:ind w:leftChars="0"/>
        <w:rPr>
          <w:rFonts w:ascii="宋体" w:hAnsi="宋体" w:cs="宋体"/>
          <w:kern w:val="0"/>
          <w:szCs w:val="24"/>
        </w:rPr>
      </w:pPr>
      <w:bookmarkStart w:id="378" w:name="_Hlk153374831"/>
      <w:r>
        <w:rPr>
          <w:rFonts w:ascii="宋体" w:hAnsi="宋体" w:cs="宋体" w:hint="eastAsia"/>
          <w:kern w:val="0"/>
          <w:szCs w:val="24"/>
        </w:rPr>
        <w:t>按</w:t>
      </w:r>
      <w:r>
        <w:rPr>
          <w:rFonts w:ascii="宋体" w:hAnsi="宋体" w:cs="宋体"/>
          <w:kern w:val="0"/>
          <w:szCs w:val="24"/>
        </w:rPr>
        <w:t>坏账计提方法分类披露</w:t>
      </w:r>
    </w:p>
    <w:sdt>
      <w:sdtPr>
        <w:alias w:val="是否适用：按坏账计提方法分类披露[双击切换]"/>
        <w:tag w:val="_GBC_4dfa1c3f378a461fb32dcc384b94c01c"/>
        <w:id w:val="116796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按单项计提坏账准备的详细情况[双击切换]"/>
        <w:tag w:val="_GBC_f555101264ef4acba1df68e54d30175a"/>
        <w:id w:val="-137099167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按单项计提坏账准备的说明[双击切换]"/>
        <w:tag w:val="_GBC_e7140d40a6d84e56957900180d1e6af2"/>
        <w:id w:val="-161366565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按单项计提坏账准备的说明"/>
        <w:tag w:val="_GBC_5e2f3f6aa55049fe9eff752c320176df"/>
        <w:id w:val="-271478115"/>
        <w:placeholder>
          <w:docPart w:val="GBC22222222222222222222222222222"/>
        </w:placeholder>
      </w:sdtPr>
      <w:sdtContent>
        <w:p>
          <w:pPr>
            <w:rPr>
              <w:szCs w:val="21"/>
            </w:rPr>
          </w:pPr>
          <w:r>
            <w:rPr>
              <w:szCs w:val="21"/>
            </w:rPr>
            <w:t>-</w:t>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e220409efb74ad0a4dffa7172a6bdf0"/>
        <w:id w:val="-295764577"/>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pStyle w:val="afffffffffffffffffffffffffffffffff2"/>
        <w:numPr>
          <w:ilvl w:val="0"/>
          <w:numId w:val="163"/>
        </w:numPr>
        <w:ind w:leftChars="0"/>
      </w:pPr>
      <w:bookmarkStart w:id="379" w:name="_Hlk533867290"/>
      <w:bookmarkEnd w:id="378"/>
      <w:r>
        <w:rPr>
          <w:rFonts w:ascii="宋体" w:hAnsi="宋体" w:cs="宋体" w:hint="eastAsia"/>
          <w:kern w:val="0"/>
          <w:szCs w:val="24"/>
        </w:rPr>
        <w:t>按预期信用损失一般模型计提坏账准备</w:t>
      </w:r>
    </w:p>
    <w:sdt>
      <w:sdtPr>
        <w:rPr>
          <w:szCs w:val="21"/>
        </w:rPr>
        <w:alias w:val="是否适用：应收利息坏账准备调节表[双击切换]"/>
        <w:tag w:val="_GBC_2926f106217b4c11a5fe606b79f60d83"/>
        <w:id w:val="66999404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利息各阶段划分依据和坏账准备计提比例"/>
        <w:tag w:val="_GBC_59f57028d34346fc91962be3047fd594"/>
        <w:id w:val="-1453016961"/>
        <w:placeholder>
          <w:docPart w:val="GBC22222222222222222222222222222"/>
        </w:placeholder>
      </w:sdtPr>
      <w:sdtContent>
        <w:p>
          <w:pPr>
            <w:rPr>
              <w:rFonts w:cs="Times New Roman"/>
              <w:bCs/>
              <w:szCs w:val="22"/>
            </w:rPr>
          </w:pPr>
          <w:r>
            <w:rPr>
              <w:rFonts w:cs="Times New Roman"/>
              <w:bCs/>
              <w:szCs w:val="22"/>
            </w:rPr>
            <w:t>-</w:t>
          </w:r>
        </w:p>
      </w:sdtContent>
    </w:sdt>
    <w:p>
      <w:pPr>
        <w:rPr>
          <w:rFonts w:cs="Times New Roman"/>
          <w:bCs/>
          <w:szCs w:val="22"/>
        </w:rPr>
      </w:pPr>
    </w:p>
    <w:p>
      <w:pPr>
        <w:autoSpaceDE w:val="0"/>
        <w:autoSpaceDN w:val="0"/>
        <w:adjustRightInd w:val="0"/>
        <w:ind w:rightChars="50" w:right="105"/>
        <w:rPr>
          <w:szCs w:val="21"/>
        </w:rPr>
      </w:pPr>
    </w:p>
    <w:p>
      <w:pPr>
        <w:pStyle w:val="affffffffffffffffffffffffffffffffffff"/>
      </w:pPr>
      <w:r>
        <w:rPr>
          <w:rFonts w:hint="eastAsia"/>
        </w:rPr>
        <w:t>对本期发生损失准备变动的应收利息账面余额显著变动的情况说明：</w:t>
      </w:r>
    </w:p>
    <w:sdt>
      <w:sdtPr>
        <w:rPr>
          <w:szCs w:val="21"/>
        </w:rPr>
        <w:alias w:val="是否适用：应收利息本期发生损失准备变动且账面余额显著变动的情况说明[双击切换]"/>
        <w:tag w:val="_GBC_07d71685a64f4800b3e351083fc5c9ae"/>
        <w:id w:val="1030066601"/>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Chars="50" w:right="105"/>
        <w:rPr>
          <w:szCs w:val="21"/>
        </w:rPr>
      </w:pPr>
    </w:p>
    <w:p>
      <w:pPr>
        <w:pStyle w:val="afffffffffffffffffffffffffffffffff2"/>
        <w:numPr>
          <w:ilvl w:val="0"/>
          <w:numId w:val="163"/>
        </w:numPr>
        <w:ind w:leftChars="0"/>
        <w:rPr>
          <w:rFonts w:ascii="宋体" w:hAnsi="宋体" w:cs="宋体"/>
          <w:kern w:val="0"/>
          <w:szCs w:val="24"/>
        </w:rPr>
      </w:pPr>
      <w:bookmarkStart w:id="380" w:name="_Hlk153375041"/>
      <w:bookmarkEnd w:id="379"/>
      <w:r>
        <w:rPr>
          <w:rFonts w:ascii="宋体" w:hAnsi="宋体" w:cs="宋体" w:hint="eastAsia"/>
          <w:kern w:val="0"/>
          <w:szCs w:val="24"/>
        </w:rPr>
        <w:t>坏账准备的情况</w:t>
      </w:r>
    </w:p>
    <w:sdt>
      <w:sdtPr>
        <w:alias w:val="是否适用：坏账准备情况[双击切换]"/>
        <w:tag w:val="_GBC_faf892fca7fd4a8ebcdef2231ff828bc"/>
        <w:id w:val="148372979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其中本期坏账准备收回或转回金额重要的：</w:t>
      </w:r>
    </w:p>
    <w:sdt>
      <w:sdtPr>
        <w:alias w:val="是否适用：本期坏账准备收回或转回金额重要的[双击切换]"/>
        <w:tag w:val="_GBC_5a2d052a52b74bb7a867cb7ad62574c9"/>
        <w:id w:val="-49187351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坏账准备情况的说明"/>
        <w:tag w:val="_GBC_79d8ee00a1ce479db5cb5285f72aaea4"/>
        <w:id w:val="-1142415414"/>
        <w:placeholder>
          <w:docPart w:val="GBC22222222222222222222222222222"/>
        </w:placeholder>
      </w:sdtPr>
      <w:sdtContent>
        <w:p>
          <w:pPr>
            <w:ind w:rightChars="20" w:right="42"/>
          </w:pPr>
          <w:r>
            <w:t>-</w:t>
          </w:r>
        </w:p>
      </w:sdtContent>
    </w:sdt>
    <w:p>
      <w:pPr>
        <w:ind w:rightChars="-759" w:right="-1594"/>
      </w:pPr>
    </w:p>
    <w:p>
      <w:pPr>
        <w:pStyle w:val="afffffffffffffffffffffffffffffffff2"/>
        <w:numPr>
          <w:ilvl w:val="0"/>
          <w:numId w:val="163"/>
        </w:numPr>
        <w:ind w:leftChars="0"/>
        <w:rPr>
          <w:rFonts w:ascii="宋体" w:hAnsi="宋体" w:cs="宋体"/>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72821784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其中重要的应收利息核销情况</w:t>
      </w:r>
    </w:p>
    <w:sdt>
      <w:sdtPr>
        <w:rPr>
          <w:rFonts w:hint="eastAsia"/>
          <w:szCs w:val="21"/>
        </w:rPr>
        <w:alias w:val="是否适用：重要的核销情况[双击切换]"/>
        <w:tag w:val="_GBC_2cc69a5549814fd6aee1164366f580ec"/>
        <w:id w:val="201904507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lastRenderedPageBreak/>
        <w:t>核销说明：</w:t>
      </w:r>
    </w:p>
    <w:sdt>
      <w:sdtPr>
        <w:rPr>
          <w:szCs w:val="21"/>
        </w:rPr>
        <w:alias w:val="是否适用：核销说明[双击切换]"/>
        <w:tag w:val="_GBC_d8b86767c1604cb69ee84c043aa1b8dc"/>
        <w:id w:val="-910997627"/>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380"/>
    <w:p>
      <w:pPr>
        <w:pStyle w:val="affffffffffffffffffffffffffffffffe"/>
      </w:pPr>
      <w:r>
        <w:rPr>
          <w:rFonts w:hint="eastAsia"/>
        </w:rPr>
        <w:t>其他说明：</w:t>
      </w:r>
    </w:p>
    <w:sdt>
      <w:sdtPr>
        <w:rPr>
          <w:rFonts w:hint="eastAsia"/>
          <w:szCs w:val="21"/>
        </w:rPr>
        <w:alias w:val="是否适用：应收利息的说明[双击切换]"/>
        <w:tag w:val="_GBC_353af20a1db84c639b0e03e660c37a48"/>
        <w:id w:val="1473964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62"/>
        </w:numPr>
      </w:pPr>
      <w:r>
        <w:rPr>
          <w:rFonts w:hint="eastAsia"/>
        </w:rPr>
        <w:t>应收股利</w:t>
      </w:r>
    </w:p>
    <w:p>
      <w:pPr>
        <w:pStyle w:val="afffffffffffffffffffffffffffffffff2"/>
        <w:numPr>
          <w:ilvl w:val="0"/>
          <w:numId w:val="164"/>
        </w:numPr>
        <w:ind w:leftChars="0"/>
      </w:pPr>
      <w:r>
        <w:rPr>
          <w:rFonts w:hint="eastAsia"/>
        </w:rPr>
        <w:t>应收股利</w:t>
      </w:r>
    </w:p>
    <w:sdt>
      <w:sdtPr>
        <w:alias w:val="是否适用：应收股利[双击切换]"/>
        <w:tag w:val="_GBC_c0f7b0360a644690b0472107042df17a"/>
        <w:id w:val="-145177693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2"/>
        <w:numPr>
          <w:ilvl w:val="0"/>
          <w:numId w:val="164"/>
        </w:numPr>
        <w:ind w:leftChars="0"/>
      </w:pPr>
      <w:r>
        <w:rPr>
          <w:rFonts w:hint="eastAsia"/>
        </w:rPr>
        <w:t>重要的账龄超过</w:t>
      </w:r>
      <w:r>
        <w:rPr>
          <w:rFonts w:hint="eastAsia"/>
        </w:rPr>
        <w:t>1</w:t>
      </w:r>
      <w:r>
        <w:rPr>
          <w:rFonts w:hint="eastAsia"/>
        </w:rPr>
        <w:t>年的应收股利</w:t>
      </w:r>
    </w:p>
    <w:p>
      <w:pPr>
        <w:rPr>
          <w:szCs w:val="21"/>
        </w:rPr>
      </w:pPr>
      <w:sdt>
        <w:sdtPr>
          <w:rPr>
            <w:rFonts w:hint="eastAsia"/>
            <w:szCs w:val="21"/>
          </w:rPr>
          <w:alias w:val="是否适用：重要的账龄超过1年的应收股利[双击切换]"/>
          <w:tag w:val="_GBC_d46c4e6d2f2e4e20b430a619bde9abe8"/>
          <w:id w:val="-153303912"/>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pStyle w:val="affffffffffffffffffffffffffffffffe"/>
      </w:pPr>
    </w:p>
    <w:p>
      <w:pPr>
        <w:pStyle w:val="afffffffffffffffffffffffffffffffff2"/>
        <w:numPr>
          <w:ilvl w:val="0"/>
          <w:numId w:val="164"/>
        </w:numPr>
        <w:ind w:leftChars="0"/>
        <w:rPr>
          <w:rFonts w:ascii="宋体" w:hAnsi="宋体" w:cs="宋体"/>
          <w:kern w:val="0"/>
          <w:szCs w:val="24"/>
        </w:rPr>
      </w:pPr>
      <w:bookmarkStart w:id="381" w:name="_Hlk153377225"/>
      <w:r>
        <w:rPr>
          <w:rFonts w:ascii="宋体" w:hAnsi="宋体" w:cs="宋体" w:hint="eastAsia"/>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15479603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按单项计提坏账准备的详细情况[双击切换]"/>
        <w:tag w:val="_GBC_0715807534664009b6e06e12b5244cb0"/>
        <w:id w:val="-21759320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按单项计提坏账准备的说明[双击切换]"/>
        <w:tag w:val="_GBC_22fd3e53fab548e0b8db7ad77d176da5"/>
        <w:id w:val="23844674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3fb2695da2d2471f82cd62f8736c521e"/>
        <w:id w:val="883141327"/>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pStyle w:val="afffffffffffffffffffffffffffffffff2"/>
        <w:numPr>
          <w:ilvl w:val="0"/>
          <w:numId w:val="164"/>
        </w:numPr>
        <w:ind w:leftChars="0"/>
      </w:pPr>
      <w:bookmarkStart w:id="382" w:name="_Hlk533421146"/>
      <w:bookmarkEnd w:id="381"/>
      <w:r>
        <w:rPr>
          <w:rFonts w:hint="eastAsia"/>
        </w:rPr>
        <w:t>按预期信用损失一般模型计提坏账准备</w:t>
      </w:r>
      <w:r>
        <w:t xml:space="preserve"> </w:t>
      </w:r>
    </w:p>
    <w:sdt>
      <w:sdtPr>
        <w:alias w:val="是否适用：应收股利坏账准备调节表[双击切换]"/>
        <w:tag w:val="_GBC_847cf15503744e02b8ac7395c17d2da6"/>
        <w:id w:val="55990713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0e68af3552e84111bee1ae1542bcf907"/>
        <w:id w:val="986364077"/>
        <w:placeholder>
          <w:docPart w:val="GBC22222222222222222222222222222"/>
        </w:placeholder>
      </w:sdtPr>
      <w:sdtContent>
        <w:p>
          <w:pPr>
            <w:rPr>
              <w:rFonts w:cs="Times New Roman"/>
              <w:bCs/>
              <w:szCs w:val="22"/>
            </w:rPr>
          </w:pPr>
          <w:r>
            <w:rPr>
              <w:rFonts w:cs="Times New Roman"/>
              <w:bCs/>
              <w:szCs w:val="22"/>
            </w:rPr>
            <w:t>-</w:t>
          </w:r>
        </w:p>
      </w:sdtContent>
    </w:sdt>
    <w:p>
      <w:pPr>
        <w:autoSpaceDE w:val="0"/>
        <w:autoSpaceDN w:val="0"/>
        <w:adjustRightInd w:val="0"/>
        <w:ind w:rightChars="50" w:right="105"/>
        <w:rPr>
          <w:szCs w:val="21"/>
        </w:rPr>
      </w:pPr>
    </w:p>
    <w:p>
      <w:pPr>
        <w:pStyle w:val="affffffffffffffffffffffffffffffffffff"/>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014885226"/>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Chars="50" w:right="105"/>
        <w:rPr>
          <w:szCs w:val="21"/>
        </w:rPr>
      </w:pPr>
    </w:p>
    <w:p>
      <w:pPr>
        <w:pStyle w:val="afffffffffffffffffffffffffffffffff2"/>
        <w:numPr>
          <w:ilvl w:val="0"/>
          <w:numId w:val="164"/>
        </w:numPr>
        <w:ind w:leftChars="0"/>
        <w:rPr>
          <w:rFonts w:ascii="宋体" w:hAnsi="宋体" w:cs="宋体"/>
          <w:kern w:val="0"/>
          <w:szCs w:val="24"/>
        </w:rPr>
      </w:pPr>
      <w:bookmarkStart w:id="383" w:name="_Hlk153377452"/>
      <w:bookmarkEnd w:id="382"/>
      <w:r>
        <w:rPr>
          <w:rFonts w:ascii="宋体" w:hAnsi="宋体" w:cs="宋体" w:hint="eastAsia"/>
          <w:kern w:val="0"/>
          <w:szCs w:val="24"/>
        </w:rPr>
        <w:t>坏账准备的情况</w:t>
      </w:r>
    </w:p>
    <w:sdt>
      <w:sdtPr>
        <w:alias w:val="是否适用：坏账准备情况[双击切换]"/>
        <w:tag w:val="_GBC_3425c1c233b1473ca1aaf53c81088091"/>
        <w:id w:val="-105846514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其中本期坏账准备收回或转回金额重要的：</w:t>
      </w:r>
    </w:p>
    <w:sdt>
      <w:sdtPr>
        <w:alias w:val="是否适用：本期坏账准备收回或转回金额重要的[双击切换]"/>
        <w:tag w:val="_GBC_d8ca1b67740e4a2e8d7777b8dee9c902"/>
        <w:id w:val="-135264083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坏账准备情况的说明"/>
        <w:tag w:val="_GBC_104cb6ff4d2044ffaa8bbdd64dd76905"/>
        <w:id w:val="1622110255"/>
        <w:placeholder>
          <w:docPart w:val="GBC22222222222222222222222222222"/>
        </w:placeholder>
      </w:sdtPr>
      <w:sdtContent>
        <w:p>
          <w:pPr>
            <w:ind w:rightChars="20" w:right="42"/>
          </w:pPr>
          <w:r>
            <w:t>-</w:t>
          </w:r>
        </w:p>
      </w:sdtContent>
    </w:sdt>
    <w:p>
      <w:pPr>
        <w:ind w:rightChars="-759" w:right="-1594"/>
      </w:pPr>
    </w:p>
    <w:p>
      <w:pPr>
        <w:pStyle w:val="afffffffffffffffffffffffffffffffff2"/>
        <w:numPr>
          <w:ilvl w:val="0"/>
          <w:numId w:val="164"/>
        </w:numPr>
        <w:ind w:leftChars="0"/>
        <w:rPr>
          <w:rFonts w:ascii="宋体" w:hAnsi="宋体" w:cs="宋体"/>
          <w:kern w:val="0"/>
          <w:szCs w:val="24"/>
        </w:rPr>
      </w:pPr>
      <w:r>
        <w:rPr>
          <w:rFonts w:ascii="宋体" w:hAnsi="宋体" w:cs="宋体"/>
          <w:kern w:val="0"/>
          <w:szCs w:val="24"/>
        </w:rPr>
        <w:lastRenderedPageBreak/>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538240009"/>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其中重要的应收股利核销情况</w:t>
      </w:r>
    </w:p>
    <w:sdt>
      <w:sdtPr>
        <w:rPr>
          <w:rFonts w:hint="eastAsia"/>
          <w:szCs w:val="21"/>
        </w:rPr>
        <w:alias w:val="是否适用：重要的核销情况[双击切换]"/>
        <w:tag w:val="_GBC_a09dafd42ae74d3fae2308963d62171e"/>
        <w:id w:val="-147590217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核销说明：</w:t>
      </w:r>
    </w:p>
    <w:sdt>
      <w:sdtPr>
        <w:rPr>
          <w:szCs w:val="21"/>
        </w:rPr>
        <w:alias w:val="是否适用：核销说明[双击切换]"/>
        <w:tag w:val="_GBC_fd7a575bc84240be8d95e73a6c70d53d"/>
        <w:id w:val="262425292"/>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383"/>
    <w:p>
      <w:pPr>
        <w:rPr>
          <w:szCs w:val="21"/>
        </w:rPr>
      </w:pPr>
      <w:r>
        <w:rPr>
          <w:rFonts w:hint="eastAsia"/>
          <w:szCs w:val="21"/>
        </w:rPr>
        <w:t>其他说明：</w:t>
      </w:r>
    </w:p>
    <w:p>
      <w:pPr>
        <w:pStyle w:val="afffffffffffff8"/>
      </w:pPr>
      <w:sdt>
        <w:sdtPr>
          <w:rPr>
            <w:szCs w:val="21"/>
          </w:rPr>
          <w:alias w:val="是否适用：应收股利的说明[双击切换]"/>
          <w:tag w:val="_GBC_22314d2cdf794d5f90af92f13665da22"/>
          <w:id w:val="-741641385"/>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snapToGrid w:val="0"/>
        <w:spacing w:line="240" w:lineRule="atLeast"/>
        <w:ind w:rightChars="12" w:right="25"/>
        <w:rPr>
          <w:color w:val="FF0000"/>
          <w:szCs w:val="21"/>
        </w:rPr>
      </w:pPr>
    </w:p>
    <w:p>
      <w:pPr>
        <w:pStyle w:val="afffffffffffffffffffffffffffffffff1"/>
        <w:numPr>
          <w:ilvl w:val="0"/>
          <w:numId w:val="162"/>
        </w:numPr>
      </w:pPr>
      <w:r>
        <w:rPr>
          <w:rFonts w:hint="eastAsia"/>
        </w:rPr>
        <w:t>其他应收款</w:t>
      </w:r>
    </w:p>
    <w:p>
      <w:pPr>
        <w:keepNext/>
        <w:keepLines/>
        <w:widowControl w:val="0"/>
        <w:numPr>
          <w:ilvl w:val="0"/>
          <w:numId w:val="165"/>
        </w:numPr>
        <w:spacing w:before="60" w:line="360" w:lineRule="auto"/>
        <w:jc w:val="both"/>
        <w:outlineLvl w:val="4"/>
      </w:pPr>
      <w:bookmarkStart w:id="384" w:name="_Hlk533421204"/>
      <w:r>
        <w:rPr>
          <w:rFonts w:hint="eastAsia"/>
        </w:rPr>
        <w:t>按账龄披露</w:t>
      </w:r>
      <w:bookmarkEnd w:id="384"/>
    </w:p>
    <w:sdt>
      <w:sdtPr>
        <w:rPr>
          <w:rFonts w:hint="eastAsia"/>
          <w:szCs w:val="21"/>
        </w:rPr>
        <w:alias w:val="是否适用：组合中，按账龄分析法计提坏账准备的其他应收账款[双击切换]"/>
        <w:tag w:val="_GBC_b46a4e720a884c40b402c5b30a4f4432"/>
        <w:id w:val="655575310"/>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380984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4508366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trPr>
          <w:cantSplit/>
        </w:trPr>
        <w:sdt>
          <w:sdtPr>
            <w:tag w:val="_PLD_3693c274d2774e098d4e6f0b6ce787c4"/>
            <w:id w:val="-2008348984"/>
          </w:sdtPr>
          <w:sdtContent>
            <w:tc>
              <w:tcPr>
                <w:tcW w:w="16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账龄</w:t>
                </w:r>
              </w:p>
            </w:tc>
          </w:sdtContent>
        </w:sdt>
        <w:sdt>
          <w:sdtPr>
            <w:tag w:val="_PLD_592d3cc76c64401da21e664b374ad045"/>
            <w:id w:val="1964004150"/>
          </w:sdtPr>
          <w:sdtContent>
            <w:tc>
              <w:tcPr>
                <w:tcW w:w="1652"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tag w:val="_PLD_9bcf94b318874d63924c35d852b5b3c8"/>
              <w:id w:val="-1763989900"/>
            </w:sdtPr>
            <w:sdtContent>
              <w:p>
                <w:pPr>
                  <w:jc w:val="center"/>
                </w:pPr>
                <w:r>
                  <w:rPr>
                    <w:rFonts w:hint="eastAsia"/>
                  </w:rPr>
                  <w:t>期初账面余额</w:t>
                </w:r>
              </w:p>
            </w:sdtContent>
          </w:sdt>
        </w:tc>
      </w:tr>
      <w:tr>
        <w:trPr>
          <w:cantSplit/>
        </w:trPr>
        <w:tc>
          <w:tcPr>
            <w:tcW w:w="1696"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1年以内（含</w:t>
            </w:r>
            <w:r>
              <w:rPr>
                <w:szCs w:val="21"/>
              </w:rPr>
              <w:t>1</w:t>
            </w:r>
            <w:r>
              <w:rPr>
                <w:rFonts w:hint="eastAsia"/>
                <w:szCs w:val="21"/>
              </w:rPr>
              <w:t>年）</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2,242,012</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2,685,262</w:t>
            </w:r>
          </w:p>
        </w:tc>
      </w:tr>
      <w:tr>
        <w:trPr>
          <w:cantSplit/>
        </w:trPr>
        <w:tc>
          <w:tcPr>
            <w:tcW w:w="1696"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1至2年</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637,374</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467,761</w:t>
            </w:r>
          </w:p>
        </w:tc>
      </w:tr>
      <w:tr>
        <w:trPr>
          <w:cantSplit/>
        </w:trPr>
        <w:tc>
          <w:tcPr>
            <w:tcW w:w="1696"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2至3年</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205,225</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420,150</w:t>
            </w:r>
          </w:p>
        </w:tc>
      </w:tr>
      <w:tr>
        <w:trPr>
          <w:cantSplit/>
        </w:trPr>
        <w:tc>
          <w:tcPr>
            <w:tcW w:w="1696"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2,079,561</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2,411,653</w:t>
            </w:r>
          </w:p>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5,164,172</w:t>
            </w:r>
          </w:p>
        </w:tc>
        <w:tc>
          <w:tcPr>
            <w:tcW w:w="16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5,984,826</w:t>
            </w:r>
          </w:p>
        </w:tc>
      </w:tr>
    </w:tbl>
    <w:p>
      <w:pPr>
        <w:pStyle w:val="affffffffffffffffffffffffffffffffe"/>
      </w:pPr>
    </w:p>
    <w:p>
      <w:pPr>
        <w:pStyle w:val="afffffffffffffffffffffffffffffffff2"/>
        <w:numPr>
          <w:ilvl w:val="0"/>
          <w:numId w:val="165"/>
        </w:numPr>
        <w:ind w:leftChars="0"/>
      </w:pPr>
      <w:r>
        <w:rPr>
          <w:rFonts w:hint="eastAsia"/>
        </w:rPr>
        <w:t>按款项性质分类情况</w:t>
      </w:r>
    </w:p>
    <w:p>
      <w:pPr>
        <w:pStyle w:val="affffffffffffffffffffffffffffffffe"/>
      </w:pPr>
      <w:sdt>
        <w:sdtPr>
          <w:alias w:val="是否适用：其他应收款按款项性质分类情况[双击切换]"/>
          <w:tag w:val="_GBC_f8f8208812d5412eb0a2fdddf1a9d330"/>
          <w:id w:val="228967615"/>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其他应收款按款项性质分类情况"/>
          <w:tag w:val="_GBC_6e3e3b79e1a6467e8f5cdcabc0a95e4a"/>
          <w:id w:val="8764391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其他应收款按款项性质分类情况"/>
          <w:tag w:val="_GBC_09f3d6bcff8b483f9de34a3ddb25bad4"/>
          <w:id w:val="20941237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2906"/>
        <w:gridCol w:w="2917"/>
      </w:tblGrid>
      <w:tr>
        <w:bookmarkStart w:id="385" w:name="_Hlk533867880" w:displacedByCustomXml="next"/>
        <w:sdt>
          <w:sdtPr>
            <w:tag w:val="_PLD_e3e4ae09c73a4371a49803278d537455"/>
            <w:id w:val="-1130012825"/>
          </w:sdtPr>
          <w:sdtContent>
            <w:tc>
              <w:tcPr>
                <w:tcW w:w="1700" w:type="pct"/>
                <w:shd w:val="clear" w:color="auto" w:fill="auto"/>
                <w:vAlign w:val="center"/>
              </w:tcPr>
              <w:p>
                <w:pPr>
                  <w:jc w:val="center"/>
                </w:pPr>
                <w:r>
                  <w:rPr>
                    <w:rFonts w:hint="eastAsia"/>
                  </w:rPr>
                  <w:t>款项性质</w:t>
                </w:r>
              </w:p>
            </w:tc>
          </w:sdtContent>
        </w:sdt>
        <w:sdt>
          <w:sdtPr>
            <w:tag w:val="_PLD_166416173edb4a39b34c47c78d0dc766"/>
            <w:id w:val="1542331830"/>
          </w:sdtPr>
          <w:sdtContent>
            <w:tc>
              <w:tcPr>
                <w:tcW w:w="1647" w:type="pct"/>
                <w:shd w:val="clear" w:color="auto" w:fill="auto"/>
                <w:vAlign w:val="center"/>
              </w:tcPr>
              <w:p>
                <w:pPr>
                  <w:jc w:val="center"/>
                </w:pPr>
                <w:r>
                  <w:rPr>
                    <w:rFonts w:hint="eastAsia"/>
                  </w:rPr>
                  <w:t>期末账面余额</w:t>
                </w:r>
              </w:p>
            </w:tc>
          </w:sdtContent>
        </w:sdt>
        <w:sdt>
          <w:sdtPr>
            <w:tag w:val="_PLD_a78baace40634aeaaff4786c955e1f60"/>
            <w:id w:val="457689222"/>
          </w:sdtPr>
          <w:sdtContent>
            <w:tc>
              <w:tcPr>
                <w:tcW w:w="1653" w:type="pct"/>
                <w:shd w:val="clear" w:color="auto" w:fill="auto"/>
                <w:vAlign w:val="center"/>
              </w:tcPr>
              <w:p>
                <w:pPr>
                  <w:jc w:val="center"/>
                </w:pPr>
                <w:r>
                  <w:rPr>
                    <w:rFonts w:hint="eastAsia"/>
                  </w:rPr>
                  <w:t>期初账面余额</w:t>
                </w:r>
              </w:p>
            </w:tc>
          </w:sdtContent>
        </w:sdt>
      </w:tr>
      <w:tr>
        <w:tc>
          <w:tcPr>
            <w:tcW w:w="1700" w:type="pct"/>
            <w:shd w:val="clear" w:color="auto" w:fill="auto"/>
          </w:tcPr>
          <w:p>
            <w:pPr>
              <w:pStyle w:val="affffffffffffffffffffffffffffffffe"/>
            </w:pPr>
            <w:r>
              <w:t>往来款</w:t>
            </w:r>
          </w:p>
        </w:tc>
        <w:tc>
          <w:tcPr>
            <w:tcW w:w="1647" w:type="pct"/>
            <w:shd w:val="clear" w:color="auto" w:fill="auto"/>
          </w:tcPr>
          <w:p>
            <w:pPr>
              <w:jc w:val="right"/>
              <w:rPr>
                <w:szCs w:val="21"/>
              </w:rPr>
            </w:pPr>
            <w:r>
              <w:t>3,378,879</w:t>
            </w:r>
          </w:p>
        </w:tc>
        <w:tc>
          <w:tcPr>
            <w:tcW w:w="1653" w:type="pct"/>
            <w:shd w:val="clear" w:color="auto" w:fill="auto"/>
          </w:tcPr>
          <w:p>
            <w:pPr>
              <w:jc w:val="right"/>
            </w:pPr>
            <w:r>
              <w:t>4,313,858</w:t>
            </w:r>
          </w:p>
        </w:tc>
      </w:tr>
      <w:tr>
        <w:tc>
          <w:tcPr>
            <w:tcW w:w="1700" w:type="pct"/>
            <w:shd w:val="clear" w:color="auto" w:fill="auto"/>
          </w:tcPr>
          <w:p>
            <w:pPr>
              <w:pStyle w:val="affffffffffffffffffffffffffffffffe"/>
            </w:pPr>
            <w:r>
              <w:t>预计无法收回的款项</w:t>
            </w:r>
          </w:p>
        </w:tc>
        <w:tc>
          <w:tcPr>
            <w:tcW w:w="1647" w:type="pct"/>
            <w:shd w:val="clear" w:color="auto" w:fill="auto"/>
          </w:tcPr>
          <w:p>
            <w:pPr>
              <w:jc w:val="right"/>
              <w:rPr>
                <w:szCs w:val="21"/>
              </w:rPr>
            </w:pPr>
            <w:r>
              <w:t>1,089,290</w:t>
            </w:r>
          </w:p>
        </w:tc>
        <w:tc>
          <w:tcPr>
            <w:tcW w:w="1653" w:type="pct"/>
            <w:shd w:val="clear" w:color="auto" w:fill="auto"/>
          </w:tcPr>
          <w:p>
            <w:pPr>
              <w:jc w:val="right"/>
            </w:pPr>
            <w:r>
              <w:t>1,107,174</w:t>
            </w:r>
          </w:p>
        </w:tc>
      </w:tr>
      <w:tr>
        <w:tc>
          <w:tcPr>
            <w:tcW w:w="1700" w:type="pct"/>
            <w:shd w:val="clear" w:color="auto" w:fill="auto"/>
          </w:tcPr>
          <w:p>
            <w:pPr>
              <w:pStyle w:val="affffffffffffffffffffffffffffffffe"/>
            </w:pPr>
            <w:r>
              <w:t>应收代垫款</w:t>
            </w:r>
          </w:p>
        </w:tc>
        <w:tc>
          <w:tcPr>
            <w:tcW w:w="1647" w:type="pct"/>
            <w:shd w:val="clear" w:color="auto" w:fill="auto"/>
          </w:tcPr>
          <w:p>
            <w:pPr>
              <w:jc w:val="right"/>
              <w:rPr>
                <w:szCs w:val="21"/>
              </w:rPr>
            </w:pPr>
            <w:r>
              <w:t>140,138</w:t>
            </w:r>
          </w:p>
        </w:tc>
        <w:tc>
          <w:tcPr>
            <w:tcW w:w="1653" w:type="pct"/>
            <w:shd w:val="clear" w:color="auto" w:fill="auto"/>
          </w:tcPr>
          <w:p>
            <w:pPr>
              <w:jc w:val="right"/>
            </w:pPr>
            <w:r>
              <w:t>386,139</w:t>
            </w:r>
          </w:p>
        </w:tc>
      </w:tr>
      <w:tr>
        <w:tc>
          <w:tcPr>
            <w:tcW w:w="1700" w:type="pct"/>
            <w:shd w:val="clear" w:color="auto" w:fill="auto"/>
          </w:tcPr>
          <w:p>
            <w:pPr>
              <w:pStyle w:val="affffffffffffffffffffffffffffffffe"/>
            </w:pPr>
            <w:r>
              <w:t>押金保证金</w:t>
            </w:r>
          </w:p>
        </w:tc>
        <w:tc>
          <w:tcPr>
            <w:tcW w:w="1647" w:type="pct"/>
            <w:shd w:val="clear" w:color="auto" w:fill="auto"/>
          </w:tcPr>
          <w:p>
            <w:pPr>
              <w:jc w:val="right"/>
              <w:rPr>
                <w:szCs w:val="21"/>
              </w:rPr>
            </w:pPr>
            <w:r>
              <w:t>321,051</w:t>
            </w:r>
          </w:p>
        </w:tc>
        <w:tc>
          <w:tcPr>
            <w:tcW w:w="1653" w:type="pct"/>
            <w:shd w:val="clear" w:color="auto" w:fill="auto"/>
          </w:tcPr>
          <w:p>
            <w:pPr>
              <w:jc w:val="right"/>
            </w:pPr>
            <w:r>
              <w:t>152,278</w:t>
            </w:r>
          </w:p>
        </w:tc>
      </w:tr>
      <w:tr>
        <w:tc>
          <w:tcPr>
            <w:tcW w:w="1700" w:type="pct"/>
            <w:shd w:val="clear" w:color="auto" w:fill="auto"/>
          </w:tcPr>
          <w:p>
            <w:pPr>
              <w:pStyle w:val="affffffffffffffffffffffffffffffffe"/>
            </w:pPr>
            <w:r>
              <w:t>备用金</w:t>
            </w:r>
          </w:p>
        </w:tc>
        <w:tc>
          <w:tcPr>
            <w:tcW w:w="1647" w:type="pct"/>
            <w:shd w:val="clear" w:color="auto" w:fill="auto"/>
          </w:tcPr>
          <w:p>
            <w:pPr>
              <w:jc w:val="right"/>
              <w:rPr>
                <w:szCs w:val="21"/>
              </w:rPr>
            </w:pPr>
            <w:r>
              <w:t>17,908</w:t>
            </w:r>
          </w:p>
        </w:tc>
        <w:tc>
          <w:tcPr>
            <w:tcW w:w="1653" w:type="pct"/>
            <w:shd w:val="clear" w:color="auto" w:fill="auto"/>
          </w:tcPr>
          <w:p>
            <w:pPr>
              <w:jc w:val="right"/>
            </w:pPr>
            <w:r>
              <w:t>14,199</w:t>
            </w:r>
          </w:p>
        </w:tc>
      </w:tr>
      <w:tr>
        <w:tc>
          <w:tcPr>
            <w:tcW w:w="1700" w:type="pct"/>
            <w:shd w:val="clear" w:color="auto" w:fill="auto"/>
          </w:tcPr>
          <w:p>
            <w:pPr>
              <w:pStyle w:val="affffffffffffffffffffffffffffffffe"/>
            </w:pPr>
            <w:r>
              <w:t>其他</w:t>
            </w:r>
          </w:p>
        </w:tc>
        <w:tc>
          <w:tcPr>
            <w:tcW w:w="1647" w:type="pct"/>
            <w:shd w:val="clear" w:color="auto" w:fill="auto"/>
          </w:tcPr>
          <w:p>
            <w:pPr>
              <w:jc w:val="right"/>
              <w:rPr>
                <w:szCs w:val="21"/>
              </w:rPr>
            </w:pPr>
            <w:r>
              <w:t>216,906</w:t>
            </w:r>
          </w:p>
        </w:tc>
        <w:tc>
          <w:tcPr>
            <w:tcW w:w="1653" w:type="pct"/>
            <w:shd w:val="clear" w:color="auto" w:fill="auto"/>
          </w:tcPr>
          <w:p>
            <w:pPr>
              <w:jc w:val="right"/>
            </w:pPr>
            <w:r>
              <w:t>11,178</w:t>
            </w:r>
          </w:p>
        </w:tc>
      </w:tr>
      <w:tr>
        <w:tc>
          <w:tcPr>
            <w:tcW w:w="1700" w:type="pct"/>
            <w:shd w:val="clear" w:color="auto" w:fill="auto"/>
          </w:tcPr>
          <w:p>
            <w:pPr>
              <w:jc w:val="center"/>
            </w:pPr>
            <w:r>
              <w:t>合计</w:t>
            </w:r>
          </w:p>
        </w:tc>
        <w:tc>
          <w:tcPr>
            <w:tcW w:w="1647" w:type="pct"/>
            <w:shd w:val="clear" w:color="auto" w:fill="auto"/>
            <w:vAlign w:val="center"/>
          </w:tcPr>
          <w:p>
            <w:pPr>
              <w:jc w:val="right"/>
            </w:pPr>
            <w:r>
              <w:t>5,164,172</w:t>
            </w:r>
          </w:p>
        </w:tc>
        <w:tc>
          <w:tcPr>
            <w:tcW w:w="1653" w:type="pct"/>
            <w:shd w:val="clear" w:color="auto" w:fill="auto"/>
            <w:vAlign w:val="center"/>
          </w:tcPr>
          <w:p>
            <w:pPr>
              <w:jc w:val="right"/>
            </w:pPr>
            <w:r>
              <w:t>5,984,826</w:t>
            </w:r>
          </w:p>
        </w:tc>
      </w:tr>
    </w:tbl>
    <w:p>
      <w:pPr>
        <w:pStyle w:val="affffffffffffffffffffffffffffffffe"/>
      </w:pPr>
    </w:p>
    <w:p>
      <w:pPr>
        <w:pStyle w:val="afffffffffffffffffffffffffffffffff2"/>
        <w:numPr>
          <w:ilvl w:val="0"/>
          <w:numId w:val="165"/>
        </w:numPr>
        <w:ind w:leftChars="0"/>
      </w:pPr>
      <w:r>
        <w:rPr>
          <w:rFonts w:hint="eastAsia"/>
        </w:rPr>
        <w:t>坏账准备计提情况</w:t>
      </w:r>
    </w:p>
    <w:sdt>
      <w:sdtPr>
        <w:rPr>
          <w:szCs w:val="21"/>
        </w:rPr>
        <w:alias w:val="是否适用：其他应收款坏账准备调节表[双击切换]"/>
        <w:tag w:val="_GBC_89d7c1af9f504137a919fea1a314fa80"/>
        <w:id w:val="32987504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款坏账准备调节表"/>
          <w:tag w:val="_GBC_1e902dc07fc44240af1ff69475733c28"/>
          <w:id w:val="125531992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其他应收款坏账准备调节表"/>
          <w:tag w:val="_GBC_5e93354ddb8841df82a0d16f2f5b44ae"/>
          <w:id w:val="134050320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sdt>
          <w:sdtPr>
            <w:tag w:val="_PLD_2f734c3456a843bda898d16924c52045"/>
            <w:id w:val="24533673"/>
          </w:sdtPr>
          <w:sdtContent>
            <w:tc>
              <w:tcPr>
                <w:tcW w:w="1001" w:type="pct"/>
                <w:vMerge w:val="restar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271431178"/>
          </w:sdtPr>
          <w:sdtContent>
            <w:tc>
              <w:tcPr>
                <w:tcW w:w="862"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589196251"/>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712836536"/>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858939594"/>
          </w:sdtPr>
          <w:sdtContent>
            <w:tc>
              <w:tcPr>
                <w:tcW w:w="943" w:type="pct"/>
                <w:vMerge w:val="restar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c>
          <w:tcPr>
            <w:tcW w:w="1001" w:type="pct"/>
            <w:vMerge/>
            <w:vAlign w:val="center"/>
          </w:tcPr>
          <w:p>
            <w:pPr>
              <w:jc w:val="center"/>
              <w:rPr>
                <w:color w:val="008000"/>
                <w:szCs w:val="21"/>
              </w:rPr>
            </w:pPr>
          </w:p>
        </w:tc>
        <w:sdt>
          <w:sdtPr>
            <w:tag w:val="_PLD_7158bbb0fd6b45478d53b382f0c1a5e9"/>
            <w:id w:val="1895080163"/>
          </w:sdtPr>
          <w:sdtContent>
            <w:tc>
              <w:tcPr>
                <w:tcW w:w="862"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1965107255"/>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1681811120"/>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vAlign w:val="center"/>
          </w:tcPr>
          <w:p>
            <w:pPr>
              <w:jc w:val="center"/>
              <w:rPr>
                <w:color w:val="008000"/>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2" w:type="pct"/>
            <w:vAlign w:val="center"/>
          </w:tcPr>
          <w:p>
            <w:pPr>
              <w:jc w:val="right"/>
              <w:rPr>
                <w:szCs w:val="21"/>
              </w:rPr>
            </w:pPr>
          </w:p>
        </w:tc>
        <w:tc>
          <w:tcPr>
            <w:tcW w:w="1097" w:type="pct"/>
            <w:vAlign w:val="center"/>
          </w:tcPr>
          <w:p>
            <w:pPr>
              <w:pStyle w:val="affffffffffffffffffffffffffffffffe"/>
              <w:jc w:val="right"/>
            </w:pPr>
            <w:r>
              <w:t>707,635</w:t>
            </w:r>
          </w:p>
        </w:tc>
        <w:tc>
          <w:tcPr>
            <w:tcW w:w="1097" w:type="pct"/>
            <w:vAlign w:val="center"/>
          </w:tcPr>
          <w:p>
            <w:pPr>
              <w:pStyle w:val="affffffffffffffffffffffffffffffffe"/>
              <w:jc w:val="right"/>
            </w:pPr>
            <w:r>
              <w:t>1,531,193</w:t>
            </w:r>
          </w:p>
        </w:tc>
        <w:tc>
          <w:tcPr>
            <w:tcW w:w="943" w:type="pct"/>
            <w:vAlign w:val="center"/>
          </w:tcPr>
          <w:p>
            <w:pPr>
              <w:pStyle w:val="affffffffffffffffffffffffffffffffe"/>
              <w:jc w:val="right"/>
            </w:pPr>
            <w:r>
              <w:t>2,238,828</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lastRenderedPageBreak/>
              <w:t>--转入第二阶段</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pPr>
              <w:jc w:val="right"/>
              <w:rPr>
                <w:szCs w:val="21"/>
              </w:rPr>
            </w:pPr>
          </w:p>
        </w:tc>
        <w:tc>
          <w:tcPr>
            <w:tcW w:w="1097" w:type="pct"/>
            <w:vAlign w:val="center"/>
          </w:tcPr>
          <w:p>
            <w:pPr>
              <w:pStyle w:val="affffffffffffffffffffffffffffffffe"/>
              <w:jc w:val="right"/>
            </w:pPr>
            <w:r>
              <w:t>9,268</w:t>
            </w:r>
          </w:p>
        </w:tc>
        <w:tc>
          <w:tcPr>
            <w:tcW w:w="1097" w:type="pct"/>
            <w:vAlign w:val="center"/>
          </w:tcPr>
          <w:p>
            <w:pPr>
              <w:pStyle w:val="affffffffffffffffffffffffffffffffe"/>
              <w:jc w:val="right"/>
            </w:pPr>
            <w:r>
              <w:t>43,607</w:t>
            </w:r>
          </w:p>
        </w:tc>
        <w:tc>
          <w:tcPr>
            <w:tcW w:w="943" w:type="pct"/>
            <w:vAlign w:val="center"/>
          </w:tcPr>
          <w:p>
            <w:pPr>
              <w:pStyle w:val="affffffffffffffffffffffffffffffffe"/>
              <w:jc w:val="right"/>
            </w:pPr>
            <w:r>
              <w:t>52,875</w:t>
            </w: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pPr>
              <w:jc w:val="right"/>
              <w:rPr>
                <w:szCs w:val="21"/>
              </w:rPr>
            </w:pPr>
          </w:p>
        </w:tc>
        <w:tc>
          <w:tcPr>
            <w:tcW w:w="1097" w:type="pct"/>
            <w:vAlign w:val="center"/>
          </w:tcPr>
          <w:p>
            <w:pPr>
              <w:pStyle w:val="affffffffffffffffffffffffffffffffe"/>
              <w:jc w:val="right"/>
            </w:pPr>
            <w:r>
              <w:t>49,295</w:t>
            </w:r>
          </w:p>
        </w:tc>
        <w:tc>
          <w:tcPr>
            <w:tcW w:w="1097" w:type="pct"/>
            <w:vAlign w:val="center"/>
          </w:tcPr>
          <w:p>
            <w:pPr>
              <w:pStyle w:val="affffffffffffffffffffffffffffffffe"/>
              <w:jc w:val="right"/>
            </w:pPr>
            <w:r>
              <w:t>110,139</w:t>
            </w:r>
          </w:p>
        </w:tc>
        <w:tc>
          <w:tcPr>
            <w:tcW w:w="943" w:type="pct"/>
            <w:vAlign w:val="center"/>
          </w:tcPr>
          <w:p>
            <w:pPr>
              <w:pStyle w:val="affffffffffffffffffffffffffffffffe"/>
              <w:jc w:val="right"/>
            </w:pPr>
            <w:r>
              <w:t>159,434</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pPr>
              <w:jc w:val="right"/>
              <w:rPr>
                <w:szCs w:val="21"/>
              </w:rPr>
            </w:pPr>
          </w:p>
        </w:tc>
        <w:tc>
          <w:tcPr>
            <w:tcW w:w="1097" w:type="pct"/>
            <w:vAlign w:val="center"/>
          </w:tcPr>
          <w:p>
            <w:pPr>
              <w:pStyle w:val="affffffffffffffffffffffffffffffffe"/>
              <w:jc w:val="right"/>
            </w:pPr>
          </w:p>
        </w:tc>
        <w:tc>
          <w:tcPr>
            <w:tcW w:w="1097" w:type="pct"/>
            <w:vAlign w:val="center"/>
          </w:tcPr>
          <w:p>
            <w:pPr>
              <w:jc w:val="right"/>
              <w:rPr>
                <w:sz w:val="24"/>
              </w:rPr>
            </w:pPr>
            <w:r>
              <w:t>43,607</w:t>
            </w:r>
          </w:p>
        </w:tc>
        <w:tc>
          <w:tcPr>
            <w:tcW w:w="943" w:type="pct"/>
            <w:vAlign w:val="center"/>
          </w:tcPr>
          <w:p>
            <w:pPr>
              <w:pStyle w:val="affffffffffffffffffffffffffffffffe"/>
              <w:jc w:val="right"/>
            </w:pPr>
            <w:r>
              <w:t>43,607</w:t>
            </w: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pPr>
              <w:jc w:val="right"/>
              <w:rPr>
                <w:szCs w:val="21"/>
              </w:rPr>
            </w:pPr>
          </w:p>
        </w:tc>
        <w:tc>
          <w:tcPr>
            <w:tcW w:w="1097" w:type="pct"/>
            <w:vAlign w:val="center"/>
          </w:tcPr>
          <w:p>
            <w:pPr>
              <w:jc w:val="right"/>
              <w:rPr>
                <w:szCs w:val="21"/>
              </w:rPr>
            </w:pPr>
          </w:p>
        </w:tc>
        <w:tc>
          <w:tcPr>
            <w:tcW w:w="1097" w:type="pct"/>
            <w:vAlign w:val="center"/>
          </w:tcPr>
          <w:p>
            <w:pPr>
              <w:jc w:val="right"/>
              <w:rPr>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pPr>
              <w:jc w:val="right"/>
              <w:rPr>
                <w:szCs w:val="21"/>
              </w:rPr>
            </w:pPr>
          </w:p>
        </w:tc>
        <w:tc>
          <w:tcPr>
            <w:tcW w:w="1097" w:type="pct"/>
            <w:vAlign w:val="center"/>
          </w:tcPr>
          <w:p>
            <w:pPr>
              <w:pStyle w:val="affffffffffffffffffffffffffffffffe"/>
              <w:jc w:val="right"/>
            </w:pPr>
            <w:r>
              <w:t>-362,454</w:t>
            </w:r>
          </w:p>
        </w:tc>
        <w:tc>
          <w:tcPr>
            <w:tcW w:w="1097" w:type="pct"/>
            <w:vAlign w:val="center"/>
          </w:tcPr>
          <w:p>
            <w:pPr>
              <w:pStyle w:val="affffffffffffffffffffffffffffffffe"/>
              <w:jc w:val="right"/>
            </w:pPr>
          </w:p>
        </w:tc>
        <w:tc>
          <w:tcPr>
            <w:tcW w:w="943" w:type="pct"/>
            <w:vAlign w:val="center"/>
          </w:tcPr>
          <w:p>
            <w:pPr>
              <w:jc w:val="right"/>
              <w:rPr>
                <w:sz w:val="24"/>
              </w:rPr>
            </w:pPr>
            <w:r>
              <w:t>-362,454</w:t>
            </w:r>
          </w:p>
        </w:tc>
      </w:tr>
      <w:tr>
        <w:tc>
          <w:tcPr>
            <w:tcW w:w="1001"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pPr>
              <w:jc w:val="right"/>
              <w:rPr>
                <w:szCs w:val="21"/>
              </w:rPr>
            </w:pPr>
          </w:p>
        </w:tc>
        <w:tc>
          <w:tcPr>
            <w:tcW w:w="1097" w:type="pct"/>
            <w:vAlign w:val="center"/>
          </w:tcPr>
          <w:p>
            <w:pPr>
              <w:pStyle w:val="affffffffffffffffffffffffffffffffe"/>
              <w:jc w:val="right"/>
            </w:pPr>
            <w:r>
              <w:t>305,154</w:t>
            </w:r>
          </w:p>
        </w:tc>
        <w:tc>
          <w:tcPr>
            <w:tcW w:w="1097" w:type="pct"/>
            <w:vAlign w:val="center"/>
          </w:tcPr>
          <w:p>
            <w:pPr>
              <w:pStyle w:val="affffffffffffffffffffffffffffffffe"/>
              <w:jc w:val="right"/>
            </w:pPr>
            <w:r>
              <w:t>1,421,054</w:t>
            </w:r>
          </w:p>
        </w:tc>
        <w:tc>
          <w:tcPr>
            <w:tcW w:w="943" w:type="pct"/>
            <w:vAlign w:val="center"/>
          </w:tcPr>
          <w:p>
            <w:pPr>
              <w:pStyle w:val="affffffffffffffffffffffffffffffffe"/>
              <w:jc w:val="right"/>
            </w:pPr>
            <w:r>
              <w:t>1,726,208</w:t>
            </w:r>
          </w:p>
        </w:tc>
      </w:tr>
    </w:tbl>
    <w:p>
      <w:pPr>
        <w:pStyle w:val="affffffffffffffffffffffffffffffffe"/>
      </w:pPr>
    </w:p>
    <w:p>
      <w:pPr>
        <w:pStyle w:val="affffffffffffffffffffffffffffffffe"/>
      </w:pPr>
      <w:r>
        <w:t>1）其他应收款按坏账计提方法分类列示</w:t>
      </w:r>
    </w:p>
    <w:tbl>
      <w:tblPr>
        <w:tblStyle w:val="g46"/>
        <w:tblW w:w="10491" w:type="dxa"/>
        <w:tblInd w:w="-431" w:type="dxa"/>
        <w:tblLayout w:type="fixed"/>
        <w:tblCellMar>
          <w:left w:w="28" w:type="dxa"/>
          <w:right w:w="28" w:type="dxa"/>
        </w:tblCellMar>
        <w:tblLook w:val="04A0" w:firstRow="1" w:lastRow="0" w:firstColumn="1" w:lastColumn="0" w:noHBand="0" w:noVBand="1"/>
      </w:tblPr>
      <w:tblGrid>
        <w:gridCol w:w="1249"/>
        <w:gridCol w:w="1162"/>
        <w:gridCol w:w="709"/>
        <w:gridCol w:w="1134"/>
        <w:gridCol w:w="425"/>
        <w:gridCol w:w="1134"/>
        <w:gridCol w:w="1134"/>
        <w:gridCol w:w="567"/>
        <w:gridCol w:w="1134"/>
        <w:gridCol w:w="681"/>
        <w:gridCol w:w="1162"/>
      </w:tblGrid>
      <w:tr>
        <w:tc>
          <w:tcPr>
            <w:tcW w:w="1249" w:type="dxa"/>
            <w:vMerge w:val="restart"/>
            <w:vAlign w:val="center"/>
          </w:tcPr>
          <w:p>
            <w:pPr>
              <w:jc w:val="center"/>
            </w:pPr>
            <w:r>
              <w:rPr>
                <w:rFonts w:hint="eastAsia"/>
              </w:rPr>
              <w:t>类别</w:t>
            </w:r>
          </w:p>
        </w:tc>
        <w:tc>
          <w:tcPr>
            <w:tcW w:w="4564" w:type="dxa"/>
            <w:gridSpan w:val="5"/>
            <w:vAlign w:val="center"/>
          </w:tcPr>
          <w:p>
            <w:pPr>
              <w:jc w:val="center"/>
            </w:pPr>
            <w:r>
              <w:rPr>
                <w:rFonts w:hint="eastAsia"/>
              </w:rPr>
              <w:t>期末余额</w:t>
            </w:r>
          </w:p>
        </w:tc>
        <w:tc>
          <w:tcPr>
            <w:tcW w:w="4678" w:type="dxa"/>
            <w:gridSpan w:val="5"/>
            <w:vAlign w:val="center"/>
          </w:tcPr>
          <w:p>
            <w:pPr>
              <w:jc w:val="center"/>
            </w:pPr>
            <w:r>
              <w:rPr>
                <w:rFonts w:hint="eastAsia"/>
              </w:rPr>
              <w:t>期初余额</w:t>
            </w:r>
          </w:p>
        </w:tc>
      </w:tr>
      <w:tr>
        <w:tc>
          <w:tcPr>
            <w:tcW w:w="1249" w:type="dxa"/>
            <w:vMerge/>
            <w:vAlign w:val="center"/>
          </w:tcPr>
          <w:p>
            <w:pPr>
              <w:pStyle w:val="affffffffffffffffffffffffffffffffe"/>
              <w:jc w:val="center"/>
            </w:pPr>
          </w:p>
        </w:tc>
        <w:tc>
          <w:tcPr>
            <w:tcW w:w="1871" w:type="dxa"/>
            <w:gridSpan w:val="2"/>
            <w:vAlign w:val="center"/>
          </w:tcPr>
          <w:p>
            <w:pPr>
              <w:jc w:val="center"/>
            </w:pPr>
            <w:r>
              <w:rPr>
                <w:rFonts w:hint="eastAsia"/>
              </w:rPr>
              <w:t>账面余额</w:t>
            </w:r>
          </w:p>
        </w:tc>
        <w:tc>
          <w:tcPr>
            <w:tcW w:w="1559" w:type="dxa"/>
            <w:gridSpan w:val="2"/>
            <w:vAlign w:val="center"/>
          </w:tcPr>
          <w:p>
            <w:pPr>
              <w:jc w:val="center"/>
            </w:pPr>
            <w:r>
              <w:rPr>
                <w:rFonts w:hint="eastAsia"/>
              </w:rPr>
              <w:t>坏账准备</w:t>
            </w:r>
          </w:p>
        </w:tc>
        <w:tc>
          <w:tcPr>
            <w:tcW w:w="1134" w:type="dxa"/>
            <w:vMerge w:val="restart"/>
            <w:vAlign w:val="center"/>
          </w:tcPr>
          <w:p>
            <w:pPr>
              <w:jc w:val="center"/>
            </w:pPr>
            <w:r>
              <w:rPr>
                <w:rFonts w:hint="eastAsia"/>
              </w:rPr>
              <w:t>账面价值</w:t>
            </w:r>
          </w:p>
        </w:tc>
        <w:tc>
          <w:tcPr>
            <w:tcW w:w="1701" w:type="dxa"/>
            <w:gridSpan w:val="2"/>
            <w:vAlign w:val="center"/>
          </w:tcPr>
          <w:p>
            <w:pPr>
              <w:jc w:val="center"/>
            </w:pPr>
            <w:r>
              <w:rPr>
                <w:rFonts w:hint="eastAsia"/>
              </w:rPr>
              <w:t>账面余额</w:t>
            </w:r>
          </w:p>
        </w:tc>
        <w:tc>
          <w:tcPr>
            <w:tcW w:w="1815" w:type="dxa"/>
            <w:gridSpan w:val="2"/>
            <w:vAlign w:val="center"/>
          </w:tcPr>
          <w:p>
            <w:pPr>
              <w:jc w:val="center"/>
            </w:pPr>
            <w:r>
              <w:rPr>
                <w:rFonts w:hint="eastAsia"/>
              </w:rPr>
              <w:t>坏账准备</w:t>
            </w:r>
          </w:p>
        </w:tc>
        <w:tc>
          <w:tcPr>
            <w:tcW w:w="1162" w:type="dxa"/>
            <w:vMerge w:val="restart"/>
            <w:vAlign w:val="center"/>
          </w:tcPr>
          <w:p>
            <w:pPr>
              <w:jc w:val="center"/>
            </w:pPr>
            <w:r>
              <w:rPr>
                <w:rFonts w:hint="eastAsia"/>
              </w:rPr>
              <w:t>账面价值</w:t>
            </w:r>
          </w:p>
        </w:tc>
      </w:tr>
      <w:tr>
        <w:tc>
          <w:tcPr>
            <w:tcW w:w="1249" w:type="dxa"/>
            <w:vMerge/>
            <w:vAlign w:val="center"/>
          </w:tcPr>
          <w:p>
            <w:pPr>
              <w:pStyle w:val="affffffffffffffffffffffffffffffffe"/>
              <w:jc w:val="center"/>
            </w:pPr>
          </w:p>
        </w:tc>
        <w:tc>
          <w:tcPr>
            <w:tcW w:w="1162" w:type="dxa"/>
            <w:vAlign w:val="center"/>
          </w:tcPr>
          <w:p>
            <w:pPr>
              <w:jc w:val="center"/>
            </w:pPr>
            <w:r>
              <w:rPr>
                <w:rFonts w:hint="eastAsia"/>
              </w:rPr>
              <w:t>金额</w:t>
            </w:r>
          </w:p>
        </w:tc>
        <w:tc>
          <w:tcPr>
            <w:tcW w:w="709" w:type="dxa"/>
            <w:vAlign w:val="center"/>
          </w:tcPr>
          <w:p>
            <w:pPr>
              <w:jc w:val="center"/>
            </w:pPr>
            <w:r>
              <w:rPr>
                <w:rFonts w:hint="eastAsia"/>
              </w:rPr>
              <w:t>比例（%）</w:t>
            </w:r>
          </w:p>
        </w:tc>
        <w:tc>
          <w:tcPr>
            <w:tcW w:w="1134" w:type="dxa"/>
            <w:vAlign w:val="center"/>
          </w:tcPr>
          <w:p>
            <w:pPr>
              <w:jc w:val="center"/>
            </w:pPr>
            <w:r>
              <w:t>金额</w:t>
            </w:r>
          </w:p>
        </w:tc>
        <w:tc>
          <w:tcPr>
            <w:tcW w:w="425" w:type="dxa"/>
            <w:vAlign w:val="center"/>
          </w:tcPr>
          <w:p>
            <w:pPr>
              <w:jc w:val="center"/>
            </w:pPr>
            <w:r>
              <w:rPr>
                <w:rFonts w:hint="eastAsia"/>
              </w:rPr>
              <w:t>计提</w:t>
            </w:r>
            <w:r>
              <w:t>比例</w:t>
            </w:r>
            <w:r>
              <w:rPr>
                <w:rFonts w:hint="eastAsia"/>
              </w:rPr>
              <w:t>(</w:t>
            </w:r>
            <w:r>
              <w:t>%)</w:t>
            </w:r>
          </w:p>
        </w:tc>
        <w:tc>
          <w:tcPr>
            <w:tcW w:w="1134" w:type="dxa"/>
            <w:vMerge/>
            <w:vAlign w:val="center"/>
          </w:tcPr>
          <w:p>
            <w:pPr>
              <w:pStyle w:val="affffffffffffffffffffffffffffffffe"/>
              <w:jc w:val="center"/>
            </w:pPr>
          </w:p>
        </w:tc>
        <w:tc>
          <w:tcPr>
            <w:tcW w:w="1134" w:type="dxa"/>
            <w:vAlign w:val="center"/>
          </w:tcPr>
          <w:p>
            <w:pPr>
              <w:jc w:val="center"/>
            </w:pPr>
            <w:r>
              <w:t>金额</w:t>
            </w:r>
          </w:p>
        </w:tc>
        <w:tc>
          <w:tcPr>
            <w:tcW w:w="567" w:type="dxa"/>
            <w:vAlign w:val="center"/>
          </w:tcPr>
          <w:p>
            <w:pPr>
              <w:jc w:val="center"/>
            </w:pPr>
            <w:r>
              <w:t>比例（%）</w:t>
            </w:r>
          </w:p>
        </w:tc>
        <w:tc>
          <w:tcPr>
            <w:tcW w:w="1134" w:type="dxa"/>
            <w:vAlign w:val="center"/>
          </w:tcPr>
          <w:p>
            <w:pPr>
              <w:jc w:val="center"/>
            </w:pPr>
            <w:r>
              <w:t>金额</w:t>
            </w:r>
          </w:p>
        </w:tc>
        <w:tc>
          <w:tcPr>
            <w:tcW w:w="681" w:type="dxa"/>
            <w:vAlign w:val="center"/>
          </w:tcPr>
          <w:p>
            <w:pPr>
              <w:jc w:val="center"/>
            </w:pPr>
            <w:r>
              <w:rPr>
                <w:rFonts w:hint="eastAsia"/>
              </w:rPr>
              <w:t>计提</w:t>
            </w:r>
            <w:r>
              <w:t>比例（%）</w:t>
            </w:r>
          </w:p>
        </w:tc>
        <w:tc>
          <w:tcPr>
            <w:tcW w:w="1162" w:type="dxa"/>
            <w:vMerge/>
          </w:tcPr>
          <w:p>
            <w:pPr>
              <w:pStyle w:val="affffffffffffffffffffffffffffffffe"/>
            </w:pPr>
          </w:p>
        </w:tc>
      </w:tr>
      <w:tr>
        <w:tc>
          <w:tcPr>
            <w:tcW w:w="1249" w:type="dxa"/>
          </w:tcPr>
          <w:p>
            <w:pPr>
              <w:pStyle w:val="affffffffffffffffffffffffffffffffe"/>
            </w:pPr>
            <w:r>
              <w:t>按单项 计提坏 账准备</w:t>
            </w:r>
          </w:p>
        </w:tc>
        <w:tc>
          <w:tcPr>
            <w:tcW w:w="1162" w:type="dxa"/>
            <w:vAlign w:val="center"/>
          </w:tcPr>
          <w:p>
            <w:pPr>
              <w:jc w:val="right"/>
            </w:pPr>
            <w:r>
              <w:t>1,421,054</w:t>
            </w:r>
          </w:p>
        </w:tc>
        <w:tc>
          <w:tcPr>
            <w:tcW w:w="709" w:type="dxa"/>
            <w:vAlign w:val="center"/>
          </w:tcPr>
          <w:p>
            <w:pPr>
              <w:jc w:val="right"/>
            </w:pPr>
            <w:r>
              <w:t>28</w:t>
            </w:r>
          </w:p>
        </w:tc>
        <w:tc>
          <w:tcPr>
            <w:tcW w:w="1134" w:type="dxa"/>
            <w:vAlign w:val="center"/>
          </w:tcPr>
          <w:p>
            <w:pPr>
              <w:jc w:val="right"/>
            </w:pPr>
            <w:r>
              <w:t>1,421,054</w:t>
            </w:r>
          </w:p>
        </w:tc>
        <w:tc>
          <w:tcPr>
            <w:tcW w:w="425" w:type="dxa"/>
            <w:vAlign w:val="center"/>
          </w:tcPr>
          <w:p>
            <w:pPr>
              <w:jc w:val="right"/>
            </w:pPr>
            <w:r>
              <w:t>100</w:t>
            </w:r>
          </w:p>
        </w:tc>
        <w:tc>
          <w:tcPr>
            <w:tcW w:w="1134" w:type="dxa"/>
            <w:vAlign w:val="center"/>
          </w:tcPr>
          <w:p>
            <w:pPr>
              <w:jc w:val="right"/>
            </w:pPr>
          </w:p>
        </w:tc>
        <w:tc>
          <w:tcPr>
            <w:tcW w:w="1134" w:type="dxa"/>
            <w:vAlign w:val="center"/>
          </w:tcPr>
          <w:p>
            <w:pPr>
              <w:jc w:val="right"/>
            </w:pPr>
            <w:r>
              <w:t>1,578,724</w:t>
            </w:r>
          </w:p>
        </w:tc>
        <w:tc>
          <w:tcPr>
            <w:tcW w:w="567" w:type="dxa"/>
            <w:vAlign w:val="center"/>
          </w:tcPr>
          <w:p>
            <w:pPr>
              <w:jc w:val="right"/>
            </w:pPr>
            <w:r>
              <w:t>26</w:t>
            </w:r>
          </w:p>
        </w:tc>
        <w:tc>
          <w:tcPr>
            <w:tcW w:w="1134" w:type="dxa"/>
            <w:vAlign w:val="center"/>
          </w:tcPr>
          <w:p>
            <w:pPr>
              <w:jc w:val="right"/>
            </w:pPr>
            <w:r>
              <w:t>1,531,193</w:t>
            </w:r>
          </w:p>
        </w:tc>
        <w:tc>
          <w:tcPr>
            <w:tcW w:w="681" w:type="dxa"/>
            <w:vAlign w:val="center"/>
          </w:tcPr>
          <w:p>
            <w:pPr>
              <w:jc w:val="right"/>
            </w:pPr>
            <w:r>
              <w:t>97</w:t>
            </w:r>
          </w:p>
        </w:tc>
        <w:tc>
          <w:tcPr>
            <w:tcW w:w="1162" w:type="dxa"/>
            <w:vAlign w:val="center"/>
          </w:tcPr>
          <w:p>
            <w:pPr>
              <w:jc w:val="right"/>
            </w:pPr>
            <w:r>
              <w:t>47,531</w:t>
            </w:r>
          </w:p>
        </w:tc>
      </w:tr>
      <w:tr>
        <w:tc>
          <w:tcPr>
            <w:tcW w:w="1249" w:type="dxa"/>
          </w:tcPr>
          <w:p>
            <w:pPr>
              <w:pStyle w:val="affffffffffffffffffffffffffffffffe"/>
            </w:pPr>
            <w:r>
              <w:t>按组合 计提坏 账准备</w:t>
            </w:r>
          </w:p>
        </w:tc>
        <w:tc>
          <w:tcPr>
            <w:tcW w:w="1162" w:type="dxa"/>
            <w:vAlign w:val="center"/>
          </w:tcPr>
          <w:p>
            <w:pPr>
              <w:jc w:val="right"/>
            </w:pPr>
            <w:r>
              <w:t>3,743,118</w:t>
            </w:r>
          </w:p>
        </w:tc>
        <w:tc>
          <w:tcPr>
            <w:tcW w:w="709" w:type="dxa"/>
            <w:vAlign w:val="center"/>
          </w:tcPr>
          <w:p>
            <w:pPr>
              <w:jc w:val="right"/>
            </w:pPr>
            <w:r>
              <w:t>72</w:t>
            </w:r>
          </w:p>
        </w:tc>
        <w:tc>
          <w:tcPr>
            <w:tcW w:w="1134" w:type="dxa"/>
            <w:vAlign w:val="center"/>
          </w:tcPr>
          <w:p>
            <w:pPr>
              <w:jc w:val="right"/>
            </w:pPr>
            <w:r>
              <w:t>305,154</w:t>
            </w:r>
          </w:p>
        </w:tc>
        <w:tc>
          <w:tcPr>
            <w:tcW w:w="425" w:type="dxa"/>
            <w:vAlign w:val="center"/>
          </w:tcPr>
          <w:p>
            <w:pPr>
              <w:jc w:val="right"/>
            </w:pPr>
            <w:r>
              <w:t>8</w:t>
            </w:r>
          </w:p>
        </w:tc>
        <w:tc>
          <w:tcPr>
            <w:tcW w:w="1134" w:type="dxa"/>
            <w:vAlign w:val="center"/>
          </w:tcPr>
          <w:p>
            <w:pPr>
              <w:jc w:val="right"/>
            </w:pPr>
            <w:r>
              <w:t>3,437,964</w:t>
            </w:r>
          </w:p>
        </w:tc>
        <w:tc>
          <w:tcPr>
            <w:tcW w:w="1134" w:type="dxa"/>
            <w:vAlign w:val="center"/>
          </w:tcPr>
          <w:p>
            <w:pPr>
              <w:jc w:val="right"/>
            </w:pPr>
            <w:r>
              <w:t>4,406,102</w:t>
            </w:r>
          </w:p>
        </w:tc>
        <w:tc>
          <w:tcPr>
            <w:tcW w:w="567" w:type="dxa"/>
            <w:vAlign w:val="center"/>
          </w:tcPr>
          <w:p>
            <w:pPr>
              <w:jc w:val="right"/>
            </w:pPr>
            <w:r>
              <w:t>74</w:t>
            </w:r>
          </w:p>
        </w:tc>
        <w:tc>
          <w:tcPr>
            <w:tcW w:w="1134" w:type="dxa"/>
            <w:vAlign w:val="center"/>
          </w:tcPr>
          <w:p>
            <w:pPr>
              <w:jc w:val="right"/>
            </w:pPr>
            <w:r>
              <w:t>707,635</w:t>
            </w:r>
          </w:p>
        </w:tc>
        <w:tc>
          <w:tcPr>
            <w:tcW w:w="681" w:type="dxa"/>
            <w:vAlign w:val="center"/>
          </w:tcPr>
          <w:p>
            <w:pPr>
              <w:jc w:val="right"/>
            </w:pPr>
            <w:r>
              <w:t>16</w:t>
            </w:r>
          </w:p>
        </w:tc>
        <w:tc>
          <w:tcPr>
            <w:tcW w:w="1162" w:type="dxa"/>
            <w:vAlign w:val="center"/>
          </w:tcPr>
          <w:p>
            <w:pPr>
              <w:jc w:val="right"/>
            </w:pPr>
            <w:r>
              <w:t>3,698,467</w:t>
            </w:r>
          </w:p>
        </w:tc>
      </w:tr>
      <w:tr>
        <w:tc>
          <w:tcPr>
            <w:tcW w:w="10491" w:type="dxa"/>
            <w:gridSpan w:val="11"/>
            <w:vAlign w:val="center"/>
          </w:tcPr>
          <w:p>
            <w:pPr>
              <w:pStyle w:val="affffffffffffffffffffffffffffffffe"/>
            </w:pPr>
            <w:r>
              <w:rPr>
                <w:rFonts w:hint="eastAsia"/>
              </w:rPr>
              <w:t>其中：</w:t>
            </w:r>
          </w:p>
        </w:tc>
      </w:tr>
      <w:tr>
        <w:tc>
          <w:tcPr>
            <w:tcW w:w="1249" w:type="dxa"/>
          </w:tcPr>
          <w:p>
            <w:pPr>
              <w:pStyle w:val="affffffffffffffffffffffffffffffffe"/>
            </w:pPr>
            <w:r>
              <w:t>账龄组 合</w:t>
            </w:r>
          </w:p>
        </w:tc>
        <w:tc>
          <w:tcPr>
            <w:tcW w:w="1162" w:type="dxa"/>
            <w:vAlign w:val="center"/>
          </w:tcPr>
          <w:p>
            <w:pPr>
              <w:jc w:val="right"/>
            </w:pPr>
            <w:r>
              <w:t>2,098,500</w:t>
            </w:r>
          </w:p>
        </w:tc>
        <w:tc>
          <w:tcPr>
            <w:tcW w:w="709" w:type="dxa"/>
            <w:vAlign w:val="center"/>
          </w:tcPr>
          <w:p>
            <w:pPr>
              <w:jc w:val="right"/>
            </w:pPr>
            <w:r>
              <w:t>41</w:t>
            </w:r>
          </w:p>
        </w:tc>
        <w:tc>
          <w:tcPr>
            <w:tcW w:w="1134" w:type="dxa"/>
            <w:vAlign w:val="center"/>
          </w:tcPr>
          <w:p>
            <w:pPr>
              <w:jc w:val="right"/>
            </w:pPr>
            <w:r>
              <w:t>305,154</w:t>
            </w:r>
          </w:p>
        </w:tc>
        <w:tc>
          <w:tcPr>
            <w:tcW w:w="425" w:type="dxa"/>
            <w:vAlign w:val="center"/>
          </w:tcPr>
          <w:p>
            <w:pPr>
              <w:jc w:val="right"/>
            </w:pPr>
            <w:r>
              <w:t>13</w:t>
            </w:r>
          </w:p>
        </w:tc>
        <w:tc>
          <w:tcPr>
            <w:tcW w:w="1134" w:type="dxa"/>
            <w:vAlign w:val="center"/>
          </w:tcPr>
          <w:p>
            <w:pPr>
              <w:jc w:val="right"/>
            </w:pPr>
            <w:r>
              <w:t>1,793,346</w:t>
            </w:r>
          </w:p>
        </w:tc>
        <w:tc>
          <w:tcPr>
            <w:tcW w:w="1134" w:type="dxa"/>
            <w:vAlign w:val="center"/>
          </w:tcPr>
          <w:p>
            <w:pPr>
              <w:jc w:val="right"/>
            </w:pPr>
            <w:r>
              <w:t>2,497,492</w:t>
            </w:r>
          </w:p>
        </w:tc>
        <w:tc>
          <w:tcPr>
            <w:tcW w:w="567" w:type="dxa"/>
            <w:vAlign w:val="center"/>
          </w:tcPr>
          <w:p>
            <w:pPr>
              <w:jc w:val="right"/>
            </w:pPr>
            <w:r>
              <w:t>42</w:t>
            </w:r>
          </w:p>
        </w:tc>
        <w:tc>
          <w:tcPr>
            <w:tcW w:w="1134" w:type="dxa"/>
            <w:vAlign w:val="center"/>
          </w:tcPr>
          <w:p>
            <w:pPr>
              <w:jc w:val="right"/>
            </w:pPr>
            <w:r>
              <w:t>707,635</w:t>
            </w:r>
          </w:p>
        </w:tc>
        <w:tc>
          <w:tcPr>
            <w:tcW w:w="681" w:type="dxa"/>
            <w:vAlign w:val="center"/>
          </w:tcPr>
          <w:p>
            <w:pPr>
              <w:jc w:val="right"/>
            </w:pPr>
            <w:r>
              <w:t>28</w:t>
            </w:r>
          </w:p>
        </w:tc>
        <w:tc>
          <w:tcPr>
            <w:tcW w:w="1162" w:type="dxa"/>
            <w:vAlign w:val="center"/>
          </w:tcPr>
          <w:p>
            <w:pPr>
              <w:jc w:val="right"/>
            </w:pPr>
            <w:r>
              <w:t>1,789,857</w:t>
            </w:r>
          </w:p>
        </w:tc>
      </w:tr>
      <w:tr>
        <w:tc>
          <w:tcPr>
            <w:tcW w:w="1249" w:type="dxa"/>
          </w:tcPr>
          <w:p>
            <w:pPr>
              <w:pStyle w:val="affffffffffffffffffffffffffffffffe"/>
            </w:pPr>
            <w:r>
              <w:t>关联方 组合</w:t>
            </w:r>
          </w:p>
        </w:tc>
        <w:tc>
          <w:tcPr>
            <w:tcW w:w="1162" w:type="dxa"/>
            <w:vAlign w:val="center"/>
          </w:tcPr>
          <w:p>
            <w:pPr>
              <w:jc w:val="right"/>
            </w:pPr>
            <w:r>
              <w:t>1,644,618</w:t>
            </w:r>
          </w:p>
        </w:tc>
        <w:tc>
          <w:tcPr>
            <w:tcW w:w="709" w:type="dxa"/>
            <w:vAlign w:val="center"/>
          </w:tcPr>
          <w:p>
            <w:pPr>
              <w:jc w:val="right"/>
            </w:pPr>
            <w:r>
              <w:t>31</w:t>
            </w:r>
          </w:p>
        </w:tc>
        <w:tc>
          <w:tcPr>
            <w:tcW w:w="1134" w:type="dxa"/>
            <w:vAlign w:val="center"/>
          </w:tcPr>
          <w:p>
            <w:pPr>
              <w:jc w:val="right"/>
            </w:pPr>
          </w:p>
        </w:tc>
        <w:tc>
          <w:tcPr>
            <w:tcW w:w="425" w:type="dxa"/>
            <w:vAlign w:val="center"/>
          </w:tcPr>
          <w:p>
            <w:pPr>
              <w:jc w:val="right"/>
            </w:pPr>
          </w:p>
        </w:tc>
        <w:tc>
          <w:tcPr>
            <w:tcW w:w="1134" w:type="dxa"/>
            <w:vAlign w:val="center"/>
          </w:tcPr>
          <w:p>
            <w:pPr>
              <w:jc w:val="right"/>
            </w:pPr>
            <w:r>
              <w:t>1,644,618</w:t>
            </w:r>
          </w:p>
        </w:tc>
        <w:tc>
          <w:tcPr>
            <w:tcW w:w="1134" w:type="dxa"/>
            <w:vAlign w:val="center"/>
          </w:tcPr>
          <w:p>
            <w:pPr>
              <w:jc w:val="right"/>
            </w:pPr>
            <w:r>
              <w:t>1,908,610</w:t>
            </w:r>
          </w:p>
        </w:tc>
        <w:tc>
          <w:tcPr>
            <w:tcW w:w="567" w:type="dxa"/>
            <w:vAlign w:val="center"/>
          </w:tcPr>
          <w:p>
            <w:pPr>
              <w:jc w:val="right"/>
            </w:pPr>
            <w:r>
              <w:t>32</w:t>
            </w:r>
          </w:p>
        </w:tc>
        <w:tc>
          <w:tcPr>
            <w:tcW w:w="1134" w:type="dxa"/>
            <w:vAlign w:val="center"/>
          </w:tcPr>
          <w:p>
            <w:pPr>
              <w:jc w:val="right"/>
            </w:pPr>
          </w:p>
        </w:tc>
        <w:tc>
          <w:tcPr>
            <w:tcW w:w="681" w:type="dxa"/>
            <w:vAlign w:val="center"/>
          </w:tcPr>
          <w:p>
            <w:pPr>
              <w:jc w:val="right"/>
            </w:pPr>
          </w:p>
        </w:tc>
        <w:tc>
          <w:tcPr>
            <w:tcW w:w="1162" w:type="dxa"/>
            <w:vAlign w:val="center"/>
          </w:tcPr>
          <w:p>
            <w:pPr>
              <w:jc w:val="right"/>
            </w:pPr>
            <w:r>
              <w:t>1,908,610</w:t>
            </w:r>
          </w:p>
        </w:tc>
      </w:tr>
      <w:tr>
        <w:tc>
          <w:tcPr>
            <w:tcW w:w="1249" w:type="dxa"/>
            <w:vAlign w:val="center"/>
          </w:tcPr>
          <w:p>
            <w:r>
              <w:t>合计</w:t>
            </w:r>
          </w:p>
        </w:tc>
        <w:tc>
          <w:tcPr>
            <w:tcW w:w="1162" w:type="dxa"/>
            <w:vAlign w:val="center"/>
          </w:tcPr>
          <w:p>
            <w:pPr>
              <w:jc w:val="right"/>
            </w:pPr>
            <w:r>
              <w:t>5,164,172</w:t>
            </w:r>
          </w:p>
        </w:tc>
        <w:tc>
          <w:tcPr>
            <w:tcW w:w="709" w:type="dxa"/>
            <w:vAlign w:val="center"/>
          </w:tcPr>
          <w:p>
            <w:pPr>
              <w:jc w:val="right"/>
            </w:pPr>
            <w:r>
              <w:t>100</w:t>
            </w:r>
          </w:p>
        </w:tc>
        <w:tc>
          <w:tcPr>
            <w:tcW w:w="1134" w:type="dxa"/>
            <w:vAlign w:val="center"/>
          </w:tcPr>
          <w:p>
            <w:pPr>
              <w:jc w:val="right"/>
            </w:pPr>
            <w:r>
              <w:t>1,726,208</w:t>
            </w:r>
          </w:p>
        </w:tc>
        <w:tc>
          <w:tcPr>
            <w:tcW w:w="425" w:type="dxa"/>
            <w:vAlign w:val="center"/>
          </w:tcPr>
          <w:p>
            <w:pPr>
              <w:jc w:val="right"/>
            </w:pPr>
            <w:r>
              <w:t>33</w:t>
            </w:r>
          </w:p>
        </w:tc>
        <w:tc>
          <w:tcPr>
            <w:tcW w:w="1134" w:type="dxa"/>
            <w:vAlign w:val="center"/>
          </w:tcPr>
          <w:p>
            <w:pPr>
              <w:jc w:val="right"/>
            </w:pPr>
            <w:r>
              <w:t>3,437,964</w:t>
            </w:r>
          </w:p>
        </w:tc>
        <w:tc>
          <w:tcPr>
            <w:tcW w:w="1134" w:type="dxa"/>
            <w:vAlign w:val="center"/>
          </w:tcPr>
          <w:p>
            <w:pPr>
              <w:jc w:val="right"/>
            </w:pPr>
            <w:r>
              <w:t>5,984,826</w:t>
            </w:r>
          </w:p>
        </w:tc>
        <w:tc>
          <w:tcPr>
            <w:tcW w:w="567" w:type="dxa"/>
            <w:vAlign w:val="center"/>
          </w:tcPr>
          <w:p>
            <w:pPr>
              <w:jc w:val="right"/>
            </w:pPr>
            <w:r>
              <w:t>100</w:t>
            </w:r>
          </w:p>
        </w:tc>
        <w:tc>
          <w:tcPr>
            <w:tcW w:w="1134" w:type="dxa"/>
            <w:vAlign w:val="center"/>
          </w:tcPr>
          <w:p>
            <w:pPr>
              <w:jc w:val="right"/>
            </w:pPr>
            <w:r>
              <w:t>2,238,828</w:t>
            </w:r>
          </w:p>
        </w:tc>
        <w:tc>
          <w:tcPr>
            <w:tcW w:w="681" w:type="dxa"/>
            <w:vAlign w:val="center"/>
          </w:tcPr>
          <w:p>
            <w:pPr>
              <w:jc w:val="right"/>
            </w:pPr>
            <w:r>
              <w:t>37</w:t>
            </w:r>
          </w:p>
        </w:tc>
        <w:tc>
          <w:tcPr>
            <w:tcW w:w="1162" w:type="dxa"/>
            <w:vAlign w:val="center"/>
          </w:tcPr>
          <w:p>
            <w:pPr>
              <w:jc w:val="right"/>
            </w:pPr>
            <w:r>
              <w:t>3,745,998</w:t>
            </w:r>
          </w:p>
        </w:tc>
      </w:tr>
    </w:tbl>
    <w:p>
      <w:pPr>
        <w:pStyle w:val="affffffffffffffffffffffffffffffffe"/>
      </w:pPr>
    </w:p>
    <w:p>
      <w:pPr>
        <w:pStyle w:val="affffffffffffffffffffffffffffffffe"/>
      </w:pPr>
      <w:r>
        <w:t>2）其他应收款按单项计提坏账准备</w:t>
      </w:r>
    </w:p>
    <w:tbl>
      <w:tblPr>
        <w:tblStyle w:val="g46"/>
        <w:tblW w:w="9776" w:type="dxa"/>
        <w:tblInd w:w="0" w:type="dxa"/>
        <w:tblLook w:val="04A0" w:firstRow="1" w:lastRow="0" w:firstColumn="1" w:lastColumn="0" w:noHBand="0" w:noVBand="1"/>
      </w:tblPr>
      <w:tblGrid>
        <w:gridCol w:w="1260"/>
        <w:gridCol w:w="1260"/>
        <w:gridCol w:w="1260"/>
        <w:gridCol w:w="1260"/>
        <w:gridCol w:w="1261"/>
        <w:gridCol w:w="1261"/>
        <w:gridCol w:w="2214"/>
      </w:tblGrid>
      <w:tr>
        <w:tc>
          <w:tcPr>
            <w:tcW w:w="1260" w:type="dxa"/>
            <w:vMerge w:val="restart"/>
            <w:vAlign w:val="center"/>
          </w:tcPr>
          <w:p>
            <w:pPr>
              <w:jc w:val="center"/>
            </w:pPr>
            <w:r>
              <w:t>名称</w:t>
            </w:r>
          </w:p>
        </w:tc>
        <w:tc>
          <w:tcPr>
            <w:tcW w:w="2520" w:type="dxa"/>
            <w:gridSpan w:val="2"/>
            <w:vAlign w:val="center"/>
          </w:tcPr>
          <w:p>
            <w:pPr>
              <w:jc w:val="center"/>
            </w:pPr>
            <w:r>
              <w:t>期初余额</w:t>
            </w:r>
          </w:p>
        </w:tc>
        <w:tc>
          <w:tcPr>
            <w:tcW w:w="5996" w:type="dxa"/>
            <w:gridSpan w:val="4"/>
            <w:vAlign w:val="center"/>
          </w:tcPr>
          <w:p>
            <w:pPr>
              <w:jc w:val="center"/>
            </w:pPr>
            <w:r>
              <w:rPr>
                <w:rFonts w:hint="eastAsia"/>
              </w:rPr>
              <w:t>期末余额</w:t>
            </w:r>
          </w:p>
        </w:tc>
      </w:tr>
      <w:tr>
        <w:tc>
          <w:tcPr>
            <w:tcW w:w="1260" w:type="dxa"/>
            <w:vMerge/>
            <w:vAlign w:val="center"/>
          </w:tcPr>
          <w:p>
            <w:pPr>
              <w:jc w:val="center"/>
            </w:pPr>
          </w:p>
        </w:tc>
        <w:tc>
          <w:tcPr>
            <w:tcW w:w="1260" w:type="dxa"/>
            <w:vAlign w:val="center"/>
          </w:tcPr>
          <w:p>
            <w:pPr>
              <w:jc w:val="center"/>
            </w:pPr>
            <w:r>
              <w:rPr>
                <w:rFonts w:hint="eastAsia"/>
              </w:rPr>
              <w:t>账面余额</w:t>
            </w:r>
          </w:p>
        </w:tc>
        <w:tc>
          <w:tcPr>
            <w:tcW w:w="1260" w:type="dxa"/>
            <w:vAlign w:val="center"/>
          </w:tcPr>
          <w:p>
            <w:pPr>
              <w:jc w:val="center"/>
            </w:pPr>
            <w:r>
              <w:rPr>
                <w:rFonts w:hint="eastAsia"/>
              </w:rPr>
              <w:t>坏账准备</w:t>
            </w:r>
          </w:p>
        </w:tc>
        <w:tc>
          <w:tcPr>
            <w:tcW w:w="1260" w:type="dxa"/>
            <w:vAlign w:val="center"/>
          </w:tcPr>
          <w:p>
            <w:pPr>
              <w:jc w:val="center"/>
            </w:pPr>
            <w:r>
              <w:t>账面余额</w:t>
            </w:r>
          </w:p>
        </w:tc>
        <w:tc>
          <w:tcPr>
            <w:tcW w:w="1261" w:type="dxa"/>
            <w:vAlign w:val="center"/>
          </w:tcPr>
          <w:p>
            <w:pPr>
              <w:jc w:val="center"/>
            </w:pPr>
            <w:r>
              <w:t>坏账准备</w:t>
            </w:r>
          </w:p>
        </w:tc>
        <w:tc>
          <w:tcPr>
            <w:tcW w:w="1261" w:type="dxa"/>
            <w:vAlign w:val="center"/>
          </w:tcPr>
          <w:p>
            <w:pPr>
              <w:jc w:val="center"/>
            </w:pPr>
            <w:r>
              <w:rPr>
                <w:rFonts w:hint="eastAsia"/>
              </w:rPr>
              <w:t>计提比例（%）</w:t>
            </w:r>
          </w:p>
        </w:tc>
        <w:tc>
          <w:tcPr>
            <w:tcW w:w="2214" w:type="dxa"/>
            <w:vAlign w:val="center"/>
          </w:tcPr>
          <w:p>
            <w:pPr>
              <w:jc w:val="center"/>
            </w:pPr>
            <w:r>
              <w:rPr>
                <w:rFonts w:hint="eastAsia"/>
              </w:rPr>
              <w:t>计提理由</w:t>
            </w:r>
          </w:p>
        </w:tc>
      </w:tr>
      <w:tr>
        <w:tc>
          <w:tcPr>
            <w:tcW w:w="1260" w:type="dxa"/>
          </w:tcPr>
          <w:p>
            <w:pPr>
              <w:pStyle w:val="affffffffffffffffffffffffffffffffe"/>
            </w:pPr>
            <w:r>
              <w:t>公司 1</w:t>
            </w:r>
          </w:p>
        </w:tc>
        <w:tc>
          <w:tcPr>
            <w:tcW w:w="1260" w:type="dxa"/>
            <w:vAlign w:val="center"/>
          </w:tcPr>
          <w:p>
            <w:pPr>
              <w:pStyle w:val="affffffffffffffffffffffffffffffffe"/>
              <w:jc w:val="right"/>
            </w:pPr>
            <w:r>
              <w:t>69,169</w:t>
            </w:r>
          </w:p>
        </w:tc>
        <w:tc>
          <w:tcPr>
            <w:tcW w:w="1260" w:type="dxa"/>
            <w:vAlign w:val="center"/>
          </w:tcPr>
          <w:p>
            <w:pPr>
              <w:pStyle w:val="affffffffffffffffffffffffffffffffe"/>
              <w:jc w:val="right"/>
            </w:pPr>
            <w:r>
              <w:t>69,169</w:t>
            </w:r>
          </w:p>
        </w:tc>
        <w:tc>
          <w:tcPr>
            <w:tcW w:w="1260" w:type="dxa"/>
            <w:vAlign w:val="center"/>
          </w:tcPr>
          <w:p>
            <w:pPr>
              <w:pStyle w:val="affffffffffffffffffffffffffffffffe"/>
              <w:jc w:val="right"/>
            </w:pPr>
            <w:r>
              <w:t>69,169</w:t>
            </w:r>
          </w:p>
        </w:tc>
        <w:tc>
          <w:tcPr>
            <w:tcW w:w="1261" w:type="dxa"/>
            <w:vAlign w:val="center"/>
          </w:tcPr>
          <w:p>
            <w:pPr>
              <w:pStyle w:val="affffffffffffffffffffffffffffffffe"/>
              <w:jc w:val="right"/>
            </w:pPr>
            <w:r>
              <w:t>69,169</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t>公司 2</w:t>
            </w:r>
          </w:p>
        </w:tc>
        <w:tc>
          <w:tcPr>
            <w:tcW w:w="1260" w:type="dxa"/>
            <w:vAlign w:val="center"/>
          </w:tcPr>
          <w:p>
            <w:pPr>
              <w:pStyle w:val="affffffffffffffffffffffffffffffffe"/>
              <w:jc w:val="right"/>
            </w:pPr>
            <w:r>
              <w:t>146,388</w:t>
            </w:r>
          </w:p>
        </w:tc>
        <w:tc>
          <w:tcPr>
            <w:tcW w:w="1260" w:type="dxa"/>
            <w:vAlign w:val="center"/>
          </w:tcPr>
          <w:p>
            <w:pPr>
              <w:pStyle w:val="affffffffffffffffffffffffffffffffe"/>
              <w:jc w:val="right"/>
            </w:pPr>
            <w:r>
              <w:t>146,388</w:t>
            </w:r>
          </w:p>
        </w:tc>
        <w:tc>
          <w:tcPr>
            <w:tcW w:w="1260" w:type="dxa"/>
            <w:vAlign w:val="center"/>
          </w:tcPr>
          <w:p>
            <w:pPr>
              <w:pStyle w:val="affffffffffffffffffffffffffffffffe"/>
              <w:jc w:val="right"/>
            </w:pPr>
            <w:r>
              <w:t>146,388</w:t>
            </w:r>
          </w:p>
        </w:tc>
        <w:tc>
          <w:tcPr>
            <w:tcW w:w="1261" w:type="dxa"/>
            <w:vAlign w:val="center"/>
          </w:tcPr>
          <w:p>
            <w:pPr>
              <w:pStyle w:val="affffffffffffffffffffffffffffffffe"/>
              <w:jc w:val="right"/>
            </w:pPr>
            <w:r>
              <w:t>146,388</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3</w:t>
            </w:r>
          </w:p>
        </w:tc>
        <w:tc>
          <w:tcPr>
            <w:tcW w:w="1260" w:type="dxa"/>
            <w:vAlign w:val="center"/>
          </w:tcPr>
          <w:p>
            <w:pPr>
              <w:pStyle w:val="affffffffffffffffffffffffffffffffe"/>
              <w:jc w:val="right"/>
            </w:pPr>
            <w:r>
              <w:t>301,618</w:t>
            </w:r>
          </w:p>
        </w:tc>
        <w:tc>
          <w:tcPr>
            <w:tcW w:w="1260" w:type="dxa"/>
            <w:vAlign w:val="center"/>
          </w:tcPr>
          <w:p>
            <w:pPr>
              <w:pStyle w:val="affffffffffffffffffffffffffffffffe"/>
              <w:jc w:val="right"/>
            </w:pPr>
            <w:r>
              <w:t>301,618</w:t>
            </w:r>
          </w:p>
        </w:tc>
        <w:tc>
          <w:tcPr>
            <w:tcW w:w="1260" w:type="dxa"/>
            <w:vAlign w:val="center"/>
          </w:tcPr>
          <w:p>
            <w:pPr>
              <w:pStyle w:val="affffffffffffffffffffffffffffffffe"/>
              <w:jc w:val="right"/>
            </w:pPr>
            <w:r>
              <w:t>301,618</w:t>
            </w:r>
          </w:p>
        </w:tc>
        <w:tc>
          <w:tcPr>
            <w:tcW w:w="1261" w:type="dxa"/>
            <w:vAlign w:val="center"/>
          </w:tcPr>
          <w:p>
            <w:pPr>
              <w:pStyle w:val="affffffffffffffffffffffffffffffffe"/>
              <w:jc w:val="right"/>
            </w:pPr>
            <w:r>
              <w:t>301,618</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4</w:t>
            </w:r>
          </w:p>
        </w:tc>
        <w:tc>
          <w:tcPr>
            <w:tcW w:w="1260" w:type="dxa"/>
            <w:vAlign w:val="center"/>
          </w:tcPr>
          <w:p>
            <w:pPr>
              <w:pStyle w:val="affffffffffffffffffffffffffffffffe"/>
              <w:jc w:val="right"/>
            </w:pPr>
            <w:r>
              <w:t>9,216</w:t>
            </w:r>
          </w:p>
        </w:tc>
        <w:tc>
          <w:tcPr>
            <w:tcW w:w="1260" w:type="dxa"/>
            <w:vAlign w:val="center"/>
          </w:tcPr>
          <w:p>
            <w:pPr>
              <w:pStyle w:val="affffffffffffffffffffffffffffffffe"/>
              <w:jc w:val="right"/>
            </w:pPr>
            <w:r>
              <w:t>9,216</w:t>
            </w:r>
          </w:p>
        </w:tc>
        <w:tc>
          <w:tcPr>
            <w:tcW w:w="1260" w:type="dxa"/>
            <w:vAlign w:val="center"/>
          </w:tcPr>
          <w:p>
            <w:pPr>
              <w:pStyle w:val="affffffffffffffffffffffffffffffffe"/>
              <w:jc w:val="right"/>
            </w:pPr>
            <w:r>
              <w:t>8,997</w:t>
            </w:r>
          </w:p>
        </w:tc>
        <w:tc>
          <w:tcPr>
            <w:tcW w:w="1261" w:type="dxa"/>
            <w:vAlign w:val="center"/>
          </w:tcPr>
          <w:p>
            <w:pPr>
              <w:pStyle w:val="affffffffffffffffffffffffffffffffe"/>
              <w:jc w:val="right"/>
            </w:pPr>
            <w:r>
              <w:t>8,997</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5</w:t>
            </w:r>
          </w:p>
        </w:tc>
        <w:tc>
          <w:tcPr>
            <w:tcW w:w="1260" w:type="dxa"/>
            <w:vAlign w:val="center"/>
          </w:tcPr>
          <w:p>
            <w:pPr>
              <w:pStyle w:val="affffffffffffffffffffffffffffffffe"/>
              <w:jc w:val="right"/>
            </w:pPr>
            <w:r>
              <w:t>48,558</w:t>
            </w:r>
          </w:p>
        </w:tc>
        <w:tc>
          <w:tcPr>
            <w:tcW w:w="1260" w:type="dxa"/>
            <w:vAlign w:val="center"/>
          </w:tcPr>
          <w:p>
            <w:pPr>
              <w:pStyle w:val="affffffffffffffffffffffffffffffffe"/>
              <w:jc w:val="right"/>
            </w:pPr>
            <w:r>
              <w:t>48,558</w:t>
            </w:r>
          </w:p>
        </w:tc>
        <w:tc>
          <w:tcPr>
            <w:tcW w:w="1260" w:type="dxa"/>
            <w:vAlign w:val="center"/>
          </w:tcPr>
          <w:p>
            <w:pPr>
              <w:pStyle w:val="affffffffffffffffffffffffffffffffe"/>
              <w:jc w:val="right"/>
            </w:pPr>
            <w:r>
              <w:t>48,558</w:t>
            </w:r>
          </w:p>
        </w:tc>
        <w:tc>
          <w:tcPr>
            <w:tcW w:w="1261" w:type="dxa"/>
            <w:vAlign w:val="center"/>
          </w:tcPr>
          <w:p>
            <w:pPr>
              <w:pStyle w:val="affffffffffffffffffffffffffffffffe"/>
              <w:jc w:val="right"/>
            </w:pPr>
            <w:r>
              <w:t>48,558</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6</w:t>
            </w:r>
          </w:p>
        </w:tc>
        <w:tc>
          <w:tcPr>
            <w:tcW w:w="1260" w:type="dxa"/>
            <w:vAlign w:val="center"/>
          </w:tcPr>
          <w:p>
            <w:pPr>
              <w:pStyle w:val="affffffffffffffffffffffffffffffffe"/>
              <w:jc w:val="right"/>
            </w:pPr>
            <w:r>
              <w:t>9,368</w:t>
            </w:r>
          </w:p>
        </w:tc>
        <w:tc>
          <w:tcPr>
            <w:tcW w:w="1260" w:type="dxa"/>
            <w:vAlign w:val="center"/>
          </w:tcPr>
          <w:p>
            <w:pPr>
              <w:pStyle w:val="affffffffffffffffffffffffffffffffe"/>
              <w:jc w:val="right"/>
            </w:pPr>
            <w:r>
              <w:t>9,368</w:t>
            </w:r>
          </w:p>
        </w:tc>
        <w:tc>
          <w:tcPr>
            <w:tcW w:w="1260" w:type="dxa"/>
            <w:vAlign w:val="center"/>
          </w:tcPr>
          <w:p>
            <w:pPr>
              <w:pStyle w:val="affffffffffffffffffffffffffffffffe"/>
              <w:jc w:val="right"/>
            </w:pPr>
            <w:r>
              <w:t>9,368</w:t>
            </w:r>
          </w:p>
        </w:tc>
        <w:tc>
          <w:tcPr>
            <w:tcW w:w="1261" w:type="dxa"/>
            <w:vAlign w:val="center"/>
          </w:tcPr>
          <w:p>
            <w:pPr>
              <w:pStyle w:val="affffffffffffffffffffffffffffffffe"/>
              <w:jc w:val="right"/>
            </w:pPr>
            <w:r>
              <w:t>9,368</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7</w:t>
            </w:r>
          </w:p>
        </w:tc>
        <w:tc>
          <w:tcPr>
            <w:tcW w:w="1260" w:type="dxa"/>
            <w:vAlign w:val="center"/>
          </w:tcPr>
          <w:p>
            <w:pPr>
              <w:pStyle w:val="affffffffffffffffffffffffffffffffe"/>
              <w:jc w:val="right"/>
            </w:pPr>
            <w:r>
              <w:t>644,785</w:t>
            </w:r>
          </w:p>
        </w:tc>
        <w:tc>
          <w:tcPr>
            <w:tcW w:w="1260" w:type="dxa"/>
            <w:vAlign w:val="center"/>
          </w:tcPr>
          <w:p>
            <w:pPr>
              <w:pStyle w:val="affffffffffffffffffffffffffffffffe"/>
              <w:jc w:val="right"/>
            </w:pPr>
            <w:r>
              <w:t>597,254</w:t>
            </w:r>
          </w:p>
        </w:tc>
        <w:tc>
          <w:tcPr>
            <w:tcW w:w="1260" w:type="dxa"/>
            <w:vAlign w:val="center"/>
          </w:tcPr>
          <w:p>
            <w:pPr>
              <w:pStyle w:val="affffffffffffffffffffffffffffffffe"/>
              <w:jc w:val="right"/>
            </w:pPr>
            <w:r>
              <w:t>635,214</w:t>
            </w:r>
          </w:p>
        </w:tc>
        <w:tc>
          <w:tcPr>
            <w:tcW w:w="1261" w:type="dxa"/>
            <w:vAlign w:val="center"/>
          </w:tcPr>
          <w:p>
            <w:pPr>
              <w:pStyle w:val="affffffffffffffffffffffffffffffffe"/>
              <w:jc w:val="right"/>
            </w:pPr>
            <w:r>
              <w:t>635,214</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8</w:t>
            </w:r>
          </w:p>
        </w:tc>
        <w:tc>
          <w:tcPr>
            <w:tcW w:w="1260" w:type="dxa"/>
            <w:vAlign w:val="center"/>
          </w:tcPr>
          <w:p>
            <w:pPr>
              <w:pStyle w:val="affffffffffffffffffffffffffffffffe"/>
              <w:jc w:val="right"/>
            </w:pPr>
            <w:r>
              <w:t>121,606</w:t>
            </w:r>
          </w:p>
        </w:tc>
        <w:tc>
          <w:tcPr>
            <w:tcW w:w="1260" w:type="dxa"/>
            <w:vAlign w:val="center"/>
          </w:tcPr>
          <w:p>
            <w:pPr>
              <w:pStyle w:val="affffffffffffffffffffffffffffffffe"/>
              <w:jc w:val="right"/>
            </w:pPr>
            <w:r>
              <w:t>121,606</w:t>
            </w:r>
          </w:p>
        </w:tc>
        <w:tc>
          <w:tcPr>
            <w:tcW w:w="1260" w:type="dxa"/>
            <w:vAlign w:val="center"/>
          </w:tcPr>
          <w:p>
            <w:pPr>
              <w:pStyle w:val="affffffffffffffffffffffffffffffffe"/>
              <w:jc w:val="right"/>
            </w:pPr>
            <w:r>
              <w:t>121,606</w:t>
            </w:r>
          </w:p>
        </w:tc>
        <w:tc>
          <w:tcPr>
            <w:tcW w:w="1261" w:type="dxa"/>
            <w:vAlign w:val="center"/>
          </w:tcPr>
          <w:p>
            <w:pPr>
              <w:pStyle w:val="affffffffffffffffffffffffffffffffe"/>
              <w:jc w:val="right"/>
            </w:pPr>
            <w:r>
              <w:t>121,606</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9</w:t>
            </w:r>
          </w:p>
        </w:tc>
        <w:tc>
          <w:tcPr>
            <w:tcW w:w="1260" w:type="dxa"/>
            <w:vAlign w:val="center"/>
          </w:tcPr>
          <w:p>
            <w:pPr>
              <w:pStyle w:val="affffffffffffffffffffffffffffffffe"/>
              <w:jc w:val="right"/>
            </w:pPr>
            <w:r>
              <w:t>8,326</w:t>
            </w:r>
          </w:p>
        </w:tc>
        <w:tc>
          <w:tcPr>
            <w:tcW w:w="1260" w:type="dxa"/>
            <w:vAlign w:val="center"/>
          </w:tcPr>
          <w:p>
            <w:pPr>
              <w:pStyle w:val="affffffffffffffffffffffffffffffffe"/>
              <w:jc w:val="right"/>
            </w:pPr>
            <w:r>
              <w:t>8,326</w:t>
            </w:r>
          </w:p>
        </w:tc>
        <w:tc>
          <w:tcPr>
            <w:tcW w:w="1260" w:type="dxa"/>
            <w:vAlign w:val="center"/>
          </w:tcPr>
          <w:p>
            <w:pPr>
              <w:pStyle w:val="affffffffffffffffffffffffffffffffe"/>
              <w:jc w:val="right"/>
            </w:pPr>
            <w:r>
              <w:t>8,326</w:t>
            </w:r>
          </w:p>
        </w:tc>
        <w:tc>
          <w:tcPr>
            <w:tcW w:w="1261" w:type="dxa"/>
            <w:vAlign w:val="center"/>
          </w:tcPr>
          <w:p>
            <w:pPr>
              <w:pStyle w:val="affffffffffffffffffffffffffffffffe"/>
              <w:jc w:val="right"/>
            </w:pPr>
            <w:r>
              <w:t>8,326</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公司</w:t>
            </w:r>
            <w:r>
              <w:t xml:space="preserve"> 10</w:t>
            </w:r>
          </w:p>
        </w:tc>
        <w:tc>
          <w:tcPr>
            <w:tcW w:w="1260" w:type="dxa"/>
            <w:vAlign w:val="center"/>
          </w:tcPr>
          <w:p>
            <w:pPr>
              <w:pStyle w:val="affffffffffffffffffffffffffffffffe"/>
              <w:jc w:val="right"/>
            </w:pPr>
            <w:r>
              <w:t>4,520</w:t>
            </w:r>
          </w:p>
        </w:tc>
        <w:tc>
          <w:tcPr>
            <w:tcW w:w="1260" w:type="dxa"/>
            <w:vAlign w:val="center"/>
          </w:tcPr>
          <w:p>
            <w:pPr>
              <w:pStyle w:val="affffffffffffffffffffffffffffffffe"/>
              <w:jc w:val="right"/>
            </w:pPr>
            <w:r>
              <w:t>4,520</w:t>
            </w:r>
          </w:p>
        </w:tc>
        <w:tc>
          <w:tcPr>
            <w:tcW w:w="1260" w:type="dxa"/>
            <w:vAlign w:val="center"/>
          </w:tcPr>
          <w:p>
            <w:pPr>
              <w:pStyle w:val="affffffffffffffffffffffffffffffffe"/>
              <w:jc w:val="right"/>
            </w:pPr>
            <w:r>
              <w:t>4,520</w:t>
            </w:r>
          </w:p>
        </w:tc>
        <w:tc>
          <w:tcPr>
            <w:tcW w:w="1261" w:type="dxa"/>
            <w:vAlign w:val="center"/>
          </w:tcPr>
          <w:p>
            <w:pPr>
              <w:pStyle w:val="affffffffffffffffffffffffffffffffe"/>
              <w:jc w:val="right"/>
            </w:pPr>
            <w:r>
              <w:t>4,520</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其他不重要单位</w:t>
            </w:r>
          </w:p>
        </w:tc>
        <w:tc>
          <w:tcPr>
            <w:tcW w:w="1260" w:type="dxa"/>
            <w:vAlign w:val="center"/>
          </w:tcPr>
          <w:p>
            <w:pPr>
              <w:pStyle w:val="affffffffffffffffffffffffffffffffe"/>
              <w:jc w:val="right"/>
            </w:pPr>
            <w:r>
              <w:t>215,170</w:t>
            </w:r>
          </w:p>
        </w:tc>
        <w:tc>
          <w:tcPr>
            <w:tcW w:w="1260" w:type="dxa"/>
            <w:vAlign w:val="center"/>
          </w:tcPr>
          <w:p>
            <w:pPr>
              <w:pStyle w:val="affffffffffffffffffffffffffffffffe"/>
              <w:jc w:val="right"/>
            </w:pPr>
            <w:r>
              <w:t>215,170</w:t>
            </w:r>
          </w:p>
        </w:tc>
        <w:tc>
          <w:tcPr>
            <w:tcW w:w="1260" w:type="dxa"/>
            <w:vAlign w:val="center"/>
          </w:tcPr>
          <w:p>
            <w:pPr>
              <w:pStyle w:val="affffffffffffffffffffffffffffffffe"/>
              <w:jc w:val="right"/>
            </w:pPr>
            <w:r>
              <w:t>67,290</w:t>
            </w:r>
          </w:p>
        </w:tc>
        <w:tc>
          <w:tcPr>
            <w:tcW w:w="1261" w:type="dxa"/>
            <w:vAlign w:val="center"/>
          </w:tcPr>
          <w:p>
            <w:pPr>
              <w:pStyle w:val="affffffffffffffffffffffffffffffffe"/>
              <w:jc w:val="right"/>
            </w:pPr>
            <w:r>
              <w:t>67,290</w:t>
            </w:r>
          </w:p>
        </w:tc>
        <w:tc>
          <w:tcPr>
            <w:tcW w:w="1261" w:type="dxa"/>
            <w:vAlign w:val="center"/>
          </w:tcPr>
          <w:p>
            <w:pPr>
              <w:pStyle w:val="affffffffffffffffffffffffffffffffe"/>
              <w:jc w:val="right"/>
            </w:pPr>
            <w:r>
              <w:t>100</w:t>
            </w:r>
          </w:p>
        </w:tc>
        <w:tc>
          <w:tcPr>
            <w:tcW w:w="2214" w:type="dxa"/>
          </w:tcPr>
          <w:p>
            <w:pPr>
              <w:pStyle w:val="affffffffffffffffffffffffffffffffe"/>
            </w:pPr>
            <w:r>
              <w:t>预计无法收回</w:t>
            </w:r>
          </w:p>
        </w:tc>
      </w:tr>
      <w:tr>
        <w:tc>
          <w:tcPr>
            <w:tcW w:w="1260" w:type="dxa"/>
          </w:tcPr>
          <w:p>
            <w:pPr>
              <w:pStyle w:val="affffffffffffffffffffffffffffffffe"/>
            </w:pPr>
            <w:r>
              <w:rPr>
                <w:rFonts w:hint="eastAsia"/>
              </w:rPr>
              <w:t>合计</w:t>
            </w:r>
          </w:p>
        </w:tc>
        <w:tc>
          <w:tcPr>
            <w:tcW w:w="1260" w:type="dxa"/>
            <w:vAlign w:val="center"/>
          </w:tcPr>
          <w:p>
            <w:pPr>
              <w:pStyle w:val="affffffffffffffffffffffffffffffffe"/>
              <w:jc w:val="right"/>
            </w:pPr>
            <w:r>
              <w:t>1,578,724</w:t>
            </w:r>
          </w:p>
        </w:tc>
        <w:tc>
          <w:tcPr>
            <w:tcW w:w="1260" w:type="dxa"/>
            <w:vAlign w:val="center"/>
          </w:tcPr>
          <w:p>
            <w:pPr>
              <w:pStyle w:val="affffffffffffffffffffffffffffffffe"/>
              <w:jc w:val="right"/>
            </w:pPr>
            <w:r>
              <w:t>1,531,193</w:t>
            </w:r>
          </w:p>
        </w:tc>
        <w:tc>
          <w:tcPr>
            <w:tcW w:w="1260" w:type="dxa"/>
            <w:vAlign w:val="center"/>
          </w:tcPr>
          <w:p>
            <w:pPr>
              <w:pStyle w:val="affffffffffffffffffffffffffffffffe"/>
              <w:jc w:val="right"/>
            </w:pPr>
            <w:r>
              <w:t>1,421,054</w:t>
            </w:r>
          </w:p>
        </w:tc>
        <w:tc>
          <w:tcPr>
            <w:tcW w:w="1261" w:type="dxa"/>
            <w:vAlign w:val="center"/>
          </w:tcPr>
          <w:p>
            <w:pPr>
              <w:pStyle w:val="affffffffffffffffffffffffffffffffe"/>
              <w:jc w:val="right"/>
            </w:pPr>
            <w:r>
              <w:t>1,421,054</w:t>
            </w:r>
          </w:p>
        </w:tc>
        <w:tc>
          <w:tcPr>
            <w:tcW w:w="1261" w:type="dxa"/>
            <w:vAlign w:val="center"/>
          </w:tcPr>
          <w:p>
            <w:pPr>
              <w:pStyle w:val="affffffffffffffffffffffffffffffffe"/>
              <w:jc w:val="right"/>
            </w:pPr>
          </w:p>
        </w:tc>
        <w:tc>
          <w:tcPr>
            <w:tcW w:w="2214" w:type="dxa"/>
          </w:tcPr>
          <w:p>
            <w:pPr>
              <w:pStyle w:val="affffffffffffffffffffffffffffffffe"/>
            </w:pPr>
          </w:p>
        </w:tc>
      </w:tr>
    </w:tbl>
    <w:p>
      <w:pPr>
        <w:pStyle w:val="affffffffffffffffffffffffffffffffe"/>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其他应收款各阶段划分依据和坏账准备计提比例"/>
        <w:tag w:val="_GBC_d878dae05a464cf69eea4a309bb1cd21"/>
        <w:id w:val="-258140686"/>
        <w:placeholder>
          <w:docPart w:val="GBC22222222222222222222222222222"/>
        </w:placeholder>
      </w:sdtPr>
      <w:sdtContent>
        <w:p>
          <w:pPr>
            <w:rPr>
              <w:rFonts w:cs="Times New Roman"/>
              <w:bCs/>
              <w:szCs w:val="22"/>
            </w:rPr>
          </w:pPr>
          <w:r>
            <w:rPr>
              <w:rFonts w:cs="Times New Roman"/>
              <w:bCs/>
              <w:szCs w:val="22"/>
            </w:rPr>
            <w:t>-</w:t>
          </w:r>
        </w:p>
      </w:sdtContent>
    </w:sdt>
    <w:p>
      <w:pPr>
        <w:pStyle w:val="affffffffffffffffffffffffffffffffe"/>
      </w:pPr>
    </w:p>
    <w:p>
      <w:pPr>
        <w:pStyle w:val="affffffffffffffffffffffffffffffffffff"/>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06992170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bookmarkStart w:id="386" w:name="_Hlk534806817"/>
      <w:bookmarkEnd w:id="385"/>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24240721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65"/>
        </w:numPr>
        <w:ind w:leftChars="0"/>
      </w:pPr>
      <w:bookmarkStart w:id="387" w:name="_Hlk532831394"/>
      <w:bookmarkEnd w:id="386"/>
      <w:r>
        <w:rPr>
          <w:rFonts w:hint="eastAsia"/>
        </w:rPr>
        <w:t>坏账准备的情况</w:t>
      </w:r>
    </w:p>
    <w:sdt>
      <w:sdtPr>
        <w:alias w:val="是否适用：其他应收款坏账准备[双击切换]"/>
        <w:tag w:val="_GBC_524ff4c8c6e549ef8e2bf00ca72ddbb6"/>
        <w:id w:val="141505519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其他应收款坏账准备"/>
          <w:tag w:val="_GBC_a1cc48852f8047719c9f4b9326a997e3"/>
          <w:id w:val="-16269998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其他应收款坏账准备"/>
          <w:tag w:val="_GBC_cc05d2791f5f4983a0b6c04ec0989295"/>
          <w:id w:val="21120845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505"/>
        <w:gridCol w:w="1205"/>
        <w:gridCol w:w="1304"/>
        <w:gridCol w:w="1202"/>
        <w:gridCol w:w="1205"/>
        <w:gridCol w:w="1202"/>
        <w:gridCol w:w="1200"/>
      </w:tblGrid>
      <w:tr>
        <w:bookmarkStart w:id="388" w:name="_Hlk154157836" w:displacedByCustomXml="next"/>
        <w:sdt>
          <w:sdtPr>
            <w:tag w:val="_PLD_26385dc5e422410c8676e4fee82120cb"/>
            <w:id w:val="623574131"/>
          </w:sdtPr>
          <w:sdtContent>
            <w:tc>
              <w:tcPr>
                <w:tcW w:w="853" w:type="pct"/>
                <w:vMerge w:val="restart"/>
                <w:shd w:val="clear" w:color="auto" w:fill="FFFFFF"/>
                <w:vAlign w:val="center"/>
              </w:tcPr>
              <w:p>
                <w:pPr>
                  <w:jc w:val="center"/>
                </w:pPr>
                <w:r>
                  <w:t>类别</w:t>
                </w:r>
              </w:p>
            </w:tc>
          </w:sdtContent>
        </w:sdt>
        <w:sdt>
          <w:sdtPr>
            <w:tag w:val="_PLD_325dd74545cb4f67921ea1cc7ed20a2b"/>
            <w:id w:val="865337471"/>
          </w:sdtPr>
          <w:sdtContent>
            <w:tc>
              <w:tcPr>
                <w:tcW w:w="683" w:type="pct"/>
                <w:vMerge w:val="restart"/>
                <w:shd w:val="clear" w:color="auto" w:fill="FFFFFF"/>
                <w:vAlign w:val="center"/>
              </w:tcPr>
              <w:p>
                <w:pPr>
                  <w:jc w:val="center"/>
                </w:pPr>
                <w:r>
                  <w:t>期初余额</w:t>
                </w:r>
              </w:p>
            </w:tc>
          </w:sdtContent>
        </w:sdt>
        <w:sdt>
          <w:sdtPr>
            <w:tag w:val="_PLD_d513696ccf0b46ccb4ea6d2ef23dbbd2"/>
            <w:id w:val="1202600274"/>
          </w:sdtPr>
          <w:sdtContent>
            <w:tc>
              <w:tcPr>
                <w:tcW w:w="2784" w:type="pct"/>
                <w:gridSpan w:val="4"/>
                <w:shd w:val="clear" w:color="auto" w:fill="FFFFFF"/>
                <w:vAlign w:val="center"/>
              </w:tcPr>
              <w:p>
                <w:pPr>
                  <w:jc w:val="center"/>
                </w:pPr>
                <w:r>
                  <w:rPr>
                    <w:rFonts w:hint="eastAsia"/>
                  </w:rPr>
                  <w:t>本期变动</w:t>
                </w:r>
                <w:r>
                  <w:t>金额</w:t>
                </w:r>
              </w:p>
            </w:tc>
          </w:sdtContent>
        </w:sdt>
        <w:sdt>
          <w:sdtPr>
            <w:tag w:val="_PLD_20b48d7d53584edf917ab5d4207d6a9c"/>
            <w:id w:val="1582408152"/>
          </w:sdtPr>
          <w:sdtContent>
            <w:tc>
              <w:tcPr>
                <w:tcW w:w="680" w:type="pct"/>
                <w:vMerge w:val="restart"/>
                <w:shd w:val="clear" w:color="auto" w:fill="FFFFFF"/>
                <w:vAlign w:val="center"/>
              </w:tcPr>
              <w:p>
                <w:pPr>
                  <w:jc w:val="center"/>
                </w:pPr>
                <w:r>
                  <w:t>期末余额</w:t>
                </w:r>
              </w:p>
            </w:tc>
          </w:sdtContent>
        </w:sdt>
      </w:tr>
      <w:tr>
        <w:tc>
          <w:tcPr>
            <w:tcW w:w="853" w:type="pct"/>
            <w:vMerge/>
            <w:shd w:val="clear" w:color="auto" w:fill="FFFFFF"/>
          </w:tcPr>
          <w:p>
            <w:pPr>
              <w:jc w:val="center"/>
            </w:pPr>
          </w:p>
        </w:tc>
        <w:tc>
          <w:tcPr>
            <w:tcW w:w="683" w:type="pct"/>
            <w:vMerge/>
            <w:shd w:val="clear" w:color="auto" w:fill="FFFFFF"/>
          </w:tcPr>
          <w:p>
            <w:pPr>
              <w:jc w:val="center"/>
            </w:pPr>
          </w:p>
        </w:tc>
        <w:sdt>
          <w:sdtPr>
            <w:tag w:val="_PLD_97824acb5c834e9fbe6cf8e4b6cac761"/>
            <w:id w:val="1100145168"/>
          </w:sdtPr>
          <w:sdtContent>
            <w:tc>
              <w:tcPr>
                <w:tcW w:w="739" w:type="pct"/>
                <w:shd w:val="clear" w:color="auto" w:fill="FFFFFF"/>
                <w:vAlign w:val="center"/>
              </w:tcPr>
              <w:p>
                <w:pPr>
                  <w:jc w:val="center"/>
                </w:pPr>
                <w:r>
                  <w:t>计提</w:t>
                </w:r>
              </w:p>
            </w:tc>
          </w:sdtContent>
        </w:sdt>
        <w:sdt>
          <w:sdtPr>
            <w:tag w:val="_PLD_233002cee9bc4108842b58a08731b243"/>
            <w:id w:val="-355426581"/>
          </w:sdtPr>
          <w:sdtContent>
            <w:tc>
              <w:tcPr>
                <w:tcW w:w="681" w:type="pct"/>
                <w:shd w:val="clear" w:color="auto" w:fill="FFFFFF"/>
                <w:vAlign w:val="center"/>
              </w:tcPr>
              <w:p>
                <w:pPr>
                  <w:jc w:val="center"/>
                </w:pPr>
                <w:r>
                  <w:rPr>
                    <w:rFonts w:hint="eastAsia"/>
                  </w:rPr>
                  <w:t>收回或转回</w:t>
                </w:r>
              </w:p>
            </w:tc>
          </w:sdtContent>
        </w:sdt>
        <w:sdt>
          <w:sdtPr>
            <w:tag w:val="_PLD_6bcdf2328a584128aba90aa75e33c767"/>
            <w:id w:val="-179905010"/>
          </w:sdtPr>
          <w:sdtContent>
            <w:tc>
              <w:tcPr>
                <w:tcW w:w="683" w:type="pct"/>
                <w:shd w:val="clear" w:color="auto" w:fill="FFFFFF"/>
                <w:vAlign w:val="center"/>
              </w:tcPr>
              <w:p>
                <w:pPr>
                  <w:jc w:val="center"/>
                </w:pPr>
                <w:r>
                  <w:rPr>
                    <w:rFonts w:hint="eastAsia"/>
                  </w:rPr>
                  <w:t>转销或核销</w:t>
                </w:r>
              </w:p>
            </w:tc>
          </w:sdtContent>
        </w:sdt>
        <w:tc>
          <w:tcPr>
            <w:tcW w:w="681" w:type="pct"/>
            <w:shd w:val="clear" w:color="auto" w:fill="FFFFFF"/>
            <w:vAlign w:val="center"/>
          </w:tcPr>
          <w:sdt>
            <w:sdtPr>
              <w:tag w:val="_PLD_da684cd2e7cd4d42baf40bc9d95a0ce8"/>
              <w:id w:val="668138165"/>
            </w:sdtPr>
            <w:sdtContent>
              <w:p>
                <w:pPr>
                  <w:jc w:val="center"/>
                </w:pPr>
                <w:r>
                  <w:rPr>
                    <w:rFonts w:hint="eastAsia"/>
                  </w:rPr>
                  <w:t>其他变动</w:t>
                </w:r>
              </w:p>
            </w:sdtContent>
          </w:sdt>
        </w:tc>
        <w:tc>
          <w:tcPr>
            <w:tcW w:w="680" w:type="pct"/>
            <w:vMerge/>
            <w:shd w:val="clear" w:color="auto" w:fill="FFFFFF"/>
          </w:tcPr>
          <w:p>
            <w:pPr>
              <w:jc w:val="right"/>
            </w:pPr>
          </w:p>
        </w:tc>
      </w:tr>
      <w:tr>
        <w:tc>
          <w:tcPr>
            <w:tcW w:w="853" w:type="pct"/>
            <w:shd w:val="clear" w:color="auto" w:fill="auto"/>
          </w:tcPr>
          <w:p>
            <w:pPr>
              <w:pStyle w:val="affffffffffffffffffffffffffffffffe"/>
            </w:pPr>
            <w:r>
              <w:t>其他应收款坏账准备</w:t>
            </w:r>
          </w:p>
        </w:tc>
        <w:tc>
          <w:tcPr>
            <w:tcW w:w="683" w:type="pct"/>
            <w:shd w:val="clear" w:color="auto" w:fill="auto"/>
            <w:vAlign w:val="center"/>
          </w:tcPr>
          <w:p>
            <w:pPr>
              <w:jc w:val="right"/>
            </w:pPr>
            <w:r>
              <w:t>2,238,828</w:t>
            </w:r>
          </w:p>
        </w:tc>
        <w:tc>
          <w:tcPr>
            <w:tcW w:w="739" w:type="pct"/>
            <w:shd w:val="clear" w:color="auto" w:fill="auto"/>
            <w:vAlign w:val="center"/>
          </w:tcPr>
          <w:p>
            <w:pPr>
              <w:jc w:val="right"/>
            </w:pPr>
            <w:r>
              <w:t>52,875</w:t>
            </w:r>
          </w:p>
        </w:tc>
        <w:tc>
          <w:tcPr>
            <w:tcW w:w="681" w:type="pct"/>
            <w:shd w:val="clear" w:color="auto" w:fill="auto"/>
            <w:vAlign w:val="center"/>
          </w:tcPr>
          <w:p>
            <w:pPr>
              <w:jc w:val="right"/>
            </w:pPr>
            <w:r>
              <w:t>159,434</w:t>
            </w:r>
          </w:p>
        </w:tc>
        <w:tc>
          <w:tcPr>
            <w:tcW w:w="683" w:type="pct"/>
            <w:vAlign w:val="center"/>
          </w:tcPr>
          <w:p>
            <w:pPr>
              <w:jc w:val="right"/>
            </w:pPr>
            <w:r>
              <w:t>43,607</w:t>
            </w:r>
          </w:p>
        </w:tc>
        <w:tc>
          <w:tcPr>
            <w:tcW w:w="681" w:type="pct"/>
            <w:vAlign w:val="center"/>
          </w:tcPr>
          <w:p>
            <w:pPr>
              <w:jc w:val="right"/>
            </w:pPr>
            <w:r>
              <w:t>-362,454</w:t>
            </w:r>
          </w:p>
        </w:tc>
        <w:tc>
          <w:tcPr>
            <w:tcW w:w="680" w:type="pct"/>
            <w:shd w:val="clear" w:color="auto" w:fill="auto"/>
            <w:vAlign w:val="center"/>
          </w:tcPr>
          <w:p>
            <w:pPr>
              <w:jc w:val="right"/>
            </w:pPr>
            <w:r>
              <w:t>1,726,208</w:t>
            </w:r>
          </w:p>
        </w:tc>
      </w:tr>
      <w:tr>
        <w:tc>
          <w:tcPr>
            <w:tcW w:w="853" w:type="pct"/>
            <w:shd w:val="clear" w:color="auto" w:fill="auto"/>
          </w:tcPr>
          <w:p>
            <w:pPr>
              <w:jc w:val="center"/>
            </w:pPr>
            <w:r>
              <w:rPr>
                <w:rFonts w:hint="eastAsia"/>
              </w:rPr>
              <w:t>合计</w:t>
            </w:r>
          </w:p>
        </w:tc>
        <w:tc>
          <w:tcPr>
            <w:tcW w:w="683" w:type="pct"/>
            <w:shd w:val="clear" w:color="auto" w:fill="auto"/>
            <w:vAlign w:val="center"/>
          </w:tcPr>
          <w:p>
            <w:pPr>
              <w:pStyle w:val="affffffffffffffffffffffffffffffffe"/>
              <w:jc w:val="right"/>
            </w:pPr>
            <w:r>
              <w:t>2,238,828</w:t>
            </w:r>
          </w:p>
        </w:tc>
        <w:tc>
          <w:tcPr>
            <w:tcW w:w="739" w:type="pct"/>
            <w:shd w:val="clear" w:color="auto" w:fill="auto"/>
            <w:vAlign w:val="center"/>
          </w:tcPr>
          <w:p>
            <w:pPr>
              <w:pStyle w:val="affffffffffffffffffffffffffffffffe"/>
              <w:jc w:val="right"/>
            </w:pPr>
            <w:r>
              <w:t>52,875</w:t>
            </w:r>
          </w:p>
        </w:tc>
        <w:tc>
          <w:tcPr>
            <w:tcW w:w="681" w:type="pct"/>
            <w:shd w:val="clear" w:color="auto" w:fill="auto"/>
            <w:vAlign w:val="center"/>
          </w:tcPr>
          <w:p>
            <w:pPr>
              <w:pStyle w:val="affffffffffffffffffffffffffffffffe"/>
              <w:jc w:val="right"/>
            </w:pPr>
            <w:r>
              <w:t>159,434</w:t>
            </w:r>
          </w:p>
        </w:tc>
        <w:tc>
          <w:tcPr>
            <w:tcW w:w="683" w:type="pct"/>
            <w:vAlign w:val="center"/>
          </w:tcPr>
          <w:p>
            <w:pPr>
              <w:pStyle w:val="affffffffffffffffffffffffffffffffe"/>
              <w:jc w:val="right"/>
            </w:pPr>
            <w:r>
              <w:t>43,607</w:t>
            </w:r>
          </w:p>
        </w:tc>
        <w:tc>
          <w:tcPr>
            <w:tcW w:w="681" w:type="pct"/>
            <w:vAlign w:val="center"/>
          </w:tcPr>
          <w:p>
            <w:pPr>
              <w:pStyle w:val="affffffffffffffffffffffffffffffffe"/>
              <w:jc w:val="right"/>
            </w:pPr>
            <w:r>
              <w:t>-362,454</w:t>
            </w:r>
          </w:p>
        </w:tc>
        <w:tc>
          <w:tcPr>
            <w:tcW w:w="680" w:type="pct"/>
            <w:shd w:val="clear" w:color="auto" w:fill="auto"/>
            <w:vAlign w:val="center"/>
          </w:tcPr>
          <w:p>
            <w:pPr>
              <w:pStyle w:val="affffffffffffffffffffffffffffffffe"/>
              <w:jc w:val="right"/>
            </w:pPr>
            <w:r>
              <w:t>1,726,208</w:t>
            </w:r>
          </w:p>
        </w:tc>
      </w:tr>
    </w:tbl>
    <w:p>
      <w:pPr>
        <w:pStyle w:val="affffffffffffffffffffffffffffffffe"/>
      </w:pPr>
    </w:p>
    <w:p>
      <w:pPr>
        <w:pStyle w:val="affffffffffffffffffffffffffffffffe"/>
      </w:pPr>
      <w:r>
        <w:rPr>
          <w:rFonts w:hint="eastAsia"/>
        </w:rPr>
        <w:t>其中本期坏账准备转回或收回金额重要的：</w:t>
      </w:r>
    </w:p>
    <w:sdt>
      <w:sdtPr>
        <w:alias w:val="是否适用：其中本期其他应收账款坏账准备收回或转回金额重要的[双击切换]"/>
        <w:tag w:val="_GBC_c99a80b9a36440d7b9ed3ce899868361"/>
        <w:id w:val="155419838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其他应收款坏账准备情况的说明"/>
        <w:tag w:val="_GBC_ea3d549b97f449188fd9e2f767cdcd6c"/>
        <w:id w:val="-2029096574"/>
        <w:placeholder>
          <w:docPart w:val="GBC22222222222222222222222222222"/>
        </w:placeholder>
      </w:sdtPr>
      <w:sdtContent>
        <w:p>
          <w:pPr>
            <w:pStyle w:val="affffffffffffffffffffffffffffffffe"/>
          </w:pPr>
          <w:r>
            <w:t>-</w:t>
          </w:r>
        </w:p>
      </w:sdtContent>
    </w:sdt>
    <w:bookmarkEnd w:id="387"/>
    <w:bookmarkEnd w:id="388"/>
    <w:p>
      <w:pPr>
        <w:pStyle w:val="afffffffffffffffffffffffffffffffff2"/>
        <w:numPr>
          <w:ilvl w:val="0"/>
          <w:numId w:val="165"/>
        </w:numPr>
        <w:ind w:leftChars="0"/>
      </w:pPr>
      <w:r>
        <w:rPr>
          <w:rFonts w:hint="eastAsia"/>
        </w:rPr>
        <w:t>本期实际核销的其他应收款情况</w:t>
      </w:r>
    </w:p>
    <w:sdt>
      <w:sdtPr>
        <w:alias w:val="是否适用：本期实际核销的其他应收款情况[双击切换]"/>
        <w:tag w:val="_GBC_2ce86125d6b94b148fa674141e6497b1"/>
        <w:id w:val="-53797245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8084565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5196199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4394"/>
        <w:gridCol w:w="4429"/>
      </w:tblGrid>
      <w:tr>
        <w:trPr>
          <w:cantSplit/>
        </w:trPr>
        <w:sdt>
          <w:sdtPr>
            <w:tag w:val="_PLD_37dfaf7051a145ae922646054d926a0e"/>
            <w:id w:val="-1061863358"/>
          </w:sdtPr>
          <w:sdtContent>
            <w:tc>
              <w:tcPr>
                <w:tcW w:w="2490" w:type="pct"/>
              </w:tcPr>
              <w:p>
                <w:pPr>
                  <w:ind w:right="73"/>
                  <w:jc w:val="center"/>
                  <w:rPr>
                    <w:szCs w:val="21"/>
                  </w:rPr>
                </w:pPr>
                <w:r>
                  <w:rPr>
                    <w:rFonts w:hint="eastAsia"/>
                    <w:szCs w:val="21"/>
                  </w:rPr>
                  <w:t>项目</w:t>
                </w:r>
              </w:p>
            </w:tc>
          </w:sdtContent>
        </w:sdt>
        <w:sdt>
          <w:sdtPr>
            <w:tag w:val="_PLD_57b56183aec749d9a0e8479977704a0b"/>
            <w:id w:val="-2063629839"/>
          </w:sdtPr>
          <w:sdtContent>
            <w:tc>
              <w:tcPr>
                <w:tcW w:w="2510" w:type="pct"/>
              </w:tcPr>
              <w:p>
                <w:pPr>
                  <w:ind w:right="73"/>
                  <w:jc w:val="center"/>
                  <w:rPr>
                    <w:szCs w:val="21"/>
                  </w:rPr>
                </w:pPr>
                <w:r>
                  <w:rPr>
                    <w:rFonts w:hint="eastAsia"/>
                    <w:szCs w:val="21"/>
                  </w:rPr>
                  <w:t>核销金额</w:t>
                </w:r>
              </w:p>
            </w:tc>
          </w:sdtContent>
        </w:sdt>
      </w:tr>
      <w:tr>
        <w:trPr>
          <w:cantSplit/>
        </w:trPr>
        <w:tc>
          <w:tcPr>
            <w:tcW w:w="2490" w:type="pct"/>
          </w:tcPr>
          <w:p>
            <w:pPr>
              <w:ind w:right="73"/>
              <w:rPr>
                <w:szCs w:val="21"/>
              </w:rPr>
            </w:pPr>
            <w:r>
              <w:rPr>
                <w:rFonts w:hint="eastAsia"/>
                <w:szCs w:val="21"/>
              </w:rPr>
              <w:t>实际核销的其他应收款</w:t>
            </w:r>
          </w:p>
        </w:tc>
        <w:tc>
          <w:tcPr>
            <w:tcW w:w="2510" w:type="pct"/>
          </w:tcPr>
          <w:p>
            <w:pPr>
              <w:ind w:right="73"/>
              <w:jc w:val="right"/>
              <w:rPr>
                <w:szCs w:val="21"/>
              </w:rPr>
            </w:pPr>
            <w:r>
              <w:rPr>
                <w:szCs w:val="21"/>
              </w:rPr>
              <w:t>43,607</w:t>
            </w:r>
          </w:p>
        </w:tc>
      </w:tr>
    </w:tbl>
    <w:p>
      <w:pPr>
        <w:rPr>
          <w:szCs w:val="21"/>
        </w:rPr>
      </w:pPr>
    </w:p>
    <w:p>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1280457076"/>
        <w:placeholder>
          <w:docPart w:val="GBC22222222222222222222222222222"/>
        </w:placeholder>
      </w:sdtPr>
      <w:sdtContent>
        <w:p>
          <w:pPr>
            <w:rPr>
              <w:szCs w:val="21"/>
            </w:rPr>
          </w:pPr>
          <w:r>
            <w:rPr>
              <w:szCs w:val="21"/>
            </w:rPr>
            <w:fldChar w:fldCharType="begin"/>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172764220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12782531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8"/>
        <w:gridCol w:w="1429"/>
        <w:gridCol w:w="1350"/>
        <w:gridCol w:w="1318"/>
        <w:gridCol w:w="1442"/>
        <w:gridCol w:w="1706"/>
      </w:tblGrid>
      <w:tr>
        <w:sdt>
          <w:sdtPr>
            <w:tag w:val="_PLD_2184ea9a5dbf45c4ba014b2f6fa3fc93"/>
            <w:id w:val="-973520654"/>
          </w:sdtPr>
          <w:sdtContent>
            <w:tc>
              <w:tcPr>
                <w:tcW w:w="894" w:type="pct"/>
                <w:shd w:val="clear" w:color="auto" w:fill="auto"/>
                <w:vAlign w:val="center"/>
              </w:tcPr>
              <w:p>
                <w:pPr>
                  <w:jc w:val="center"/>
                  <w:rPr>
                    <w:szCs w:val="21"/>
                  </w:rPr>
                </w:pPr>
                <w:r>
                  <w:rPr>
                    <w:szCs w:val="21"/>
                  </w:rPr>
                  <w:t>单位名称</w:t>
                </w:r>
              </w:p>
            </w:tc>
          </w:sdtContent>
        </w:sdt>
        <w:sdt>
          <w:sdtPr>
            <w:tag w:val="_PLD_9b69402b5fdd4a91844568505c88f991"/>
            <w:id w:val="-432978724"/>
          </w:sdtPr>
          <w:sdtContent>
            <w:tc>
              <w:tcPr>
                <w:tcW w:w="810" w:type="pct"/>
                <w:shd w:val="clear" w:color="auto" w:fill="auto"/>
                <w:vAlign w:val="center"/>
              </w:tcPr>
              <w:p>
                <w:pPr>
                  <w:jc w:val="center"/>
                  <w:rPr>
                    <w:szCs w:val="21"/>
                  </w:rPr>
                </w:pPr>
                <w:r>
                  <w:rPr>
                    <w:szCs w:val="21"/>
                  </w:rPr>
                  <w:t>其他应收款性质</w:t>
                </w:r>
              </w:p>
            </w:tc>
          </w:sdtContent>
        </w:sdt>
        <w:sdt>
          <w:sdtPr>
            <w:tag w:val="_PLD_6eae3ef7bd3543d58882285508f9ec59"/>
            <w:id w:val="206299922"/>
          </w:sdtPr>
          <w:sdtContent>
            <w:tc>
              <w:tcPr>
                <w:tcW w:w="765" w:type="pct"/>
                <w:tcBorders>
                  <w:bottom w:val="single" w:sz="4" w:space="0" w:color="auto"/>
                </w:tcBorders>
                <w:shd w:val="clear" w:color="auto" w:fill="auto"/>
                <w:vAlign w:val="center"/>
              </w:tcPr>
              <w:p>
                <w:pPr>
                  <w:jc w:val="center"/>
                  <w:rPr>
                    <w:szCs w:val="21"/>
                  </w:rPr>
                </w:pPr>
                <w:r>
                  <w:rPr>
                    <w:rFonts w:hint="eastAsia"/>
                    <w:szCs w:val="21"/>
                  </w:rPr>
                  <w:t>核</w:t>
                </w:r>
                <w:r>
                  <w:rPr>
                    <w:szCs w:val="21"/>
                  </w:rPr>
                  <w:t>销金额</w:t>
                </w:r>
              </w:p>
            </w:tc>
          </w:sdtContent>
        </w:sdt>
        <w:sdt>
          <w:sdtPr>
            <w:tag w:val="_PLD_787c4e3814d04c798ccca9025bcaff47"/>
            <w:id w:val="-1826049296"/>
          </w:sdtPr>
          <w:sdtContent>
            <w:tc>
              <w:tcPr>
                <w:tcW w:w="747" w:type="pct"/>
                <w:shd w:val="clear" w:color="auto" w:fill="auto"/>
                <w:vAlign w:val="center"/>
              </w:tcPr>
              <w:p>
                <w:pPr>
                  <w:jc w:val="center"/>
                  <w:rPr>
                    <w:szCs w:val="21"/>
                  </w:rPr>
                </w:pPr>
                <w:r>
                  <w:rPr>
                    <w:rFonts w:hint="eastAsia"/>
                    <w:szCs w:val="21"/>
                  </w:rPr>
                  <w:t>核</w:t>
                </w:r>
                <w:r>
                  <w:rPr>
                    <w:szCs w:val="21"/>
                  </w:rPr>
                  <w:t>销原因</w:t>
                </w:r>
              </w:p>
            </w:tc>
          </w:sdtContent>
        </w:sdt>
        <w:sdt>
          <w:sdtPr>
            <w:tag w:val="_PLD_0e166e7f1ab94190b8207226bc7e6cb5"/>
            <w:id w:val="122433373"/>
          </w:sdtPr>
          <w:sdtContent>
            <w:tc>
              <w:tcPr>
                <w:tcW w:w="817" w:type="pct"/>
                <w:shd w:val="clear" w:color="auto" w:fill="auto"/>
                <w:vAlign w:val="center"/>
              </w:tcPr>
              <w:p>
                <w:pPr>
                  <w:jc w:val="center"/>
                  <w:rPr>
                    <w:szCs w:val="21"/>
                  </w:rPr>
                </w:pPr>
                <w:r>
                  <w:rPr>
                    <w:rFonts w:hint="eastAsia"/>
                    <w:szCs w:val="21"/>
                  </w:rPr>
                  <w:t>履行的核销程序</w:t>
                </w:r>
              </w:p>
            </w:tc>
          </w:sdtContent>
        </w:sdt>
        <w:sdt>
          <w:sdtPr>
            <w:tag w:val="_PLD_5ddd0b419ba1467c85c3578b7ef32935"/>
            <w:id w:val="1606994967"/>
          </w:sdtPr>
          <w:sdtContent>
            <w:tc>
              <w:tcPr>
                <w:tcW w:w="967" w:type="pct"/>
                <w:shd w:val="clear" w:color="auto" w:fill="auto"/>
                <w:vAlign w:val="center"/>
              </w:tcPr>
              <w:p>
                <w:pPr>
                  <w:jc w:val="center"/>
                  <w:rPr>
                    <w:szCs w:val="21"/>
                  </w:rPr>
                </w:pPr>
                <w:r>
                  <w:rPr>
                    <w:rFonts w:hint="eastAsia"/>
                    <w:szCs w:val="21"/>
                  </w:rPr>
                  <w:t>款项</w:t>
                </w:r>
                <w:r>
                  <w:rPr>
                    <w:szCs w:val="21"/>
                  </w:rPr>
                  <w:t>是否</w:t>
                </w:r>
                <w:r>
                  <w:rPr>
                    <w:rFonts w:hint="eastAsia"/>
                    <w:szCs w:val="21"/>
                  </w:rPr>
                  <w:t>由</w:t>
                </w:r>
                <w:r>
                  <w:rPr>
                    <w:szCs w:val="21"/>
                  </w:rPr>
                  <w:t>关联交易产生</w:t>
                </w:r>
              </w:p>
            </w:tc>
          </w:sdtContent>
        </w:sdt>
      </w:tr>
      <w:tr>
        <w:tc>
          <w:tcPr>
            <w:tcW w:w="894" w:type="pct"/>
            <w:shd w:val="clear" w:color="auto" w:fill="auto"/>
          </w:tcPr>
          <w:p>
            <w:pPr>
              <w:rPr>
                <w:szCs w:val="21"/>
              </w:rPr>
            </w:pPr>
            <w:r>
              <w:rPr>
                <w:rFonts w:hint="eastAsia"/>
                <w:szCs w:val="21"/>
              </w:rPr>
              <w:t>公司1</w:t>
            </w:r>
          </w:p>
        </w:tc>
        <w:tc>
          <w:tcPr>
            <w:tcW w:w="810" w:type="pct"/>
            <w:tcBorders>
              <w:bottom w:val="single" w:sz="4" w:space="0" w:color="auto"/>
            </w:tcBorders>
            <w:shd w:val="clear" w:color="auto" w:fill="auto"/>
            <w:vAlign w:val="center"/>
          </w:tcPr>
          <w:p>
            <w:pPr>
              <w:pStyle w:val="affffffffffffffffffffffffffffffffe"/>
            </w:pPr>
            <w:r>
              <w:t>单位往来款</w:t>
            </w:r>
          </w:p>
        </w:tc>
        <w:tc>
          <w:tcPr>
            <w:tcW w:w="765" w:type="pct"/>
            <w:tcBorders>
              <w:bottom w:val="single" w:sz="4" w:space="0" w:color="auto"/>
            </w:tcBorders>
            <w:shd w:val="clear" w:color="auto" w:fill="auto"/>
            <w:vAlign w:val="center"/>
          </w:tcPr>
          <w:p>
            <w:pPr>
              <w:pStyle w:val="affffffffffffffffffffffffffffffffe"/>
              <w:jc w:val="right"/>
            </w:pPr>
            <w:r>
              <w:t>1,407</w:t>
            </w:r>
          </w:p>
        </w:tc>
        <w:tc>
          <w:tcPr>
            <w:tcW w:w="747" w:type="pct"/>
            <w:tcBorders>
              <w:bottom w:val="single" w:sz="4" w:space="0" w:color="auto"/>
            </w:tcBorders>
            <w:shd w:val="clear" w:color="auto" w:fill="auto"/>
            <w:vAlign w:val="center"/>
          </w:tcPr>
          <w:p>
            <w:pPr>
              <w:pStyle w:val="affffffffffffffffffffffffffffffffe"/>
            </w:pPr>
            <w:r>
              <w:t>破产清算</w:t>
            </w:r>
          </w:p>
        </w:tc>
        <w:tc>
          <w:tcPr>
            <w:tcW w:w="817" w:type="pct"/>
            <w:tcBorders>
              <w:bottom w:val="single" w:sz="4" w:space="0" w:color="auto"/>
            </w:tcBorders>
            <w:shd w:val="clear" w:color="auto" w:fill="auto"/>
            <w:vAlign w:val="center"/>
          </w:tcPr>
          <w:p>
            <w:pPr>
              <w:pStyle w:val="affffffffffffffffffffffffffffffffe"/>
            </w:pPr>
            <w:r>
              <w:t>董事会决议</w:t>
            </w:r>
          </w:p>
        </w:tc>
        <w:tc>
          <w:tcPr>
            <w:tcW w:w="967" w:type="pct"/>
            <w:tcBorders>
              <w:bottom w:val="single" w:sz="4" w:space="0" w:color="auto"/>
            </w:tcBorders>
            <w:shd w:val="clear" w:color="auto" w:fill="auto"/>
            <w:vAlign w:val="center"/>
          </w:tcPr>
          <w:p>
            <w:pPr>
              <w:pStyle w:val="affffffffffffffffffffffffffffffffe"/>
            </w:pPr>
            <w:r>
              <w:t>否</w:t>
            </w:r>
          </w:p>
        </w:tc>
      </w:tr>
      <w:tr>
        <w:tc>
          <w:tcPr>
            <w:tcW w:w="894" w:type="pct"/>
            <w:shd w:val="clear" w:color="auto" w:fill="auto"/>
            <w:vAlign w:val="center"/>
          </w:tcPr>
          <w:p>
            <w:pPr>
              <w:jc w:val="center"/>
              <w:rPr>
                <w:szCs w:val="21"/>
              </w:rPr>
            </w:pPr>
            <w:r>
              <w:rPr>
                <w:szCs w:val="21"/>
              </w:rPr>
              <w:t>合计</w:t>
            </w:r>
          </w:p>
        </w:tc>
        <w:tc>
          <w:tcPr>
            <w:tcW w:w="810" w:type="pct"/>
            <w:shd w:val="clear" w:color="auto" w:fill="auto"/>
          </w:tcPr>
          <w:p>
            <w:pPr>
              <w:jc w:val="center"/>
              <w:rPr>
                <w:szCs w:val="21"/>
              </w:rPr>
            </w:pPr>
            <w:r>
              <w:rPr>
                <w:rFonts w:hint="eastAsia"/>
                <w:szCs w:val="21"/>
              </w:rPr>
              <w:t>/</w:t>
            </w:r>
          </w:p>
        </w:tc>
        <w:tc>
          <w:tcPr>
            <w:tcW w:w="765" w:type="pct"/>
            <w:shd w:val="clear" w:color="auto" w:fill="auto"/>
            <w:vAlign w:val="center"/>
          </w:tcPr>
          <w:p>
            <w:pPr>
              <w:jc w:val="right"/>
            </w:pPr>
            <w:r>
              <w:t>1,407</w:t>
            </w:r>
          </w:p>
        </w:tc>
        <w:tc>
          <w:tcPr>
            <w:tcW w:w="747" w:type="pct"/>
            <w:shd w:val="clear" w:color="auto" w:fill="auto"/>
          </w:tcPr>
          <w:p>
            <w:pPr>
              <w:jc w:val="center"/>
              <w:rPr>
                <w:szCs w:val="21"/>
              </w:rPr>
            </w:pPr>
            <w:r>
              <w:rPr>
                <w:rFonts w:hint="eastAsia"/>
                <w:szCs w:val="21"/>
              </w:rPr>
              <w:t>/</w:t>
            </w:r>
          </w:p>
        </w:tc>
        <w:tc>
          <w:tcPr>
            <w:tcW w:w="817" w:type="pct"/>
            <w:shd w:val="clear" w:color="auto" w:fill="auto"/>
          </w:tcPr>
          <w:p>
            <w:pPr>
              <w:jc w:val="center"/>
              <w:rPr>
                <w:szCs w:val="21"/>
              </w:rPr>
            </w:pPr>
            <w:r>
              <w:rPr>
                <w:rFonts w:hint="eastAsia"/>
                <w:szCs w:val="21"/>
              </w:rPr>
              <w:t>/</w:t>
            </w:r>
          </w:p>
        </w:tc>
        <w:tc>
          <w:tcPr>
            <w:tcW w:w="967" w:type="pct"/>
            <w:shd w:val="clear" w:color="auto" w:fill="auto"/>
          </w:tcPr>
          <w:p>
            <w:pPr>
              <w:jc w:val="center"/>
              <w:rPr>
                <w:szCs w:val="21"/>
              </w:rPr>
            </w:pPr>
            <w:r>
              <w:rPr>
                <w:rFonts w:hint="eastAsia"/>
                <w:szCs w:val="21"/>
              </w:rPr>
              <w:t>/</w:t>
            </w:r>
          </w:p>
        </w:tc>
      </w:tr>
    </w:tbl>
    <w:p>
      <w:pPr>
        <w:snapToGrid w:val="0"/>
        <w:spacing w:line="240" w:lineRule="atLeast"/>
        <w:rPr>
          <w:szCs w:val="21"/>
        </w:rPr>
      </w:pPr>
    </w:p>
    <w:p>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2173998"/>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p>
      <w:pPr>
        <w:pStyle w:val="afffffffffffffffffffffffffffffffff2"/>
        <w:numPr>
          <w:ilvl w:val="0"/>
          <w:numId w:val="165"/>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69635129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18986657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其他应收账款前五名欠款情况"/>
          <w:tag w:val="_GBC_54cf5f95e62e4f5f8ccb31731efadf32"/>
          <w:id w:val="20617429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1234"/>
        <w:gridCol w:w="1747"/>
        <w:gridCol w:w="1343"/>
        <w:gridCol w:w="1316"/>
        <w:gridCol w:w="1660"/>
      </w:tblGrid>
      <w:tr>
        <w:trPr>
          <w:cantSplit/>
        </w:trPr>
        <w:sdt>
          <w:sdtPr>
            <w:tag w:val="_PLD_f30fc2dc8886472699c892f0395ab05e"/>
            <w:id w:val="-1818478239"/>
          </w:sdtPr>
          <w:sdtContent>
            <w:tc>
              <w:tcPr>
                <w:tcW w:w="863" w:type="pct"/>
                <w:vAlign w:val="center"/>
              </w:tcPr>
              <w:p>
                <w:pPr>
                  <w:ind w:right="105"/>
                  <w:jc w:val="center"/>
                  <w:rPr>
                    <w:szCs w:val="21"/>
                  </w:rPr>
                </w:pPr>
                <w:r>
                  <w:rPr>
                    <w:rFonts w:hint="eastAsia"/>
                    <w:szCs w:val="21"/>
                  </w:rPr>
                  <w:t>单位名称</w:t>
                </w:r>
              </w:p>
            </w:tc>
          </w:sdtContent>
        </w:sdt>
        <w:sdt>
          <w:sdtPr>
            <w:tag w:val="_PLD_1bc905abb4bf4c679b9fbe0a7587d651"/>
            <w:id w:val="-2051442402"/>
          </w:sdtPr>
          <w:sdtContent>
            <w:tc>
              <w:tcPr>
                <w:tcW w:w="699" w:type="pct"/>
                <w:vAlign w:val="center"/>
              </w:tcPr>
              <w:p>
                <w:pPr>
                  <w:ind w:right="73"/>
                  <w:jc w:val="center"/>
                  <w:rPr>
                    <w:szCs w:val="21"/>
                  </w:rPr>
                </w:pPr>
                <w:r>
                  <w:rPr>
                    <w:rFonts w:hint="eastAsia"/>
                    <w:szCs w:val="21"/>
                  </w:rPr>
                  <w:t>期末余额</w:t>
                </w:r>
              </w:p>
            </w:tc>
          </w:sdtContent>
        </w:sdt>
        <w:sdt>
          <w:sdtPr>
            <w:tag w:val="_PLD_055b75c0a3cf450e995ac7e13fdc0c08"/>
            <w:id w:val="-644432735"/>
          </w:sdtPr>
          <w:sdtContent>
            <w:tc>
              <w:tcPr>
                <w:tcW w:w="990" w:type="pct"/>
                <w:vAlign w:val="center"/>
              </w:tcPr>
              <w:p>
                <w:pPr>
                  <w:jc w:val="center"/>
                  <w:rPr>
                    <w:szCs w:val="21"/>
                  </w:rPr>
                </w:pPr>
                <w:r>
                  <w:rPr>
                    <w:rFonts w:hint="eastAsia"/>
                    <w:szCs w:val="21"/>
                  </w:rPr>
                  <w:t>占其他应收款期末余额合计数的比例(</w:t>
                </w:r>
                <w:r>
                  <w:rPr>
                    <w:szCs w:val="21"/>
                  </w:rPr>
                  <w:t>%)</w:t>
                </w:r>
              </w:p>
            </w:tc>
          </w:sdtContent>
        </w:sdt>
        <w:sdt>
          <w:sdtPr>
            <w:tag w:val="_PLD_44129b8132114de2a4d33c4acb8af98f"/>
            <w:id w:val="-650365009"/>
          </w:sdtPr>
          <w:sdtContent>
            <w:tc>
              <w:tcPr>
                <w:tcW w:w="761" w:type="pct"/>
                <w:vAlign w:val="center"/>
              </w:tcPr>
              <w:p>
                <w:pPr>
                  <w:ind w:right="73"/>
                  <w:jc w:val="center"/>
                  <w:rPr>
                    <w:szCs w:val="21"/>
                  </w:rPr>
                </w:pPr>
                <w:r>
                  <w:rPr>
                    <w:rFonts w:hint="eastAsia"/>
                    <w:szCs w:val="21"/>
                  </w:rPr>
                  <w:t>款项的性质</w:t>
                </w:r>
              </w:p>
            </w:tc>
          </w:sdtContent>
        </w:sdt>
        <w:sdt>
          <w:sdtPr>
            <w:tag w:val="_PLD_d9231de346f74815b1bc7c82527b1ef5"/>
            <w:id w:val="-1750805757"/>
          </w:sdtPr>
          <w:sdtContent>
            <w:tc>
              <w:tcPr>
                <w:tcW w:w="746" w:type="pct"/>
                <w:vAlign w:val="center"/>
              </w:tcPr>
              <w:p>
                <w:pPr>
                  <w:ind w:right="73"/>
                  <w:jc w:val="center"/>
                  <w:rPr>
                    <w:szCs w:val="21"/>
                  </w:rPr>
                </w:pPr>
                <w:r>
                  <w:rPr>
                    <w:rFonts w:hint="eastAsia"/>
                    <w:szCs w:val="21"/>
                  </w:rPr>
                  <w:t>账龄</w:t>
                </w:r>
              </w:p>
            </w:tc>
          </w:sdtContent>
        </w:sdt>
        <w:sdt>
          <w:sdtPr>
            <w:tag w:val="_PLD_a7951a260c094fc8b8b64f2d1e6a933e"/>
            <w:id w:val="2123492069"/>
          </w:sdtPr>
          <w:sdtContent>
            <w:tc>
              <w:tcPr>
                <w:tcW w:w="941" w:type="pct"/>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tr>
        <w:trPr>
          <w:cantSplit/>
        </w:trPr>
        <w:tc>
          <w:tcPr>
            <w:tcW w:w="863" w:type="pct"/>
            <w:vAlign w:val="center"/>
          </w:tcPr>
          <w:p>
            <w:pPr>
              <w:ind w:right="105"/>
              <w:jc w:val="both"/>
              <w:rPr>
                <w:szCs w:val="21"/>
              </w:rPr>
            </w:pPr>
            <w:r>
              <w:rPr>
                <w:rFonts w:hint="eastAsia"/>
                <w:szCs w:val="21"/>
              </w:rPr>
              <w:t>公司1</w:t>
            </w:r>
          </w:p>
        </w:tc>
        <w:tc>
          <w:tcPr>
            <w:tcW w:w="699" w:type="pct"/>
            <w:vAlign w:val="center"/>
          </w:tcPr>
          <w:p>
            <w:pPr>
              <w:pStyle w:val="affffffffffffffffffffffffffffffffe"/>
              <w:jc w:val="right"/>
            </w:pPr>
            <w:r>
              <w:t>792,621</w:t>
            </w:r>
          </w:p>
        </w:tc>
        <w:tc>
          <w:tcPr>
            <w:tcW w:w="990" w:type="pct"/>
            <w:vAlign w:val="center"/>
          </w:tcPr>
          <w:p>
            <w:pPr>
              <w:jc w:val="right"/>
            </w:pPr>
            <w:r>
              <w:t>15</w:t>
            </w:r>
          </w:p>
        </w:tc>
        <w:tc>
          <w:tcPr>
            <w:tcW w:w="761" w:type="pct"/>
            <w:vAlign w:val="center"/>
          </w:tcPr>
          <w:p>
            <w:pPr>
              <w:pStyle w:val="affffffffffffffffffffffffffffffffe"/>
              <w:jc w:val="right"/>
            </w:pPr>
            <w:r>
              <w:t>往来款</w:t>
            </w:r>
          </w:p>
        </w:tc>
        <w:tc>
          <w:tcPr>
            <w:tcW w:w="746" w:type="pct"/>
            <w:vAlign w:val="center"/>
          </w:tcPr>
          <w:p>
            <w:pPr>
              <w:pStyle w:val="affffffffffffffffffffffffffffffffe"/>
            </w:pPr>
            <w:r>
              <w:t>1-3年，3年以上</w:t>
            </w:r>
          </w:p>
        </w:tc>
        <w:tc>
          <w:tcPr>
            <w:tcW w:w="941" w:type="pct"/>
            <w:vAlign w:val="center"/>
          </w:tcPr>
          <w:p>
            <w:pPr>
              <w:pStyle w:val="affffffffffffffffffffffffffffffffe"/>
              <w:jc w:val="right"/>
            </w:pPr>
          </w:p>
        </w:tc>
      </w:tr>
      <w:tr>
        <w:trPr>
          <w:cantSplit/>
        </w:trPr>
        <w:tc>
          <w:tcPr>
            <w:tcW w:w="863" w:type="pct"/>
            <w:vAlign w:val="center"/>
          </w:tcPr>
          <w:p>
            <w:pPr>
              <w:ind w:right="105"/>
              <w:jc w:val="both"/>
              <w:rPr>
                <w:szCs w:val="21"/>
              </w:rPr>
            </w:pPr>
            <w:r>
              <w:rPr>
                <w:rFonts w:hint="eastAsia"/>
                <w:szCs w:val="21"/>
              </w:rPr>
              <w:t>公司2</w:t>
            </w:r>
          </w:p>
        </w:tc>
        <w:tc>
          <w:tcPr>
            <w:tcW w:w="699" w:type="pct"/>
            <w:vAlign w:val="center"/>
          </w:tcPr>
          <w:p>
            <w:pPr>
              <w:pStyle w:val="affffffffffffffffffffffffffffffffe"/>
              <w:jc w:val="right"/>
            </w:pPr>
            <w:r>
              <w:t>466,483</w:t>
            </w:r>
          </w:p>
        </w:tc>
        <w:tc>
          <w:tcPr>
            <w:tcW w:w="990" w:type="pct"/>
            <w:vAlign w:val="center"/>
          </w:tcPr>
          <w:p>
            <w:pPr>
              <w:jc w:val="right"/>
            </w:pPr>
            <w:r>
              <w:t>9</w:t>
            </w:r>
          </w:p>
        </w:tc>
        <w:tc>
          <w:tcPr>
            <w:tcW w:w="761" w:type="pct"/>
            <w:vAlign w:val="center"/>
          </w:tcPr>
          <w:p>
            <w:pPr>
              <w:pStyle w:val="affffffffffffffffffffffffffffffffe"/>
              <w:jc w:val="right"/>
            </w:pPr>
            <w:r>
              <w:t>往来款</w:t>
            </w:r>
          </w:p>
        </w:tc>
        <w:tc>
          <w:tcPr>
            <w:tcW w:w="746" w:type="pct"/>
            <w:vAlign w:val="center"/>
          </w:tcPr>
          <w:p>
            <w:pPr>
              <w:rPr>
                <w:sz w:val="24"/>
              </w:rPr>
            </w:pPr>
            <w:r>
              <w:t>3年以上</w:t>
            </w:r>
          </w:p>
        </w:tc>
        <w:tc>
          <w:tcPr>
            <w:tcW w:w="941" w:type="pct"/>
            <w:vAlign w:val="center"/>
          </w:tcPr>
          <w:p>
            <w:pPr>
              <w:pStyle w:val="affffffffffffffffffffffffffffffffe"/>
              <w:jc w:val="right"/>
            </w:pPr>
            <w:r>
              <w:t>233,700</w:t>
            </w:r>
          </w:p>
        </w:tc>
      </w:tr>
      <w:tr>
        <w:trPr>
          <w:cantSplit/>
        </w:trPr>
        <w:tc>
          <w:tcPr>
            <w:tcW w:w="863" w:type="pct"/>
            <w:vAlign w:val="center"/>
          </w:tcPr>
          <w:p>
            <w:pPr>
              <w:ind w:right="105"/>
              <w:jc w:val="both"/>
              <w:rPr>
                <w:szCs w:val="21"/>
              </w:rPr>
            </w:pPr>
            <w:r>
              <w:rPr>
                <w:rFonts w:hint="eastAsia"/>
                <w:szCs w:val="21"/>
              </w:rPr>
              <w:lastRenderedPageBreak/>
              <w:t>公司3</w:t>
            </w:r>
          </w:p>
        </w:tc>
        <w:tc>
          <w:tcPr>
            <w:tcW w:w="699" w:type="pct"/>
            <w:vAlign w:val="center"/>
          </w:tcPr>
          <w:p>
            <w:pPr>
              <w:pStyle w:val="affffffffffffffffffffffffffffffffe"/>
              <w:jc w:val="right"/>
            </w:pPr>
            <w:r>
              <w:t>301,618</w:t>
            </w:r>
          </w:p>
        </w:tc>
        <w:tc>
          <w:tcPr>
            <w:tcW w:w="990" w:type="pct"/>
            <w:vAlign w:val="center"/>
          </w:tcPr>
          <w:p>
            <w:pPr>
              <w:jc w:val="right"/>
            </w:pPr>
            <w:r>
              <w:t>6</w:t>
            </w:r>
          </w:p>
        </w:tc>
        <w:tc>
          <w:tcPr>
            <w:tcW w:w="761" w:type="pct"/>
            <w:vAlign w:val="center"/>
          </w:tcPr>
          <w:p>
            <w:pPr>
              <w:pStyle w:val="affffffffffffffffffffffffffffffffe"/>
              <w:jc w:val="right"/>
            </w:pPr>
            <w:r>
              <w:t>往来款</w:t>
            </w:r>
          </w:p>
        </w:tc>
        <w:tc>
          <w:tcPr>
            <w:tcW w:w="746" w:type="pct"/>
            <w:vAlign w:val="center"/>
          </w:tcPr>
          <w:p>
            <w:pPr>
              <w:pStyle w:val="affffffffffffffffffffffffffffffffe"/>
            </w:pPr>
            <w:r>
              <w:t>1-2年，3年以上</w:t>
            </w:r>
          </w:p>
        </w:tc>
        <w:tc>
          <w:tcPr>
            <w:tcW w:w="941" w:type="pct"/>
            <w:vAlign w:val="center"/>
          </w:tcPr>
          <w:p>
            <w:pPr>
              <w:pStyle w:val="affffffffffffffffffffffffffffffffe"/>
              <w:jc w:val="right"/>
            </w:pPr>
            <w:r>
              <w:t>301,618</w:t>
            </w:r>
          </w:p>
        </w:tc>
      </w:tr>
      <w:tr>
        <w:trPr>
          <w:cantSplit/>
        </w:trPr>
        <w:tc>
          <w:tcPr>
            <w:tcW w:w="863" w:type="pct"/>
            <w:vAlign w:val="center"/>
          </w:tcPr>
          <w:p>
            <w:pPr>
              <w:ind w:right="105"/>
              <w:jc w:val="both"/>
              <w:rPr>
                <w:szCs w:val="21"/>
              </w:rPr>
            </w:pPr>
            <w:r>
              <w:rPr>
                <w:rFonts w:hint="eastAsia"/>
                <w:szCs w:val="21"/>
              </w:rPr>
              <w:t>公司4</w:t>
            </w:r>
          </w:p>
        </w:tc>
        <w:tc>
          <w:tcPr>
            <w:tcW w:w="699" w:type="pct"/>
            <w:vAlign w:val="center"/>
          </w:tcPr>
          <w:p>
            <w:pPr>
              <w:ind w:right="73"/>
              <w:jc w:val="right"/>
              <w:rPr>
                <w:szCs w:val="21"/>
              </w:rPr>
            </w:pPr>
            <w:r>
              <w:rPr>
                <w:szCs w:val="21"/>
              </w:rPr>
              <w:t>278,560</w:t>
            </w:r>
          </w:p>
        </w:tc>
        <w:tc>
          <w:tcPr>
            <w:tcW w:w="990" w:type="pct"/>
            <w:vAlign w:val="center"/>
          </w:tcPr>
          <w:p>
            <w:pPr>
              <w:jc w:val="right"/>
              <w:rPr>
                <w:szCs w:val="21"/>
              </w:rPr>
            </w:pPr>
            <w:r>
              <w:rPr>
                <w:szCs w:val="21"/>
              </w:rPr>
              <w:t>5</w:t>
            </w:r>
          </w:p>
        </w:tc>
        <w:tc>
          <w:tcPr>
            <w:tcW w:w="761" w:type="pct"/>
            <w:vAlign w:val="center"/>
          </w:tcPr>
          <w:p>
            <w:pPr>
              <w:ind w:right="73"/>
              <w:jc w:val="right"/>
              <w:rPr>
                <w:szCs w:val="21"/>
              </w:rPr>
            </w:pPr>
            <w:r>
              <w:rPr>
                <w:rFonts w:hint="eastAsia"/>
                <w:szCs w:val="21"/>
              </w:rPr>
              <w:t>往来款</w:t>
            </w:r>
          </w:p>
        </w:tc>
        <w:tc>
          <w:tcPr>
            <w:tcW w:w="746" w:type="pct"/>
            <w:vAlign w:val="center"/>
          </w:tcPr>
          <w:p>
            <w:pPr>
              <w:ind w:right="73"/>
              <w:rPr>
                <w:szCs w:val="21"/>
              </w:rPr>
            </w:pPr>
            <w:r>
              <w:rPr>
                <w:szCs w:val="21"/>
              </w:rPr>
              <w:t>1年以内</w:t>
            </w:r>
          </w:p>
        </w:tc>
        <w:tc>
          <w:tcPr>
            <w:tcW w:w="941" w:type="pct"/>
            <w:vAlign w:val="center"/>
          </w:tcPr>
          <w:p>
            <w:pPr>
              <w:jc w:val="right"/>
              <w:rPr>
                <w:szCs w:val="21"/>
              </w:rPr>
            </w:pPr>
          </w:p>
        </w:tc>
      </w:tr>
      <w:tr>
        <w:trPr>
          <w:cantSplit/>
        </w:trPr>
        <w:tc>
          <w:tcPr>
            <w:tcW w:w="863" w:type="pct"/>
            <w:vAlign w:val="center"/>
          </w:tcPr>
          <w:p>
            <w:pPr>
              <w:ind w:right="105"/>
              <w:jc w:val="both"/>
              <w:rPr>
                <w:szCs w:val="21"/>
              </w:rPr>
            </w:pPr>
            <w:r>
              <w:rPr>
                <w:rFonts w:hint="eastAsia"/>
                <w:szCs w:val="21"/>
              </w:rPr>
              <w:t>公司5</w:t>
            </w:r>
          </w:p>
        </w:tc>
        <w:tc>
          <w:tcPr>
            <w:tcW w:w="699" w:type="pct"/>
            <w:vAlign w:val="center"/>
          </w:tcPr>
          <w:p>
            <w:pPr>
              <w:ind w:right="73"/>
              <w:jc w:val="right"/>
              <w:rPr>
                <w:szCs w:val="21"/>
              </w:rPr>
            </w:pPr>
            <w:r>
              <w:rPr>
                <w:szCs w:val="21"/>
              </w:rPr>
              <w:t>213,723</w:t>
            </w:r>
          </w:p>
        </w:tc>
        <w:tc>
          <w:tcPr>
            <w:tcW w:w="990" w:type="pct"/>
            <w:vAlign w:val="center"/>
          </w:tcPr>
          <w:p>
            <w:pPr>
              <w:jc w:val="right"/>
              <w:rPr>
                <w:szCs w:val="21"/>
              </w:rPr>
            </w:pPr>
            <w:r>
              <w:rPr>
                <w:szCs w:val="21"/>
              </w:rPr>
              <w:t>4</w:t>
            </w:r>
          </w:p>
        </w:tc>
        <w:tc>
          <w:tcPr>
            <w:tcW w:w="761" w:type="pct"/>
            <w:vAlign w:val="center"/>
          </w:tcPr>
          <w:p>
            <w:pPr>
              <w:ind w:right="73"/>
              <w:jc w:val="right"/>
              <w:rPr>
                <w:szCs w:val="21"/>
              </w:rPr>
            </w:pPr>
            <w:r>
              <w:rPr>
                <w:rFonts w:hint="eastAsia"/>
                <w:szCs w:val="21"/>
              </w:rPr>
              <w:t>往来款</w:t>
            </w:r>
          </w:p>
        </w:tc>
        <w:tc>
          <w:tcPr>
            <w:tcW w:w="746" w:type="pct"/>
            <w:vAlign w:val="center"/>
          </w:tcPr>
          <w:p>
            <w:pPr>
              <w:ind w:right="73"/>
              <w:rPr>
                <w:szCs w:val="21"/>
              </w:rPr>
            </w:pPr>
            <w:r>
              <w:rPr>
                <w:szCs w:val="21"/>
              </w:rPr>
              <w:t>1年以内,1-2年</w:t>
            </w:r>
          </w:p>
        </w:tc>
        <w:tc>
          <w:tcPr>
            <w:tcW w:w="941" w:type="pct"/>
            <w:vAlign w:val="center"/>
          </w:tcPr>
          <w:p>
            <w:pPr>
              <w:jc w:val="right"/>
              <w:rPr>
                <w:szCs w:val="21"/>
              </w:rPr>
            </w:pPr>
          </w:p>
        </w:tc>
      </w:tr>
      <w:tr>
        <w:trPr>
          <w:cantSplit/>
        </w:trPr>
        <w:tc>
          <w:tcPr>
            <w:tcW w:w="863" w:type="pct"/>
          </w:tcPr>
          <w:p>
            <w:pPr>
              <w:ind w:right="105"/>
              <w:jc w:val="center"/>
              <w:rPr>
                <w:szCs w:val="21"/>
              </w:rPr>
            </w:pPr>
            <w:r>
              <w:rPr>
                <w:rFonts w:hint="eastAsia"/>
                <w:szCs w:val="21"/>
              </w:rPr>
              <w:t>合计</w:t>
            </w:r>
          </w:p>
        </w:tc>
        <w:tc>
          <w:tcPr>
            <w:tcW w:w="699" w:type="pct"/>
            <w:vAlign w:val="center"/>
          </w:tcPr>
          <w:p>
            <w:pPr>
              <w:ind w:right="73"/>
              <w:jc w:val="right"/>
              <w:rPr>
                <w:szCs w:val="21"/>
              </w:rPr>
            </w:pPr>
            <w:r>
              <w:rPr>
                <w:szCs w:val="21"/>
              </w:rPr>
              <w:t>2,053,005</w:t>
            </w:r>
          </w:p>
        </w:tc>
        <w:tc>
          <w:tcPr>
            <w:tcW w:w="990" w:type="pct"/>
            <w:vAlign w:val="center"/>
          </w:tcPr>
          <w:p>
            <w:pPr>
              <w:jc w:val="right"/>
              <w:rPr>
                <w:szCs w:val="21"/>
              </w:rPr>
            </w:pPr>
            <w:r>
              <w:rPr>
                <w:rFonts w:hint="eastAsia"/>
                <w:szCs w:val="21"/>
              </w:rPr>
              <w:t>3</w:t>
            </w:r>
            <w:r>
              <w:rPr>
                <w:szCs w:val="21"/>
              </w:rPr>
              <w:t>9</w:t>
            </w:r>
          </w:p>
        </w:tc>
        <w:tc>
          <w:tcPr>
            <w:tcW w:w="761" w:type="pct"/>
          </w:tcPr>
          <w:p>
            <w:pPr>
              <w:ind w:right="73"/>
              <w:jc w:val="center"/>
              <w:rPr>
                <w:szCs w:val="21"/>
              </w:rPr>
            </w:pPr>
            <w:r>
              <w:rPr>
                <w:szCs w:val="21"/>
              </w:rPr>
              <w:t>/</w:t>
            </w:r>
          </w:p>
        </w:tc>
        <w:tc>
          <w:tcPr>
            <w:tcW w:w="746" w:type="pct"/>
          </w:tcPr>
          <w:p>
            <w:pPr>
              <w:ind w:right="73"/>
              <w:jc w:val="center"/>
              <w:rPr>
                <w:szCs w:val="21"/>
              </w:rPr>
            </w:pPr>
            <w:r>
              <w:rPr>
                <w:szCs w:val="21"/>
              </w:rPr>
              <w:t>/</w:t>
            </w:r>
          </w:p>
        </w:tc>
        <w:tc>
          <w:tcPr>
            <w:tcW w:w="941" w:type="pct"/>
            <w:vAlign w:val="center"/>
          </w:tcPr>
          <w:p>
            <w:pPr>
              <w:jc w:val="right"/>
              <w:rPr>
                <w:szCs w:val="21"/>
              </w:rPr>
            </w:pPr>
            <w:r>
              <w:rPr>
                <w:szCs w:val="21"/>
              </w:rPr>
              <w:t>535,318</w:t>
            </w:r>
          </w:p>
        </w:tc>
      </w:tr>
    </w:tbl>
    <w:p>
      <w:pPr>
        <w:snapToGrid w:val="0"/>
        <w:spacing w:line="240" w:lineRule="atLeast"/>
      </w:pPr>
    </w:p>
    <w:p>
      <w:pPr>
        <w:pStyle w:val="afffffffffffffffffffffffffffffffff2"/>
        <w:numPr>
          <w:ilvl w:val="0"/>
          <w:numId w:val="165"/>
        </w:numPr>
        <w:ind w:leftChars="0"/>
        <w:rPr>
          <w:rFonts w:ascii="宋体" w:hAnsi="宋体" w:cs="宋体"/>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113508617"/>
        <w:placeholder>
          <w:docPart w:val="GBC22222222222222222222222222222"/>
        </w:placeholder>
      </w:sdt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affffffffffffffffffffffffffffffffe"/>
      </w:pPr>
      <w:r>
        <w:rPr>
          <w:rFonts w:hint="eastAsia"/>
        </w:rPr>
        <w:t>其他</w:t>
      </w:r>
      <w:r>
        <w:t>说明：</w:t>
      </w:r>
    </w:p>
    <w:sdt>
      <w:sdtPr>
        <w:rPr>
          <w:rFonts w:hint="eastAsia"/>
          <w:szCs w:val="21"/>
        </w:rPr>
        <w:alias w:val="是否适用：其他应收款的其他说明[双击切换]"/>
        <w:tag w:val="_GBC_f19370687b664bbeafd6d2809311f81e"/>
        <w:id w:val="110523075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03"/>
        </w:numPr>
      </w:pPr>
      <w:r>
        <w:rPr>
          <w:rFonts w:hint="eastAsia"/>
        </w:rPr>
        <w:t>存货</w:t>
      </w:r>
    </w:p>
    <w:p>
      <w:pPr>
        <w:pStyle w:val="afffffffffffffffffffffffffffffffff1"/>
        <w:numPr>
          <w:ilvl w:val="3"/>
          <w:numId w:val="166"/>
        </w:numPr>
        <w:ind w:left="426" w:hanging="426"/>
      </w:pPr>
      <w:bookmarkStart w:id="389" w:name="_Hlk24116366"/>
      <w:bookmarkStart w:id="390" w:name="_Hlk532992451"/>
      <w:r>
        <w:rPr>
          <w:rFonts w:hint="eastAsia"/>
        </w:rPr>
        <w:t>存货分类</w:t>
      </w:r>
    </w:p>
    <w:sdt>
      <w:sdtPr>
        <w:alias w:val="是否适用：存货分类[双击切换]"/>
        <w:tag w:val="_GBC_357bbe1b1f034d20ba175209243f1121"/>
        <w:id w:val="-54900447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存货分类"/>
          <w:tag w:val="_GBC_d8d041ff281d42b2825673de12d9cf99"/>
          <w:id w:val="3322627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存货分类"/>
          <w:tag w:val="_GBC_dfe02fee4d9a4b77b46c5afad867d464"/>
          <w:id w:val="14470422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0"/>
        <w:gridCol w:w="1166"/>
        <w:gridCol w:w="1345"/>
        <w:gridCol w:w="1212"/>
        <w:gridCol w:w="1200"/>
        <w:gridCol w:w="1339"/>
        <w:gridCol w:w="1161"/>
      </w:tblGrid>
      <w:tr>
        <w:trPr>
          <w:cantSplit/>
        </w:trPr>
        <w:sdt>
          <w:sdtPr>
            <w:tag w:val="_PLD_c7ef81863f9f475b86b8ee43ac7e9274"/>
            <w:id w:val="-178279458"/>
          </w:sdtPr>
          <w:sdtContent>
            <w:tc>
              <w:tcPr>
                <w:tcW w:w="793" w:type="pct"/>
                <w:vMerge w:val="restart"/>
                <w:vAlign w:val="center"/>
              </w:tcPr>
              <w:p>
                <w:pPr>
                  <w:jc w:val="center"/>
                  <w:rPr>
                    <w:szCs w:val="21"/>
                  </w:rPr>
                </w:pPr>
                <w:r>
                  <w:rPr>
                    <w:rFonts w:hint="eastAsia"/>
                    <w:szCs w:val="21"/>
                  </w:rPr>
                  <w:t>项目</w:t>
                </w:r>
              </w:p>
            </w:tc>
          </w:sdtContent>
        </w:sdt>
        <w:sdt>
          <w:sdtPr>
            <w:tag w:val="_PLD_68fbd4316a69442d924038f565882f99"/>
            <w:id w:val="-769860174"/>
          </w:sdtPr>
          <w:sdtContent>
            <w:tc>
              <w:tcPr>
                <w:tcW w:w="2110" w:type="pct"/>
                <w:gridSpan w:val="3"/>
                <w:vAlign w:val="center"/>
              </w:tcPr>
              <w:p>
                <w:pPr>
                  <w:jc w:val="center"/>
                  <w:rPr>
                    <w:szCs w:val="21"/>
                  </w:rPr>
                </w:pPr>
                <w:r>
                  <w:rPr>
                    <w:rFonts w:hint="eastAsia"/>
                    <w:szCs w:val="21"/>
                  </w:rPr>
                  <w:t>期末余额</w:t>
                </w:r>
              </w:p>
            </w:tc>
          </w:sdtContent>
        </w:sdt>
        <w:sdt>
          <w:sdtPr>
            <w:tag w:val="_PLD_39f6313de32c45ce95b6a2ef18238d4a"/>
            <w:id w:val="1449667622"/>
          </w:sdtPr>
          <w:sdtContent>
            <w:tc>
              <w:tcPr>
                <w:tcW w:w="2097" w:type="pct"/>
                <w:gridSpan w:val="3"/>
                <w:vAlign w:val="center"/>
              </w:tcPr>
              <w:p>
                <w:pPr>
                  <w:jc w:val="center"/>
                  <w:rPr>
                    <w:szCs w:val="21"/>
                  </w:rPr>
                </w:pPr>
                <w:r>
                  <w:rPr>
                    <w:rFonts w:hint="eastAsia"/>
                    <w:szCs w:val="21"/>
                  </w:rPr>
                  <w:t>期初余额</w:t>
                </w:r>
              </w:p>
            </w:tc>
          </w:sdtContent>
        </w:sdt>
      </w:tr>
      <w:tr>
        <w:trPr>
          <w:cantSplit/>
        </w:trPr>
        <w:tc>
          <w:tcPr>
            <w:tcW w:w="793" w:type="pct"/>
            <w:vMerge/>
            <w:vAlign w:val="center"/>
          </w:tcPr>
          <w:p>
            <w:pPr>
              <w:ind w:right="5"/>
              <w:jc w:val="center"/>
              <w:rPr>
                <w:szCs w:val="21"/>
              </w:rPr>
            </w:pPr>
          </w:p>
        </w:tc>
        <w:sdt>
          <w:sdtPr>
            <w:tag w:val="_PLD_73436d894fc444d5b519a3b75a689324"/>
            <w:id w:val="-8145344"/>
          </w:sdtPr>
          <w:sdtContent>
            <w:tc>
              <w:tcPr>
                <w:tcW w:w="661" w:type="pct"/>
                <w:vAlign w:val="center"/>
              </w:tcPr>
              <w:p>
                <w:pPr>
                  <w:ind w:right="5"/>
                  <w:jc w:val="center"/>
                  <w:rPr>
                    <w:szCs w:val="21"/>
                  </w:rPr>
                </w:pPr>
                <w:r>
                  <w:rPr>
                    <w:rFonts w:hint="eastAsia"/>
                    <w:szCs w:val="21"/>
                  </w:rPr>
                  <w:t>账面余额</w:t>
                </w:r>
              </w:p>
            </w:tc>
          </w:sdtContent>
        </w:sdt>
        <w:tc>
          <w:tcPr>
            <w:tcW w:w="762" w:type="pct"/>
            <w:vAlign w:val="center"/>
          </w:tcPr>
          <w:p>
            <w:pPr>
              <w:ind w:right="5"/>
              <w:jc w:val="center"/>
              <w:rPr>
                <w:szCs w:val="21"/>
              </w:rPr>
            </w:pPr>
            <w:sdt>
              <w:sdtPr>
                <w:tag w:val="_PLD_09cd496fa8624ad4a9538b5b209e6d5a"/>
                <w:id w:val="417605966"/>
              </w:sdtPr>
              <w:sdtContent>
                <w:r>
                  <w:rPr>
                    <w:rFonts w:hint="eastAsia"/>
                    <w:szCs w:val="21"/>
                  </w:rPr>
                  <w:t>存货跌价准备</w:t>
                </w:r>
                <w:r>
                  <w:rPr>
                    <w:szCs w:val="21"/>
                  </w:rPr>
                  <w:t>/合同履约成本减值准备</w:t>
                </w:r>
              </w:sdtContent>
            </w:sdt>
          </w:p>
        </w:tc>
        <w:sdt>
          <w:sdtPr>
            <w:tag w:val="_PLD_2c7532c412cf491899c310ef9902157e"/>
            <w:id w:val="-665867242"/>
          </w:sdtPr>
          <w:sdtContent>
            <w:tc>
              <w:tcPr>
                <w:tcW w:w="687" w:type="pct"/>
                <w:vAlign w:val="center"/>
              </w:tcPr>
              <w:p>
                <w:pPr>
                  <w:ind w:right="5"/>
                  <w:jc w:val="center"/>
                  <w:rPr>
                    <w:szCs w:val="21"/>
                  </w:rPr>
                </w:pPr>
                <w:r>
                  <w:rPr>
                    <w:rFonts w:hint="eastAsia"/>
                    <w:szCs w:val="21"/>
                  </w:rPr>
                  <w:t>账面价值</w:t>
                </w:r>
              </w:p>
            </w:tc>
          </w:sdtContent>
        </w:sdt>
        <w:sdt>
          <w:sdtPr>
            <w:tag w:val="_PLD_6c2924a6d3da466f96c5c2e2f2d81de1"/>
            <w:id w:val="806979432"/>
          </w:sdtPr>
          <w:sdtContent>
            <w:tc>
              <w:tcPr>
                <w:tcW w:w="680" w:type="pct"/>
                <w:vAlign w:val="center"/>
              </w:tcPr>
              <w:p>
                <w:pPr>
                  <w:ind w:right="5"/>
                  <w:jc w:val="center"/>
                  <w:rPr>
                    <w:szCs w:val="21"/>
                  </w:rPr>
                </w:pPr>
                <w:r>
                  <w:rPr>
                    <w:rFonts w:hint="eastAsia"/>
                    <w:szCs w:val="21"/>
                  </w:rPr>
                  <w:t>账面余额</w:t>
                </w:r>
              </w:p>
            </w:tc>
          </w:sdtContent>
        </w:sdt>
        <w:tc>
          <w:tcPr>
            <w:tcW w:w="759" w:type="pct"/>
            <w:vAlign w:val="center"/>
          </w:tcPr>
          <w:p>
            <w:pPr>
              <w:ind w:right="5"/>
              <w:jc w:val="center"/>
              <w:rPr>
                <w:szCs w:val="21"/>
              </w:rPr>
            </w:pPr>
            <w:sdt>
              <w:sdtPr>
                <w:tag w:val="_PLD_e5df78ba36d146dfb7eedab7ddd98031"/>
                <w:id w:val="95229811"/>
              </w:sdtPr>
              <w:sdtContent>
                <w:r>
                  <w:rPr>
                    <w:rFonts w:hint="eastAsia"/>
                  </w:rPr>
                  <w:t>存货跌价准备</w:t>
                </w:r>
                <w:r>
                  <w:rPr>
                    <w:szCs w:val="21"/>
                  </w:rPr>
                  <w:t>/合同履约成本减值准备</w:t>
                </w:r>
              </w:sdtContent>
            </w:sdt>
          </w:p>
        </w:tc>
        <w:sdt>
          <w:sdtPr>
            <w:tag w:val="_PLD_ba07e513b5504e03b2dcef7d8421fa16"/>
            <w:id w:val="-580528384"/>
          </w:sdtPr>
          <w:sdtContent>
            <w:tc>
              <w:tcPr>
                <w:tcW w:w="658" w:type="pct"/>
                <w:vAlign w:val="center"/>
              </w:tcPr>
              <w:p>
                <w:pPr>
                  <w:ind w:right="5"/>
                  <w:jc w:val="center"/>
                  <w:rPr>
                    <w:szCs w:val="21"/>
                  </w:rPr>
                </w:pPr>
                <w:r>
                  <w:rPr>
                    <w:rFonts w:hint="eastAsia"/>
                    <w:szCs w:val="21"/>
                  </w:rPr>
                  <w:t>账面价值</w:t>
                </w:r>
              </w:p>
            </w:tc>
          </w:sdtContent>
        </w:sdt>
      </w:tr>
      <w:tr>
        <w:trPr>
          <w:cantSplit/>
        </w:trPr>
        <w:tc>
          <w:tcPr>
            <w:tcW w:w="793" w:type="pct"/>
            <w:vAlign w:val="center"/>
          </w:tcPr>
          <w:p>
            <w:pPr>
              <w:ind w:right="5"/>
              <w:rPr>
                <w:szCs w:val="21"/>
              </w:rPr>
            </w:pPr>
            <w:r>
              <w:rPr>
                <w:rFonts w:hint="eastAsia"/>
                <w:szCs w:val="21"/>
              </w:rPr>
              <w:t>原材料</w:t>
            </w:r>
          </w:p>
        </w:tc>
        <w:tc>
          <w:tcPr>
            <w:tcW w:w="661" w:type="pct"/>
            <w:vAlign w:val="center"/>
          </w:tcPr>
          <w:p>
            <w:pPr>
              <w:pStyle w:val="affffffffffffffffffffffffffffffffe"/>
              <w:jc w:val="right"/>
            </w:pPr>
            <w:r>
              <w:t>2,071,800</w:t>
            </w:r>
          </w:p>
        </w:tc>
        <w:tc>
          <w:tcPr>
            <w:tcW w:w="762" w:type="pct"/>
            <w:vAlign w:val="center"/>
          </w:tcPr>
          <w:p>
            <w:pPr>
              <w:pStyle w:val="affffffffffffffffffffffffffffffffe"/>
              <w:jc w:val="right"/>
            </w:pPr>
            <w:r>
              <w:t>10,515</w:t>
            </w:r>
          </w:p>
        </w:tc>
        <w:tc>
          <w:tcPr>
            <w:tcW w:w="687" w:type="pct"/>
            <w:vAlign w:val="center"/>
          </w:tcPr>
          <w:p>
            <w:pPr>
              <w:pStyle w:val="affffffffffffffffffffffffffffffffe"/>
              <w:jc w:val="right"/>
            </w:pPr>
            <w:r>
              <w:t>2,061,285</w:t>
            </w:r>
          </w:p>
        </w:tc>
        <w:tc>
          <w:tcPr>
            <w:tcW w:w="680" w:type="pct"/>
            <w:vAlign w:val="center"/>
          </w:tcPr>
          <w:p>
            <w:pPr>
              <w:pStyle w:val="affffffffffffffffffffffffffffffffe"/>
              <w:jc w:val="right"/>
            </w:pPr>
            <w:r>
              <w:t>2,014,306</w:t>
            </w:r>
          </w:p>
        </w:tc>
        <w:tc>
          <w:tcPr>
            <w:tcW w:w="759" w:type="pct"/>
            <w:vAlign w:val="center"/>
          </w:tcPr>
          <w:p>
            <w:pPr>
              <w:pStyle w:val="affffffffffffffffffffffffffffffffe"/>
              <w:jc w:val="right"/>
            </w:pPr>
            <w:r>
              <w:t>2,591</w:t>
            </w:r>
          </w:p>
        </w:tc>
        <w:tc>
          <w:tcPr>
            <w:tcW w:w="658" w:type="pct"/>
            <w:vAlign w:val="center"/>
          </w:tcPr>
          <w:p>
            <w:pPr>
              <w:pStyle w:val="affffffffffffffffffffffffffffffffe"/>
              <w:jc w:val="right"/>
            </w:pPr>
            <w:r>
              <w:t>2,011,715</w:t>
            </w:r>
          </w:p>
        </w:tc>
      </w:tr>
      <w:tr>
        <w:trPr>
          <w:cantSplit/>
        </w:trPr>
        <w:tc>
          <w:tcPr>
            <w:tcW w:w="793" w:type="pct"/>
            <w:vAlign w:val="center"/>
          </w:tcPr>
          <w:p>
            <w:pPr>
              <w:ind w:right="5"/>
              <w:rPr>
                <w:szCs w:val="21"/>
              </w:rPr>
            </w:pPr>
            <w:r>
              <w:rPr>
                <w:rFonts w:hint="eastAsia"/>
                <w:szCs w:val="21"/>
              </w:rPr>
              <w:t>在产品</w:t>
            </w:r>
          </w:p>
        </w:tc>
        <w:tc>
          <w:tcPr>
            <w:tcW w:w="661" w:type="pct"/>
            <w:vAlign w:val="center"/>
          </w:tcPr>
          <w:p>
            <w:pPr>
              <w:pStyle w:val="affffffffffffffffffffffffffffffffe"/>
              <w:jc w:val="right"/>
            </w:pPr>
            <w:r>
              <w:t>1,721,437</w:t>
            </w:r>
          </w:p>
        </w:tc>
        <w:tc>
          <w:tcPr>
            <w:tcW w:w="762" w:type="pct"/>
            <w:vAlign w:val="center"/>
          </w:tcPr>
          <w:p>
            <w:pPr>
              <w:pStyle w:val="affffffffffffffffffffffffffffffffe"/>
              <w:jc w:val="right"/>
            </w:pPr>
          </w:p>
        </w:tc>
        <w:tc>
          <w:tcPr>
            <w:tcW w:w="687" w:type="pct"/>
            <w:vAlign w:val="center"/>
          </w:tcPr>
          <w:p>
            <w:pPr>
              <w:jc w:val="right"/>
              <w:rPr>
                <w:sz w:val="24"/>
              </w:rPr>
            </w:pPr>
            <w:r>
              <w:t>1,721,437</w:t>
            </w:r>
          </w:p>
        </w:tc>
        <w:tc>
          <w:tcPr>
            <w:tcW w:w="680" w:type="pct"/>
            <w:vAlign w:val="center"/>
          </w:tcPr>
          <w:p>
            <w:pPr>
              <w:pStyle w:val="affffffffffffffffffffffffffffffffe"/>
              <w:jc w:val="right"/>
            </w:pPr>
            <w:r>
              <w:t>2,130,723</w:t>
            </w:r>
          </w:p>
        </w:tc>
        <w:tc>
          <w:tcPr>
            <w:tcW w:w="759" w:type="pct"/>
            <w:vAlign w:val="center"/>
          </w:tcPr>
          <w:p>
            <w:pPr>
              <w:pStyle w:val="affffffffffffffffffffffffffffffffe"/>
              <w:jc w:val="right"/>
            </w:pPr>
            <w:r>
              <w:t>29,045</w:t>
            </w:r>
          </w:p>
        </w:tc>
        <w:tc>
          <w:tcPr>
            <w:tcW w:w="658" w:type="pct"/>
            <w:vAlign w:val="center"/>
          </w:tcPr>
          <w:p>
            <w:pPr>
              <w:pStyle w:val="affffffffffffffffffffffffffffffffe"/>
              <w:jc w:val="right"/>
            </w:pPr>
            <w:r>
              <w:t>2,101,678</w:t>
            </w:r>
          </w:p>
        </w:tc>
      </w:tr>
      <w:tr>
        <w:trPr>
          <w:cantSplit/>
        </w:trPr>
        <w:tc>
          <w:tcPr>
            <w:tcW w:w="793" w:type="pct"/>
            <w:vAlign w:val="center"/>
          </w:tcPr>
          <w:p>
            <w:pPr>
              <w:ind w:right="5"/>
              <w:rPr>
                <w:szCs w:val="21"/>
              </w:rPr>
            </w:pPr>
            <w:r>
              <w:rPr>
                <w:rFonts w:hint="eastAsia"/>
                <w:szCs w:val="21"/>
              </w:rPr>
              <w:t>库存商品</w:t>
            </w:r>
          </w:p>
        </w:tc>
        <w:tc>
          <w:tcPr>
            <w:tcW w:w="661" w:type="pct"/>
            <w:vAlign w:val="center"/>
          </w:tcPr>
          <w:p>
            <w:pPr>
              <w:pStyle w:val="affffffffffffffffffffffffffffffffe"/>
              <w:jc w:val="right"/>
            </w:pPr>
            <w:r>
              <w:t>2,047,159</w:t>
            </w:r>
          </w:p>
        </w:tc>
        <w:tc>
          <w:tcPr>
            <w:tcW w:w="762" w:type="pct"/>
            <w:vAlign w:val="center"/>
          </w:tcPr>
          <w:p>
            <w:pPr>
              <w:pStyle w:val="affffffffffffffffffffffffffffffffe"/>
              <w:jc w:val="right"/>
            </w:pPr>
            <w:r>
              <w:t>47,156</w:t>
            </w:r>
          </w:p>
        </w:tc>
        <w:tc>
          <w:tcPr>
            <w:tcW w:w="687" w:type="pct"/>
            <w:vAlign w:val="center"/>
          </w:tcPr>
          <w:p>
            <w:pPr>
              <w:pStyle w:val="affffffffffffffffffffffffffffffffe"/>
              <w:jc w:val="right"/>
            </w:pPr>
            <w:r>
              <w:t>2,000,003</w:t>
            </w:r>
          </w:p>
        </w:tc>
        <w:tc>
          <w:tcPr>
            <w:tcW w:w="680" w:type="pct"/>
            <w:vAlign w:val="center"/>
          </w:tcPr>
          <w:p>
            <w:pPr>
              <w:pStyle w:val="affffffffffffffffffffffffffffffffe"/>
              <w:jc w:val="right"/>
            </w:pPr>
            <w:r>
              <w:t>2,117,334</w:t>
            </w:r>
          </w:p>
        </w:tc>
        <w:tc>
          <w:tcPr>
            <w:tcW w:w="759" w:type="pct"/>
            <w:vAlign w:val="center"/>
          </w:tcPr>
          <w:p>
            <w:pPr>
              <w:pStyle w:val="affffffffffffffffffffffffffffffffe"/>
              <w:jc w:val="right"/>
            </w:pPr>
            <w:r>
              <w:t>735</w:t>
            </w:r>
          </w:p>
        </w:tc>
        <w:tc>
          <w:tcPr>
            <w:tcW w:w="658" w:type="pct"/>
            <w:vAlign w:val="center"/>
          </w:tcPr>
          <w:p>
            <w:pPr>
              <w:pStyle w:val="affffffffffffffffffffffffffffffffe"/>
              <w:jc w:val="right"/>
            </w:pPr>
            <w:r>
              <w:t>2,116,599</w:t>
            </w:r>
          </w:p>
        </w:tc>
      </w:tr>
      <w:tr>
        <w:trPr>
          <w:cantSplit/>
        </w:trPr>
        <w:tc>
          <w:tcPr>
            <w:tcW w:w="793" w:type="pct"/>
            <w:vAlign w:val="center"/>
          </w:tcPr>
          <w:p>
            <w:pPr>
              <w:autoSpaceDE w:val="0"/>
              <w:autoSpaceDN w:val="0"/>
              <w:adjustRightInd w:val="0"/>
              <w:rPr>
                <w:szCs w:val="21"/>
              </w:rPr>
            </w:pPr>
            <w:r>
              <w:rPr>
                <w:rFonts w:hint="eastAsia"/>
                <w:szCs w:val="21"/>
              </w:rPr>
              <w:t>低值易耗品</w:t>
            </w:r>
          </w:p>
        </w:tc>
        <w:tc>
          <w:tcPr>
            <w:tcW w:w="661" w:type="pct"/>
            <w:vAlign w:val="center"/>
          </w:tcPr>
          <w:p>
            <w:pPr>
              <w:pStyle w:val="affffffffffffffffffffffffffffffffe"/>
              <w:jc w:val="right"/>
            </w:pPr>
            <w:r>
              <w:t>854,067</w:t>
            </w:r>
          </w:p>
        </w:tc>
        <w:tc>
          <w:tcPr>
            <w:tcW w:w="762" w:type="pct"/>
            <w:vAlign w:val="center"/>
          </w:tcPr>
          <w:p>
            <w:pPr>
              <w:pStyle w:val="affffffffffffffffffffffffffffffffe"/>
              <w:jc w:val="right"/>
            </w:pPr>
          </w:p>
        </w:tc>
        <w:tc>
          <w:tcPr>
            <w:tcW w:w="687" w:type="pct"/>
            <w:vAlign w:val="center"/>
          </w:tcPr>
          <w:p>
            <w:pPr>
              <w:jc w:val="right"/>
              <w:rPr>
                <w:sz w:val="24"/>
              </w:rPr>
            </w:pPr>
            <w:r>
              <w:t>854,067</w:t>
            </w:r>
          </w:p>
        </w:tc>
        <w:tc>
          <w:tcPr>
            <w:tcW w:w="680" w:type="pct"/>
            <w:vAlign w:val="center"/>
          </w:tcPr>
          <w:p>
            <w:pPr>
              <w:pStyle w:val="affffffffffffffffffffffffffffffffe"/>
              <w:jc w:val="right"/>
            </w:pPr>
            <w:r>
              <w:t>772,088</w:t>
            </w:r>
          </w:p>
        </w:tc>
        <w:tc>
          <w:tcPr>
            <w:tcW w:w="759" w:type="pct"/>
            <w:vAlign w:val="center"/>
          </w:tcPr>
          <w:p>
            <w:pPr>
              <w:pStyle w:val="affffffffffffffffffffffffffffffffe"/>
              <w:jc w:val="right"/>
            </w:pPr>
          </w:p>
        </w:tc>
        <w:tc>
          <w:tcPr>
            <w:tcW w:w="658" w:type="pct"/>
            <w:vAlign w:val="center"/>
          </w:tcPr>
          <w:p>
            <w:pPr>
              <w:jc w:val="right"/>
              <w:rPr>
                <w:sz w:val="24"/>
              </w:rPr>
            </w:pPr>
            <w:r>
              <w:t>772,088</w:t>
            </w:r>
          </w:p>
        </w:tc>
      </w:tr>
      <w:tr>
        <w:trPr>
          <w:cantSplit/>
        </w:trPr>
        <w:tc>
          <w:tcPr>
            <w:tcW w:w="793" w:type="pct"/>
            <w:vAlign w:val="center"/>
          </w:tcPr>
          <w:p>
            <w:pPr>
              <w:autoSpaceDE w:val="0"/>
              <w:autoSpaceDN w:val="0"/>
              <w:adjustRightInd w:val="0"/>
              <w:rPr>
                <w:szCs w:val="21"/>
              </w:rPr>
            </w:pPr>
            <w:r>
              <w:rPr>
                <w:rFonts w:hint="eastAsia"/>
                <w:szCs w:val="21"/>
              </w:rPr>
              <w:t>在产品</w:t>
            </w:r>
          </w:p>
        </w:tc>
        <w:tc>
          <w:tcPr>
            <w:tcW w:w="661" w:type="pct"/>
            <w:vAlign w:val="center"/>
          </w:tcPr>
          <w:p>
            <w:pPr>
              <w:pStyle w:val="affffffffffffffffffffffffffffffffe"/>
              <w:jc w:val="right"/>
            </w:pPr>
            <w:r>
              <w:t>622,118</w:t>
            </w:r>
          </w:p>
        </w:tc>
        <w:tc>
          <w:tcPr>
            <w:tcW w:w="762" w:type="pct"/>
            <w:vAlign w:val="center"/>
          </w:tcPr>
          <w:p>
            <w:pPr>
              <w:pStyle w:val="affffffffffffffffffffffffffffffffe"/>
              <w:jc w:val="right"/>
            </w:pPr>
          </w:p>
        </w:tc>
        <w:tc>
          <w:tcPr>
            <w:tcW w:w="687" w:type="pct"/>
            <w:vAlign w:val="center"/>
          </w:tcPr>
          <w:p>
            <w:pPr>
              <w:jc w:val="right"/>
              <w:rPr>
                <w:sz w:val="24"/>
              </w:rPr>
            </w:pPr>
            <w:r>
              <w:t>622,118</w:t>
            </w:r>
          </w:p>
        </w:tc>
        <w:tc>
          <w:tcPr>
            <w:tcW w:w="680" w:type="pct"/>
            <w:vAlign w:val="center"/>
          </w:tcPr>
          <w:p>
            <w:pPr>
              <w:pStyle w:val="affffffffffffffffffffffffffffffffe"/>
              <w:jc w:val="right"/>
            </w:pPr>
            <w:r>
              <w:t>561,648</w:t>
            </w:r>
          </w:p>
        </w:tc>
        <w:tc>
          <w:tcPr>
            <w:tcW w:w="759" w:type="pct"/>
            <w:vAlign w:val="center"/>
          </w:tcPr>
          <w:p>
            <w:pPr>
              <w:pStyle w:val="affffffffffffffffffffffffffffffffe"/>
              <w:jc w:val="right"/>
            </w:pPr>
          </w:p>
        </w:tc>
        <w:tc>
          <w:tcPr>
            <w:tcW w:w="658" w:type="pct"/>
            <w:vAlign w:val="center"/>
          </w:tcPr>
          <w:p>
            <w:pPr>
              <w:jc w:val="right"/>
              <w:rPr>
                <w:sz w:val="24"/>
              </w:rPr>
            </w:pPr>
            <w:r>
              <w:t>561,648</w:t>
            </w:r>
          </w:p>
        </w:tc>
      </w:tr>
      <w:tr>
        <w:trPr>
          <w:cantSplit/>
        </w:trPr>
        <w:tc>
          <w:tcPr>
            <w:tcW w:w="793" w:type="pct"/>
            <w:vAlign w:val="center"/>
          </w:tcPr>
          <w:p>
            <w:pPr>
              <w:autoSpaceDE w:val="0"/>
              <w:autoSpaceDN w:val="0"/>
              <w:adjustRightInd w:val="0"/>
            </w:pPr>
            <w:r>
              <w:rPr>
                <w:rFonts w:hint="eastAsia"/>
              </w:rPr>
              <w:t>工程存货</w:t>
            </w:r>
          </w:p>
        </w:tc>
        <w:tc>
          <w:tcPr>
            <w:tcW w:w="661" w:type="pct"/>
            <w:vAlign w:val="center"/>
          </w:tcPr>
          <w:p>
            <w:pPr>
              <w:pStyle w:val="affffffffffffffffffffffffffffffffe"/>
              <w:jc w:val="right"/>
            </w:pPr>
            <w:r>
              <w:t>97,849</w:t>
            </w:r>
          </w:p>
        </w:tc>
        <w:tc>
          <w:tcPr>
            <w:tcW w:w="762" w:type="pct"/>
            <w:vAlign w:val="center"/>
          </w:tcPr>
          <w:p>
            <w:pPr>
              <w:pStyle w:val="affffffffffffffffffffffffffffffffe"/>
              <w:jc w:val="right"/>
            </w:pPr>
            <w:r>
              <w:t>62,069</w:t>
            </w:r>
          </w:p>
        </w:tc>
        <w:tc>
          <w:tcPr>
            <w:tcW w:w="687" w:type="pct"/>
            <w:vAlign w:val="center"/>
          </w:tcPr>
          <w:p>
            <w:pPr>
              <w:pStyle w:val="affffffffffffffffffffffffffffffffe"/>
              <w:jc w:val="right"/>
            </w:pPr>
            <w:r>
              <w:t>35,780</w:t>
            </w:r>
          </w:p>
        </w:tc>
        <w:tc>
          <w:tcPr>
            <w:tcW w:w="680" w:type="pct"/>
            <w:vAlign w:val="center"/>
          </w:tcPr>
          <w:p>
            <w:pPr>
              <w:pStyle w:val="affffffffffffffffffffffffffffffffe"/>
              <w:jc w:val="right"/>
            </w:pPr>
            <w:r>
              <w:t>83,066</w:t>
            </w:r>
          </w:p>
        </w:tc>
        <w:tc>
          <w:tcPr>
            <w:tcW w:w="759" w:type="pct"/>
            <w:vAlign w:val="center"/>
          </w:tcPr>
          <w:p>
            <w:pPr>
              <w:pStyle w:val="affffffffffffffffffffffffffffffffe"/>
              <w:jc w:val="right"/>
            </w:pPr>
            <w:r>
              <w:t>64,230</w:t>
            </w:r>
          </w:p>
        </w:tc>
        <w:tc>
          <w:tcPr>
            <w:tcW w:w="658" w:type="pct"/>
            <w:vAlign w:val="center"/>
          </w:tcPr>
          <w:p>
            <w:pPr>
              <w:pStyle w:val="affffffffffffffffffffffffffffffffe"/>
              <w:jc w:val="right"/>
            </w:pPr>
            <w:r>
              <w:t>18,836</w:t>
            </w:r>
          </w:p>
        </w:tc>
      </w:tr>
      <w:tr>
        <w:trPr>
          <w:cantSplit/>
        </w:trPr>
        <w:tc>
          <w:tcPr>
            <w:tcW w:w="793" w:type="pct"/>
            <w:vAlign w:val="center"/>
          </w:tcPr>
          <w:p>
            <w:pPr>
              <w:ind w:right="5"/>
              <w:rPr>
                <w:szCs w:val="21"/>
              </w:rPr>
            </w:pPr>
            <w:r>
              <w:rPr>
                <w:rFonts w:hint="eastAsia"/>
                <w:szCs w:val="21"/>
              </w:rPr>
              <w:t>房地产开发成本</w:t>
            </w:r>
          </w:p>
        </w:tc>
        <w:tc>
          <w:tcPr>
            <w:tcW w:w="661" w:type="pct"/>
            <w:vAlign w:val="center"/>
          </w:tcPr>
          <w:p>
            <w:pPr>
              <w:pStyle w:val="affffffffffffffffffffffffffffffffe"/>
              <w:jc w:val="right"/>
            </w:pPr>
            <w:r>
              <w:t>16,844</w:t>
            </w:r>
          </w:p>
        </w:tc>
        <w:tc>
          <w:tcPr>
            <w:tcW w:w="762" w:type="pct"/>
            <w:vAlign w:val="center"/>
          </w:tcPr>
          <w:p>
            <w:pPr>
              <w:pStyle w:val="affffffffffffffffffffffffffffffffe"/>
              <w:jc w:val="right"/>
            </w:pPr>
            <w:r>
              <w:t>3,012</w:t>
            </w:r>
          </w:p>
        </w:tc>
        <w:tc>
          <w:tcPr>
            <w:tcW w:w="687" w:type="pct"/>
            <w:vAlign w:val="center"/>
          </w:tcPr>
          <w:p>
            <w:pPr>
              <w:pStyle w:val="affffffffffffffffffffffffffffffffe"/>
              <w:jc w:val="right"/>
            </w:pPr>
            <w:r>
              <w:t>13,832</w:t>
            </w:r>
          </w:p>
        </w:tc>
        <w:tc>
          <w:tcPr>
            <w:tcW w:w="680" w:type="pct"/>
            <w:vAlign w:val="center"/>
          </w:tcPr>
          <w:p>
            <w:pPr>
              <w:pStyle w:val="affffffffffffffffffffffffffffffffe"/>
              <w:jc w:val="right"/>
            </w:pPr>
            <w:r>
              <w:t>16,922</w:t>
            </w:r>
          </w:p>
        </w:tc>
        <w:tc>
          <w:tcPr>
            <w:tcW w:w="759" w:type="pct"/>
            <w:vAlign w:val="center"/>
          </w:tcPr>
          <w:p>
            <w:pPr>
              <w:pStyle w:val="affffffffffffffffffffffffffffffffe"/>
              <w:jc w:val="right"/>
            </w:pPr>
            <w:r>
              <w:t>3,027</w:t>
            </w:r>
          </w:p>
        </w:tc>
        <w:tc>
          <w:tcPr>
            <w:tcW w:w="658" w:type="pct"/>
            <w:vAlign w:val="center"/>
          </w:tcPr>
          <w:p>
            <w:pPr>
              <w:pStyle w:val="affffffffffffffffffffffffffffffffe"/>
              <w:jc w:val="right"/>
            </w:pPr>
            <w:r>
              <w:t>13,895</w:t>
            </w:r>
          </w:p>
        </w:tc>
      </w:tr>
      <w:tr>
        <w:trPr>
          <w:cantSplit/>
        </w:trPr>
        <w:tc>
          <w:tcPr>
            <w:tcW w:w="793" w:type="pct"/>
            <w:vAlign w:val="center"/>
          </w:tcPr>
          <w:p>
            <w:pPr>
              <w:ind w:right="5"/>
              <w:rPr>
                <w:szCs w:val="21"/>
              </w:rPr>
            </w:pPr>
            <w:r>
              <w:rPr>
                <w:rFonts w:hint="eastAsia"/>
                <w:szCs w:val="21"/>
              </w:rPr>
              <w:t>合同履约成本</w:t>
            </w:r>
          </w:p>
        </w:tc>
        <w:tc>
          <w:tcPr>
            <w:tcW w:w="661" w:type="pct"/>
            <w:vAlign w:val="center"/>
          </w:tcPr>
          <w:p>
            <w:pPr>
              <w:pStyle w:val="affffffffffffffffffffffffffffffffe"/>
              <w:jc w:val="right"/>
            </w:pPr>
            <w:r>
              <w:t>169,621</w:t>
            </w:r>
          </w:p>
        </w:tc>
        <w:tc>
          <w:tcPr>
            <w:tcW w:w="762" w:type="pct"/>
            <w:vAlign w:val="center"/>
          </w:tcPr>
          <w:p>
            <w:pPr>
              <w:pStyle w:val="affffffffffffffffffffffffffffffffe"/>
              <w:jc w:val="right"/>
            </w:pPr>
          </w:p>
        </w:tc>
        <w:tc>
          <w:tcPr>
            <w:tcW w:w="687" w:type="pct"/>
            <w:vAlign w:val="center"/>
          </w:tcPr>
          <w:p>
            <w:pPr>
              <w:jc w:val="right"/>
              <w:rPr>
                <w:sz w:val="24"/>
              </w:rPr>
            </w:pPr>
            <w:r>
              <w:t>169,621</w:t>
            </w:r>
          </w:p>
        </w:tc>
        <w:tc>
          <w:tcPr>
            <w:tcW w:w="680" w:type="pct"/>
            <w:vAlign w:val="center"/>
          </w:tcPr>
          <w:p>
            <w:pPr>
              <w:pStyle w:val="affffffffffffffffffffffffffffffffe"/>
              <w:jc w:val="right"/>
            </w:pPr>
            <w:r>
              <w:t>241</w:t>
            </w:r>
          </w:p>
        </w:tc>
        <w:tc>
          <w:tcPr>
            <w:tcW w:w="759" w:type="pct"/>
            <w:vAlign w:val="center"/>
          </w:tcPr>
          <w:p>
            <w:pPr>
              <w:pStyle w:val="affffffffffffffffffffffffffffffffe"/>
              <w:jc w:val="right"/>
            </w:pPr>
          </w:p>
        </w:tc>
        <w:tc>
          <w:tcPr>
            <w:tcW w:w="658" w:type="pct"/>
            <w:vAlign w:val="center"/>
          </w:tcPr>
          <w:p>
            <w:pPr>
              <w:jc w:val="right"/>
              <w:rPr>
                <w:sz w:val="24"/>
              </w:rPr>
            </w:pPr>
            <w:r>
              <w:t>241</w:t>
            </w:r>
          </w:p>
        </w:tc>
      </w:tr>
      <w:tr>
        <w:trPr>
          <w:cantSplit/>
        </w:trPr>
        <w:tc>
          <w:tcPr>
            <w:tcW w:w="793" w:type="pct"/>
            <w:vAlign w:val="center"/>
          </w:tcPr>
          <w:p>
            <w:pPr>
              <w:ind w:right="5"/>
              <w:rPr>
                <w:szCs w:val="21"/>
              </w:rPr>
            </w:pPr>
            <w:r>
              <w:rPr>
                <w:rFonts w:hint="eastAsia"/>
                <w:szCs w:val="21"/>
              </w:rPr>
              <w:t>其他</w:t>
            </w:r>
          </w:p>
        </w:tc>
        <w:tc>
          <w:tcPr>
            <w:tcW w:w="661" w:type="pct"/>
            <w:vAlign w:val="center"/>
          </w:tcPr>
          <w:p>
            <w:pPr>
              <w:pStyle w:val="affffffffffffffffffffffffffffffffe"/>
              <w:jc w:val="right"/>
            </w:pPr>
            <w:r>
              <w:t>146,667</w:t>
            </w:r>
          </w:p>
        </w:tc>
        <w:tc>
          <w:tcPr>
            <w:tcW w:w="762" w:type="pct"/>
            <w:vAlign w:val="center"/>
          </w:tcPr>
          <w:p>
            <w:pPr>
              <w:pStyle w:val="affffffffffffffffffffffffffffffffe"/>
              <w:jc w:val="right"/>
            </w:pPr>
          </w:p>
        </w:tc>
        <w:tc>
          <w:tcPr>
            <w:tcW w:w="687" w:type="pct"/>
            <w:vAlign w:val="center"/>
          </w:tcPr>
          <w:p>
            <w:pPr>
              <w:jc w:val="right"/>
              <w:rPr>
                <w:sz w:val="24"/>
              </w:rPr>
            </w:pPr>
            <w:r>
              <w:t>146,667</w:t>
            </w:r>
          </w:p>
        </w:tc>
        <w:tc>
          <w:tcPr>
            <w:tcW w:w="680" w:type="pct"/>
            <w:vAlign w:val="center"/>
          </w:tcPr>
          <w:p>
            <w:pPr>
              <w:pStyle w:val="affffffffffffffffffffffffffffffffe"/>
              <w:jc w:val="right"/>
            </w:pPr>
            <w:r>
              <w:t>145,451</w:t>
            </w:r>
          </w:p>
        </w:tc>
        <w:tc>
          <w:tcPr>
            <w:tcW w:w="759" w:type="pct"/>
            <w:vAlign w:val="center"/>
          </w:tcPr>
          <w:p>
            <w:pPr>
              <w:pStyle w:val="affffffffffffffffffffffffffffffffe"/>
              <w:jc w:val="right"/>
            </w:pPr>
          </w:p>
        </w:tc>
        <w:tc>
          <w:tcPr>
            <w:tcW w:w="658" w:type="pct"/>
            <w:vAlign w:val="center"/>
          </w:tcPr>
          <w:p>
            <w:pPr>
              <w:jc w:val="right"/>
              <w:rPr>
                <w:sz w:val="24"/>
              </w:rPr>
            </w:pPr>
            <w:r>
              <w:t>145,451</w:t>
            </w:r>
          </w:p>
        </w:tc>
      </w:tr>
      <w:tr>
        <w:trPr>
          <w:cantSplit/>
        </w:trPr>
        <w:tc>
          <w:tcPr>
            <w:tcW w:w="793" w:type="pct"/>
            <w:vAlign w:val="center"/>
          </w:tcPr>
          <w:p>
            <w:pPr>
              <w:ind w:right="5"/>
              <w:jc w:val="center"/>
              <w:rPr>
                <w:szCs w:val="21"/>
              </w:rPr>
            </w:pPr>
            <w:r>
              <w:rPr>
                <w:rFonts w:hint="eastAsia"/>
                <w:szCs w:val="21"/>
              </w:rPr>
              <w:t>合计</w:t>
            </w:r>
          </w:p>
        </w:tc>
        <w:tc>
          <w:tcPr>
            <w:tcW w:w="661" w:type="pct"/>
            <w:vAlign w:val="center"/>
          </w:tcPr>
          <w:p>
            <w:pPr>
              <w:pStyle w:val="affffffffffffffffffffffffffffffffe"/>
              <w:jc w:val="right"/>
            </w:pPr>
            <w:r>
              <w:t>7,747,562</w:t>
            </w:r>
          </w:p>
        </w:tc>
        <w:tc>
          <w:tcPr>
            <w:tcW w:w="762" w:type="pct"/>
            <w:vAlign w:val="center"/>
          </w:tcPr>
          <w:p>
            <w:pPr>
              <w:pStyle w:val="affffffffffffffffffffffffffffffffe"/>
              <w:jc w:val="right"/>
            </w:pPr>
            <w:r>
              <w:t>122,752</w:t>
            </w:r>
          </w:p>
        </w:tc>
        <w:tc>
          <w:tcPr>
            <w:tcW w:w="687" w:type="pct"/>
            <w:vAlign w:val="center"/>
          </w:tcPr>
          <w:p>
            <w:pPr>
              <w:pStyle w:val="affffffffffffffffffffffffffffffffe"/>
              <w:jc w:val="right"/>
            </w:pPr>
            <w:r>
              <w:t>7,624,810</w:t>
            </w:r>
          </w:p>
        </w:tc>
        <w:tc>
          <w:tcPr>
            <w:tcW w:w="680" w:type="pct"/>
            <w:vAlign w:val="center"/>
          </w:tcPr>
          <w:p>
            <w:pPr>
              <w:pStyle w:val="affffffffffffffffffffffffffffffffe"/>
              <w:jc w:val="right"/>
            </w:pPr>
            <w:r>
              <w:t>7,841,779</w:t>
            </w:r>
          </w:p>
        </w:tc>
        <w:tc>
          <w:tcPr>
            <w:tcW w:w="759" w:type="pct"/>
            <w:vAlign w:val="center"/>
          </w:tcPr>
          <w:p>
            <w:pPr>
              <w:pStyle w:val="affffffffffffffffffffffffffffffffe"/>
              <w:jc w:val="right"/>
            </w:pPr>
            <w:r>
              <w:t>99,628</w:t>
            </w:r>
          </w:p>
        </w:tc>
        <w:tc>
          <w:tcPr>
            <w:tcW w:w="658" w:type="pct"/>
            <w:vAlign w:val="center"/>
          </w:tcPr>
          <w:p>
            <w:pPr>
              <w:pStyle w:val="affffffffffffffffffffffffffffffffe"/>
              <w:jc w:val="right"/>
            </w:pPr>
            <w:r>
              <w:t>7,742,151</w:t>
            </w:r>
          </w:p>
        </w:tc>
      </w:tr>
    </w:tbl>
    <w:p>
      <w:pPr>
        <w:rPr>
          <w:szCs w:val="21"/>
        </w:rPr>
      </w:pPr>
    </w:p>
    <w:p>
      <w:pPr>
        <w:pStyle w:val="afffffffffffffffffffffffffffffffff1"/>
        <w:numPr>
          <w:ilvl w:val="3"/>
          <w:numId w:val="166"/>
        </w:numPr>
        <w:ind w:left="426" w:hanging="426"/>
        <w:rPr>
          <w:rFonts w:asciiTheme="minorHAnsi" w:eastAsia="宋体" w:hAnsiTheme="minorHAnsi" w:cs="宋体"/>
          <w:kern w:val="0"/>
          <w:szCs w:val="22"/>
        </w:rPr>
      </w:pPr>
      <w:bookmarkStart w:id="391" w:name="_Hlk182484983"/>
      <w:bookmarkEnd w:id="389"/>
      <w:bookmarkEnd w:id="390"/>
      <w:r>
        <w:rPr>
          <w:rFonts w:asciiTheme="minorHAnsi" w:eastAsia="宋体" w:hAnsiTheme="minorHAnsi" w:cs="宋体" w:hint="eastAsia"/>
          <w:kern w:val="0"/>
          <w:szCs w:val="22"/>
        </w:rPr>
        <w:t>确认为存货的数据资源</w:t>
      </w:r>
    </w:p>
    <w:sdt>
      <w:sdtPr>
        <w:rPr>
          <w:rFonts w:hint="eastAsia"/>
          <w:color w:val="000000" w:themeColor="text1"/>
        </w:rPr>
        <w:alias w:val="是否适用：确认为存货的数据资源[双击切换]"/>
        <w:tag w:val="_GBC_a7d9b8c6ebca4003bf262295877405d7"/>
        <w:id w:val="-1966813313"/>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rPr>
          <w:color w:val="000000" w:themeColor="text1"/>
        </w:rPr>
      </w:pPr>
    </w:p>
    <w:p>
      <w:pPr>
        <w:pStyle w:val="afffffffffffffffffffffffffffffffff1"/>
        <w:numPr>
          <w:ilvl w:val="3"/>
          <w:numId w:val="166"/>
        </w:numPr>
        <w:ind w:left="426" w:hanging="426"/>
        <w:rPr>
          <w:b w:val="0"/>
          <w:bCs w:val="0"/>
        </w:rPr>
      </w:pPr>
      <w:bookmarkStart w:id="392" w:name="_Hlk533079150"/>
      <w:bookmarkEnd w:id="391"/>
      <w:r>
        <w:t>存货跌价准备及合同履约成本减值准备</w:t>
      </w:r>
    </w:p>
    <w:sdt>
      <w:sdtPr>
        <w:alias w:val="是否适用：存货跌价准备[双击切换]"/>
        <w:tag w:val="_GBC_c61866b530ae491eb21bee1edd36619e"/>
        <w:id w:val="-1433045820"/>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货跌价准备"/>
          <w:tag w:val="_GBC_2d3e3a5e2ff44ef3bbef756054f246f3"/>
          <w:id w:val="-83807821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存货跌价准备"/>
          <w:tag w:val="_GBC_c51bd05fe51f4b609e7e1904eb064d34"/>
          <w:id w:val="-371301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51"/>
        <w:gridCol w:w="1013"/>
        <w:gridCol w:w="1027"/>
        <w:gridCol w:w="1027"/>
        <w:gridCol w:w="1036"/>
        <w:gridCol w:w="1029"/>
        <w:gridCol w:w="1020"/>
        <w:gridCol w:w="1020"/>
      </w:tblGrid>
      <w:tr>
        <w:trPr>
          <w:trHeight w:val="238"/>
        </w:trPr>
        <w:sdt>
          <w:sdtPr>
            <w:tag w:val="_PLD_4ac7cc4fa4994c1db43ed3b367defc13"/>
            <w:id w:val="661130899"/>
          </w:sdtPr>
          <w:sdtContent>
            <w:tc>
              <w:tcPr>
                <w:tcW w:w="936" w:type="pct"/>
                <w:vMerge w:val="restar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项目</w:t>
                </w:r>
              </w:p>
            </w:tc>
          </w:sdtContent>
        </w:sdt>
        <w:sdt>
          <w:sdtPr>
            <w:tag w:val="_PLD_7a2e758257864908b13bf89a561f9b5a"/>
            <w:id w:val="1788627369"/>
          </w:sdtPr>
          <w:sdtContent>
            <w:tc>
              <w:tcPr>
                <w:tcW w:w="574" w:type="pct"/>
                <w:vMerge w:val="restar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期初余额</w:t>
                </w:r>
              </w:p>
            </w:tc>
          </w:sdtContent>
        </w:sdt>
        <w:sdt>
          <w:sdtPr>
            <w:tag w:val="_PLD_d95d27d30a6440b5ba0d3798473f422e"/>
            <w:id w:val="1056593885"/>
          </w:sdtPr>
          <w:sdtContent>
            <w:tc>
              <w:tcPr>
                <w:tcW w:w="1164"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本期增加金额</w:t>
                </w:r>
              </w:p>
            </w:tc>
          </w:sdtContent>
        </w:sdt>
        <w:sdt>
          <w:sdtPr>
            <w:tag w:val="_PLD_cb7d37811bf944e4a7bb31b4366efaeb"/>
            <w:id w:val="-2111122084"/>
          </w:sdtPr>
          <w:sdtContent>
            <w:tc>
              <w:tcPr>
                <w:tcW w:w="1170"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本期减少金额</w:t>
                </w:r>
              </w:p>
            </w:tc>
          </w:sdtContent>
        </w:sdt>
        <w:tc>
          <w:tcPr>
            <w:tcW w:w="578" w:type="pct"/>
            <w:vMerge w:val="restart"/>
            <w:tcBorders>
              <w:top w:val="single" w:sz="4" w:space="0" w:color="auto"/>
              <w:left w:val="single" w:sz="4" w:space="0" w:color="auto"/>
              <w:right w:val="single" w:sz="4" w:space="0" w:color="auto"/>
            </w:tcBorders>
            <w:vAlign w:val="center"/>
          </w:tcPr>
          <w:p>
            <w:pPr>
              <w:jc w:val="center"/>
            </w:pPr>
            <w:r>
              <w:rPr>
                <w:rFonts w:hint="eastAsia"/>
              </w:rPr>
              <w:t>外币报表折算</w:t>
            </w:r>
          </w:p>
        </w:tc>
        <w:sdt>
          <w:sdtPr>
            <w:tag w:val="_PLD_b2523ee7f028451790c9f2ef6e216a59"/>
            <w:id w:val="-1923710540"/>
          </w:sdtPr>
          <w:sdtContent>
            <w:tc>
              <w:tcPr>
                <w:tcW w:w="578" w:type="pct"/>
                <w:vMerge w:val="restar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期末余额</w:t>
                </w:r>
              </w:p>
            </w:tc>
          </w:sdtContent>
        </w:sdt>
      </w:tr>
      <w:tr>
        <w:trPr>
          <w:trHeight w:val="301"/>
        </w:trPr>
        <w:tc>
          <w:tcPr>
            <w:tcW w:w="936" w:type="pct"/>
            <w:vMerge/>
            <w:tcBorders>
              <w:top w:val="single" w:sz="4" w:space="0" w:color="auto"/>
              <w:left w:val="single" w:sz="4" w:space="0" w:color="auto"/>
              <w:bottom w:val="single" w:sz="4" w:space="0" w:color="auto"/>
              <w:right w:val="single" w:sz="4" w:space="0" w:color="auto"/>
            </w:tcBorders>
            <w:vAlign w:val="center"/>
          </w:tcPr>
          <w:p>
            <w:pPr>
              <w:jc w:val="center"/>
              <w:rPr>
                <w:szCs w:val="21"/>
              </w:rPr>
            </w:pPr>
          </w:p>
        </w:tc>
        <w:tc>
          <w:tcPr>
            <w:tcW w:w="574" w:type="pct"/>
            <w:vMerge/>
            <w:tcBorders>
              <w:top w:val="single" w:sz="4" w:space="0" w:color="auto"/>
              <w:left w:val="single" w:sz="4" w:space="0" w:color="auto"/>
              <w:bottom w:val="single" w:sz="4" w:space="0" w:color="auto"/>
              <w:right w:val="single" w:sz="4" w:space="0" w:color="auto"/>
            </w:tcBorders>
            <w:vAlign w:val="center"/>
          </w:tcPr>
          <w:p>
            <w:pPr>
              <w:jc w:val="center"/>
              <w:rPr>
                <w:szCs w:val="21"/>
              </w:rPr>
            </w:pPr>
          </w:p>
        </w:tc>
        <w:sdt>
          <w:sdtPr>
            <w:tag w:val="_PLD_16a8dea59b924b23a28ea45988190955"/>
            <w:id w:val="838190717"/>
          </w:sdtPr>
          <w:sdtContent>
            <w:tc>
              <w:tcPr>
                <w:tcW w:w="582"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w:t>
                </w:r>
              </w:p>
            </w:tc>
          </w:sdtContent>
        </w:sdt>
        <w:sdt>
          <w:sdtPr>
            <w:tag w:val="_PLD_621a418b64e54315a5981611a5504791"/>
            <w:id w:val="515196051"/>
          </w:sdtPr>
          <w:sdtContent>
            <w:tc>
              <w:tcPr>
                <w:tcW w:w="582"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其他</w:t>
                </w:r>
              </w:p>
            </w:tc>
          </w:sdtContent>
        </w:sdt>
        <w:sdt>
          <w:sdtPr>
            <w:tag w:val="_PLD_1928b16982a747c59a563fa4d086d9fc"/>
            <w:id w:val="516971378"/>
          </w:sdtPr>
          <w:sdtContent>
            <w:tc>
              <w:tcPr>
                <w:tcW w:w="58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转回或转销</w:t>
                </w:r>
              </w:p>
            </w:tc>
          </w:sdtContent>
        </w:sdt>
        <w:sdt>
          <w:sdtPr>
            <w:tag w:val="_PLD_1472e7afb261461b8468e1969b080fd5"/>
            <w:id w:val="1850683063"/>
          </w:sdtPr>
          <w:sdtContent>
            <w:tc>
              <w:tcPr>
                <w:tcW w:w="58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其他</w:t>
                </w:r>
              </w:p>
            </w:tc>
          </w:sdtContent>
        </w:sdt>
        <w:tc>
          <w:tcPr>
            <w:tcW w:w="578" w:type="pct"/>
            <w:vMerge/>
            <w:tcBorders>
              <w:left w:val="single" w:sz="4" w:space="0" w:color="auto"/>
              <w:bottom w:val="single" w:sz="4" w:space="0" w:color="auto"/>
              <w:right w:val="single" w:sz="4" w:space="0" w:color="auto"/>
            </w:tcBorders>
          </w:tcPr>
          <w:p>
            <w:pPr>
              <w:jc w:val="center"/>
              <w:rPr>
                <w:szCs w:val="21"/>
              </w:rPr>
            </w:pPr>
          </w:p>
        </w:tc>
        <w:tc>
          <w:tcPr>
            <w:tcW w:w="578" w:type="pct"/>
            <w:vMerge/>
            <w:tcBorders>
              <w:top w:val="single" w:sz="4" w:space="0" w:color="auto"/>
              <w:left w:val="single" w:sz="4" w:space="0" w:color="auto"/>
              <w:bottom w:val="single" w:sz="4" w:space="0" w:color="auto"/>
              <w:right w:val="single" w:sz="4" w:space="0" w:color="auto"/>
            </w:tcBorders>
            <w:vAlign w:val="center"/>
          </w:tcPr>
          <w:p>
            <w:pPr>
              <w:jc w:val="center"/>
              <w:rPr>
                <w:szCs w:val="21"/>
              </w:rPr>
            </w:pP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原材料</w:t>
            </w:r>
          </w:p>
        </w:tc>
        <w:tc>
          <w:tcPr>
            <w:tcW w:w="57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2,591</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7,924</w:t>
            </w:r>
          </w:p>
        </w:tc>
        <w:tc>
          <w:tcPr>
            <w:tcW w:w="58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3"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top w:val="single" w:sz="4" w:space="0" w:color="auto"/>
              <w:left w:val="single" w:sz="4" w:space="0" w:color="auto"/>
              <w:bottom w:val="single" w:sz="4" w:space="0" w:color="auto"/>
              <w:right w:val="single" w:sz="4" w:space="0" w:color="auto"/>
            </w:tcBorders>
            <w:vAlign w:val="center"/>
          </w:tcPr>
          <w:p>
            <w:pPr>
              <w:ind w:right="5"/>
              <w:jc w:val="right"/>
              <w:rPr>
                <w:szCs w:val="21"/>
              </w:rPr>
            </w:pPr>
            <w:r>
              <w:rPr>
                <w:szCs w:val="21"/>
              </w:rPr>
              <w:t>10,515</w:t>
            </w: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lastRenderedPageBreak/>
              <w:t>产成品</w:t>
            </w:r>
          </w:p>
        </w:tc>
        <w:tc>
          <w:tcPr>
            <w:tcW w:w="57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29,045</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28,022</w:t>
            </w:r>
          </w:p>
        </w:tc>
        <w:tc>
          <w:tcPr>
            <w:tcW w:w="583" w:type="pct"/>
            <w:tcBorders>
              <w:top w:val="single" w:sz="4" w:space="0" w:color="auto"/>
              <w:left w:val="single" w:sz="4" w:space="0" w:color="auto"/>
              <w:right w:val="single" w:sz="4" w:space="0" w:color="auto"/>
            </w:tcBorders>
            <w:vAlign w:val="center"/>
          </w:tcPr>
          <w:p>
            <w:pPr>
              <w:pStyle w:val="affffffffffffffffffffffffffffffffe"/>
              <w:jc w:val="right"/>
              <w:rPr>
                <w:szCs w:val="21"/>
              </w:rPr>
            </w:pPr>
          </w:p>
        </w:tc>
        <w:tc>
          <w:tcPr>
            <w:tcW w:w="578" w:type="pct"/>
            <w:tcBorders>
              <w:top w:val="single" w:sz="4" w:space="0" w:color="auto"/>
              <w:left w:val="single" w:sz="4" w:space="0" w:color="auto"/>
              <w:right w:val="single" w:sz="4" w:space="0" w:color="auto"/>
            </w:tcBorders>
            <w:vAlign w:val="center"/>
          </w:tcPr>
          <w:p>
            <w:pPr>
              <w:jc w:val="right"/>
              <w:rPr>
                <w:szCs w:val="21"/>
              </w:rPr>
            </w:pPr>
            <w:r>
              <w:rPr>
                <w:szCs w:val="21"/>
              </w:rPr>
              <w:t>-1,023</w:t>
            </w:r>
          </w:p>
        </w:tc>
        <w:tc>
          <w:tcPr>
            <w:tcW w:w="578" w:type="pct"/>
            <w:tcBorders>
              <w:top w:val="single" w:sz="4" w:space="0" w:color="auto"/>
              <w:left w:val="single" w:sz="4" w:space="0" w:color="auto"/>
              <w:bottom w:val="single" w:sz="4" w:space="0" w:color="auto"/>
              <w:right w:val="single" w:sz="4" w:space="0" w:color="auto"/>
            </w:tcBorders>
            <w:vAlign w:val="center"/>
          </w:tcPr>
          <w:p>
            <w:pPr>
              <w:ind w:right="5"/>
              <w:jc w:val="right"/>
              <w:rPr>
                <w:szCs w:val="21"/>
              </w:rPr>
            </w:pP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库存商品</w:t>
            </w:r>
          </w:p>
        </w:tc>
        <w:tc>
          <w:tcPr>
            <w:tcW w:w="57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735</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34,243</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12,178</w:t>
            </w:r>
          </w:p>
        </w:tc>
        <w:tc>
          <w:tcPr>
            <w:tcW w:w="58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3" w:type="pct"/>
            <w:tcBorders>
              <w:left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left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top w:val="single" w:sz="4" w:space="0" w:color="auto"/>
              <w:left w:val="single" w:sz="4" w:space="0" w:color="auto"/>
              <w:bottom w:val="single" w:sz="4" w:space="0" w:color="auto"/>
              <w:right w:val="single" w:sz="4" w:space="0" w:color="auto"/>
            </w:tcBorders>
            <w:vAlign w:val="center"/>
          </w:tcPr>
          <w:p>
            <w:pPr>
              <w:ind w:right="5"/>
              <w:jc w:val="right"/>
              <w:rPr>
                <w:szCs w:val="21"/>
              </w:rPr>
            </w:pPr>
            <w:r>
              <w:rPr>
                <w:szCs w:val="21"/>
              </w:rPr>
              <w:t>47,156</w:t>
            </w: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工程存货</w:t>
            </w:r>
          </w:p>
        </w:tc>
        <w:tc>
          <w:tcPr>
            <w:tcW w:w="57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64,230</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2,161</w:t>
            </w:r>
          </w:p>
        </w:tc>
        <w:tc>
          <w:tcPr>
            <w:tcW w:w="583" w:type="pct"/>
            <w:tcBorders>
              <w:left w:val="single" w:sz="4" w:space="0" w:color="auto"/>
              <w:right w:val="single" w:sz="4" w:space="0" w:color="auto"/>
            </w:tcBorders>
            <w:vAlign w:val="center"/>
          </w:tcPr>
          <w:p>
            <w:pPr>
              <w:pStyle w:val="affffffffffffffffffffffffffffffffe"/>
              <w:jc w:val="right"/>
              <w:rPr>
                <w:szCs w:val="21"/>
              </w:rPr>
            </w:pPr>
          </w:p>
        </w:tc>
        <w:tc>
          <w:tcPr>
            <w:tcW w:w="578" w:type="pct"/>
            <w:tcBorders>
              <w:left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62,069</w:t>
            </w: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房地产开发成本</w:t>
            </w:r>
          </w:p>
        </w:tc>
        <w:tc>
          <w:tcPr>
            <w:tcW w:w="57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3,027</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8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15</w:t>
            </w:r>
          </w:p>
        </w:tc>
        <w:tc>
          <w:tcPr>
            <w:tcW w:w="583" w:type="pct"/>
            <w:tcBorders>
              <w:left w:val="single" w:sz="4" w:space="0" w:color="auto"/>
              <w:right w:val="single" w:sz="4" w:space="0" w:color="auto"/>
            </w:tcBorders>
            <w:vAlign w:val="center"/>
          </w:tcPr>
          <w:p>
            <w:pPr>
              <w:pStyle w:val="affffffffffffffffffffffffffffffffe"/>
              <w:jc w:val="right"/>
              <w:rPr>
                <w:szCs w:val="21"/>
              </w:rPr>
            </w:pPr>
          </w:p>
        </w:tc>
        <w:tc>
          <w:tcPr>
            <w:tcW w:w="578" w:type="pct"/>
            <w:tcBorders>
              <w:left w:val="single" w:sz="4" w:space="0" w:color="auto"/>
              <w:right w:val="single" w:sz="4" w:space="0" w:color="auto"/>
            </w:tcBorders>
            <w:vAlign w:val="center"/>
          </w:tcPr>
          <w:p>
            <w:pPr>
              <w:jc w:val="right"/>
              <w:rPr>
                <w:rFonts w:ascii="Times New Roman" w:eastAsia="Times New Roman" w:hAnsi="Times New Roman" w:cs="Times New Roman"/>
                <w:szCs w:val="21"/>
              </w:rPr>
            </w:pPr>
          </w:p>
        </w:tc>
        <w:tc>
          <w:tcPr>
            <w:tcW w:w="57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3,012</w:t>
            </w:r>
          </w:p>
        </w:tc>
      </w:tr>
      <w:tr>
        <w:trPr>
          <w:trHeight w:val="20"/>
        </w:trPr>
        <w:tc>
          <w:tcPr>
            <w:tcW w:w="93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57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99,628</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34,243</w:t>
            </w:r>
          </w:p>
        </w:tc>
        <w:tc>
          <w:tcPr>
            <w:tcW w:w="58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20,102</w:t>
            </w:r>
          </w:p>
        </w:tc>
        <w:tc>
          <w:tcPr>
            <w:tcW w:w="58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rPr>
                <w:szCs w:val="21"/>
              </w:rPr>
            </w:pPr>
            <w:r>
              <w:rPr>
                <w:szCs w:val="21"/>
              </w:rPr>
              <w:t>30,198</w:t>
            </w:r>
          </w:p>
        </w:tc>
        <w:tc>
          <w:tcPr>
            <w:tcW w:w="583" w:type="pct"/>
            <w:tcBorders>
              <w:left w:val="single" w:sz="4" w:space="0" w:color="auto"/>
              <w:bottom w:val="single" w:sz="4" w:space="0" w:color="auto"/>
              <w:right w:val="single" w:sz="4" w:space="0" w:color="auto"/>
            </w:tcBorders>
            <w:vAlign w:val="center"/>
          </w:tcPr>
          <w:p>
            <w:pPr>
              <w:pStyle w:val="affffffffffffffffffffffffffffffffe"/>
              <w:jc w:val="right"/>
              <w:rPr>
                <w:szCs w:val="21"/>
              </w:rPr>
            </w:pPr>
          </w:p>
        </w:tc>
        <w:tc>
          <w:tcPr>
            <w:tcW w:w="578" w:type="pct"/>
            <w:tcBorders>
              <w:left w:val="single" w:sz="4" w:space="0" w:color="auto"/>
              <w:bottom w:val="single" w:sz="4" w:space="0" w:color="auto"/>
              <w:right w:val="single" w:sz="4" w:space="0" w:color="auto"/>
            </w:tcBorders>
            <w:vAlign w:val="center"/>
          </w:tcPr>
          <w:p>
            <w:pPr>
              <w:jc w:val="right"/>
              <w:rPr>
                <w:szCs w:val="21"/>
              </w:rPr>
            </w:pPr>
            <w:r>
              <w:rPr>
                <w:szCs w:val="21"/>
              </w:rPr>
              <w:t>-1,023</w:t>
            </w:r>
          </w:p>
        </w:tc>
        <w:tc>
          <w:tcPr>
            <w:tcW w:w="578" w:type="pct"/>
            <w:tcBorders>
              <w:top w:val="single" w:sz="4" w:space="0" w:color="auto"/>
              <w:left w:val="single" w:sz="4" w:space="0" w:color="auto"/>
              <w:bottom w:val="single" w:sz="4" w:space="0" w:color="auto"/>
              <w:right w:val="single" w:sz="4" w:space="0" w:color="auto"/>
            </w:tcBorders>
            <w:vAlign w:val="center"/>
          </w:tcPr>
          <w:p>
            <w:pPr>
              <w:ind w:right="5"/>
              <w:jc w:val="right"/>
              <w:rPr>
                <w:szCs w:val="21"/>
              </w:rPr>
            </w:pPr>
            <w:r>
              <w:rPr>
                <w:color w:val="000000"/>
                <w:szCs w:val="21"/>
              </w:rPr>
              <w:t>122,752</w:t>
            </w:r>
          </w:p>
        </w:tc>
      </w:tr>
    </w:tbl>
    <w:p>
      <w:pPr>
        <w:rPr>
          <w:rFonts w:ascii="Times New Roman" w:hAnsi="Times New Roman"/>
        </w:rPr>
      </w:pPr>
    </w:p>
    <w:bookmarkEnd w:id="392"/>
    <w:p>
      <w:pPr>
        <w:pStyle w:val="affffffffffffffffffffffffffffffffe"/>
      </w:pPr>
      <w:r>
        <w:t>本期转回或转销存货跌价准备的原因</w:t>
      </w:r>
    </w:p>
    <w:sdt>
      <w:sdtPr>
        <w:rPr>
          <w:szCs w:val="21"/>
        </w:rPr>
        <w:alias w:val="是否适用：本期转回或转销存货跌价准备的原因[双击切换]"/>
        <w:tag w:val="_GBC_91edca895f07450c8e82d2352caede25"/>
        <w:id w:val="-2080510957"/>
        <w:placeholder>
          <w:docPart w:val="GBC22222222222222222222222222222"/>
        </w:placeholder>
      </w:sdtPr>
      <w:sdtContent>
        <w:p>
          <w:pPr>
            <w:pStyle w:val="affffffffffffffffffffffffffffffffe"/>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e"/>
      </w:pPr>
      <w:r>
        <w:rPr>
          <w:rFonts w:hint="eastAsia"/>
        </w:rPr>
        <w:t>按组合计提存货跌价准备</w:t>
      </w:r>
    </w:p>
    <w:sdt>
      <w:sdtPr>
        <w:alias w:val="是否适用：按组合计提存货跌价准备[双击切换]"/>
        <w:tag w:val="_GBC_7654282f8cf847d8a55f8274afb7a726"/>
        <w:id w:val="12667183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按组合计提存货跌价准备的计提标准</w:t>
      </w:r>
    </w:p>
    <w:sdt>
      <w:sdtPr>
        <w:alias w:val="是否适用：按组合计提存货跌价准备的计提标准[双击切换]"/>
        <w:tag w:val="_GBC_5ff59a2951ec4f938d7af938cd197e63"/>
        <w:id w:val="-170940987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按组合计提存货跌价准备的计提标准"/>
        <w:tag w:val="_GBC_3a5191ff201d47c5a0c505be36b2795f"/>
        <w:id w:val="1372953528"/>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1"/>
        <w:numPr>
          <w:ilvl w:val="3"/>
          <w:numId w:val="166"/>
        </w:numPr>
        <w:ind w:left="426" w:hanging="426"/>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109775276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3"/>
          <w:numId w:val="166"/>
        </w:numPr>
        <w:ind w:left="426" w:hanging="426"/>
      </w:pPr>
      <w:r>
        <w:rPr>
          <w:rFonts w:hint="eastAsia"/>
        </w:rPr>
        <w:t>合同履约成本本期摊销金额的说明</w:t>
      </w:r>
    </w:p>
    <w:sdt>
      <w:sdtPr>
        <w:alias w:val="是否适用：合同履约成本本期摊销金额的说明[双击切换]"/>
        <w:tag w:val="_GBC_7532d5a15e3d45fa8d69ad2921659b13"/>
        <w:id w:val="10763804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rPr>
          <w:szCs w:val="21"/>
        </w:rPr>
      </w:pPr>
      <w:r>
        <w:rPr>
          <w:rFonts w:hint="eastAsia"/>
        </w:rPr>
        <w:t>其他说明</w:t>
      </w:r>
      <w:r>
        <w:rPr>
          <w:rFonts w:hint="eastAsia"/>
          <w:szCs w:val="21"/>
        </w:rPr>
        <w:t>：</w:t>
      </w:r>
    </w:p>
    <w:sdt>
      <w:sdtPr>
        <w:rPr>
          <w:rFonts w:hint="eastAsia"/>
          <w:szCs w:val="21"/>
        </w:rPr>
        <w:alias w:val="是否适用：建造合同形成的已完工未结算资产的其他说明[双击切换]"/>
        <w:tag w:val="_GBC_441099179b66496e99c8de04f24782ad"/>
        <w:id w:val="2144076577"/>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imes New Roman" w:hAnsi="Times New Roman"/>
          <w:szCs w:val="21"/>
        </w:rPr>
      </w:pPr>
    </w:p>
    <w:p>
      <w:pPr>
        <w:pStyle w:val="afffffffffffffffffffffffffffffffff0"/>
        <w:numPr>
          <w:ilvl w:val="0"/>
          <w:numId w:val="103"/>
        </w:numPr>
        <w:tabs>
          <w:tab w:val="left" w:pos="504"/>
        </w:tabs>
        <w:rPr>
          <w:szCs w:val="21"/>
        </w:rPr>
      </w:pPr>
      <w:bookmarkStart w:id="393" w:name="_Hlk24380621"/>
      <w:r>
        <w:rPr>
          <w:rFonts w:hint="eastAsia"/>
          <w:szCs w:val="21"/>
        </w:rPr>
        <w:t>持有待售资产</w:t>
      </w:r>
    </w:p>
    <w:sdt>
      <w:sdtPr>
        <w:rPr>
          <w:szCs w:val="21"/>
        </w:rPr>
        <w:alias w:val="是否适用：划分为持有待售的资产[双击切换]"/>
        <w:tag w:val="_GBC_78f2c13384374d8eb0edd5d62d86bc52"/>
        <w:id w:val="1117105274"/>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rPr>
          <w:szCs w:val="21"/>
        </w:rPr>
      </w:pPr>
    </w:p>
    <w:p>
      <w:pPr>
        <w:pStyle w:val="affffffffffffffffffffffffffffffffe"/>
        <w:rPr>
          <w:szCs w:val="21"/>
        </w:rPr>
      </w:pPr>
    </w:p>
    <w:p>
      <w:pPr>
        <w:pStyle w:val="afffffffffffffffffffffffffffffffff0"/>
        <w:numPr>
          <w:ilvl w:val="0"/>
          <w:numId w:val="103"/>
        </w:numPr>
        <w:tabs>
          <w:tab w:val="left" w:pos="504"/>
        </w:tabs>
        <w:rPr>
          <w:szCs w:val="21"/>
        </w:rPr>
      </w:pPr>
      <w:bookmarkStart w:id="394" w:name="_Hlk533608872"/>
      <w:bookmarkEnd w:id="393"/>
      <w:r>
        <w:rPr>
          <w:rFonts w:hint="eastAsia"/>
          <w:szCs w:val="21"/>
        </w:rPr>
        <w:t>一年内到期的非流动资产</w:t>
      </w:r>
    </w:p>
    <w:sdt>
      <w:sdtPr>
        <w:rPr>
          <w:szCs w:val="21"/>
        </w:rPr>
        <w:alias w:val="是否适用：一年内到期的非流动资产[双击切换]"/>
        <w:tag w:val="_GBC_ed2c28c8d4014bbb85fa424cc20fe6d7"/>
        <w:id w:val="469642590"/>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210"/>
        <w:jc w:val="right"/>
        <w:rPr>
          <w:szCs w:val="21"/>
        </w:rPr>
      </w:pPr>
      <w:r>
        <w:rPr>
          <w:rFonts w:hint="eastAsia"/>
          <w:szCs w:val="21"/>
        </w:rPr>
        <w:t>单位：</w:t>
      </w:r>
      <w:sdt>
        <w:sdtPr>
          <w:rPr>
            <w:rFonts w:hint="eastAsia"/>
            <w:szCs w:val="21"/>
          </w:rPr>
          <w:alias w:val="单位：财务附注：一年内到期的非流动资产"/>
          <w:tag w:val="_GBC_f77c8d19672140bf85fc2463f9170dd6"/>
          <w:id w:val="-11571423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一年内到期的非流动资产"/>
          <w:tag w:val="_GBC_8556c531d1034a2b8dbccdc6ef602448"/>
          <w:id w:val="1929658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5"/>
        <w:gridCol w:w="2825"/>
        <w:gridCol w:w="2793"/>
      </w:tblGrid>
      <w:tr>
        <w:sdt>
          <w:sdtPr>
            <w:rPr>
              <w:szCs w:val="21"/>
            </w:rPr>
            <w:tag w:val="_PLD_a40529190b0945ecb6483b84560649d2"/>
            <w:id w:val="-1291508283"/>
          </w:sdtPr>
          <w:sdtContent>
            <w:tc>
              <w:tcPr>
                <w:tcW w:w="1816" w:type="pct"/>
                <w:shd w:val="clear" w:color="auto" w:fill="auto"/>
                <w:vAlign w:val="center"/>
              </w:tcPr>
              <w:p>
                <w:pPr>
                  <w:jc w:val="center"/>
                  <w:rPr>
                    <w:szCs w:val="21"/>
                  </w:rPr>
                </w:pPr>
                <w:r>
                  <w:rPr>
                    <w:rFonts w:hint="eastAsia"/>
                    <w:szCs w:val="21"/>
                  </w:rPr>
                  <w:t>项目</w:t>
                </w:r>
              </w:p>
            </w:tc>
          </w:sdtContent>
        </w:sdt>
        <w:sdt>
          <w:sdtPr>
            <w:rPr>
              <w:szCs w:val="21"/>
            </w:rPr>
            <w:tag w:val="_PLD_5e30d8809b4b4a148861aad7ac937cad"/>
            <w:id w:val="996694944"/>
          </w:sdtPr>
          <w:sdtContent>
            <w:tc>
              <w:tcPr>
                <w:tcW w:w="1601" w:type="pct"/>
                <w:shd w:val="clear" w:color="auto" w:fill="auto"/>
                <w:vAlign w:val="center"/>
              </w:tcPr>
              <w:p>
                <w:pPr>
                  <w:jc w:val="center"/>
                  <w:rPr>
                    <w:szCs w:val="21"/>
                  </w:rPr>
                </w:pPr>
                <w:r>
                  <w:rPr>
                    <w:rFonts w:hint="eastAsia"/>
                    <w:szCs w:val="21"/>
                  </w:rPr>
                  <w:t>期末余额</w:t>
                </w:r>
              </w:p>
            </w:tc>
          </w:sdtContent>
        </w:sdt>
        <w:sdt>
          <w:sdtPr>
            <w:rPr>
              <w:szCs w:val="21"/>
            </w:rPr>
            <w:tag w:val="_PLD_a1484dda7f4045b7bee1d347a33d9d30"/>
            <w:id w:val="1429013326"/>
          </w:sdtPr>
          <w:sdtContent>
            <w:tc>
              <w:tcPr>
                <w:tcW w:w="1583" w:type="pct"/>
                <w:shd w:val="clear" w:color="auto" w:fill="auto"/>
                <w:vAlign w:val="center"/>
              </w:tcPr>
              <w:p>
                <w:pPr>
                  <w:jc w:val="center"/>
                  <w:rPr>
                    <w:szCs w:val="21"/>
                  </w:rPr>
                </w:pPr>
                <w:r>
                  <w:rPr>
                    <w:rFonts w:hint="eastAsia"/>
                    <w:szCs w:val="21"/>
                  </w:rPr>
                  <w:t>期初余额</w:t>
                </w:r>
              </w:p>
            </w:tc>
          </w:sdtContent>
        </w:sdt>
      </w:tr>
      <w:tr>
        <w:tc>
          <w:tcPr>
            <w:tcW w:w="1816" w:type="pct"/>
            <w:shd w:val="clear" w:color="auto" w:fill="auto"/>
            <w:vAlign w:val="center"/>
          </w:tcPr>
          <w:p>
            <w:pPr>
              <w:spacing w:line="360" w:lineRule="exact"/>
              <w:rPr>
                <w:szCs w:val="21"/>
              </w:rPr>
            </w:pPr>
            <w:r>
              <w:rPr>
                <w:rFonts w:hint="eastAsia"/>
                <w:szCs w:val="21"/>
              </w:rPr>
              <w:t>一年内到期的长期应收款（注）</w:t>
            </w:r>
          </w:p>
        </w:tc>
        <w:tc>
          <w:tcPr>
            <w:tcW w:w="1601" w:type="pct"/>
            <w:shd w:val="clear" w:color="auto" w:fill="auto"/>
            <w:vAlign w:val="center"/>
          </w:tcPr>
          <w:p>
            <w:pPr>
              <w:pStyle w:val="affffffffffffffffffffffffffffffffe"/>
              <w:rPr>
                <w:szCs w:val="21"/>
              </w:rPr>
            </w:pPr>
            <w:r>
              <w:rPr>
                <w:szCs w:val="21"/>
              </w:rPr>
              <w:t>2,310,809</w:t>
            </w:r>
          </w:p>
        </w:tc>
        <w:tc>
          <w:tcPr>
            <w:tcW w:w="1583" w:type="pct"/>
            <w:shd w:val="clear" w:color="auto" w:fill="auto"/>
            <w:vAlign w:val="center"/>
          </w:tcPr>
          <w:p>
            <w:pPr>
              <w:pStyle w:val="affffffffffffffffffffffffffffffffe"/>
              <w:rPr>
                <w:szCs w:val="21"/>
              </w:rPr>
            </w:pPr>
            <w:r>
              <w:rPr>
                <w:szCs w:val="21"/>
              </w:rPr>
              <w:t>2,185,928</w:t>
            </w:r>
          </w:p>
        </w:tc>
      </w:tr>
      <w:tr>
        <w:tc>
          <w:tcPr>
            <w:tcW w:w="1816" w:type="pct"/>
            <w:shd w:val="clear" w:color="auto" w:fill="auto"/>
            <w:vAlign w:val="center"/>
          </w:tcPr>
          <w:p>
            <w:pPr>
              <w:spacing w:line="360" w:lineRule="exact"/>
              <w:rPr>
                <w:szCs w:val="21"/>
              </w:rPr>
            </w:pPr>
            <w:r>
              <w:rPr>
                <w:rFonts w:hint="eastAsia"/>
                <w:szCs w:val="21"/>
              </w:rPr>
              <w:t>一年内到期的发放贷款及垫资</w:t>
            </w:r>
          </w:p>
        </w:tc>
        <w:tc>
          <w:tcPr>
            <w:tcW w:w="1601" w:type="pct"/>
            <w:shd w:val="clear" w:color="auto" w:fill="auto"/>
            <w:vAlign w:val="center"/>
          </w:tcPr>
          <w:p>
            <w:pPr>
              <w:pStyle w:val="affffffffffffffffffffffffffffffffe"/>
              <w:rPr>
                <w:szCs w:val="21"/>
              </w:rPr>
            </w:pPr>
            <w:r>
              <w:rPr>
                <w:szCs w:val="21"/>
              </w:rPr>
              <w:t>1,950,000</w:t>
            </w:r>
          </w:p>
        </w:tc>
        <w:tc>
          <w:tcPr>
            <w:tcW w:w="1583" w:type="pct"/>
            <w:shd w:val="clear" w:color="auto" w:fill="auto"/>
            <w:vAlign w:val="center"/>
          </w:tcPr>
          <w:p>
            <w:pPr>
              <w:pStyle w:val="affffffffffffffffffffffffffffffffe"/>
              <w:rPr>
                <w:szCs w:val="21"/>
              </w:rPr>
            </w:pPr>
          </w:p>
        </w:tc>
      </w:tr>
      <w:tr>
        <w:tc>
          <w:tcPr>
            <w:tcW w:w="1816" w:type="pct"/>
            <w:shd w:val="clear" w:color="auto" w:fill="auto"/>
            <w:vAlign w:val="center"/>
          </w:tcPr>
          <w:p>
            <w:pPr>
              <w:spacing w:line="360" w:lineRule="exact"/>
              <w:rPr>
                <w:szCs w:val="21"/>
              </w:rPr>
            </w:pPr>
            <w:r>
              <w:rPr>
                <w:rFonts w:hint="eastAsia"/>
                <w:szCs w:val="21"/>
              </w:rPr>
              <w:t>一年内到期的债权投资</w:t>
            </w:r>
          </w:p>
        </w:tc>
        <w:tc>
          <w:tcPr>
            <w:tcW w:w="1601" w:type="pct"/>
            <w:shd w:val="clear" w:color="auto" w:fill="auto"/>
            <w:vAlign w:val="center"/>
          </w:tcPr>
          <w:p>
            <w:pPr>
              <w:rPr>
                <w:szCs w:val="21"/>
              </w:rPr>
            </w:pPr>
            <w:r>
              <w:rPr>
                <w:szCs w:val="21"/>
              </w:rPr>
              <w:t>358,267</w:t>
            </w:r>
          </w:p>
        </w:tc>
        <w:tc>
          <w:tcPr>
            <w:tcW w:w="1583" w:type="pct"/>
            <w:shd w:val="clear" w:color="auto" w:fill="auto"/>
            <w:vAlign w:val="center"/>
          </w:tcPr>
          <w:p>
            <w:pPr>
              <w:pStyle w:val="affffffffffffffffffffffffffffffffe"/>
              <w:rPr>
                <w:szCs w:val="21"/>
              </w:rPr>
            </w:pPr>
          </w:p>
        </w:tc>
      </w:tr>
      <w:tr>
        <w:tc>
          <w:tcPr>
            <w:tcW w:w="1816" w:type="pct"/>
            <w:shd w:val="clear" w:color="auto" w:fill="auto"/>
            <w:vAlign w:val="bottom"/>
          </w:tcPr>
          <w:p>
            <w:pPr>
              <w:snapToGrid w:val="0"/>
              <w:ind w:leftChars="-51" w:left="-107"/>
              <w:jc w:val="center"/>
              <w:rPr>
                <w:szCs w:val="21"/>
              </w:rPr>
            </w:pPr>
            <w:r>
              <w:rPr>
                <w:rFonts w:hint="eastAsia"/>
                <w:szCs w:val="21"/>
              </w:rPr>
              <w:t>合计</w:t>
            </w:r>
          </w:p>
        </w:tc>
        <w:tc>
          <w:tcPr>
            <w:tcW w:w="1601" w:type="pct"/>
            <w:shd w:val="clear" w:color="auto" w:fill="auto"/>
            <w:vAlign w:val="center"/>
          </w:tcPr>
          <w:p>
            <w:pPr>
              <w:pStyle w:val="affffffffffffffffffffffffffffffffe"/>
              <w:rPr>
                <w:szCs w:val="21"/>
              </w:rPr>
            </w:pPr>
            <w:r>
              <w:rPr>
                <w:szCs w:val="21"/>
              </w:rPr>
              <w:t>4,619,076</w:t>
            </w:r>
          </w:p>
        </w:tc>
        <w:tc>
          <w:tcPr>
            <w:tcW w:w="1583" w:type="pct"/>
            <w:shd w:val="clear" w:color="auto" w:fill="auto"/>
            <w:vAlign w:val="center"/>
          </w:tcPr>
          <w:p>
            <w:pPr>
              <w:pStyle w:val="affffffffffffffffffffffffffffffffe"/>
              <w:rPr>
                <w:szCs w:val="21"/>
              </w:rPr>
            </w:pPr>
            <w:r>
              <w:rPr>
                <w:szCs w:val="21"/>
              </w:rPr>
              <w:t>2,185,928</w:t>
            </w:r>
          </w:p>
        </w:tc>
      </w:tr>
    </w:tbl>
    <w:p>
      <w:pPr>
        <w:pStyle w:val="afffffffffffffffffffffffffffffffff1"/>
        <w:numPr>
          <w:ilvl w:val="0"/>
          <w:numId w:val="108"/>
        </w:numPr>
        <w:rPr>
          <w:szCs w:val="21"/>
        </w:rPr>
      </w:pPr>
      <w:r>
        <w:rPr>
          <w:rFonts w:hint="eastAsia"/>
          <w:szCs w:val="21"/>
        </w:rPr>
        <w:t>一年内到期的债权投资</w:t>
      </w:r>
    </w:p>
    <w:sdt>
      <w:sdtPr>
        <w:rPr>
          <w:szCs w:val="21"/>
        </w:rPr>
        <w:alias w:val="是否适用：一年内到期的债权投资[双击切换]"/>
        <w:tag w:val="_GBC_21106d2d4b32436eb1949dc414c4e6e2"/>
        <w:id w:val="146803329"/>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210"/>
      </w:pPr>
    </w:p>
    <w:p>
      <w:pPr>
        <w:ind w:right="210"/>
      </w:pPr>
    </w:p>
    <w:p>
      <w:pPr>
        <w:pStyle w:val="afffffffffffffffffffffffffffffffff1"/>
        <w:numPr>
          <w:ilvl w:val="0"/>
          <w:numId w:val="108"/>
        </w:numPr>
      </w:pPr>
      <w:r>
        <w:rPr>
          <w:rFonts w:hint="eastAsia"/>
        </w:rPr>
        <w:t>一年内到期的其他债权投资</w:t>
      </w:r>
    </w:p>
    <w:sdt>
      <w:sdtPr>
        <w:alias w:val="是否适用：一年内到期的其他债权投资[双击切换]"/>
        <w:tag w:val="_GBC_7e23007806f94dceb2b97ed0f5d1e010"/>
        <w:id w:val="140064273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ind w:right="210"/>
      </w:pPr>
    </w:p>
    <w:p>
      <w:pPr>
        <w:ind w:right="210"/>
        <w:rPr>
          <w:szCs w:val="21"/>
        </w:rPr>
      </w:pPr>
      <w:r>
        <w:rPr>
          <w:rFonts w:hint="eastAsia"/>
        </w:rPr>
        <w:t>一年内到期的非流动资产的其他</w:t>
      </w:r>
      <w:r>
        <w:rPr>
          <w:rFonts w:hint="eastAsia"/>
          <w:szCs w:val="21"/>
        </w:rPr>
        <w:t>说明：</w:t>
      </w:r>
    </w:p>
    <w:sdt>
      <w:sdtPr>
        <w:alias w:val="一年内到期的非流动资产其他说明"/>
        <w:tag w:val="_GBC_aebddb0e62fa4ec48ab98b4bc4575935"/>
        <w:id w:val="-1658832205"/>
        <w:placeholder>
          <w:docPart w:val="GBC22222222222222222222222222222"/>
        </w:placeholder>
      </w:sdtPr>
      <w:sdtContent>
        <w:p>
          <w:pPr>
            <w:pStyle w:val="affffffffffffffffffffffffffffffffffffffe"/>
          </w:pPr>
          <w:r>
            <w:rPr>
              <w:rFonts w:hint="eastAsia"/>
            </w:rPr>
            <w:t>注：一年内到期的长期应收款主要为本集团之子公司兖矿融资租赁有限公司长期应收融资租赁款</w:t>
          </w:r>
          <w:r>
            <w:t>2,124,646</w:t>
          </w:r>
          <w:r>
            <w:rPr>
              <w:rFonts w:hint="eastAsia"/>
            </w:rPr>
            <w:t>千元。</w:t>
          </w:r>
        </w:p>
      </w:sdtContent>
    </w:sdt>
    <w:p>
      <w:pPr>
        <w:ind w:right="210"/>
      </w:pPr>
    </w:p>
    <w:p>
      <w:pPr>
        <w:pStyle w:val="afffffffffffffffffffffffffffffffff0"/>
        <w:numPr>
          <w:ilvl w:val="0"/>
          <w:numId w:val="103"/>
        </w:numPr>
        <w:tabs>
          <w:tab w:val="left" w:pos="504"/>
        </w:tabs>
      </w:pPr>
      <w:bookmarkStart w:id="395" w:name="_Hlk533609053"/>
      <w:bookmarkEnd w:id="394"/>
      <w:r>
        <w:rPr>
          <w:rFonts w:hint="eastAsia"/>
        </w:rPr>
        <w:t>其他流动资产</w:t>
      </w:r>
    </w:p>
    <w:sdt>
      <w:sdtPr>
        <w:alias w:val="是否适用：其他流动资产[双击切换]"/>
        <w:tag w:val="_GBC_49fe7514f24d4f7fbf009ae51ff98d5a"/>
        <w:id w:val="759645329"/>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10758926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其他流动资产"/>
          <w:tag w:val="_GBC_8e1e40ac44704231aa91fcfbbccbd924"/>
          <w:id w:val="-19737346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4"/>
        <w:gridCol w:w="2845"/>
        <w:gridCol w:w="2774"/>
      </w:tblGrid>
      <w:tr>
        <w:bookmarkStart w:id="396" w:name="_Hlk533421736" w:displacedByCustomXml="next"/>
        <w:sdt>
          <w:sdtPr>
            <w:tag w:val="_PLD_a34f889fb3794268b1f04c9534377486"/>
            <w:id w:val="-93483015"/>
          </w:sdtPr>
          <w:sdtContent>
            <w:tc>
              <w:tcPr>
                <w:tcW w:w="1816" w:type="pct"/>
                <w:shd w:val="clear" w:color="auto" w:fill="auto"/>
                <w:vAlign w:val="center"/>
              </w:tcPr>
              <w:p>
                <w:pPr>
                  <w:jc w:val="center"/>
                  <w:rPr>
                    <w:szCs w:val="21"/>
                  </w:rPr>
                </w:pPr>
                <w:r>
                  <w:rPr>
                    <w:rFonts w:hint="eastAsia"/>
                    <w:szCs w:val="21"/>
                  </w:rPr>
                  <w:t>项目</w:t>
                </w:r>
              </w:p>
            </w:tc>
          </w:sdtContent>
        </w:sdt>
        <w:sdt>
          <w:sdtPr>
            <w:tag w:val="_PLD_97b9b7e912e14a06b24f532e76914900"/>
            <w:id w:val="-1723821583"/>
          </w:sdtPr>
          <w:sdtContent>
            <w:tc>
              <w:tcPr>
                <w:tcW w:w="1612" w:type="pct"/>
                <w:shd w:val="clear" w:color="auto" w:fill="auto"/>
                <w:vAlign w:val="center"/>
              </w:tcPr>
              <w:p>
                <w:pPr>
                  <w:jc w:val="center"/>
                  <w:rPr>
                    <w:szCs w:val="21"/>
                  </w:rPr>
                </w:pPr>
                <w:r>
                  <w:rPr>
                    <w:rFonts w:hint="eastAsia"/>
                    <w:szCs w:val="21"/>
                  </w:rPr>
                  <w:t>期末余额</w:t>
                </w:r>
              </w:p>
            </w:tc>
          </w:sdtContent>
        </w:sdt>
        <w:sdt>
          <w:sdtPr>
            <w:tag w:val="_PLD_c02c94d4c7614f3cadd2972514fb87f4"/>
            <w:id w:val="708924549"/>
          </w:sdtPr>
          <w:sdtContent>
            <w:tc>
              <w:tcPr>
                <w:tcW w:w="1572" w:type="pct"/>
                <w:shd w:val="clear" w:color="auto" w:fill="auto"/>
                <w:vAlign w:val="center"/>
              </w:tcPr>
              <w:p>
                <w:pPr>
                  <w:jc w:val="center"/>
                  <w:rPr>
                    <w:szCs w:val="21"/>
                  </w:rPr>
                </w:pPr>
                <w:r>
                  <w:rPr>
                    <w:rFonts w:hint="eastAsia"/>
                    <w:szCs w:val="21"/>
                  </w:rPr>
                  <w:t>期初余额</w:t>
                </w:r>
              </w:p>
            </w:tc>
          </w:sdtContent>
        </w:sdt>
      </w:tr>
      <w:tr>
        <w:tc>
          <w:tcPr>
            <w:tcW w:w="1816" w:type="pct"/>
            <w:shd w:val="clear" w:color="auto" w:fill="auto"/>
            <w:vAlign w:val="center"/>
          </w:tcPr>
          <w:p>
            <w:pPr>
              <w:spacing w:line="360" w:lineRule="exact"/>
              <w:rPr>
                <w:szCs w:val="21"/>
              </w:rPr>
            </w:pPr>
            <w:r>
              <w:rPr>
                <w:rFonts w:hint="eastAsia"/>
                <w:szCs w:val="21"/>
              </w:rPr>
              <w:t>发放贷款及垫款</w:t>
            </w:r>
          </w:p>
        </w:tc>
        <w:tc>
          <w:tcPr>
            <w:tcW w:w="1612" w:type="pct"/>
            <w:shd w:val="clear" w:color="auto" w:fill="auto"/>
            <w:vAlign w:val="center"/>
          </w:tcPr>
          <w:p>
            <w:pPr>
              <w:jc w:val="right"/>
              <w:rPr>
                <w:szCs w:val="21"/>
              </w:rPr>
            </w:pPr>
            <w:r>
              <w:rPr>
                <w:szCs w:val="21"/>
              </w:rPr>
              <w:t>8,105,126</w:t>
            </w:r>
          </w:p>
        </w:tc>
        <w:tc>
          <w:tcPr>
            <w:tcW w:w="1572" w:type="pct"/>
            <w:shd w:val="clear" w:color="auto" w:fill="auto"/>
            <w:vAlign w:val="center"/>
          </w:tcPr>
          <w:p>
            <w:pPr>
              <w:jc w:val="right"/>
              <w:rPr>
                <w:szCs w:val="21"/>
              </w:rPr>
            </w:pPr>
            <w:r>
              <w:rPr>
                <w:szCs w:val="21"/>
              </w:rPr>
              <w:t>12,747,150</w:t>
            </w:r>
          </w:p>
        </w:tc>
      </w:tr>
      <w:tr>
        <w:tc>
          <w:tcPr>
            <w:tcW w:w="1816" w:type="pct"/>
            <w:shd w:val="clear" w:color="auto" w:fill="auto"/>
            <w:vAlign w:val="center"/>
          </w:tcPr>
          <w:p>
            <w:pPr>
              <w:spacing w:line="360" w:lineRule="exact"/>
              <w:rPr>
                <w:szCs w:val="21"/>
              </w:rPr>
            </w:pPr>
            <w:r>
              <w:rPr>
                <w:rFonts w:hint="eastAsia"/>
                <w:szCs w:val="21"/>
              </w:rPr>
              <w:t>土地塌陷、复原、重整及环保费</w:t>
            </w:r>
          </w:p>
        </w:tc>
        <w:tc>
          <w:tcPr>
            <w:tcW w:w="1612" w:type="pct"/>
            <w:shd w:val="clear" w:color="auto" w:fill="auto"/>
            <w:vAlign w:val="center"/>
          </w:tcPr>
          <w:p>
            <w:pPr>
              <w:jc w:val="right"/>
              <w:rPr>
                <w:szCs w:val="21"/>
              </w:rPr>
            </w:pPr>
            <w:r>
              <w:rPr>
                <w:szCs w:val="21"/>
              </w:rPr>
              <w:t>15,288,067</w:t>
            </w:r>
          </w:p>
        </w:tc>
        <w:tc>
          <w:tcPr>
            <w:tcW w:w="1572" w:type="pct"/>
            <w:shd w:val="clear" w:color="auto" w:fill="auto"/>
            <w:vAlign w:val="center"/>
          </w:tcPr>
          <w:p>
            <w:pPr>
              <w:jc w:val="right"/>
              <w:rPr>
                <w:szCs w:val="21"/>
              </w:rPr>
            </w:pPr>
            <w:r>
              <w:rPr>
                <w:szCs w:val="21"/>
              </w:rPr>
              <w:t>12,322,765</w:t>
            </w:r>
          </w:p>
        </w:tc>
      </w:tr>
      <w:tr>
        <w:tc>
          <w:tcPr>
            <w:tcW w:w="1816" w:type="pct"/>
            <w:shd w:val="clear" w:color="auto" w:fill="auto"/>
            <w:vAlign w:val="center"/>
          </w:tcPr>
          <w:p>
            <w:pPr>
              <w:spacing w:line="360" w:lineRule="exact"/>
              <w:rPr>
                <w:szCs w:val="21"/>
              </w:rPr>
            </w:pPr>
            <w:r>
              <w:rPr>
                <w:rFonts w:hint="eastAsia"/>
                <w:szCs w:val="21"/>
              </w:rPr>
              <w:t>待抵扣进项税、预缴税款</w:t>
            </w:r>
          </w:p>
        </w:tc>
        <w:tc>
          <w:tcPr>
            <w:tcW w:w="1612" w:type="pct"/>
            <w:shd w:val="clear" w:color="auto" w:fill="auto"/>
            <w:vAlign w:val="center"/>
          </w:tcPr>
          <w:p>
            <w:pPr>
              <w:jc w:val="right"/>
              <w:rPr>
                <w:szCs w:val="21"/>
              </w:rPr>
            </w:pPr>
            <w:r>
              <w:rPr>
                <w:szCs w:val="21"/>
              </w:rPr>
              <w:t>1,248,031</w:t>
            </w:r>
          </w:p>
        </w:tc>
        <w:tc>
          <w:tcPr>
            <w:tcW w:w="1572" w:type="pct"/>
            <w:shd w:val="clear" w:color="auto" w:fill="auto"/>
            <w:vAlign w:val="center"/>
          </w:tcPr>
          <w:p>
            <w:pPr>
              <w:jc w:val="right"/>
              <w:rPr>
                <w:szCs w:val="21"/>
              </w:rPr>
            </w:pPr>
            <w:r>
              <w:rPr>
                <w:szCs w:val="21"/>
              </w:rPr>
              <w:t>1,022,105</w:t>
            </w:r>
          </w:p>
        </w:tc>
      </w:tr>
      <w:tr>
        <w:tc>
          <w:tcPr>
            <w:tcW w:w="1816" w:type="pct"/>
            <w:shd w:val="clear" w:color="auto" w:fill="auto"/>
            <w:vAlign w:val="center"/>
          </w:tcPr>
          <w:p>
            <w:pPr>
              <w:spacing w:line="360" w:lineRule="exact"/>
              <w:rPr>
                <w:szCs w:val="21"/>
              </w:rPr>
            </w:pPr>
            <w:r>
              <w:rPr>
                <w:rFonts w:hint="eastAsia"/>
                <w:szCs w:val="21"/>
              </w:rPr>
              <w:t>应收保理款</w:t>
            </w:r>
          </w:p>
        </w:tc>
        <w:tc>
          <w:tcPr>
            <w:tcW w:w="1612" w:type="pct"/>
            <w:shd w:val="clear" w:color="auto" w:fill="auto"/>
            <w:vAlign w:val="center"/>
          </w:tcPr>
          <w:p>
            <w:pPr>
              <w:jc w:val="right"/>
              <w:rPr>
                <w:szCs w:val="21"/>
              </w:rPr>
            </w:pPr>
            <w:r>
              <w:rPr>
                <w:szCs w:val="21"/>
              </w:rPr>
              <w:t>56,620</w:t>
            </w:r>
          </w:p>
        </w:tc>
        <w:tc>
          <w:tcPr>
            <w:tcW w:w="1572" w:type="pct"/>
            <w:shd w:val="clear" w:color="auto" w:fill="auto"/>
            <w:vAlign w:val="center"/>
          </w:tcPr>
          <w:p>
            <w:pPr>
              <w:jc w:val="right"/>
              <w:rPr>
                <w:szCs w:val="21"/>
              </w:rPr>
            </w:pPr>
            <w:r>
              <w:rPr>
                <w:szCs w:val="21"/>
              </w:rPr>
              <w:t>344,016</w:t>
            </w:r>
          </w:p>
        </w:tc>
      </w:tr>
      <w:tr>
        <w:tc>
          <w:tcPr>
            <w:tcW w:w="1816" w:type="pct"/>
            <w:shd w:val="clear" w:color="auto" w:fill="auto"/>
            <w:vAlign w:val="center"/>
          </w:tcPr>
          <w:p>
            <w:pPr>
              <w:spacing w:line="360" w:lineRule="exact"/>
              <w:rPr>
                <w:szCs w:val="21"/>
              </w:rPr>
            </w:pPr>
            <w:r>
              <w:rPr>
                <w:rFonts w:hint="eastAsia"/>
                <w:szCs w:val="21"/>
              </w:rPr>
              <w:t>预缴采矿权出让收益</w:t>
            </w:r>
          </w:p>
        </w:tc>
        <w:tc>
          <w:tcPr>
            <w:tcW w:w="1612" w:type="pct"/>
            <w:shd w:val="clear" w:color="auto" w:fill="auto"/>
            <w:vAlign w:val="center"/>
          </w:tcPr>
          <w:p>
            <w:pPr>
              <w:jc w:val="right"/>
              <w:rPr>
                <w:szCs w:val="21"/>
              </w:rPr>
            </w:pPr>
            <w:r>
              <w:rPr>
                <w:szCs w:val="21"/>
              </w:rPr>
              <w:t>196,539</w:t>
            </w:r>
          </w:p>
        </w:tc>
        <w:tc>
          <w:tcPr>
            <w:tcW w:w="1572" w:type="pct"/>
            <w:shd w:val="clear" w:color="auto" w:fill="auto"/>
            <w:vAlign w:val="center"/>
          </w:tcPr>
          <w:p>
            <w:pPr>
              <w:jc w:val="right"/>
              <w:rPr>
                <w:szCs w:val="21"/>
              </w:rPr>
            </w:pPr>
            <w:r>
              <w:rPr>
                <w:szCs w:val="21"/>
              </w:rPr>
              <w:t>217,547</w:t>
            </w:r>
          </w:p>
        </w:tc>
      </w:tr>
      <w:tr>
        <w:tc>
          <w:tcPr>
            <w:tcW w:w="1816" w:type="pct"/>
            <w:shd w:val="clear" w:color="auto" w:fill="auto"/>
            <w:vAlign w:val="center"/>
          </w:tcPr>
          <w:p>
            <w:pPr>
              <w:spacing w:line="360" w:lineRule="exact"/>
              <w:rPr>
                <w:szCs w:val="21"/>
              </w:rPr>
            </w:pPr>
            <w:r>
              <w:rPr>
                <w:rFonts w:hint="eastAsia"/>
                <w:szCs w:val="21"/>
              </w:rPr>
              <w:t>环境治理保证金</w:t>
            </w:r>
          </w:p>
        </w:tc>
        <w:tc>
          <w:tcPr>
            <w:tcW w:w="1612" w:type="pct"/>
            <w:shd w:val="clear" w:color="auto" w:fill="auto"/>
            <w:vAlign w:val="center"/>
          </w:tcPr>
          <w:p>
            <w:pPr>
              <w:jc w:val="right"/>
              <w:rPr>
                <w:szCs w:val="21"/>
              </w:rPr>
            </w:pPr>
            <w:r>
              <w:rPr>
                <w:szCs w:val="21"/>
              </w:rPr>
              <w:t>63,665</w:t>
            </w:r>
          </w:p>
        </w:tc>
        <w:tc>
          <w:tcPr>
            <w:tcW w:w="1572" w:type="pct"/>
            <w:shd w:val="clear" w:color="auto" w:fill="auto"/>
            <w:vAlign w:val="center"/>
          </w:tcPr>
          <w:p>
            <w:pPr>
              <w:jc w:val="right"/>
              <w:rPr>
                <w:szCs w:val="21"/>
              </w:rPr>
            </w:pPr>
            <w:r>
              <w:rPr>
                <w:szCs w:val="21"/>
              </w:rPr>
              <w:t>62,186</w:t>
            </w:r>
          </w:p>
        </w:tc>
      </w:tr>
      <w:tr>
        <w:tc>
          <w:tcPr>
            <w:tcW w:w="1816" w:type="pct"/>
            <w:shd w:val="clear" w:color="auto" w:fill="auto"/>
            <w:vAlign w:val="center"/>
          </w:tcPr>
          <w:p>
            <w:pPr>
              <w:spacing w:line="360" w:lineRule="exact"/>
              <w:rPr>
                <w:szCs w:val="21"/>
              </w:rPr>
            </w:pPr>
            <w:r>
              <w:rPr>
                <w:rFonts w:hint="eastAsia"/>
                <w:szCs w:val="21"/>
              </w:rPr>
              <w:t>长期服务假基金会补偿金</w:t>
            </w:r>
          </w:p>
        </w:tc>
        <w:tc>
          <w:tcPr>
            <w:tcW w:w="1612" w:type="pct"/>
            <w:shd w:val="clear" w:color="auto" w:fill="auto"/>
            <w:vAlign w:val="center"/>
          </w:tcPr>
          <w:p>
            <w:pPr>
              <w:jc w:val="right"/>
              <w:rPr>
                <w:szCs w:val="21"/>
              </w:rPr>
            </w:pPr>
            <w:r>
              <w:rPr>
                <w:szCs w:val="21"/>
              </w:rPr>
              <w:t>35,012</w:t>
            </w:r>
          </w:p>
        </w:tc>
        <w:tc>
          <w:tcPr>
            <w:tcW w:w="1572" w:type="pct"/>
            <w:shd w:val="clear" w:color="auto" w:fill="auto"/>
            <w:vAlign w:val="center"/>
          </w:tcPr>
          <w:p>
            <w:pPr>
              <w:jc w:val="right"/>
              <w:rPr>
                <w:szCs w:val="21"/>
              </w:rPr>
            </w:pPr>
            <w:r>
              <w:rPr>
                <w:szCs w:val="21"/>
              </w:rPr>
              <w:t>31,150</w:t>
            </w:r>
          </w:p>
        </w:tc>
      </w:tr>
      <w:tr>
        <w:tc>
          <w:tcPr>
            <w:tcW w:w="1816" w:type="pct"/>
            <w:shd w:val="clear" w:color="auto" w:fill="auto"/>
            <w:vAlign w:val="center"/>
          </w:tcPr>
          <w:p>
            <w:pPr>
              <w:spacing w:line="360" w:lineRule="exact"/>
              <w:rPr>
                <w:szCs w:val="21"/>
              </w:rPr>
            </w:pPr>
            <w:r>
              <w:rPr>
                <w:rFonts w:hint="eastAsia"/>
                <w:szCs w:val="21"/>
              </w:rPr>
              <w:t>理财产品</w:t>
            </w:r>
          </w:p>
        </w:tc>
        <w:tc>
          <w:tcPr>
            <w:tcW w:w="1612" w:type="pct"/>
            <w:shd w:val="clear" w:color="auto" w:fill="auto"/>
            <w:vAlign w:val="center"/>
          </w:tcPr>
          <w:p>
            <w:pPr>
              <w:jc w:val="right"/>
              <w:rPr>
                <w:szCs w:val="21"/>
              </w:rPr>
            </w:pPr>
            <w:r>
              <w:rPr>
                <w:szCs w:val="21"/>
              </w:rPr>
              <w:t>98,224</w:t>
            </w:r>
          </w:p>
        </w:tc>
        <w:tc>
          <w:tcPr>
            <w:tcW w:w="1572" w:type="pct"/>
            <w:shd w:val="clear" w:color="auto" w:fill="auto"/>
            <w:vAlign w:val="center"/>
          </w:tcPr>
          <w:p>
            <w:pPr>
              <w:jc w:val="right"/>
              <w:rPr>
                <w:szCs w:val="21"/>
              </w:rPr>
            </w:pPr>
          </w:p>
        </w:tc>
      </w:tr>
      <w:tr>
        <w:tc>
          <w:tcPr>
            <w:tcW w:w="1816" w:type="pct"/>
            <w:shd w:val="clear" w:color="auto" w:fill="auto"/>
            <w:vAlign w:val="center"/>
          </w:tcPr>
          <w:p>
            <w:pPr>
              <w:spacing w:line="360" w:lineRule="exact"/>
              <w:rPr>
                <w:szCs w:val="21"/>
              </w:rPr>
            </w:pPr>
            <w:r>
              <w:rPr>
                <w:rFonts w:hint="eastAsia"/>
                <w:szCs w:val="21"/>
              </w:rPr>
              <w:t>其他</w:t>
            </w:r>
          </w:p>
        </w:tc>
        <w:tc>
          <w:tcPr>
            <w:tcW w:w="1612" w:type="pct"/>
            <w:shd w:val="clear" w:color="auto" w:fill="auto"/>
          </w:tcPr>
          <w:p>
            <w:pPr>
              <w:snapToGrid w:val="0"/>
              <w:jc w:val="right"/>
              <w:rPr>
                <w:szCs w:val="21"/>
              </w:rPr>
            </w:pPr>
            <w:r>
              <w:rPr>
                <w:szCs w:val="21"/>
              </w:rPr>
              <w:t>8,405</w:t>
            </w:r>
          </w:p>
        </w:tc>
        <w:tc>
          <w:tcPr>
            <w:tcW w:w="1572" w:type="pct"/>
            <w:shd w:val="clear" w:color="auto" w:fill="auto"/>
          </w:tcPr>
          <w:p>
            <w:pPr>
              <w:snapToGrid w:val="0"/>
              <w:jc w:val="right"/>
              <w:rPr>
                <w:szCs w:val="21"/>
              </w:rPr>
            </w:pPr>
            <w:r>
              <w:rPr>
                <w:szCs w:val="21"/>
              </w:rPr>
              <w:t>83</w:t>
            </w:r>
          </w:p>
        </w:tc>
      </w:tr>
      <w:tr>
        <w:tc>
          <w:tcPr>
            <w:tcW w:w="1816" w:type="pct"/>
            <w:shd w:val="clear" w:color="auto" w:fill="auto"/>
            <w:vAlign w:val="center"/>
          </w:tcPr>
          <w:p>
            <w:pPr>
              <w:snapToGrid w:val="0"/>
              <w:ind w:leftChars="-51" w:left="-107"/>
              <w:jc w:val="center"/>
              <w:rPr>
                <w:szCs w:val="21"/>
              </w:rPr>
            </w:pPr>
            <w:r>
              <w:rPr>
                <w:rFonts w:hint="eastAsia"/>
                <w:szCs w:val="21"/>
              </w:rPr>
              <w:t>合计</w:t>
            </w:r>
          </w:p>
        </w:tc>
        <w:tc>
          <w:tcPr>
            <w:tcW w:w="1612" w:type="pct"/>
            <w:shd w:val="clear" w:color="auto" w:fill="auto"/>
          </w:tcPr>
          <w:p>
            <w:pPr>
              <w:snapToGrid w:val="0"/>
              <w:jc w:val="right"/>
              <w:rPr>
                <w:szCs w:val="21"/>
              </w:rPr>
            </w:pPr>
            <w:r>
              <w:rPr>
                <w:szCs w:val="21"/>
              </w:rPr>
              <w:t>25,099,689</w:t>
            </w:r>
          </w:p>
        </w:tc>
        <w:tc>
          <w:tcPr>
            <w:tcW w:w="1572" w:type="pct"/>
            <w:shd w:val="clear" w:color="auto" w:fill="auto"/>
          </w:tcPr>
          <w:p>
            <w:pPr>
              <w:snapToGrid w:val="0"/>
              <w:jc w:val="right"/>
              <w:rPr>
                <w:szCs w:val="21"/>
              </w:rPr>
            </w:pPr>
            <w:r>
              <w:rPr>
                <w:szCs w:val="21"/>
              </w:rPr>
              <w:t>26,747,002</w:t>
            </w:r>
          </w:p>
        </w:tc>
      </w:tr>
    </w:tbl>
    <w:bookmarkEnd w:id="396"/>
    <w:p>
      <w:pPr>
        <w:pStyle w:val="affffffffffffffffffffffffffffffffe"/>
      </w:pPr>
      <w:r>
        <w:rPr>
          <w:rFonts w:hint="eastAsia"/>
        </w:rPr>
        <w:t>其他说明：</w:t>
      </w:r>
    </w:p>
    <w:sdt>
      <w:sdtPr>
        <w:rPr>
          <w:rFonts w:hint="eastAsia"/>
        </w:rPr>
        <w:alias w:val="其他流动资产说明"/>
        <w:tag w:val="_GBC_6b66243025624716a85c25ca534f7d52"/>
        <w:id w:val="-1154224803"/>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0"/>
        <w:numPr>
          <w:ilvl w:val="0"/>
          <w:numId w:val="103"/>
        </w:numPr>
        <w:tabs>
          <w:tab w:val="left" w:pos="504"/>
        </w:tabs>
      </w:pPr>
      <w:bookmarkStart w:id="397" w:name="_Hlk533409588"/>
      <w:bookmarkEnd w:id="395"/>
      <w:r>
        <w:rPr>
          <w:rFonts w:hint="eastAsia"/>
        </w:rPr>
        <w:t>债权投资</w:t>
      </w:r>
    </w:p>
    <w:p>
      <w:pPr>
        <w:pStyle w:val="afffffffffffffffffffffffffffffffff1"/>
        <w:numPr>
          <w:ilvl w:val="3"/>
          <w:numId w:val="167"/>
        </w:numPr>
        <w:ind w:left="426" w:hanging="426"/>
      </w:pPr>
      <w:bookmarkStart w:id="398" w:name="_Hlk532993723"/>
      <w:r>
        <w:rPr>
          <w:rFonts w:hint="eastAsia"/>
        </w:rPr>
        <w:t>债权投资情况</w:t>
      </w:r>
    </w:p>
    <w:sdt>
      <w:sdtPr>
        <w:alias w:val="是否适用：以摊余成本计量的长期债权投资[双击切换]"/>
        <w:tag w:val="_GBC_dbc7f90615cc46578228904cb4aa1cff"/>
        <w:id w:val="171948056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以摊余成本计量的长期债权投资"/>
          <w:tag w:val="_GBC_e4b2af44ab544925b7940c81ec4f76a8"/>
          <w:id w:val="507490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以摊余成本计量的长期债权投资"/>
          <w:tag w:val="_GBC_844b3b4285304877a6269088d25bb6e0"/>
          <w:id w:val="-3044684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745"/>
        <w:gridCol w:w="1249"/>
        <w:gridCol w:w="1121"/>
        <w:gridCol w:w="1170"/>
        <w:gridCol w:w="1237"/>
        <w:gridCol w:w="1145"/>
        <w:gridCol w:w="1156"/>
      </w:tblGrid>
      <w:tr>
        <w:trPr>
          <w:cantSplit/>
        </w:trPr>
        <w:sdt>
          <w:sdtPr>
            <w:tag w:val="_PLD_641e2acdea5b465389b0cf9a9a5b09ad"/>
            <w:id w:val="-1067877335"/>
          </w:sdtPr>
          <w:sdtContent>
            <w:tc>
              <w:tcPr>
                <w:tcW w:w="989" w:type="pct"/>
                <w:vMerge w:val="restart"/>
                <w:shd w:val="clear" w:color="auto" w:fill="auto"/>
                <w:vAlign w:val="center"/>
              </w:tcPr>
              <w:p>
                <w:pPr>
                  <w:jc w:val="center"/>
                  <w:rPr>
                    <w:szCs w:val="21"/>
                  </w:rPr>
                </w:pPr>
                <w:r>
                  <w:rPr>
                    <w:rFonts w:hint="eastAsia"/>
                    <w:szCs w:val="21"/>
                  </w:rPr>
                  <w:t>项目</w:t>
                </w:r>
              </w:p>
            </w:tc>
          </w:sdtContent>
        </w:sdt>
        <w:sdt>
          <w:sdtPr>
            <w:tag w:val="_PLD_bb05d19aa0fc43b595aeb3a6f7a5144e"/>
            <w:id w:val="-1819419779"/>
          </w:sdtPr>
          <w:sdtContent>
            <w:tc>
              <w:tcPr>
                <w:tcW w:w="2006" w:type="pct"/>
                <w:gridSpan w:val="3"/>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4e466b4eeec4c2380fbadf96ea47833"/>
            <w:id w:val="-1359580199"/>
          </w:sdtPr>
          <w:sdtContent>
            <w:tc>
              <w:tcPr>
                <w:tcW w:w="2005" w:type="pct"/>
                <w:gridSpan w:val="3"/>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Pr>
        <w:tc>
          <w:tcPr>
            <w:tcW w:w="989" w:type="pct"/>
            <w:vMerge/>
            <w:shd w:val="clear" w:color="auto" w:fill="auto"/>
            <w:vAlign w:val="center"/>
          </w:tcPr>
          <w:p>
            <w:pPr>
              <w:jc w:val="center"/>
              <w:rPr>
                <w:szCs w:val="21"/>
              </w:rPr>
            </w:pPr>
          </w:p>
        </w:tc>
        <w:sdt>
          <w:sdtPr>
            <w:tag w:val="_PLD_2f38b39e23df473e8d5fb07365f7092f"/>
            <w:id w:val="-1465501760"/>
          </w:sdtPr>
          <w:sdtContent>
            <w:tc>
              <w:tcPr>
                <w:tcW w:w="708" w:type="pct"/>
                <w:shd w:val="clear" w:color="auto" w:fill="auto"/>
                <w:vAlign w:val="center"/>
              </w:tcPr>
              <w:p>
                <w:pPr>
                  <w:jc w:val="center"/>
                  <w:rPr>
                    <w:szCs w:val="21"/>
                  </w:rPr>
                </w:pPr>
                <w:r>
                  <w:rPr>
                    <w:rFonts w:hint="eastAsia"/>
                    <w:szCs w:val="21"/>
                  </w:rPr>
                  <w:t>账面余额</w:t>
                </w:r>
              </w:p>
            </w:tc>
          </w:sdtContent>
        </w:sdt>
        <w:sdt>
          <w:sdtPr>
            <w:tag w:val="_PLD_700afc848f304a6bb239d4ba71b88363"/>
            <w:id w:val="165679304"/>
          </w:sdtPr>
          <w:sdtContent>
            <w:tc>
              <w:tcPr>
                <w:tcW w:w="635" w:type="pct"/>
                <w:shd w:val="clear" w:color="auto" w:fill="auto"/>
                <w:vAlign w:val="center"/>
              </w:tcPr>
              <w:p>
                <w:pPr>
                  <w:jc w:val="center"/>
                  <w:rPr>
                    <w:szCs w:val="21"/>
                  </w:rPr>
                </w:pPr>
                <w:r>
                  <w:rPr>
                    <w:rFonts w:hint="eastAsia"/>
                    <w:szCs w:val="21"/>
                  </w:rPr>
                  <w:t>减值准备</w:t>
                </w:r>
              </w:p>
            </w:tc>
          </w:sdtContent>
        </w:sdt>
        <w:sdt>
          <w:sdtPr>
            <w:tag w:val="_PLD_fa422c3c2cf34a3aad6f54a2ec1b1238"/>
            <w:id w:val="419916469"/>
          </w:sdtPr>
          <w:sdtContent>
            <w:tc>
              <w:tcPr>
                <w:tcW w:w="663" w:type="pct"/>
                <w:shd w:val="clear" w:color="auto" w:fill="auto"/>
                <w:vAlign w:val="center"/>
              </w:tcPr>
              <w:p>
                <w:pPr>
                  <w:jc w:val="center"/>
                  <w:rPr>
                    <w:szCs w:val="21"/>
                  </w:rPr>
                </w:pPr>
                <w:r>
                  <w:rPr>
                    <w:rFonts w:hint="eastAsia"/>
                    <w:szCs w:val="21"/>
                  </w:rPr>
                  <w:t>账面价值</w:t>
                </w:r>
              </w:p>
            </w:tc>
          </w:sdtContent>
        </w:sdt>
        <w:sdt>
          <w:sdtPr>
            <w:tag w:val="_PLD_34965d3b66af46c680bb205960c1f786"/>
            <w:id w:val="-158937419"/>
          </w:sdtPr>
          <w:sdtContent>
            <w:tc>
              <w:tcPr>
                <w:tcW w:w="701" w:type="pct"/>
                <w:shd w:val="clear" w:color="auto" w:fill="auto"/>
                <w:vAlign w:val="center"/>
              </w:tcPr>
              <w:p>
                <w:pPr>
                  <w:jc w:val="center"/>
                  <w:rPr>
                    <w:szCs w:val="21"/>
                  </w:rPr>
                </w:pPr>
                <w:r>
                  <w:rPr>
                    <w:rFonts w:hint="eastAsia"/>
                    <w:szCs w:val="21"/>
                  </w:rPr>
                  <w:t>账面余额</w:t>
                </w:r>
              </w:p>
            </w:tc>
          </w:sdtContent>
        </w:sdt>
        <w:sdt>
          <w:sdtPr>
            <w:tag w:val="_PLD_8cc6f9efceac4df3b7df82f8e339722a"/>
            <w:id w:val="1366561414"/>
          </w:sdtPr>
          <w:sdtContent>
            <w:tc>
              <w:tcPr>
                <w:tcW w:w="649" w:type="pct"/>
                <w:shd w:val="clear" w:color="auto" w:fill="auto"/>
                <w:vAlign w:val="center"/>
              </w:tcPr>
              <w:p>
                <w:pPr>
                  <w:jc w:val="center"/>
                  <w:rPr>
                    <w:szCs w:val="21"/>
                  </w:rPr>
                </w:pPr>
                <w:r>
                  <w:rPr>
                    <w:rFonts w:hint="eastAsia"/>
                    <w:szCs w:val="21"/>
                  </w:rPr>
                  <w:t>减值准备</w:t>
                </w:r>
              </w:p>
            </w:tc>
          </w:sdtContent>
        </w:sdt>
        <w:sdt>
          <w:sdtPr>
            <w:tag w:val="_PLD_23d43e3c982642b198da573116b4069d"/>
            <w:id w:val="-452779625"/>
          </w:sdtPr>
          <w:sdtContent>
            <w:tc>
              <w:tcPr>
                <w:tcW w:w="655" w:type="pct"/>
                <w:shd w:val="clear" w:color="auto" w:fill="auto"/>
                <w:vAlign w:val="center"/>
              </w:tcPr>
              <w:p>
                <w:pPr>
                  <w:jc w:val="center"/>
                  <w:rPr>
                    <w:szCs w:val="21"/>
                  </w:rPr>
                </w:pPr>
                <w:r>
                  <w:rPr>
                    <w:rFonts w:hint="eastAsia"/>
                    <w:szCs w:val="21"/>
                  </w:rPr>
                  <w:t>账面价值</w:t>
                </w:r>
              </w:p>
            </w:tc>
          </w:sdtContent>
        </w:sdt>
      </w:tr>
      <w:tr>
        <w:trPr>
          <w:cantSplit/>
        </w:trPr>
        <w:tc>
          <w:tcPr>
            <w:tcW w:w="989" w:type="pct"/>
            <w:shd w:val="clear" w:color="auto" w:fill="auto"/>
            <w:vAlign w:val="center"/>
          </w:tcPr>
          <w:p>
            <w:pPr>
              <w:rPr>
                <w:szCs w:val="21"/>
              </w:rPr>
            </w:pPr>
            <w:r>
              <w:rPr>
                <w:rFonts w:hint="eastAsia"/>
                <w:szCs w:val="21"/>
              </w:rPr>
              <w:t>委托贷款</w:t>
            </w:r>
          </w:p>
        </w:tc>
        <w:tc>
          <w:tcPr>
            <w:tcW w:w="708" w:type="pct"/>
            <w:shd w:val="clear" w:color="auto" w:fill="auto"/>
            <w:vAlign w:val="center"/>
          </w:tcPr>
          <w:p>
            <w:pPr>
              <w:pStyle w:val="affffffffffffffffffffffffffffffffe"/>
              <w:jc w:val="right"/>
            </w:pPr>
            <w:r>
              <w:t>190,000</w:t>
            </w:r>
          </w:p>
        </w:tc>
        <w:tc>
          <w:tcPr>
            <w:tcW w:w="635" w:type="pct"/>
            <w:shd w:val="clear" w:color="auto" w:fill="auto"/>
            <w:vAlign w:val="center"/>
          </w:tcPr>
          <w:p>
            <w:pPr>
              <w:pStyle w:val="affffffffffffffffffffffffffffffffe"/>
              <w:jc w:val="right"/>
            </w:pPr>
            <w:r>
              <w:t>190,000</w:t>
            </w:r>
          </w:p>
        </w:tc>
        <w:tc>
          <w:tcPr>
            <w:tcW w:w="663" w:type="pct"/>
            <w:shd w:val="clear" w:color="auto" w:fill="auto"/>
            <w:vAlign w:val="center"/>
          </w:tcPr>
          <w:p>
            <w:pPr>
              <w:pStyle w:val="affffffffffffffffffffffffffffffffe"/>
              <w:jc w:val="right"/>
            </w:pPr>
          </w:p>
        </w:tc>
        <w:tc>
          <w:tcPr>
            <w:tcW w:w="701" w:type="pct"/>
            <w:shd w:val="clear" w:color="auto" w:fill="auto"/>
            <w:vAlign w:val="center"/>
          </w:tcPr>
          <w:p>
            <w:pPr>
              <w:jc w:val="right"/>
              <w:rPr>
                <w:sz w:val="24"/>
              </w:rPr>
            </w:pPr>
            <w:r>
              <w:t>190,000</w:t>
            </w:r>
          </w:p>
        </w:tc>
        <w:tc>
          <w:tcPr>
            <w:tcW w:w="649" w:type="pct"/>
            <w:shd w:val="clear" w:color="auto" w:fill="auto"/>
            <w:vAlign w:val="center"/>
          </w:tcPr>
          <w:p>
            <w:pPr>
              <w:pStyle w:val="affffffffffffffffffffffffffffffffe"/>
              <w:jc w:val="right"/>
            </w:pPr>
            <w:r>
              <w:t>190,000</w:t>
            </w:r>
          </w:p>
        </w:tc>
        <w:tc>
          <w:tcPr>
            <w:tcW w:w="655" w:type="pct"/>
            <w:shd w:val="clear" w:color="auto" w:fill="auto"/>
            <w:vAlign w:val="center"/>
          </w:tcPr>
          <w:p>
            <w:pPr>
              <w:jc w:val="right"/>
              <w:rPr>
                <w:szCs w:val="21"/>
              </w:rPr>
            </w:pPr>
          </w:p>
        </w:tc>
      </w:tr>
      <w:tr>
        <w:trPr>
          <w:cantSplit/>
        </w:trPr>
        <w:tc>
          <w:tcPr>
            <w:tcW w:w="989" w:type="pct"/>
            <w:shd w:val="clear" w:color="auto" w:fill="auto"/>
            <w:vAlign w:val="center"/>
          </w:tcPr>
          <w:p>
            <w:pPr>
              <w:rPr>
                <w:szCs w:val="21"/>
              </w:rPr>
            </w:pPr>
            <w:r>
              <w:rPr>
                <w:rFonts w:hint="eastAsia"/>
                <w:szCs w:val="21"/>
              </w:rPr>
              <w:t>格拉斯通债券</w:t>
            </w:r>
          </w:p>
        </w:tc>
        <w:tc>
          <w:tcPr>
            <w:tcW w:w="708" w:type="pct"/>
            <w:shd w:val="clear" w:color="auto" w:fill="auto"/>
            <w:vAlign w:val="center"/>
          </w:tcPr>
          <w:p>
            <w:pPr>
              <w:pStyle w:val="affffffffffffffffffffffffffffffffe"/>
              <w:jc w:val="right"/>
            </w:pPr>
            <w:r>
              <w:t>141,970</w:t>
            </w:r>
          </w:p>
        </w:tc>
        <w:tc>
          <w:tcPr>
            <w:tcW w:w="635" w:type="pct"/>
            <w:shd w:val="clear" w:color="auto" w:fill="auto"/>
            <w:vAlign w:val="center"/>
          </w:tcPr>
          <w:p>
            <w:pPr>
              <w:pStyle w:val="affffffffffffffffffffffffffffffffe"/>
              <w:jc w:val="right"/>
            </w:pPr>
            <w:r>
              <w:t>77,971</w:t>
            </w:r>
          </w:p>
        </w:tc>
        <w:tc>
          <w:tcPr>
            <w:tcW w:w="663" w:type="pct"/>
            <w:shd w:val="clear" w:color="auto" w:fill="auto"/>
            <w:vAlign w:val="center"/>
          </w:tcPr>
          <w:p>
            <w:pPr>
              <w:pStyle w:val="affffffffffffffffffffffffffffffffe"/>
              <w:jc w:val="right"/>
            </w:pPr>
            <w:r>
              <w:t>63,999</w:t>
            </w:r>
          </w:p>
        </w:tc>
        <w:tc>
          <w:tcPr>
            <w:tcW w:w="701" w:type="pct"/>
            <w:shd w:val="clear" w:color="auto" w:fill="auto"/>
            <w:vAlign w:val="center"/>
          </w:tcPr>
          <w:p>
            <w:pPr>
              <w:pStyle w:val="affffffffffffffffffffffffffffffffe"/>
              <w:jc w:val="right"/>
            </w:pPr>
            <w:r>
              <w:t>152,724</w:t>
            </w:r>
          </w:p>
        </w:tc>
        <w:tc>
          <w:tcPr>
            <w:tcW w:w="649" w:type="pct"/>
            <w:shd w:val="clear" w:color="auto" w:fill="auto"/>
            <w:vAlign w:val="center"/>
          </w:tcPr>
          <w:p>
            <w:pPr>
              <w:pStyle w:val="affffffffffffffffffffffffffffffffe"/>
              <w:jc w:val="right"/>
            </w:pPr>
            <w:r>
              <w:t>83,877</w:t>
            </w:r>
          </w:p>
        </w:tc>
        <w:tc>
          <w:tcPr>
            <w:tcW w:w="655" w:type="pct"/>
            <w:shd w:val="clear" w:color="auto" w:fill="auto"/>
            <w:vAlign w:val="center"/>
          </w:tcPr>
          <w:p>
            <w:pPr>
              <w:pStyle w:val="affffffffffffffffffffffffffffffffe"/>
              <w:jc w:val="right"/>
            </w:pPr>
            <w:r>
              <w:t>68,847</w:t>
            </w:r>
          </w:p>
        </w:tc>
      </w:tr>
      <w:tr>
        <w:trPr>
          <w:cantSplit/>
        </w:trPr>
        <w:tc>
          <w:tcPr>
            <w:tcW w:w="989" w:type="pct"/>
            <w:shd w:val="clear" w:color="auto" w:fill="auto"/>
            <w:vAlign w:val="center"/>
          </w:tcPr>
          <w:p>
            <w:pPr>
              <w:jc w:val="center"/>
              <w:rPr>
                <w:szCs w:val="21"/>
              </w:rPr>
            </w:pPr>
            <w:r>
              <w:rPr>
                <w:rFonts w:hint="eastAsia"/>
                <w:szCs w:val="21"/>
              </w:rPr>
              <w:t>合计</w:t>
            </w:r>
          </w:p>
        </w:tc>
        <w:tc>
          <w:tcPr>
            <w:tcW w:w="708" w:type="pct"/>
            <w:shd w:val="clear" w:color="auto" w:fill="auto"/>
            <w:vAlign w:val="center"/>
          </w:tcPr>
          <w:p>
            <w:pPr>
              <w:pStyle w:val="affffffffffffffffffffffffffffffffe"/>
              <w:jc w:val="right"/>
            </w:pPr>
            <w:r>
              <w:t>331,970</w:t>
            </w:r>
          </w:p>
        </w:tc>
        <w:tc>
          <w:tcPr>
            <w:tcW w:w="635" w:type="pct"/>
            <w:shd w:val="clear" w:color="auto" w:fill="auto"/>
            <w:vAlign w:val="center"/>
          </w:tcPr>
          <w:p>
            <w:pPr>
              <w:pStyle w:val="affffffffffffffffffffffffffffffffe"/>
              <w:jc w:val="right"/>
            </w:pPr>
            <w:r>
              <w:t>267,971</w:t>
            </w:r>
          </w:p>
        </w:tc>
        <w:tc>
          <w:tcPr>
            <w:tcW w:w="663" w:type="pct"/>
            <w:shd w:val="clear" w:color="auto" w:fill="auto"/>
            <w:vAlign w:val="center"/>
          </w:tcPr>
          <w:p>
            <w:pPr>
              <w:pStyle w:val="affffffffffffffffffffffffffffffffe"/>
              <w:jc w:val="right"/>
            </w:pPr>
            <w:r>
              <w:t>63,999</w:t>
            </w:r>
          </w:p>
        </w:tc>
        <w:tc>
          <w:tcPr>
            <w:tcW w:w="701" w:type="pct"/>
            <w:shd w:val="clear" w:color="auto" w:fill="auto"/>
            <w:vAlign w:val="center"/>
          </w:tcPr>
          <w:p>
            <w:pPr>
              <w:pStyle w:val="affffffffffffffffffffffffffffffffe"/>
              <w:jc w:val="right"/>
            </w:pPr>
            <w:r>
              <w:t>342,724</w:t>
            </w:r>
          </w:p>
        </w:tc>
        <w:tc>
          <w:tcPr>
            <w:tcW w:w="649" w:type="pct"/>
            <w:shd w:val="clear" w:color="auto" w:fill="auto"/>
            <w:vAlign w:val="center"/>
          </w:tcPr>
          <w:p>
            <w:pPr>
              <w:pStyle w:val="affffffffffffffffffffffffffffffffe"/>
              <w:jc w:val="right"/>
            </w:pPr>
            <w:r>
              <w:t>273,877</w:t>
            </w:r>
          </w:p>
        </w:tc>
        <w:tc>
          <w:tcPr>
            <w:tcW w:w="655" w:type="pct"/>
            <w:shd w:val="clear" w:color="auto" w:fill="auto"/>
            <w:vAlign w:val="center"/>
          </w:tcPr>
          <w:p>
            <w:pPr>
              <w:pStyle w:val="affffffffffffffffffffffffffffffffe"/>
              <w:jc w:val="right"/>
            </w:pPr>
            <w:r>
              <w:t>68,847</w:t>
            </w:r>
          </w:p>
        </w:tc>
      </w:tr>
    </w:tbl>
    <w:p>
      <w:pPr>
        <w:rPr>
          <w:szCs w:val="21"/>
        </w:rPr>
      </w:pPr>
    </w:p>
    <w:p>
      <w:pPr>
        <w:rPr>
          <w:szCs w:val="21"/>
        </w:rPr>
      </w:pPr>
      <w:bookmarkStart w:id="399" w:name="_Hlk153455457"/>
      <w:r>
        <w:rPr>
          <w:rFonts w:hint="eastAsia"/>
          <w:szCs w:val="21"/>
        </w:rPr>
        <w:t>债权投资减值准备本期变动情况</w:t>
      </w:r>
    </w:p>
    <w:sdt>
      <w:sdtPr>
        <w:alias w:val="是否适用：减值准备本期变动情况[双击切换]"/>
        <w:tag w:val="_GBC_87c0bbb5863948af834604c8aeaf814f"/>
        <w:id w:val="-41532128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1"/>
        <w:numPr>
          <w:ilvl w:val="3"/>
          <w:numId w:val="167"/>
        </w:numPr>
        <w:ind w:left="426" w:hanging="426"/>
      </w:pPr>
      <w:bookmarkStart w:id="400" w:name="_Hlk532994191"/>
      <w:bookmarkEnd w:id="399"/>
      <w:r>
        <w:rPr>
          <w:rFonts w:hint="eastAsia"/>
        </w:rPr>
        <w:t>期末重要的债权投资</w:t>
      </w:r>
    </w:p>
    <w:sdt>
      <w:sdtPr>
        <w:alias w:val="是否适用：重要的债权投资[双击切换]"/>
        <w:tag w:val="_GBC_ca6db275ff8944c2900ec34693d6ebf6"/>
        <w:id w:val="83697138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1"/>
        <w:numPr>
          <w:ilvl w:val="3"/>
          <w:numId w:val="167"/>
        </w:numPr>
        <w:ind w:left="426" w:hanging="426"/>
      </w:pPr>
      <w:bookmarkStart w:id="401" w:name="_Hlk533872317"/>
      <w:bookmarkEnd w:id="397"/>
      <w:bookmarkEnd w:id="398"/>
      <w:bookmarkEnd w:id="400"/>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80335592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各阶段划分依据和减值准备计提比例：</w:t>
      </w:r>
    </w:p>
    <w:sdt>
      <w:sdtPr>
        <w:alias w:val="债权投资各阶段划分依据和减值准备计提比例"/>
        <w:tag w:val="_GBC_60f5cb3d88a34c9d9e0fb015def585fa"/>
        <w:id w:val="1382283816"/>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fff"/>
      </w:pPr>
      <w:r>
        <w:rPr>
          <w:rFonts w:hint="eastAsia"/>
        </w:rPr>
        <w:t>对本期发生损失准备变动的债权投资账面余额显著变动的情况说明：</w:t>
      </w:r>
    </w:p>
    <w:sdt>
      <w:sdtPr>
        <w:rPr>
          <w:szCs w:val="21"/>
        </w:rPr>
        <w:alias w:val="是否适用：债权投资本期发生损失准备变动且账面余额显著变动的情况说明[双击切换]"/>
        <w:tag w:val="_GBC_5f05e251eb914f049048988a9e9168df"/>
        <w:id w:val="902572821"/>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Chars="50" w:right="105"/>
        <w:rPr>
          <w:szCs w:val="21"/>
        </w:rPr>
      </w:pPr>
    </w:p>
    <w:bookmarkEnd w:id="401"/>
    <w:p>
      <w:pPr>
        <w:pStyle w:val="affffffffffffffffffffffffffffffffffff"/>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255875863"/>
        <w:placeholder>
          <w:docPart w:val="GBC22222222222222222222222222222"/>
        </w:placeholder>
      </w:sdtPr>
      <w:sdtContent>
        <w:p>
          <w:pPr>
            <w:pStyle w:val="affffffffffffffffffffffffffffffffe"/>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3"/>
          <w:numId w:val="167"/>
        </w:numPr>
        <w:ind w:left="426" w:hanging="426"/>
        <w:rPr>
          <w:rFonts w:ascii="宋体" w:eastAsia="宋体" w:hAnsi="宋体" w:cs="宋体"/>
          <w:kern w:val="0"/>
          <w:szCs w:val="24"/>
        </w:rPr>
      </w:pPr>
      <w:bookmarkStart w:id="402" w:name="_Hlk153455555"/>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sdt>
      <w:sdtPr>
        <w:alias w:val="是否适用：实际核销的情况[双击切换]"/>
        <w:tag w:val="_GBC_fc91e5e5672d4b4eb2e0779a0867e84c"/>
        <w:id w:val="-49680044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w:t>
      </w:r>
      <w:r>
        <w:rPr>
          <w:rFonts w:hint="eastAsia"/>
        </w:rPr>
        <w:t>债权投资</w:t>
      </w:r>
      <w:r>
        <w:t>情况</w:t>
      </w:r>
      <w:r>
        <w:rPr>
          <w:rFonts w:hint="eastAsia"/>
          <w:szCs w:val="21"/>
        </w:rPr>
        <w:t>核销情况</w:t>
      </w:r>
    </w:p>
    <w:sdt>
      <w:sdtPr>
        <w:rPr>
          <w:rFonts w:hint="eastAsia"/>
          <w:szCs w:val="21"/>
        </w:rPr>
        <w:alias w:val="是否适用：重要的核销情况[双击切换]"/>
        <w:tag w:val="_GBC_b1835377ab8f4324a0ddc492f3da304c"/>
        <w:id w:val="101603600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rPr>
        <w:t>债权投资的</w:t>
      </w:r>
      <w:r>
        <w:rPr>
          <w:rFonts w:hint="eastAsia"/>
          <w:szCs w:val="21"/>
        </w:rPr>
        <w:t>核销说明：</w:t>
      </w:r>
    </w:p>
    <w:sdt>
      <w:sdtPr>
        <w:rPr>
          <w:szCs w:val="21"/>
        </w:rPr>
        <w:alias w:val="是否适用：核销说明[双击切换]"/>
        <w:tag w:val="_GBC_f135d5c946cc473182fa418ce9c408ae"/>
        <w:id w:val="-2000337415"/>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402"/>
    <w:p>
      <w:pPr>
        <w:rPr>
          <w:szCs w:val="21"/>
        </w:rPr>
      </w:pPr>
      <w:r>
        <w:rPr>
          <w:rFonts w:hint="eastAsia"/>
          <w:szCs w:val="21"/>
        </w:rPr>
        <w:t>其他说明：</w:t>
      </w:r>
    </w:p>
    <w:sdt>
      <w:sdtPr>
        <w:alias w:val="是否适用：债权投资其他说明[双击切换]"/>
        <w:tag w:val="_GBC_17cf4c675aec4f36816c24c079df205c"/>
        <w:id w:val="-1230296741"/>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p>
      <w:pPr>
        <w:pStyle w:val="afffffffffffffffffffffffffffffffff0"/>
        <w:numPr>
          <w:ilvl w:val="0"/>
          <w:numId w:val="103"/>
        </w:numPr>
        <w:tabs>
          <w:tab w:val="left" w:pos="504"/>
        </w:tabs>
      </w:pPr>
      <w:r>
        <w:rPr>
          <w:rFonts w:hint="eastAsia"/>
        </w:rPr>
        <w:t>其他债权投资</w:t>
      </w:r>
    </w:p>
    <w:p>
      <w:pPr>
        <w:pStyle w:val="afffffffffffffffffffffffffffffffff1"/>
        <w:numPr>
          <w:ilvl w:val="3"/>
          <w:numId w:val="168"/>
        </w:numPr>
        <w:ind w:left="426" w:hanging="426"/>
      </w:pPr>
      <w:r>
        <w:rPr>
          <w:rFonts w:hint="eastAsia"/>
        </w:rPr>
        <w:t>其他债权投资情况</w:t>
      </w:r>
    </w:p>
    <w:sdt>
      <w:sdtPr>
        <w:alias w:val="是否适用：其他债权投资情况[双击切换]"/>
        <w:tag w:val="_GBC_23599130a9db43be881f1fb4a46d3b7e"/>
        <w:id w:val="-777336978"/>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p>
      <w:pPr>
        <w:rPr>
          <w:szCs w:val="21"/>
        </w:rPr>
      </w:pPr>
      <w:bookmarkStart w:id="403" w:name="_Hlk153455695"/>
      <w:r>
        <w:rPr>
          <w:rFonts w:hint="eastAsia"/>
          <w:szCs w:val="21"/>
        </w:rPr>
        <w:t>其他债权投资减值准备本期变动情况</w:t>
      </w:r>
    </w:p>
    <w:sdt>
      <w:sdtPr>
        <w:alias w:val="是否适用：减值准备本期变动情况[双击切换]"/>
        <w:tag w:val="_GBC_3e5ec98f577f4409b379fbfcb3b1cc79"/>
        <w:id w:val="861863629"/>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03"/>
    <w:p>
      <w:pPr>
        <w:rPr>
          <w:szCs w:val="21"/>
        </w:rPr>
      </w:pPr>
    </w:p>
    <w:p>
      <w:pPr>
        <w:pStyle w:val="afffffffffffffffffffffffffffffffff1"/>
        <w:numPr>
          <w:ilvl w:val="3"/>
          <w:numId w:val="168"/>
        </w:numPr>
        <w:ind w:left="426" w:hanging="426"/>
      </w:pPr>
      <w:bookmarkStart w:id="404" w:name="_Hlk533848078"/>
      <w:r>
        <w:rPr>
          <w:rFonts w:hint="eastAsia"/>
        </w:rPr>
        <w:t>期末重要的其他债权投资</w:t>
      </w:r>
    </w:p>
    <w:sdt>
      <w:sdtPr>
        <w:alias w:val="是否适用：重要的其他债权投资[双击切换]"/>
        <w:tag w:val="_GBC_bb82f40f19284b2489199fbaa477b35c"/>
        <w:id w:val="-2139097754"/>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p>
      <w:pPr>
        <w:pStyle w:val="afffffffffffffffffffffffffffffffff1"/>
        <w:numPr>
          <w:ilvl w:val="3"/>
          <w:numId w:val="168"/>
        </w:numPr>
        <w:ind w:left="426" w:hanging="426"/>
      </w:pPr>
      <w:bookmarkStart w:id="405" w:name="_Hlk533872678"/>
      <w:bookmarkEnd w:id="404"/>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130854384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各阶段划分依据和减值准备计提比例：</w:t>
      </w:r>
    </w:p>
    <w:sdt>
      <w:sdtPr>
        <w:rPr>
          <w:rFonts w:hint="eastAsia"/>
        </w:rPr>
        <w:alias w:val="其他债权投资各阶段划分依据和减值准备计提比例"/>
        <w:tag w:val="_GBC_7a6f88a666dd4467adf9d3fa4f8e9354"/>
        <w:id w:val="-964501999"/>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fff"/>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86597709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fff"/>
      </w:pPr>
      <w:bookmarkStart w:id="406" w:name="_Hlk533848073"/>
      <w:bookmarkEnd w:id="405"/>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477536108"/>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p>
      <w:pPr>
        <w:pStyle w:val="afffffffffffffffffffffffffffffffff1"/>
        <w:numPr>
          <w:ilvl w:val="3"/>
          <w:numId w:val="168"/>
        </w:numPr>
        <w:ind w:left="426" w:hanging="426"/>
        <w:rPr>
          <w:rFonts w:ascii="宋体" w:eastAsia="宋体" w:hAnsi="宋体" w:cs="宋体"/>
          <w:kern w:val="0"/>
          <w:szCs w:val="24"/>
        </w:rPr>
      </w:pPr>
      <w:bookmarkStart w:id="407" w:name="_Hlk153456989"/>
      <w:bookmarkEnd w:id="406"/>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sdt>
      <w:sdtPr>
        <w:alias w:val="是否适用：实际核销的情况[双击切换]"/>
        <w:tag w:val="_GBC_7ae85c2d27ec44faaa716fc50cbdc0bf"/>
        <w:id w:val="176780567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其中重要的其他</w:t>
      </w:r>
      <w:r>
        <w:rPr>
          <w:rFonts w:hint="eastAsia"/>
        </w:rPr>
        <w:t>债权投资</w:t>
      </w:r>
      <w:r>
        <w:t>情况</w:t>
      </w:r>
      <w:r>
        <w:rPr>
          <w:rFonts w:hint="eastAsia"/>
          <w:szCs w:val="21"/>
        </w:rPr>
        <w:t>核销情况</w:t>
      </w:r>
    </w:p>
    <w:sdt>
      <w:sdtPr>
        <w:rPr>
          <w:rFonts w:hint="eastAsia"/>
          <w:szCs w:val="21"/>
        </w:rPr>
        <w:alias w:val="是否适用：重要的核销情况[双击切换]"/>
        <w:tag w:val="_GBC_d4c60ae51ff54b7399e4fd6edd2e8504"/>
        <w:id w:val="113953397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rPr>
        <w:t>其他债权投资的</w:t>
      </w:r>
      <w:r>
        <w:rPr>
          <w:rFonts w:hint="eastAsia"/>
          <w:szCs w:val="21"/>
        </w:rPr>
        <w:t>核销说明：</w:t>
      </w:r>
    </w:p>
    <w:sdt>
      <w:sdtPr>
        <w:rPr>
          <w:szCs w:val="21"/>
        </w:rPr>
        <w:alias w:val="是否适用：核销说明[双击切换]"/>
        <w:tag w:val="_GBC_689ae117433c459c8a9722be4d19d604"/>
        <w:id w:val="704065341"/>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e"/>
      </w:pPr>
      <w:bookmarkStart w:id="408" w:name="_Hlk533848097"/>
      <w:bookmarkEnd w:id="407"/>
      <w:r>
        <w:rPr>
          <w:rFonts w:hint="eastAsia"/>
        </w:rPr>
        <w:t>其他说明：</w:t>
      </w:r>
      <w:bookmarkEnd w:id="408"/>
    </w:p>
    <w:sdt>
      <w:sdtPr>
        <w:alias w:val="是否适用：其他债权投资其他说明[双击切换]"/>
        <w:tag w:val="_GBC_ce8084fd599f45febc44624db662adaa"/>
        <w:id w:val="-173252991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0"/>
        <w:numPr>
          <w:ilvl w:val="0"/>
          <w:numId w:val="103"/>
        </w:numPr>
        <w:tabs>
          <w:tab w:val="left" w:pos="504"/>
        </w:tabs>
        <w:rPr>
          <w:rFonts w:ascii="宋体" w:hAnsi="宋体"/>
          <w:szCs w:val="21"/>
        </w:rPr>
      </w:pPr>
      <w:r>
        <w:rPr>
          <w:rFonts w:ascii="宋体" w:hAnsi="宋体" w:hint="eastAsia"/>
          <w:szCs w:val="21"/>
        </w:rPr>
        <w:t>长期应收款</w:t>
      </w:r>
    </w:p>
    <w:p>
      <w:pPr>
        <w:pStyle w:val="afffffffffffffffffffffffffffffffff1"/>
        <w:numPr>
          <w:ilvl w:val="3"/>
          <w:numId w:val="169"/>
        </w:numPr>
        <w:ind w:left="426" w:hanging="426"/>
      </w:pPr>
      <w:r>
        <w:rPr>
          <w:rFonts w:hint="eastAsia"/>
        </w:rPr>
        <w:t>长期应收款情况</w:t>
      </w:r>
    </w:p>
    <w:sdt>
      <w:sdtPr>
        <w:alias w:val="是否适用：长期应收款情况[双击切换]"/>
        <w:tag w:val="_GBC_0c54e576828240c482e58c8a9f7cd173"/>
        <w:id w:val="6485068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应收款"/>
          <w:tag w:val="_GBC_83e90e099c524c00ad00f3262465133a"/>
          <w:id w:val="5092639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长期应收款"/>
          <w:tag w:val="_GBC_1c013f993d584882abdce9005f6d0f21"/>
          <w:id w:val="-851485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463"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1"/>
        <w:gridCol w:w="1007"/>
        <w:gridCol w:w="958"/>
        <w:gridCol w:w="1010"/>
        <w:gridCol w:w="1007"/>
        <w:gridCol w:w="958"/>
        <w:gridCol w:w="1010"/>
        <w:gridCol w:w="1409"/>
      </w:tblGrid>
      <w:tr>
        <w:sdt>
          <w:sdtPr>
            <w:tag w:val="_PLD_1579a5a5db414628bc47ed54fb917eb5"/>
            <w:id w:val="-673805471"/>
          </w:sdtPr>
          <w:sdtContent>
            <w:tc>
              <w:tcPr>
                <w:tcW w:w="1183"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tag w:val="_PLD_9a36ea2203424631bf208c9515121cc2"/>
            <w:id w:val="1658733060"/>
          </w:sdtPr>
          <w:sdtContent>
            <w:tc>
              <w:tcPr>
                <w:tcW w:w="15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期末余额</w:t>
                </w:r>
              </w:p>
            </w:tc>
          </w:sdtContent>
        </w:sdt>
        <w:sdt>
          <w:sdtPr>
            <w:tag w:val="_PLD_03d144ce33e04be682481d2a013c13af"/>
            <w:id w:val="-651527577"/>
          </w:sdtPr>
          <w:sdtContent>
            <w:tc>
              <w:tcPr>
                <w:tcW w:w="154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期初余额</w:t>
                </w:r>
              </w:p>
            </w:tc>
          </w:sdtContent>
        </w:sdt>
        <w:sdt>
          <w:sdtPr>
            <w:tag w:val="_PLD_19a494fc04ce4efba377e98e304b04d0"/>
            <w:id w:val="518582642"/>
          </w:sdtPr>
          <w:sdtContent>
            <w:tc>
              <w:tcPr>
                <w:tcW w:w="732"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折现率区间</w:t>
                </w:r>
              </w:p>
            </w:tc>
          </w:sdtContent>
        </w:sdt>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vMerge/>
            <w:tcBorders>
              <w:left w:val="single" w:sz="4" w:space="0" w:color="auto"/>
              <w:bottom w:val="single" w:sz="6" w:space="0" w:color="auto"/>
              <w:right w:val="single" w:sz="4" w:space="0" w:color="auto"/>
            </w:tcBorders>
            <w:shd w:val="clear" w:color="auto" w:fill="auto"/>
            <w:vAlign w:val="center"/>
          </w:tcPr>
          <w:p>
            <w:pPr>
              <w:jc w:val="center"/>
              <w:rPr>
                <w:szCs w:val="21"/>
              </w:rPr>
            </w:pPr>
          </w:p>
        </w:tc>
        <w:sdt>
          <w:sdtPr>
            <w:tag w:val="_PLD_c0fe744fa9744e57b65a03499c0b9370"/>
            <w:id w:val="140308034"/>
          </w:sdtPr>
          <w:sdtContent>
            <w:tc>
              <w:tcPr>
                <w:tcW w:w="522" w:type="pct"/>
                <w:tcBorders>
                  <w:left w:val="single" w:sz="4" w:space="0" w:color="auto"/>
                  <w:bottom w:val="single" w:sz="6" w:space="0" w:color="auto"/>
                </w:tcBorders>
                <w:shd w:val="clear" w:color="auto" w:fill="auto"/>
                <w:vAlign w:val="center"/>
              </w:tcPr>
              <w:p>
                <w:pPr>
                  <w:jc w:val="center"/>
                  <w:rPr>
                    <w:szCs w:val="21"/>
                  </w:rPr>
                </w:pPr>
                <w:r>
                  <w:rPr>
                    <w:rFonts w:hint="eastAsia"/>
                    <w:szCs w:val="21"/>
                  </w:rPr>
                  <w:t>账面余额</w:t>
                </w:r>
              </w:p>
            </w:tc>
          </w:sdtContent>
        </w:sdt>
        <w:sdt>
          <w:sdtPr>
            <w:tag w:val="_PLD_77ffaa95600c4c8d82666d2fa1a55587"/>
            <w:id w:val="-955790220"/>
          </w:sdtPr>
          <w:sdtContent>
            <w:tc>
              <w:tcPr>
                <w:tcW w:w="497" w:type="pct"/>
                <w:tcBorders>
                  <w:bottom w:val="single" w:sz="6" w:space="0" w:color="auto"/>
                </w:tcBorders>
                <w:shd w:val="clear" w:color="auto" w:fill="auto"/>
                <w:vAlign w:val="center"/>
              </w:tcPr>
              <w:p>
                <w:pPr>
                  <w:jc w:val="center"/>
                  <w:rPr>
                    <w:szCs w:val="21"/>
                  </w:rPr>
                </w:pPr>
                <w:r>
                  <w:rPr>
                    <w:rFonts w:hint="eastAsia"/>
                    <w:szCs w:val="21"/>
                  </w:rPr>
                  <w:t>坏账准备</w:t>
                </w:r>
              </w:p>
            </w:tc>
          </w:sdtContent>
        </w:sdt>
        <w:sdt>
          <w:sdtPr>
            <w:tag w:val="_PLD_b4a8209a5fa445268b4557f9b0cea931"/>
            <w:id w:val="-258224222"/>
          </w:sdtPr>
          <w:sdtContent>
            <w:tc>
              <w:tcPr>
                <w:tcW w:w="523" w:type="pct"/>
                <w:tcBorders>
                  <w:bottom w:val="single" w:sz="6" w:space="0" w:color="auto"/>
                </w:tcBorders>
                <w:shd w:val="clear" w:color="auto" w:fill="auto"/>
                <w:vAlign w:val="center"/>
              </w:tcPr>
              <w:p>
                <w:pPr>
                  <w:jc w:val="center"/>
                  <w:rPr>
                    <w:szCs w:val="21"/>
                  </w:rPr>
                </w:pPr>
                <w:r>
                  <w:rPr>
                    <w:rFonts w:hint="eastAsia"/>
                    <w:szCs w:val="21"/>
                  </w:rPr>
                  <w:t>账面价值</w:t>
                </w:r>
              </w:p>
            </w:tc>
          </w:sdtContent>
        </w:sdt>
        <w:sdt>
          <w:sdtPr>
            <w:tag w:val="_PLD_8f25a17bc1634cc893a4d67aa1847b6a"/>
            <w:id w:val="-348412379"/>
          </w:sdtPr>
          <w:sdtContent>
            <w:tc>
              <w:tcPr>
                <w:tcW w:w="522" w:type="pct"/>
                <w:tcBorders>
                  <w:bottom w:val="single" w:sz="6" w:space="0" w:color="auto"/>
                </w:tcBorders>
                <w:shd w:val="clear" w:color="auto" w:fill="auto"/>
                <w:vAlign w:val="center"/>
              </w:tcPr>
              <w:p>
                <w:pPr>
                  <w:jc w:val="center"/>
                  <w:rPr>
                    <w:szCs w:val="21"/>
                  </w:rPr>
                </w:pPr>
                <w:r>
                  <w:rPr>
                    <w:rFonts w:hint="eastAsia"/>
                    <w:szCs w:val="21"/>
                  </w:rPr>
                  <w:t>账面余额</w:t>
                </w:r>
              </w:p>
            </w:tc>
          </w:sdtContent>
        </w:sdt>
        <w:sdt>
          <w:sdtPr>
            <w:tag w:val="_PLD_a654b9f6a8cf4e1797c1b5ccb7073aa0"/>
            <w:id w:val="1003946934"/>
          </w:sdtPr>
          <w:sdtContent>
            <w:tc>
              <w:tcPr>
                <w:tcW w:w="497" w:type="pct"/>
                <w:tcBorders>
                  <w:bottom w:val="single" w:sz="6" w:space="0" w:color="auto"/>
                </w:tcBorders>
                <w:shd w:val="clear" w:color="auto" w:fill="auto"/>
                <w:vAlign w:val="center"/>
              </w:tcPr>
              <w:p>
                <w:pPr>
                  <w:jc w:val="center"/>
                  <w:rPr>
                    <w:szCs w:val="21"/>
                  </w:rPr>
                </w:pPr>
                <w:r>
                  <w:rPr>
                    <w:rFonts w:hint="eastAsia"/>
                    <w:szCs w:val="21"/>
                  </w:rPr>
                  <w:t>坏账准备</w:t>
                </w:r>
              </w:p>
            </w:tc>
          </w:sdtContent>
        </w:sdt>
        <w:sdt>
          <w:sdtPr>
            <w:tag w:val="_PLD_bccad3095dd04c1e9d8e38cc94818670"/>
            <w:id w:val="-1370375549"/>
          </w:sdtPr>
          <w:sdtContent>
            <w:tc>
              <w:tcPr>
                <w:tcW w:w="523" w:type="pct"/>
                <w:tcBorders>
                  <w:bottom w:val="single" w:sz="6" w:space="0" w:color="auto"/>
                  <w:right w:val="single" w:sz="4" w:space="0" w:color="auto"/>
                </w:tcBorders>
                <w:shd w:val="clear" w:color="auto" w:fill="auto"/>
                <w:vAlign w:val="center"/>
              </w:tcPr>
              <w:p>
                <w:pPr>
                  <w:jc w:val="center"/>
                  <w:rPr>
                    <w:szCs w:val="21"/>
                  </w:rPr>
                </w:pPr>
                <w:r>
                  <w:rPr>
                    <w:rFonts w:hint="eastAsia"/>
                    <w:szCs w:val="21"/>
                  </w:rPr>
                  <w:t>账面价值</w:t>
                </w:r>
              </w:p>
            </w:tc>
          </w:sdtContent>
        </w:sdt>
        <w:tc>
          <w:tcPr>
            <w:tcW w:w="732" w:type="pct"/>
            <w:vMerge/>
            <w:tcBorders>
              <w:left w:val="single" w:sz="4" w:space="0" w:color="auto"/>
              <w:bottom w:val="single" w:sz="6" w:space="0" w:color="auto"/>
              <w:right w:val="single" w:sz="4" w:space="0" w:color="auto"/>
            </w:tcBorders>
            <w:shd w:val="clear" w:color="auto" w:fill="auto"/>
          </w:tcPr>
          <w:p>
            <w:pPr>
              <w:jc w:val="center"/>
              <w:rPr>
                <w:szCs w:val="21"/>
              </w:rP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shd w:val="clear" w:color="auto" w:fill="auto"/>
          </w:tcPr>
          <w:p>
            <w:pPr>
              <w:rPr>
                <w:szCs w:val="21"/>
              </w:rPr>
            </w:pPr>
            <w:r>
              <w:rPr>
                <w:rFonts w:hint="eastAsia"/>
                <w:szCs w:val="21"/>
              </w:rPr>
              <w:t>融资租赁款</w:t>
            </w:r>
          </w:p>
        </w:tc>
        <w:tc>
          <w:tcPr>
            <w:tcW w:w="522" w:type="pct"/>
            <w:shd w:val="clear" w:color="auto" w:fill="auto"/>
            <w:vAlign w:val="center"/>
          </w:tcPr>
          <w:p>
            <w:pPr>
              <w:pStyle w:val="affffffffffffffffffffffffffffffffe"/>
              <w:jc w:val="right"/>
            </w:pPr>
            <w:r>
              <w:t>266,184</w:t>
            </w:r>
          </w:p>
        </w:tc>
        <w:tc>
          <w:tcPr>
            <w:tcW w:w="497" w:type="pct"/>
            <w:shd w:val="clear" w:color="auto" w:fill="auto"/>
            <w:vAlign w:val="center"/>
          </w:tcPr>
          <w:p>
            <w:pPr>
              <w:pStyle w:val="affffffffffffffffffffffffffffffffe"/>
              <w:jc w:val="right"/>
            </w:pPr>
            <w:r>
              <w:t>120,457</w:t>
            </w:r>
          </w:p>
        </w:tc>
        <w:tc>
          <w:tcPr>
            <w:tcW w:w="523" w:type="pct"/>
            <w:shd w:val="clear" w:color="auto" w:fill="auto"/>
            <w:vAlign w:val="center"/>
          </w:tcPr>
          <w:p>
            <w:pPr>
              <w:pStyle w:val="affffffffffffffffffffffffffffffffe"/>
              <w:jc w:val="right"/>
            </w:pPr>
            <w:r>
              <w:t>145,727</w:t>
            </w:r>
          </w:p>
        </w:tc>
        <w:tc>
          <w:tcPr>
            <w:tcW w:w="522" w:type="pct"/>
            <w:shd w:val="clear" w:color="auto" w:fill="auto"/>
            <w:vAlign w:val="center"/>
          </w:tcPr>
          <w:p>
            <w:pPr>
              <w:pStyle w:val="affffffffffffffffffffffffffffffffe"/>
              <w:jc w:val="right"/>
            </w:pPr>
            <w:r>
              <w:t>1,711,029</w:t>
            </w:r>
          </w:p>
        </w:tc>
        <w:tc>
          <w:tcPr>
            <w:tcW w:w="497" w:type="pct"/>
            <w:shd w:val="clear" w:color="auto" w:fill="auto"/>
            <w:vAlign w:val="center"/>
          </w:tcPr>
          <w:p>
            <w:pPr>
              <w:pStyle w:val="affffffffffffffffffffffffffffffffe"/>
              <w:jc w:val="right"/>
            </w:pPr>
            <w:r>
              <w:t>172,297</w:t>
            </w:r>
          </w:p>
        </w:tc>
        <w:tc>
          <w:tcPr>
            <w:tcW w:w="523" w:type="pct"/>
            <w:tcBorders>
              <w:right w:val="single" w:sz="4" w:space="0" w:color="auto"/>
            </w:tcBorders>
            <w:shd w:val="clear" w:color="auto" w:fill="auto"/>
            <w:vAlign w:val="center"/>
          </w:tcPr>
          <w:p>
            <w:pPr>
              <w:pStyle w:val="affffffffffffffffffffffffffffffffe"/>
              <w:jc w:val="right"/>
            </w:pPr>
            <w:r>
              <w:t>1,538,732</w:t>
            </w:r>
          </w:p>
        </w:tc>
        <w:tc>
          <w:tcPr>
            <w:tcW w:w="732" w:type="pct"/>
            <w:tcBorders>
              <w:left w:val="single" w:sz="4" w:space="0" w:color="auto"/>
            </w:tcBorders>
            <w:shd w:val="clear" w:color="auto" w:fill="auto"/>
            <w:vAlign w:val="center"/>
          </w:tcPr>
          <w:p>
            <w:pPr>
              <w:pStyle w:val="affffffffffffffffffffffffffffffffe"/>
              <w:jc w:val="right"/>
            </w:pPr>
            <w:r>
              <w:t>3%-8%</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shd w:val="clear" w:color="auto" w:fill="auto"/>
          </w:tcPr>
          <w:p>
            <w:pPr>
              <w:ind w:firstLineChars="200" w:firstLine="420"/>
              <w:rPr>
                <w:szCs w:val="21"/>
              </w:rPr>
            </w:pPr>
            <w:r>
              <w:rPr>
                <w:rFonts w:hint="eastAsia"/>
                <w:szCs w:val="21"/>
              </w:rPr>
              <w:t>其中：未实现融资收益</w:t>
            </w:r>
          </w:p>
        </w:tc>
        <w:tc>
          <w:tcPr>
            <w:tcW w:w="522" w:type="pct"/>
            <w:shd w:val="clear" w:color="auto" w:fill="auto"/>
            <w:vAlign w:val="center"/>
          </w:tcPr>
          <w:p>
            <w:pPr>
              <w:pStyle w:val="affffffffffffffffffffffffffffffffe"/>
              <w:jc w:val="right"/>
            </w:pPr>
            <w:r>
              <w:t>9,000</w:t>
            </w:r>
          </w:p>
        </w:tc>
        <w:tc>
          <w:tcPr>
            <w:tcW w:w="497" w:type="pct"/>
            <w:shd w:val="clear" w:color="auto" w:fill="auto"/>
            <w:vAlign w:val="center"/>
          </w:tcPr>
          <w:p>
            <w:pPr>
              <w:pStyle w:val="affffffffffffffffffffffffffffffffe"/>
              <w:jc w:val="right"/>
            </w:pPr>
          </w:p>
        </w:tc>
        <w:tc>
          <w:tcPr>
            <w:tcW w:w="523" w:type="pct"/>
            <w:shd w:val="clear" w:color="auto" w:fill="auto"/>
            <w:vAlign w:val="center"/>
          </w:tcPr>
          <w:p>
            <w:pPr>
              <w:jc w:val="right"/>
              <w:rPr>
                <w:sz w:val="24"/>
              </w:rPr>
            </w:pPr>
            <w:r>
              <w:t>9,000</w:t>
            </w:r>
          </w:p>
        </w:tc>
        <w:tc>
          <w:tcPr>
            <w:tcW w:w="522" w:type="pct"/>
            <w:shd w:val="clear" w:color="auto" w:fill="auto"/>
            <w:vAlign w:val="center"/>
          </w:tcPr>
          <w:p>
            <w:pPr>
              <w:pStyle w:val="affffffffffffffffffffffffffffffffe"/>
              <w:jc w:val="right"/>
            </w:pPr>
            <w:r>
              <w:t>394,124</w:t>
            </w:r>
          </w:p>
        </w:tc>
        <w:tc>
          <w:tcPr>
            <w:tcW w:w="497" w:type="pct"/>
            <w:shd w:val="clear" w:color="auto" w:fill="auto"/>
            <w:vAlign w:val="center"/>
          </w:tcPr>
          <w:p>
            <w:pPr>
              <w:pStyle w:val="affffffffffffffffffffffffffffffffe"/>
              <w:jc w:val="right"/>
            </w:pPr>
          </w:p>
        </w:tc>
        <w:tc>
          <w:tcPr>
            <w:tcW w:w="523" w:type="pct"/>
            <w:tcBorders>
              <w:right w:val="single" w:sz="4" w:space="0" w:color="auto"/>
            </w:tcBorders>
            <w:shd w:val="clear" w:color="auto" w:fill="auto"/>
            <w:vAlign w:val="center"/>
          </w:tcPr>
          <w:p>
            <w:pPr>
              <w:jc w:val="right"/>
              <w:rPr>
                <w:sz w:val="24"/>
              </w:rPr>
            </w:pPr>
            <w:r>
              <w:t>394,124</w:t>
            </w:r>
          </w:p>
        </w:tc>
        <w:tc>
          <w:tcPr>
            <w:tcW w:w="732" w:type="pct"/>
            <w:tcBorders>
              <w:left w:val="single" w:sz="4" w:space="0" w:color="auto"/>
            </w:tcBorders>
            <w:shd w:val="clear" w:color="auto" w:fill="auto"/>
            <w:vAlign w:val="center"/>
          </w:tcPr>
          <w:p>
            <w:pPr>
              <w:pStyle w:val="affffffffffffffffffffffffffffffffe"/>
              <w:jc w:val="right"/>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shd w:val="clear" w:color="auto" w:fill="auto"/>
            <w:vAlign w:val="center"/>
          </w:tcPr>
          <w:p>
            <w:pPr>
              <w:snapToGrid w:val="0"/>
              <w:spacing w:line="240" w:lineRule="atLeast"/>
              <w:rPr>
                <w:sz w:val="18"/>
                <w:szCs w:val="18"/>
              </w:rPr>
            </w:pPr>
            <w:r>
              <w:rPr>
                <w:rFonts w:hint="eastAsia"/>
                <w:sz w:val="18"/>
                <w:szCs w:val="18"/>
              </w:rPr>
              <w:t>应收代垫采矿权价款</w:t>
            </w:r>
          </w:p>
        </w:tc>
        <w:tc>
          <w:tcPr>
            <w:tcW w:w="522" w:type="pct"/>
            <w:shd w:val="clear" w:color="auto" w:fill="auto"/>
            <w:vAlign w:val="center"/>
          </w:tcPr>
          <w:p>
            <w:pPr>
              <w:jc w:val="right"/>
              <w:rPr>
                <w:sz w:val="24"/>
              </w:rPr>
            </w:pPr>
            <w:r>
              <w:t>829,990</w:t>
            </w:r>
          </w:p>
        </w:tc>
        <w:tc>
          <w:tcPr>
            <w:tcW w:w="497" w:type="pct"/>
            <w:shd w:val="clear" w:color="auto" w:fill="auto"/>
            <w:vAlign w:val="center"/>
          </w:tcPr>
          <w:p>
            <w:pPr>
              <w:pStyle w:val="affffffffffffffffffffffffffffffffe"/>
              <w:jc w:val="right"/>
            </w:pPr>
          </w:p>
        </w:tc>
        <w:tc>
          <w:tcPr>
            <w:tcW w:w="523" w:type="pct"/>
            <w:shd w:val="clear" w:color="auto" w:fill="auto"/>
            <w:vAlign w:val="center"/>
          </w:tcPr>
          <w:p>
            <w:pPr>
              <w:jc w:val="right"/>
              <w:rPr>
                <w:sz w:val="24"/>
              </w:rPr>
            </w:pPr>
            <w:r>
              <w:t>829,990</w:t>
            </w:r>
          </w:p>
        </w:tc>
        <w:tc>
          <w:tcPr>
            <w:tcW w:w="522" w:type="pct"/>
            <w:shd w:val="clear" w:color="auto" w:fill="auto"/>
            <w:vAlign w:val="center"/>
          </w:tcPr>
          <w:p>
            <w:pPr>
              <w:pStyle w:val="affffffffffffffffffffffffffffffffe"/>
              <w:jc w:val="right"/>
            </w:pPr>
            <w:r>
              <w:t>760,890</w:t>
            </w:r>
          </w:p>
        </w:tc>
        <w:tc>
          <w:tcPr>
            <w:tcW w:w="497" w:type="pct"/>
            <w:shd w:val="clear" w:color="auto" w:fill="auto"/>
            <w:vAlign w:val="center"/>
          </w:tcPr>
          <w:p>
            <w:pPr>
              <w:pStyle w:val="affffffffffffffffffffffffffffffffe"/>
              <w:jc w:val="right"/>
            </w:pPr>
          </w:p>
        </w:tc>
        <w:tc>
          <w:tcPr>
            <w:tcW w:w="523" w:type="pct"/>
            <w:tcBorders>
              <w:right w:val="single" w:sz="4" w:space="0" w:color="auto"/>
            </w:tcBorders>
            <w:shd w:val="clear" w:color="auto" w:fill="auto"/>
            <w:vAlign w:val="center"/>
          </w:tcPr>
          <w:p>
            <w:pPr>
              <w:jc w:val="right"/>
              <w:rPr>
                <w:sz w:val="24"/>
              </w:rPr>
            </w:pPr>
            <w:r>
              <w:t>760,890</w:t>
            </w:r>
          </w:p>
        </w:tc>
        <w:tc>
          <w:tcPr>
            <w:tcW w:w="732" w:type="pct"/>
            <w:tcBorders>
              <w:left w:val="single" w:sz="4" w:space="0" w:color="auto"/>
            </w:tcBorders>
            <w:shd w:val="clear" w:color="auto" w:fill="auto"/>
            <w:vAlign w:val="center"/>
          </w:tcPr>
          <w:p>
            <w:pPr>
              <w:pStyle w:val="affffffffffffffffffffffffffffffffe"/>
              <w:jc w:val="right"/>
            </w:pPr>
            <w:r>
              <w:t>8%-9%</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tcBorders>
              <w:bottom w:val="single" w:sz="6" w:space="0" w:color="auto"/>
            </w:tcBorders>
            <w:shd w:val="clear" w:color="auto" w:fill="auto"/>
            <w:vAlign w:val="center"/>
          </w:tcPr>
          <w:p>
            <w:pPr>
              <w:snapToGrid w:val="0"/>
              <w:spacing w:line="240" w:lineRule="atLeast"/>
              <w:rPr>
                <w:sz w:val="18"/>
                <w:szCs w:val="18"/>
              </w:rPr>
            </w:pPr>
            <w:r>
              <w:rPr>
                <w:rFonts w:hint="eastAsia"/>
                <w:sz w:val="18"/>
                <w:szCs w:val="18"/>
              </w:rPr>
              <w:t>应收离退休人员款</w:t>
            </w:r>
          </w:p>
        </w:tc>
        <w:tc>
          <w:tcPr>
            <w:tcW w:w="522" w:type="pct"/>
            <w:shd w:val="clear" w:color="auto" w:fill="auto"/>
            <w:vAlign w:val="center"/>
          </w:tcPr>
          <w:p>
            <w:pPr>
              <w:pStyle w:val="affffffffffffffffffffffffffffffffe"/>
              <w:jc w:val="right"/>
            </w:pPr>
            <w:r>
              <w:t>1,033,573</w:t>
            </w:r>
          </w:p>
        </w:tc>
        <w:tc>
          <w:tcPr>
            <w:tcW w:w="497" w:type="pct"/>
            <w:shd w:val="clear" w:color="auto" w:fill="auto"/>
            <w:vAlign w:val="center"/>
          </w:tcPr>
          <w:p>
            <w:pPr>
              <w:pStyle w:val="affffffffffffffffffffffffffffffffe"/>
              <w:jc w:val="right"/>
            </w:pPr>
          </w:p>
        </w:tc>
        <w:tc>
          <w:tcPr>
            <w:tcW w:w="523" w:type="pct"/>
            <w:shd w:val="clear" w:color="auto" w:fill="auto"/>
            <w:vAlign w:val="center"/>
          </w:tcPr>
          <w:p>
            <w:pPr>
              <w:jc w:val="right"/>
              <w:rPr>
                <w:sz w:val="24"/>
              </w:rPr>
            </w:pPr>
            <w:r>
              <w:t>1,033,573</w:t>
            </w:r>
          </w:p>
        </w:tc>
        <w:tc>
          <w:tcPr>
            <w:tcW w:w="522" w:type="pct"/>
            <w:shd w:val="clear" w:color="auto" w:fill="auto"/>
            <w:vAlign w:val="center"/>
          </w:tcPr>
          <w:p>
            <w:pPr>
              <w:pStyle w:val="affffffffffffffffffffffffffffffffe"/>
              <w:jc w:val="right"/>
            </w:pPr>
          </w:p>
        </w:tc>
        <w:tc>
          <w:tcPr>
            <w:tcW w:w="497" w:type="pct"/>
            <w:shd w:val="clear" w:color="auto" w:fill="auto"/>
            <w:vAlign w:val="center"/>
          </w:tcPr>
          <w:p>
            <w:pPr>
              <w:jc w:val="right"/>
              <w:rPr>
                <w:rFonts w:ascii="Times New Roman" w:eastAsia="Times New Roman" w:hAnsi="Times New Roman" w:cs="Times New Roman"/>
                <w:sz w:val="20"/>
                <w:szCs w:val="20"/>
              </w:rPr>
            </w:pPr>
          </w:p>
        </w:tc>
        <w:tc>
          <w:tcPr>
            <w:tcW w:w="523" w:type="pct"/>
            <w:tcBorders>
              <w:right w:val="single" w:sz="4" w:space="0" w:color="auto"/>
            </w:tcBorders>
            <w:shd w:val="clear" w:color="auto" w:fill="auto"/>
            <w:vAlign w:val="center"/>
          </w:tcPr>
          <w:p>
            <w:pPr>
              <w:jc w:val="right"/>
              <w:rPr>
                <w:rFonts w:ascii="Times New Roman" w:eastAsia="Times New Roman" w:hAnsi="Times New Roman" w:cs="Times New Roman"/>
                <w:sz w:val="20"/>
                <w:szCs w:val="20"/>
              </w:rPr>
            </w:pPr>
          </w:p>
        </w:tc>
        <w:tc>
          <w:tcPr>
            <w:tcW w:w="732" w:type="pct"/>
            <w:tcBorders>
              <w:left w:val="single" w:sz="4" w:space="0" w:color="auto"/>
            </w:tcBorders>
            <w:shd w:val="clear" w:color="auto" w:fill="auto"/>
            <w:vAlign w:val="center"/>
          </w:tcPr>
          <w:p>
            <w:pPr>
              <w:jc w:val="right"/>
              <w:rPr>
                <w:rFonts w:ascii="Times New Roman" w:eastAsia="Times New Roman" w:hAnsi="Times New Roman" w:cs="Times New Roman"/>
                <w:sz w:val="20"/>
                <w:szCs w:val="20"/>
              </w:rP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shd w:val="clear" w:color="auto" w:fill="auto"/>
            <w:vAlign w:val="center"/>
          </w:tcPr>
          <w:p>
            <w:pPr>
              <w:snapToGrid w:val="0"/>
              <w:spacing w:line="240" w:lineRule="atLeast"/>
              <w:rPr>
                <w:sz w:val="18"/>
                <w:szCs w:val="18"/>
              </w:rPr>
            </w:pPr>
            <w:r>
              <w:rPr>
                <w:rFonts w:hint="eastAsia"/>
                <w:sz w:val="18"/>
                <w:szCs w:val="18"/>
              </w:rPr>
              <w:t>其他</w:t>
            </w:r>
          </w:p>
        </w:tc>
        <w:tc>
          <w:tcPr>
            <w:tcW w:w="522" w:type="pct"/>
            <w:shd w:val="clear" w:color="auto" w:fill="auto"/>
            <w:vAlign w:val="center"/>
          </w:tcPr>
          <w:p>
            <w:pPr>
              <w:jc w:val="right"/>
              <w:rPr>
                <w:sz w:val="24"/>
              </w:rPr>
            </w:pPr>
            <w:r>
              <w:t>201,325</w:t>
            </w:r>
          </w:p>
        </w:tc>
        <w:tc>
          <w:tcPr>
            <w:tcW w:w="497" w:type="pct"/>
            <w:shd w:val="clear" w:color="auto" w:fill="auto"/>
            <w:vAlign w:val="center"/>
          </w:tcPr>
          <w:p>
            <w:pPr>
              <w:pStyle w:val="affffffffffffffffffffffffffffffffe"/>
              <w:jc w:val="right"/>
            </w:pPr>
            <w:r>
              <w:t>167,123</w:t>
            </w:r>
          </w:p>
        </w:tc>
        <w:tc>
          <w:tcPr>
            <w:tcW w:w="523" w:type="pct"/>
            <w:shd w:val="clear" w:color="auto" w:fill="auto"/>
            <w:vAlign w:val="center"/>
          </w:tcPr>
          <w:p>
            <w:pPr>
              <w:pStyle w:val="affffffffffffffffffffffffffffffffe"/>
              <w:jc w:val="right"/>
            </w:pPr>
            <w:r>
              <w:t>34,202</w:t>
            </w:r>
          </w:p>
        </w:tc>
        <w:tc>
          <w:tcPr>
            <w:tcW w:w="522" w:type="pct"/>
            <w:shd w:val="clear" w:color="auto" w:fill="auto"/>
            <w:vAlign w:val="center"/>
          </w:tcPr>
          <w:p>
            <w:pPr>
              <w:pStyle w:val="affffffffffffffffffffffffffffffffe"/>
              <w:jc w:val="right"/>
            </w:pPr>
            <w:r>
              <w:t>33,898</w:t>
            </w:r>
          </w:p>
        </w:tc>
        <w:tc>
          <w:tcPr>
            <w:tcW w:w="497" w:type="pct"/>
            <w:shd w:val="clear" w:color="auto" w:fill="auto"/>
            <w:vAlign w:val="center"/>
          </w:tcPr>
          <w:p>
            <w:pPr>
              <w:pStyle w:val="affffffffffffffffffffffffffffffffe"/>
              <w:jc w:val="right"/>
            </w:pPr>
            <w:r>
              <w:t>2</w:t>
            </w:r>
          </w:p>
        </w:tc>
        <w:tc>
          <w:tcPr>
            <w:tcW w:w="523" w:type="pct"/>
            <w:tcBorders>
              <w:right w:val="single" w:sz="4" w:space="0" w:color="auto"/>
            </w:tcBorders>
            <w:shd w:val="clear" w:color="auto" w:fill="auto"/>
            <w:vAlign w:val="center"/>
          </w:tcPr>
          <w:p>
            <w:pPr>
              <w:pStyle w:val="affffffffffffffffffffffffffffffffe"/>
              <w:jc w:val="right"/>
            </w:pPr>
            <w:r>
              <w:t>33,896</w:t>
            </w:r>
          </w:p>
        </w:tc>
        <w:tc>
          <w:tcPr>
            <w:tcW w:w="732" w:type="pct"/>
            <w:tcBorders>
              <w:left w:val="single" w:sz="4" w:space="0" w:color="auto"/>
            </w:tcBorders>
            <w:shd w:val="clear" w:color="auto" w:fill="auto"/>
            <w:vAlign w:val="center"/>
          </w:tcPr>
          <w:p>
            <w:pPr>
              <w:pStyle w:val="affffffffffffffffffffffffffffffffe"/>
              <w:jc w:val="right"/>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83" w:type="pct"/>
            <w:shd w:val="clear" w:color="auto" w:fill="auto"/>
            <w:vAlign w:val="center"/>
          </w:tcPr>
          <w:p>
            <w:pPr>
              <w:jc w:val="center"/>
              <w:rPr>
                <w:szCs w:val="21"/>
              </w:rPr>
            </w:pPr>
            <w:r>
              <w:rPr>
                <w:rFonts w:hint="eastAsia"/>
                <w:szCs w:val="21"/>
              </w:rPr>
              <w:t>合计</w:t>
            </w:r>
          </w:p>
        </w:tc>
        <w:tc>
          <w:tcPr>
            <w:tcW w:w="522" w:type="pct"/>
            <w:shd w:val="clear" w:color="auto" w:fill="auto"/>
            <w:vAlign w:val="center"/>
          </w:tcPr>
          <w:p>
            <w:pPr>
              <w:jc w:val="right"/>
              <w:rPr>
                <w:sz w:val="24"/>
              </w:rPr>
            </w:pPr>
            <w:r>
              <w:t>2,331,072</w:t>
            </w:r>
          </w:p>
        </w:tc>
        <w:tc>
          <w:tcPr>
            <w:tcW w:w="497" w:type="pct"/>
            <w:shd w:val="clear" w:color="auto" w:fill="auto"/>
            <w:vAlign w:val="center"/>
          </w:tcPr>
          <w:p>
            <w:pPr>
              <w:pStyle w:val="affffffffffffffffffffffffffffffffe"/>
              <w:jc w:val="right"/>
            </w:pPr>
            <w:r>
              <w:t>287,580</w:t>
            </w:r>
          </w:p>
        </w:tc>
        <w:tc>
          <w:tcPr>
            <w:tcW w:w="523" w:type="pct"/>
            <w:shd w:val="clear" w:color="auto" w:fill="auto"/>
            <w:vAlign w:val="center"/>
          </w:tcPr>
          <w:p>
            <w:pPr>
              <w:pStyle w:val="affffffffffffffffffffffffffffffffe"/>
              <w:jc w:val="right"/>
            </w:pPr>
            <w:r>
              <w:t>2,043,492</w:t>
            </w:r>
          </w:p>
        </w:tc>
        <w:tc>
          <w:tcPr>
            <w:tcW w:w="522" w:type="pct"/>
            <w:shd w:val="clear" w:color="auto" w:fill="auto"/>
            <w:vAlign w:val="center"/>
          </w:tcPr>
          <w:p>
            <w:pPr>
              <w:pStyle w:val="affffffffffffffffffffffffffffffffe"/>
              <w:jc w:val="right"/>
            </w:pPr>
            <w:r>
              <w:t>2,505,817</w:t>
            </w:r>
          </w:p>
        </w:tc>
        <w:tc>
          <w:tcPr>
            <w:tcW w:w="497" w:type="pct"/>
            <w:shd w:val="clear" w:color="auto" w:fill="auto"/>
            <w:vAlign w:val="center"/>
          </w:tcPr>
          <w:p>
            <w:pPr>
              <w:pStyle w:val="affffffffffffffffffffffffffffffffe"/>
              <w:jc w:val="right"/>
            </w:pPr>
            <w:r>
              <w:t>172,299</w:t>
            </w:r>
          </w:p>
        </w:tc>
        <w:tc>
          <w:tcPr>
            <w:tcW w:w="523" w:type="pct"/>
            <w:tcBorders>
              <w:right w:val="single" w:sz="4" w:space="0" w:color="auto"/>
            </w:tcBorders>
            <w:shd w:val="clear" w:color="auto" w:fill="auto"/>
            <w:vAlign w:val="center"/>
          </w:tcPr>
          <w:p>
            <w:pPr>
              <w:pStyle w:val="affffffffffffffffffffffffffffffffe"/>
              <w:jc w:val="right"/>
            </w:pPr>
            <w:r>
              <w:t>2,333,518</w:t>
            </w:r>
          </w:p>
        </w:tc>
        <w:tc>
          <w:tcPr>
            <w:tcW w:w="732" w:type="pct"/>
            <w:tcBorders>
              <w:left w:val="single" w:sz="4" w:space="0" w:color="auto"/>
            </w:tcBorders>
            <w:shd w:val="clear" w:color="auto" w:fill="auto"/>
            <w:vAlign w:val="center"/>
          </w:tcPr>
          <w:p>
            <w:pPr>
              <w:pStyle w:val="affffffffffffffffffffffffffffffffe"/>
              <w:jc w:val="right"/>
            </w:pPr>
          </w:p>
        </w:tc>
      </w:tr>
    </w:tbl>
    <w:p>
      <w:pPr>
        <w:rPr>
          <w:color w:val="FF0000"/>
          <w:szCs w:val="21"/>
        </w:rPr>
      </w:pPr>
    </w:p>
    <w:p>
      <w:pPr>
        <w:pStyle w:val="afffffffffffffffffffffffffffffffff1"/>
        <w:numPr>
          <w:ilvl w:val="3"/>
          <w:numId w:val="169"/>
        </w:numPr>
        <w:ind w:left="426" w:hanging="426"/>
        <w:rPr>
          <w:rFonts w:ascii="宋体" w:eastAsia="宋体" w:hAnsi="宋体" w:cs="宋体"/>
          <w:kern w:val="0"/>
          <w:szCs w:val="24"/>
        </w:rPr>
      </w:pPr>
      <w:bookmarkStart w:id="409" w:name="_Hlk153457348"/>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b88f58fcc61342f3b795c44388b6782b"/>
        <w:id w:val="-151637714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9590227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按坏账计提方法分类披露"/>
          <w:tag w:val="_GBC_3ac94de7648b4b0f979b720c33955d79"/>
          <w:id w:val="-6770359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864"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1161"/>
        <w:gridCol w:w="531"/>
        <w:gridCol w:w="951"/>
        <w:gridCol w:w="531"/>
        <w:gridCol w:w="1161"/>
        <w:gridCol w:w="1161"/>
        <w:gridCol w:w="531"/>
        <w:gridCol w:w="1631"/>
        <w:gridCol w:w="532"/>
        <w:gridCol w:w="1161"/>
      </w:tblGrid>
      <w:tr>
        <w:trPr>
          <w:cantSplit/>
          <w:trHeight w:val="259"/>
        </w:trPr>
        <w:sdt>
          <w:sdtPr>
            <w:tag w:val="_PLD_c1f44ed4b1a04d33962261a361bb9b1b"/>
            <w:id w:val="1798338420"/>
          </w:sdtPr>
          <w:sdtContent>
            <w:tc>
              <w:tcPr>
                <w:tcW w:w="482"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类别</w:t>
                </w:r>
              </w:p>
            </w:tc>
          </w:sdtContent>
        </w:sdt>
        <w:sdt>
          <w:sdtPr>
            <w:tag w:val="_PLD_a9d390643c964401aa5f9b3500e0b907"/>
            <w:id w:val="-9149335"/>
          </w:sdtPr>
          <w:sdtContent>
            <w:tc>
              <w:tcPr>
                <w:tcW w:w="2095"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648e2d0a2e043a1b5e331d43977d521"/>
            <w:id w:val="1537938716"/>
          </w:sdtPr>
          <w:sdtContent>
            <w:tc>
              <w:tcPr>
                <w:tcW w:w="2423"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Height w:val="227"/>
        </w:trPr>
        <w:tc>
          <w:tcPr>
            <w:tcW w:w="482" w:type="pct"/>
            <w:vMerge/>
            <w:tcBorders>
              <w:left w:val="single" w:sz="4" w:space="0" w:color="auto"/>
              <w:right w:val="single" w:sz="4" w:space="0" w:color="auto"/>
            </w:tcBorders>
            <w:vAlign w:val="center"/>
          </w:tcPr>
          <w:p>
            <w:pPr>
              <w:rPr>
                <w:szCs w:val="21"/>
              </w:rPr>
            </w:pPr>
          </w:p>
        </w:tc>
        <w:sdt>
          <w:sdtPr>
            <w:tag w:val="_PLD_3728122722094c6c87dbbc3d1d8391b6"/>
            <w:id w:val="614410284"/>
          </w:sdtPr>
          <w:sdtContent>
            <w:tc>
              <w:tcPr>
                <w:tcW w:w="818"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tag w:val="_PLD_45cda725567e44bf952a7c8d03586e93"/>
            <w:id w:val="1810282129"/>
          </w:sdtPr>
          <w:sdtContent>
            <w:tc>
              <w:tcPr>
                <w:tcW w:w="716"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sdt>
          <w:sdtPr>
            <w:tag w:val="_PLD_b5d693e10b584218a2fcb7c20c5f82d8"/>
            <w:id w:val="1137459512"/>
          </w:sdtPr>
          <w:sdtContent>
            <w:tc>
              <w:tcPr>
                <w:tcW w:w="561"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91cf019e97d04cb7980e45e7ee7f25c6"/>
            <w:id w:val="1098370831"/>
          </w:sdtPr>
          <w:sdtContent>
            <w:tc>
              <w:tcPr>
                <w:tcW w:w="818"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账面余额</w:t>
                </w:r>
              </w:p>
            </w:tc>
          </w:sdtContent>
        </w:sdt>
        <w:sdt>
          <w:sdtPr>
            <w:tag w:val="_PLD_a0939ab7fd2844cda721292f9bdbe8a9"/>
            <w:id w:val="-627157268"/>
          </w:sdtPr>
          <w:sdtContent>
            <w:tc>
              <w:tcPr>
                <w:tcW w:w="1045"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坏账准备</w:t>
                </w:r>
              </w:p>
            </w:tc>
          </w:sdtContent>
        </w:sdt>
        <w:sdt>
          <w:sdtPr>
            <w:tag w:val="_PLD_57c2a684efce445789de9538ca62e055"/>
            <w:id w:val="-323820616"/>
          </w:sdtPr>
          <w:sdtContent>
            <w:tc>
              <w:tcPr>
                <w:tcW w:w="561"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rPr>
          <w:cantSplit/>
          <w:trHeight w:val="375"/>
        </w:trPr>
        <w:tc>
          <w:tcPr>
            <w:tcW w:w="482" w:type="pct"/>
            <w:vMerge/>
            <w:tcBorders>
              <w:left w:val="single" w:sz="4" w:space="0" w:color="auto"/>
              <w:bottom w:val="single" w:sz="4" w:space="0" w:color="auto"/>
              <w:right w:val="single" w:sz="4" w:space="0" w:color="auto"/>
            </w:tcBorders>
            <w:vAlign w:val="center"/>
          </w:tcPr>
          <w:p>
            <w:pPr>
              <w:rPr>
                <w:szCs w:val="21"/>
              </w:rPr>
            </w:pPr>
          </w:p>
        </w:tc>
        <w:sdt>
          <w:sdtPr>
            <w:tag w:val="_PLD_79f42c5148e442c4896219a8569d3c88"/>
            <w:id w:val="1831949274"/>
          </w:sdtPr>
          <w:sdtContent>
            <w:tc>
              <w:tcPr>
                <w:tcW w:w="561"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b2812c729f8b42eb8ec4be1270c8bef7"/>
            <w:id w:val="782923761"/>
          </w:sdtPr>
          <w:sdtContent>
            <w:tc>
              <w:tcPr>
                <w:tcW w:w="257"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tag w:val="_PLD_e53419d2dc934e91bc0da11a8e5064ef"/>
            <w:id w:val="-1299216707"/>
          </w:sdtPr>
          <w:sdtContent>
            <w:tc>
              <w:tcPr>
                <w:tcW w:w="460"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8fc1623422b24a81b3dc15cd79f7512f"/>
            <w:id w:val="1611464253"/>
          </w:sdtPr>
          <w:sdtContent>
            <w:tc>
              <w:tcPr>
                <w:tcW w:w="257"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61" w:type="pct"/>
            <w:vMerge/>
            <w:tcBorders>
              <w:left w:val="single" w:sz="4" w:space="0" w:color="auto"/>
              <w:bottom w:val="single" w:sz="4" w:space="0" w:color="auto"/>
              <w:right w:val="single" w:sz="4" w:space="0" w:color="auto"/>
            </w:tcBorders>
            <w:vAlign w:val="center"/>
          </w:tcPr>
          <w:p>
            <w:pPr>
              <w:jc w:val="center"/>
              <w:rPr>
                <w:szCs w:val="21"/>
              </w:rPr>
            </w:pPr>
          </w:p>
        </w:tc>
        <w:sdt>
          <w:sdtPr>
            <w:tag w:val="_PLD_9f3942e9c0ba424695638f4161f4e42d"/>
            <w:id w:val="-845936545"/>
          </w:sdtPr>
          <w:sdtContent>
            <w:tc>
              <w:tcPr>
                <w:tcW w:w="561"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f3235b18b60547df8e3d3385802089f4"/>
            <w:id w:val="2000841036"/>
          </w:sdtPr>
          <w:sdtContent>
            <w:tc>
              <w:tcPr>
                <w:tcW w:w="257"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tag w:val="_PLD_95314b7a1e474331887eccdfdd39852f"/>
            <w:id w:val="-553307332"/>
          </w:sdtPr>
          <w:sdtContent>
            <w:tc>
              <w:tcPr>
                <w:tcW w:w="788"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tag w:val="_PLD_39204f5cc16e488ba0242450ae9e4aad"/>
            <w:id w:val="-744482413"/>
          </w:sdtPr>
          <w:sdtContent>
            <w:tc>
              <w:tcPr>
                <w:tcW w:w="257"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61" w:type="pct"/>
            <w:vMerge/>
            <w:tcBorders>
              <w:left w:val="single" w:sz="4" w:space="0" w:color="auto"/>
              <w:bottom w:val="single" w:sz="4" w:space="0" w:color="auto"/>
              <w:right w:val="single" w:sz="4" w:space="0" w:color="auto"/>
            </w:tcBorders>
            <w:vAlign w:val="center"/>
          </w:tcPr>
          <w:p>
            <w:pPr>
              <w:jc w:val="center"/>
              <w:rPr>
                <w:szCs w:val="21"/>
              </w:rPr>
            </w:pPr>
          </w:p>
        </w:tc>
      </w:tr>
      <w:tr>
        <w:trPr>
          <w:cantSplit/>
        </w:trPr>
        <w:tc>
          <w:tcPr>
            <w:tcW w:w="482"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按单项计提坏账准备</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167,123</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7</w:t>
            </w:r>
          </w:p>
        </w:tc>
        <w:tc>
          <w:tcPr>
            <w:tcW w:w="4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167,123</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100</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788"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r>
      <w:tr>
        <w:trPr>
          <w:cantSplit/>
        </w:trPr>
        <w:tc>
          <w:tcPr>
            <w:tcW w:w="482"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按组合计提坏账准备</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2,163,949</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93</w:t>
            </w:r>
          </w:p>
        </w:tc>
        <w:tc>
          <w:tcPr>
            <w:tcW w:w="4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120,457</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6</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2,043,492</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2,505,817</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100</w:t>
            </w:r>
          </w:p>
        </w:tc>
        <w:tc>
          <w:tcPr>
            <w:tcW w:w="78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172,299</w:t>
            </w:r>
          </w:p>
        </w:tc>
        <w:tc>
          <w:tcPr>
            <w:tcW w:w="25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7</w:t>
            </w:r>
          </w:p>
        </w:tc>
        <w:tc>
          <w:tcPr>
            <w:tcW w:w="561"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2,333,518</w:t>
            </w:r>
          </w:p>
        </w:tc>
      </w:tr>
      <w:tr>
        <w:trPr>
          <w:cantSplit/>
        </w:trPr>
        <w:tc>
          <w:tcPr>
            <w:tcW w:w="482"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2,331,072</w:t>
            </w: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w:t>
            </w:r>
          </w:p>
        </w:tc>
        <w:tc>
          <w:tcPr>
            <w:tcW w:w="46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287,580</w:t>
            </w: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color w:val="000000"/>
                <w:szCs w:val="21"/>
              </w:rPr>
              <w:t>1</w:t>
            </w:r>
            <w:r>
              <w:rPr>
                <w:color w:val="000000"/>
                <w:szCs w:val="21"/>
              </w:rPr>
              <w:t>2</w:t>
            </w: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2,043,492</w:t>
            </w: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2,505,817</w:t>
            </w: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100</w:t>
            </w:r>
          </w:p>
        </w:tc>
        <w:tc>
          <w:tcPr>
            <w:tcW w:w="78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172,299</w:t>
            </w:r>
          </w:p>
        </w:tc>
        <w:tc>
          <w:tcPr>
            <w:tcW w:w="25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w:t>
            </w:r>
          </w:p>
        </w:tc>
        <w:tc>
          <w:tcPr>
            <w:tcW w:w="561"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color w:val="000000"/>
                <w:szCs w:val="21"/>
              </w:rPr>
              <w:t>2,333,518</w:t>
            </w:r>
          </w:p>
        </w:tc>
      </w:tr>
    </w:tbl>
    <w:p>
      <w:pPr>
        <w:pStyle w:val="affffffffffffffffffffffffffffffffe"/>
      </w:pPr>
    </w:p>
    <w:p>
      <w:pPr>
        <w:pStyle w:val="affffffffffffffffffffffffffffffffe"/>
      </w:pPr>
      <w:r>
        <w:rPr>
          <w:rFonts w:hint="eastAsia"/>
        </w:rPr>
        <w:t>按单项计提坏账准备：</w:t>
      </w:r>
    </w:p>
    <w:sdt>
      <w:sdtPr>
        <w:alias w:val="是否适用：按单项计提坏账准备的详细情况[双击切换]"/>
        <w:tag w:val="_GBC_19243c464e23496a87380a02fccd7f4a"/>
        <w:id w:val="182840509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按单项计提坏账准备的说明[双击切换]"/>
        <w:tag w:val="_GBC_ee6f2bb0912a4ff4a6aa0561400844a8"/>
        <w:id w:val="20846132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按组合计提坏账准备的详细情况[双击切换]"/>
        <w:tag w:val="_GBC_e6c71fc91a6941b5af515956aed70086"/>
        <w:id w:val="-130710208"/>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pStyle w:val="afffffffffffffffffffffffffffffffff1"/>
        <w:numPr>
          <w:ilvl w:val="3"/>
          <w:numId w:val="169"/>
        </w:numPr>
        <w:ind w:left="426" w:hanging="426"/>
        <w:rPr>
          <w:rFonts w:ascii="宋体" w:eastAsia="宋体" w:hAnsi="宋体" w:cs="宋体"/>
          <w:kern w:val="0"/>
          <w:szCs w:val="24"/>
        </w:rPr>
      </w:pPr>
      <w:bookmarkStart w:id="410" w:name="_Hlk533872428"/>
      <w:bookmarkEnd w:id="409"/>
      <w:r>
        <w:rPr>
          <w:rFonts w:ascii="宋体" w:eastAsia="宋体" w:hAnsi="宋体" w:cs="宋体" w:hint="eastAsia"/>
          <w:kern w:val="0"/>
          <w:szCs w:val="24"/>
        </w:rPr>
        <w:t>按预期信用损失一般模型计提坏账准备</w:t>
      </w:r>
    </w:p>
    <w:sdt>
      <w:sdtPr>
        <w:alias w:val="是否适用：长期应收款坏账准备调节表[双击切换]"/>
        <w:tag w:val="_GBC_83c414b79fa243258be4f4c6998e475c"/>
        <w:id w:val="140195316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Chars="50" w:right="105"/>
        <w:jc w:val="right"/>
        <w:rPr>
          <w:szCs w:val="21"/>
        </w:rPr>
      </w:pPr>
      <w:r>
        <w:rPr>
          <w:rFonts w:hint="eastAsia"/>
          <w:szCs w:val="21"/>
        </w:rPr>
        <w:t>单位：</w:t>
      </w:r>
      <w:sdt>
        <w:sdtPr>
          <w:rPr>
            <w:rFonts w:hint="eastAsia"/>
            <w:szCs w:val="21"/>
          </w:rPr>
          <w:alias w:val="单位：长期应收款坏账准备调节表"/>
          <w:tag w:val="_GBC_7d2528c518494f00b0f6d9873d82b6b8"/>
          <w:id w:val="-30979425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长期应收款坏账准备调节表"/>
          <w:tag w:val="_GBC_5c4daf2984c3464ea5f009d8fc6503d4"/>
          <w:id w:val="13250137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sdt>
          <w:sdtPr>
            <w:tag w:val="_PLD_53e254a36bf74b8aa6d62ff3627bc51c"/>
            <w:id w:val="1120418664"/>
          </w:sdtPr>
          <w:sdtContent>
            <w:tc>
              <w:tcPr>
                <w:tcW w:w="1001" w:type="pct"/>
                <w:vMerge w:val="restart"/>
                <w:vAlign w:val="center"/>
              </w:tcPr>
              <w:p>
                <w:pPr>
                  <w:jc w:val="center"/>
                  <w:rPr>
                    <w:szCs w:val="21"/>
                  </w:rPr>
                </w:pPr>
                <w:r>
                  <w:rPr>
                    <w:rFonts w:hint="eastAsia"/>
                  </w:rPr>
                  <w:t>坏账</w:t>
                </w:r>
                <w:r>
                  <w:t>准备</w:t>
                </w:r>
              </w:p>
            </w:tc>
          </w:sdtContent>
        </w:sdt>
        <w:sdt>
          <w:sdtPr>
            <w:tag w:val="_PLD_6728ea3d5ef54c4dbe708cf82174dd20"/>
            <w:id w:val="1301191790"/>
          </w:sdtPr>
          <w:sdtContent>
            <w:tc>
              <w:tcPr>
                <w:tcW w:w="862" w:type="pct"/>
                <w:vAlign w:val="center"/>
              </w:tcPr>
              <w:p>
                <w:pPr>
                  <w:jc w:val="center"/>
                  <w:rPr>
                    <w:szCs w:val="21"/>
                  </w:rPr>
                </w:pPr>
                <w:r>
                  <w:t>第一阶段</w:t>
                </w:r>
              </w:p>
            </w:tc>
          </w:sdtContent>
        </w:sdt>
        <w:sdt>
          <w:sdtPr>
            <w:tag w:val="_PLD_02047fc355b74a09b8b179812acc2694"/>
            <w:id w:val="-2060395774"/>
          </w:sdtPr>
          <w:sdtContent>
            <w:tc>
              <w:tcPr>
                <w:tcW w:w="1097" w:type="pct"/>
                <w:vAlign w:val="center"/>
              </w:tcPr>
              <w:p>
                <w:pPr>
                  <w:jc w:val="center"/>
                  <w:rPr>
                    <w:szCs w:val="21"/>
                  </w:rPr>
                </w:pPr>
                <w:r>
                  <w:t>第二阶段</w:t>
                </w:r>
              </w:p>
            </w:tc>
          </w:sdtContent>
        </w:sdt>
        <w:sdt>
          <w:sdtPr>
            <w:tag w:val="_PLD_e5935642877d42508a235dc58315a0f2"/>
            <w:id w:val="1171611811"/>
          </w:sdtPr>
          <w:sdtContent>
            <w:tc>
              <w:tcPr>
                <w:tcW w:w="1097" w:type="pct"/>
                <w:vAlign w:val="center"/>
              </w:tcPr>
              <w:p>
                <w:pPr>
                  <w:jc w:val="center"/>
                  <w:rPr>
                    <w:szCs w:val="21"/>
                  </w:rPr>
                </w:pPr>
                <w:r>
                  <w:t>第三阶段</w:t>
                </w:r>
              </w:p>
            </w:tc>
          </w:sdtContent>
        </w:sdt>
        <w:sdt>
          <w:sdtPr>
            <w:tag w:val="_PLD_97eac4c32ede4977b86fdf2a821830f1"/>
            <w:id w:val="-1626301203"/>
          </w:sdtPr>
          <w:sdtContent>
            <w:tc>
              <w:tcPr>
                <w:tcW w:w="943" w:type="pct"/>
                <w:vMerge w:val="restart"/>
                <w:vAlign w:val="center"/>
              </w:tcPr>
              <w:p>
                <w:pPr>
                  <w:jc w:val="center"/>
                  <w:rPr>
                    <w:szCs w:val="21"/>
                  </w:rPr>
                </w:pPr>
                <w:r>
                  <w:t>合计</w:t>
                </w:r>
              </w:p>
            </w:tc>
          </w:sdtContent>
        </w:sdt>
      </w:tr>
      <w:tr>
        <w:tc>
          <w:tcPr>
            <w:tcW w:w="1001" w:type="pct"/>
            <w:vMerge/>
            <w:vAlign w:val="center"/>
          </w:tcPr>
          <w:p>
            <w:pPr>
              <w:pStyle w:val="TableParagraph"/>
              <w:spacing w:after="0" w:line="240" w:lineRule="auto"/>
              <w:jc w:val="both"/>
              <w:rPr>
                <w:rFonts w:ascii="宋体" w:eastAsia="宋体" w:hAnsi="宋体" w:cs="宋体"/>
                <w:sz w:val="21"/>
                <w:szCs w:val="21"/>
                <w:lang w:eastAsia="zh-CN"/>
              </w:rPr>
            </w:pPr>
          </w:p>
        </w:tc>
        <w:sdt>
          <w:sdtPr>
            <w:tag w:val="_PLD_a2c40398df0245aca8ae9b95349e294a"/>
            <w:id w:val="-1974748961"/>
          </w:sdtPr>
          <w:sdtContent>
            <w:tc>
              <w:tcPr>
                <w:tcW w:w="862" w:type="pct"/>
                <w:vAlign w:val="center"/>
              </w:tcPr>
              <w:p>
                <w:pPr>
                  <w:jc w:val="center"/>
                  <w:rPr>
                    <w:szCs w:val="21"/>
                  </w:rPr>
                </w:pPr>
                <w:r>
                  <w:t>未来12个月预期信用损失</w:t>
                </w:r>
              </w:p>
            </w:tc>
          </w:sdtContent>
        </w:sdt>
        <w:sdt>
          <w:sdtPr>
            <w:tag w:val="_PLD_0e42fbfea225447ba1a604708ea0e5cb"/>
            <w:id w:val="-1503192738"/>
          </w:sdtPr>
          <w:sdtContent>
            <w:tc>
              <w:tcPr>
                <w:tcW w:w="1097" w:type="pct"/>
                <w:vAlign w:val="center"/>
              </w:tcPr>
              <w:p>
                <w:pPr>
                  <w:jc w:val="center"/>
                  <w:rPr>
                    <w:szCs w:val="21"/>
                  </w:rPr>
                </w:pPr>
                <w:r>
                  <w:t>整个存续期预期信用损失(未发生信用减值)</w:t>
                </w:r>
              </w:p>
            </w:tc>
          </w:sdtContent>
        </w:sdt>
        <w:sdt>
          <w:sdtPr>
            <w:tag w:val="_PLD_80c9178ef7da44f9a0fbcd79a28d1369"/>
            <w:id w:val="2006931963"/>
          </w:sdtPr>
          <w:sdtContent>
            <w:tc>
              <w:tcPr>
                <w:tcW w:w="1097" w:type="pct"/>
                <w:vAlign w:val="center"/>
              </w:tcPr>
              <w:p>
                <w:pPr>
                  <w:jc w:val="center"/>
                  <w:rPr>
                    <w:szCs w:val="21"/>
                  </w:rPr>
                </w:pPr>
                <w:r>
                  <w:t>整个存续期预期信用损失(已发生信用减值)</w:t>
                </w:r>
              </w:p>
            </w:tc>
          </w:sdtContent>
        </w:sdt>
        <w:tc>
          <w:tcPr>
            <w:tcW w:w="943" w:type="pct"/>
            <w:vMerge/>
            <w:vAlign w:val="center"/>
          </w:tcPr>
          <w:p>
            <w:pPr>
              <w:jc w:val="center"/>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t>2024年</w:t>
            </w:r>
            <w:r>
              <w:rPr>
                <w:rFonts w:ascii="宋体" w:eastAsia="宋体" w:hAnsi="宋体" w:cs="宋体" w:hint="eastAsia"/>
                <w:sz w:val="21"/>
                <w:szCs w:val="21"/>
                <w:lang w:eastAsia="zh-CN"/>
              </w:rPr>
              <w:t>1月1日余额</w:t>
            </w:r>
          </w:p>
        </w:tc>
        <w:tc>
          <w:tcPr>
            <w:tcW w:w="862" w:type="pct"/>
            <w:vAlign w:val="center"/>
          </w:tcPr>
          <w:p>
            <w:pPr>
              <w:pStyle w:val="affffffffffffffffffffffffffffffffe"/>
              <w:jc w:val="right"/>
            </w:pPr>
            <w:r>
              <w:t>130,112</w:t>
            </w:r>
          </w:p>
        </w:tc>
        <w:tc>
          <w:tcPr>
            <w:tcW w:w="1097" w:type="pct"/>
            <w:vAlign w:val="center"/>
          </w:tcPr>
          <w:p>
            <w:pPr>
              <w:pStyle w:val="affffffffffffffffffffffffffffffffe"/>
              <w:jc w:val="right"/>
            </w:pPr>
          </w:p>
        </w:tc>
        <w:tc>
          <w:tcPr>
            <w:tcW w:w="1097" w:type="pct"/>
            <w:vAlign w:val="center"/>
          </w:tcPr>
          <w:p>
            <w:pPr>
              <w:jc w:val="right"/>
              <w:rPr>
                <w:sz w:val="24"/>
              </w:rPr>
            </w:pPr>
            <w:r>
              <w:t>42,187</w:t>
            </w:r>
          </w:p>
        </w:tc>
        <w:tc>
          <w:tcPr>
            <w:tcW w:w="943" w:type="pct"/>
            <w:vAlign w:val="center"/>
          </w:tcPr>
          <w:p>
            <w:pPr>
              <w:pStyle w:val="affffffffffffffffffffffffffffffffe"/>
              <w:jc w:val="right"/>
            </w:pPr>
            <w:r>
              <w:t>172,299</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pPr>
              <w:pStyle w:val="affffffffffffffffffffffffffffffffe"/>
              <w:jc w:val="right"/>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sz w:val="24"/>
              </w:rPr>
            </w:pPr>
            <w:r>
              <w:t>167,123</w:t>
            </w:r>
          </w:p>
        </w:tc>
        <w:tc>
          <w:tcPr>
            <w:tcW w:w="943" w:type="pct"/>
            <w:vAlign w:val="center"/>
          </w:tcPr>
          <w:p>
            <w:pPr>
              <w:pStyle w:val="affffffffffffffffffffffffffffffffe"/>
              <w:jc w:val="right"/>
            </w:pPr>
            <w:r>
              <w:t>167,123</w:t>
            </w: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pPr>
              <w:pStyle w:val="affffffffffffffffffffffffffffffffe"/>
              <w:jc w:val="right"/>
            </w:pPr>
            <w:r>
              <w:t>9,655</w:t>
            </w:r>
          </w:p>
        </w:tc>
        <w:tc>
          <w:tcPr>
            <w:tcW w:w="1097" w:type="pct"/>
            <w:vAlign w:val="center"/>
          </w:tcPr>
          <w:p>
            <w:pPr>
              <w:pStyle w:val="affffffffffffffffffffffffffffffffe"/>
              <w:jc w:val="right"/>
            </w:pPr>
          </w:p>
        </w:tc>
        <w:tc>
          <w:tcPr>
            <w:tcW w:w="1097" w:type="pct"/>
            <w:vAlign w:val="center"/>
          </w:tcPr>
          <w:p>
            <w:pPr>
              <w:jc w:val="right"/>
              <w:rPr>
                <w:sz w:val="24"/>
              </w:rPr>
            </w:pPr>
            <w:r>
              <w:t>25,331</w:t>
            </w:r>
          </w:p>
        </w:tc>
        <w:tc>
          <w:tcPr>
            <w:tcW w:w="943" w:type="pct"/>
            <w:vAlign w:val="center"/>
          </w:tcPr>
          <w:p>
            <w:pPr>
              <w:pStyle w:val="affffffffffffffffffffffffffffffffe"/>
              <w:jc w:val="right"/>
            </w:pPr>
            <w:r>
              <w:t>34,986</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pPr>
              <w:pStyle w:val="affffffffffffffffffffffffffffffffe"/>
              <w:jc w:val="right"/>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sz w:val="24"/>
              </w:rPr>
            </w:pPr>
            <w:r>
              <w:t>16,856</w:t>
            </w:r>
          </w:p>
        </w:tc>
        <w:tc>
          <w:tcPr>
            <w:tcW w:w="943" w:type="pct"/>
            <w:vAlign w:val="center"/>
          </w:tcPr>
          <w:p>
            <w:pPr>
              <w:pStyle w:val="affffffffffffffffffffffffffffffffe"/>
              <w:jc w:val="right"/>
            </w:pPr>
            <w:r>
              <w:t>16,856</w:t>
            </w: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pPr>
              <w:pStyle w:val="affffffffffffffffffffffffffffffffe"/>
              <w:jc w:val="right"/>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1097" w:type="pct"/>
            <w:vAlign w:val="center"/>
          </w:tcPr>
          <w:p>
            <w:pPr>
              <w:jc w:val="right"/>
              <w:rPr>
                <w:rFonts w:ascii="Times New Roman" w:eastAsia="Times New Roman" w:hAnsi="Times New Roman" w:cs="Times New Roman"/>
                <w:sz w:val="20"/>
                <w:szCs w:val="20"/>
              </w:rPr>
            </w:pPr>
          </w:p>
        </w:tc>
        <w:tc>
          <w:tcPr>
            <w:tcW w:w="943" w:type="pct"/>
            <w:vAlign w:val="center"/>
          </w:tcPr>
          <w:p>
            <w:pPr>
              <w:jc w:val="right"/>
              <w:rPr>
                <w:rFonts w:ascii="Times New Roman" w:eastAsia="Times New Roman" w:hAnsi="Times New Roman" w:cs="Times New Roman"/>
                <w:sz w:val="20"/>
                <w:szCs w:val="20"/>
              </w:rPr>
            </w:pPr>
          </w:p>
        </w:tc>
      </w:tr>
      <w:tr>
        <w:tc>
          <w:tcPr>
            <w:tcW w:w="1001"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pPr>
              <w:jc w:val="right"/>
              <w:rPr>
                <w:sz w:val="24"/>
              </w:rPr>
            </w:pPr>
            <w:r>
              <w:t>120,457</w:t>
            </w:r>
          </w:p>
        </w:tc>
        <w:tc>
          <w:tcPr>
            <w:tcW w:w="1097" w:type="pct"/>
            <w:vAlign w:val="center"/>
          </w:tcPr>
          <w:p>
            <w:pPr>
              <w:pStyle w:val="affffffffffffffffffffffffffffffffe"/>
              <w:jc w:val="right"/>
            </w:pPr>
          </w:p>
        </w:tc>
        <w:tc>
          <w:tcPr>
            <w:tcW w:w="1097" w:type="pct"/>
            <w:vAlign w:val="center"/>
          </w:tcPr>
          <w:p>
            <w:pPr>
              <w:jc w:val="right"/>
              <w:rPr>
                <w:sz w:val="24"/>
              </w:rPr>
            </w:pPr>
            <w:r>
              <w:t>167,123</w:t>
            </w:r>
          </w:p>
        </w:tc>
        <w:tc>
          <w:tcPr>
            <w:tcW w:w="943" w:type="pct"/>
            <w:vAlign w:val="center"/>
          </w:tcPr>
          <w:p>
            <w:pPr>
              <w:pStyle w:val="affffffffffffffffffffffffffffffffe"/>
              <w:jc w:val="right"/>
            </w:pPr>
            <w:r>
              <w:t>287,580</w:t>
            </w:r>
          </w:p>
        </w:tc>
      </w:tr>
    </w:tbl>
    <w:p>
      <w:pPr>
        <w:pStyle w:val="affffffffffffffffffffffffffffffffe"/>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长期应收款各阶段划分依据和减值准备计提比例"/>
        <w:tag w:val="_GBC_1ce93281b7234898b8b1b4056be89182"/>
        <w:id w:val="1480577607"/>
        <w:placeholder>
          <w:docPart w:val="GBC22222222222222222222222222222"/>
        </w:placeholder>
      </w:sdtPr>
      <w:sdtContent>
        <w:p>
          <w:pPr>
            <w:rPr>
              <w:rFonts w:cs="Times New Roman"/>
              <w:bCs/>
              <w:szCs w:val="22"/>
            </w:rPr>
          </w:pPr>
          <w:r>
            <w:rPr>
              <w:rFonts w:cs="Times New Roman"/>
              <w:bCs/>
              <w:szCs w:val="22"/>
            </w:rPr>
            <w:t>-</w:t>
          </w:r>
        </w:p>
      </w:sdtContent>
    </w:sdt>
    <w:p>
      <w:pPr>
        <w:pStyle w:val="affffffffffffffffffffffffffffffffe"/>
      </w:pPr>
    </w:p>
    <w:p>
      <w:pPr>
        <w:pStyle w:val="affffffffffffffffffffffffffffffffffff"/>
      </w:pPr>
      <w:r>
        <w:rPr>
          <w:rFonts w:hint="eastAsia"/>
        </w:rPr>
        <w:t>对本期发生损失准备变动的长期应收款账面余额显著变动的情况说明：</w:t>
      </w:r>
    </w:p>
    <w:sdt>
      <w:sdtPr>
        <w:rPr>
          <w:szCs w:val="21"/>
        </w:rPr>
        <w:alias w:val="是否适用：长期应收款本期发生损失准备变动且账面余额显著变动的情况说明[双击切换]"/>
        <w:tag w:val="_GBC_8e2c1b904a3a4c10829d424151d47109"/>
        <w:id w:val="150162794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410"/>
    <w:p>
      <w:pPr>
        <w:pStyle w:val="affffffffffffffffffffffffffffffffffff"/>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47028825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3"/>
          <w:numId w:val="169"/>
        </w:numPr>
        <w:ind w:left="426" w:hanging="426"/>
        <w:rPr>
          <w:rFonts w:ascii="宋体" w:eastAsia="宋体" w:hAnsi="宋体" w:cs="宋体"/>
          <w:kern w:val="0"/>
          <w:szCs w:val="24"/>
        </w:rPr>
      </w:pPr>
      <w:bookmarkStart w:id="411" w:name="_Hlk153457634"/>
      <w:bookmarkStart w:id="412" w:name="_Hlk154131356"/>
      <w:r>
        <w:rPr>
          <w:rFonts w:ascii="宋体" w:eastAsia="宋体" w:hAnsi="宋体" w:cs="宋体" w:hint="eastAsia"/>
          <w:kern w:val="0"/>
          <w:szCs w:val="24"/>
        </w:rPr>
        <w:t>坏账准备的情况</w:t>
      </w:r>
    </w:p>
    <w:sdt>
      <w:sdtPr>
        <w:alias w:val="是否适用：坏账准备情况[双击切换]"/>
        <w:tag w:val="_GBC_1878fe8dd18b4d7f9eb1b263bc7833d1"/>
        <w:id w:val="-213917845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101499144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坏账准备情况"/>
          <w:tag w:val="_GBC_91b48dea1a804a74bee76eea04035acd"/>
          <w:id w:val="-719286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4"/>
        <w:gridCol w:w="1213"/>
        <w:gridCol w:w="1317"/>
        <w:gridCol w:w="1212"/>
        <w:gridCol w:w="1216"/>
        <w:gridCol w:w="1212"/>
        <w:gridCol w:w="1209"/>
      </w:tblGrid>
      <w:tr>
        <w:bookmarkEnd w:id="412" w:displacedByCustomXml="next"/>
        <w:sdt>
          <w:sdtPr>
            <w:tag w:val="_PLD_1b57eec9eb0c4064b8160bee3fcae2b4"/>
            <w:id w:val="-1730686672"/>
          </w:sdtPr>
          <w:sdtContent>
            <w:tc>
              <w:tcPr>
                <w:tcW w:w="818" w:type="pct"/>
                <w:vMerge w:val="restart"/>
                <w:shd w:val="clear" w:color="auto" w:fill="FFFFFF"/>
                <w:vAlign w:val="center"/>
              </w:tcPr>
              <w:p>
                <w:pPr>
                  <w:jc w:val="center"/>
                </w:pPr>
                <w:r>
                  <w:t>类别</w:t>
                </w:r>
              </w:p>
            </w:tc>
          </w:sdtContent>
        </w:sdt>
        <w:sdt>
          <w:sdtPr>
            <w:tag w:val="_PLD_35b59bfd9c7d401382d341cb7fd9f429"/>
            <w:id w:val="2079089298"/>
          </w:sdtPr>
          <w:sdtContent>
            <w:tc>
              <w:tcPr>
                <w:tcW w:w="687" w:type="pct"/>
                <w:vMerge w:val="restart"/>
                <w:shd w:val="clear" w:color="auto" w:fill="FFFFFF"/>
                <w:vAlign w:val="center"/>
              </w:tcPr>
              <w:p>
                <w:pPr>
                  <w:jc w:val="center"/>
                </w:pPr>
                <w:r>
                  <w:t>期初余额</w:t>
                </w:r>
              </w:p>
            </w:tc>
          </w:sdtContent>
        </w:sdt>
        <w:sdt>
          <w:sdtPr>
            <w:tag w:val="_PLD_f832a927fbc74b77a4b316e48dd5b52d"/>
            <w:id w:val="-638879650"/>
          </w:sdtPr>
          <w:sdtContent>
            <w:tc>
              <w:tcPr>
                <w:tcW w:w="2809" w:type="pct"/>
                <w:gridSpan w:val="4"/>
                <w:shd w:val="clear" w:color="auto" w:fill="FFFFFF"/>
                <w:vAlign w:val="center"/>
              </w:tcPr>
              <w:p>
                <w:pPr>
                  <w:jc w:val="center"/>
                </w:pPr>
                <w:r>
                  <w:rPr>
                    <w:rFonts w:hint="eastAsia"/>
                  </w:rPr>
                  <w:t>本期变动</w:t>
                </w:r>
                <w:r>
                  <w:t>金额</w:t>
                </w:r>
              </w:p>
            </w:tc>
          </w:sdtContent>
        </w:sdt>
        <w:tc>
          <w:tcPr>
            <w:tcW w:w="685" w:type="pct"/>
            <w:vMerge w:val="restart"/>
            <w:shd w:val="clear" w:color="auto" w:fill="FFFFFF"/>
            <w:vAlign w:val="center"/>
          </w:tcPr>
          <w:sdt>
            <w:sdtPr>
              <w:tag w:val="_PLD_ccc97add96524818a21d9404254ba0a1"/>
              <w:id w:val="426311347"/>
            </w:sdtPr>
            <w:sdtContent>
              <w:p>
                <w:pPr>
                  <w:jc w:val="center"/>
                </w:pPr>
                <w:r>
                  <w:t>期末余额</w:t>
                </w:r>
              </w:p>
            </w:sdtContent>
          </w:sdt>
        </w:tc>
      </w:tr>
      <w:tr>
        <w:tc>
          <w:tcPr>
            <w:tcW w:w="818" w:type="pct"/>
            <w:vMerge/>
            <w:shd w:val="clear" w:color="auto" w:fill="FFFFFF"/>
          </w:tcPr>
          <w:p>
            <w:pPr>
              <w:jc w:val="center"/>
            </w:pPr>
          </w:p>
        </w:tc>
        <w:tc>
          <w:tcPr>
            <w:tcW w:w="687" w:type="pct"/>
            <w:vMerge/>
            <w:shd w:val="clear" w:color="auto" w:fill="FFFFFF"/>
          </w:tcPr>
          <w:p>
            <w:pPr>
              <w:jc w:val="center"/>
            </w:pPr>
          </w:p>
        </w:tc>
        <w:sdt>
          <w:sdtPr>
            <w:tag w:val="_PLD_8c73657619504c478224bb03d05744fb"/>
            <w:id w:val="1996835375"/>
          </w:sdtPr>
          <w:sdtContent>
            <w:tc>
              <w:tcPr>
                <w:tcW w:w="746" w:type="pct"/>
                <w:shd w:val="clear" w:color="auto" w:fill="FFFFFF"/>
                <w:vAlign w:val="center"/>
              </w:tcPr>
              <w:p>
                <w:pPr>
                  <w:jc w:val="center"/>
                </w:pPr>
                <w:r>
                  <w:t>计提</w:t>
                </w:r>
              </w:p>
            </w:tc>
          </w:sdtContent>
        </w:sdt>
        <w:sdt>
          <w:sdtPr>
            <w:tag w:val="_PLD_022cda494f134770bf3ef208bf599998"/>
            <w:id w:val="1378808608"/>
          </w:sdtPr>
          <w:sdtContent>
            <w:tc>
              <w:tcPr>
                <w:tcW w:w="687" w:type="pct"/>
                <w:shd w:val="clear" w:color="auto" w:fill="FFFFFF"/>
                <w:vAlign w:val="center"/>
              </w:tcPr>
              <w:p>
                <w:pPr>
                  <w:jc w:val="center"/>
                </w:pPr>
                <w:r>
                  <w:rPr>
                    <w:rFonts w:hint="eastAsia"/>
                  </w:rPr>
                  <w:t>收回或转回</w:t>
                </w:r>
              </w:p>
            </w:tc>
          </w:sdtContent>
        </w:sdt>
        <w:sdt>
          <w:sdtPr>
            <w:tag w:val="_PLD_3c73b120957a4df8af659b57c66c504b"/>
            <w:id w:val="-1832745398"/>
          </w:sdtPr>
          <w:sdtContent>
            <w:tc>
              <w:tcPr>
                <w:tcW w:w="689" w:type="pct"/>
                <w:shd w:val="clear" w:color="auto" w:fill="FFFFFF"/>
                <w:vAlign w:val="center"/>
              </w:tcPr>
              <w:p>
                <w:pPr>
                  <w:jc w:val="center"/>
                </w:pPr>
                <w:r>
                  <w:rPr>
                    <w:rFonts w:hint="eastAsia"/>
                  </w:rPr>
                  <w:t>转销或核销</w:t>
                </w:r>
              </w:p>
            </w:tc>
          </w:sdtContent>
        </w:sdt>
        <w:sdt>
          <w:sdtPr>
            <w:tag w:val="_PLD_3a826535e5024414812e143b3ba426dc"/>
            <w:id w:val="292955317"/>
          </w:sdtPr>
          <w:sdtContent>
            <w:tc>
              <w:tcPr>
                <w:tcW w:w="687" w:type="pct"/>
                <w:shd w:val="clear" w:color="auto" w:fill="FFFFFF"/>
                <w:vAlign w:val="center"/>
              </w:tcPr>
              <w:p>
                <w:pPr>
                  <w:jc w:val="center"/>
                </w:pPr>
                <w:r>
                  <w:rPr>
                    <w:rFonts w:hint="eastAsia"/>
                  </w:rPr>
                  <w:t>其他变动</w:t>
                </w:r>
              </w:p>
            </w:tc>
          </w:sdtContent>
        </w:sdt>
        <w:tc>
          <w:tcPr>
            <w:tcW w:w="685" w:type="pct"/>
            <w:vMerge/>
            <w:shd w:val="clear" w:color="auto" w:fill="FFFFFF"/>
          </w:tcPr>
          <w:p>
            <w:pPr>
              <w:jc w:val="right"/>
            </w:pPr>
          </w:p>
        </w:tc>
      </w:tr>
      <w:tr>
        <w:tc>
          <w:tcPr>
            <w:tcW w:w="818" w:type="pct"/>
            <w:shd w:val="clear" w:color="auto" w:fill="auto"/>
          </w:tcPr>
          <w:p>
            <w:pPr>
              <w:pStyle w:val="affffffffffffffffffffffffffffffffe"/>
            </w:pPr>
            <w:r>
              <w:t>坏账准备</w:t>
            </w:r>
          </w:p>
        </w:tc>
        <w:tc>
          <w:tcPr>
            <w:tcW w:w="687" w:type="pct"/>
            <w:shd w:val="clear" w:color="auto" w:fill="auto"/>
            <w:vAlign w:val="center"/>
          </w:tcPr>
          <w:p>
            <w:pPr>
              <w:jc w:val="right"/>
            </w:pPr>
            <w:r>
              <w:t>172,299</w:t>
            </w:r>
          </w:p>
        </w:tc>
        <w:tc>
          <w:tcPr>
            <w:tcW w:w="746" w:type="pct"/>
            <w:shd w:val="clear" w:color="auto" w:fill="auto"/>
            <w:vAlign w:val="center"/>
          </w:tcPr>
          <w:p>
            <w:pPr>
              <w:jc w:val="right"/>
            </w:pPr>
            <w:r>
              <w:t>167,123</w:t>
            </w:r>
          </w:p>
        </w:tc>
        <w:tc>
          <w:tcPr>
            <w:tcW w:w="687" w:type="pct"/>
            <w:shd w:val="clear" w:color="auto" w:fill="auto"/>
            <w:vAlign w:val="center"/>
          </w:tcPr>
          <w:p>
            <w:pPr>
              <w:jc w:val="right"/>
            </w:pPr>
            <w:r>
              <w:t>34,986</w:t>
            </w:r>
          </w:p>
        </w:tc>
        <w:tc>
          <w:tcPr>
            <w:tcW w:w="689" w:type="pct"/>
            <w:vAlign w:val="center"/>
          </w:tcPr>
          <w:p>
            <w:pPr>
              <w:jc w:val="right"/>
            </w:pPr>
            <w:r>
              <w:t>16,856</w:t>
            </w:r>
          </w:p>
        </w:tc>
        <w:tc>
          <w:tcPr>
            <w:tcW w:w="687" w:type="pct"/>
            <w:vAlign w:val="center"/>
          </w:tcPr>
          <w:p>
            <w:pPr>
              <w:jc w:val="right"/>
            </w:pPr>
          </w:p>
        </w:tc>
        <w:tc>
          <w:tcPr>
            <w:tcW w:w="685" w:type="pct"/>
            <w:shd w:val="clear" w:color="auto" w:fill="auto"/>
            <w:vAlign w:val="center"/>
          </w:tcPr>
          <w:p>
            <w:pPr>
              <w:jc w:val="right"/>
            </w:pPr>
            <w:r>
              <w:t>287,580</w:t>
            </w:r>
          </w:p>
        </w:tc>
      </w:tr>
      <w:tr>
        <w:tc>
          <w:tcPr>
            <w:tcW w:w="818" w:type="pct"/>
            <w:shd w:val="clear" w:color="auto" w:fill="auto"/>
          </w:tcPr>
          <w:p>
            <w:pPr>
              <w:jc w:val="center"/>
            </w:pPr>
            <w:r>
              <w:rPr>
                <w:rFonts w:hint="eastAsia"/>
              </w:rPr>
              <w:t>合计</w:t>
            </w:r>
          </w:p>
        </w:tc>
        <w:tc>
          <w:tcPr>
            <w:tcW w:w="687" w:type="pct"/>
            <w:shd w:val="clear" w:color="auto" w:fill="auto"/>
            <w:vAlign w:val="center"/>
          </w:tcPr>
          <w:p>
            <w:pPr>
              <w:pStyle w:val="affffffffffffffffffffffffffffffffe"/>
              <w:jc w:val="right"/>
            </w:pPr>
            <w:r>
              <w:t>172,299</w:t>
            </w:r>
          </w:p>
        </w:tc>
        <w:tc>
          <w:tcPr>
            <w:tcW w:w="746" w:type="pct"/>
            <w:shd w:val="clear" w:color="auto" w:fill="auto"/>
            <w:vAlign w:val="center"/>
          </w:tcPr>
          <w:p>
            <w:pPr>
              <w:pStyle w:val="affffffffffffffffffffffffffffffffe"/>
              <w:jc w:val="right"/>
            </w:pPr>
            <w:r>
              <w:t>167,123</w:t>
            </w:r>
          </w:p>
        </w:tc>
        <w:tc>
          <w:tcPr>
            <w:tcW w:w="687" w:type="pct"/>
            <w:shd w:val="clear" w:color="auto" w:fill="auto"/>
            <w:vAlign w:val="center"/>
          </w:tcPr>
          <w:p>
            <w:pPr>
              <w:pStyle w:val="affffffffffffffffffffffffffffffffe"/>
              <w:jc w:val="right"/>
            </w:pPr>
            <w:r>
              <w:t>34,986</w:t>
            </w:r>
          </w:p>
        </w:tc>
        <w:tc>
          <w:tcPr>
            <w:tcW w:w="689" w:type="pct"/>
            <w:vAlign w:val="center"/>
          </w:tcPr>
          <w:p>
            <w:pPr>
              <w:pStyle w:val="affffffffffffffffffffffffffffffffe"/>
              <w:jc w:val="right"/>
            </w:pPr>
            <w:r>
              <w:t>16,856</w:t>
            </w:r>
          </w:p>
        </w:tc>
        <w:tc>
          <w:tcPr>
            <w:tcW w:w="687" w:type="pct"/>
            <w:vAlign w:val="center"/>
          </w:tcPr>
          <w:p>
            <w:pPr>
              <w:pStyle w:val="affffffffffffffffffffffffffffffffe"/>
              <w:jc w:val="right"/>
            </w:pPr>
          </w:p>
        </w:tc>
        <w:tc>
          <w:tcPr>
            <w:tcW w:w="685" w:type="pct"/>
            <w:shd w:val="clear" w:color="auto" w:fill="auto"/>
            <w:vAlign w:val="center"/>
          </w:tcPr>
          <w:p>
            <w:pPr>
              <w:jc w:val="right"/>
              <w:rPr>
                <w:sz w:val="24"/>
              </w:rPr>
            </w:pPr>
            <w:r>
              <w:t>287,580</w:t>
            </w:r>
          </w:p>
        </w:tc>
      </w:tr>
    </w:tbl>
    <w:p>
      <w:pPr>
        <w:pStyle w:val="affffffffffffffffffffffffffffffffe"/>
      </w:pPr>
    </w:p>
    <w:p>
      <w:pPr>
        <w:pStyle w:val="affffffffffffffffffffffffffffffffe"/>
      </w:pPr>
      <w:r>
        <w:rPr>
          <w:rFonts w:hint="eastAsia"/>
        </w:rPr>
        <w:t>其中本期坏账准备收回或转回金额重要的：</w:t>
      </w:r>
    </w:p>
    <w:sdt>
      <w:sdtPr>
        <w:alias w:val="是否适用：本期坏账准备收回或转回金额重要的[双击切换]"/>
        <w:tag w:val="_GBC_b4e3b5deca584587a596a753699de6b7"/>
        <w:id w:val="194048275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坏账准备情况的说明"/>
        <w:tag w:val="_GBC_b5a80a414fe14b5c9e4001ca8a0f4bbf"/>
        <w:id w:val="2029135294"/>
        <w:placeholder>
          <w:docPart w:val="GBC22222222222222222222222222222"/>
        </w:placeholder>
      </w:sdtPr>
      <w:sdtContent>
        <w:p>
          <w:pPr>
            <w:ind w:rightChars="20" w:right="42"/>
          </w:pPr>
          <w:r>
            <w:t>-</w:t>
          </w:r>
        </w:p>
      </w:sdtContent>
    </w:sdt>
    <w:p>
      <w:pPr>
        <w:ind w:rightChars="-759" w:right="-1594"/>
      </w:pPr>
    </w:p>
    <w:p>
      <w:pPr>
        <w:pStyle w:val="afffffffffffffffffffffffffffffffff1"/>
        <w:numPr>
          <w:ilvl w:val="3"/>
          <w:numId w:val="169"/>
        </w:numPr>
        <w:ind w:left="426" w:hanging="426"/>
        <w:rPr>
          <w:rFonts w:ascii="宋体" w:eastAsia="宋体" w:hAnsi="宋体" w:cs="宋体"/>
          <w:kern w:val="0"/>
          <w:szCs w:val="24"/>
        </w:rPr>
      </w:pPr>
      <w:r>
        <w:rPr>
          <w:rFonts w:ascii="宋体" w:eastAsia="宋体" w:hAnsi="宋体" w:cs="宋体"/>
          <w:kern w:val="0"/>
          <w:szCs w:val="24"/>
        </w:rPr>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93108851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实际核销的情况"/>
          <w:tag w:val="_GBC_3507b2cdc9cb464981f32d035133146f"/>
          <w:id w:val="-15119735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实际核销的情况"/>
          <w:tag w:val="_GBC_b8f851ff8e15451a924996051f4900b5"/>
          <w:id w:val="168236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r>
        <w:rPr>
          <w:szCs w:val="21"/>
        </w:rPr>
        <w:t xml:space="preserve"> </w:t>
      </w:r>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6"/>
        <w:gridCol w:w="4657"/>
      </w:tblGrid>
      <w:tr>
        <w:sdt>
          <w:sdtPr>
            <w:tag w:val="_PLD_12bd810d00d6487fb6289c578f2772b0"/>
            <w:id w:val="2115175880"/>
          </w:sdtPr>
          <w:sdtContent>
            <w:tc>
              <w:tcPr>
                <w:tcW w:w="2361" w:type="pct"/>
                <w:vAlign w:val="center"/>
              </w:tcPr>
              <w:p>
                <w:pPr>
                  <w:jc w:val="center"/>
                  <w:rPr>
                    <w:szCs w:val="21"/>
                  </w:rPr>
                </w:pPr>
                <w:r>
                  <w:rPr>
                    <w:rFonts w:hint="eastAsia"/>
                    <w:szCs w:val="21"/>
                  </w:rPr>
                  <w:t>项目</w:t>
                </w:r>
              </w:p>
            </w:tc>
          </w:sdtContent>
        </w:sdt>
        <w:tc>
          <w:tcPr>
            <w:tcW w:w="2639" w:type="pct"/>
          </w:tcPr>
          <w:sdt>
            <w:sdtPr>
              <w:tag w:val="_PLD_4f673d5d3ad248c1bbe0c51377c5707c"/>
              <w:id w:val="597760854"/>
            </w:sdtPr>
            <w:sdtContent>
              <w:p>
                <w:pPr>
                  <w:jc w:val="center"/>
                  <w:rPr>
                    <w:szCs w:val="21"/>
                  </w:rPr>
                </w:pPr>
                <w:r>
                  <w:rPr>
                    <w:rFonts w:hint="eastAsia"/>
                    <w:szCs w:val="21"/>
                  </w:rPr>
                  <w:t>核销金额</w:t>
                </w:r>
              </w:p>
            </w:sdtContent>
          </w:sdt>
        </w:tc>
      </w:tr>
      <w:tr>
        <w:tc>
          <w:tcPr>
            <w:tcW w:w="2361" w:type="pct"/>
          </w:tcPr>
          <w:p>
            <w:pPr>
              <w:rPr>
                <w:szCs w:val="21"/>
              </w:rPr>
            </w:pPr>
            <w:r>
              <w:rPr>
                <w:rFonts w:hint="eastAsia"/>
                <w:szCs w:val="21"/>
              </w:rPr>
              <w:t>实际核销的长期应收款</w:t>
            </w:r>
          </w:p>
        </w:tc>
        <w:tc>
          <w:tcPr>
            <w:tcW w:w="2639" w:type="pct"/>
          </w:tcPr>
          <w:p>
            <w:pPr>
              <w:jc w:val="right"/>
              <w:rPr>
                <w:szCs w:val="21"/>
              </w:rPr>
            </w:pPr>
            <w:r>
              <w:rPr>
                <w:szCs w:val="21"/>
              </w:rPr>
              <w:t>16,856</w:t>
            </w:r>
          </w:p>
        </w:tc>
      </w:tr>
    </w:tbl>
    <w:p>
      <w:pPr>
        <w:rPr>
          <w:szCs w:val="21"/>
        </w:rPr>
      </w:pPr>
    </w:p>
    <w:p>
      <w:pPr>
        <w:rPr>
          <w:szCs w:val="21"/>
        </w:rPr>
      </w:pPr>
      <w:r>
        <w:rPr>
          <w:rFonts w:hint="eastAsia"/>
          <w:szCs w:val="21"/>
        </w:rPr>
        <w:t>其中重要的长期应收款核销情况</w:t>
      </w:r>
    </w:p>
    <w:sdt>
      <w:sdtPr>
        <w:rPr>
          <w:rFonts w:hint="eastAsia"/>
          <w:szCs w:val="21"/>
        </w:rPr>
        <w:alias w:val="是否适用：重要的核销情况[双击切换]"/>
        <w:tag w:val="_GBC_17fbcf123507404b9fc25df0517e3788"/>
        <w:id w:val="-20880430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长期应收款核销说明：</w:t>
      </w:r>
    </w:p>
    <w:sdt>
      <w:sdtPr>
        <w:rPr>
          <w:szCs w:val="21"/>
        </w:rPr>
        <w:alias w:val="是否适用：核销说明[双击切换]"/>
        <w:tag w:val="_GBC_b5e2283b2a954039b963ac2506245e4d"/>
        <w:id w:val="1344510092"/>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411"/>
    <w:p>
      <w:pPr>
        <w:rPr>
          <w:szCs w:val="21"/>
        </w:rPr>
      </w:pPr>
      <w:r>
        <w:rPr>
          <w:rFonts w:hint="eastAsia"/>
          <w:szCs w:val="21"/>
        </w:rPr>
        <w:t>其他说明：</w:t>
      </w:r>
    </w:p>
    <w:sdt>
      <w:sdtPr>
        <w:rPr>
          <w:szCs w:val="21"/>
        </w:rPr>
        <w:alias w:val="是否适用：长期应收款的其他说明[双击切换]"/>
        <w:tag w:val="_GBC_374ef9a861254142b9ef8519d87eb5ac"/>
        <w:id w:val="-2000408863"/>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sectPr>
          <w:pgSz w:w="11906" w:h="16838"/>
          <w:pgMar w:top="1440" w:right="1797" w:bottom="1525" w:left="1276" w:header="856" w:footer="992" w:gutter="0"/>
          <w:cols w:space="425"/>
          <w:docGrid w:linePitch="312"/>
        </w:sectPr>
      </w:pPr>
    </w:p>
    <w:p>
      <w:pPr>
        <w:rPr>
          <w:szCs w:val="21"/>
        </w:rPr>
      </w:pPr>
    </w:p>
    <w:p>
      <w:pPr>
        <w:pStyle w:val="afffffffffffffffffffffffffffffffff0"/>
        <w:numPr>
          <w:ilvl w:val="0"/>
          <w:numId w:val="103"/>
        </w:numPr>
        <w:tabs>
          <w:tab w:val="left" w:pos="504"/>
        </w:tabs>
        <w:rPr>
          <w:rFonts w:ascii="宋体" w:hAnsi="宋体"/>
          <w:szCs w:val="21"/>
        </w:rPr>
      </w:pPr>
      <w:r>
        <w:rPr>
          <w:rFonts w:ascii="宋体" w:hAnsi="宋体" w:hint="eastAsia"/>
          <w:szCs w:val="21"/>
        </w:rPr>
        <w:t>长期股权投资</w:t>
      </w:r>
    </w:p>
    <w:p>
      <w:pPr>
        <w:pStyle w:val="affffffffffffffffff7"/>
        <w:numPr>
          <w:ilvl w:val="0"/>
          <w:numId w:val="109"/>
        </w:numPr>
      </w:pPr>
      <w:r>
        <w:rPr>
          <w:rFonts w:hint="eastAsia"/>
        </w:rPr>
        <w:t>长期股权投资情况</w:t>
      </w:r>
    </w:p>
    <w:p>
      <w:pPr>
        <w:pStyle w:val="affffffffffffffffff3"/>
      </w:pPr>
      <w:sdt>
        <w:sdtPr>
          <w:rPr>
            <w:rFonts w:hint="eastAsia"/>
          </w:rPr>
          <w:alias w:val="是否适用：长期股权投资[双击切换]"/>
          <w:tag w:val="_GBC_94e2c461d3d34280a0a5f1e908656d3e"/>
          <w:id w:val="-1101251528"/>
        </w:sdtPr>
        <w:sdtContent>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sdtContent>
      </w:sdt>
    </w:p>
    <w:p>
      <w:pPr>
        <w:jc w:val="right"/>
        <w:rPr>
          <w:szCs w:val="21"/>
        </w:rPr>
      </w:pPr>
      <w:r>
        <w:rPr>
          <w:rFonts w:hint="eastAsia"/>
          <w:szCs w:val="21"/>
        </w:rPr>
        <w:t>单位：</w:t>
      </w:r>
      <w:sdt>
        <w:sdtPr>
          <w:rPr>
            <w:rFonts w:hint="eastAsia"/>
            <w:szCs w:val="21"/>
          </w:rPr>
          <w:alias w:val="单位：财务附注：长期股权投资"/>
          <w:tag w:val="_GBC_9ef1128bd666425898c1d0386f4940f0"/>
          <w:id w:val="-178294651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长期股权投资"/>
          <w:tag w:val="_GBC_3839232c7f594f79a27ec799cde377b3"/>
          <w:id w:val="112596408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67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02"/>
        <w:gridCol w:w="1275"/>
        <w:gridCol w:w="850"/>
        <w:gridCol w:w="991"/>
        <w:gridCol w:w="1133"/>
        <w:gridCol w:w="853"/>
        <w:gridCol w:w="850"/>
        <w:gridCol w:w="1133"/>
        <w:gridCol w:w="1136"/>
        <w:gridCol w:w="1001"/>
        <w:gridCol w:w="850"/>
        <w:gridCol w:w="1133"/>
        <w:gridCol w:w="1130"/>
      </w:tblGrid>
      <w:tr>
        <w:sdt>
          <w:sdtPr>
            <w:rPr>
              <w:szCs w:val="21"/>
            </w:rPr>
            <w:tag w:val="_PLD_904000e8ce384d4988e09c22d5f8f725"/>
            <w:id w:val="-1193069503"/>
          </w:sdtPr>
          <w:sdtContent>
            <w:tc>
              <w:tcPr>
                <w:tcW w:w="1081"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被投资单位</w:t>
                </w:r>
              </w:p>
            </w:tc>
          </w:sdtContent>
        </w:sdt>
        <w:sdt>
          <w:sdtPr>
            <w:rPr>
              <w:szCs w:val="21"/>
            </w:rPr>
            <w:tag w:val="_PLD_2325481f20324f949b4d5af7cfe3ea45"/>
            <w:id w:val="-128164981"/>
          </w:sdtPr>
          <w:sdtContent>
            <w:tc>
              <w:tcPr>
                <w:tcW w:w="405"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rPr>
              <w:szCs w:val="21"/>
            </w:rPr>
            <w:tag w:val="_PLD_62e0836260734d34965d8070b1a6f2dd"/>
            <w:id w:val="1248457196"/>
          </w:sdtPr>
          <w:sdtContent>
            <w:tc>
              <w:tcPr>
                <w:tcW w:w="2525" w:type="pct"/>
                <w:gridSpan w:val="8"/>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本期增减变动</w:t>
                </w:r>
              </w:p>
            </w:tc>
          </w:sdtContent>
        </w:sdt>
        <w:tc>
          <w:tcPr>
            <w:tcW w:w="270"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外币报表折算差额</w:t>
            </w:r>
          </w:p>
          <w:p>
            <w:pPr>
              <w:jc w:val="center"/>
              <w:rPr>
                <w:szCs w:val="21"/>
              </w:rPr>
            </w:pPr>
          </w:p>
        </w:tc>
        <w:sdt>
          <w:sdtPr>
            <w:rPr>
              <w:szCs w:val="21"/>
            </w:rPr>
            <w:tag w:val="_PLD_7b9429fc29b64f4c83eea02ed0cad7ba"/>
            <w:id w:val="1421612675"/>
          </w:sdtPr>
          <w:sdtContent>
            <w:tc>
              <w:tcPr>
                <w:tcW w:w="360"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rPr>
              <w:szCs w:val="21"/>
            </w:rPr>
            <w:tag w:val="_PLD_79298dc466f54a239357520005d5d0d6"/>
            <w:id w:val="-395894946"/>
          </w:sdtPr>
          <w:sdtContent>
            <w:tc>
              <w:tcPr>
                <w:tcW w:w="357"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减值准备期末余额</w:t>
                </w:r>
              </w:p>
            </w:tc>
          </w:sdtContent>
        </w:sdt>
      </w:tr>
      <w:tr>
        <w:tc>
          <w:tcPr>
            <w:tcW w:w="1081" w:type="pct"/>
            <w:vMerge/>
            <w:tcBorders>
              <w:left w:val="single" w:sz="4" w:space="0" w:color="auto"/>
              <w:bottom w:val="single" w:sz="4" w:space="0" w:color="auto"/>
              <w:right w:val="single" w:sz="4" w:space="0" w:color="auto"/>
            </w:tcBorders>
            <w:shd w:val="clear" w:color="auto" w:fill="auto"/>
          </w:tcPr>
          <w:p>
            <w:pPr>
              <w:jc w:val="center"/>
              <w:rPr>
                <w:szCs w:val="21"/>
              </w:rPr>
            </w:pPr>
          </w:p>
        </w:tc>
        <w:tc>
          <w:tcPr>
            <w:tcW w:w="405" w:type="pct"/>
            <w:vMerge/>
            <w:tcBorders>
              <w:left w:val="single" w:sz="4" w:space="0" w:color="auto"/>
              <w:bottom w:val="single" w:sz="4" w:space="0" w:color="auto"/>
              <w:right w:val="single" w:sz="4" w:space="0" w:color="auto"/>
            </w:tcBorders>
            <w:shd w:val="clear" w:color="auto" w:fill="auto"/>
          </w:tcPr>
          <w:p>
            <w:pPr>
              <w:jc w:val="center"/>
              <w:rPr>
                <w:szCs w:val="21"/>
              </w:rPr>
            </w:pPr>
          </w:p>
        </w:tc>
        <w:sdt>
          <w:sdtPr>
            <w:rPr>
              <w:szCs w:val="21"/>
            </w:rPr>
            <w:tag w:val="_PLD_32174384d8204c80ab4f8eb2ee1b7c00"/>
            <w:id w:val="-1431197883"/>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追加投资</w:t>
                </w:r>
              </w:p>
            </w:tc>
          </w:sdtContent>
        </w:sdt>
        <w:sdt>
          <w:sdtPr>
            <w:rPr>
              <w:szCs w:val="21"/>
            </w:rPr>
            <w:tag w:val="_PLD_095046b604db44b8b22c0d62f18b7d7b"/>
            <w:id w:val="1437801314"/>
          </w:sdtPr>
          <w:sdtContent>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减少投资</w:t>
                </w:r>
              </w:p>
            </w:tc>
          </w:sdtContent>
        </w:sdt>
        <w:sdt>
          <w:sdtPr>
            <w:rPr>
              <w:szCs w:val="21"/>
            </w:rPr>
            <w:tag w:val="_PLD_6b1aa2f12a4b43c9acfdfe03af1b69b5"/>
            <w:id w:val="-951086137"/>
          </w:sdt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权益法下确认的投资损益</w:t>
                </w:r>
              </w:p>
            </w:tc>
          </w:sdtContent>
        </w:sdt>
        <w:sdt>
          <w:sdtPr>
            <w:rPr>
              <w:szCs w:val="21"/>
            </w:rPr>
            <w:tag w:val="_PLD_7843f54d0d14415a8d81c3e768bcd483"/>
            <w:id w:val="-1710717396"/>
          </w:sdtPr>
          <w:sdtContent>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其他综合收益调整</w:t>
                </w:r>
              </w:p>
            </w:tc>
          </w:sdtContent>
        </w:sdt>
        <w:sdt>
          <w:sdtPr>
            <w:rPr>
              <w:szCs w:val="21"/>
            </w:rPr>
            <w:tag w:val="_PLD_dd698127723b4ea0815eca9ac49240a1"/>
            <w:id w:val="-1540807261"/>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其他权益变动</w:t>
                </w:r>
              </w:p>
            </w:tc>
          </w:sdtContent>
        </w:sdt>
        <w:sdt>
          <w:sdtPr>
            <w:rPr>
              <w:szCs w:val="21"/>
            </w:rPr>
            <w:tag w:val="_PLD_6d37a876ad014b7ba59d452d3d7f5f15"/>
            <w:id w:val="522050533"/>
          </w:sdtPr>
          <w:sdtConten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宣告发放现金股利或利润</w:t>
                </w:r>
              </w:p>
            </w:tc>
          </w:sdtContent>
        </w:sdt>
        <w:sdt>
          <w:sdtPr>
            <w:rPr>
              <w:szCs w:val="21"/>
            </w:rPr>
            <w:tag w:val="_PLD_050d96d5e62f42b9bb4f13a2ca047503"/>
            <w:id w:val="1090357725"/>
          </w:sdtPr>
          <w:sdtContent>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计提减值准备</w:t>
                </w:r>
              </w:p>
            </w:tc>
          </w:sdtContent>
        </w:sdt>
        <w:sdt>
          <w:sdtPr>
            <w:rPr>
              <w:szCs w:val="21"/>
            </w:rPr>
            <w:tag w:val="_PLD_add111e25b4543c48121d495919f2030"/>
            <w:id w:val="885764880"/>
          </w:sdtPr>
          <w:sdtContent>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w:t>
                </w:r>
              </w:p>
            </w:tc>
          </w:sdtContent>
        </w:sdt>
        <w:tc>
          <w:tcPr>
            <w:tcW w:w="270"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60"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57"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r>
      <w:tr>
        <w:sdt>
          <w:sdtPr>
            <w:rPr>
              <w:szCs w:val="21"/>
            </w:rPr>
            <w:tag w:val="_PLD_35b755e14b594e4c91e0b7c9ecb32e60"/>
            <w:id w:val="-687604432"/>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一、合营企业</w:t>
                </w:r>
              </w:p>
            </w:tc>
          </w:sdtContent>
        </w:sdt>
      </w:tr>
      <w:sdt>
        <w:sdtPr>
          <w:rPr>
            <w:szCs w:val="21"/>
          </w:rPr>
          <w:alias w:val="合营企业投资信息明细"/>
          <w:tag w:val="_TUP_c75e58945b574362871fd5ee9d3f2706"/>
          <w:id w:val="-923260402"/>
        </w:sdt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圣地芬雷选煤工程技术（天津）有限公司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37,414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1,853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-10,000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46988a77a3a74d918373d7605013a788"/>
                <w:id w:val="-2099545639"/>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 xml:space="preserve">　</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29,267</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szCs w:val="21"/>
          </w:rPr>
          <w:alias w:val="合营企业投资信息明细"/>
          <w:tag w:val="_TUP_c75e58945b574362871fd5ee9d3f2706"/>
          <w:id w:val="1199819256"/>
        </w:sdt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山东博创凯盛工业科技有限公司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50,753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-1,517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-49,236</w:t>
                </w:r>
              </w:p>
            </w:tc>
            <w:sdt>
              <w:sdtPr>
                <w:rPr>
                  <w:szCs w:val="21"/>
                </w:rPr>
                <w:alias w:val="外币报表折算差额"/>
                <w:tag w:val="_GBC_46988a77a3a74d918373d7605013a788"/>
                <w:id w:val="-1506272177"/>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szCs w:val="21"/>
          </w:rPr>
          <w:alias w:val="合营企业投资信息明细"/>
          <w:tag w:val="_TUP_c75e58945b574362871fd5ee9d3f2706"/>
          <w:id w:val="1980966149"/>
        </w:sdt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山东丰隆智控科技有限公司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48,346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-3,817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46988a77a3a74d918373d7605013a788"/>
                <w:id w:val="-1882770911"/>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-2,880</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41,649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szCs w:val="21"/>
          </w:rPr>
          <w:alias w:val="合营企业投资信息明细"/>
          <w:tag w:val="_TUP_c75e58945b574362871fd5ee9d3f2706"/>
          <w:id w:val="442580706"/>
        </w:sdt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Middlemount Joint Venture（“中山矿合营企业”）</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1,219,482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74,096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46988a77a3a74d918373d7605013a788"/>
                <w:id w:val="2104221498"/>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-88,578</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1,205,000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szCs w:val="21"/>
          </w:rPr>
          <w:alias w:val="合营企业投资信息明细"/>
          <w:tag w:val="_TUP_c75e58945b574362871fd5ee9d3f2706"/>
          <w:id w:val="-1894110593"/>
        </w:sdt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小计</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1,355,995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70,615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-10,000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-49,236</w:t>
                </w:r>
              </w:p>
            </w:tc>
            <w:sdt>
              <w:sdtPr>
                <w:rPr>
                  <w:szCs w:val="21"/>
                </w:rPr>
                <w:alias w:val="外币报表折算差额"/>
                <w:tag w:val="_GBC_46988a77a3a74d918373d7605013a788"/>
                <w:id w:val="-1155602960"/>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-91,458</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1,275,916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tr>
        <w:sdt>
          <w:sdtPr>
            <w:rPr>
              <w:szCs w:val="21"/>
            </w:rPr>
            <w:tag w:val="_PLD_2c448562bca04f23a9ec97848768cd82"/>
            <w:id w:val="-1705395697"/>
          </w:sdtPr>
          <w:sdtContent>
            <w:tc>
              <w:tcPr>
                <w:tcW w:w="5000" w:type="pct"/>
                <w:gridSpan w:val="13"/>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二、联营企业</w:t>
                </w:r>
              </w:p>
            </w:tc>
          </w:sdtContent>
        </w:sdt>
      </w:tr>
      <w:sdt>
        <w:sdtPr>
          <w:rPr>
            <w:rFonts w:hint="eastAsia"/>
            <w:szCs w:val="21"/>
          </w:rPr>
          <w:alias w:val="联营企业投资信息明细"/>
          <w:tag w:val="_TUP_9536e771f46d491bae43945d896c883f"/>
          <w:id w:val="518435860"/>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兖矿清湖生态科技（山东）有限责任公司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5,344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-261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dd0b20d68abb4ecd9c5c30301d0a15ff"/>
                <w:id w:val="924928298"/>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5,083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096485492"/>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兖矿苗夫智慧生态科技（山东）有限公司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50,052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dd0b20d68abb4ecd9c5c30301d0a15ff"/>
                <w:id w:val="-87607326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50,088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459256885"/>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华电邹县发电有限公司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1,095,952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70,666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613</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-64,811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
              <w:sdtPr>
                <w:rPr>
                  <w:szCs w:val="21"/>
                </w:rPr>
                <w:alias w:val="外币报表折算差额"/>
                <w:tag w:val="_GBC_dd0b20d68abb4ecd9c5c30301d0a15ff"/>
                <w:id w:val="1723866887"/>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1,102,420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450472851"/>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上海中期期货股份有限公司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731,090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968977298"/>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齐鲁银行股份有限公司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2,570,513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031379298"/>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临商银行股份有限公司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2,156,759</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73,915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4,189</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3,017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447846677"/>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2,237,880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344365142"/>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山东省东岳泰恒发展有限公司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244,730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2,150</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84477063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246,880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563252766"/>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山东能源（海南）智慧国际科技有限公司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77,257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3,197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8,717</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990986492"/>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89,224</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554731717"/>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德伯特机械</w:t>
                </w:r>
                <w:r>
                  <w:rPr>
                    <w:color w:val="000000"/>
                    <w:szCs w:val="21"/>
                  </w:rPr>
                  <w:t xml:space="preserve">(山东)有限公司 </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20,315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913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-7,400</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-13,828</w:t>
                </w:r>
              </w:p>
            </w:tc>
            <w:sdt>
              <w:sdtPr>
                <w:rPr>
                  <w:szCs w:val="21"/>
                </w:rPr>
                <w:alias w:val="外币报表折算差额"/>
                <w:tag w:val="_GBC_dd0b20d68abb4ecd9c5c30301d0a15ff"/>
                <w:id w:val="-359044431"/>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944346271"/>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山东新宝龙工业科技有限公司（注</w:t>
                </w:r>
                <w:r>
                  <w:rPr>
                    <w:color w:val="000000"/>
                    <w:szCs w:val="21"/>
                  </w:rPr>
                  <w:t>1）</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133,707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28,604</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5,129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15,979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750257227"/>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14,332</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197,751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2010967107"/>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山东宝能智维工业科技有限公司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2,024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-299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76328194"/>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1,725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941720241"/>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山东天玛智能控制技术有限公司（注</w:t>
                </w:r>
                <w:r>
                  <w:rPr>
                    <w:color w:val="000000"/>
                    <w:szCs w:val="21"/>
                  </w:rPr>
                  <w:t>2）</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47,336</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62</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-47,398</w:t>
                </w:r>
              </w:p>
            </w:tc>
            <w:sdt>
              <w:sdtPr>
                <w:rPr>
                  <w:szCs w:val="21"/>
                </w:rPr>
                <w:alias w:val="外币报表折算差额"/>
                <w:tag w:val="_GBC_dd0b20d68abb4ecd9c5c30301d0a15ff"/>
                <w:id w:val="-179597308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628369704"/>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兖矿售电有限公司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34,147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2,881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-681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813434423"/>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36,347</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582959438"/>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内蒙古伊泰呼准铁路有限公司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2,206,022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47,833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-32,307</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98473965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2,221,548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301070764"/>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浙商银行股份有限公司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5,838,707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491903835"/>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水兴能源（邹城）有限公司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15,646</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sdt>
                  <w:sdtPr>
                    <w:rPr>
                      <w:szCs w:val="21"/>
                    </w:rPr>
                    <w:alias w:val="外币报表折算差额"/>
                    <w:tag w:val="_GBC_dd0b20d68abb4ecd9c5c30301d0a15ff"/>
                    <w:id w:val="-1308322321"/>
                    <w:showingPlcHdr/>
                  </w:sdtPr>
                  <w:sdtContent/>
                </w:sdt>
                <w:r>
                  <w:rPr>
                    <w:szCs w:val="21"/>
                  </w:rPr>
                  <w:t>342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15,988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2068560938"/>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Port Warratah Coal Services(沃拉塔港煤炭服务公司)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873,612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62,458</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-1,569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-58,939</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51518577"/>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-62,502</w:t>
                    </w: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813,060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909884971"/>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鄂尔多斯市海勒斯铁路运输有限公司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48,307</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171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956328718"/>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48,478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608782344"/>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山东聚合顺鲁化新材料有限公司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152,270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47,136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658120265"/>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199,406</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992622033"/>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内蒙古东能能源有限责任公司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12,222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67378412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12,279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911851734"/>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内蒙古西能能源有限责任公司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22,724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119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267813780"/>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22,843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568880802"/>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内蒙古锦联铝材有限公司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4,427,860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759,561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-453,231</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sdt>
              <w:sdtPr>
                <w:rPr>
                  <w:szCs w:val="21"/>
                </w:rPr>
                <w:alias w:val="外币报表折算差额"/>
                <w:tag w:val="_GBC_dd0b20d68abb4ecd9c5c30301d0a15ff"/>
                <w:id w:val="-1982073837"/>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4,734,190</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844062831"/>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内蒙古霍煤锦联矿业有限责任公司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14,968</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-839</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14,129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6,158</w:t>
                </w:r>
              </w:p>
            </w:tc>
          </w:tr>
        </w:sdtContent>
      </w:sdt>
      <w:sdt>
        <w:sdtPr>
          <w:rPr>
            <w:rFonts w:hint="eastAsia"/>
            <w:szCs w:val="21"/>
          </w:rPr>
          <w:alias w:val="联营企业投资信息明细"/>
          <w:tag w:val="_TUP_9536e771f46d491bae43945d896c883f"/>
          <w:id w:val="-725222700"/>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伊犁新天煤化工有限责任公司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1,902,382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196,687</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2,099,069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54399779"/>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山西安德辅助运输有限公司（注</w:t>
                </w:r>
                <w:r>
                  <w:rPr>
                    <w:color w:val="000000"/>
                    <w:szCs w:val="21"/>
                  </w:rPr>
                  <w:t>3）</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53</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53</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494296650"/>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福建东凯投资中心（有限合伙）（注</w:t>
                </w:r>
                <w:r>
                  <w:rPr>
                    <w:color w:val="000000"/>
                    <w:szCs w:val="21"/>
                  </w:rPr>
                  <w:t>4）</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32,402</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32,401</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340699974"/>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西裕（上海）氢能科技有限公司（注</w:t>
                </w:r>
                <w:r>
                  <w:rPr>
                    <w:color w:val="000000"/>
                    <w:szCs w:val="21"/>
                  </w:rPr>
                  <w:t>5）</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-76</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1,491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1,415</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2009356876"/>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山东星链智行物流科技有限公司（注</w:t>
                </w:r>
                <w:r>
                  <w:rPr>
                    <w:color w:val="000000"/>
                    <w:szCs w:val="21"/>
                  </w:rPr>
                  <w:t>6）</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1,174</w:t>
                </w:r>
              </w:p>
            </w:tc>
            <w:sdt>
              <w:sdtPr>
                <w:rPr>
                  <w:szCs w:val="21"/>
                </w:rPr>
                <w:alias w:val="外币报表折算差额"/>
                <w:tag w:val="_GBC_dd0b20d68abb4ecd9c5c30301d0a15ff"/>
                <w:id w:val="-1275400239"/>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1,174</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sdt>
        <w:sdtPr>
          <w:rPr>
            <w:rFonts w:hint="eastAsia"/>
            <w:szCs w:val="21"/>
          </w:rPr>
          <w:alias w:val="联营企业投资信息明细"/>
          <w:tag w:val="_TUP_9536e771f46d491bae43945d896c883f"/>
          <w:id w:val="-1725672709"/>
        </w:sdtPr>
        <w:sdtEndPr>
          <w:rPr>
            <w:rFonts w:hint="default"/>
          </w:rPr>
        </w:sdtEndPr>
        <w:sdtContent>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常州标杰劳务有限公司（注</w:t>
                </w:r>
                <w:r>
                  <w:rPr>
                    <w:color w:val="000000"/>
                    <w:szCs w:val="21"/>
                  </w:rPr>
                  <w:t>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13</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66</w:t>
                </w:r>
              </w:p>
            </w:tc>
            <w:sdt>
              <w:sdtPr>
                <w:rPr>
                  <w:szCs w:val="21"/>
                </w:rPr>
                <w:alias w:val="外币报表折算差额"/>
                <w:tag w:val="_GBC_dd0b20d68abb4ecd9c5c30301d0a15ff"/>
                <w:id w:val="1086646645"/>
                <w:showingPlcHdr/>
              </w:sdtPr>
              <w:sdtContent>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sdtContent>
            </w:sdt>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79</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sdtContent>
      </w:sdt>
      <w:tr>
        <w:sdt>
          <w:sdtPr>
            <w:rPr>
              <w:szCs w:val="21"/>
            </w:rPr>
            <w:tag w:val="_PLD_01d10d53c021416d9099f27f6145f507"/>
            <w:id w:val="-1241631170"/>
          </w:sdtPr>
          <w:sdtContent>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rPr>
                    <w:rFonts w:hint="eastAsia"/>
                    <w:szCs w:val="21"/>
                  </w:rPr>
                  <w:t>小计</w:t>
                </w:r>
              </w:p>
            </w:tc>
          </w:sdtContent>
        </w:sdt>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22,636,610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75,940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2,219,055</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248,811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10,369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-881,369</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-26,040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83,686</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24,367,062</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6,158</w:t>
            </w:r>
          </w:p>
        </w:tc>
      </w:tr>
      <w:t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三、其他</w:t>
            </w:r>
          </w:p>
        </w:tc>
      </w:tr>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山西天浩化工股份有限公司（注</w:t>
            </w:r>
            <w:r>
              <w:rPr>
                <w:color w:val="000000"/>
                <w:szCs w:val="21"/>
              </w:rPr>
              <w:t>8）</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149,786</w:t>
            </w:r>
          </w:p>
        </w:tc>
      </w:tr>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兖矿集团大陆机械有限公司</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39,845</w:t>
            </w:r>
          </w:p>
        </w:tc>
      </w:tr>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lastRenderedPageBreak/>
              <w:t>鄂尔多斯市绿能光电有限公司（注</w:t>
            </w:r>
            <w:r>
              <w:rPr>
                <w:color w:val="000000"/>
                <w:szCs w:val="21"/>
              </w:rPr>
              <w:t>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-881,580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881,580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szCs w:val="21"/>
              </w:rPr>
              <w:t>881,580</w:t>
            </w:r>
          </w:p>
        </w:tc>
      </w:tr>
      <w:t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小计</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-881,580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881,580</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u w:val="single"/>
              </w:rPr>
            </w:pPr>
            <w:r>
              <w:rPr>
                <w:szCs w:val="21"/>
                <w:u w:val="single"/>
              </w:rPr>
              <w:t>1,071,211</w:t>
            </w:r>
          </w:p>
        </w:tc>
      </w:tr>
      <w:tr>
        <w:sdt>
          <w:sdtPr>
            <w:rPr>
              <w:szCs w:val="21"/>
            </w:rPr>
            <w:tag w:val="_PLD_e1b492ac76a6486cbdda41e1180ee125"/>
            <w:id w:val="801346482"/>
          </w:sdtPr>
          <w:sdtContent>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sdtContent>
        </w:sdt>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23,992,605</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75,940</w:t>
            </w:r>
          </w:p>
        </w:tc>
        <w:tc>
          <w:tcPr>
            <w:tcW w:w="31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2,289,670</w:t>
            </w:r>
          </w:p>
        </w:tc>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248,811</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10,369</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w:t>
            </w:r>
            <w:r>
              <w:rPr>
                <w:rFonts w:hint="eastAsia"/>
                <w:szCs w:val="21"/>
              </w:rPr>
              <w:t>891,369</w:t>
            </w:r>
          </w:p>
        </w:tc>
        <w:tc>
          <w:tcPr>
            <w:tcW w:w="36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w:t>
            </w:r>
            <w:r>
              <w:rPr>
                <w:rFonts w:hint="eastAsia"/>
                <w:szCs w:val="21"/>
              </w:rPr>
              <w:t>881,580</w:t>
            </w:r>
          </w:p>
        </w:tc>
        <w:tc>
          <w:tcPr>
            <w:tcW w:w="31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806,304</w:t>
            </w:r>
          </w:p>
        </w:tc>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-7,772</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25,642,978</w:t>
            </w:r>
          </w:p>
        </w:tc>
        <w:tc>
          <w:tcPr>
            <w:tcW w:w="35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rFonts w:hint="eastAsia"/>
                <w:szCs w:val="21"/>
              </w:rPr>
              <w:t>1,077,369</w:t>
            </w:r>
          </w:p>
        </w:tc>
      </w:tr>
    </w:tbl>
    <w:p>
      <w:pPr>
        <w:pStyle w:val="affffffffffffffffff3"/>
      </w:pPr>
    </w:p>
    <w:p>
      <w:pPr>
        <w:spacing w:afterLines="50" w:after="120" w:line="360" w:lineRule="exact"/>
        <w:ind w:firstLine="420"/>
      </w:pPr>
      <w:r>
        <w:rPr>
          <w:rFonts w:hint="eastAsia"/>
        </w:rPr>
        <w:t>注1：山东新宝龙工业科技有限公司（以下简称“新宝龙工业”），系兖矿能源集团股份有限公司（以下简称“兖矿能源”)于2021年与无锡宝通科技股份有限公司投资设立，兖矿能源持股7.5%，2022年兖矿能源子公司兖煤卢森堡资源控股有限公司以现金增资的方式进一步获取41.67%股权，并于2024年2月和4月实缴；</w:t>
      </w:r>
    </w:p>
    <w:p>
      <w:pPr>
        <w:spacing w:afterLines="50" w:after="120" w:line="360" w:lineRule="exact"/>
        <w:ind w:firstLine="420"/>
      </w:pPr>
      <w:r>
        <w:rPr>
          <w:rFonts w:hint="eastAsia"/>
        </w:rPr>
        <w:t>注2：山东天玛智能控制技术有限公司（以下简称“天玛智能”）系兖矿能源于2024年</w:t>
      </w:r>
      <w:r>
        <w:t>6</w:t>
      </w:r>
      <w:r>
        <w:rPr>
          <w:rFonts w:hint="eastAsia"/>
        </w:rPr>
        <w:t>月与北京天玛智控科技股份有限公司、山东能源集团装备制造(集团)有限公司投资成立，兖矿能源以山东能源重装集团天玛电液控制装备工程有限公司35%的股权出资所得，持股47.</w:t>
      </w:r>
      <w:r>
        <w:t>34</w:t>
      </w:r>
      <w:r>
        <w:rPr>
          <w:rFonts w:hint="eastAsia"/>
        </w:rPr>
        <w:t>%，2024年12月，股东兖矿能源与山能装备签订一致行动协议，将其纳入兖矿能源合并子公司；</w:t>
      </w:r>
    </w:p>
    <w:p>
      <w:pPr>
        <w:spacing w:afterLines="50" w:after="120" w:line="360" w:lineRule="exact"/>
        <w:ind w:firstLine="420"/>
      </w:pPr>
      <w:r>
        <w:rPr>
          <w:rFonts w:hint="eastAsia"/>
        </w:rPr>
        <w:t>注3：山西安德辅助运输有限公司因2024年9月30日并购SMT</w:t>
      </w:r>
      <w:r>
        <w:t xml:space="preserve"> </w:t>
      </w:r>
      <w:r>
        <w:rPr>
          <w:rFonts w:hint="eastAsia"/>
        </w:rPr>
        <w:t>Scharf</w:t>
      </w:r>
      <w:r>
        <w:t xml:space="preserve"> </w:t>
      </w:r>
      <w:r>
        <w:rPr>
          <w:rFonts w:hint="eastAsia"/>
        </w:rPr>
        <w:t>AG带入；</w:t>
      </w:r>
    </w:p>
    <w:p>
      <w:pPr>
        <w:spacing w:afterLines="50" w:after="120" w:line="360" w:lineRule="exact"/>
        <w:ind w:firstLine="420"/>
      </w:pPr>
      <w:r>
        <w:rPr>
          <w:rFonts w:hint="eastAsia"/>
        </w:rPr>
        <w:t>注4：福建东凯投资中心（有限合伙）（以下简称“福建东凯”）因2024年10月31日并购物泊科技有限公司（以下简称“物泊科技”）带入，系物泊科技于2019年2月作为有限合伙人与普通合伙人巩红签订合伙投资成立，物泊科技持股99.97%；</w:t>
      </w:r>
    </w:p>
    <w:p>
      <w:pPr>
        <w:spacing w:afterLines="50" w:after="120" w:line="360" w:lineRule="exact"/>
        <w:ind w:firstLine="420"/>
      </w:pPr>
      <w:r>
        <w:rPr>
          <w:rFonts w:hint="eastAsia"/>
        </w:rPr>
        <w:t>注5：西裕（上海）氢能科技有限公司（以下简称“西裕氢能”）因2024年10月31日并购物泊科技带入，系物泊科技于2023年12月与自然人张天福、轻程(上海)物联网科技有限公司、上海重塑能源集团股份有限公司投资设立，持股比例26%；</w:t>
      </w:r>
    </w:p>
    <w:p>
      <w:pPr>
        <w:spacing w:afterLines="50" w:after="120" w:line="360" w:lineRule="exact"/>
        <w:ind w:firstLine="420"/>
      </w:pPr>
      <w:r>
        <w:rPr>
          <w:rFonts w:hint="eastAsia"/>
        </w:rPr>
        <w:t>注6：山东星链智行物流科技有限公司（以下简称“星链智行”）因2024年10月31日并购物泊科技有限公司带入，系物泊科技于2023年3月与自然人朱伟和自然人吕茂军投资设立，持股比例40%；</w:t>
      </w:r>
    </w:p>
    <w:p>
      <w:pPr>
        <w:spacing w:afterLines="50" w:after="120" w:line="360" w:lineRule="exact"/>
        <w:ind w:firstLine="420"/>
      </w:pPr>
      <w:r>
        <w:rPr>
          <w:rFonts w:hint="eastAsia"/>
        </w:rPr>
        <w:t>注7：常州标杰劳务有限公司（以下简称“常州标杰”）因2024年10月31日并购物泊科技有限公司带入，系物泊科技的子公司江苏星链智能科技有限公司（以下简称“江苏星链”）与自然人陈丹投资设立，持股比例20%；</w:t>
      </w:r>
    </w:p>
    <w:p>
      <w:pPr>
        <w:spacing w:afterLines="50" w:after="120" w:line="360" w:lineRule="exact"/>
        <w:ind w:firstLine="420"/>
      </w:pPr>
      <w:r>
        <w:rPr>
          <w:rFonts w:hint="eastAsia"/>
        </w:rPr>
        <w:t>注8：山西天浩化工股份有限公司（以下简称“山西天浩”）因长期停产致严重资不抵债，2018年12月31日，山西天浩向山西省吕梁市中级人民法院申请破产清算。2019年9月27日，山西省吕梁市中级人民法院裁定受理山西天浩破产清算一案，山西天浩已向破产管理人移交控制权，2019年11月起不再纳入合并范围，并对其长期股权投资全额计提减值准备。</w:t>
      </w:r>
    </w:p>
    <w:p>
      <w:pPr>
        <w:spacing w:afterLines="50" w:after="120" w:line="360" w:lineRule="exact"/>
        <w:ind w:firstLine="420"/>
      </w:pPr>
      <w:r>
        <w:rPr>
          <w:rFonts w:hint="eastAsia"/>
        </w:rPr>
        <w:lastRenderedPageBreak/>
        <w:t>注9：鄂尔多斯市绿能光电有限公司（以下简称“绿能光电公司”）于2024年6月15日以其不能清偿到期债务，缺乏清偿能力为由，向内蒙古自治区鄂尔多斯市中级人民法院申请破产清算，法院与2024年8月20日出具[2024]内06破9号民事裁定书同意受理其破产清算申请，绿能光电公司已向破产管理人移交控制权。2024年10月起绿能光电公司不再纳入合并范围，并对其长期股权投资全额计提减值准备。</w:t>
      </w:r>
    </w:p>
    <w:p>
      <w:pPr>
        <w:snapToGrid w:val="0"/>
        <w:spacing w:line="240" w:lineRule="atLeast"/>
        <w:rPr>
          <w:szCs w:val="21"/>
        </w:rPr>
      </w:pPr>
    </w:p>
    <w:p>
      <w:pPr>
        <w:pStyle w:val="afffffffffffffffffffffffffffffffff1"/>
        <w:numPr>
          <w:ilvl w:val="0"/>
          <w:numId w:val="109"/>
        </w:numPr>
      </w:pPr>
      <w:r>
        <w:rPr>
          <w:rFonts w:hint="eastAsia"/>
        </w:rPr>
        <w:t>长期股权投资的减值测试情况</w:t>
      </w:r>
    </w:p>
    <w:sdt>
      <w:sdtPr>
        <w:alias w:val="是否适用：减值测试情况[双击切换]"/>
        <w:tag w:val="_GBC_869bca5d4169451086ae6ff386220647"/>
        <w:id w:val="203261406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snapToGrid w:val="0"/>
        <w:spacing w:line="240" w:lineRule="atLeast"/>
        <w:rPr>
          <w:szCs w:val="21"/>
        </w:rPr>
      </w:pPr>
    </w:p>
    <w:p>
      <w:pPr>
        <w:snapToGrid w:val="0"/>
        <w:spacing w:line="240" w:lineRule="atLeast"/>
        <w:rPr>
          <w:szCs w:val="21"/>
        </w:rPr>
      </w:pPr>
      <w:r>
        <w:rPr>
          <w:rFonts w:hint="eastAsia"/>
          <w:szCs w:val="21"/>
        </w:rPr>
        <w:t>其他说明：</w:t>
      </w:r>
    </w:p>
    <w:p>
      <w:pPr>
        <w:snapToGrid w:val="0"/>
        <w:spacing w:line="240" w:lineRule="atLeast"/>
        <w:rPr>
          <w:szCs w:val="21"/>
        </w:rPr>
      </w:pPr>
      <w:sdt>
        <w:sdtPr>
          <w:rPr>
            <w:szCs w:val="21"/>
          </w:rPr>
          <w:alias w:val="长期股票投资的说明"/>
          <w:tag w:val="_GBC_4023b747651f4831814ee17f68bb62d6"/>
          <w:id w:val="411831835"/>
          <w:placeholder>
            <w:docPart w:val="GBC22222222222222222222222222222"/>
          </w:placeholder>
        </w:sdtPr>
        <w:sdtContent>
          <w:r>
            <w:rPr>
              <w:szCs w:val="21"/>
            </w:rPr>
            <w:t>-</w:t>
          </w:r>
        </w:sdtContent>
      </w:sdt>
    </w:p>
    <w:p>
      <w:pPr>
        <w:snapToGrid w:val="0"/>
        <w:spacing w:line="240" w:lineRule="atLeast"/>
        <w:rPr>
          <w:szCs w:val="21"/>
        </w:rPr>
        <w:sectPr>
          <w:pgSz w:w="16838" w:h="11906" w:orient="landscape"/>
          <w:pgMar w:top="1276" w:right="1440" w:bottom="1797" w:left="1525" w:header="856" w:footer="992" w:gutter="0"/>
          <w:cols w:space="425"/>
          <w:docGrid w:linePitch="312"/>
        </w:sectPr>
      </w:pPr>
    </w:p>
    <w:p>
      <w:pPr>
        <w:snapToGrid w:val="0"/>
        <w:spacing w:line="240" w:lineRule="atLeast"/>
        <w:rPr>
          <w:szCs w:val="21"/>
        </w:rPr>
      </w:pPr>
    </w:p>
    <w:p>
      <w:pPr>
        <w:snapToGrid w:val="0"/>
        <w:spacing w:line="240" w:lineRule="atLeast"/>
        <w:rPr>
          <w:rFonts w:hint="eastAsia"/>
          <w:szCs w:val="21"/>
        </w:rPr>
      </w:pPr>
    </w:p>
    <w:p>
      <w:pPr>
        <w:pStyle w:val="afffffffffffffffffffffffffffffffff0"/>
        <w:numPr>
          <w:ilvl w:val="0"/>
          <w:numId w:val="103"/>
        </w:numPr>
        <w:tabs>
          <w:tab w:val="left" w:pos="504"/>
        </w:tabs>
        <w:rPr>
          <w:szCs w:val="21"/>
        </w:rPr>
      </w:pPr>
      <w:bookmarkStart w:id="413" w:name="_Hlk152858292"/>
      <w:bookmarkStart w:id="414" w:name="_Hlk533409702"/>
      <w:r>
        <w:rPr>
          <w:rFonts w:hint="eastAsia"/>
          <w:szCs w:val="21"/>
        </w:rPr>
        <w:t>其他权益工具投资</w:t>
      </w:r>
    </w:p>
    <w:p>
      <w:pPr>
        <w:pStyle w:val="afffffffffffffffffffffffffffffffff1"/>
        <w:numPr>
          <w:ilvl w:val="3"/>
          <w:numId w:val="170"/>
        </w:numPr>
        <w:ind w:hanging="426"/>
      </w:pPr>
      <w:bookmarkStart w:id="415" w:name="_Hlk532994936"/>
      <w:r>
        <w:rPr>
          <w:rFonts w:hint="eastAsia"/>
        </w:rPr>
        <w:t>其他权益工具投资情况</w:t>
      </w:r>
    </w:p>
    <w:sdt>
      <w:sdtPr>
        <w:alias w:val="是否适用：其他权益工具投资情况[双击切换]"/>
        <w:tag w:val="_GBC_d086d5c38ce84090b98eac90481c97aa"/>
        <w:id w:val="159558409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462979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其他权益工具投资情况"/>
          <w:tag w:val="_GBC_b0fd0da2e6914f91b6f9923463f182a5"/>
          <w:id w:val="8879174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624"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1182"/>
        <w:gridCol w:w="1185"/>
        <w:gridCol w:w="1048"/>
        <w:gridCol w:w="1313"/>
        <w:gridCol w:w="1216"/>
        <w:gridCol w:w="1007"/>
        <w:gridCol w:w="1007"/>
        <w:gridCol w:w="1160"/>
        <w:gridCol w:w="1160"/>
        <w:gridCol w:w="1160"/>
        <w:gridCol w:w="2158"/>
      </w:tblGrid>
      <w:tr>
        <w:bookmarkEnd w:id="415" w:displacedByCustomXml="next"/>
        <w:bookmarkEnd w:id="414" w:displacedByCustomXml="next"/>
        <w:bookmarkEnd w:id="413" w:displacedByCustomXml="next"/>
        <w:sdt>
          <w:sdtPr>
            <w:tag w:val="_PLD_0f1e4cd012be4666a6aee1d8ddb3d5fc"/>
            <w:id w:val="-103339823"/>
          </w:sdtPr>
          <w:sdtContent>
            <w:tc>
              <w:tcPr>
                <w:tcW w:w="640"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tag w:val="_PLD_cd86550f752a4870b5ecfa3ace922f6d"/>
            <w:id w:val="592363233"/>
          </w:sdtPr>
          <w:sdtContent>
            <w:tc>
              <w:tcPr>
                <w:tcW w:w="379"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379e5b07c94943c082f8141e69827eb8"/>
            <w:id w:val="397252002"/>
          </w:sdtPr>
          <w:sdtContent>
            <w:tc>
              <w:tcPr>
                <w:tcW w:w="1849" w:type="pct"/>
                <w:gridSpan w:val="5"/>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本期增减变动</w:t>
                </w:r>
              </w:p>
            </w:tc>
          </w:sdtContent>
        </w:sdt>
        <w:sdt>
          <w:sdtPr>
            <w:tag w:val="_PLD_ac415aedc9c6446485bac805332ca59b"/>
            <w:id w:val="-757445303"/>
          </w:sdtPr>
          <w:sdtContent>
            <w:tc>
              <w:tcPr>
                <w:tcW w:w="323"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d139f6e8adbe4eb2bd13c29bba65a2f9"/>
            <w:id w:val="1346517378"/>
          </w:sdtPr>
          <w:sdtContent>
            <w:tc>
              <w:tcPr>
                <w:tcW w:w="372"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本期确认的股利收入</w:t>
                </w:r>
              </w:p>
            </w:tc>
          </w:sdtContent>
        </w:sdt>
        <w:sdt>
          <w:sdtPr>
            <w:tag w:val="_PLD_0bed6b4465254f08b9b73b5b113c87f5"/>
            <w:id w:val="2143996555"/>
          </w:sdtPr>
          <w:sdtContent>
            <w:tc>
              <w:tcPr>
                <w:tcW w:w="372"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累计计入其他综合收益的利得</w:t>
                </w:r>
              </w:p>
            </w:tc>
          </w:sdtContent>
        </w:sdt>
        <w:sdt>
          <w:sdtPr>
            <w:tag w:val="_PLD_e1975ba88e6f4c8d8d6ca2c971af1701"/>
            <w:id w:val="-1696916499"/>
          </w:sdtPr>
          <w:sdtContent>
            <w:tc>
              <w:tcPr>
                <w:tcW w:w="372"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累计计入其他综合收益的损失</w:t>
                </w:r>
              </w:p>
            </w:tc>
          </w:sdtContent>
        </w:sdt>
        <w:sdt>
          <w:sdtPr>
            <w:tag w:val="_PLD_22e80ab64b37459ebc83e5b928d25051"/>
            <w:id w:val="-1383397763"/>
          </w:sdtPr>
          <w:sdtContent>
            <w:tc>
              <w:tcPr>
                <w:tcW w:w="694"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rPr>
                  <w:t>指定为以公允价值计量且其变动计入其他综合收益的原因</w:t>
                </w:r>
              </w:p>
            </w:tc>
          </w:sdtContent>
        </w:sdt>
      </w:tr>
      <w:tr>
        <w:tc>
          <w:tcPr>
            <w:tcW w:w="640" w:type="pct"/>
            <w:vMerge/>
            <w:tcBorders>
              <w:left w:val="single" w:sz="4" w:space="0" w:color="auto"/>
              <w:bottom w:val="single" w:sz="4" w:space="0" w:color="auto"/>
              <w:right w:val="single" w:sz="4" w:space="0" w:color="auto"/>
            </w:tcBorders>
            <w:shd w:val="clear" w:color="auto" w:fill="auto"/>
          </w:tcPr>
          <w:p>
            <w:pPr>
              <w:jc w:val="center"/>
              <w:rPr>
                <w:szCs w:val="21"/>
              </w:rPr>
            </w:pPr>
          </w:p>
        </w:tc>
        <w:tc>
          <w:tcPr>
            <w:tcW w:w="379" w:type="pct"/>
            <w:vMerge/>
            <w:tcBorders>
              <w:left w:val="single" w:sz="4" w:space="0" w:color="auto"/>
              <w:bottom w:val="single" w:sz="4" w:space="0" w:color="auto"/>
              <w:right w:val="single" w:sz="4" w:space="0" w:color="auto"/>
            </w:tcBorders>
            <w:shd w:val="clear" w:color="auto" w:fill="auto"/>
          </w:tcPr>
          <w:p>
            <w:pPr>
              <w:jc w:val="center"/>
              <w:rPr>
                <w:szCs w:val="21"/>
              </w:rPr>
            </w:pPr>
          </w:p>
        </w:tc>
        <w:sdt>
          <w:sdtPr>
            <w:tag w:val="_PLD_dcfe2e1d36cd40b9af799c21d5b8002d"/>
            <w:id w:val="1169301645"/>
          </w:sdtPr>
          <w:sdtContent>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追加投资</w:t>
                </w:r>
              </w:p>
            </w:tc>
          </w:sdtContent>
        </w:sdt>
        <w:sdt>
          <w:sdtPr>
            <w:tag w:val="_PLD_35b99bcd41834275ae207d04ef825953"/>
            <w:id w:val="566612961"/>
          </w:sdtPr>
          <w:sdtContent>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减少投资</w:t>
                </w:r>
              </w:p>
            </w:tc>
          </w:sdtContent>
        </w:sdt>
        <w:sdt>
          <w:sdtPr>
            <w:tag w:val="_PLD_8a4bbeebcb134d688741468780d5bbd1"/>
            <w:id w:val="-777019886"/>
          </w:sdtPr>
          <w:sdtContent>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本期计入其他综合收益的利得</w:t>
                </w:r>
              </w:p>
            </w:tc>
          </w:sdtContent>
        </w:sdt>
        <w:sdt>
          <w:sdtPr>
            <w:tag w:val="_PLD_34c6f06bd6ce4dec84766a6723567bb2"/>
            <w:id w:val="1918204178"/>
          </w:sdtPr>
          <w:sdtContent>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本期计入其他综合收益的损失</w:t>
                </w:r>
              </w:p>
            </w:tc>
          </w:sdtContent>
        </w:sdt>
        <w:sdt>
          <w:sdtPr>
            <w:tag w:val="_PLD_10fb3a2b23634dbcb6ec64725618b767"/>
            <w:id w:val="-66344376"/>
          </w:sdtPr>
          <w:sdtContent>
            <w:tc>
              <w:tcPr>
                <w:tcW w:w="32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其他</w:t>
                </w:r>
              </w:p>
            </w:tc>
          </w:sdtContent>
        </w:sdt>
        <w:tc>
          <w:tcPr>
            <w:tcW w:w="323"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72" w:type="pct"/>
            <w:vMerge/>
            <w:tcBorders>
              <w:left w:val="single" w:sz="4" w:space="0" w:color="auto"/>
              <w:bottom w:val="single" w:sz="4" w:space="0" w:color="auto"/>
              <w:right w:val="single" w:sz="4" w:space="0" w:color="auto"/>
            </w:tcBorders>
          </w:tcPr>
          <w:p>
            <w:pPr>
              <w:jc w:val="center"/>
              <w:rPr>
                <w:szCs w:val="21"/>
              </w:rPr>
            </w:pPr>
          </w:p>
        </w:tc>
        <w:tc>
          <w:tcPr>
            <w:tcW w:w="372" w:type="pct"/>
            <w:vMerge/>
            <w:tcBorders>
              <w:left w:val="single" w:sz="4" w:space="0" w:color="auto"/>
              <w:bottom w:val="single" w:sz="4" w:space="0" w:color="auto"/>
              <w:right w:val="single" w:sz="4" w:space="0" w:color="auto"/>
            </w:tcBorders>
          </w:tcPr>
          <w:p>
            <w:pPr>
              <w:jc w:val="center"/>
              <w:rPr>
                <w:szCs w:val="21"/>
              </w:rPr>
            </w:pPr>
          </w:p>
        </w:tc>
        <w:tc>
          <w:tcPr>
            <w:tcW w:w="372" w:type="pct"/>
            <w:vMerge/>
            <w:tcBorders>
              <w:left w:val="single" w:sz="4" w:space="0" w:color="auto"/>
              <w:bottom w:val="single" w:sz="4" w:space="0" w:color="auto"/>
              <w:right w:val="single" w:sz="4" w:space="0" w:color="auto"/>
            </w:tcBorders>
          </w:tcPr>
          <w:p>
            <w:pPr>
              <w:jc w:val="center"/>
              <w:rPr>
                <w:szCs w:val="21"/>
              </w:rPr>
            </w:pPr>
          </w:p>
        </w:tc>
        <w:tc>
          <w:tcPr>
            <w:tcW w:w="694"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t>建信信托-彩蝶6号财产权信托计划</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70,520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1</w:t>
            </w:r>
          </w:p>
        </w:tc>
        <w:tc>
          <w:tcPr>
            <w:tcW w:w="323"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70,519</w:t>
            </w: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t>持有原则为既以收取合同现金流量为目标又以出售该金融资产为目标，非短期出售目的持有。</w:t>
            </w: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t>天津物产二号企业管理合伙企业（有限合伙）</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26,065</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26,065</w:t>
            </w: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t>持有原则为既以收取合同现金流量为目标又以出售该金融资产为目标，非短期出售目的持有。</w:t>
            </w: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t>天津物产三号企业管理合伙企业（有限合伙）</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15,967</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15,967</w:t>
            </w: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t>持有原则为既以收取合同现金流量为目标又以出售该金融资产为目标，非短期出售目的持有。</w:t>
            </w: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t>山东邹城建信村镇银行有限公司</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3,728</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3,728</w:t>
            </w: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t>持有原则为既以收取合同现金流量为目标又以出售该金融资产</w:t>
            </w:r>
            <w:r>
              <w:lastRenderedPageBreak/>
              <w:t>为目标，非短期出售目的持有。</w:t>
            </w: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t>江苏连云港港口股份有限公司</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366</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20</w:t>
            </w:r>
          </w:p>
        </w:tc>
        <w:tc>
          <w:tcPr>
            <w:tcW w:w="323"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t>346</w:t>
            </w: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694"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t>持有原则为既以收取合同现金流量为目标又以出售该金融资产为目标，非短期出售目的持有。</w:t>
            </w:r>
          </w:p>
        </w:tc>
      </w:tr>
      <w:tr>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116,646</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p>
        </w:tc>
        <w:tc>
          <w:tcPr>
            <w:tcW w:w="33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imes New Roman" w:eastAsia="Times New Roman" w:hAnsi="Times New Roman" w:cs="Times New Roman"/>
                <w:sz w:val="20"/>
                <w:szCs w:val="20"/>
              </w:rPr>
            </w:pP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imes New Roman" w:eastAsia="Times New Roman" w:hAnsi="Times New Roman" w:cs="Times New Roman"/>
                <w:sz w:val="20"/>
                <w:szCs w:val="20"/>
              </w:rPr>
            </w:pPr>
          </w:p>
        </w:tc>
        <w:tc>
          <w:tcPr>
            <w:tcW w:w="39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21</w:t>
            </w:r>
          </w:p>
        </w:tc>
        <w:tc>
          <w:tcPr>
            <w:tcW w:w="323"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116,625</w:t>
            </w:r>
          </w:p>
        </w:tc>
        <w:tc>
          <w:tcPr>
            <w:tcW w:w="37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37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694"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ascii="Times New Roman" w:eastAsia="Times New Roman" w:hAnsi="Times New Roman" w:cs="Times New Roman"/>
                <w:sz w:val="20"/>
                <w:szCs w:val="20"/>
              </w:rPr>
            </w:pPr>
          </w:p>
        </w:tc>
      </w:tr>
    </w:tbl>
    <w:p>
      <w:pPr>
        <w:pStyle w:val="affffffffffffffffffffffffffffffffe"/>
      </w:pPr>
    </w:p>
    <w:p>
      <w:pPr>
        <w:pStyle w:val="afffffffffffffffffffffffffffffffff1"/>
        <w:numPr>
          <w:ilvl w:val="3"/>
          <w:numId w:val="170"/>
        </w:numPr>
        <w:ind w:hanging="426"/>
      </w:pPr>
      <w:r>
        <w:rPr>
          <w:rFonts w:hint="eastAsia"/>
        </w:rPr>
        <w:t>本期存在终止确认的情况说明</w:t>
      </w:r>
    </w:p>
    <w:sdt>
      <w:sdtPr>
        <w:alias w:val="是否适用：本期存在终止确认的情况说明[双击切换]"/>
        <w:tag w:val="_GBC_27e93a66690f439284ed9d6df3a9bd6c"/>
        <w:id w:val="-2139730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w:t>
      </w:r>
      <w:r>
        <w:t>说明</w:t>
      </w:r>
      <w:r>
        <w:rPr>
          <w:rFonts w:hint="eastAsia"/>
        </w:rPr>
        <w:t>：</w:t>
      </w:r>
    </w:p>
    <w:sdt>
      <w:sdtPr>
        <w:alias w:val="是否适用：其他权益工具投资其他说明[双击切换]"/>
        <w:tag w:val="_GBC_217dff5073ff4a12b86d342292038452"/>
        <w:id w:val="1097130081"/>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pStyle w:val="affffffffffffffffffffffffffffffffe"/>
      </w:pPr>
    </w:p>
    <w:p>
      <w:pPr>
        <w:pStyle w:val="affffffffffffffffffffffffffffffffe"/>
      </w:pPr>
    </w:p>
    <w:p>
      <w:pPr>
        <w:sectPr>
          <w:pgSz w:w="16838" w:h="11906" w:orient="landscape"/>
          <w:pgMar w:top="1276" w:right="1440" w:bottom="1797" w:left="1525" w:header="856" w:footer="992" w:gutter="0"/>
          <w:cols w:space="425"/>
          <w:docGrid w:linePitch="312"/>
        </w:sectPr>
      </w:pPr>
    </w:p>
    <w:p>
      <w:pPr>
        <w:pStyle w:val="afffffffffffffffffffffffffffffffff0"/>
        <w:numPr>
          <w:ilvl w:val="0"/>
          <w:numId w:val="103"/>
        </w:numPr>
        <w:tabs>
          <w:tab w:val="left" w:pos="504"/>
        </w:tabs>
        <w:rPr>
          <w:szCs w:val="21"/>
        </w:rPr>
      </w:pPr>
      <w:bookmarkStart w:id="416" w:name="_Hlk533409746"/>
      <w:r>
        <w:rPr>
          <w:rFonts w:hint="eastAsia"/>
          <w:szCs w:val="21"/>
        </w:rPr>
        <w:lastRenderedPageBreak/>
        <w:t>其他非流动金融资产</w:t>
      </w:r>
    </w:p>
    <w:sdt>
      <w:sdtPr>
        <w:alias w:val="是否适用：其他非流动金融资产[双击切换]"/>
        <w:tag w:val="_GBC_6b599068045d444b87b686a3b6690bf1"/>
        <w:id w:val="109212798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left="420" w:firstLineChars="0" w:firstLine="0"/>
        <w:jc w:val="right"/>
      </w:pPr>
      <w:r>
        <w:rPr>
          <w:rFonts w:hint="eastAsia"/>
        </w:rPr>
        <w:t>单位：</w:t>
      </w:r>
      <w:sdt>
        <w:sdtPr>
          <w:rPr>
            <w:rFonts w:hint="eastAsia"/>
          </w:rPr>
          <w:alias w:val="单位：其他非流动金融资产"/>
          <w:tag w:val="_GBC_b8c42dcb53bd4c3f9365edc05449c616"/>
          <w:id w:val="7419928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w:t>
      </w:r>
      <w:r>
        <w:rPr>
          <w:rFonts w:hint="eastAsia"/>
        </w:rPr>
        <w:t>币种：</w:t>
      </w:r>
      <w:sdt>
        <w:sdtPr>
          <w:rPr>
            <w:rFonts w:hint="eastAsia"/>
          </w:rPr>
          <w:alias w:val="币种：其他非流动金融资产"/>
          <w:tag w:val="_GBC_0ec4dd5c6d514c4eaee0c607d823645d"/>
          <w:id w:val="-2249040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bookmarkEnd w:id="416" w:displacedByCustomXml="next"/>
        <w:sdt>
          <w:sdtPr>
            <w:tag w:val="_PLD_70b7398bc4e1451ebd7725f7c1da3c7c"/>
            <w:id w:val="-344712263"/>
          </w:sdtPr>
          <w:sdtContent>
            <w:tc>
              <w:tcPr>
                <w:tcW w:w="2017" w:type="pct"/>
                <w:shd w:val="clear" w:color="auto" w:fill="auto"/>
                <w:vAlign w:val="center"/>
              </w:tcPr>
              <w:p>
                <w:pPr>
                  <w:jc w:val="center"/>
                  <w:rPr>
                    <w:szCs w:val="21"/>
                  </w:rPr>
                </w:pPr>
                <w:r>
                  <w:rPr>
                    <w:rFonts w:hint="eastAsia"/>
                    <w:szCs w:val="21"/>
                  </w:rPr>
                  <w:t>项目</w:t>
                </w:r>
              </w:p>
            </w:tc>
          </w:sdtContent>
        </w:sdt>
        <w:sdt>
          <w:sdtPr>
            <w:tag w:val="_PLD_46e0364c5f14428588b5d737770a1709"/>
            <w:id w:val="-830054116"/>
          </w:sdtPr>
          <w:sdtContent>
            <w:tc>
              <w:tcPr>
                <w:tcW w:w="1485"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30a86eb7f8641b382f4d5e0f0afc66f"/>
            <w:id w:val="-1055617741"/>
          </w:sdtPr>
          <w:sdtContent>
            <w:tc>
              <w:tcPr>
                <w:tcW w:w="14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c>
          <w:tcPr>
            <w:tcW w:w="2017" w:type="pct"/>
            <w:shd w:val="clear" w:color="auto" w:fill="auto"/>
            <w:vAlign w:val="center"/>
          </w:tcPr>
          <w:p>
            <w:pPr>
              <w:rPr>
                <w:szCs w:val="21"/>
              </w:rPr>
            </w:pPr>
            <w:r>
              <w:t>特别收益权（附注</w:t>
            </w:r>
            <w:r>
              <w:rPr>
                <w:rFonts w:hint="eastAsia"/>
              </w:rPr>
              <w:t>七、（二）</w:t>
            </w:r>
            <w:r>
              <w:t>）</w:t>
            </w:r>
          </w:p>
        </w:tc>
        <w:tc>
          <w:tcPr>
            <w:tcW w:w="1485" w:type="pct"/>
            <w:shd w:val="clear" w:color="auto" w:fill="auto"/>
            <w:vAlign w:val="center"/>
          </w:tcPr>
          <w:p>
            <w:pPr>
              <w:jc w:val="right"/>
              <w:rPr>
                <w:szCs w:val="21"/>
              </w:rPr>
            </w:pPr>
            <w:r>
              <w:t>891,508</w:t>
            </w:r>
          </w:p>
        </w:tc>
        <w:tc>
          <w:tcPr>
            <w:tcW w:w="1498" w:type="pct"/>
            <w:shd w:val="clear" w:color="auto" w:fill="auto"/>
            <w:vAlign w:val="center"/>
          </w:tcPr>
          <w:p>
            <w:pPr>
              <w:jc w:val="right"/>
              <w:rPr>
                <w:szCs w:val="21"/>
              </w:rPr>
            </w:pPr>
            <w:r>
              <w:t>949,704</w:t>
            </w:r>
          </w:p>
        </w:tc>
      </w:tr>
      <w:tr>
        <w:tc>
          <w:tcPr>
            <w:tcW w:w="2017" w:type="pct"/>
            <w:shd w:val="clear" w:color="auto" w:fill="auto"/>
            <w:vAlign w:val="center"/>
          </w:tcPr>
          <w:p>
            <w:pPr>
              <w:rPr>
                <w:szCs w:val="21"/>
              </w:rPr>
            </w:pPr>
            <w:r>
              <w:t>陕西靖神铁路有限责任公司</w:t>
            </w:r>
          </w:p>
        </w:tc>
        <w:tc>
          <w:tcPr>
            <w:tcW w:w="1485" w:type="pct"/>
            <w:shd w:val="clear" w:color="auto" w:fill="auto"/>
            <w:vAlign w:val="center"/>
          </w:tcPr>
          <w:p>
            <w:pPr>
              <w:jc w:val="right"/>
              <w:rPr>
                <w:szCs w:val="21"/>
              </w:rPr>
            </w:pPr>
            <w:r>
              <w:t>180,697</w:t>
            </w:r>
          </w:p>
        </w:tc>
        <w:tc>
          <w:tcPr>
            <w:tcW w:w="1498" w:type="pct"/>
            <w:shd w:val="clear" w:color="auto" w:fill="auto"/>
            <w:vAlign w:val="center"/>
          </w:tcPr>
          <w:p>
            <w:pPr>
              <w:jc w:val="right"/>
              <w:rPr>
                <w:szCs w:val="21"/>
              </w:rPr>
            </w:pPr>
            <w:r>
              <w:t>180,697</w:t>
            </w:r>
          </w:p>
        </w:tc>
      </w:tr>
      <w:tr>
        <w:tc>
          <w:tcPr>
            <w:tcW w:w="2017" w:type="pct"/>
            <w:shd w:val="clear" w:color="auto" w:fill="auto"/>
            <w:vAlign w:val="center"/>
          </w:tcPr>
          <w:p>
            <w:pPr>
              <w:rPr>
                <w:szCs w:val="21"/>
              </w:rPr>
            </w:pPr>
            <w:r>
              <w:t>榆林市榆阳区煤矿疏干水环境治理有限公司</w:t>
            </w:r>
          </w:p>
        </w:tc>
        <w:tc>
          <w:tcPr>
            <w:tcW w:w="1485" w:type="pct"/>
            <w:shd w:val="clear" w:color="auto" w:fill="auto"/>
            <w:vAlign w:val="center"/>
          </w:tcPr>
          <w:p>
            <w:pPr>
              <w:jc w:val="right"/>
              <w:rPr>
                <w:szCs w:val="21"/>
              </w:rPr>
            </w:pPr>
            <w:r>
              <w:t>165,060</w:t>
            </w:r>
          </w:p>
        </w:tc>
        <w:tc>
          <w:tcPr>
            <w:tcW w:w="1498" w:type="pct"/>
            <w:shd w:val="clear" w:color="auto" w:fill="auto"/>
            <w:vAlign w:val="center"/>
          </w:tcPr>
          <w:p>
            <w:pPr>
              <w:jc w:val="right"/>
              <w:rPr>
                <w:szCs w:val="21"/>
              </w:rPr>
            </w:pPr>
            <w:r>
              <w:t>165,060</w:t>
            </w:r>
          </w:p>
        </w:tc>
      </w:tr>
      <w:tr>
        <w:tc>
          <w:tcPr>
            <w:tcW w:w="2017" w:type="pct"/>
            <w:shd w:val="clear" w:color="auto" w:fill="auto"/>
            <w:vAlign w:val="center"/>
          </w:tcPr>
          <w:p>
            <w:pPr>
              <w:rPr>
                <w:szCs w:val="21"/>
              </w:rPr>
            </w:pPr>
            <w:r>
              <w:t>鄂尔多斯南部铁路有限责任公司</w:t>
            </w:r>
          </w:p>
        </w:tc>
        <w:tc>
          <w:tcPr>
            <w:tcW w:w="1485" w:type="pct"/>
            <w:shd w:val="clear" w:color="auto" w:fill="auto"/>
            <w:vAlign w:val="center"/>
          </w:tcPr>
          <w:p>
            <w:pPr>
              <w:jc w:val="right"/>
              <w:rPr>
                <w:szCs w:val="21"/>
              </w:rPr>
            </w:pPr>
            <w:r>
              <w:t>155,340</w:t>
            </w:r>
          </w:p>
        </w:tc>
        <w:tc>
          <w:tcPr>
            <w:tcW w:w="1498" w:type="pct"/>
            <w:shd w:val="clear" w:color="auto" w:fill="auto"/>
            <w:vAlign w:val="center"/>
          </w:tcPr>
          <w:p>
            <w:pPr>
              <w:jc w:val="right"/>
              <w:rPr>
                <w:szCs w:val="21"/>
              </w:rPr>
            </w:pPr>
            <w:r>
              <w:t>141,997</w:t>
            </w:r>
          </w:p>
        </w:tc>
      </w:tr>
      <w:tr>
        <w:tc>
          <w:tcPr>
            <w:tcW w:w="2017" w:type="pct"/>
            <w:shd w:val="clear" w:color="auto" w:fill="auto"/>
            <w:vAlign w:val="center"/>
          </w:tcPr>
          <w:p>
            <w:pPr>
              <w:rPr>
                <w:szCs w:val="21"/>
              </w:rPr>
            </w:pPr>
            <w:r>
              <w:t>杭州时代鼎丰创业投资合伙企业(有限合伙)</w:t>
            </w:r>
          </w:p>
        </w:tc>
        <w:tc>
          <w:tcPr>
            <w:tcW w:w="1485" w:type="pct"/>
            <w:shd w:val="clear" w:color="auto" w:fill="auto"/>
            <w:vAlign w:val="center"/>
          </w:tcPr>
          <w:p>
            <w:pPr>
              <w:jc w:val="right"/>
              <w:rPr>
                <w:szCs w:val="21"/>
              </w:rPr>
            </w:pPr>
            <w:r>
              <w:t>24,538</w:t>
            </w:r>
          </w:p>
        </w:tc>
        <w:tc>
          <w:tcPr>
            <w:tcW w:w="1498" w:type="pct"/>
            <w:shd w:val="clear" w:color="auto" w:fill="auto"/>
            <w:vAlign w:val="center"/>
          </w:tcPr>
          <w:p>
            <w:pPr>
              <w:jc w:val="right"/>
              <w:rPr>
                <w:szCs w:val="21"/>
              </w:rPr>
            </w:pPr>
            <w:r>
              <w:t>35,991</w:t>
            </w:r>
          </w:p>
        </w:tc>
      </w:tr>
      <w:tr>
        <w:tc>
          <w:tcPr>
            <w:tcW w:w="2017" w:type="pct"/>
            <w:shd w:val="clear" w:color="auto" w:fill="auto"/>
            <w:vAlign w:val="center"/>
          </w:tcPr>
          <w:p>
            <w:pPr>
              <w:rPr>
                <w:szCs w:val="21"/>
              </w:rPr>
            </w:pPr>
            <w:r>
              <w:t>上海骥琛企业管理合伙企业（有限合伙）</w:t>
            </w:r>
          </w:p>
        </w:tc>
        <w:tc>
          <w:tcPr>
            <w:tcW w:w="1485" w:type="pct"/>
            <w:shd w:val="clear" w:color="auto" w:fill="auto"/>
            <w:vAlign w:val="center"/>
          </w:tcPr>
          <w:p>
            <w:pPr>
              <w:jc w:val="right"/>
              <w:rPr>
                <w:szCs w:val="21"/>
              </w:rPr>
            </w:pPr>
            <w:r>
              <w:t>30,000</w:t>
            </w:r>
          </w:p>
        </w:tc>
        <w:tc>
          <w:tcPr>
            <w:tcW w:w="1498" w:type="pct"/>
            <w:shd w:val="clear" w:color="auto" w:fill="auto"/>
            <w:vAlign w:val="center"/>
          </w:tcPr>
          <w:p>
            <w:pPr>
              <w:jc w:val="right"/>
              <w:rPr>
                <w:szCs w:val="21"/>
              </w:rPr>
            </w:pPr>
            <w:r>
              <w:t>30,000</w:t>
            </w:r>
          </w:p>
        </w:tc>
      </w:tr>
      <w:tr>
        <w:tc>
          <w:tcPr>
            <w:tcW w:w="2017" w:type="pct"/>
            <w:shd w:val="clear" w:color="auto" w:fill="auto"/>
            <w:vAlign w:val="center"/>
          </w:tcPr>
          <w:p>
            <w:pPr>
              <w:jc w:val="center"/>
              <w:rPr>
                <w:szCs w:val="21"/>
              </w:rPr>
            </w:pPr>
            <w:r>
              <w:rPr>
                <w:rFonts w:hint="eastAsia"/>
                <w:szCs w:val="21"/>
              </w:rPr>
              <w:t>合计</w:t>
            </w:r>
          </w:p>
        </w:tc>
        <w:tc>
          <w:tcPr>
            <w:tcW w:w="1485" w:type="pct"/>
            <w:shd w:val="clear" w:color="auto" w:fill="auto"/>
            <w:vAlign w:val="center"/>
          </w:tcPr>
          <w:p>
            <w:pPr>
              <w:pStyle w:val="affffffffffffffffffffffffffffffffe"/>
              <w:jc w:val="right"/>
            </w:pPr>
            <w:r>
              <w:t>1,447,143</w:t>
            </w:r>
          </w:p>
        </w:tc>
        <w:tc>
          <w:tcPr>
            <w:tcW w:w="1498" w:type="pct"/>
            <w:shd w:val="clear" w:color="auto" w:fill="auto"/>
            <w:vAlign w:val="center"/>
          </w:tcPr>
          <w:p>
            <w:pPr>
              <w:pStyle w:val="affffffffffffffffffffffffffffffffe"/>
              <w:jc w:val="right"/>
            </w:pPr>
            <w:r>
              <w:t>1,503,449</w:t>
            </w:r>
          </w:p>
        </w:tc>
      </w:tr>
    </w:tbl>
    <w:p>
      <w:pPr>
        <w:pStyle w:val="affffffffffffffffffffffffffffffffe"/>
      </w:pPr>
    </w:p>
    <w:p>
      <w:pPr>
        <w:pStyle w:val="affffffffffffffffffffffffffffffffe"/>
      </w:pPr>
      <w:r>
        <w:rPr>
          <w:rFonts w:hint="eastAsia"/>
        </w:rPr>
        <w:t>其他</w:t>
      </w:r>
      <w:r>
        <w:t>说明</w:t>
      </w:r>
      <w:r>
        <w:rPr>
          <w:rFonts w:hint="eastAsia"/>
        </w:rPr>
        <w:t>：</w:t>
      </w:r>
    </w:p>
    <w:sdt>
      <w:sdtPr>
        <w:rPr>
          <w:szCs w:val="21"/>
        </w:rPr>
        <w:alias w:val="是否适用：其他非流动金融资产其他说明[双击切换]"/>
        <w:tag w:val="_GBC_037912ebdd3b4e80b4b66cf88f8cb3e7"/>
        <w:id w:val="125864488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p>
      <w:pPr>
        <w:pStyle w:val="afffffffffffffffffffffffffffffffff0"/>
        <w:numPr>
          <w:ilvl w:val="0"/>
          <w:numId w:val="103"/>
        </w:numPr>
        <w:tabs>
          <w:tab w:val="left" w:pos="504"/>
        </w:tabs>
        <w:rPr>
          <w:rFonts w:ascii="宋体" w:hAnsi="宋体"/>
          <w:szCs w:val="21"/>
        </w:rPr>
      </w:pPr>
      <w:r>
        <w:rPr>
          <w:rFonts w:ascii="宋体" w:hAnsi="宋体" w:hint="eastAsia"/>
          <w:szCs w:val="21"/>
        </w:rPr>
        <w:t>投资性房地产</w:t>
      </w:r>
    </w:p>
    <w:p>
      <w:pPr>
        <w:pStyle w:val="affffffffffffffffffffffffffffffffe"/>
      </w:pPr>
      <w:r>
        <w:t>投资性房地产</w:t>
      </w:r>
      <w:r>
        <w:rPr>
          <w:rFonts w:hint="eastAsia"/>
        </w:rPr>
        <w:t>计量模式</w:t>
      </w:r>
    </w:p>
    <w:p>
      <w:pPr>
        <w:pStyle w:val="afffffffffffffffffffffffffffffffff1"/>
        <w:numPr>
          <w:ilvl w:val="3"/>
          <w:numId w:val="171"/>
        </w:numPr>
        <w:ind w:left="426" w:hanging="426"/>
      </w:pPr>
      <w:r>
        <w:rPr>
          <w:rFonts w:hint="eastAsia"/>
        </w:rPr>
        <w:t>采用</w:t>
      </w:r>
      <w:r>
        <w:t>公允价值计量</w:t>
      </w:r>
      <w:r>
        <w:rPr>
          <w:rFonts w:hint="eastAsia"/>
        </w:rPr>
        <w:t>模式</w:t>
      </w:r>
      <w:r>
        <w:t>的投资性房地产</w:t>
      </w:r>
    </w:p>
    <w:p>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19518474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按公允价值计量的投资性房地产"/>
          <w:tag w:val="_GBC_314dc21b542f417e9e3fa009103b2fad"/>
          <w:id w:val="-19176241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6"/>
        <w:gridCol w:w="2566"/>
        <w:gridCol w:w="2511"/>
      </w:tblGrid>
      <w:tr>
        <w:trPr>
          <w:trHeight w:val="272"/>
        </w:trPr>
        <w:sdt>
          <w:sdtPr>
            <w:tag w:val="_PLD_ec2b0bdac5a848679dbc2f8fd98e0a15"/>
            <w:id w:val="-1175269442"/>
          </w:sdtPr>
          <w:sdtContent>
            <w:tc>
              <w:tcPr>
                <w:tcW w:w="21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tag w:val="_PLD_edeac5439f954721b65cd63c777ed853"/>
            <w:id w:val="513279118"/>
          </w:sdtPr>
          <w:sdtContent>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房屋、建筑物</w:t>
                </w:r>
              </w:p>
            </w:tc>
          </w:sdtContent>
        </w:sdt>
        <w:sdt>
          <w:sdtPr>
            <w:tag w:val="_PLD_9f1b0b9082fa472087bc17bc00c32446"/>
            <w:id w:val="-32276192"/>
          </w:sdtPr>
          <w:sdtContent>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sdtContent>
        </w:sdt>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一、期初余额</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1,109,569</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1,109,569</w:t>
            </w:r>
          </w:p>
        </w:tc>
      </w:tr>
      <w:tr>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二、本期变动</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p>
        </w:tc>
      </w:tr>
      <w:tr>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200" w:firstLine="420"/>
              <w:rPr>
                <w:szCs w:val="21"/>
              </w:rPr>
            </w:pPr>
            <w:r>
              <w:rPr>
                <w:rFonts w:hint="eastAsia"/>
                <w:szCs w:val="21"/>
              </w:rPr>
              <w:t>加：外购</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44,446</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44,446</w:t>
            </w:r>
          </w:p>
        </w:tc>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400" w:firstLine="840"/>
              <w:rPr>
                <w:szCs w:val="21"/>
              </w:rPr>
            </w:pPr>
            <w:r>
              <w:rPr>
                <w:rFonts w:hint="eastAsia"/>
                <w:szCs w:val="21"/>
              </w:rPr>
              <w:t>存货\固定资产\在建工程转入</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76,490</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76,490</w:t>
            </w:r>
          </w:p>
        </w:tc>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200" w:firstLine="420"/>
              <w:rPr>
                <w:szCs w:val="21"/>
              </w:rPr>
            </w:pPr>
            <w:r>
              <w:rPr>
                <w:rFonts w:hint="eastAsia"/>
                <w:szCs w:val="21"/>
              </w:rPr>
              <w:t xml:space="preserve">    企业合并增加</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12,107</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12,107</w:t>
            </w:r>
          </w:p>
        </w:tc>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200" w:firstLine="420"/>
              <w:rPr>
                <w:szCs w:val="21"/>
              </w:rPr>
            </w:pPr>
            <w:r>
              <w:rPr>
                <w:rFonts w:hint="eastAsia"/>
                <w:szCs w:val="21"/>
              </w:rPr>
              <w:t>减：处置</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p>
        </w:tc>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400" w:firstLine="840"/>
              <w:rPr>
                <w:szCs w:val="21"/>
              </w:rPr>
            </w:pPr>
            <w:r>
              <w:rPr>
                <w:rFonts w:hint="eastAsia"/>
                <w:szCs w:val="21"/>
              </w:rPr>
              <w:t>其他转出</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imes New Roman" w:eastAsia="Times New Roman" w:hAnsi="Times New Roman" w:cs="Times New Roman"/>
                <w:sz w:val="20"/>
                <w:szCs w:val="20"/>
              </w:rPr>
            </w:pP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imes New Roman" w:eastAsia="Times New Roman" w:hAnsi="Times New Roman" w:cs="Times New Roman"/>
                <w:sz w:val="20"/>
                <w:szCs w:val="20"/>
              </w:rPr>
            </w:pPr>
          </w:p>
        </w:tc>
      </w:tr>
      <w:tr>
        <w:trPr>
          <w:trHeight w:val="273"/>
        </w:trPr>
        <w:tc>
          <w:tcPr>
            <w:tcW w:w="2123" w:type="pct"/>
            <w:tcBorders>
              <w:top w:val="single" w:sz="4" w:space="0" w:color="auto"/>
              <w:left w:val="single" w:sz="4" w:space="0" w:color="auto"/>
              <w:bottom w:val="single" w:sz="4" w:space="0" w:color="auto"/>
              <w:right w:val="single" w:sz="4" w:space="0" w:color="auto"/>
            </w:tcBorders>
            <w:shd w:val="clear" w:color="auto" w:fill="auto"/>
          </w:tcPr>
          <w:p>
            <w:pPr>
              <w:ind w:firstLineChars="200" w:firstLine="420"/>
              <w:rPr>
                <w:szCs w:val="21"/>
              </w:rPr>
            </w:pPr>
            <w:r>
              <w:rPr>
                <w:rFonts w:hint="eastAsia"/>
                <w:szCs w:val="21"/>
              </w:rPr>
              <w:t>公允价值变动</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-7,788</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 w:val="24"/>
              </w:rPr>
            </w:pPr>
            <w:r>
              <w:t>-7,788</w:t>
            </w:r>
          </w:p>
        </w:tc>
      </w:tr>
      <w:tr>
        <w:trPr>
          <w:trHeight w:val="272"/>
        </w:trPr>
        <w:tc>
          <w:tcPr>
            <w:tcW w:w="2123"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三、期末余额</w:t>
            </w:r>
          </w:p>
        </w:tc>
        <w:tc>
          <w:tcPr>
            <w:tcW w:w="1454"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1,234,824</w:t>
            </w:r>
          </w:p>
        </w:tc>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jc w:val="right"/>
            </w:pPr>
            <w:r>
              <w:t>1,234,824</w:t>
            </w:r>
          </w:p>
        </w:tc>
      </w:tr>
    </w:tbl>
    <w:p>
      <w:pPr>
        <w:pStyle w:val="affffffffffffffffffffffffffffffffe"/>
      </w:pPr>
    </w:p>
    <w:p>
      <w:pPr>
        <w:pStyle w:val="afffffffffffffffffffffffffffffffff1"/>
        <w:numPr>
          <w:ilvl w:val="3"/>
          <w:numId w:val="171"/>
        </w:numPr>
        <w:ind w:left="426" w:hanging="426"/>
      </w:pPr>
      <w:r>
        <w:rPr>
          <w:rFonts w:hint="eastAsia"/>
        </w:rPr>
        <w:t>未办妥产权证书的投资性房地产情况</w:t>
      </w:r>
    </w:p>
    <w:p>
      <w:pPr>
        <w:pStyle w:val="affffffffffffffffffffffffffffffffe"/>
      </w:pPr>
      <w:sdt>
        <w:sdtPr>
          <w:alias w:val="是否适用：未办妥产权证书的投资性房地产情况[双击切换]"/>
          <w:tag w:val="_GBC_aad55a6994294cf7a3592474b5d3538e"/>
          <w:id w:val="-165952059"/>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投资性房地产情况"/>
          <w:tag w:val="_GBC_dd909de09a744489a78d879e630f180b"/>
          <w:id w:val="-20817435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未办妥产权证书的投资性房地产情况"/>
          <w:tag w:val="_GBC_0a09a7d3d40449358c2bce7203e0957c"/>
          <w:id w:val="14369455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sdt>
          <w:sdtPr>
            <w:tag w:val="_PLD_03041015b61a49bb8b4adaca966bfd32"/>
            <w:id w:val="1554581421"/>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33e298086c714b44be9784290a608e75"/>
            <w:id w:val="-1251340881"/>
          </w:sdtPr>
          <w:sdtContent>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sdtContent>
        </w:sdt>
        <w:sdt>
          <w:sdtPr>
            <w:tag w:val="_PLD_4abbb3e21b9844baa14b22e4b21d862e"/>
            <w:id w:val="1329712367"/>
          </w:sdtPr>
          <w:sdtContent>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sdtContent>
        </w:sdt>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t>房屋、建筑物</w:t>
            </w:r>
          </w:p>
        </w:tc>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r>
              <w:t>35,086</w:t>
            </w:r>
          </w:p>
        </w:tc>
        <w:tc>
          <w:tcPr>
            <w:tcW w:w="1590" w:type="pct"/>
            <w:shd w:val="clear" w:color="auto" w:fill="auto"/>
          </w:tcPr>
          <w:p>
            <w:pPr>
              <w:tabs>
                <w:tab w:val="right" w:pos="3690"/>
                <w:tab w:val="right" w:pos="5130"/>
                <w:tab w:val="right" w:pos="6030"/>
                <w:tab w:val="right" w:pos="7650"/>
                <w:tab w:val="right" w:pos="9270"/>
              </w:tabs>
              <w:adjustRightInd w:val="0"/>
              <w:snapToGrid w:val="0"/>
              <w:rPr>
                <w:szCs w:val="21"/>
              </w:rPr>
            </w:pPr>
            <w:r>
              <w:t>正在办理</w:t>
            </w:r>
          </w:p>
        </w:tc>
      </w:tr>
    </w:tbl>
    <w:p>
      <w:pPr>
        <w:pStyle w:val="affffffffffffffffffffffffffffffffe"/>
      </w:pPr>
    </w:p>
    <w:p>
      <w:pPr>
        <w:pStyle w:val="afffffffffffffffffffffffffffffffff1"/>
        <w:numPr>
          <w:ilvl w:val="3"/>
          <w:numId w:val="171"/>
        </w:numPr>
        <w:ind w:left="426" w:hanging="426"/>
      </w:pPr>
      <w:r>
        <w:rPr>
          <w:rFonts w:hint="eastAsia"/>
        </w:rPr>
        <w:t>转换为投资性房地产并采用公允价值计量模式的情况说明</w:t>
      </w:r>
    </w:p>
    <w:sdt>
      <w:sdtPr>
        <w:alias w:val="是否适用：转换为投资性房地产并采用公允价值计量模式的情况[双击切换]"/>
        <w:tag w:val="_GBC_8f1d5a50f3204e339c7f95f02e0ded52"/>
        <w:id w:val="160051698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rPr>
          <w:szCs w:val="21"/>
        </w:rPr>
      </w:pPr>
      <w:r>
        <w:rPr>
          <w:rFonts w:hint="eastAsia"/>
          <w:szCs w:val="21"/>
        </w:rPr>
        <w:t>其他说明：</w:t>
      </w:r>
    </w:p>
    <w:sdt>
      <w:sdtPr>
        <w:rPr>
          <w:szCs w:val="21"/>
        </w:rPr>
        <w:alias w:val="是否适用：投资性房地产的说明[双击切换]"/>
        <w:tag w:val="_GBC_8bfb4ff2be19482ea8535705f2db855a"/>
        <w:id w:val="900789029"/>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283"/>
        <w:rPr>
          <w:rFonts w:cstheme="minorBidi"/>
          <w:kern w:val="2"/>
          <w:szCs w:val="21"/>
        </w:rPr>
        <w:sectPr>
          <w:pgSz w:w="11906" w:h="16838"/>
          <w:pgMar w:top="1440" w:right="1797" w:bottom="1525" w:left="1276" w:header="856" w:footer="992" w:gutter="0"/>
          <w:cols w:space="425"/>
          <w:docGrid w:linePitch="312"/>
        </w:sectPr>
      </w:pPr>
    </w:p>
    <w:p>
      <w:pPr>
        <w:ind w:right="283"/>
        <w:rPr>
          <w:rFonts w:cstheme="minorBidi"/>
          <w:kern w:val="2"/>
          <w:szCs w:val="21"/>
        </w:rPr>
      </w:pPr>
    </w:p>
    <w:p>
      <w:pPr>
        <w:pStyle w:val="afffffffffffffffffffffffffffffffff0"/>
        <w:numPr>
          <w:ilvl w:val="0"/>
          <w:numId w:val="103"/>
        </w:numPr>
        <w:tabs>
          <w:tab w:val="left" w:pos="504"/>
        </w:tabs>
        <w:rPr>
          <w:rFonts w:ascii="宋体" w:hAnsi="宋体"/>
          <w:szCs w:val="21"/>
        </w:rPr>
      </w:pPr>
      <w:bookmarkStart w:id="417" w:name="_Hlk153460290"/>
      <w:bookmarkStart w:id="418" w:name="_Hlk152860822"/>
      <w:bookmarkEnd w:id="417"/>
      <w:bookmarkEnd w:id="418"/>
      <w:r>
        <w:rPr>
          <w:rFonts w:ascii="宋体" w:hAnsi="宋体" w:hint="eastAsia"/>
          <w:szCs w:val="21"/>
        </w:rPr>
        <w:t>固定资产</w:t>
      </w:r>
    </w:p>
    <w:p>
      <w:pPr>
        <w:pStyle w:val="afffffffffffffffffffffffffffffffff1"/>
        <w:numPr>
          <w:ilvl w:val="0"/>
          <w:numId w:val="110"/>
        </w:numPr>
      </w:pPr>
      <w:bookmarkStart w:id="419" w:name="_Hlk532907583"/>
      <w:r>
        <w:rPr>
          <w:rFonts w:hint="eastAsia"/>
        </w:rPr>
        <w:t>项目列示</w:t>
      </w:r>
    </w:p>
    <w:sdt>
      <w:sdtPr>
        <w:alias w:val="是否适用：固定资产分类列示[双击切换]"/>
        <w:tag w:val="_GBC_aa56cf68790e4b9d866b3ea7d6d8073d"/>
        <w:id w:val="122796053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固定资产分类列示"/>
          <w:tag w:val="_GBC_857b5f6755c84b5aa235351580358065"/>
          <w:id w:val="19476458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固定资产分类列示"/>
          <w:tag w:val="_GBC_726c882708c540a4a7832f00029fe5d4"/>
          <w:id w:val="-3478736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9"/>
        <w:gridCol w:w="4386"/>
        <w:gridCol w:w="4408"/>
      </w:tblGrid>
      <w:tr>
        <w:sdt>
          <w:sdtPr>
            <w:tag w:val="_PLD_a1c8e68343ee4b7fa02f5422a7fad5c0"/>
            <w:id w:val="-2078271321"/>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433558488"/>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a075f0130f1f4334b8370490adf71764"/>
            <w:id w:val="589592039"/>
          </w:sdtPr>
          <w:sdtContent>
            <w:tc>
              <w:tcPr>
                <w:tcW w:w="1590" w:type="pct"/>
                <w:shd w:val="clear" w:color="auto" w:fill="auto"/>
                <w:vAlign w:val="center"/>
              </w:tcPr>
              <w:p>
                <w:pPr>
                  <w:jc w:val="center"/>
                  <w:rPr>
                    <w:szCs w:val="21"/>
                  </w:rPr>
                </w:pPr>
                <w:r>
                  <w:rPr>
                    <w:rFonts w:hint="eastAsia"/>
                    <w:szCs w:val="21"/>
                  </w:rPr>
                  <w:t>期初余额</w:t>
                </w:r>
              </w:p>
            </w:tc>
          </w:sdtContent>
        </w:sdt>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w:t>
            </w:r>
          </w:p>
        </w:tc>
        <w:tc>
          <w:tcPr>
            <w:tcW w:w="1582" w:type="pct"/>
            <w:shd w:val="clear" w:color="auto" w:fill="auto"/>
            <w:vAlign w:val="center"/>
          </w:tcPr>
          <w:p>
            <w:pPr>
              <w:pStyle w:val="affffffffffffffffffffffffffffffffe"/>
              <w:jc w:val="right"/>
            </w:pPr>
            <w:r>
              <w:t>112,683,312</w:t>
            </w:r>
          </w:p>
        </w:tc>
        <w:tc>
          <w:tcPr>
            <w:tcW w:w="1590" w:type="pct"/>
            <w:shd w:val="clear" w:color="auto" w:fill="auto"/>
            <w:vAlign w:val="center"/>
          </w:tcPr>
          <w:p>
            <w:pPr>
              <w:pStyle w:val="affffffffffffffffffffffffffffffffe"/>
              <w:jc w:val="right"/>
            </w:pPr>
            <w:r>
              <w:t>112,469,492</w:t>
            </w:r>
          </w:p>
        </w:tc>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固定资产清理</w:t>
            </w:r>
          </w:p>
        </w:tc>
        <w:tc>
          <w:tcPr>
            <w:tcW w:w="1582" w:type="pct"/>
            <w:shd w:val="clear" w:color="auto" w:fill="auto"/>
            <w:vAlign w:val="center"/>
          </w:tcPr>
          <w:p>
            <w:pPr>
              <w:pStyle w:val="affffffffffffffffffffffffffffffffe"/>
              <w:jc w:val="right"/>
            </w:pPr>
            <w:r>
              <w:t>25,996</w:t>
            </w:r>
          </w:p>
        </w:tc>
        <w:tc>
          <w:tcPr>
            <w:tcW w:w="1590" w:type="pct"/>
            <w:shd w:val="clear" w:color="auto" w:fill="auto"/>
            <w:vAlign w:val="center"/>
          </w:tcPr>
          <w:p>
            <w:pPr>
              <w:pStyle w:val="affffffffffffffffffffffffffffffffe"/>
              <w:jc w:val="right"/>
            </w:pPr>
            <w:r>
              <w:t>7,846</w:t>
            </w:r>
          </w:p>
        </w:tc>
      </w:tr>
      <w:tr>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tc>
          <w:tcPr>
            <w:tcW w:w="1582" w:type="pct"/>
            <w:shd w:val="clear" w:color="auto" w:fill="auto"/>
            <w:vAlign w:val="center"/>
          </w:tcPr>
          <w:p>
            <w:pPr>
              <w:pStyle w:val="affffffffffffffffffffffffffffffffe"/>
              <w:jc w:val="right"/>
            </w:pPr>
            <w:r>
              <w:t>112,709,308</w:t>
            </w:r>
          </w:p>
        </w:tc>
        <w:tc>
          <w:tcPr>
            <w:tcW w:w="1590" w:type="pct"/>
            <w:shd w:val="clear" w:color="auto" w:fill="auto"/>
            <w:vAlign w:val="center"/>
          </w:tcPr>
          <w:p>
            <w:pPr>
              <w:pStyle w:val="affffffffffffffffffffffffffffffffe"/>
              <w:jc w:val="right"/>
            </w:pPr>
            <w:r>
              <w:t>112,477,338</w:t>
            </w:r>
          </w:p>
        </w:tc>
      </w:tr>
    </w:tbl>
    <w:p>
      <w:pPr>
        <w:rPr>
          <w:b/>
        </w:rPr>
      </w:pPr>
    </w:p>
    <w:bookmarkEnd w:id="419"/>
    <w:p>
      <w:pPr>
        <w:rPr>
          <w:szCs w:val="21"/>
        </w:rPr>
      </w:pPr>
      <w:r>
        <w:rPr>
          <w:rFonts w:hint="eastAsia"/>
          <w:szCs w:val="21"/>
        </w:rPr>
        <w:t>其他说明：</w:t>
      </w:r>
    </w:p>
    <w:sdt>
      <w:sdtPr>
        <w:rPr>
          <w:szCs w:val="21"/>
        </w:rPr>
        <w:alias w:val="是否适用：固定资产分类列示其他说明[双击切换]"/>
        <w:tag w:val="_GBC_242c272ba3a1435aacea1f45ade5a2e0"/>
        <w:id w:val="209304695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10"/>
        </w:numPr>
      </w:pPr>
      <w:r>
        <w:rPr>
          <w:rFonts w:hint="eastAsia"/>
        </w:rPr>
        <w:t>固定资产</w:t>
      </w:r>
    </w:p>
    <w:p>
      <w:pPr>
        <w:pStyle w:val="affffffffffffffffff8"/>
        <w:numPr>
          <w:ilvl w:val="0"/>
          <w:numId w:val="172"/>
        </w:numPr>
        <w:ind w:leftChars="0"/>
      </w:pPr>
      <w:r>
        <w:rPr>
          <w:rFonts w:hint="eastAsia"/>
        </w:rPr>
        <w:t>固定资产情况</w:t>
      </w:r>
    </w:p>
    <w:sdt>
      <w:sdtPr>
        <w:alias w:val="是否适用：固定资产情况[双击切换]"/>
        <w:tag w:val="_GBC_a44afb7019ae43b7a273970cf76154a3"/>
        <w:id w:val="185332959"/>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948499687"/>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固定资产情况"/>
          <w:tag w:val="_GBC_acfb726ad8bc4e37a6326a98b903d495"/>
          <w:id w:val="15550171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527"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512"/>
        <w:gridCol w:w="1422"/>
        <w:gridCol w:w="1539"/>
        <w:gridCol w:w="1539"/>
        <w:gridCol w:w="1539"/>
        <w:gridCol w:w="1658"/>
        <w:gridCol w:w="1422"/>
        <w:gridCol w:w="1422"/>
        <w:gridCol w:w="2271"/>
      </w:tblGrid>
      <w:tr>
        <w:sdt>
          <w:sdtPr>
            <w:tag w:val="_PLD_0431b88b9ff14ebb90e5715c273e1c1d"/>
            <w:id w:val="-2102403071"/>
          </w:sdtPr>
          <w:sdtContent>
            <w:tc>
              <w:tcPr>
                <w:tcW w:w="820" w:type="pct"/>
                <w:shd w:val="clear" w:color="auto" w:fill="auto"/>
                <w:vAlign w:val="center"/>
              </w:tcPr>
              <w:p>
                <w:pPr>
                  <w:jc w:val="center"/>
                </w:pPr>
                <w:r>
                  <w:rPr>
                    <w:rFonts w:hint="eastAsia"/>
                  </w:rPr>
                  <w:t>项目</w:t>
                </w:r>
              </w:p>
            </w:tc>
          </w:sdtContent>
        </w:sdt>
        <w:sdt>
          <w:sdtPr>
            <w:rPr>
              <w:rFonts w:hint="eastAsia"/>
            </w:rPr>
            <w:alias w:val="固定资产情况明细-项目名称"/>
            <w:tag w:val="_GBC_d421638fcfb34bbba0e548b4cb719a06"/>
            <w:id w:val="-100808846"/>
            <w:text/>
          </w:sdtPr>
          <w:sdtContent>
            <w:tc>
              <w:tcPr>
                <w:tcW w:w="464" w:type="pct"/>
                <w:shd w:val="clear" w:color="auto" w:fill="auto"/>
                <w:vAlign w:val="center"/>
              </w:tcPr>
              <w:p>
                <w:pPr>
                  <w:jc w:val="center"/>
                </w:pPr>
                <w:r>
                  <w:rPr>
                    <w:rFonts w:hint="eastAsia"/>
                  </w:rPr>
                  <w:t>土地</w:t>
                </w:r>
              </w:p>
            </w:tc>
          </w:sdtContent>
        </w:sdt>
        <w:sdt>
          <w:sdtPr>
            <w:rPr>
              <w:rFonts w:hint="eastAsia"/>
            </w:rPr>
            <w:alias w:val="固定资产情况明细-项目名称"/>
            <w:tag w:val="_GBC_d421638fcfb34bbba0e548b4cb719a06"/>
            <w:id w:val="-1266763928"/>
            <w:text/>
          </w:sdtPr>
          <w:sdtContent>
            <w:tc>
              <w:tcPr>
                <w:tcW w:w="502" w:type="pct"/>
                <w:shd w:val="clear" w:color="auto" w:fill="auto"/>
                <w:vAlign w:val="center"/>
              </w:tcPr>
              <w:p>
                <w:pPr>
                  <w:jc w:val="center"/>
                </w:pPr>
                <w:r>
                  <w:rPr>
                    <w:rFonts w:hint="eastAsia"/>
                  </w:rPr>
                  <w:t>房屋及建筑物</w:t>
                </w:r>
              </w:p>
            </w:tc>
          </w:sdtContent>
        </w:sdt>
        <w:sdt>
          <w:sdtPr>
            <w:rPr>
              <w:rFonts w:hint="eastAsia"/>
            </w:rPr>
            <w:alias w:val="固定资产情况明细-项目名称"/>
            <w:tag w:val="_GBC_d421638fcfb34bbba0e548b4cb719a06"/>
            <w:id w:val="1999611820"/>
            <w:text/>
          </w:sdtPr>
          <w:sdtContent>
            <w:tc>
              <w:tcPr>
                <w:tcW w:w="502" w:type="pct"/>
                <w:shd w:val="clear" w:color="auto" w:fill="auto"/>
                <w:vAlign w:val="center"/>
              </w:tcPr>
              <w:p>
                <w:pPr>
                  <w:jc w:val="center"/>
                </w:pPr>
                <w:r>
                  <w:rPr>
                    <w:rFonts w:hint="eastAsia"/>
                  </w:rPr>
                  <w:t>矿井建筑物</w:t>
                </w:r>
              </w:p>
            </w:tc>
          </w:sdtContent>
        </w:sdt>
        <w:sdt>
          <w:sdtPr>
            <w:rPr>
              <w:rFonts w:hint="eastAsia"/>
            </w:rPr>
            <w:alias w:val="固定资产情况明细-项目名称"/>
            <w:tag w:val="_GBC_d421638fcfb34bbba0e548b4cb719a06"/>
            <w:id w:val="-944919981"/>
            <w:text/>
          </w:sdtPr>
          <w:sdtContent>
            <w:tc>
              <w:tcPr>
                <w:tcW w:w="502" w:type="pct"/>
                <w:shd w:val="clear" w:color="auto" w:fill="auto"/>
                <w:vAlign w:val="center"/>
              </w:tcPr>
              <w:p>
                <w:pPr>
                  <w:jc w:val="center"/>
                </w:pPr>
                <w:r>
                  <w:rPr>
                    <w:rFonts w:hint="eastAsia"/>
                  </w:rPr>
                  <w:t>地面建筑物</w:t>
                </w:r>
              </w:p>
            </w:tc>
          </w:sdtContent>
        </w:sdt>
        <w:sdt>
          <w:sdtPr>
            <w:rPr>
              <w:rFonts w:hint="eastAsia"/>
            </w:rPr>
            <w:alias w:val="固定资产情况明细-项目名称"/>
            <w:tag w:val="_GBC_d421638fcfb34bbba0e548b4cb719a06"/>
            <w:id w:val="-1607724151"/>
            <w:text/>
          </w:sdtPr>
          <w:sdtContent>
            <w:tc>
              <w:tcPr>
                <w:tcW w:w="541" w:type="pct"/>
                <w:shd w:val="clear" w:color="auto" w:fill="auto"/>
                <w:vAlign w:val="center"/>
              </w:tcPr>
              <w:p>
                <w:pPr>
                  <w:jc w:val="center"/>
                </w:pPr>
                <w:r>
                  <w:rPr>
                    <w:rFonts w:hint="eastAsia"/>
                  </w:rPr>
                  <w:t>机器设备</w:t>
                </w:r>
              </w:p>
            </w:tc>
          </w:sdtContent>
        </w:sdt>
        <w:sdt>
          <w:sdtPr>
            <w:rPr>
              <w:rFonts w:hint="eastAsia"/>
            </w:rPr>
            <w:alias w:val="固定资产情况明细-项目名称"/>
            <w:tag w:val="_GBC_d421638fcfb34bbba0e548b4cb719a06"/>
            <w:id w:val="-1259979446"/>
            <w:text/>
          </w:sdtPr>
          <w:sdtContent>
            <w:tc>
              <w:tcPr>
                <w:tcW w:w="464" w:type="pct"/>
                <w:shd w:val="clear" w:color="auto" w:fill="auto"/>
                <w:vAlign w:val="center"/>
              </w:tcPr>
              <w:p>
                <w:pPr>
                  <w:jc w:val="center"/>
                </w:pPr>
                <w:r>
                  <w:rPr>
                    <w:rFonts w:hint="eastAsia"/>
                  </w:rPr>
                  <w:t>运输工具</w:t>
                </w:r>
              </w:p>
            </w:tc>
          </w:sdtContent>
        </w:sdt>
        <w:sdt>
          <w:sdtPr>
            <w:rPr>
              <w:rFonts w:hint="eastAsia"/>
            </w:rPr>
            <w:alias w:val="固定资产情况明细-项目名称"/>
            <w:tag w:val="_GBC_d421638fcfb34bbba0e548b4cb719a06"/>
            <w:id w:val="-1991311024"/>
            <w:text/>
          </w:sdtPr>
          <w:sdtContent>
            <w:tc>
              <w:tcPr>
                <w:tcW w:w="464" w:type="pct"/>
                <w:shd w:val="clear" w:color="auto" w:fill="auto"/>
                <w:vAlign w:val="center"/>
              </w:tcPr>
              <w:p>
                <w:pPr>
                  <w:jc w:val="center"/>
                </w:pPr>
                <w:r>
                  <w:rPr>
                    <w:rFonts w:hint="eastAsia"/>
                  </w:rPr>
                  <w:t>其他</w:t>
                </w:r>
              </w:p>
            </w:tc>
          </w:sdtContent>
        </w:sdt>
        <w:sdt>
          <w:sdtPr>
            <w:tag w:val="_PLD_44989fc4cd3d46cc990c4d1941405a11"/>
            <w:id w:val="-1818864975"/>
          </w:sdtPr>
          <w:sdtContent>
            <w:tc>
              <w:tcPr>
                <w:tcW w:w="741" w:type="pct"/>
                <w:shd w:val="clear" w:color="auto" w:fill="auto"/>
                <w:vAlign w:val="center"/>
              </w:tcPr>
              <w:p>
                <w:pPr>
                  <w:jc w:val="center"/>
                </w:pPr>
                <w:r>
                  <w:rPr>
                    <w:rFonts w:hint="eastAsia"/>
                  </w:rPr>
                  <w:t>合计</w:t>
                </w:r>
              </w:p>
            </w:tc>
          </w:sdtContent>
        </w:sdt>
      </w:tr>
      <w:tr>
        <w:sdt>
          <w:sdtPr>
            <w:tag w:val="_PLD_baa91289996942f0a3579319b339b24d"/>
            <w:id w:val="-1657147788"/>
          </w:sdtPr>
          <w:sdtContent>
            <w:tc>
              <w:tcPr>
                <w:tcW w:w="5000" w:type="pct"/>
                <w:gridSpan w:val="9"/>
                <w:shd w:val="clear" w:color="auto" w:fill="auto"/>
              </w:tcPr>
              <w:p>
                <w:pPr>
                  <w:pStyle w:val="affffffffffffffffff3"/>
                </w:pPr>
                <w:r>
                  <w:rPr>
                    <w:rFonts w:hint="eastAsia"/>
                  </w:rPr>
                  <w:t>一、账面原值：</w:t>
                </w:r>
              </w:p>
            </w:tc>
          </w:sdtContent>
        </w:sdt>
      </w:tr>
      <w:tr>
        <w:tc>
          <w:tcPr>
            <w:tcW w:w="820" w:type="pct"/>
            <w:shd w:val="clear" w:color="auto" w:fill="auto"/>
          </w:tcPr>
          <w:p>
            <w:pPr>
              <w:ind w:firstLineChars="200" w:firstLine="420"/>
            </w:pPr>
            <w:r>
              <w:t>1.</w:t>
            </w:r>
            <w:r>
              <w:rPr>
                <w:rFonts w:hint="eastAsia"/>
              </w:rPr>
              <w:t>期初余额</w:t>
            </w:r>
          </w:p>
        </w:tc>
        <w:tc>
          <w:tcPr>
            <w:tcW w:w="464" w:type="pct"/>
            <w:shd w:val="clear" w:color="auto" w:fill="auto"/>
            <w:vAlign w:val="center"/>
          </w:tcPr>
          <w:p>
            <w:pPr>
              <w:jc w:val="right"/>
            </w:pPr>
            <w:r>
              <w:rPr>
                <w:rFonts w:hint="eastAsia"/>
              </w:rPr>
              <w:t>1,480,625</w:t>
            </w:r>
          </w:p>
        </w:tc>
        <w:tc>
          <w:tcPr>
            <w:tcW w:w="502" w:type="pct"/>
            <w:shd w:val="clear" w:color="auto" w:fill="auto"/>
            <w:vAlign w:val="center"/>
          </w:tcPr>
          <w:p>
            <w:pPr>
              <w:jc w:val="right"/>
            </w:pPr>
            <w:r>
              <w:rPr>
                <w:rFonts w:hint="eastAsia"/>
              </w:rPr>
              <w:t>16,817,708</w:t>
            </w:r>
          </w:p>
        </w:tc>
        <w:tc>
          <w:tcPr>
            <w:tcW w:w="502" w:type="pct"/>
            <w:shd w:val="clear" w:color="auto" w:fill="auto"/>
            <w:vAlign w:val="center"/>
          </w:tcPr>
          <w:p>
            <w:pPr>
              <w:jc w:val="right"/>
            </w:pPr>
            <w:r>
              <w:rPr>
                <w:rFonts w:hint="eastAsia"/>
              </w:rPr>
              <w:t>49,491,945</w:t>
            </w:r>
          </w:p>
        </w:tc>
        <w:tc>
          <w:tcPr>
            <w:tcW w:w="502" w:type="pct"/>
            <w:shd w:val="clear" w:color="auto" w:fill="auto"/>
            <w:vAlign w:val="center"/>
          </w:tcPr>
          <w:p>
            <w:pPr>
              <w:jc w:val="right"/>
            </w:pPr>
            <w:r>
              <w:rPr>
                <w:rFonts w:hint="eastAsia"/>
              </w:rPr>
              <w:t>23,621,296</w:t>
            </w:r>
          </w:p>
        </w:tc>
        <w:tc>
          <w:tcPr>
            <w:tcW w:w="541" w:type="pct"/>
            <w:shd w:val="clear" w:color="auto" w:fill="auto"/>
            <w:vAlign w:val="center"/>
          </w:tcPr>
          <w:p>
            <w:pPr>
              <w:jc w:val="right"/>
            </w:pPr>
            <w:r>
              <w:rPr>
                <w:rFonts w:hint="eastAsia"/>
              </w:rPr>
              <w:t>101,684,223</w:t>
            </w:r>
          </w:p>
        </w:tc>
        <w:tc>
          <w:tcPr>
            <w:tcW w:w="464" w:type="pct"/>
            <w:shd w:val="clear" w:color="auto" w:fill="auto"/>
            <w:vAlign w:val="center"/>
          </w:tcPr>
          <w:p>
            <w:pPr>
              <w:jc w:val="right"/>
            </w:pPr>
            <w:r>
              <w:rPr>
                <w:rFonts w:hint="eastAsia"/>
              </w:rPr>
              <w:t>2,411,240</w:t>
            </w:r>
          </w:p>
        </w:tc>
        <w:tc>
          <w:tcPr>
            <w:tcW w:w="464" w:type="pct"/>
            <w:shd w:val="clear" w:color="auto" w:fill="auto"/>
            <w:vAlign w:val="center"/>
          </w:tcPr>
          <w:p>
            <w:pPr>
              <w:jc w:val="right"/>
            </w:pPr>
            <w:r>
              <w:rPr>
                <w:rFonts w:hint="eastAsia"/>
              </w:rPr>
              <w:t>7,757,564</w:t>
            </w:r>
          </w:p>
        </w:tc>
        <w:tc>
          <w:tcPr>
            <w:tcW w:w="741" w:type="pct"/>
            <w:shd w:val="clear" w:color="auto" w:fill="auto"/>
            <w:vAlign w:val="center"/>
          </w:tcPr>
          <w:p>
            <w:pPr>
              <w:jc w:val="right"/>
            </w:pPr>
            <w:r>
              <w:rPr>
                <w:rFonts w:hint="eastAsia"/>
              </w:rPr>
              <w:t>203,264,601</w:t>
            </w:r>
          </w:p>
        </w:tc>
      </w:tr>
      <w:tr>
        <w:tc>
          <w:tcPr>
            <w:tcW w:w="820" w:type="pct"/>
            <w:shd w:val="clear" w:color="auto" w:fill="auto"/>
          </w:tcPr>
          <w:p>
            <w:pPr>
              <w:ind w:firstLineChars="200" w:firstLine="420"/>
            </w:pPr>
            <w:r>
              <w:t>2.</w:t>
            </w:r>
            <w:r>
              <w:rPr>
                <w:rFonts w:hint="eastAsia"/>
              </w:rPr>
              <w:t>本期增加金额</w:t>
            </w:r>
          </w:p>
        </w:tc>
        <w:tc>
          <w:tcPr>
            <w:tcW w:w="464" w:type="pct"/>
            <w:shd w:val="clear" w:color="auto" w:fill="auto"/>
            <w:vAlign w:val="center"/>
          </w:tcPr>
          <w:p>
            <w:pPr>
              <w:jc w:val="right"/>
            </w:pPr>
            <w:r>
              <w:rPr>
                <w:rFonts w:hint="eastAsia"/>
              </w:rPr>
              <w:t>38</w:t>
            </w:r>
          </w:p>
        </w:tc>
        <w:tc>
          <w:tcPr>
            <w:tcW w:w="502" w:type="pct"/>
            <w:shd w:val="clear" w:color="auto" w:fill="auto"/>
            <w:vAlign w:val="center"/>
          </w:tcPr>
          <w:p>
            <w:pPr>
              <w:jc w:val="right"/>
            </w:pPr>
            <w:r>
              <w:rPr>
                <w:rFonts w:hint="eastAsia"/>
              </w:rPr>
              <w:t>1,299,800</w:t>
            </w:r>
          </w:p>
        </w:tc>
        <w:tc>
          <w:tcPr>
            <w:tcW w:w="502" w:type="pct"/>
            <w:shd w:val="clear" w:color="auto" w:fill="auto"/>
            <w:vAlign w:val="center"/>
          </w:tcPr>
          <w:p>
            <w:pPr>
              <w:jc w:val="right"/>
            </w:pPr>
            <w:r>
              <w:rPr>
                <w:rFonts w:hint="eastAsia"/>
              </w:rPr>
              <w:t>2,392,465</w:t>
            </w:r>
          </w:p>
        </w:tc>
        <w:tc>
          <w:tcPr>
            <w:tcW w:w="502" w:type="pct"/>
            <w:shd w:val="clear" w:color="auto" w:fill="auto"/>
            <w:vAlign w:val="center"/>
          </w:tcPr>
          <w:p>
            <w:pPr>
              <w:jc w:val="right"/>
            </w:pPr>
            <w:r>
              <w:rPr>
                <w:rFonts w:hint="eastAsia"/>
              </w:rPr>
              <w:t>992,631</w:t>
            </w:r>
          </w:p>
        </w:tc>
        <w:tc>
          <w:tcPr>
            <w:tcW w:w="541" w:type="pct"/>
            <w:shd w:val="clear" w:color="auto" w:fill="auto"/>
            <w:vAlign w:val="center"/>
          </w:tcPr>
          <w:p>
            <w:pPr>
              <w:jc w:val="right"/>
            </w:pPr>
            <w:r>
              <w:rPr>
                <w:rFonts w:hint="eastAsia"/>
              </w:rPr>
              <w:t>9,366,636</w:t>
            </w:r>
          </w:p>
        </w:tc>
        <w:tc>
          <w:tcPr>
            <w:tcW w:w="464" w:type="pct"/>
            <w:shd w:val="clear" w:color="auto" w:fill="auto"/>
            <w:vAlign w:val="center"/>
          </w:tcPr>
          <w:p>
            <w:pPr>
              <w:jc w:val="right"/>
            </w:pPr>
            <w:r>
              <w:rPr>
                <w:rFonts w:hint="eastAsia"/>
              </w:rPr>
              <w:t>308,209</w:t>
            </w:r>
          </w:p>
        </w:tc>
        <w:tc>
          <w:tcPr>
            <w:tcW w:w="464" w:type="pct"/>
            <w:shd w:val="clear" w:color="auto" w:fill="auto"/>
            <w:vAlign w:val="center"/>
          </w:tcPr>
          <w:p>
            <w:pPr>
              <w:jc w:val="right"/>
            </w:pPr>
            <w:r>
              <w:rPr>
                <w:rFonts w:hint="eastAsia"/>
              </w:rPr>
              <w:t>960,175</w:t>
            </w:r>
          </w:p>
        </w:tc>
        <w:tc>
          <w:tcPr>
            <w:tcW w:w="741" w:type="pct"/>
            <w:shd w:val="clear" w:color="auto" w:fill="auto"/>
            <w:vAlign w:val="center"/>
          </w:tcPr>
          <w:p>
            <w:pPr>
              <w:jc w:val="right"/>
            </w:pPr>
            <w:r>
              <w:rPr>
                <w:rFonts w:hint="eastAsia"/>
              </w:rPr>
              <w:t>15,319,954</w:t>
            </w:r>
          </w:p>
        </w:tc>
      </w:tr>
      <w:tr>
        <w:tc>
          <w:tcPr>
            <w:tcW w:w="820" w:type="pct"/>
            <w:shd w:val="clear" w:color="auto" w:fill="auto"/>
          </w:tcPr>
          <w:p>
            <w:pPr>
              <w:ind w:firstLineChars="300" w:firstLine="630"/>
            </w:pPr>
            <w:r>
              <w:rPr>
                <w:rFonts w:hint="eastAsia"/>
              </w:rPr>
              <w:t>（1）购置</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97,222</w:t>
            </w:r>
          </w:p>
        </w:tc>
        <w:tc>
          <w:tcPr>
            <w:tcW w:w="502" w:type="pct"/>
            <w:shd w:val="clear" w:color="auto" w:fill="auto"/>
            <w:vAlign w:val="center"/>
          </w:tcPr>
          <w:p>
            <w:pPr>
              <w:jc w:val="right"/>
            </w:pPr>
            <w:r>
              <w:rPr>
                <w:rFonts w:hint="eastAsia"/>
              </w:rPr>
              <w:t>91,472</w:t>
            </w:r>
          </w:p>
        </w:tc>
        <w:tc>
          <w:tcPr>
            <w:tcW w:w="502" w:type="pct"/>
            <w:shd w:val="clear" w:color="auto" w:fill="auto"/>
            <w:vAlign w:val="center"/>
          </w:tcPr>
          <w:p>
            <w:pPr>
              <w:jc w:val="right"/>
            </w:pPr>
            <w:r>
              <w:rPr>
                <w:rFonts w:hint="eastAsia"/>
              </w:rPr>
              <w:t>89,843</w:t>
            </w:r>
          </w:p>
        </w:tc>
        <w:tc>
          <w:tcPr>
            <w:tcW w:w="541" w:type="pct"/>
            <w:shd w:val="clear" w:color="auto" w:fill="auto"/>
            <w:vAlign w:val="center"/>
          </w:tcPr>
          <w:p>
            <w:pPr>
              <w:jc w:val="right"/>
            </w:pPr>
            <w:r>
              <w:rPr>
                <w:rFonts w:hint="eastAsia"/>
              </w:rPr>
              <w:t>4,190,075</w:t>
            </w:r>
          </w:p>
        </w:tc>
        <w:tc>
          <w:tcPr>
            <w:tcW w:w="464" w:type="pct"/>
            <w:shd w:val="clear" w:color="auto" w:fill="auto"/>
            <w:vAlign w:val="center"/>
          </w:tcPr>
          <w:p>
            <w:pPr>
              <w:jc w:val="right"/>
            </w:pPr>
            <w:r>
              <w:rPr>
                <w:rFonts w:hint="eastAsia"/>
              </w:rPr>
              <w:t>93,934</w:t>
            </w:r>
          </w:p>
        </w:tc>
        <w:tc>
          <w:tcPr>
            <w:tcW w:w="464" w:type="pct"/>
            <w:shd w:val="clear" w:color="auto" w:fill="auto"/>
            <w:vAlign w:val="center"/>
          </w:tcPr>
          <w:p>
            <w:pPr>
              <w:jc w:val="right"/>
            </w:pPr>
            <w:r>
              <w:rPr>
                <w:rFonts w:hint="eastAsia"/>
              </w:rPr>
              <w:t>348,704</w:t>
            </w:r>
          </w:p>
        </w:tc>
        <w:tc>
          <w:tcPr>
            <w:tcW w:w="741" w:type="pct"/>
            <w:shd w:val="clear" w:color="auto" w:fill="auto"/>
            <w:vAlign w:val="center"/>
          </w:tcPr>
          <w:p>
            <w:pPr>
              <w:jc w:val="right"/>
            </w:pPr>
            <w:r>
              <w:rPr>
                <w:rFonts w:hint="eastAsia"/>
              </w:rPr>
              <w:t>4,911,250</w:t>
            </w:r>
          </w:p>
        </w:tc>
      </w:tr>
      <w:tr>
        <w:tc>
          <w:tcPr>
            <w:tcW w:w="820" w:type="pct"/>
            <w:shd w:val="clear" w:color="auto" w:fill="auto"/>
          </w:tcPr>
          <w:p>
            <w:pPr>
              <w:ind w:firstLineChars="300" w:firstLine="630"/>
            </w:pPr>
            <w:r>
              <w:rPr>
                <w:rFonts w:hint="eastAsia"/>
              </w:rPr>
              <w:t>（2）在建工程转入</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700,387</w:t>
            </w:r>
          </w:p>
        </w:tc>
        <w:tc>
          <w:tcPr>
            <w:tcW w:w="502" w:type="pct"/>
            <w:shd w:val="clear" w:color="auto" w:fill="auto"/>
            <w:vAlign w:val="center"/>
          </w:tcPr>
          <w:p>
            <w:pPr>
              <w:jc w:val="right"/>
            </w:pPr>
            <w:r>
              <w:rPr>
                <w:rFonts w:hint="eastAsia"/>
              </w:rPr>
              <w:t>1,481,071</w:t>
            </w:r>
          </w:p>
        </w:tc>
        <w:tc>
          <w:tcPr>
            <w:tcW w:w="502" w:type="pct"/>
            <w:shd w:val="clear" w:color="auto" w:fill="auto"/>
            <w:vAlign w:val="center"/>
          </w:tcPr>
          <w:p>
            <w:pPr>
              <w:jc w:val="right"/>
            </w:pPr>
            <w:r>
              <w:rPr>
                <w:rFonts w:hint="eastAsia"/>
              </w:rPr>
              <w:t>902,745</w:t>
            </w:r>
          </w:p>
        </w:tc>
        <w:tc>
          <w:tcPr>
            <w:tcW w:w="541" w:type="pct"/>
            <w:shd w:val="clear" w:color="auto" w:fill="auto"/>
            <w:vAlign w:val="center"/>
          </w:tcPr>
          <w:p>
            <w:pPr>
              <w:jc w:val="right"/>
            </w:pPr>
            <w:r>
              <w:rPr>
                <w:rFonts w:hint="eastAsia"/>
              </w:rPr>
              <w:t>4,277,710</w:t>
            </w:r>
          </w:p>
        </w:tc>
        <w:tc>
          <w:tcPr>
            <w:tcW w:w="464" w:type="pct"/>
            <w:shd w:val="clear" w:color="auto" w:fill="auto"/>
            <w:vAlign w:val="center"/>
          </w:tcPr>
          <w:p>
            <w:pPr>
              <w:jc w:val="right"/>
            </w:pPr>
            <w:r>
              <w:rPr>
                <w:rFonts w:hint="eastAsia"/>
              </w:rPr>
              <w:t>30,860</w:t>
            </w:r>
          </w:p>
        </w:tc>
        <w:tc>
          <w:tcPr>
            <w:tcW w:w="464" w:type="pct"/>
            <w:shd w:val="clear" w:color="auto" w:fill="auto"/>
            <w:vAlign w:val="center"/>
          </w:tcPr>
          <w:p>
            <w:pPr>
              <w:jc w:val="right"/>
            </w:pPr>
            <w:r>
              <w:rPr>
                <w:rFonts w:hint="eastAsia"/>
              </w:rPr>
              <w:t>510,846</w:t>
            </w:r>
          </w:p>
        </w:tc>
        <w:tc>
          <w:tcPr>
            <w:tcW w:w="741" w:type="pct"/>
            <w:shd w:val="clear" w:color="auto" w:fill="auto"/>
            <w:vAlign w:val="center"/>
          </w:tcPr>
          <w:p>
            <w:pPr>
              <w:jc w:val="right"/>
            </w:pPr>
            <w:r>
              <w:rPr>
                <w:rFonts w:hint="eastAsia"/>
              </w:rPr>
              <w:t>7,903,619</w:t>
            </w:r>
          </w:p>
        </w:tc>
      </w:tr>
      <w:tr>
        <w:tc>
          <w:tcPr>
            <w:tcW w:w="820" w:type="pct"/>
            <w:shd w:val="clear" w:color="auto" w:fill="auto"/>
          </w:tcPr>
          <w:p>
            <w:pPr>
              <w:ind w:firstLineChars="300" w:firstLine="630"/>
            </w:pPr>
            <w:r>
              <w:t>（3）重分类转入</w:t>
            </w:r>
          </w:p>
        </w:tc>
        <w:tc>
          <w:tcPr>
            <w:tcW w:w="464" w:type="pct"/>
            <w:shd w:val="clear" w:color="auto" w:fill="auto"/>
            <w:vAlign w:val="center"/>
          </w:tcPr>
          <w:p>
            <w:pPr>
              <w:jc w:val="right"/>
            </w:pPr>
          </w:p>
        </w:tc>
        <w:tc>
          <w:tcPr>
            <w:tcW w:w="502" w:type="pct"/>
            <w:shd w:val="clear" w:color="auto" w:fill="auto"/>
            <w:vAlign w:val="center"/>
          </w:tcPr>
          <w:p>
            <w:pPr>
              <w:jc w:val="right"/>
            </w:pPr>
            <w:r>
              <w:t>390,221</w:t>
            </w:r>
          </w:p>
        </w:tc>
        <w:tc>
          <w:tcPr>
            <w:tcW w:w="502" w:type="pct"/>
            <w:shd w:val="clear" w:color="auto" w:fill="auto"/>
            <w:vAlign w:val="center"/>
          </w:tcPr>
          <w:p>
            <w:pPr>
              <w:jc w:val="right"/>
            </w:pPr>
            <w:r>
              <w:t>23,803</w:t>
            </w:r>
          </w:p>
        </w:tc>
        <w:tc>
          <w:tcPr>
            <w:tcW w:w="502" w:type="pct"/>
            <w:shd w:val="clear" w:color="auto" w:fill="auto"/>
            <w:vAlign w:val="center"/>
          </w:tcPr>
          <w:p>
            <w:pPr>
              <w:jc w:val="right"/>
            </w:pPr>
            <w:r>
              <w:t>43</w:t>
            </w:r>
          </w:p>
        </w:tc>
        <w:tc>
          <w:tcPr>
            <w:tcW w:w="541" w:type="pct"/>
            <w:shd w:val="clear" w:color="auto" w:fill="auto"/>
            <w:vAlign w:val="center"/>
          </w:tcPr>
          <w:p>
            <w:pPr>
              <w:jc w:val="right"/>
            </w:pPr>
            <w:r>
              <w:t>102,545</w:t>
            </w:r>
          </w:p>
        </w:tc>
        <w:tc>
          <w:tcPr>
            <w:tcW w:w="464" w:type="pct"/>
            <w:shd w:val="clear" w:color="auto" w:fill="auto"/>
            <w:vAlign w:val="center"/>
          </w:tcPr>
          <w:p>
            <w:pPr>
              <w:jc w:val="right"/>
            </w:pPr>
            <w:r>
              <w:t>9,391</w:t>
            </w:r>
          </w:p>
        </w:tc>
        <w:tc>
          <w:tcPr>
            <w:tcW w:w="464" w:type="pct"/>
            <w:shd w:val="clear" w:color="auto" w:fill="auto"/>
            <w:vAlign w:val="center"/>
          </w:tcPr>
          <w:p>
            <w:pPr>
              <w:jc w:val="right"/>
            </w:pPr>
          </w:p>
        </w:tc>
        <w:tc>
          <w:tcPr>
            <w:tcW w:w="741" w:type="pct"/>
            <w:shd w:val="clear" w:color="auto" w:fill="auto"/>
            <w:vAlign w:val="center"/>
          </w:tcPr>
          <w:p>
            <w:pPr>
              <w:jc w:val="right"/>
            </w:pPr>
            <w:r>
              <w:t>526,003</w:t>
            </w:r>
          </w:p>
        </w:tc>
      </w:tr>
      <w:tr>
        <w:tc>
          <w:tcPr>
            <w:tcW w:w="820" w:type="pct"/>
            <w:shd w:val="clear" w:color="auto" w:fill="auto"/>
          </w:tcPr>
          <w:p>
            <w:pPr>
              <w:ind w:firstLineChars="300" w:firstLine="630"/>
            </w:pPr>
            <w:r>
              <w:t>(4)其他</w:t>
            </w:r>
          </w:p>
        </w:tc>
        <w:tc>
          <w:tcPr>
            <w:tcW w:w="464" w:type="pct"/>
            <w:shd w:val="clear" w:color="auto" w:fill="auto"/>
            <w:vAlign w:val="center"/>
          </w:tcPr>
          <w:p>
            <w:pPr>
              <w:jc w:val="right"/>
            </w:pPr>
            <w:r>
              <w:t>38</w:t>
            </w:r>
          </w:p>
        </w:tc>
        <w:tc>
          <w:tcPr>
            <w:tcW w:w="502" w:type="pct"/>
            <w:shd w:val="clear" w:color="auto" w:fill="auto"/>
            <w:vAlign w:val="center"/>
          </w:tcPr>
          <w:p>
            <w:pPr>
              <w:jc w:val="right"/>
            </w:pPr>
            <w:r>
              <w:t>111,970</w:t>
            </w:r>
          </w:p>
        </w:tc>
        <w:tc>
          <w:tcPr>
            <w:tcW w:w="502" w:type="pct"/>
            <w:shd w:val="clear" w:color="auto" w:fill="auto"/>
            <w:vAlign w:val="center"/>
          </w:tcPr>
          <w:p>
            <w:pPr>
              <w:jc w:val="right"/>
            </w:pPr>
            <w:r>
              <w:t>796,119</w:t>
            </w:r>
          </w:p>
        </w:tc>
        <w:tc>
          <w:tcPr>
            <w:tcW w:w="502" w:type="pct"/>
            <w:shd w:val="clear" w:color="auto" w:fill="auto"/>
            <w:vAlign w:val="center"/>
          </w:tcPr>
          <w:p>
            <w:pPr>
              <w:jc w:val="right"/>
            </w:pPr>
          </w:p>
        </w:tc>
        <w:tc>
          <w:tcPr>
            <w:tcW w:w="541" w:type="pct"/>
            <w:shd w:val="clear" w:color="auto" w:fill="auto"/>
            <w:vAlign w:val="center"/>
          </w:tcPr>
          <w:p>
            <w:pPr>
              <w:jc w:val="right"/>
            </w:pPr>
            <w:r>
              <w:t>796,306</w:t>
            </w:r>
          </w:p>
        </w:tc>
        <w:tc>
          <w:tcPr>
            <w:tcW w:w="464" w:type="pct"/>
            <w:shd w:val="clear" w:color="auto" w:fill="auto"/>
            <w:vAlign w:val="center"/>
          </w:tcPr>
          <w:p>
            <w:pPr>
              <w:jc w:val="right"/>
            </w:pPr>
            <w:r>
              <w:t>174,024</w:t>
            </w:r>
          </w:p>
        </w:tc>
        <w:tc>
          <w:tcPr>
            <w:tcW w:w="464" w:type="pct"/>
            <w:shd w:val="clear" w:color="auto" w:fill="auto"/>
            <w:vAlign w:val="center"/>
          </w:tcPr>
          <w:p>
            <w:pPr>
              <w:jc w:val="right"/>
            </w:pPr>
            <w:r>
              <w:t>100,625</w:t>
            </w:r>
          </w:p>
        </w:tc>
        <w:tc>
          <w:tcPr>
            <w:tcW w:w="741" w:type="pct"/>
            <w:shd w:val="clear" w:color="auto" w:fill="auto"/>
            <w:vAlign w:val="center"/>
          </w:tcPr>
          <w:p>
            <w:pPr>
              <w:jc w:val="right"/>
            </w:pPr>
            <w:r>
              <w:t>1,979,082</w:t>
            </w:r>
          </w:p>
        </w:tc>
      </w:tr>
      <w:tr>
        <w:tc>
          <w:tcPr>
            <w:tcW w:w="820" w:type="pct"/>
            <w:shd w:val="clear" w:color="auto" w:fill="auto"/>
          </w:tcPr>
          <w:p>
            <w:pPr>
              <w:ind w:firstLineChars="202" w:firstLine="424"/>
            </w:pPr>
            <w:r>
              <w:rPr>
                <w:rFonts w:hint="eastAsia"/>
              </w:rPr>
              <w:t>3.本期减少金额</w:t>
            </w:r>
          </w:p>
        </w:tc>
        <w:tc>
          <w:tcPr>
            <w:tcW w:w="464" w:type="pct"/>
            <w:shd w:val="clear" w:color="auto" w:fill="auto"/>
            <w:vAlign w:val="center"/>
          </w:tcPr>
          <w:p>
            <w:pPr>
              <w:jc w:val="right"/>
            </w:pPr>
            <w:r>
              <w:rPr>
                <w:rFonts w:hint="eastAsia"/>
              </w:rPr>
              <w:t>533</w:t>
            </w:r>
          </w:p>
        </w:tc>
        <w:tc>
          <w:tcPr>
            <w:tcW w:w="502" w:type="pct"/>
            <w:shd w:val="clear" w:color="auto" w:fill="auto"/>
            <w:vAlign w:val="center"/>
          </w:tcPr>
          <w:p>
            <w:pPr>
              <w:jc w:val="right"/>
            </w:pPr>
            <w:r>
              <w:rPr>
                <w:rFonts w:hint="eastAsia"/>
              </w:rPr>
              <w:t>52,580</w:t>
            </w:r>
          </w:p>
        </w:tc>
        <w:tc>
          <w:tcPr>
            <w:tcW w:w="502" w:type="pct"/>
            <w:shd w:val="clear" w:color="auto" w:fill="auto"/>
            <w:vAlign w:val="center"/>
          </w:tcPr>
          <w:p>
            <w:pPr>
              <w:jc w:val="right"/>
            </w:pPr>
            <w:r>
              <w:rPr>
                <w:rFonts w:hint="eastAsia"/>
              </w:rPr>
              <w:t>1,288,671</w:t>
            </w:r>
          </w:p>
        </w:tc>
        <w:tc>
          <w:tcPr>
            <w:tcW w:w="502" w:type="pct"/>
            <w:shd w:val="clear" w:color="auto" w:fill="auto"/>
            <w:vAlign w:val="center"/>
          </w:tcPr>
          <w:p>
            <w:pPr>
              <w:jc w:val="right"/>
            </w:pPr>
            <w:r>
              <w:rPr>
                <w:rFonts w:hint="eastAsia"/>
              </w:rPr>
              <w:t>73,750</w:t>
            </w:r>
          </w:p>
        </w:tc>
        <w:tc>
          <w:tcPr>
            <w:tcW w:w="541" w:type="pct"/>
            <w:shd w:val="clear" w:color="auto" w:fill="auto"/>
            <w:vAlign w:val="center"/>
          </w:tcPr>
          <w:p>
            <w:pPr>
              <w:jc w:val="right"/>
            </w:pPr>
            <w:r>
              <w:rPr>
                <w:rFonts w:hint="eastAsia"/>
              </w:rPr>
              <w:t>2,300,147</w:t>
            </w:r>
          </w:p>
        </w:tc>
        <w:tc>
          <w:tcPr>
            <w:tcW w:w="464" w:type="pct"/>
            <w:shd w:val="clear" w:color="auto" w:fill="auto"/>
            <w:vAlign w:val="center"/>
          </w:tcPr>
          <w:p>
            <w:pPr>
              <w:jc w:val="right"/>
            </w:pPr>
            <w:r>
              <w:rPr>
                <w:rFonts w:hint="eastAsia"/>
              </w:rPr>
              <w:t>316,940</w:t>
            </w:r>
          </w:p>
        </w:tc>
        <w:tc>
          <w:tcPr>
            <w:tcW w:w="464" w:type="pct"/>
            <w:shd w:val="clear" w:color="auto" w:fill="auto"/>
            <w:vAlign w:val="center"/>
          </w:tcPr>
          <w:p>
            <w:pPr>
              <w:jc w:val="right"/>
            </w:pPr>
            <w:r>
              <w:rPr>
                <w:rFonts w:hint="eastAsia"/>
              </w:rPr>
              <w:t>439,362</w:t>
            </w:r>
          </w:p>
        </w:tc>
        <w:tc>
          <w:tcPr>
            <w:tcW w:w="741" w:type="pct"/>
            <w:shd w:val="clear" w:color="auto" w:fill="auto"/>
            <w:vAlign w:val="center"/>
          </w:tcPr>
          <w:p>
            <w:pPr>
              <w:jc w:val="right"/>
            </w:pPr>
            <w:r>
              <w:rPr>
                <w:rFonts w:hint="eastAsia"/>
              </w:rPr>
              <w:t>4,471,983</w:t>
            </w:r>
          </w:p>
        </w:tc>
      </w:tr>
      <w:tr>
        <w:tc>
          <w:tcPr>
            <w:tcW w:w="820" w:type="pct"/>
            <w:shd w:val="clear" w:color="auto" w:fill="auto"/>
          </w:tcPr>
          <w:p>
            <w:pPr>
              <w:ind w:firstLineChars="300" w:firstLine="630"/>
            </w:pPr>
            <w:r>
              <w:rPr>
                <w:rFonts w:hint="eastAsia"/>
              </w:rPr>
              <w:t>（1）处置或报废</w:t>
            </w:r>
          </w:p>
        </w:tc>
        <w:tc>
          <w:tcPr>
            <w:tcW w:w="464" w:type="pct"/>
            <w:shd w:val="clear" w:color="auto" w:fill="auto"/>
            <w:vAlign w:val="center"/>
          </w:tcPr>
          <w:p>
            <w:pPr>
              <w:jc w:val="right"/>
            </w:pPr>
            <w:r>
              <w:rPr>
                <w:rFonts w:hint="eastAsia"/>
              </w:rPr>
              <w:t>533</w:t>
            </w:r>
          </w:p>
        </w:tc>
        <w:tc>
          <w:tcPr>
            <w:tcW w:w="502" w:type="pct"/>
            <w:shd w:val="clear" w:color="auto" w:fill="auto"/>
            <w:vAlign w:val="center"/>
          </w:tcPr>
          <w:p>
            <w:pPr>
              <w:jc w:val="right"/>
            </w:pPr>
            <w:r>
              <w:rPr>
                <w:rFonts w:hint="eastAsia"/>
              </w:rPr>
              <w:t>32,468</w:t>
            </w:r>
          </w:p>
        </w:tc>
        <w:tc>
          <w:tcPr>
            <w:tcW w:w="502" w:type="pct"/>
            <w:shd w:val="clear" w:color="auto" w:fill="auto"/>
            <w:vAlign w:val="center"/>
          </w:tcPr>
          <w:p>
            <w:pPr>
              <w:jc w:val="right"/>
            </w:pPr>
            <w:r>
              <w:rPr>
                <w:rFonts w:hint="eastAsia"/>
              </w:rPr>
              <w:t>1,258,818</w:t>
            </w:r>
          </w:p>
        </w:tc>
        <w:tc>
          <w:tcPr>
            <w:tcW w:w="502" w:type="pct"/>
            <w:shd w:val="clear" w:color="auto" w:fill="auto"/>
            <w:vAlign w:val="center"/>
          </w:tcPr>
          <w:p>
            <w:pPr>
              <w:jc w:val="right"/>
            </w:pPr>
            <w:r>
              <w:rPr>
                <w:rFonts w:hint="eastAsia"/>
              </w:rPr>
              <w:t>19,562</w:t>
            </w:r>
          </w:p>
        </w:tc>
        <w:tc>
          <w:tcPr>
            <w:tcW w:w="541" w:type="pct"/>
            <w:shd w:val="clear" w:color="auto" w:fill="auto"/>
            <w:vAlign w:val="center"/>
          </w:tcPr>
          <w:p>
            <w:pPr>
              <w:jc w:val="right"/>
            </w:pPr>
            <w:r>
              <w:rPr>
                <w:rFonts w:hint="eastAsia"/>
              </w:rPr>
              <w:t>1,801,255</w:t>
            </w:r>
          </w:p>
        </w:tc>
        <w:tc>
          <w:tcPr>
            <w:tcW w:w="464" w:type="pct"/>
            <w:shd w:val="clear" w:color="auto" w:fill="auto"/>
            <w:vAlign w:val="center"/>
          </w:tcPr>
          <w:p>
            <w:pPr>
              <w:jc w:val="right"/>
            </w:pPr>
            <w:r>
              <w:rPr>
                <w:rFonts w:hint="eastAsia"/>
              </w:rPr>
              <w:t>227,240</w:t>
            </w:r>
          </w:p>
        </w:tc>
        <w:tc>
          <w:tcPr>
            <w:tcW w:w="464" w:type="pct"/>
            <w:shd w:val="clear" w:color="auto" w:fill="auto"/>
            <w:vAlign w:val="center"/>
          </w:tcPr>
          <w:p>
            <w:pPr>
              <w:jc w:val="right"/>
            </w:pPr>
            <w:r>
              <w:rPr>
                <w:rFonts w:hint="eastAsia"/>
              </w:rPr>
              <w:t>198,770</w:t>
            </w:r>
          </w:p>
        </w:tc>
        <w:tc>
          <w:tcPr>
            <w:tcW w:w="741" w:type="pct"/>
            <w:shd w:val="clear" w:color="auto" w:fill="auto"/>
            <w:vAlign w:val="center"/>
          </w:tcPr>
          <w:p>
            <w:pPr>
              <w:jc w:val="right"/>
            </w:pPr>
            <w:r>
              <w:rPr>
                <w:rFonts w:hint="eastAsia"/>
              </w:rPr>
              <w:t>3,538,646</w:t>
            </w:r>
          </w:p>
        </w:tc>
      </w:tr>
      <w:tr>
        <w:tc>
          <w:tcPr>
            <w:tcW w:w="820" w:type="pct"/>
            <w:shd w:val="clear" w:color="auto" w:fill="auto"/>
            <w:vAlign w:val="center"/>
          </w:tcPr>
          <w:p>
            <w:pPr>
              <w:ind w:firstLineChars="300" w:firstLine="630"/>
            </w:pPr>
            <w:r>
              <w:rPr>
                <w:rFonts w:hint="eastAsia"/>
              </w:rPr>
              <w:lastRenderedPageBreak/>
              <w:t>（2）重分类转出</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16,091</w:t>
            </w:r>
          </w:p>
        </w:tc>
        <w:tc>
          <w:tcPr>
            <w:tcW w:w="502" w:type="pct"/>
            <w:shd w:val="clear" w:color="auto" w:fill="auto"/>
            <w:vAlign w:val="center"/>
          </w:tcPr>
          <w:p>
            <w:pPr>
              <w:jc w:val="right"/>
            </w:pPr>
            <w:r>
              <w:rPr>
                <w:rFonts w:hint="eastAsia"/>
              </w:rPr>
              <w:t>29,682</w:t>
            </w:r>
          </w:p>
        </w:tc>
        <w:tc>
          <w:tcPr>
            <w:tcW w:w="502" w:type="pct"/>
            <w:shd w:val="clear" w:color="auto" w:fill="auto"/>
            <w:vAlign w:val="center"/>
          </w:tcPr>
          <w:p>
            <w:pPr>
              <w:jc w:val="right"/>
            </w:pPr>
            <w:r>
              <w:rPr>
                <w:rFonts w:hint="eastAsia"/>
              </w:rPr>
              <w:t>54,188</w:t>
            </w:r>
          </w:p>
        </w:tc>
        <w:tc>
          <w:tcPr>
            <w:tcW w:w="541" w:type="pct"/>
            <w:shd w:val="clear" w:color="auto" w:fill="auto"/>
            <w:vAlign w:val="center"/>
          </w:tcPr>
          <w:p>
            <w:pPr>
              <w:jc w:val="right"/>
            </w:pPr>
            <w:r>
              <w:rPr>
                <w:rFonts w:hint="eastAsia"/>
              </w:rPr>
              <w:t>327,385</w:t>
            </w:r>
          </w:p>
        </w:tc>
        <w:tc>
          <w:tcPr>
            <w:tcW w:w="464" w:type="pct"/>
            <w:shd w:val="clear" w:color="auto" w:fill="auto"/>
            <w:vAlign w:val="center"/>
          </w:tcPr>
          <w:p>
            <w:pPr>
              <w:jc w:val="right"/>
            </w:pPr>
            <w:r>
              <w:rPr>
                <w:rFonts w:hint="eastAsia"/>
              </w:rPr>
              <w:t>89,700</w:t>
            </w:r>
          </w:p>
        </w:tc>
        <w:tc>
          <w:tcPr>
            <w:tcW w:w="464" w:type="pct"/>
            <w:shd w:val="clear" w:color="auto" w:fill="auto"/>
            <w:vAlign w:val="center"/>
          </w:tcPr>
          <w:p>
            <w:pPr>
              <w:jc w:val="right"/>
            </w:pPr>
            <w:r>
              <w:rPr>
                <w:rFonts w:hint="eastAsia"/>
              </w:rPr>
              <w:t>8,957</w:t>
            </w:r>
          </w:p>
        </w:tc>
        <w:tc>
          <w:tcPr>
            <w:tcW w:w="741" w:type="pct"/>
            <w:shd w:val="clear" w:color="auto" w:fill="auto"/>
            <w:vAlign w:val="center"/>
          </w:tcPr>
          <w:p>
            <w:pPr>
              <w:jc w:val="right"/>
            </w:pPr>
            <w:r>
              <w:rPr>
                <w:rFonts w:hint="eastAsia"/>
              </w:rPr>
              <w:t>526,003</w:t>
            </w:r>
          </w:p>
        </w:tc>
      </w:tr>
      <w:tr>
        <w:tc>
          <w:tcPr>
            <w:tcW w:w="820" w:type="pct"/>
            <w:shd w:val="clear" w:color="auto" w:fill="auto"/>
            <w:vAlign w:val="center"/>
          </w:tcPr>
          <w:p>
            <w:pPr>
              <w:ind w:firstLineChars="300" w:firstLine="630"/>
            </w:pPr>
            <w:r>
              <w:rPr>
                <w:rFonts w:hint="eastAsia"/>
              </w:rPr>
              <w:t>（3）其他减少</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4,021</w:t>
            </w:r>
          </w:p>
        </w:tc>
        <w:tc>
          <w:tcPr>
            <w:tcW w:w="502" w:type="pct"/>
            <w:shd w:val="clear" w:color="auto" w:fill="auto"/>
            <w:vAlign w:val="center"/>
          </w:tcPr>
          <w:p>
            <w:pPr>
              <w:jc w:val="right"/>
            </w:pPr>
            <w:r>
              <w:rPr>
                <w:rFonts w:hint="eastAsia"/>
              </w:rPr>
              <w:t>171</w:t>
            </w:r>
          </w:p>
        </w:tc>
        <w:tc>
          <w:tcPr>
            <w:tcW w:w="502" w:type="pct"/>
            <w:shd w:val="clear" w:color="auto" w:fill="auto"/>
            <w:vAlign w:val="center"/>
          </w:tcPr>
          <w:p>
            <w:pPr>
              <w:jc w:val="right"/>
            </w:pPr>
          </w:p>
        </w:tc>
        <w:tc>
          <w:tcPr>
            <w:tcW w:w="541" w:type="pct"/>
            <w:shd w:val="clear" w:color="auto" w:fill="auto"/>
            <w:vAlign w:val="center"/>
          </w:tcPr>
          <w:p>
            <w:pPr>
              <w:jc w:val="right"/>
            </w:pPr>
            <w:r>
              <w:rPr>
                <w:rFonts w:hint="eastAsia"/>
              </w:rPr>
              <w:t>171,507</w:t>
            </w:r>
          </w:p>
        </w:tc>
        <w:tc>
          <w:tcPr>
            <w:tcW w:w="464" w:type="pct"/>
            <w:shd w:val="clear" w:color="auto" w:fill="auto"/>
            <w:vAlign w:val="center"/>
          </w:tcPr>
          <w:p>
            <w:pPr>
              <w:jc w:val="right"/>
            </w:pPr>
            <w:r>
              <w:rPr>
                <w:rFonts w:hint="eastAsia"/>
              </w:rPr>
              <w:t xml:space="preserve">　</w:t>
            </w:r>
          </w:p>
        </w:tc>
        <w:tc>
          <w:tcPr>
            <w:tcW w:w="464" w:type="pct"/>
            <w:shd w:val="clear" w:color="auto" w:fill="auto"/>
            <w:vAlign w:val="center"/>
          </w:tcPr>
          <w:p>
            <w:pPr>
              <w:jc w:val="right"/>
            </w:pPr>
            <w:r>
              <w:rPr>
                <w:rFonts w:hint="eastAsia"/>
              </w:rPr>
              <w:t>231,635</w:t>
            </w:r>
          </w:p>
        </w:tc>
        <w:tc>
          <w:tcPr>
            <w:tcW w:w="741" w:type="pct"/>
            <w:shd w:val="clear" w:color="auto" w:fill="auto"/>
            <w:vAlign w:val="center"/>
          </w:tcPr>
          <w:p>
            <w:pPr>
              <w:jc w:val="right"/>
            </w:pPr>
            <w:r>
              <w:rPr>
                <w:rFonts w:hint="eastAsia"/>
              </w:rPr>
              <w:t>407,334</w:t>
            </w:r>
          </w:p>
        </w:tc>
      </w:tr>
      <w:tr>
        <w:tc>
          <w:tcPr>
            <w:tcW w:w="820" w:type="pct"/>
            <w:shd w:val="clear" w:color="auto" w:fill="auto"/>
          </w:tcPr>
          <w:p>
            <w:pPr>
              <w:ind w:firstLineChars="200" w:firstLine="420"/>
            </w:pPr>
            <w:r>
              <w:rPr>
                <w:rFonts w:hint="eastAsia"/>
              </w:rPr>
              <w:t>4</w:t>
            </w:r>
            <w:r>
              <w:t>.</w:t>
            </w:r>
            <w:r>
              <w:rPr>
                <w:rFonts w:hint="eastAsia"/>
              </w:rPr>
              <w:t>外币报表折算</w:t>
            </w:r>
          </w:p>
        </w:tc>
        <w:tc>
          <w:tcPr>
            <w:tcW w:w="464" w:type="pct"/>
            <w:shd w:val="clear" w:color="auto" w:fill="auto"/>
          </w:tcPr>
          <w:p>
            <w:pPr>
              <w:spacing w:line="360" w:lineRule="exact"/>
              <w:jc w:val="right"/>
              <w:rPr>
                <w:color w:val="000000"/>
                <w:sz w:val="18"/>
                <w:szCs w:val="18"/>
              </w:rPr>
            </w:pPr>
            <w:r>
              <w:rPr>
                <w:color w:val="000000"/>
                <w:sz w:val="18"/>
                <w:szCs w:val="18"/>
              </w:rPr>
              <w:t>-104,235</w:t>
            </w:r>
          </w:p>
        </w:tc>
        <w:tc>
          <w:tcPr>
            <w:tcW w:w="502" w:type="pct"/>
            <w:shd w:val="clear" w:color="auto" w:fill="auto"/>
            <w:vAlign w:val="center"/>
          </w:tcPr>
          <w:p>
            <w:pPr>
              <w:jc w:val="right"/>
            </w:pPr>
            <w:r>
              <w:t>-87,506</w:t>
            </w:r>
          </w:p>
        </w:tc>
        <w:tc>
          <w:tcPr>
            <w:tcW w:w="502" w:type="pct"/>
            <w:shd w:val="clear" w:color="auto" w:fill="auto"/>
            <w:vAlign w:val="center"/>
          </w:tcPr>
          <w:p>
            <w:pPr>
              <w:spacing w:line="360" w:lineRule="exact"/>
              <w:jc w:val="right"/>
              <w:rPr>
                <w:color w:val="000000"/>
                <w:sz w:val="18"/>
                <w:szCs w:val="18"/>
              </w:rPr>
            </w:pPr>
            <w:r>
              <w:rPr>
                <w:color w:val="000000"/>
                <w:sz w:val="18"/>
                <w:szCs w:val="18"/>
              </w:rPr>
              <w:t>-999,547</w:t>
            </w:r>
          </w:p>
        </w:tc>
        <w:tc>
          <w:tcPr>
            <w:tcW w:w="502" w:type="pct"/>
            <w:shd w:val="clear" w:color="auto" w:fill="auto"/>
            <w:vAlign w:val="center"/>
          </w:tcPr>
          <w:p>
            <w:pPr>
              <w:jc w:val="right"/>
            </w:pPr>
          </w:p>
        </w:tc>
        <w:tc>
          <w:tcPr>
            <w:tcW w:w="541" w:type="pct"/>
            <w:shd w:val="clear" w:color="auto" w:fill="auto"/>
            <w:vAlign w:val="center"/>
          </w:tcPr>
          <w:p>
            <w:pPr>
              <w:jc w:val="right"/>
            </w:pPr>
            <w:r>
              <w:t>-1,566,231</w:t>
            </w:r>
          </w:p>
        </w:tc>
        <w:tc>
          <w:tcPr>
            <w:tcW w:w="464" w:type="pct"/>
            <w:shd w:val="clear" w:color="auto" w:fill="auto"/>
            <w:vAlign w:val="center"/>
          </w:tcPr>
          <w:p>
            <w:pPr>
              <w:jc w:val="right"/>
            </w:pPr>
          </w:p>
        </w:tc>
        <w:tc>
          <w:tcPr>
            <w:tcW w:w="464" w:type="pct"/>
            <w:shd w:val="clear" w:color="auto" w:fill="auto"/>
            <w:vAlign w:val="center"/>
          </w:tcPr>
          <w:p>
            <w:pPr>
              <w:spacing w:line="360" w:lineRule="exact"/>
              <w:jc w:val="right"/>
              <w:rPr>
                <w:color w:val="000000"/>
                <w:sz w:val="18"/>
                <w:szCs w:val="18"/>
              </w:rPr>
            </w:pPr>
            <w:r>
              <w:rPr>
                <w:color w:val="000000"/>
                <w:sz w:val="18"/>
                <w:szCs w:val="18"/>
              </w:rPr>
              <w:t>-13</w:t>
            </w:r>
          </w:p>
        </w:tc>
        <w:tc>
          <w:tcPr>
            <w:tcW w:w="741" w:type="pct"/>
            <w:shd w:val="clear" w:color="auto" w:fill="auto"/>
            <w:vAlign w:val="center"/>
          </w:tcPr>
          <w:p>
            <w:pPr>
              <w:jc w:val="right"/>
            </w:pPr>
            <w:r>
              <w:rPr>
                <w:color w:val="000000"/>
                <w:sz w:val="18"/>
                <w:szCs w:val="18"/>
                <w:u w:val="double"/>
              </w:rPr>
              <w:t>-2,757,532</w:t>
            </w:r>
          </w:p>
        </w:tc>
      </w:tr>
      <w:tr>
        <w:tc>
          <w:tcPr>
            <w:tcW w:w="820" w:type="pct"/>
            <w:shd w:val="clear" w:color="auto" w:fill="auto"/>
          </w:tcPr>
          <w:p>
            <w:pPr>
              <w:ind w:firstLineChars="200" w:firstLine="420"/>
            </w:pPr>
            <w:r>
              <w:t>5</w:t>
            </w:r>
            <w:r>
              <w:rPr>
                <w:rFonts w:hint="eastAsia"/>
              </w:rPr>
              <w:t>.期末余额</w:t>
            </w:r>
          </w:p>
        </w:tc>
        <w:tc>
          <w:tcPr>
            <w:tcW w:w="464" w:type="pct"/>
            <w:shd w:val="clear" w:color="auto" w:fill="auto"/>
            <w:vAlign w:val="center"/>
          </w:tcPr>
          <w:p>
            <w:pPr>
              <w:jc w:val="right"/>
            </w:pPr>
            <w:r>
              <w:rPr>
                <w:rFonts w:hint="eastAsia"/>
              </w:rPr>
              <w:t>1,375,895</w:t>
            </w:r>
          </w:p>
        </w:tc>
        <w:tc>
          <w:tcPr>
            <w:tcW w:w="502" w:type="pct"/>
            <w:shd w:val="clear" w:color="auto" w:fill="auto"/>
            <w:vAlign w:val="center"/>
          </w:tcPr>
          <w:p>
            <w:pPr>
              <w:jc w:val="right"/>
            </w:pPr>
            <w:r>
              <w:t>17,977,422</w:t>
            </w:r>
          </w:p>
        </w:tc>
        <w:tc>
          <w:tcPr>
            <w:tcW w:w="502" w:type="pct"/>
            <w:shd w:val="clear" w:color="auto" w:fill="auto"/>
            <w:vAlign w:val="center"/>
          </w:tcPr>
          <w:p>
            <w:pPr>
              <w:jc w:val="right"/>
            </w:pPr>
            <w:r>
              <w:t>49,596,192</w:t>
            </w:r>
          </w:p>
        </w:tc>
        <w:tc>
          <w:tcPr>
            <w:tcW w:w="502" w:type="pct"/>
            <w:shd w:val="clear" w:color="auto" w:fill="auto"/>
            <w:vAlign w:val="center"/>
          </w:tcPr>
          <w:p>
            <w:pPr>
              <w:jc w:val="right"/>
            </w:pPr>
            <w:r>
              <w:t>24,540,177</w:t>
            </w:r>
          </w:p>
        </w:tc>
        <w:tc>
          <w:tcPr>
            <w:tcW w:w="541" w:type="pct"/>
            <w:shd w:val="clear" w:color="auto" w:fill="auto"/>
            <w:vAlign w:val="center"/>
          </w:tcPr>
          <w:p>
            <w:pPr>
              <w:jc w:val="right"/>
            </w:pPr>
            <w:r>
              <w:t>107,184,481</w:t>
            </w:r>
          </w:p>
        </w:tc>
        <w:tc>
          <w:tcPr>
            <w:tcW w:w="464" w:type="pct"/>
            <w:shd w:val="clear" w:color="auto" w:fill="auto"/>
            <w:vAlign w:val="center"/>
          </w:tcPr>
          <w:p>
            <w:pPr>
              <w:jc w:val="right"/>
            </w:pPr>
            <w:r>
              <w:rPr>
                <w:rFonts w:hint="eastAsia"/>
              </w:rPr>
              <w:t>2,402,509</w:t>
            </w:r>
          </w:p>
        </w:tc>
        <w:tc>
          <w:tcPr>
            <w:tcW w:w="464" w:type="pct"/>
            <w:shd w:val="clear" w:color="auto" w:fill="auto"/>
            <w:vAlign w:val="center"/>
          </w:tcPr>
          <w:p>
            <w:pPr>
              <w:jc w:val="right"/>
            </w:pPr>
            <w:r>
              <w:rPr>
                <w:rFonts w:hint="eastAsia"/>
              </w:rPr>
              <w:t>8,278,364</w:t>
            </w:r>
          </w:p>
        </w:tc>
        <w:tc>
          <w:tcPr>
            <w:tcW w:w="741" w:type="pct"/>
            <w:shd w:val="clear" w:color="auto" w:fill="auto"/>
            <w:vAlign w:val="center"/>
          </w:tcPr>
          <w:p>
            <w:pPr>
              <w:jc w:val="right"/>
            </w:pPr>
            <w:r>
              <w:rPr>
                <w:rFonts w:hint="eastAsia"/>
              </w:rPr>
              <w:t>211,355,040</w:t>
            </w:r>
          </w:p>
        </w:tc>
      </w:tr>
      <w:tr>
        <w:sdt>
          <w:sdtPr>
            <w:tag w:val="_PLD_14f44e7a4341414ca27a4047f9622e44"/>
            <w:id w:val="1244447235"/>
          </w:sdtPr>
          <w:sdtContent>
            <w:tc>
              <w:tcPr>
                <w:tcW w:w="5000" w:type="pct"/>
                <w:gridSpan w:val="9"/>
                <w:shd w:val="clear" w:color="auto" w:fill="auto"/>
              </w:tcPr>
              <w:p>
                <w:pPr>
                  <w:pStyle w:val="affffffffffffffffff3"/>
                </w:pPr>
                <w:r>
                  <w:rPr>
                    <w:rFonts w:hint="eastAsia"/>
                  </w:rPr>
                  <w:t>二、累计折旧</w:t>
                </w:r>
              </w:p>
            </w:tc>
          </w:sdtContent>
        </w:sdt>
      </w:tr>
      <w:tr>
        <w:tc>
          <w:tcPr>
            <w:tcW w:w="820" w:type="pct"/>
            <w:shd w:val="clear" w:color="auto" w:fill="auto"/>
          </w:tcPr>
          <w:p>
            <w:pPr>
              <w:ind w:firstLineChars="200" w:firstLine="420"/>
            </w:pPr>
            <w:r>
              <w:t>1.</w:t>
            </w:r>
            <w:r>
              <w:rPr>
                <w:rFonts w:hint="eastAsia"/>
              </w:rPr>
              <w:t>期初余额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6,063,576</w:t>
            </w:r>
          </w:p>
        </w:tc>
        <w:tc>
          <w:tcPr>
            <w:tcW w:w="502" w:type="pct"/>
            <w:shd w:val="clear" w:color="auto" w:fill="auto"/>
            <w:vAlign w:val="center"/>
          </w:tcPr>
          <w:p>
            <w:pPr>
              <w:jc w:val="right"/>
            </w:pPr>
            <w:r>
              <w:rPr>
                <w:rFonts w:hint="eastAsia"/>
              </w:rPr>
              <w:t>16,339,443</w:t>
            </w:r>
          </w:p>
        </w:tc>
        <w:tc>
          <w:tcPr>
            <w:tcW w:w="502" w:type="pct"/>
            <w:shd w:val="clear" w:color="auto" w:fill="auto"/>
            <w:vAlign w:val="center"/>
          </w:tcPr>
          <w:p>
            <w:pPr>
              <w:jc w:val="right"/>
            </w:pPr>
            <w:r>
              <w:rPr>
                <w:rFonts w:hint="eastAsia"/>
              </w:rPr>
              <w:t>9,371,477</w:t>
            </w:r>
          </w:p>
        </w:tc>
        <w:tc>
          <w:tcPr>
            <w:tcW w:w="541" w:type="pct"/>
            <w:shd w:val="clear" w:color="auto" w:fill="auto"/>
            <w:vAlign w:val="center"/>
          </w:tcPr>
          <w:p>
            <w:pPr>
              <w:jc w:val="right"/>
            </w:pPr>
            <w:r>
              <w:rPr>
                <w:rFonts w:hint="eastAsia"/>
              </w:rPr>
              <w:t>51,415,700</w:t>
            </w:r>
          </w:p>
        </w:tc>
        <w:tc>
          <w:tcPr>
            <w:tcW w:w="464" w:type="pct"/>
            <w:shd w:val="clear" w:color="auto" w:fill="auto"/>
            <w:vAlign w:val="center"/>
          </w:tcPr>
          <w:p>
            <w:pPr>
              <w:jc w:val="right"/>
            </w:pPr>
            <w:r>
              <w:rPr>
                <w:rFonts w:hint="eastAsia"/>
              </w:rPr>
              <w:t>1,595,822</w:t>
            </w:r>
          </w:p>
        </w:tc>
        <w:tc>
          <w:tcPr>
            <w:tcW w:w="464" w:type="pct"/>
            <w:shd w:val="clear" w:color="auto" w:fill="auto"/>
            <w:vAlign w:val="center"/>
          </w:tcPr>
          <w:p>
            <w:pPr>
              <w:jc w:val="right"/>
            </w:pPr>
            <w:r>
              <w:rPr>
                <w:rFonts w:hint="eastAsia"/>
              </w:rPr>
              <w:t>4,917,981</w:t>
            </w:r>
          </w:p>
        </w:tc>
        <w:tc>
          <w:tcPr>
            <w:tcW w:w="741" w:type="pct"/>
            <w:shd w:val="clear" w:color="auto" w:fill="auto"/>
            <w:vAlign w:val="center"/>
          </w:tcPr>
          <w:p>
            <w:pPr>
              <w:jc w:val="right"/>
            </w:pPr>
            <w:r>
              <w:rPr>
                <w:rFonts w:hint="eastAsia"/>
              </w:rPr>
              <w:t>89,703,999</w:t>
            </w:r>
          </w:p>
        </w:tc>
      </w:tr>
      <w:tr>
        <w:tc>
          <w:tcPr>
            <w:tcW w:w="820" w:type="pct"/>
            <w:shd w:val="clear" w:color="auto" w:fill="auto"/>
          </w:tcPr>
          <w:p>
            <w:pPr>
              <w:ind w:firstLineChars="200" w:firstLine="420"/>
            </w:pPr>
            <w:r>
              <w:t>2.</w:t>
            </w:r>
            <w:r>
              <w:rPr>
                <w:rFonts w:hint="eastAsia"/>
              </w:rPr>
              <w:t>本期增加金额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1,144,368</w:t>
            </w:r>
          </w:p>
        </w:tc>
        <w:tc>
          <w:tcPr>
            <w:tcW w:w="502" w:type="pct"/>
            <w:shd w:val="clear" w:color="auto" w:fill="auto"/>
            <w:vAlign w:val="center"/>
          </w:tcPr>
          <w:p>
            <w:pPr>
              <w:jc w:val="right"/>
            </w:pPr>
            <w:r>
              <w:rPr>
                <w:rFonts w:hint="eastAsia"/>
              </w:rPr>
              <w:t>1,938,976</w:t>
            </w:r>
          </w:p>
        </w:tc>
        <w:tc>
          <w:tcPr>
            <w:tcW w:w="502" w:type="pct"/>
            <w:shd w:val="clear" w:color="auto" w:fill="auto"/>
            <w:vAlign w:val="center"/>
          </w:tcPr>
          <w:p>
            <w:pPr>
              <w:jc w:val="right"/>
            </w:pPr>
            <w:r>
              <w:rPr>
                <w:rFonts w:hint="eastAsia"/>
              </w:rPr>
              <w:t>829,746</w:t>
            </w:r>
          </w:p>
        </w:tc>
        <w:tc>
          <w:tcPr>
            <w:tcW w:w="541" w:type="pct"/>
            <w:shd w:val="clear" w:color="auto" w:fill="auto"/>
            <w:vAlign w:val="center"/>
          </w:tcPr>
          <w:p>
            <w:pPr>
              <w:jc w:val="right"/>
            </w:pPr>
            <w:r>
              <w:rPr>
                <w:rFonts w:hint="eastAsia"/>
              </w:rPr>
              <w:t>6,983,248</w:t>
            </w:r>
          </w:p>
        </w:tc>
        <w:tc>
          <w:tcPr>
            <w:tcW w:w="464" w:type="pct"/>
            <w:shd w:val="clear" w:color="auto" w:fill="auto"/>
            <w:vAlign w:val="center"/>
          </w:tcPr>
          <w:p>
            <w:pPr>
              <w:jc w:val="right"/>
            </w:pPr>
            <w:r>
              <w:rPr>
                <w:rFonts w:hint="eastAsia"/>
              </w:rPr>
              <w:t>693,115</w:t>
            </w:r>
          </w:p>
        </w:tc>
        <w:tc>
          <w:tcPr>
            <w:tcW w:w="464" w:type="pct"/>
            <w:shd w:val="clear" w:color="auto" w:fill="auto"/>
            <w:vAlign w:val="center"/>
          </w:tcPr>
          <w:p>
            <w:pPr>
              <w:jc w:val="right"/>
            </w:pPr>
            <w:r>
              <w:rPr>
                <w:rFonts w:hint="eastAsia"/>
              </w:rPr>
              <w:t>818,241</w:t>
            </w:r>
          </w:p>
        </w:tc>
        <w:tc>
          <w:tcPr>
            <w:tcW w:w="741" w:type="pct"/>
            <w:shd w:val="clear" w:color="auto" w:fill="auto"/>
            <w:vAlign w:val="center"/>
          </w:tcPr>
          <w:p>
            <w:pPr>
              <w:jc w:val="right"/>
            </w:pPr>
            <w:r>
              <w:rPr>
                <w:rFonts w:hint="eastAsia"/>
              </w:rPr>
              <w:t>12,407,694</w:t>
            </w:r>
          </w:p>
        </w:tc>
      </w:tr>
      <w:tr>
        <w:tc>
          <w:tcPr>
            <w:tcW w:w="820" w:type="pct"/>
            <w:shd w:val="clear" w:color="auto" w:fill="auto"/>
          </w:tcPr>
          <w:p>
            <w:pPr>
              <w:ind w:firstLineChars="300" w:firstLine="630"/>
            </w:pPr>
            <w:r>
              <w:rPr>
                <w:rFonts w:hint="eastAsia"/>
              </w:rPr>
              <w:t>（1）计提</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1,000,831</w:t>
            </w:r>
          </w:p>
        </w:tc>
        <w:tc>
          <w:tcPr>
            <w:tcW w:w="502" w:type="pct"/>
            <w:shd w:val="clear" w:color="auto" w:fill="auto"/>
            <w:vAlign w:val="center"/>
          </w:tcPr>
          <w:p>
            <w:pPr>
              <w:jc w:val="right"/>
            </w:pPr>
            <w:r>
              <w:rPr>
                <w:rFonts w:hint="eastAsia"/>
              </w:rPr>
              <w:t>1,938,976</w:t>
            </w:r>
          </w:p>
        </w:tc>
        <w:tc>
          <w:tcPr>
            <w:tcW w:w="502" w:type="pct"/>
            <w:shd w:val="clear" w:color="auto" w:fill="auto"/>
            <w:vAlign w:val="center"/>
          </w:tcPr>
          <w:p>
            <w:pPr>
              <w:jc w:val="right"/>
            </w:pPr>
            <w:r>
              <w:rPr>
                <w:rFonts w:hint="eastAsia"/>
              </w:rPr>
              <w:t>829,746</w:t>
            </w:r>
          </w:p>
        </w:tc>
        <w:tc>
          <w:tcPr>
            <w:tcW w:w="541" w:type="pct"/>
            <w:shd w:val="clear" w:color="auto" w:fill="auto"/>
            <w:vAlign w:val="center"/>
          </w:tcPr>
          <w:p>
            <w:pPr>
              <w:jc w:val="right"/>
            </w:pPr>
            <w:r>
              <w:rPr>
                <w:rFonts w:hint="eastAsia"/>
              </w:rPr>
              <w:t>6,920,205</w:t>
            </w:r>
          </w:p>
        </w:tc>
        <w:tc>
          <w:tcPr>
            <w:tcW w:w="464" w:type="pct"/>
            <w:shd w:val="clear" w:color="auto" w:fill="auto"/>
            <w:vAlign w:val="center"/>
          </w:tcPr>
          <w:p>
            <w:pPr>
              <w:jc w:val="right"/>
            </w:pPr>
            <w:r>
              <w:rPr>
                <w:rFonts w:hint="eastAsia"/>
              </w:rPr>
              <w:t>630,584</w:t>
            </w:r>
          </w:p>
        </w:tc>
        <w:tc>
          <w:tcPr>
            <w:tcW w:w="464" w:type="pct"/>
            <w:shd w:val="clear" w:color="auto" w:fill="auto"/>
            <w:vAlign w:val="center"/>
          </w:tcPr>
          <w:p>
            <w:pPr>
              <w:jc w:val="right"/>
            </w:pPr>
            <w:r>
              <w:rPr>
                <w:rFonts w:hint="eastAsia"/>
              </w:rPr>
              <w:t>815,497</w:t>
            </w:r>
          </w:p>
        </w:tc>
        <w:tc>
          <w:tcPr>
            <w:tcW w:w="741" w:type="pct"/>
            <w:shd w:val="clear" w:color="auto" w:fill="auto"/>
            <w:vAlign w:val="center"/>
          </w:tcPr>
          <w:p>
            <w:pPr>
              <w:jc w:val="right"/>
            </w:pPr>
            <w:r>
              <w:rPr>
                <w:rFonts w:hint="eastAsia"/>
              </w:rPr>
              <w:t>12,135,839</w:t>
            </w:r>
          </w:p>
        </w:tc>
      </w:tr>
      <w:tr>
        <w:tc>
          <w:tcPr>
            <w:tcW w:w="820" w:type="pct"/>
            <w:shd w:val="clear" w:color="auto" w:fill="auto"/>
          </w:tcPr>
          <w:p>
            <w:pPr>
              <w:ind w:firstLineChars="300" w:firstLine="630"/>
            </w:pPr>
            <w:r>
              <w:rPr>
                <w:rFonts w:hint="eastAsia"/>
              </w:rPr>
              <w:t>（2）重分类</w:t>
            </w:r>
          </w:p>
        </w:tc>
        <w:tc>
          <w:tcPr>
            <w:tcW w:w="464" w:type="pct"/>
            <w:shd w:val="clear" w:color="auto" w:fill="auto"/>
          </w:tcPr>
          <w:p>
            <w:pPr>
              <w:jc w:val="right"/>
            </w:pPr>
          </w:p>
        </w:tc>
        <w:tc>
          <w:tcPr>
            <w:tcW w:w="502" w:type="pct"/>
            <w:shd w:val="clear" w:color="auto" w:fill="auto"/>
            <w:vAlign w:val="center"/>
          </w:tcPr>
          <w:p>
            <w:pPr>
              <w:jc w:val="right"/>
            </w:pPr>
            <w:r>
              <w:rPr>
                <w:rFonts w:hint="eastAsia"/>
              </w:rPr>
              <w:t>101,013</w:t>
            </w:r>
          </w:p>
        </w:tc>
        <w:tc>
          <w:tcPr>
            <w:tcW w:w="502" w:type="pct"/>
            <w:shd w:val="clear" w:color="auto" w:fill="auto"/>
          </w:tcPr>
          <w:p>
            <w:pPr>
              <w:jc w:val="right"/>
            </w:pPr>
          </w:p>
        </w:tc>
        <w:tc>
          <w:tcPr>
            <w:tcW w:w="502" w:type="pct"/>
            <w:shd w:val="clear" w:color="auto" w:fill="auto"/>
          </w:tcPr>
          <w:p>
            <w:pPr>
              <w:jc w:val="right"/>
            </w:pPr>
          </w:p>
        </w:tc>
        <w:tc>
          <w:tcPr>
            <w:tcW w:w="541" w:type="pct"/>
            <w:shd w:val="clear" w:color="auto" w:fill="auto"/>
            <w:vAlign w:val="center"/>
          </w:tcPr>
          <w:p>
            <w:pPr>
              <w:jc w:val="right"/>
            </w:pPr>
            <w:r>
              <w:rPr>
                <w:rFonts w:hint="eastAsia"/>
              </w:rPr>
              <w:t>11,535</w:t>
            </w:r>
          </w:p>
        </w:tc>
        <w:tc>
          <w:tcPr>
            <w:tcW w:w="464" w:type="pct"/>
            <w:shd w:val="clear" w:color="auto" w:fill="auto"/>
            <w:vAlign w:val="center"/>
          </w:tcPr>
          <w:p>
            <w:pPr>
              <w:jc w:val="right"/>
            </w:pPr>
            <w:r>
              <w:rPr>
                <w:rFonts w:hint="eastAsia"/>
              </w:rPr>
              <w:t>2,935</w:t>
            </w:r>
          </w:p>
        </w:tc>
        <w:tc>
          <w:tcPr>
            <w:tcW w:w="464" w:type="pct"/>
            <w:shd w:val="clear" w:color="auto" w:fill="auto"/>
            <w:vAlign w:val="center"/>
          </w:tcPr>
          <w:p>
            <w:pPr>
              <w:jc w:val="right"/>
            </w:pPr>
            <w:r>
              <w:rPr>
                <w:rFonts w:hint="eastAsia"/>
              </w:rPr>
              <w:t xml:space="preserve">　</w:t>
            </w:r>
          </w:p>
        </w:tc>
        <w:tc>
          <w:tcPr>
            <w:tcW w:w="741" w:type="pct"/>
            <w:shd w:val="clear" w:color="auto" w:fill="auto"/>
            <w:vAlign w:val="center"/>
          </w:tcPr>
          <w:p>
            <w:pPr>
              <w:jc w:val="right"/>
            </w:pPr>
            <w:r>
              <w:rPr>
                <w:rFonts w:hint="eastAsia"/>
              </w:rPr>
              <w:t>115,483</w:t>
            </w:r>
          </w:p>
        </w:tc>
      </w:tr>
      <w:tr>
        <w:tc>
          <w:tcPr>
            <w:tcW w:w="820" w:type="pct"/>
            <w:shd w:val="clear" w:color="auto" w:fill="auto"/>
          </w:tcPr>
          <w:p>
            <w:pPr>
              <w:ind w:firstLineChars="300" w:firstLine="630"/>
            </w:pPr>
            <w:r>
              <w:rPr>
                <w:rFonts w:hint="eastAsia"/>
              </w:rPr>
              <w:t>（3）其他增加</w:t>
            </w:r>
          </w:p>
        </w:tc>
        <w:tc>
          <w:tcPr>
            <w:tcW w:w="464" w:type="pct"/>
            <w:shd w:val="clear" w:color="auto" w:fill="auto"/>
          </w:tcPr>
          <w:p>
            <w:pPr>
              <w:jc w:val="right"/>
            </w:pPr>
          </w:p>
        </w:tc>
        <w:tc>
          <w:tcPr>
            <w:tcW w:w="502" w:type="pct"/>
            <w:shd w:val="clear" w:color="auto" w:fill="auto"/>
            <w:vAlign w:val="center"/>
          </w:tcPr>
          <w:p>
            <w:pPr>
              <w:jc w:val="right"/>
            </w:pPr>
            <w:r>
              <w:rPr>
                <w:rFonts w:hint="eastAsia"/>
              </w:rPr>
              <w:t>42,524</w:t>
            </w:r>
          </w:p>
        </w:tc>
        <w:tc>
          <w:tcPr>
            <w:tcW w:w="502" w:type="pct"/>
            <w:shd w:val="clear" w:color="auto" w:fill="auto"/>
          </w:tcPr>
          <w:p>
            <w:pPr>
              <w:jc w:val="right"/>
            </w:pPr>
          </w:p>
        </w:tc>
        <w:tc>
          <w:tcPr>
            <w:tcW w:w="502" w:type="pct"/>
            <w:shd w:val="clear" w:color="auto" w:fill="auto"/>
          </w:tcPr>
          <w:p>
            <w:pPr>
              <w:jc w:val="right"/>
            </w:pPr>
          </w:p>
        </w:tc>
        <w:tc>
          <w:tcPr>
            <w:tcW w:w="541" w:type="pct"/>
            <w:shd w:val="clear" w:color="auto" w:fill="auto"/>
            <w:vAlign w:val="center"/>
          </w:tcPr>
          <w:p>
            <w:pPr>
              <w:jc w:val="right"/>
            </w:pPr>
            <w:r>
              <w:rPr>
                <w:rFonts w:hint="eastAsia"/>
              </w:rPr>
              <w:t>51,508</w:t>
            </w:r>
          </w:p>
        </w:tc>
        <w:tc>
          <w:tcPr>
            <w:tcW w:w="464" w:type="pct"/>
            <w:shd w:val="clear" w:color="auto" w:fill="auto"/>
            <w:vAlign w:val="center"/>
          </w:tcPr>
          <w:p>
            <w:pPr>
              <w:jc w:val="right"/>
            </w:pPr>
            <w:r>
              <w:rPr>
                <w:rFonts w:hint="eastAsia"/>
              </w:rPr>
              <w:t>59,596</w:t>
            </w:r>
          </w:p>
        </w:tc>
        <w:tc>
          <w:tcPr>
            <w:tcW w:w="464" w:type="pct"/>
            <w:shd w:val="clear" w:color="auto" w:fill="auto"/>
            <w:vAlign w:val="center"/>
          </w:tcPr>
          <w:p>
            <w:pPr>
              <w:jc w:val="right"/>
            </w:pPr>
            <w:r>
              <w:rPr>
                <w:rFonts w:hint="eastAsia"/>
              </w:rPr>
              <w:t>2,744</w:t>
            </w:r>
          </w:p>
        </w:tc>
        <w:tc>
          <w:tcPr>
            <w:tcW w:w="741" w:type="pct"/>
            <w:shd w:val="clear" w:color="auto" w:fill="auto"/>
            <w:vAlign w:val="center"/>
          </w:tcPr>
          <w:p>
            <w:pPr>
              <w:jc w:val="right"/>
            </w:pPr>
            <w:r>
              <w:rPr>
                <w:rFonts w:hint="eastAsia"/>
              </w:rPr>
              <w:t>156,372</w:t>
            </w:r>
          </w:p>
        </w:tc>
      </w:tr>
      <w:tr>
        <w:tc>
          <w:tcPr>
            <w:tcW w:w="820" w:type="pct"/>
            <w:shd w:val="clear" w:color="auto" w:fill="auto"/>
          </w:tcPr>
          <w:p>
            <w:pPr>
              <w:ind w:firstLineChars="200" w:firstLine="420"/>
            </w:pPr>
            <w:r>
              <w:rPr>
                <w:rFonts w:hint="eastAsia"/>
              </w:rPr>
              <w:t>3.本期减少金额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46,033</w:t>
            </w:r>
          </w:p>
        </w:tc>
        <w:tc>
          <w:tcPr>
            <w:tcW w:w="502" w:type="pct"/>
            <w:shd w:val="clear" w:color="auto" w:fill="auto"/>
            <w:vAlign w:val="center"/>
          </w:tcPr>
          <w:p>
            <w:pPr>
              <w:jc w:val="right"/>
            </w:pPr>
            <w:r>
              <w:rPr>
                <w:rFonts w:hint="eastAsia"/>
              </w:rPr>
              <w:t>516,220</w:t>
            </w:r>
          </w:p>
        </w:tc>
        <w:tc>
          <w:tcPr>
            <w:tcW w:w="502" w:type="pct"/>
            <w:shd w:val="clear" w:color="auto" w:fill="auto"/>
            <w:vAlign w:val="center"/>
          </w:tcPr>
          <w:p>
            <w:pPr>
              <w:jc w:val="right"/>
            </w:pPr>
            <w:r>
              <w:rPr>
                <w:rFonts w:hint="eastAsia"/>
              </w:rPr>
              <w:t>17,870</w:t>
            </w:r>
          </w:p>
        </w:tc>
        <w:tc>
          <w:tcPr>
            <w:tcW w:w="541" w:type="pct"/>
            <w:shd w:val="clear" w:color="auto" w:fill="auto"/>
            <w:vAlign w:val="center"/>
          </w:tcPr>
          <w:p>
            <w:pPr>
              <w:jc w:val="right"/>
            </w:pPr>
            <w:r>
              <w:rPr>
                <w:rFonts w:hint="eastAsia"/>
              </w:rPr>
              <w:t>1,762,472</w:t>
            </w:r>
          </w:p>
        </w:tc>
        <w:tc>
          <w:tcPr>
            <w:tcW w:w="464" w:type="pct"/>
            <w:shd w:val="clear" w:color="auto" w:fill="auto"/>
            <w:vAlign w:val="center"/>
          </w:tcPr>
          <w:p>
            <w:pPr>
              <w:jc w:val="right"/>
            </w:pPr>
            <w:r>
              <w:rPr>
                <w:rFonts w:hint="eastAsia"/>
              </w:rPr>
              <w:t>178,890</w:t>
            </w:r>
          </w:p>
        </w:tc>
        <w:tc>
          <w:tcPr>
            <w:tcW w:w="464" w:type="pct"/>
            <w:shd w:val="clear" w:color="auto" w:fill="auto"/>
            <w:vAlign w:val="center"/>
          </w:tcPr>
          <w:p>
            <w:pPr>
              <w:jc w:val="right"/>
            </w:pPr>
            <w:r>
              <w:rPr>
                <w:rFonts w:hint="eastAsia"/>
              </w:rPr>
              <w:t>180,205</w:t>
            </w:r>
          </w:p>
        </w:tc>
        <w:tc>
          <w:tcPr>
            <w:tcW w:w="741" w:type="pct"/>
            <w:shd w:val="clear" w:color="auto" w:fill="auto"/>
            <w:vAlign w:val="center"/>
          </w:tcPr>
          <w:p>
            <w:pPr>
              <w:jc w:val="right"/>
            </w:pPr>
            <w:r>
              <w:rPr>
                <w:rFonts w:hint="eastAsia"/>
              </w:rPr>
              <w:t>2,701,690</w:t>
            </w:r>
          </w:p>
        </w:tc>
      </w:tr>
      <w:tr>
        <w:tc>
          <w:tcPr>
            <w:tcW w:w="820" w:type="pct"/>
            <w:shd w:val="clear" w:color="auto" w:fill="auto"/>
          </w:tcPr>
          <w:p>
            <w:pPr>
              <w:ind w:firstLineChars="300" w:firstLine="630"/>
            </w:pPr>
            <w:r>
              <w:rPr>
                <w:rFonts w:hint="eastAsia"/>
              </w:rPr>
              <w:t>（1）处置或报废</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26,443</w:t>
            </w:r>
          </w:p>
        </w:tc>
        <w:tc>
          <w:tcPr>
            <w:tcW w:w="502" w:type="pct"/>
            <w:shd w:val="clear" w:color="auto" w:fill="auto"/>
            <w:vAlign w:val="center"/>
          </w:tcPr>
          <w:p>
            <w:pPr>
              <w:jc w:val="right"/>
            </w:pPr>
            <w:r>
              <w:rPr>
                <w:rFonts w:hint="eastAsia"/>
              </w:rPr>
              <w:t>515,402</w:t>
            </w:r>
          </w:p>
        </w:tc>
        <w:tc>
          <w:tcPr>
            <w:tcW w:w="502" w:type="pct"/>
            <w:shd w:val="clear" w:color="auto" w:fill="auto"/>
            <w:vAlign w:val="center"/>
          </w:tcPr>
          <w:p>
            <w:pPr>
              <w:jc w:val="right"/>
            </w:pPr>
            <w:r>
              <w:rPr>
                <w:rFonts w:hint="eastAsia"/>
              </w:rPr>
              <w:t>13,739</w:t>
            </w:r>
          </w:p>
        </w:tc>
        <w:tc>
          <w:tcPr>
            <w:tcW w:w="541" w:type="pct"/>
            <w:shd w:val="clear" w:color="auto" w:fill="auto"/>
            <w:vAlign w:val="center"/>
          </w:tcPr>
          <w:p>
            <w:pPr>
              <w:jc w:val="right"/>
            </w:pPr>
            <w:r>
              <w:rPr>
                <w:rFonts w:hint="eastAsia"/>
              </w:rPr>
              <w:t>1,525,125</w:t>
            </w:r>
          </w:p>
        </w:tc>
        <w:tc>
          <w:tcPr>
            <w:tcW w:w="464" w:type="pct"/>
            <w:shd w:val="clear" w:color="auto" w:fill="auto"/>
            <w:vAlign w:val="center"/>
          </w:tcPr>
          <w:p>
            <w:pPr>
              <w:jc w:val="right"/>
            </w:pPr>
            <w:r>
              <w:rPr>
                <w:rFonts w:hint="eastAsia"/>
              </w:rPr>
              <w:t>176,862</w:t>
            </w:r>
          </w:p>
        </w:tc>
        <w:tc>
          <w:tcPr>
            <w:tcW w:w="464" w:type="pct"/>
            <w:shd w:val="clear" w:color="auto" w:fill="auto"/>
            <w:vAlign w:val="center"/>
          </w:tcPr>
          <w:p>
            <w:pPr>
              <w:jc w:val="right"/>
            </w:pPr>
            <w:r>
              <w:rPr>
                <w:rFonts w:hint="eastAsia"/>
              </w:rPr>
              <w:t>95,885</w:t>
            </w:r>
          </w:p>
        </w:tc>
        <w:tc>
          <w:tcPr>
            <w:tcW w:w="741" w:type="pct"/>
            <w:shd w:val="clear" w:color="auto" w:fill="auto"/>
            <w:vAlign w:val="center"/>
          </w:tcPr>
          <w:p>
            <w:pPr>
              <w:jc w:val="right"/>
            </w:pPr>
            <w:r>
              <w:rPr>
                <w:rFonts w:hint="eastAsia"/>
              </w:rPr>
              <w:t>2,353,456</w:t>
            </w:r>
          </w:p>
        </w:tc>
      </w:tr>
      <w:tr>
        <w:tc>
          <w:tcPr>
            <w:tcW w:w="820" w:type="pct"/>
            <w:shd w:val="clear" w:color="auto" w:fill="auto"/>
          </w:tcPr>
          <w:p>
            <w:pPr>
              <w:ind w:firstLineChars="300" w:firstLine="630"/>
            </w:pPr>
            <w:r>
              <w:rPr>
                <w:rFonts w:hint="eastAsia"/>
              </w:rPr>
              <w:t>（2）重分类转出</w:t>
            </w:r>
          </w:p>
        </w:tc>
        <w:tc>
          <w:tcPr>
            <w:tcW w:w="464" w:type="pct"/>
            <w:shd w:val="clear" w:color="auto" w:fill="auto"/>
          </w:tcPr>
          <w:p>
            <w:pPr>
              <w:jc w:val="right"/>
            </w:pPr>
          </w:p>
        </w:tc>
        <w:tc>
          <w:tcPr>
            <w:tcW w:w="502" w:type="pct"/>
            <w:shd w:val="clear" w:color="auto" w:fill="auto"/>
            <w:vAlign w:val="center"/>
          </w:tcPr>
          <w:p>
            <w:pPr>
              <w:jc w:val="right"/>
              <w:rPr>
                <w:szCs w:val="21"/>
              </w:rPr>
            </w:pPr>
            <w:r>
              <w:rPr>
                <w:rFonts w:hint="eastAsia"/>
                <w:szCs w:val="21"/>
              </w:rPr>
              <w:t>3,605</w:t>
            </w:r>
          </w:p>
        </w:tc>
        <w:tc>
          <w:tcPr>
            <w:tcW w:w="502" w:type="pct"/>
            <w:shd w:val="clear" w:color="auto" w:fill="auto"/>
            <w:vAlign w:val="center"/>
          </w:tcPr>
          <w:p>
            <w:pPr>
              <w:jc w:val="right"/>
              <w:rPr>
                <w:szCs w:val="21"/>
              </w:rPr>
            </w:pPr>
            <w:r>
              <w:rPr>
                <w:rFonts w:hint="eastAsia"/>
                <w:szCs w:val="21"/>
              </w:rPr>
              <w:t>557</w:t>
            </w:r>
          </w:p>
        </w:tc>
        <w:tc>
          <w:tcPr>
            <w:tcW w:w="502" w:type="pct"/>
            <w:shd w:val="clear" w:color="auto" w:fill="auto"/>
            <w:vAlign w:val="center"/>
          </w:tcPr>
          <w:p>
            <w:pPr>
              <w:jc w:val="right"/>
              <w:rPr>
                <w:szCs w:val="21"/>
              </w:rPr>
            </w:pPr>
            <w:r>
              <w:rPr>
                <w:rFonts w:hint="eastAsia"/>
                <w:szCs w:val="21"/>
              </w:rPr>
              <w:t>4,131</w:t>
            </w:r>
          </w:p>
        </w:tc>
        <w:tc>
          <w:tcPr>
            <w:tcW w:w="541" w:type="pct"/>
            <w:shd w:val="clear" w:color="auto" w:fill="auto"/>
            <w:vAlign w:val="center"/>
          </w:tcPr>
          <w:p>
            <w:pPr>
              <w:jc w:val="right"/>
              <w:rPr>
                <w:szCs w:val="21"/>
              </w:rPr>
            </w:pPr>
            <w:r>
              <w:rPr>
                <w:rFonts w:hint="eastAsia"/>
                <w:szCs w:val="21"/>
              </w:rPr>
              <w:t>96,811</w:t>
            </w:r>
          </w:p>
        </w:tc>
        <w:tc>
          <w:tcPr>
            <w:tcW w:w="464" w:type="pct"/>
            <w:shd w:val="clear" w:color="auto" w:fill="auto"/>
            <w:vAlign w:val="center"/>
          </w:tcPr>
          <w:p>
            <w:pPr>
              <w:jc w:val="right"/>
              <w:rPr>
                <w:szCs w:val="21"/>
              </w:rPr>
            </w:pPr>
            <w:r>
              <w:rPr>
                <w:rFonts w:hint="eastAsia"/>
                <w:szCs w:val="21"/>
              </w:rPr>
              <w:t>2,028</w:t>
            </w:r>
          </w:p>
        </w:tc>
        <w:tc>
          <w:tcPr>
            <w:tcW w:w="464" w:type="pct"/>
            <w:shd w:val="clear" w:color="auto" w:fill="auto"/>
            <w:vAlign w:val="center"/>
          </w:tcPr>
          <w:p>
            <w:pPr>
              <w:jc w:val="right"/>
              <w:rPr>
                <w:szCs w:val="21"/>
              </w:rPr>
            </w:pPr>
            <w:r>
              <w:rPr>
                <w:rFonts w:hint="eastAsia"/>
                <w:szCs w:val="21"/>
              </w:rPr>
              <w:t>8,351</w:t>
            </w:r>
          </w:p>
        </w:tc>
        <w:tc>
          <w:tcPr>
            <w:tcW w:w="741" w:type="pct"/>
            <w:shd w:val="clear" w:color="auto" w:fill="auto"/>
            <w:vAlign w:val="center"/>
          </w:tcPr>
          <w:p>
            <w:pPr>
              <w:jc w:val="right"/>
              <w:rPr>
                <w:szCs w:val="21"/>
              </w:rPr>
            </w:pPr>
            <w:r>
              <w:rPr>
                <w:rFonts w:hint="eastAsia"/>
                <w:szCs w:val="21"/>
              </w:rPr>
              <w:t>115,483</w:t>
            </w:r>
          </w:p>
        </w:tc>
      </w:tr>
      <w:tr>
        <w:tc>
          <w:tcPr>
            <w:tcW w:w="820" w:type="pct"/>
            <w:shd w:val="clear" w:color="auto" w:fill="auto"/>
          </w:tcPr>
          <w:p>
            <w:pPr>
              <w:ind w:firstLineChars="300" w:firstLine="630"/>
            </w:pPr>
            <w:r>
              <w:rPr>
                <w:rFonts w:hint="eastAsia"/>
              </w:rPr>
              <w:t>（3）其他减少</w:t>
            </w:r>
          </w:p>
        </w:tc>
        <w:tc>
          <w:tcPr>
            <w:tcW w:w="464" w:type="pct"/>
            <w:shd w:val="clear" w:color="auto" w:fill="auto"/>
          </w:tcPr>
          <w:p>
            <w:pPr>
              <w:jc w:val="right"/>
            </w:pPr>
          </w:p>
        </w:tc>
        <w:tc>
          <w:tcPr>
            <w:tcW w:w="502" w:type="pct"/>
            <w:shd w:val="clear" w:color="auto" w:fill="auto"/>
            <w:vAlign w:val="center"/>
          </w:tcPr>
          <w:p>
            <w:pPr>
              <w:jc w:val="right"/>
              <w:rPr>
                <w:szCs w:val="21"/>
              </w:rPr>
            </w:pPr>
            <w:r>
              <w:rPr>
                <w:rFonts w:hint="eastAsia"/>
                <w:szCs w:val="21"/>
              </w:rPr>
              <w:t>15,985</w:t>
            </w:r>
          </w:p>
        </w:tc>
        <w:tc>
          <w:tcPr>
            <w:tcW w:w="502" w:type="pct"/>
            <w:shd w:val="clear" w:color="auto" w:fill="auto"/>
            <w:vAlign w:val="center"/>
          </w:tcPr>
          <w:p>
            <w:pPr>
              <w:jc w:val="right"/>
              <w:rPr>
                <w:szCs w:val="21"/>
              </w:rPr>
            </w:pPr>
            <w:r>
              <w:rPr>
                <w:rFonts w:hint="eastAsia"/>
                <w:szCs w:val="21"/>
              </w:rPr>
              <w:t>261</w:t>
            </w:r>
          </w:p>
        </w:tc>
        <w:tc>
          <w:tcPr>
            <w:tcW w:w="502" w:type="pct"/>
            <w:shd w:val="clear" w:color="auto" w:fill="auto"/>
            <w:vAlign w:val="center"/>
          </w:tcPr>
          <w:p>
            <w:pPr>
              <w:jc w:val="right"/>
              <w:rPr>
                <w:szCs w:val="21"/>
              </w:rPr>
            </w:pPr>
          </w:p>
        </w:tc>
        <w:tc>
          <w:tcPr>
            <w:tcW w:w="541" w:type="pct"/>
            <w:shd w:val="clear" w:color="auto" w:fill="auto"/>
            <w:vAlign w:val="center"/>
          </w:tcPr>
          <w:p>
            <w:pPr>
              <w:jc w:val="right"/>
              <w:rPr>
                <w:szCs w:val="21"/>
              </w:rPr>
            </w:pPr>
            <w:r>
              <w:rPr>
                <w:rFonts w:hint="eastAsia"/>
                <w:szCs w:val="21"/>
              </w:rPr>
              <w:t>140,536</w:t>
            </w:r>
          </w:p>
        </w:tc>
        <w:tc>
          <w:tcPr>
            <w:tcW w:w="464" w:type="pct"/>
            <w:shd w:val="clear" w:color="auto" w:fill="auto"/>
            <w:vAlign w:val="center"/>
          </w:tcPr>
          <w:p>
            <w:pPr>
              <w:jc w:val="right"/>
              <w:rPr>
                <w:szCs w:val="21"/>
              </w:rPr>
            </w:pPr>
            <w:r>
              <w:rPr>
                <w:rFonts w:hint="eastAsia"/>
                <w:szCs w:val="21"/>
              </w:rPr>
              <w:t xml:space="preserve">　</w:t>
            </w:r>
          </w:p>
        </w:tc>
        <w:tc>
          <w:tcPr>
            <w:tcW w:w="464" w:type="pct"/>
            <w:shd w:val="clear" w:color="auto" w:fill="auto"/>
            <w:vAlign w:val="center"/>
          </w:tcPr>
          <w:p>
            <w:pPr>
              <w:jc w:val="right"/>
              <w:rPr>
                <w:szCs w:val="21"/>
              </w:rPr>
            </w:pPr>
            <w:r>
              <w:rPr>
                <w:rFonts w:hint="eastAsia"/>
                <w:szCs w:val="21"/>
              </w:rPr>
              <w:t>75,969</w:t>
            </w:r>
          </w:p>
        </w:tc>
        <w:tc>
          <w:tcPr>
            <w:tcW w:w="741" w:type="pct"/>
            <w:shd w:val="clear" w:color="auto" w:fill="auto"/>
            <w:vAlign w:val="center"/>
          </w:tcPr>
          <w:p>
            <w:pPr>
              <w:jc w:val="right"/>
              <w:rPr>
                <w:szCs w:val="21"/>
              </w:rPr>
            </w:pPr>
            <w:r>
              <w:rPr>
                <w:rFonts w:hint="eastAsia"/>
                <w:szCs w:val="21"/>
              </w:rPr>
              <w:t>232,751</w:t>
            </w:r>
          </w:p>
        </w:tc>
      </w:tr>
      <w:tr>
        <w:tc>
          <w:tcPr>
            <w:tcW w:w="820" w:type="pct"/>
            <w:shd w:val="clear" w:color="auto" w:fill="auto"/>
          </w:tcPr>
          <w:p>
            <w:pPr>
              <w:ind w:firstLineChars="200" w:firstLine="420"/>
            </w:pPr>
            <w:r>
              <w:rPr>
                <w:rFonts w:hint="eastAsia"/>
              </w:rPr>
              <w:t>4</w:t>
            </w:r>
            <w:r>
              <w:t>.</w:t>
            </w:r>
            <w:r>
              <w:rPr>
                <w:rFonts w:hint="eastAsia"/>
              </w:rPr>
              <w:t>外币报表折算差额</w:t>
            </w:r>
          </w:p>
        </w:tc>
        <w:tc>
          <w:tcPr>
            <w:tcW w:w="464" w:type="pct"/>
            <w:shd w:val="clear" w:color="auto" w:fill="auto"/>
            <w:vAlign w:val="center"/>
          </w:tcPr>
          <w:p>
            <w:pPr>
              <w:jc w:val="right"/>
            </w:pPr>
          </w:p>
        </w:tc>
        <w:tc>
          <w:tcPr>
            <w:tcW w:w="502" w:type="pct"/>
            <w:shd w:val="clear" w:color="auto" w:fill="auto"/>
            <w:vAlign w:val="center"/>
          </w:tcPr>
          <w:p>
            <w:pPr>
              <w:jc w:val="right"/>
              <w:rPr>
                <w:szCs w:val="21"/>
              </w:rPr>
            </w:pPr>
            <w:r>
              <w:rPr>
                <w:szCs w:val="21"/>
              </w:rPr>
              <w:t>-49,637</w:t>
            </w:r>
          </w:p>
        </w:tc>
        <w:tc>
          <w:tcPr>
            <w:tcW w:w="502" w:type="pct"/>
            <w:shd w:val="clear" w:color="auto" w:fill="auto"/>
            <w:vAlign w:val="center"/>
          </w:tcPr>
          <w:p>
            <w:pPr>
              <w:jc w:val="right"/>
              <w:rPr>
                <w:szCs w:val="21"/>
              </w:rPr>
            </w:pPr>
            <w:r>
              <w:rPr>
                <w:szCs w:val="21"/>
              </w:rPr>
              <w:t>-465,776</w:t>
            </w:r>
          </w:p>
        </w:tc>
        <w:tc>
          <w:tcPr>
            <w:tcW w:w="502" w:type="pct"/>
            <w:shd w:val="clear" w:color="auto" w:fill="auto"/>
            <w:vAlign w:val="center"/>
          </w:tcPr>
          <w:p>
            <w:pPr>
              <w:jc w:val="right"/>
              <w:rPr>
                <w:szCs w:val="21"/>
              </w:rPr>
            </w:pPr>
          </w:p>
        </w:tc>
        <w:tc>
          <w:tcPr>
            <w:tcW w:w="541" w:type="pct"/>
            <w:shd w:val="clear" w:color="auto" w:fill="auto"/>
            <w:vAlign w:val="center"/>
          </w:tcPr>
          <w:p>
            <w:pPr>
              <w:jc w:val="right"/>
              <w:rPr>
                <w:szCs w:val="21"/>
              </w:rPr>
            </w:pPr>
            <w:r>
              <w:rPr>
                <w:szCs w:val="21"/>
              </w:rPr>
              <w:t>-1,001,928</w:t>
            </w:r>
          </w:p>
        </w:tc>
        <w:tc>
          <w:tcPr>
            <w:tcW w:w="464" w:type="pct"/>
            <w:shd w:val="clear" w:color="auto" w:fill="auto"/>
            <w:vAlign w:val="center"/>
          </w:tcPr>
          <w:p>
            <w:pPr>
              <w:jc w:val="right"/>
              <w:rPr>
                <w:szCs w:val="21"/>
              </w:rPr>
            </w:pPr>
          </w:p>
        </w:tc>
        <w:tc>
          <w:tcPr>
            <w:tcW w:w="464" w:type="pct"/>
            <w:shd w:val="clear" w:color="auto" w:fill="auto"/>
            <w:vAlign w:val="center"/>
          </w:tcPr>
          <w:p>
            <w:pPr>
              <w:jc w:val="right"/>
              <w:rPr>
                <w:szCs w:val="21"/>
              </w:rPr>
            </w:pPr>
            <w:r>
              <w:rPr>
                <w:szCs w:val="21"/>
              </w:rPr>
              <w:t>-13</w:t>
            </w:r>
          </w:p>
        </w:tc>
        <w:tc>
          <w:tcPr>
            <w:tcW w:w="741" w:type="pct"/>
            <w:shd w:val="clear" w:color="auto" w:fill="auto"/>
            <w:vAlign w:val="center"/>
          </w:tcPr>
          <w:p>
            <w:pPr>
              <w:jc w:val="right"/>
              <w:rPr>
                <w:szCs w:val="21"/>
              </w:rPr>
            </w:pPr>
            <w:r>
              <w:rPr>
                <w:color w:val="000000"/>
                <w:szCs w:val="21"/>
              </w:rPr>
              <w:t>-1,517,354</w:t>
            </w:r>
          </w:p>
        </w:tc>
      </w:tr>
      <w:tr>
        <w:tc>
          <w:tcPr>
            <w:tcW w:w="820" w:type="pct"/>
            <w:shd w:val="clear" w:color="auto" w:fill="auto"/>
          </w:tcPr>
          <w:p>
            <w:pPr>
              <w:ind w:firstLineChars="200" w:firstLine="420"/>
            </w:pPr>
            <w:r>
              <w:t>5</w:t>
            </w:r>
            <w:r>
              <w:rPr>
                <w:rFonts w:hint="eastAsia"/>
              </w:rPr>
              <w:t>.期末余额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7,112,274</w:t>
            </w:r>
          </w:p>
        </w:tc>
        <w:tc>
          <w:tcPr>
            <w:tcW w:w="502" w:type="pct"/>
            <w:shd w:val="clear" w:color="auto" w:fill="auto"/>
            <w:vAlign w:val="center"/>
          </w:tcPr>
          <w:p>
            <w:pPr>
              <w:jc w:val="right"/>
            </w:pPr>
            <w:r>
              <w:rPr>
                <w:rFonts w:hint="eastAsia"/>
              </w:rPr>
              <w:t>17,296,423</w:t>
            </w:r>
          </w:p>
        </w:tc>
        <w:tc>
          <w:tcPr>
            <w:tcW w:w="502" w:type="pct"/>
            <w:shd w:val="clear" w:color="auto" w:fill="auto"/>
            <w:vAlign w:val="center"/>
          </w:tcPr>
          <w:p>
            <w:pPr>
              <w:jc w:val="right"/>
            </w:pPr>
            <w:r>
              <w:rPr>
                <w:rFonts w:hint="eastAsia"/>
              </w:rPr>
              <w:t>10,183,353</w:t>
            </w:r>
          </w:p>
        </w:tc>
        <w:tc>
          <w:tcPr>
            <w:tcW w:w="541" w:type="pct"/>
            <w:shd w:val="clear" w:color="auto" w:fill="auto"/>
            <w:vAlign w:val="center"/>
          </w:tcPr>
          <w:p>
            <w:pPr>
              <w:jc w:val="right"/>
            </w:pPr>
            <w:r>
              <w:rPr>
                <w:rFonts w:hint="eastAsia"/>
              </w:rPr>
              <w:t>55,634,548</w:t>
            </w:r>
          </w:p>
        </w:tc>
        <w:tc>
          <w:tcPr>
            <w:tcW w:w="464" w:type="pct"/>
            <w:shd w:val="clear" w:color="auto" w:fill="auto"/>
            <w:vAlign w:val="center"/>
          </w:tcPr>
          <w:p>
            <w:pPr>
              <w:jc w:val="right"/>
            </w:pPr>
            <w:r>
              <w:rPr>
                <w:rFonts w:hint="eastAsia"/>
              </w:rPr>
              <w:t>2,110,047</w:t>
            </w:r>
          </w:p>
        </w:tc>
        <w:tc>
          <w:tcPr>
            <w:tcW w:w="464" w:type="pct"/>
            <w:shd w:val="clear" w:color="auto" w:fill="auto"/>
            <w:vAlign w:val="center"/>
          </w:tcPr>
          <w:p>
            <w:pPr>
              <w:jc w:val="right"/>
            </w:pPr>
            <w:r>
              <w:rPr>
                <w:rFonts w:hint="eastAsia"/>
              </w:rPr>
              <w:t>5,556,004</w:t>
            </w:r>
          </w:p>
        </w:tc>
        <w:tc>
          <w:tcPr>
            <w:tcW w:w="741" w:type="pct"/>
            <w:shd w:val="clear" w:color="auto" w:fill="auto"/>
            <w:vAlign w:val="center"/>
          </w:tcPr>
          <w:p>
            <w:pPr>
              <w:jc w:val="right"/>
            </w:pPr>
            <w:r>
              <w:rPr>
                <w:rFonts w:hint="eastAsia"/>
              </w:rPr>
              <w:t>97,892,649</w:t>
            </w:r>
          </w:p>
        </w:tc>
      </w:tr>
      <w:tr>
        <w:sdt>
          <w:sdtPr>
            <w:tag w:val="_PLD_b98cd9e8075a44b28b16fc9fd4c3c81f"/>
            <w:id w:val="1201204864"/>
          </w:sdtPr>
          <w:sdtContent>
            <w:tc>
              <w:tcPr>
                <w:tcW w:w="5000" w:type="pct"/>
                <w:gridSpan w:val="9"/>
                <w:shd w:val="clear" w:color="auto" w:fill="auto"/>
              </w:tcPr>
              <w:p>
                <w:pPr>
                  <w:pStyle w:val="affffffffffffffffff3"/>
                </w:pPr>
                <w:r>
                  <w:rPr>
                    <w:rFonts w:hint="eastAsia"/>
                  </w:rPr>
                  <w:t>三、减值准备</w:t>
                </w:r>
              </w:p>
            </w:tc>
          </w:sdtContent>
        </w:sdt>
      </w:tr>
      <w:tr>
        <w:tc>
          <w:tcPr>
            <w:tcW w:w="820" w:type="pct"/>
            <w:shd w:val="clear" w:color="auto" w:fill="auto"/>
          </w:tcPr>
          <w:p>
            <w:pPr>
              <w:ind w:firstLineChars="200" w:firstLine="420"/>
            </w:pPr>
            <w:r>
              <w:t>1.</w:t>
            </w:r>
            <w:r>
              <w:rPr>
                <w:rFonts w:hint="eastAsia"/>
              </w:rPr>
              <w:t>期初余额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24,381</w:t>
            </w:r>
          </w:p>
        </w:tc>
        <w:tc>
          <w:tcPr>
            <w:tcW w:w="502" w:type="pct"/>
            <w:shd w:val="clear" w:color="auto" w:fill="auto"/>
            <w:vAlign w:val="center"/>
          </w:tcPr>
          <w:p>
            <w:pPr>
              <w:jc w:val="right"/>
            </w:pPr>
            <w:r>
              <w:rPr>
                <w:rFonts w:hint="eastAsia"/>
              </w:rPr>
              <w:t>707,668</w:t>
            </w:r>
          </w:p>
        </w:tc>
        <w:tc>
          <w:tcPr>
            <w:tcW w:w="502" w:type="pct"/>
            <w:shd w:val="clear" w:color="auto" w:fill="auto"/>
            <w:vAlign w:val="center"/>
          </w:tcPr>
          <w:p>
            <w:pPr>
              <w:jc w:val="right"/>
            </w:pPr>
            <w:r>
              <w:rPr>
                <w:rFonts w:hint="eastAsia"/>
              </w:rPr>
              <w:t>88,795</w:t>
            </w:r>
          </w:p>
        </w:tc>
        <w:tc>
          <w:tcPr>
            <w:tcW w:w="541" w:type="pct"/>
            <w:shd w:val="clear" w:color="auto" w:fill="auto"/>
            <w:vAlign w:val="center"/>
          </w:tcPr>
          <w:p>
            <w:pPr>
              <w:jc w:val="right"/>
            </w:pPr>
            <w:r>
              <w:rPr>
                <w:rFonts w:hint="eastAsia"/>
              </w:rPr>
              <w:t>263,721</w:t>
            </w:r>
          </w:p>
        </w:tc>
        <w:tc>
          <w:tcPr>
            <w:tcW w:w="464" w:type="pct"/>
            <w:shd w:val="clear" w:color="auto" w:fill="auto"/>
            <w:vAlign w:val="center"/>
          </w:tcPr>
          <w:p>
            <w:pPr>
              <w:jc w:val="right"/>
            </w:pPr>
            <w:r>
              <w:rPr>
                <w:rFonts w:hint="eastAsia"/>
              </w:rPr>
              <w:t>1,128</w:t>
            </w:r>
          </w:p>
        </w:tc>
        <w:tc>
          <w:tcPr>
            <w:tcW w:w="464" w:type="pct"/>
            <w:shd w:val="clear" w:color="auto" w:fill="auto"/>
            <w:vAlign w:val="center"/>
          </w:tcPr>
          <w:p>
            <w:pPr>
              <w:jc w:val="right"/>
            </w:pPr>
            <w:r>
              <w:rPr>
                <w:rFonts w:hint="eastAsia"/>
              </w:rPr>
              <w:t>5,417</w:t>
            </w:r>
          </w:p>
        </w:tc>
        <w:tc>
          <w:tcPr>
            <w:tcW w:w="741" w:type="pct"/>
            <w:shd w:val="clear" w:color="auto" w:fill="auto"/>
            <w:vAlign w:val="center"/>
          </w:tcPr>
          <w:p>
            <w:pPr>
              <w:jc w:val="right"/>
            </w:pPr>
            <w:r>
              <w:rPr>
                <w:rFonts w:hint="eastAsia"/>
              </w:rPr>
              <w:t>1,091,110</w:t>
            </w:r>
          </w:p>
        </w:tc>
      </w:tr>
      <w:tr>
        <w:tc>
          <w:tcPr>
            <w:tcW w:w="820" w:type="pct"/>
            <w:shd w:val="clear" w:color="auto" w:fill="auto"/>
          </w:tcPr>
          <w:p>
            <w:pPr>
              <w:ind w:firstLineChars="200" w:firstLine="420"/>
            </w:pPr>
            <w:r>
              <w:t>2.</w:t>
            </w:r>
            <w:r>
              <w:rPr>
                <w:rFonts w:hint="eastAsia"/>
              </w:rPr>
              <w:t>本期增加金额</w:t>
            </w:r>
          </w:p>
        </w:tc>
        <w:tc>
          <w:tcPr>
            <w:tcW w:w="464"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p>
        </w:tc>
        <w:tc>
          <w:tcPr>
            <w:tcW w:w="541" w:type="pct"/>
            <w:shd w:val="clear" w:color="auto" w:fill="auto"/>
            <w:vAlign w:val="center"/>
          </w:tcPr>
          <w:p>
            <w:pPr>
              <w:jc w:val="right"/>
            </w:pPr>
            <w:r>
              <w:rPr>
                <w:rFonts w:hint="eastAsia"/>
              </w:rPr>
              <w:t>2,187</w:t>
            </w:r>
          </w:p>
        </w:tc>
        <w:tc>
          <w:tcPr>
            <w:tcW w:w="464" w:type="pct"/>
            <w:shd w:val="clear" w:color="auto" w:fill="auto"/>
            <w:vAlign w:val="center"/>
          </w:tcPr>
          <w:p>
            <w:pPr>
              <w:jc w:val="right"/>
            </w:pPr>
          </w:p>
        </w:tc>
        <w:tc>
          <w:tcPr>
            <w:tcW w:w="464" w:type="pct"/>
            <w:shd w:val="clear" w:color="auto" w:fill="auto"/>
            <w:vAlign w:val="center"/>
          </w:tcPr>
          <w:p>
            <w:pPr>
              <w:jc w:val="right"/>
            </w:pPr>
            <w:r>
              <w:rPr>
                <w:rFonts w:hint="eastAsia"/>
              </w:rPr>
              <w:t>1,069</w:t>
            </w:r>
          </w:p>
        </w:tc>
        <w:tc>
          <w:tcPr>
            <w:tcW w:w="741" w:type="pct"/>
            <w:shd w:val="clear" w:color="auto" w:fill="auto"/>
            <w:vAlign w:val="center"/>
          </w:tcPr>
          <w:p>
            <w:pPr>
              <w:jc w:val="right"/>
            </w:pPr>
            <w:r>
              <w:rPr>
                <w:rFonts w:hint="eastAsia"/>
              </w:rPr>
              <w:t>3,256</w:t>
            </w:r>
          </w:p>
        </w:tc>
      </w:tr>
      <w:tr>
        <w:tc>
          <w:tcPr>
            <w:tcW w:w="820" w:type="pct"/>
            <w:shd w:val="clear" w:color="auto" w:fill="auto"/>
          </w:tcPr>
          <w:p>
            <w:pPr>
              <w:ind w:firstLineChars="300" w:firstLine="630"/>
            </w:pPr>
            <w:r>
              <w:rPr>
                <w:rFonts w:hint="eastAsia"/>
              </w:rPr>
              <w:t>（1）计提</w:t>
            </w:r>
          </w:p>
        </w:tc>
        <w:tc>
          <w:tcPr>
            <w:tcW w:w="464"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p>
        </w:tc>
        <w:tc>
          <w:tcPr>
            <w:tcW w:w="541" w:type="pct"/>
            <w:shd w:val="clear" w:color="auto" w:fill="auto"/>
            <w:vAlign w:val="center"/>
          </w:tcPr>
          <w:p>
            <w:pPr>
              <w:jc w:val="right"/>
            </w:pPr>
            <w:r>
              <w:rPr>
                <w:rFonts w:hint="eastAsia"/>
              </w:rPr>
              <w:t>2,187</w:t>
            </w:r>
          </w:p>
        </w:tc>
        <w:tc>
          <w:tcPr>
            <w:tcW w:w="464" w:type="pct"/>
            <w:shd w:val="clear" w:color="auto" w:fill="auto"/>
            <w:vAlign w:val="center"/>
          </w:tcPr>
          <w:p>
            <w:pPr>
              <w:jc w:val="right"/>
            </w:pPr>
          </w:p>
        </w:tc>
        <w:tc>
          <w:tcPr>
            <w:tcW w:w="464" w:type="pct"/>
            <w:shd w:val="clear" w:color="auto" w:fill="auto"/>
            <w:vAlign w:val="center"/>
          </w:tcPr>
          <w:p>
            <w:pPr>
              <w:jc w:val="right"/>
            </w:pPr>
          </w:p>
        </w:tc>
        <w:tc>
          <w:tcPr>
            <w:tcW w:w="741" w:type="pct"/>
            <w:shd w:val="clear" w:color="auto" w:fill="auto"/>
            <w:vAlign w:val="center"/>
          </w:tcPr>
          <w:p>
            <w:pPr>
              <w:jc w:val="right"/>
            </w:pPr>
            <w:r>
              <w:rPr>
                <w:rFonts w:hint="eastAsia"/>
              </w:rPr>
              <w:t>2,187</w:t>
            </w:r>
          </w:p>
        </w:tc>
      </w:tr>
      <w:tr>
        <w:tc>
          <w:tcPr>
            <w:tcW w:w="820" w:type="pct"/>
            <w:shd w:val="clear" w:color="auto" w:fill="auto"/>
          </w:tcPr>
          <w:p>
            <w:pPr>
              <w:ind w:firstLineChars="300" w:firstLine="630"/>
            </w:pPr>
            <w:r>
              <w:rPr>
                <w:rFonts w:hint="eastAsia"/>
              </w:rPr>
              <w:t>（2）重分类转入</w:t>
            </w:r>
          </w:p>
        </w:tc>
        <w:tc>
          <w:tcPr>
            <w:tcW w:w="464"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41" w:type="pct"/>
            <w:shd w:val="clear" w:color="auto" w:fill="auto"/>
          </w:tcPr>
          <w:p>
            <w:pPr>
              <w:jc w:val="right"/>
            </w:pPr>
          </w:p>
        </w:tc>
        <w:tc>
          <w:tcPr>
            <w:tcW w:w="464" w:type="pct"/>
            <w:shd w:val="clear" w:color="auto" w:fill="auto"/>
          </w:tcPr>
          <w:p>
            <w:pPr>
              <w:jc w:val="right"/>
            </w:pPr>
          </w:p>
        </w:tc>
        <w:tc>
          <w:tcPr>
            <w:tcW w:w="464" w:type="pct"/>
            <w:shd w:val="clear" w:color="auto" w:fill="auto"/>
          </w:tcPr>
          <w:p>
            <w:pPr>
              <w:jc w:val="right"/>
            </w:pPr>
          </w:p>
        </w:tc>
        <w:tc>
          <w:tcPr>
            <w:tcW w:w="741" w:type="pct"/>
            <w:shd w:val="clear" w:color="auto" w:fill="auto"/>
            <w:vAlign w:val="center"/>
          </w:tcPr>
          <w:p>
            <w:pPr>
              <w:jc w:val="right"/>
            </w:pPr>
            <w:r>
              <w:rPr>
                <w:rFonts w:hint="eastAsia"/>
              </w:rPr>
              <w:t xml:space="preserve">　</w:t>
            </w:r>
          </w:p>
        </w:tc>
      </w:tr>
      <w:tr>
        <w:tc>
          <w:tcPr>
            <w:tcW w:w="820" w:type="pct"/>
            <w:shd w:val="clear" w:color="auto" w:fill="auto"/>
          </w:tcPr>
          <w:p>
            <w:pPr>
              <w:ind w:firstLineChars="300" w:firstLine="630"/>
            </w:pPr>
            <w:r>
              <w:rPr>
                <w:rFonts w:hint="eastAsia"/>
              </w:rPr>
              <w:t>（3）其他增加</w:t>
            </w:r>
          </w:p>
        </w:tc>
        <w:tc>
          <w:tcPr>
            <w:tcW w:w="464"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41" w:type="pct"/>
            <w:shd w:val="clear" w:color="auto" w:fill="auto"/>
          </w:tcPr>
          <w:p>
            <w:pPr>
              <w:jc w:val="right"/>
            </w:pPr>
          </w:p>
        </w:tc>
        <w:tc>
          <w:tcPr>
            <w:tcW w:w="464" w:type="pct"/>
            <w:shd w:val="clear" w:color="auto" w:fill="auto"/>
          </w:tcPr>
          <w:p>
            <w:pPr>
              <w:jc w:val="right"/>
            </w:pPr>
          </w:p>
        </w:tc>
        <w:tc>
          <w:tcPr>
            <w:tcW w:w="464" w:type="pct"/>
            <w:shd w:val="clear" w:color="auto" w:fill="auto"/>
            <w:vAlign w:val="center"/>
          </w:tcPr>
          <w:p>
            <w:pPr>
              <w:jc w:val="right"/>
            </w:pPr>
            <w:r>
              <w:rPr>
                <w:rFonts w:hint="eastAsia"/>
              </w:rPr>
              <w:t>1,069</w:t>
            </w:r>
          </w:p>
        </w:tc>
        <w:tc>
          <w:tcPr>
            <w:tcW w:w="741" w:type="pct"/>
            <w:shd w:val="clear" w:color="auto" w:fill="auto"/>
            <w:vAlign w:val="center"/>
          </w:tcPr>
          <w:p>
            <w:pPr>
              <w:jc w:val="right"/>
            </w:pPr>
            <w:r>
              <w:rPr>
                <w:rFonts w:hint="eastAsia"/>
              </w:rPr>
              <w:t>1,069</w:t>
            </w:r>
          </w:p>
        </w:tc>
      </w:tr>
      <w:tr>
        <w:tc>
          <w:tcPr>
            <w:tcW w:w="820" w:type="pct"/>
            <w:shd w:val="clear" w:color="auto" w:fill="auto"/>
          </w:tcPr>
          <w:p>
            <w:pPr>
              <w:ind w:firstLineChars="200" w:firstLine="420"/>
            </w:pPr>
            <w:r>
              <w:rPr>
                <w:rFonts w:hint="eastAsia"/>
              </w:rPr>
              <w:t>3.本期减少金额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405</w:t>
            </w:r>
          </w:p>
        </w:tc>
        <w:tc>
          <w:tcPr>
            <w:tcW w:w="502" w:type="pct"/>
            <w:shd w:val="clear" w:color="auto" w:fill="auto"/>
            <w:vAlign w:val="center"/>
          </w:tcPr>
          <w:p>
            <w:pPr>
              <w:jc w:val="right"/>
            </w:pPr>
            <w:r>
              <w:rPr>
                <w:rFonts w:hint="eastAsia"/>
              </w:rPr>
              <w:t>218,824</w:t>
            </w:r>
          </w:p>
        </w:tc>
        <w:tc>
          <w:tcPr>
            <w:tcW w:w="502" w:type="pct"/>
            <w:shd w:val="clear" w:color="auto" w:fill="auto"/>
            <w:vAlign w:val="center"/>
          </w:tcPr>
          <w:p>
            <w:pPr>
              <w:jc w:val="right"/>
            </w:pPr>
            <w:r>
              <w:rPr>
                <w:rFonts w:hint="eastAsia"/>
              </w:rPr>
              <w:t>11,503</w:t>
            </w:r>
          </w:p>
        </w:tc>
        <w:tc>
          <w:tcPr>
            <w:tcW w:w="541" w:type="pct"/>
            <w:shd w:val="clear" w:color="auto" w:fill="auto"/>
            <w:vAlign w:val="center"/>
          </w:tcPr>
          <w:p>
            <w:pPr>
              <w:jc w:val="right"/>
            </w:pPr>
            <w:r>
              <w:rPr>
                <w:rFonts w:hint="eastAsia"/>
              </w:rPr>
              <w:t>30,301</w:t>
            </w:r>
          </w:p>
        </w:tc>
        <w:tc>
          <w:tcPr>
            <w:tcW w:w="464" w:type="pct"/>
            <w:shd w:val="clear" w:color="auto" w:fill="auto"/>
            <w:vAlign w:val="center"/>
          </w:tcPr>
          <w:p>
            <w:pPr>
              <w:jc w:val="right"/>
            </w:pPr>
            <w:r>
              <w:rPr>
                <w:rFonts w:hint="eastAsia"/>
              </w:rPr>
              <w:t>9</w:t>
            </w:r>
          </w:p>
        </w:tc>
        <w:tc>
          <w:tcPr>
            <w:tcW w:w="464" w:type="pct"/>
            <w:shd w:val="clear" w:color="auto" w:fill="auto"/>
            <w:vAlign w:val="center"/>
          </w:tcPr>
          <w:p>
            <w:pPr>
              <w:jc w:val="right"/>
            </w:pPr>
            <w:r>
              <w:rPr>
                <w:rFonts w:hint="eastAsia"/>
              </w:rPr>
              <w:t>311</w:t>
            </w:r>
          </w:p>
        </w:tc>
        <w:tc>
          <w:tcPr>
            <w:tcW w:w="741" w:type="pct"/>
            <w:shd w:val="clear" w:color="auto" w:fill="auto"/>
            <w:vAlign w:val="center"/>
          </w:tcPr>
          <w:p>
            <w:pPr>
              <w:jc w:val="right"/>
            </w:pPr>
            <w:r>
              <w:rPr>
                <w:rFonts w:hint="eastAsia"/>
              </w:rPr>
              <w:t>261,353</w:t>
            </w:r>
          </w:p>
        </w:tc>
      </w:tr>
      <w:tr>
        <w:tc>
          <w:tcPr>
            <w:tcW w:w="820" w:type="pct"/>
            <w:shd w:val="clear" w:color="auto" w:fill="auto"/>
          </w:tcPr>
          <w:p>
            <w:pPr>
              <w:ind w:firstLineChars="300" w:firstLine="630"/>
            </w:pPr>
            <w:r>
              <w:rPr>
                <w:rFonts w:hint="eastAsia"/>
              </w:rPr>
              <w:t>（1）处置或报废</w:t>
            </w:r>
          </w:p>
        </w:tc>
        <w:tc>
          <w:tcPr>
            <w:tcW w:w="464"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p>
        </w:tc>
        <w:tc>
          <w:tcPr>
            <w:tcW w:w="502" w:type="pct"/>
            <w:shd w:val="clear" w:color="auto" w:fill="auto"/>
            <w:vAlign w:val="center"/>
          </w:tcPr>
          <w:p>
            <w:pPr>
              <w:jc w:val="right"/>
            </w:pPr>
            <w:r>
              <w:rPr>
                <w:rFonts w:hint="eastAsia"/>
              </w:rPr>
              <w:t>11,503</w:t>
            </w:r>
          </w:p>
        </w:tc>
        <w:tc>
          <w:tcPr>
            <w:tcW w:w="541" w:type="pct"/>
            <w:shd w:val="clear" w:color="auto" w:fill="auto"/>
            <w:vAlign w:val="center"/>
          </w:tcPr>
          <w:p>
            <w:pPr>
              <w:jc w:val="right"/>
            </w:pPr>
            <w:r>
              <w:rPr>
                <w:rFonts w:hint="eastAsia"/>
              </w:rPr>
              <w:t>13,765</w:t>
            </w:r>
          </w:p>
        </w:tc>
        <w:tc>
          <w:tcPr>
            <w:tcW w:w="464" w:type="pct"/>
            <w:shd w:val="clear" w:color="auto" w:fill="auto"/>
            <w:vAlign w:val="center"/>
          </w:tcPr>
          <w:p>
            <w:pPr>
              <w:jc w:val="right"/>
            </w:pPr>
            <w:r>
              <w:rPr>
                <w:rFonts w:hint="eastAsia"/>
              </w:rPr>
              <w:t>9</w:t>
            </w:r>
          </w:p>
        </w:tc>
        <w:tc>
          <w:tcPr>
            <w:tcW w:w="464" w:type="pct"/>
            <w:shd w:val="clear" w:color="auto" w:fill="auto"/>
            <w:vAlign w:val="center"/>
          </w:tcPr>
          <w:p>
            <w:pPr>
              <w:jc w:val="right"/>
            </w:pPr>
            <w:r>
              <w:rPr>
                <w:rFonts w:hint="eastAsia"/>
              </w:rPr>
              <w:t>311</w:t>
            </w:r>
          </w:p>
        </w:tc>
        <w:tc>
          <w:tcPr>
            <w:tcW w:w="741" w:type="pct"/>
            <w:shd w:val="clear" w:color="auto" w:fill="auto"/>
            <w:vAlign w:val="center"/>
          </w:tcPr>
          <w:p>
            <w:pPr>
              <w:jc w:val="right"/>
            </w:pPr>
            <w:r>
              <w:rPr>
                <w:rFonts w:hint="eastAsia"/>
              </w:rPr>
              <w:t>25,588</w:t>
            </w:r>
          </w:p>
        </w:tc>
      </w:tr>
      <w:tr>
        <w:tc>
          <w:tcPr>
            <w:tcW w:w="820" w:type="pct"/>
            <w:shd w:val="clear" w:color="auto" w:fill="auto"/>
          </w:tcPr>
          <w:p>
            <w:pPr>
              <w:ind w:firstLineChars="300" w:firstLine="630"/>
            </w:pPr>
            <w:r>
              <w:rPr>
                <w:rFonts w:hint="eastAsia"/>
              </w:rPr>
              <w:t>（2）重分类转出</w:t>
            </w:r>
          </w:p>
        </w:tc>
        <w:tc>
          <w:tcPr>
            <w:tcW w:w="464"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02" w:type="pct"/>
            <w:shd w:val="clear" w:color="auto" w:fill="auto"/>
          </w:tcPr>
          <w:p>
            <w:pPr>
              <w:jc w:val="right"/>
            </w:pPr>
          </w:p>
        </w:tc>
        <w:tc>
          <w:tcPr>
            <w:tcW w:w="541" w:type="pct"/>
            <w:shd w:val="clear" w:color="auto" w:fill="auto"/>
          </w:tcPr>
          <w:p>
            <w:pPr>
              <w:jc w:val="right"/>
            </w:pPr>
          </w:p>
        </w:tc>
        <w:tc>
          <w:tcPr>
            <w:tcW w:w="464" w:type="pct"/>
            <w:shd w:val="clear" w:color="auto" w:fill="auto"/>
          </w:tcPr>
          <w:p>
            <w:pPr>
              <w:jc w:val="right"/>
            </w:pPr>
          </w:p>
        </w:tc>
        <w:tc>
          <w:tcPr>
            <w:tcW w:w="464" w:type="pct"/>
            <w:shd w:val="clear" w:color="auto" w:fill="auto"/>
          </w:tcPr>
          <w:p>
            <w:pPr>
              <w:jc w:val="right"/>
            </w:pPr>
          </w:p>
        </w:tc>
        <w:tc>
          <w:tcPr>
            <w:tcW w:w="741" w:type="pct"/>
            <w:shd w:val="clear" w:color="auto" w:fill="auto"/>
            <w:vAlign w:val="center"/>
          </w:tcPr>
          <w:p>
            <w:pPr>
              <w:jc w:val="right"/>
            </w:pPr>
            <w:r>
              <w:rPr>
                <w:rFonts w:hint="eastAsia"/>
              </w:rPr>
              <w:t xml:space="preserve">　</w:t>
            </w:r>
          </w:p>
        </w:tc>
      </w:tr>
      <w:tr>
        <w:tc>
          <w:tcPr>
            <w:tcW w:w="820" w:type="pct"/>
            <w:shd w:val="clear" w:color="auto" w:fill="auto"/>
          </w:tcPr>
          <w:p>
            <w:pPr>
              <w:ind w:firstLineChars="300" w:firstLine="630"/>
            </w:pPr>
            <w:r>
              <w:rPr>
                <w:rFonts w:hint="eastAsia"/>
              </w:rPr>
              <w:t>（3）其他减少</w:t>
            </w:r>
          </w:p>
        </w:tc>
        <w:tc>
          <w:tcPr>
            <w:tcW w:w="464" w:type="pct"/>
            <w:shd w:val="clear" w:color="auto" w:fill="auto"/>
          </w:tcPr>
          <w:p>
            <w:pPr>
              <w:jc w:val="right"/>
            </w:pPr>
          </w:p>
        </w:tc>
        <w:tc>
          <w:tcPr>
            <w:tcW w:w="502" w:type="pct"/>
            <w:shd w:val="clear" w:color="auto" w:fill="auto"/>
            <w:vAlign w:val="center"/>
          </w:tcPr>
          <w:p>
            <w:pPr>
              <w:jc w:val="right"/>
            </w:pPr>
            <w:r>
              <w:rPr>
                <w:rFonts w:hint="eastAsia"/>
              </w:rPr>
              <w:t>405</w:t>
            </w:r>
          </w:p>
        </w:tc>
        <w:tc>
          <w:tcPr>
            <w:tcW w:w="502" w:type="pct"/>
            <w:shd w:val="clear" w:color="auto" w:fill="auto"/>
            <w:vAlign w:val="center"/>
          </w:tcPr>
          <w:p>
            <w:pPr>
              <w:jc w:val="right"/>
            </w:pPr>
            <w:r>
              <w:rPr>
                <w:rFonts w:hint="eastAsia"/>
              </w:rPr>
              <w:t>218,824</w:t>
            </w:r>
          </w:p>
        </w:tc>
        <w:tc>
          <w:tcPr>
            <w:tcW w:w="502" w:type="pct"/>
            <w:shd w:val="clear" w:color="auto" w:fill="auto"/>
          </w:tcPr>
          <w:p>
            <w:pPr>
              <w:jc w:val="right"/>
            </w:pPr>
          </w:p>
        </w:tc>
        <w:tc>
          <w:tcPr>
            <w:tcW w:w="541" w:type="pct"/>
            <w:shd w:val="clear" w:color="auto" w:fill="auto"/>
            <w:vAlign w:val="center"/>
          </w:tcPr>
          <w:p>
            <w:pPr>
              <w:jc w:val="right"/>
            </w:pPr>
            <w:r>
              <w:rPr>
                <w:rFonts w:hint="eastAsia"/>
              </w:rPr>
              <w:t>16,536</w:t>
            </w:r>
          </w:p>
        </w:tc>
        <w:tc>
          <w:tcPr>
            <w:tcW w:w="464" w:type="pct"/>
            <w:shd w:val="clear" w:color="auto" w:fill="auto"/>
          </w:tcPr>
          <w:p>
            <w:pPr>
              <w:jc w:val="right"/>
            </w:pPr>
          </w:p>
        </w:tc>
        <w:tc>
          <w:tcPr>
            <w:tcW w:w="464" w:type="pct"/>
            <w:shd w:val="clear" w:color="auto" w:fill="auto"/>
          </w:tcPr>
          <w:p>
            <w:pPr>
              <w:jc w:val="right"/>
            </w:pPr>
          </w:p>
        </w:tc>
        <w:tc>
          <w:tcPr>
            <w:tcW w:w="741" w:type="pct"/>
            <w:shd w:val="clear" w:color="auto" w:fill="auto"/>
            <w:vAlign w:val="center"/>
          </w:tcPr>
          <w:p>
            <w:pPr>
              <w:jc w:val="right"/>
            </w:pPr>
            <w:r>
              <w:rPr>
                <w:rFonts w:hint="eastAsia"/>
              </w:rPr>
              <w:t>235,765</w:t>
            </w:r>
          </w:p>
        </w:tc>
      </w:tr>
      <w:tr>
        <w:tc>
          <w:tcPr>
            <w:tcW w:w="820" w:type="pct"/>
            <w:shd w:val="clear" w:color="auto" w:fill="auto"/>
          </w:tcPr>
          <w:p>
            <w:pPr>
              <w:ind w:firstLineChars="200" w:firstLine="420"/>
            </w:pPr>
            <w:r>
              <w:rPr>
                <w:rFonts w:hint="eastAsia"/>
              </w:rPr>
              <w:t>4</w:t>
            </w:r>
            <w:r>
              <w:t>.</w:t>
            </w:r>
            <w:r>
              <w:rPr>
                <w:rFonts w:hint="eastAsia"/>
              </w:rPr>
              <w:t>外币报表折算差额</w:t>
            </w:r>
          </w:p>
        </w:tc>
        <w:tc>
          <w:tcPr>
            <w:tcW w:w="464" w:type="pct"/>
            <w:shd w:val="clear" w:color="auto" w:fill="auto"/>
            <w:vAlign w:val="center"/>
          </w:tcPr>
          <w:p>
            <w:pPr>
              <w:jc w:val="right"/>
            </w:pPr>
          </w:p>
        </w:tc>
        <w:tc>
          <w:tcPr>
            <w:tcW w:w="502" w:type="pct"/>
            <w:shd w:val="clear" w:color="auto" w:fill="auto"/>
            <w:vAlign w:val="center"/>
          </w:tcPr>
          <w:p>
            <w:pPr>
              <w:jc w:val="right"/>
            </w:pPr>
            <w:r>
              <w:t>-191</w:t>
            </w:r>
          </w:p>
        </w:tc>
        <w:tc>
          <w:tcPr>
            <w:tcW w:w="502" w:type="pct"/>
            <w:shd w:val="clear" w:color="auto" w:fill="auto"/>
            <w:vAlign w:val="center"/>
          </w:tcPr>
          <w:p>
            <w:pPr>
              <w:jc w:val="right"/>
            </w:pPr>
            <w:r>
              <w:t>-41,367</w:t>
            </w:r>
          </w:p>
        </w:tc>
        <w:tc>
          <w:tcPr>
            <w:tcW w:w="502" w:type="pct"/>
            <w:shd w:val="clear" w:color="auto" w:fill="auto"/>
            <w:vAlign w:val="center"/>
          </w:tcPr>
          <w:p>
            <w:pPr>
              <w:jc w:val="right"/>
            </w:pPr>
          </w:p>
        </w:tc>
        <w:tc>
          <w:tcPr>
            <w:tcW w:w="541" w:type="pct"/>
            <w:shd w:val="clear" w:color="auto" w:fill="auto"/>
            <w:vAlign w:val="center"/>
          </w:tcPr>
          <w:p>
            <w:pPr>
              <w:jc w:val="right"/>
            </w:pPr>
            <w:r>
              <w:t>-12,376</w:t>
            </w:r>
          </w:p>
        </w:tc>
        <w:tc>
          <w:tcPr>
            <w:tcW w:w="464" w:type="pct"/>
            <w:shd w:val="clear" w:color="auto" w:fill="auto"/>
            <w:vAlign w:val="center"/>
          </w:tcPr>
          <w:p>
            <w:pPr>
              <w:jc w:val="right"/>
            </w:pPr>
          </w:p>
        </w:tc>
        <w:tc>
          <w:tcPr>
            <w:tcW w:w="464" w:type="pct"/>
            <w:shd w:val="clear" w:color="auto" w:fill="auto"/>
            <w:vAlign w:val="center"/>
          </w:tcPr>
          <w:p>
            <w:pPr>
              <w:jc w:val="right"/>
            </w:pPr>
          </w:p>
        </w:tc>
        <w:tc>
          <w:tcPr>
            <w:tcW w:w="741" w:type="pct"/>
            <w:shd w:val="clear" w:color="auto" w:fill="auto"/>
            <w:vAlign w:val="center"/>
          </w:tcPr>
          <w:p>
            <w:pPr>
              <w:jc w:val="right"/>
            </w:pPr>
            <w:r>
              <w:t>-53,934</w:t>
            </w:r>
          </w:p>
        </w:tc>
      </w:tr>
      <w:tr>
        <w:tc>
          <w:tcPr>
            <w:tcW w:w="820" w:type="pct"/>
            <w:shd w:val="clear" w:color="auto" w:fill="auto"/>
          </w:tcPr>
          <w:p>
            <w:pPr>
              <w:ind w:firstLineChars="200" w:firstLine="420"/>
            </w:pPr>
            <w:r>
              <w:t>5</w:t>
            </w:r>
            <w:r>
              <w:rPr>
                <w:rFonts w:hint="eastAsia"/>
              </w:rPr>
              <w:t>.期末余额</w:t>
            </w:r>
          </w:p>
        </w:tc>
        <w:tc>
          <w:tcPr>
            <w:tcW w:w="464" w:type="pct"/>
            <w:shd w:val="clear" w:color="auto" w:fill="auto"/>
            <w:vAlign w:val="center"/>
          </w:tcPr>
          <w:p>
            <w:pPr>
              <w:jc w:val="right"/>
            </w:pPr>
          </w:p>
        </w:tc>
        <w:tc>
          <w:tcPr>
            <w:tcW w:w="502" w:type="pct"/>
            <w:shd w:val="clear" w:color="auto" w:fill="auto"/>
            <w:vAlign w:val="center"/>
          </w:tcPr>
          <w:p>
            <w:pPr>
              <w:jc w:val="right"/>
            </w:pPr>
            <w:r>
              <w:rPr>
                <w:rFonts w:hint="eastAsia"/>
              </w:rPr>
              <w:t>23,785</w:t>
            </w:r>
          </w:p>
        </w:tc>
        <w:tc>
          <w:tcPr>
            <w:tcW w:w="502" w:type="pct"/>
            <w:shd w:val="clear" w:color="auto" w:fill="auto"/>
            <w:vAlign w:val="center"/>
          </w:tcPr>
          <w:p>
            <w:pPr>
              <w:jc w:val="right"/>
            </w:pPr>
            <w:r>
              <w:rPr>
                <w:rFonts w:hint="eastAsia"/>
              </w:rPr>
              <w:t>447,477</w:t>
            </w:r>
          </w:p>
        </w:tc>
        <w:tc>
          <w:tcPr>
            <w:tcW w:w="502" w:type="pct"/>
            <w:shd w:val="clear" w:color="auto" w:fill="auto"/>
            <w:vAlign w:val="center"/>
          </w:tcPr>
          <w:p>
            <w:pPr>
              <w:jc w:val="right"/>
            </w:pPr>
            <w:r>
              <w:rPr>
                <w:rFonts w:hint="eastAsia"/>
              </w:rPr>
              <w:t>77,292</w:t>
            </w:r>
          </w:p>
        </w:tc>
        <w:tc>
          <w:tcPr>
            <w:tcW w:w="541" w:type="pct"/>
            <w:shd w:val="clear" w:color="auto" w:fill="auto"/>
            <w:vAlign w:val="center"/>
          </w:tcPr>
          <w:p>
            <w:pPr>
              <w:jc w:val="right"/>
            </w:pPr>
            <w:r>
              <w:rPr>
                <w:rFonts w:hint="eastAsia"/>
              </w:rPr>
              <w:t>223,231</w:t>
            </w:r>
          </w:p>
        </w:tc>
        <w:tc>
          <w:tcPr>
            <w:tcW w:w="464" w:type="pct"/>
            <w:shd w:val="clear" w:color="auto" w:fill="auto"/>
            <w:vAlign w:val="center"/>
          </w:tcPr>
          <w:p>
            <w:pPr>
              <w:jc w:val="right"/>
            </w:pPr>
            <w:r>
              <w:rPr>
                <w:rFonts w:hint="eastAsia"/>
              </w:rPr>
              <w:t>1,119</w:t>
            </w:r>
          </w:p>
        </w:tc>
        <w:tc>
          <w:tcPr>
            <w:tcW w:w="464" w:type="pct"/>
            <w:shd w:val="clear" w:color="auto" w:fill="auto"/>
            <w:vAlign w:val="center"/>
          </w:tcPr>
          <w:p>
            <w:pPr>
              <w:jc w:val="right"/>
            </w:pPr>
            <w:r>
              <w:rPr>
                <w:rFonts w:hint="eastAsia"/>
              </w:rPr>
              <w:t>6,175</w:t>
            </w:r>
          </w:p>
        </w:tc>
        <w:tc>
          <w:tcPr>
            <w:tcW w:w="741" w:type="pct"/>
            <w:shd w:val="clear" w:color="auto" w:fill="auto"/>
            <w:vAlign w:val="center"/>
          </w:tcPr>
          <w:p>
            <w:pPr>
              <w:jc w:val="right"/>
            </w:pPr>
            <w:r>
              <w:rPr>
                <w:rFonts w:hint="eastAsia"/>
              </w:rPr>
              <w:t>779,079</w:t>
            </w:r>
          </w:p>
        </w:tc>
      </w:tr>
      <w:tr>
        <w:sdt>
          <w:sdtPr>
            <w:tag w:val="_PLD_e1d51c426bd84ffbb9a1a19b00d3b374"/>
            <w:id w:val="149723423"/>
          </w:sdtPr>
          <w:sdtContent>
            <w:tc>
              <w:tcPr>
                <w:tcW w:w="5000" w:type="pct"/>
                <w:gridSpan w:val="9"/>
                <w:shd w:val="clear" w:color="auto" w:fill="auto"/>
              </w:tcPr>
              <w:p>
                <w:pPr>
                  <w:pStyle w:val="affffffffffffffffff3"/>
                </w:pPr>
                <w:r>
                  <w:rPr>
                    <w:rFonts w:hint="eastAsia"/>
                  </w:rPr>
                  <w:t>四、账面价值</w:t>
                </w:r>
              </w:p>
            </w:tc>
          </w:sdtContent>
        </w:sdt>
      </w:tr>
      <w:tr>
        <w:tc>
          <w:tcPr>
            <w:tcW w:w="820" w:type="pct"/>
            <w:shd w:val="clear" w:color="auto" w:fill="auto"/>
          </w:tcPr>
          <w:p>
            <w:pPr>
              <w:ind w:firstLineChars="200" w:firstLine="420"/>
            </w:pPr>
            <w:r>
              <w:rPr>
                <w:rFonts w:hint="eastAsia"/>
              </w:rPr>
              <w:lastRenderedPageBreak/>
              <w:t>1.期末账面价值</w:t>
            </w:r>
          </w:p>
        </w:tc>
        <w:tc>
          <w:tcPr>
            <w:tcW w:w="464" w:type="pct"/>
            <w:shd w:val="clear" w:color="auto" w:fill="auto"/>
            <w:vAlign w:val="center"/>
          </w:tcPr>
          <w:p>
            <w:pPr>
              <w:jc w:val="right"/>
            </w:pPr>
            <w:r>
              <w:rPr>
                <w:rFonts w:hint="eastAsia"/>
              </w:rPr>
              <w:t>1,375,895</w:t>
            </w:r>
          </w:p>
        </w:tc>
        <w:tc>
          <w:tcPr>
            <w:tcW w:w="502" w:type="pct"/>
            <w:shd w:val="clear" w:color="auto" w:fill="auto"/>
            <w:vAlign w:val="center"/>
          </w:tcPr>
          <w:p>
            <w:pPr>
              <w:jc w:val="right"/>
            </w:pPr>
            <w:r>
              <w:rPr>
                <w:rFonts w:hint="eastAsia"/>
              </w:rPr>
              <w:t>10,841,363</w:t>
            </w:r>
          </w:p>
        </w:tc>
        <w:tc>
          <w:tcPr>
            <w:tcW w:w="502" w:type="pct"/>
            <w:shd w:val="clear" w:color="auto" w:fill="auto"/>
            <w:vAlign w:val="center"/>
          </w:tcPr>
          <w:p>
            <w:pPr>
              <w:jc w:val="right"/>
            </w:pPr>
            <w:r>
              <w:rPr>
                <w:rFonts w:hint="eastAsia"/>
              </w:rPr>
              <w:t>31,852,292</w:t>
            </w:r>
          </w:p>
        </w:tc>
        <w:tc>
          <w:tcPr>
            <w:tcW w:w="502" w:type="pct"/>
            <w:shd w:val="clear" w:color="auto" w:fill="auto"/>
            <w:vAlign w:val="center"/>
          </w:tcPr>
          <w:p>
            <w:pPr>
              <w:jc w:val="right"/>
            </w:pPr>
            <w:r>
              <w:rPr>
                <w:rFonts w:hint="eastAsia"/>
              </w:rPr>
              <w:t>14,279,532</w:t>
            </w:r>
          </w:p>
        </w:tc>
        <w:tc>
          <w:tcPr>
            <w:tcW w:w="541" w:type="pct"/>
            <w:shd w:val="clear" w:color="auto" w:fill="auto"/>
            <w:vAlign w:val="center"/>
          </w:tcPr>
          <w:p>
            <w:pPr>
              <w:jc w:val="right"/>
            </w:pPr>
            <w:r>
              <w:rPr>
                <w:rFonts w:hint="eastAsia"/>
              </w:rPr>
              <w:t>51,326,702</w:t>
            </w:r>
          </w:p>
        </w:tc>
        <w:tc>
          <w:tcPr>
            <w:tcW w:w="464" w:type="pct"/>
            <w:shd w:val="clear" w:color="auto" w:fill="auto"/>
            <w:vAlign w:val="center"/>
          </w:tcPr>
          <w:p>
            <w:pPr>
              <w:jc w:val="right"/>
            </w:pPr>
            <w:r>
              <w:rPr>
                <w:rFonts w:hint="eastAsia"/>
              </w:rPr>
              <w:t>291,343</w:t>
            </w:r>
          </w:p>
        </w:tc>
        <w:tc>
          <w:tcPr>
            <w:tcW w:w="464" w:type="pct"/>
            <w:shd w:val="clear" w:color="auto" w:fill="auto"/>
            <w:vAlign w:val="center"/>
          </w:tcPr>
          <w:p>
            <w:pPr>
              <w:jc w:val="right"/>
            </w:pPr>
            <w:r>
              <w:rPr>
                <w:rFonts w:hint="eastAsia"/>
              </w:rPr>
              <w:t>2,716,185</w:t>
            </w:r>
          </w:p>
        </w:tc>
        <w:tc>
          <w:tcPr>
            <w:tcW w:w="741" w:type="pct"/>
            <w:shd w:val="clear" w:color="auto" w:fill="auto"/>
            <w:vAlign w:val="center"/>
          </w:tcPr>
          <w:p>
            <w:pPr>
              <w:jc w:val="right"/>
            </w:pPr>
            <w:r>
              <w:rPr>
                <w:rFonts w:hint="eastAsia"/>
              </w:rPr>
              <w:t>112,683,312</w:t>
            </w:r>
          </w:p>
        </w:tc>
      </w:tr>
      <w:tr>
        <w:tc>
          <w:tcPr>
            <w:tcW w:w="820" w:type="pct"/>
            <w:shd w:val="clear" w:color="auto" w:fill="auto"/>
          </w:tcPr>
          <w:p>
            <w:pPr>
              <w:ind w:firstLineChars="200" w:firstLine="420"/>
            </w:pPr>
            <w:r>
              <w:rPr>
                <w:rFonts w:hint="eastAsia"/>
              </w:rPr>
              <w:t>2.期初账面价值</w:t>
            </w:r>
          </w:p>
        </w:tc>
        <w:tc>
          <w:tcPr>
            <w:tcW w:w="464" w:type="pct"/>
            <w:shd w:val="clear" w:color="auto" w:fill="auto"/>
            <w:vAlign w:val="center"/>
          </w:tcPr>
          <w:p>
            <w:pPr>
              <w:jc w:val="right"/>
            </w:pPr>
            <w:r>
              <w:rPr>
                <w:rFonts w:hint="eastAsia"/>
              </w:rPr>
              <w:t>1,480,625</w:t>
            </w:r>
          </w:p>
        </w:tc>
        <w:tc>
          <w:tcPr>
            <w:tcW w:w="502" w:type="pct"/>
            <w:shd w:val="clear" w:color="auto" w:fill="auto"/>
            <w:vAlign w:val="center"/>
          </w:tcPr>
          <w:p>
            <w:pPr>
              <w:jc w:val="right"/>
            </w:pPr>
            <w:r>
              <w:rPr>
                <w:rFonts w:hint="eastAsia"/>
              </w:rPr>
              <w:t>10,729,751</w:t>
            </w:r>
          </w:p>
        </w:tc>
        <w:tc>
          <w:tcPr>
            <w:tcW w:w="502" w:type="pct"/>
            <w:shd w:val="clear" w:color="auto" w:fill="auto"/>
            <w:vAlign w:val="center"/>
          </w:tcPr>
          <w:p>
            <w:pPr>
              <w:jc w:val="right"/>
            </w:pPr>
            <w:r>
              <w:rPr>
                <w:rFonts w:hint="eastAsia"/>
              </w:rPr>
              <w:t>32,444,834</w:t>
            </w:r>
          </w:p>
        </w:tc>
        <w:tc>
          <w:tcPr>
            <w:tcW w:w="502" w:type="pct"/>
            <w:shd w:val="clear" w:color="auto" w:fill="auto"/>
            <w:vAlign w:val="center"/>
          </w:tcPr>
          <w:p>
            <w:pPr>
              <w:jc w:val="right"/>
            </w:pPr>
            <w:r>
              <w:rPr>
                <w:rFonts w:hint="eastAsia"/>
              </w:rPr>
              <w:t>14,161,024</w:t>
            </w:r>
          </w:p>
        </w:tc>
        <w:tc>
          <w:tcPr>
            <w:tcW w:w="541" w:type="pct"/>
            <w:shd w:val="clear" w:color="auto" w:fill="auto"/>
            <w:vAlign w:val="center"/>
          </w:tcPr>
          <w:p>
            <w:pPr>
              <w:jc w:val="right"/>
            </w:pPr>
            <w:r>
              <w:rPr>
                <w:rFonts w:hint="eastAsia"/>
              </w:rPr>
              <w:t>50,004,802</w:t>
            </w:r>
          </w:p>
        </w:tc>
        <w:tc>
          <w:tcPr>
            <w:tcW w:w="464" w:type="pct"/>
            <w:shd w:val="clear" w:color="auto" w:fill="auto"/>
            <w:vAlign w:val="center"/>
          </w:tcPr>
          <w:p>
            <w:pPr>
              <w:jc w:val="right"/>
            </w:pPr>
            <w:r>
              <w:rPr>
                <w:rFonts w:hint="eastAsia"/>
              </w:rPr>
              <w:t>814,290</w:t>
            </w:r>
          </w:p>
        </w:tc>
        <w:tc>
          <w:tcPr>
            <w:tcW w:w="464" w:type="pct"/>
            <w:shd w:val="clear" w:color="auto" w:fill="auto"/>
            <w:vAlign w:val="center"/>
          </w:tcPr>
          <w:p>
            <w:pPr>
              <w:jc w:val="right"/>
            </w:pPr>
            <w:r>
              <w:rPr>
                <w:rFonts w:hint="eastAsia"/>
              </w:rPr>
              <w:t>2,834,166</w:t>
            </w:r>
          </w:p>
        </w:tc>
        <w:tc>
          <w:tcPr>
            <w:tcW w:w="741" w:type="pct"/>
            <w:shd w:val="clear" w:color="auto" w:fill="auto"/>
            <w:vAlign w:val="center"/>
          </w:tcPr>
          <w:p>
            <w:pPr>
              <w:jc w:val="right"/>
            </w:pPr>
            <w:r>
              <w:rPr>
                <w:rFonts w:hint="eastAsia"/>
              </w:rPr>
              <w:t>112,469,492</w:t>
            </w:r>
          </w:p>
        </w:tc>
      </w:tr>
    </w:tbl>
    <w:p>
      <w:pPr>
        <w:pStyle w:val="affffffffffffffffff3"/>
      </w:pPr>
    </w:p>
    <w:p>
      <w:pPr>
        <w:rPr>
          <w:szCs w:val="21"/>
        </w:rPr>
      </w:pPr>
    </w:p>
    <w:p>
      <w:pPr>
        <w:pStyle w:val="affffffffffffffffffffffffffffffffffffffe"/>
      </w:pPr>
      <w:r>
        <w:rPr>
          <w:rFonts w:hint="eastAsia"/>
        </w:rPr>
        <w:t>注:土地类固定资产系本集团之子公司澳洲公司拥有的永久性土地使用权，因此无需计提折旧。</w:t>
      </w:r>
    </w:p>
    <w:p>
      <w:pPr>
        <w:pStyle w:val="afffffffffffffffffffffffffffffffff2"/>
        <w:numPr>
          <w:ilvl w:val="0"/>
          <w:numId w:val="172"/>
        </w:numPr>
        <w:ind w:leftChars="0"/>
        <w:rPr>
          <w:rFonts w:ascii="宋体" w:hAnsi="宋体" w:cs="宋体"/>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189133567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72"/>
        </w:numPr>
        <w:ind w:leftChars="0"/>
        <w:rPr>
          <w:rFonts w:ascii="宋体" w:hAnsi="宋体" w:cs="宋体"/>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65171991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color w:val="FF0000"/>
          <w:szCs w:val="21"/>
        </w:rPr>
      </w:pPr>
    </w:p>
    <w:p>
      <w:pPr>
        <w:pStyle w:val="afffffffffffffffffffffffffffffffff2"/>
        <w:numPr>
          <w:ilvl w:val="0"/>
          <w:numId w:val="172"/>
        </w:numPr>
        <w:ind w:leftChars="0"/>
        <w:rPr>
          <w:rFonts w:ascii="宋体" w:hAnsi="宋体" w:cs="宋体"/>
          <w:kern w:val="0"/>
          <w:szCs w:val="24"/>
        </w:rPr>
      </w:pPr>
      <w:r>
        <w:rPr>
          <w:rFonts w:ascii="宋体" w:hAnsi="宋体" w:cs="宋体" w:hint="eastAsia"/>
          <w:kern w:val="0"/>
          <w:szCs w:val="24"/>
        </w:rPr>
        <w:t>未办妥产权证书的固定资产情况</w:t>
      </w:r>
    </w:p>
    <w:p>
      <w:pPr>
        <w:pStyle w:val="affffffffffffffffffffffffffffffffe"/>
      </w:pPr>
      <w:sdt>
        <w:sdtPr>
          <w:alias w:val="是否适用：未办妥产权证书的固定资产情况[双击切换]"/>
          <w:tag w:val="_GBC_46625a97c34c4326af56ee4f005058fb"/>
          <w:id w:val="-722439114"/>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固定资产情况"/>
          <w:tag w:val="_GBC_af0b65f779a444509a345fcc235c4e13"/>
          <w:id w:val="-202014517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未办妥产权证书的固定资产情况"/>
          <w:tag w:val="_GBC_8b4f91db9e314b61ac2d85b092fd5832"/>
          <w:id w:val="20745477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661"/>
        <w:gridCol w:w="4686"/>
      </w:tblGrid>
      <w:tr>
        <w:bookmarkStart w:id="420" w:name="_Hlk153460880" w:displacedByCustomXml="next"/>
        <w:sdt>
          <w:sdtPr>
            <w:tag w:val="_PLD_3112d13ed7a04a10bce803acc672660e"/>
            <w:id w:val="-717432917"/>
          </w:sdtPr>
          <w:sdtContent>
            <w:tc>
              <w:tcPr>
                <w:tcW w:w="1629" w:type="pct"/>
                <w:vAlign w:val="center"/>
              </w:tcPr>
              <w:p>
                <w:pPr>
                  <w:jc w:val="center"/>
                  <w:rPr>
                    <w:szCs w:val="21"/>
                  </w:rPr>
                </w:pPr>
                <w:r>
                  <w:rPr>
                    <w:rFonts w:hint="eastAsia"/>
                    <w:szCs w:val="21"/>
                  </w:rPr>
                  <w:t>项目</w:t>
                </w:r>
              </w:p>
            </w:tc>
          </w:sdtContent>
        </w:sdt>
        <w:sdt>
          <w:sdtPr>
            <w:tag w:val="_PLD_5fca73223de74724a06b56d07c06e26b"/>
            <w:id w:val="823479249"/>
          </w:sdtPr>
          <w:sdtContent>
            <w:tc>
              <w:tcPr>
                <w:tcW w:w="1681" w:type="pct"/>
                <w:vAlign w:val="center"/>
              </w:tcPr>
              <w:p>
                <w:pPr>
                  <w:jc w:val="center"/>
                  <w:rPr>
                    <w:szCs w:val="21"/>
                  </w:rPr>
                </w:pPr>
                <w:r>
                  <w:rPr>
                    <w:rFonts w:hint="eastAsia"/>
                    <w:szCs w:val="21"/>
                  </w:rPr>
                  <w:t>账面价值</w:t>
                </w:r>
              </w:p>
            </w:tc>
          </w:sdtContent>
        </w:sdt>
        <w:sdt>
          <w:sdtPr>
            <w:tag w:val="_PLD_0f07869ee4694758ae54754a2afb45dd"/>
            <w:id w:val="-745491105"/>
          </w:sdtPr>
          <w:sdtContent>
            <w:tc>
              <w:tcPr>
                <w:tcW w:w="1690" w:type="pct"/>
                <w:vAlign w:val="center"/>
              </w:tcPr>
              <w:p>
                <w:pPr>
                  <w:jc w:val="center"/>
                  <w:rPr>
                    <w:szCs w:val="21"/>
                  </w:rPr>
                </w:pPr>
                <w:r>
                  <w:rPr>
                    <w:rFonts w:hint="eastAsia"/>
                    <w:szCs w:val="21"/>
                  </w:rPr>
                  <w:t>未办妥产权证书的原因</w:t>
                </w:r>
              </w:p>
            </w:tc>
          </w:sdtContent>
        </w:sdt>
      </w:tr>
      <w:tr>
        <w:tc>
          <w:tcPr>
            <w:tcW w:w="1629" w:type="pct"/>
          </w:tcPr>
          <w:p>
            <w:pPr>
              <w:rPr>
                <w:szCs w:val="21"/>
              </w:rPr>
            </w:pPr>
            <w:r>
              <w:t>地面建筑物</w:t>
            </w:r>
          </w:p>
        </w:tc>
        <w:tc>
          <w:tcPr>
            <w:tcW w:w="1681" w:type="pct"/>
            <w:vAlign w:val="center"/>
          </w:tcPr>
          <w:p>
            <w:pPr>
              <w:pStyle w:val="affffffffffffffffffffffffffffffffe"/>
            </w:pPr>
            <w:r>
              <w:t>2,209</w:t>
            </w:r>
          </w:p>
        </w:tc>
        <w:tc>
          <w:tcPr>
            <w:tcW w:w="1690" w:type="pct"/>
            <w:vAlign w:val="center"/>
          </w:tcPr>
          <w:p>
            <w:pPr>
              <w:pStyle w:val="affffffffffffffffffffffffffffffffe"/>
            </w:pPr>
            <w:r>
              <w:t>正在办理</w:t>
            </w:r>
          </w:p>
        </w:tc>
      </w:tr>
      <w:tr>
        <w:tc>
          <w:tcPr>
            <w:tcW w:w="1629" w:type="pct"/>
          </w:tcPr>
          <w:p>
            <w:pPr>
              <w:rPr>
                <w:szCs w:val="21"/>
              </w:rPr>
            </w:pPr>
            <w:r>
              <w:t>房屋建筑物</w:t>
            </w:r>
          </w:p>
        </w:tc>
        <w:tc>
          <w:tcPr>
            <w:tcW w:w="1681" w:type="pct"/>
            <w:vAlign w:val="center"/>
          </w:tcPr>
          <w:p>
            <w:pPr>
              <w:pStyle w:val="affffffffffffffffffffffffffffffffe"/>
            </w:pPr>
            <w:r>
              <w:t>4,681,002</w:t>
            </w:r>
          </w:p>
        </w:tc>
        <w:tc>
          <w:tcPr>
            <w:tcW w:w="1690" w:type="pct"/>
            <w:vAlign w:val="center"/>
          </w:tcPr>
          <w:p>
            <w:pPr>
              <w:pStyle w:val="affffffffffffffffffffffffffffffffe"/>
            </w:pPr>
            <w:r>
              <w:t>正在办理</w:t>
            </w:r>
          </w:p>
        </w:tc>
      </w:tr>
      <w:tr>
        <w:tc>
          <w:tcPr>
            <w:tcW w:w="1629" w:type="pct"/>
          </w:tcPr>
          <w:p>
            <w:pPr>
              <w:pStyle w:val="affffffffffffffffffffffffffffffffe"/>
            </w:pPr>
            <w:r>
              <w:rPr>
                <w:rFonts w:hint="eastAsia"/>
              </w:rPr>
              <w:t>合计</w:t>
            </w:r>
          </w:p>
        </w:tc>
        <w:tc>
          <w:tcPr>
            <w:tcW w:w="1681" w:type="pct"/>
            <w:vAlign w:val="center"/>
          </w:tcPr>
          <w:p>
            <w:pPr>
              <w:pStyle w:val="affffffffffffffffffffffffffffffffe"/>
            </w:pPr>
            <w:r>
              <w:t>4,683,211</w:t>
            </w:r>
          </w:p>
        </w:tc>
        <w:tc>
          <w:tcPr>
            <w:tcW w:w="1690" w:type="pct"/>
            <w:vAlign w:val="center"/>
          </w:tcPr>
          <w:p>
            <w:pPr>
              <w:pStyle w:val="affffffffffffffffffffffffffffffffe"/>
            </w:pPr>
          </w:p>
        </w:tc>
      </w:tr>
    </w:tbl>
    <w:p>
      <w:pPr>
        <w:pStyle w:val="affffffffffffffffffffffffffffffffe"/>
      </w:pPr>
    </w:p>
    <w:p>
      <w:pPr>
        <w:pStyle w:val="afffffffffffffffffffffffffffffffff2"/>
        <w:numPr>
          <w:ilvl w:val="0"/>
          <w:numId w:val="172"/>
        </w:numPr>
        <w:ind w:leftChars="0"/>
        <w:rPr>
          <w:rFonts w:ascii="宋体" w:hAnsi="宋体" w:cs="宋体"/>
          <w:kern w:val="0"/>
          <w:szCs w:val="24"/>
        </w:rPr>
      </w:pPr>
      <w:r>
        <w:rPr>
          <w:rFonts w:ascii="宋体" w:hAnsi="宋体" w:cs="宋体" w:hint="eastAsia"/>
          <w:kern w:val="0"/>
          <w:szCs w:val="24"/>
        </w:rPr>
        <w:t>固定资产的减值测试情况</w:t>
      </w:r>
    </w:p>
    <w:sdt>
      <w:sdtPr>
        <w:alias w:val="是否适用：减值测试情况[双击切换]"/>
        <w:tag w:val="_GBC_d1f21a00be1347f697689e4105263cab"/>
        <w:id w:val="195951792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snapToGrid w:val="0"/>
        <w:spacing w:line="240" w:lineRule="atLeast"/>
        <w:rPr>
          <w:szCs w:val="21"/>
        </w:rPr>
      </w:pPr>
    </w:p>
    <w:bookmarkEnd w:id="420"/>
    <w:p>
      <w:pPr>
        <w:rPr>
          <w:szCs w:val="21"/>
        </w:rPr>
      </w:pPr>
      <w:r>
        <w:rPr>
          <w:rFonts w:hint="eastAsia"/>
          <w:szCs w:val="21"/>
        </w:rPr>
        <w:t>其他说明：</w:t>
      </w:r>
    </w:p>
    <w:sdt>
      <w:sdtPr>
        <w:rPr>
          <w:szCs w:val="21"/>
        </w:rPr>
        <w:alias w:val="是否适用：固定资产的说明[双击切换]"/>
        <w:tag w:val="_GBC_a7ec4df8fd354d7d9980e0f731a85e12"/>
        <w:id w:val="-597325517"/>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sectPr>
          <w:pgSz w:w="16838" w:h="11906" w:orient="landscape"/>
          <w:pgMar w:top="1276" w:right="1440" w:bottom="1797" w:left="1525" w:header="856" w:footer="992" w:gutter="0"/>
          <w:cols w:space="425"/>
          <w:docGrid w:linePitch="312"/>
        </w:sectPr>
      </w:pPr>
    </w:p>
    <w:p>
      <w:pPr>
        <w:rPr>
          <w:szCs w:val="21"/>
        </w:rPr>
      </w:pPr>
    </w:p>
    <w:p>
      <w:pPr>
        <w:pStyle w:val="afffffffffffffffffffffffffffffffff1"/>
        <w:numPr>
          <w:ilvl w:val="0"/>
          <w:numId w:val="110"/>
        </w:numPr>
      </w:pPr>
      <w:r>
        <w:rPr>
          <w:rFonts w:hint="eastAsia"/>
        </w:rPr>
        <w:t>固定资产清理</w:t>
      </w:r>
    </w:p>
    <w:sdt>
      <w:sdtPr>
        <w:alias w:val="是否适用：固定资产清理[双击切换]"/>
        <w:tag w:val="_GBC_e3c92a1042004e36882d16145109bd0e"/>
        <w:id w:val="-1126313595"/>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p>
      <w:pPr>
        <w:pStyle w:val="afffffffffffffffffffffffffffffffff0"/>
        <w:numPr>
          <w:ilvl w:val="0"/>
          <w:numId w:val="103"/>
        </w:numPr>
        <w:tabs>
          <w:tab w:val="left" w:pos="504"/>
        </w:tabs>
        <w:rPr>
          <w:rFonts w:ascii="宋体" w:hAnsi="宋体"/>
          <w:szCs w:val="21"/>
        </w:rPr>
      </w:pPr>
      <w:r>
        <w:rPr>
          <w:rFonts w:ascii="宋体" w:hAnsi="宋体" w:hint="eastAsia"/>
          <w:szCs w:val="21"/>
        </w:rPr>
        <w:t>在建工程</w:t>
      </w:r>
      <w:bookmarkStart w:id="421" w:name="_Hlk532914352"/>
    </w:p>
    <w:p>
      <w:pPr>
        <w:pStyle w:val="afffffffffffffffffffffffffffffffff1"/>
        <w:numPr>
          <w:ilvl w:val="0"/>
          <w:numId w:val="111"/>
        </w:numPr>
        <w:rPr>
          <w:rFonts w:ascii="宋体" w:hAnsi="宋体"/>
          <w:szCs w:val="21"/>
        </w:rPr>
      </w:pPr>
      <w:r>
        <w:rPr>
          <w:rFonts w:hint="eastAsia"/>
        </w:rPr>
        <w:t>项目列示</w:t>
      </w:r>
    </w:p>
    <w:sdt>
      <w:sdtPr>
        <w:alias w:val="是否适用：在建工程分类列示[双击切换]"/>
        <w:tag w:val="_GBC_c1e2db0ea96a470497d3e7b3545f11ff"/>
        <w:id w:val="136448439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在建工程分类列示"/>
          <w:tag w:val="_GBC_c3fc0d9041a1447580d30c51269288ae"/>
          <w:id w:val="788792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在建工程分类列示"/>
          <w:tag w:val="_GBC_1bdb2a3deae044179993a80635469bb5"/>
          <w:id w:val="5107322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trPr>
          <w:cantSplit/>
        </w:trPr>
        <w:sdt>
          <w:sdtPr>
            <w:tag w:val="_PLD_e3fac3cdac65475ca8ba6bb772e3b841"/>
            <w:id w:val="1781368816"/>
          </w:sdtPr>
          <w:sdtContent>
            <w:tc>
              <w:tcPr>
                <w:tcW w:w="1764" w:type="pct"/>
                <w:vAlign w:val="center"/>
              </w:tcPr>
              <w:p>
                <w:pPr>
                  <w:jc w:val="center"/>
                  <w:rPr>
                    <w:szCs w:val="21"/>
                  </w:rPr>
                </w:pPr>
                <w:r>
                  <w:rPr>
                    <w:rFonts w:hint="eastAsia"/>
                    <w:szCs w:val="21"/>
                  </w:rPr>
                  <w:t>项目</w:t>
                </w:r>
              </w:p>
            </w:tc>
          </w:sdtContent>
        </w:sdt>
        <w:sdt>
          <w:sdtPr>
            <w:tag w:val="_PLD_4e98919cdcd84191b541b2ee895e77bf"/>
            <w:id w:val="1393704754"/>
          </w:sdtPr>
          <w:sdtContent>
            <w:tc>
              <w:tcPr>
                <w:tcW w:w="1622" w:type="pct"/>
                <w:vAlign w:val="center"/>
              </w:tcPr>
              <w:p>
                <w:pPr>
                  <w:jc w:val="center"/>
                  <w:rPr>
                    <w:szCs w:val="21"/>
                  </w:rPr>
                </w:pPr>
                <w:r>
                  <w:rPr>
                    <w:rFonts w:hint="eastAsia"/>
                    <w:szCs w:val="21"/>
                  </w:rPr>
                  <w:t>期末余额</w:t>
                </w:r>
              </w:p>
            </w:tc>
          </w:sdtContent>
        </w:sdt>
        <w:sdt>
          <w:sdtPr>
            <w:tag w:val="_PLD_4ce0928269bc47149a98320193bd0b0a"/>
            <w:id w:val="-1491857354"/>
          </w:sdtPr>
          <w:sdtContent>
            <w:tc>
              <w:tcPr>
                <w:tcW w:w="1614" w:type="pct"/>
                <w:vAlign w:val="center"/>
              </w:tcPr>
              <w:p>
                <w:pPr>
                  <w:jc w:val="center"/>
                  <w:rPr>
                    <w:szCs w:val="21"/>
                  </w:rPr>
                </w:pPr>
                <w:r>
                  <w:rPr>
                    <w:rFonts w:hint="eastAsia"/>
                    <w:szCs w:val="21"/>
                  </w:rPr>
                  <w:t>期初余额</w:t>
                </w:r>
              </w:p>
            </w:tc>
          </w:sdtContent>
        </w:sdt>
      </w:tr>
      <w:tr>
        <w:trPr>
          <w:cantSplit/>
        </w:trPr>
        <w:tc>
          <w:tcPr>
            <w:tcW w:w="1764" w:type="pct"/>
          </w:tcPr>
          <w:p>
            <w:pPr>
              <w:tabs>
                <w:tab w:val="right" w:pos="3690"/>
                <w:tab w:val="right" w:pos="5130"/>
                <w:tab w:val="right" w:pos="6030"/>
                <w:tab w:val="right" w:pos="7650"/>
                <w:tab w:val="right" w:pos="9270"/>
              </w:tabs>
              <w:adjustRightInd w:val="0"/>
              <w:snapToGrid w:val="0"/>
              <w:rPr>
                <w:szCs w:val="21"/>
              </w:rPr>
            </w:pPr>
            <w:r>
              <w:rPr>
                <w:rFonts w:hint="eastAsia"/>
                <w:szCs w:val="21"/>
              </w:rPr>
              <w:t>在建工程</w:t>
            </w:r>
          </w:p>
        </w:tc>
        <w:tc>
          <w:tcPr>
            <w:tcW w:w="1622" w:type="pct"/>
            <w:vAlign w:val="center"/>
          </w:tcPr>
          <w:p>
            <w:pPr>
              <w:pStyle w:val="affffffffffffffffffffffffffffffffe"/>
            </w:pPr>
            <w:r>
              <w:t>22,526,980</w:t>
            </w:r>
          </w:p>
        </w:tc>
        <w:tc>
          <w:tcPr>
            <w:tcW w:w="1614" w:type="pct"/>
            <w:vAlign w:val="center"/>
          </w:tcPr>
          <w:p>
            <w:pPr>
              <w:pStyle w:val="affffffffffffffffffffffffffffffffe"/>
            </w:pPr>
            <w:r>
              <w:t>20,204,957</w:t>
            </w:r>
          </w:p>
        </w:tc>
      </w:tr>
      <w:tr>
        <w:trPr>
          <w:cantSplit/>
        </w:trPr>
        <w:tc>
          <w:tcPr>
            <w:tcW w:w="1764" w:type="pct"/>
            <w:vAlign w:val="center"/>
          </w:tcPr>
          <w:p>
            <w:pPr>
              <w:autoSpaceDE w:val="0"/>
              <w:autoSpaceDN w:val="0"/>
              <w:adjustRightInd w:val="0"/>
              <w:jc w:val="center"/>
              <w:rPr>
                <w:szCs w:val="21"/>
              </w:rPr>
            </w:pPr>
            <w:r>
              <w:rPr>
                <w:rFonts w:hint="eastAsia"/>
                <w:szCs w:val="21"/>
              </w:rPr>
              <w:t>合计</w:t>
            </w:r>
          </w:p>
        </w:tc>
        <w:tc>
          <w:tcPr>
            <w:tcW w:w="1622" w:type="pct"/>
            <w:vAlign w:val="center"/>
          </w:tcPr>
          <w:p>
            <w:pPr>
              <w:pStyle w:val="affffffffffffffffffffffffffffffffe"/>
            </w:pPr>
            <w:r>
              <w:t>22,526,980</w:t>
            </w:r>
          </w:p>
        </w:tc>
        <w:tc>
          <w:tcPr>
            <w:tcW w:w="1614" w:type="pct"/>
            <w:vAlign w:val="center"/>
          </w:tcPr>
          <w:p>
            <w:pPr>
              <w:pStyle w:val="affffffffffffffffffffffffffffffffe"/>
            </w:pPr>
            <w:r>
              <w:t>20,204,957</w:t>
            </w:r>
          </w:p>
        </w:tc>
      </w:tr>
    </w:tbl>
    <w:p>
      <w:pPr>
        <w:pStyle w:val="affffffffffffffffffffffffffffffffe"/>
      </w:pPr>
    </w:p>
    <w:p>
      <w:pPr>
        <w:rPr>
          <w:szCs w:val="21"/>
        </w:rPr>
      </w:pPr>
      <w:bookmarkStart w:id="422" w:name="_Hlk532915382"/>
      <w:bookmarkEnd w:id="421"/>
      <w:r>
        <w:rPr>
          <w:rFonts w:hint="eastAsia"/>
          <w:szCs w:val="21"/>
        </w:rPr>
        <w:t>其他说明：</w:t>
      </w:r>
    </w:p>
    <w:sdt>
      <w:sdtPr>
        <w:rPr>
          <w:szCs w:val="21"/>
        </w:rPr>
        <w:alias w:val="是否适用：在建工程分类列示其他说明[双击切换]"/>
        <w:tag w:val="_GBC_97da24841dd24220bc5206311fc28039"/>
        <w:id w:val="81661502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22"/>
    <w:p>
      <w:pPr>
        <w:rPr>
          <w:szCs w:val="21"/>
        </w:rPr>
      </w:pPr>
    </w:p>
    <w:p>
      <w:pPr>
        <w:pStyle w:val="afffffffffffffffffffffffffffffffff1"/>
        <w:numPr>
          <w:ilvl w:val="0"/>
          <w:numId w:val="111"/>
        </w:numPr>
      </w:pPr>
      <w:r>
        <w:rPr>
          <w:rFonts w:hint="eastAsia"/>
        </w:rPr>
        <w:t>在建工程</w:t>
      </w:r>
    </w:p>
    <w:p>
      <w:pPr>
        <w:pStyle w:val="afffffffffffffffffffffffffffffffff2"/>
        <w:numPr>
          <w:ilvl w:val="0"/>
          <w:numId w:val="112"/>
        </w:numPr>
        <w:ind w:leftChars="0"/>
      </w:pPr>
      <w:r>
        <w:rPr>
          <w:rFonts w:hint="eastAsia"/>
        </w:rPr>
        <w:t>在建工程情况</w:t>
      </w:r>
    </w:p>
    <w:sdt>
      <w:sdtPr>
        <w:alias w:val="是否适用：在建工程情况[双击切换]"/>
        <w:tag w:val="_GBC_3d1e0f4f19d8472c9f5250b0ba025185"/>
        <w:id w:val="180349864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
          <w:tag w:val="_GBC_c20f70bc9d1e4476bd65c1988111664f"/>
          <w:id w:val="-7749409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在建工程"/>
          <w:tag w:val="_GBC_8057969f154445809d2bd47ba3a4ee1d"/>
          <w:id w:val="-16531322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5"/>
        <w:gridCol w:w="1371"/>
        <w:gridCol w:w="1024"/>
        <w:gridCol w:w="1339"/>
        <w:gridCol w:w="1266"/>
        <w:gridCol w:w="1161"/>
        <w:gridCol w:w="1266"/>
      </w:tblGrid>
      <w:tr>
        <w:trPr>
          <w:cantSplit/>
        </w:trPr>
        <w:sdt>
          <w:sdtPr>
            <w:tag w:val="_PLD_64c6d788b0564cf39dd83135bd94fa33"/>
            <w:id w:val="2012879357"/>
          </w:sdtPr>
          <w:sdtContent>
            <w:tc>
              <w:tcPr>
                <w:tcW w:w="925" w:type="pct"/>
                <w:vMerge w:val="restart"/>
                <w:vAlign w:val="center"/>
              </w:tcPr>
              <w:p>
                <w:pPr>
                  <w:jc w:val="center"/>
                  <w:rPr>
                    <w:szCs w:val="21"/>
                  </w:rPr>
                </w:pPr>
                <w:r>
                  <w:rPr>
                    <w:rFonts w:hint="eastAsia"/>
                    <w:szCs w:val="21"/>
                  </w:rPr>
                  <w:t>项目</w:t>
                </w:r>
              </w:p>
            </w:tc>
          </w:sdtContent>
        </w:sdt>
        <w:sdt>
          <w:sdtPr>
            <w:tag w:val="_PLD_0f8aeba685c643d8bbe995cb6221e768"/>
            <w:id w:val="964469836"/>
          </w:sdtPr>
          <w:sdtContent>
            <w:tc>
              <w:tcPr>
                <w:tcW w:w="2049" w:type="pct"/>
                <w:gridSpan w:val="3"/>
                <w:vAlign w:val="center"/>
              </w:tcPr>
              <w:p>
                <w:pPr>
                  <w:jc w:val="center"/>
                  <w:rPr>
                    <w:szCs w:val="21"/>
                  </w:rPr>
                </w:pPr>
                <w:r>
                  <w:rPr>
                    <w:rFonts w:hint="eastAsia"/>
                    <w:szCs w:val="21"/>
                  </w:rPr>
                  <w:t>期末余额</w:t>
                </w:r>
              </w:p>
            </w:tc>
          </w:sdtContent>
        </w:sdt>
        <w:sdt>
          <w:sdtPr>
            <w:tag w:val="_PLD_87e3270219434e9f8494ce0079d505fd"/>
            <w:id w:val="-1276403331"/>
          </w:sdtPr>
          <w:sdtContent>
            <w:tc>
              <w:tcPr>
                <w:tcW w:w="2026" w:type="pct"/>
                <w:gridSpan w:val="3"/>
                <w:vAlign w:val="center"/>
              </w:tcPr>
              <w:p>
                <w:pPr>
                  <w:jc w:val="center"/>
                  <w:rPr>
                    <w:szCs w:val="21"/>
                  </w:rPr>
                </w:pPr>
                <w:r>
                  <w:rPr>
                    <w:rFonts w:hint="eastAsia"/>
                    <w:szCs w:val="21"/>
                  </w:rPr>
                  <w:t>期初余额</w:t>
                </w:r>
              </w:p>
            </w:tc>
          </w:sdtContent>
        </w:sdt>
      </w:tr>
      <w:tr>
        <w:trPr>
          <w:cantSplit/>
        </w:trPr>
        <w:tc>
          <w:tcPr>
            <w:tcW w:w="925" w:type="pct"/>
            <w:vMerge/>
            <w:vAlign w:val="center"/>
          </w:tcPr>
          <w:p>
            <w:pPr>
              <w:tabs>
                <w:tab w:val="left" w:pos="420"/>
              </w:tabs>
              <w:ind w:left="420" w:hanging="420"/>
              <w:jc w:val="center"/>
              <w:rPr>
                <w:szCs w:val="21"/>
              </w:rPr>
            </w:pPr>
          </w:p>
        </w:tc>
        <w:sdt>
          <w:sdtPr>
            <w:tag w:val="_PLD_38fd2fe6396a41ae994e421a6ad8573a"/>
            <w:id w:val="-1823646026"/>
          </w:sdtPr>
          <w:sdtContent>
            <w:tc>
              <w:tcPr>
                <w:tcW w:w="752" w:type="pct"/>
                <w:vAlign w:val="center"/>
              </w:tcPr>
              <w:p>
                <w:pPr>
                  <w:tabs>
                    <w:tab w:val="left" w:pos="420"/>
                  </w:tabs>
                  <w:ind w:left="420" w:hanging="420"/>
                  <w:jc w:val="center"/>
                  <w:rPr>
                    <w:szCs w:val="21"/>
                  </w:rPr>
                </w:pPr>
                <w:r>
                  <w:rPr>
                    <w:rFonts w:hint="eastAsia"/>
                    <w:szCs w:val="21"/>
                  </w:rPr>
                  <w:t>账面余额</w:t>
                </w:r>
              </w:p>
            </w:tc>
          </w:sdtContent>
        </w:sdt>
        <w:sdt>
          <w:sdtPr>
            <w:tag w:val="_PLD_efb5f565ae7d43338576e6ba69d207b2"/>
            <w:id w:val="-1059401447"/>
          </w:sdtPr>
          <w:sdtContent>
            <w:tc>
              <w:tcPr>
                <w:tcW w:w="562" w:type="pct"/>
                <w:vAlign w:val="center"/>
              </w:tcPr>
              <w:p>
                <w:pPr>
                  <w:pStyle w:val="afffffffffffffffffffffffffffffffff9"/>
                  <w:spacing w:line="240" w:lineRule="auto"/>
                  <w:jc w:val="center"/>
                </w:pPr>
                <w:r>
                  <w:rPr>
                    <w:rFonts w:hint="eastAsia"/>
                  </w:rPr>
                  <w:t>减值准备</w:t>
                </w:r>
              </w:p>
            </w:tc>
          </w:sdtContent>
        </w:sdt>
        <w:sdt>
          <w:sdtPr>
            <w:tag w:val="_PLD_74e2fff2faeb4e10b56ba612a8b3b4e8"/>
            <w:id w:val="27450394"/>
          </w:sdtPr>
          <w:sdtContent>
            <w:tc>
              <w:tcPr>
                <w:tcW w:w="735" w:type="pct"/>
                <w:vAlign w:val="center"/>
              </w:tcPr>
              <w:p>
                <w:pPr>
                  <w:pStyle w:val="afffffffffffffffffffffffffffffffff9"/>
                  <w:spacing w:line="240" w:lineRule="auto"/>
                  <w:jc w:val="center"/>
                </w:pPr>
                <w:r>
                  <w:rPr>
                    <w:rFonts w:hint="eastAsia"/>
                  </w:rPr>
                  <w:t>账面价值</w:t>
                </w:r>
              </w:p>
            </w:tc>
          </w:sdtContent>
        </w:sdt>
        <w:sdt>
          <w:sdtPr>
            <w:tag w:val="_PLD_320b5c6e751a40cb8f8d6cb989669680"/>
            <w:id w:val="1182479173"/>
          </w:sdtPr>
          <w:sdtContent>
            <w:tc>
              <w:tcPr>
                <w:tcW w:w="695" w:type="pct"/>
                <w:vAlign w:val="center"/>
              </w:tcPr>
              <w:p>
                <w:pPr>
                  <w:tabs>
                    <w:tab w:val="left" w:pos="420"/>
                  </w:tabs>
                  <w:ind w:left="420" w:hanging="420"/>
                  <w:jc w:val="center"/>
                  <w:rPr>
                    <w:szCs w:val="21"/>
                  </w:rPr>
                </w:pPr>
                <w:r>
                  <w:rPr>
                    <w:rFonts w:hint="eastAsia"/>
                    <w:szCs w:val="21"/>
                  </w:rPr>
                  <w:t>账面余额</w:t>
                </w:r>
              </w:p>
            </w:tc>
          </w:sdtContent>
        </w:sdt>
        <w:sdt>
          <w:sdtPr>
            <w:tag w:val="_PLD_887f924a18a14763b7d38b336e4eca91"/>
            <w:id w:val="560060741"/>
          </w:sdtPr>
          <w:sdtContent>
            <w:tc>
              <w:tcPr>
                <w:tcW w:w="637" w:type="pct"/>
                <w:vAlign w:val="center"/>
              </w:tcPr>
              <w:p>
                <w:pPr>
                  <w:pStyle w:val="afffffffffffffffffffffffffffffffff9"/>
                  <w:spacing w:line="240" w:lineRule="auto"/>
                  <w:jc w:val="center"/>
                </w:pPr>
                <w:r>
                  <w:rPr>
                    <w:rFonts w:hint="eastAsia"/>
                  </w:rPr>
                  <w:t>减值准备</w:t>
                </w:r>
              </w:p>
            </w:tc>
          </w:sdtContent>
        </w:sdt>
        <w:sdt>
          <w:sdtPr>
            <w:tag w:val="_PLD_56d3163c60044998bf2f3d80a83c26a6"/>
            <w:id w:val="-1774084545"/>
          </w:sdtPr>
          <w:sdtContent>
            <w:tc>
              <w:tcPr>
                <w:tcW w:w="695" w:type="pct"/>
                <w:vAlign w:val="center"/>
              </w:tcPr>
              <w:p>
                <w:pPr>
                  <w:pStyle w:val="afffffffffffffffffffffffffffffffff9"/>
                  <w:spacing w:line="240" w:lineRule="auto"/>
                  <w:jc w:val="center"/>
                </w:pPr>
                <w:r>
                  <w:rPr>
                    <w:rFonts w:hint="eastAsia"/>
                  </w:rPr>
                  <w:t>账面价值</w:t>
                </w:r>
              </w:p>
            </w:tc>
          </w:sdtContent>
        </w:sdt>
      </w:tr>
      <w:tr>
        <w:trPr>
          <w:cantSplit/>
        </w:trPr>
        <w:tc>
          <w:tcPr>
            <w:tcW w:w="925" w:type="pct"/>
          </w:tcPr>
          <w:p>
            <w:pPr>
              <w:rPr>
                <w:szCs w:val="21"/>
              </w:rPr>
            </w:pPr>
            <w:r>
              <w:t>一、维简工程</w:t>
            </w:r>
          </w:p>
        </w:tc>
        <w:tc>
          <w:tcPr>
            <w:tcW w:w="752" w:type="pct"/>
            <w:vAlign w:val="center"/>
          </w:tcPr>
          <w:p>
            <w:pPr>
              <w:pStyle w:val="affffffffffffffffffffffffffffffffe"/>
              <w:jc w:val="right"/>
            </w:pPr>
            <w:r>
              <w:t>3,956,900</w:t>
            </w:r>
          </w:p>
        </w:tc>
        <w:tc>
          <w:tcPr>
            <w:tcW w:w="562" w:type="pct"/>
            <w:vAlign w:val="center"/>
          </w:tcPr>
          <w:p>
            <w:pPr>
              <w:pStyle w:val="affffffffffffffffffffffffffffffffe"/>
              <w:jc w:val="right"/>
            </w:pPr>
            <w:r>
              <w:t>44,358</w:t>
            </w:r>
          </w:p>
        </w:tc>
        <w:tc>
          <w:tcPr>
            <w:tcW w:w="735" w:type="pct"/>
            <w:vAlign w:val="center"/>
          </w:tcPr>
          <w:p>
            <w:pPr>
              <w:pStyle w:val="affffffffffffffffffffffffffffffffe"/>
              <w:jc w:val="right"/>
            </w:pPr>
            <w:r>
              <w:t>3,912,542</w:t>
            </w:r>
          </w:p>
        </w:tc>
        <w:tc>
          <w:tcPr>
            <w:tcW w:w="695" w:type="pct"/>
            <w:vAlign w:val="center"/>
          </w:tcPr>
          <w:p>
            <w:pPr>
              <w:pStyle w:val="affffffffffffffffffffffffffffffffe"/>
              <w:jc w:val="right"/>
            </w:pPr>
            <w:r>
              <w:t>2,984,866</w:t>
            </w:r>
          </w:p>
        </w:tc>
        <w:tc>
          <w:tcPr>
            <w:tcW w:w="637" w:type="pct"/>
            <w:vAlign w:val="center"/>
          </w:tcPr>
          <w:p>
            <w:pPr>
              <w:pStyle w:val="affffffffffffffffffffffffffffffffe"/>
              <w:jc w:val="right"/>
            </w:pPr>
            <w:r>
              <w:t>44,358</w:t>
            </w:r>
          </w:p>
        </w:tc>
        <w:tc>
          <w:tcPr>
            <w:tcW w:w="695" w:type="pct"/>
            <w:vAlign w:val="center"/>
          </w:tcPr>
          <w:p>
            <w:pPr>
              <w:pStyle w:val="affffffffffffffffffffffffffffffffe"/>
              <w:jc w:val="right"/>
            </w:pPr>
            <w:r>
              <w:t>2,940,508</w:t>
            </w:r>
          </w:p>
        </w:tc>
      </w:tr>
      <w:tr>
        <w:trPr>
          <w:cantSplit/>
        </w:trPr>
        <w:tc>
          <w:tcPr>
            <w:tcW w:w="925" w:type="pct"/>
          </w:tcPr>
          <w:p>
            <w:pPr>
              <w:rPr>
                <w:szCs w:val="21"/>
              </w:rPr>
            </w:pPr>
            <w:r>
              <w:t>二、技改工程</w:t>
            </w:r>
          </w:p>
        </w:tc>
        <w:tc>
          <w:tcPr>
            <w:tcW w:w="752" w:type="pct"/>
            <w:vAlign w:val="center"/>
          </w:tcPr>
          <w:p>
            <w:pPr>
              <w:pStyle w:val="affffffffffffffffffffffffffffffffe"/>
              <w:jc w:val="right"/>
            </w:pPr>
            <w:r>
              <w:t>448,104</w:t>
            </w:r>
          </w:p>
        </w:tc>
        <w:tc>
          <w:tcPr>
            <w:tcW w:w="562" w:type="pct"/>
            <w:vAlign w:val="center"/>
          </w:tcPr>
          <w:p>
            <w:pPr>
              <w:pStyle w:val="affffffffffffffffffffffffffffffffe"/>
              <w:jc w:val="right"/>
            </w:pPr>
          </w:p>
        </w:tc>
        <w:tc>
          <w:tcPr>
            <w:tcW w:w="735" w:type="pct"/>
            <w:vAlign w:val="center"/>
          </w:tcPr>
          <w:p>
            <w:pPr>
              <w:jc w:val="right"/>
              <w:rPr>
                <w:sz w:val="24"/>
              </w:rPr>
            </w:pPr>
            <w:r>
              <w:t>448,104</w:t>
            </w:r>
          </w:p>
        </w:tc>
        <w:tc>
          <w:tcPr>
            <w:tcW w:w="695" w:type="pct"/>
            <w:vAlign w:val="center"/>
          </w:tcPr>
          <w:p>
            <w:pPr>
              <w:pStyle w:val="affffffffffffffffffffffffffffffffe"/>
              <w:jc w:val="right"/>
            </w:pPr>
            <w:r>
              <w:t>768,909</w:t>
            </w:r>
          </w:p>
        </w:tc>
        <w:tc>
          <w:tcPr>
            <w:tcW w:w="637" w:type="pct"/>
            <w:vAlign w:val="center"/>
          </w:tcPr>
          <w:p>
            <w:pPr>
              <w:pStyle w:val="affffffffffffffffffffffffffffffffe"/>
              <w:jc w:val="right"/>
            </w:pPr>
          </w:p>
        </w:tc>
        <w:tc>
          <w:tcPr>
            <w:tcW w:w="695" w:type="pct"/>
            <w:vAlign w:val="center"/>
          </w:tcPr>
          <w:p>
            <w:pPr>
              <w:jc w:val="right"/>
              <w:rPr>
                <w:sz w:val="24"/>
              </w:rPr>
            </w:pPr>
            <w:r>
              <w:t>768,909</w:t>
            </w:r>
          </w:p>
        </w:tc>
      </w:tr>
      <w:tr>
        <w:trPr>
          <w:cantSplit/>
        </w:trPr>
        <w:tc>
          <w:tcPr>
            <w:tcW w:w="925" w:type="pct"/>
          </w:tcPr>
          <w:p>
            <w:pPr>
              <w:rPr>
                <w:szCs w:val="21"/>
              </w:rPr>
            </w:pPr>
            <w:r>
              <w:t>三、基建工程</w:t>
            </w:r>
          </w:p>
        </w:tc>
        <w:tc>
          <w:tcPr>
            <w:tcW w:w="752" w:type="pct"/>
            <w:vAlign w:val="center"/>
          </w:tcPr>
          <w:p>
            <w:pPr>
              <w:pStyle w:val="affffffffffffffffffffffffffffffffe"/>
              <w:jc w:val="right"/>
            </w:pPr>
            <w:r>
              <w:t>16,963,733</w:t>
            </w:r>
          </w:p>
        </w:tc>
        <w:tc>
          <w:tcPr>
            <w:tcW w:w="562" w:type="pct"/>
            <w:vAlign w:val="center"/>
          </w:tcPr>
          <w:p>
            <w:pPr>
              <w:pStyle w:val="affffffffffffffffffffffffffffffffe"/>
              <w:jc w:val="right"/>
            </w:pPr>
            <w:r>
              <w:t>23,120</w:t>
            </w:r>
          </w:p>
        </w:tc>
        <w:tc>
          <w:tcPr>
            <w:tcW w:w="735" w:type="pct"/>
            <w:vAlign w:val="center"/>
          </w:tcPr>
          <w:p>
            <w:pPr>
              <w:pStyle w:val="affffffffffffffffffffffffffffffffe"/>
              <w:jc w:val="right"/>
            </w:pPr>
            <w:r>
              <w:t>16,940,613</w:t>
            </w:r>
          </w:p>
        </w:tc>
        <w:tc>
          <w:tcPr>
            <w:tcW w:w="695" w:type="pct"/>
            <w:vAlign w:val="center"/>
          </w:tcPr>
          <w:p>
            <w:pPr>
              <w:pStyle w:val="affffffffffffffffffffffffffffffffe"/>
              <w:jc w:val="right"/>
            </w:pPr>
            <w:r>
              <w:t>16,429,645</w:t>
            </w:r>
          </w:p>
        </w:tc>
        <w:tc>
          <w:tcPr>
            <w:tcW w:w="637" w:type="pct"/>
            <w:vAlign w:val="center"/>
          </w:tcPr>
          <w:p>
            <w:pPr>
              <w:pStyle w:val="affffffffffffffffffffffffffffffffe"/>
              <w:jc w:val="right"/>
            </w:pPr>
            <w:r>
              <w:t>821,508</w:t>
            </w:r>
          </w:p>
        </w:tc>
        <w:tc>
          <w:tcPr>
            <w:tcW w:w="695" w:type="pct"/>
            <w:vAlign w:val="center"/>
          </w:tcPr>
          <w:p>
            <w:pPr>
              <w:pStyle w:val="affffffffffffffffffffffffffffffffe"/>
              <w:jc w:val="right"/>
            </w:pPr>
            <w:r>
              <w:t>15,608,137</w:t>
            </w:r>
          </w:p>
        </w:tc>
      </w:tr>
      <w:tr>
        <w:trPr>
          <w:cantSplit/>
        </w:trPr>
        <w:tc>
          <w:tcPr>
            <w:tcW w:w="925" w:type="pct"/>
          </w:tcPr>
          <w:p>
            <w:pPr>
              <w:rPr>
                <w:szCs w:val="21"/>
              </w:rPr>
            </w:pPr>
            <w:r>
              <w:t>四、安全工程</w:t>
            </w:r>
          </w:p>
        </w:tc>
        <w:tc>
          <w:tcPr>
            <w:tcW w:w="752" w:type="pct"/>
            <w:vAlign w:val="center"/>
          </w:tcPr>
          <w:p>
            <w:pPr>
              <w:pStyle w:val="affffffffffffffffffffffffffffffffe"/>
              <w:jc w:val="right"/>
            </w:pPr>
            <w:r>
              <w:t>756,210</w:t>
            </w:r>
          </w:p>
        </w:tc>
        <w:tc>
          <w:tcPr>
            <w:tcW w:w="562" w:type="pct"/>
            <w:vAlign w:val="center"/>
          </w:tcPr>
          <w:p>
            <w:pPr>
              <w:pStyle w:val="affffffffffffffffffffffffffffffffe"/>
              <w:jc w:val="right"/>
            </w:pPr>
          </w:p>
        </w:tc>
        <w:tc>
          <w:tcPr>
            <w:tcW w:w="735" w:type="pct"/>
            <w:vAlign w:val="center"/>
          </w:tcPr>
          <w:p>
            <w:pPr>
              <w:jc w:val="right"/>
              <w:rPr>
                <w:sz w:val="24"/>
              </w:rPr>
            </w:pPr>
            <w:r>
              <w:t>756,210</w:t>
            </w:r>
          </w:p>
        </w:tc>
        <w:tc>
          <w:tcPr>
            <w:tcW w:w="695" w:type="pct"/>
            <w:vAlign w:val="center"/>
          </w:tcPr>
          <w:p>
            <w:pPr>
              <w:pStyle w:val="affffffffffffffffffffffffffffffffe"/>
              <w:jc w:val="right"/>
            </w:pPr>
            <w:r>
              <w:t>316,823</w:t>
            </w:r>
          </w:p>
        </w:tc>
        <w:tc>
          <w:tcPr>
            <w:tcW w:w="637" w:type="pct"/>
            <w:vAlign w:val="center"/>
          </w:tcPr>
          <w:p>
            <w:pPr>
              <w:pStyle w:val="affffffffffffffffffffffffffffffffe"/>
              <w:jc w:val="right"/>
            </w:pPr>
          </w:p>
        </w:tc>
        <w:tc>
          <w:tcPr>
            <w:tcW w:w="695" w:type="pct"/>
            <w:vAlign w:val="center"/>
          </w:tcPr>
          <w:p>
            <w:pPr>
              <w:jc w:val="right"/>
              <w:rPr>
                <w:sz w:val="24"/>
              </w:rPr>
            </w:pPr>
            <w:r>
              <w:t>316,823</w:t>
            </w:r>
          </w:p>
        </w:tc>
      </w:tr>
      <w:tr>
        <w:trPr>
          <w:cantSplit/>
        </w:trPr>
        <w:tc>
          <w:tcPr>
            <w:tcW w:w="925" w:type="pct"/>
          </w:tcPr>
          <w:p>
            <w:pPr>
              <w:rPr>
                <w:szCs w:val="21"/>
              </w:rPr>
            </w:pPr>
            <w:r>
              <w:t>五、勘探工程</w:t>
            </w:r>
          </w:p>
        </w:tc>
        <w:tc>
          <w:tcPr>
            <w:tcW w:w="752" w:type="pct"/>
            <w:vAlign w:val="center"/>
          </w:tcPr>
          <w:p>
            <w:pPr>
              <w:pStyle w:val="affffffffffffffffffffffffffffffffe"/>
              <w:jc w:val="right"/>
            </w:pPr>
            <w:r>
              <w:t>1,097,497</w:t>
            </w:r>
          </w:p>
        </w:tc>
        <w:tc>
          <w:tcPr>
            <w:tcW w:w="562" w:type="pct"/>
            <w:vAlign w:val="center"/>
          </w:tcPr>
          <w:p>
            <w:pPr>
              <w:pStyle w:val="affffffffffffffffffffffffffffffffe"/>
              <w:jc w:val="right"/>
            </w:pPr>
            <w:r>
              <w:t>633,578</w:t>
            </w:r>
          </w:p>
        </w:tc>
        <w:tc>
          <w:tcPr>
            <w:tcW w:w="735" w:type="pct"/>
            <w:vAlign w:val="center"/>
          </w:tcPr>
          <w:p>
            <w:pPr>
              <w:pStyle w:val="affffffffffffffffffffffffffffffffe"/>
              <w:jc w:val="right"/>
            </w:pPr>
            <w:r>
              <w:t>463,919</w:t>
            </w:r>
          </w:p>
        </w:tc>
        <w:tc>
          <w:tcPr>
            <w:tcW w:w="695" w:type="pct"/>
            <w:vAlign w:val="center"/>
          </w:tcPr>
          <w:p>
            <w:pPr>
              <w:pStyle w:val="affffffffffffffffffffffffffffffffe"/>
              <w:jc w:val="right"/>
            </w:pPr>
            <w:r>
              <w:t>1,133,563</w:t>
            </w:r>
          </w:p>
        </w:tc>
        <w:tc>
          <w:tcPr>
            <w:tcW w:w="637" w:type="pct"/>
            <w:vAlign w:val="center"/>
          </w:tcPr>
          <w:p>
            <w:pPr>
              <w:pStyle w:val="affffffffffffffffffffffffffffffffe"/>
              <w:jc w:val="right"/>
            </w:pPr>
            <w:r>
              <w:t>681,624</w:t>
            </w:r>
          </w:p>
        </w:tc>
        <w:tc>
          <w:tcPr>
            <w:tcW w:w="695" w:type="pct"/>
            <w:vAlign w:val="center"/>
          </w:tcPr>
          <w:p>
            <w:pPr>
              <w:pStyle w:val="affffffffffffffffffffffffffffffffe"/>
              <w:jc w:val="right"/>
            </w:pPr>
            <w:r>
              <w:t>451,939</w:t>
            </w:r>
          </w:p>
        </w:tc>
      </w:tr>
      <w:tr>
        <w:trPr>
          <w:cantSplit/>
        </w:trPr>
        <w:tc>
          <w:tcPr>
            <w:tcW w:w="925" w:type="pct"/>
          </w:tcPr>
          <w:p>
            <w:pPr>
              <w:rPr>
                <w:szCs w:val="21"/>
              </w:rPr>
            </w:pPr>
            <w:r>
              <w:t>六、科技工程</w:t>
            </w:r>
          </w:p>
        </w:tc>
        <w:tc>
          <w:tcPr>
            <w:tcW w:w="752" w:type="pct"/>
            <w:vAlign w:val="center"/>
          </w:tcPr>
          <w:p>
            <w:pPr>
              <w:pStyle w:val="affffffffffffffffffffffffffffffffe"/>
              <w:jc w:val="right"/>
            </w:pPr>
            <w:r>
              <w:t>2,929</w:t>
            </w:r>
          </w:p>
        </w:tc>
        <w:tc>
          <w:tcPr>
            <w:tcW w:w="562" w:type="pct"/>
            <w:vAlign w:val="center"/>
          </w:tcPr>
          <w:p>
            <w:pPr>
              <w:pStyle w:val="affffffffffffffffffffffffffffffffe"/>
              <w:jc w:val="right"/>
            </w:pPr>
          </w:p>
        </w:tc>
        <w:tc>
          <w:tcPr>
            <w:tcW w:w="735" w:type="pct"/>
            <w:vAlign w:val="center"/>
          </w:tcPr>
          <w:p>
            <w:pPr>
              <w:jc w:val="right"/>
              <w:rPr>
                <w:sz w:val="24"/>
              </w:rPr>
            </w:pPr>
            <w:r>
              <w:t>2,929</w:t>
            </w:r>
          </w:p>
        </w:tc>
        <w:tc>
          <w:tcPr>
            <w:tcW w:w="695" w:type="pct"/>
            <w:vAlign w:val="center"/>
          </w:tcPr>
          <w:p>
            <w:pPr>
              <w:pStyle w:val="affffffffffffffffffffffffffffffffe"/>
              <w:jc w:val="right"/>
            </w:pPr>
            <w:r>
              <w:t>6,324</w:t>
            </w:r>
          </w:p>
        </w:tc>
        <w:tc>
          <w:tcPr>
            <w:tcW w:w="637" w:type="pct"/>
            <w:vAlign w:val="center"/>
          </w:tcPr>
          <w:p>
            <w:pPr>
              <w:pStyle w:val="affffffffffffffffffffffffffffffffe"/>
              <w:jc w:val="right"/>
            </w:pPr>
          </w:p>
        </w:tc>
        <w:tc>
          <w:tcPr>
            <w:tcW w:w="695" w:type="pct"/>
            <w:vAlign w:val="center"/>
          </w:tcPr>
          <w:p>
            <w:pPr>
              <w:jc w:val="right"/>
              <w:rPr>
                <w:sz w:val="24"/>
              </w:rPr>
            </w:pPr>
            <w:r>
              <w:t>6,324</w:t>
            </w:r>
          </w:p>
        </w:tc>
      </w:tr>
      <w:tr>
        <w:trPr>
          <w:cantSplit/>
        </w:trPr>
        <w:tc>
          <w:tcPr>
            <w:tcW w:w="925" w:type="pct"/>
          </w:tcPr>
          <w:p>
            <w:pPr>
              <w:rPr>
                <w:szCs w:val="21"/>
              </w:rPr>
            </w:pPr>
            <w:r>
              <w:t>七、修理工程</w:t>
            </w:r>
          </w:p>
        </w:tc>
        <w:tc>
          <w:tcPr>
            <w:tcW w:w="752" w:type="pct"/>
            <w:vAlign w:val="center"/>
          </w:tcPr>
          <w:p>
            <w:pPr>
              <w:pStyle w:val="affffffffffffffffffffffffffffffffe"/>
              <w:jc w:val="right"/>
            </w:pPr>
            <w:r>
              <w:t>3,157</w:t>
            </w:r>
          </w:p>
        </w:tc>
        <w:tc>
          <w:tcPr>
            <w:tcW w:w="562" w:type="pct"/>
            <w:vAlign w:val="center"/>
          </w:tcPr>
          <w:p>
            <w:pPr>
              <w:pStyle w:val="affffffffffffffffffffffffffffffffe"/>
              <w:jc w:val="right"/>
            </w:pPr>
            <w:r>
              <w:t>494</w:t>
            </w:r>
          </w:p>
        </w:tc>
        <w:tc>
          <w:tcPr>
            <w:tcW w:w="735" w:type="pct"/>
            <w:vAlign w:val="center"/>
          </w:tcPr>
          <w:p>
            <w:pPr>
              <w:pStyle w:val="affffffffffffffffffffffffffffffffe"/>
              <w:jc w:val="right"/>
            </w:pPr>
            <w:r>
              <w:t>2,663</w:t>
            </w:r>
          </w:p>
        </w:tc>
        <w:tc>
          <w:tcPr>
            <w:tcW w:w="695" w:type="pct"/>
            <w:vAlign w:val="center"/>
          </w:tcPr>
          <w:p>
            <w:pPr>
              <w:pStyle w:val="affffffffffffffffffffffffffffffffe"/>
              <w:jc w:val="right"/>
            </w:pPr>
            <w:r>
              <w:t>112,811</w:t>
            </w:r>
          </w:p>
        </w:tc>
        <w:tc>
          <w:tcPr>
            <w:tcW w:w="637" w:type="pct"/>
            <w:vAlign w:val="center"/>
          </w:tcPr>
          <w:p>
            <w:pPr>
              <w:pStyle w:val="affffffffffffffffffffffffffffffffe"/>
              <w:jc w:val="right"/>
            </w:pPr>
            <w:r>
              <w:t>494</w:t>
            </w:r>
          </w:p>
        </w:tc>
        <w:tc>
          <w:tcPr>
            <w:tcW w:w="695" w:type="pct"/>
            <w:vAlign w:val="center"/>
          </w:tcPr>
          <w:p>
            <w:pPr>
              <w:pStyle w:val="affffffffffffffffffffffffffffffffe"/>
              <w:jc w:val="right"/>
            </w:pPr>
            <w:r>
              <w:t>112,317</w:t>
            </w:r>
          </w:p>
        </w:tc>
      </w:tr>
      <w:tr>
        <w:trPr>
          <w:cantSplit/>
        </w:trPr>
        <w:tc>
          <w:tcPr>
            <w:tcW w:w="925" w:type="pct"/>
            <w:vAlign w:val="center"/>
          </w:tcPr>
          <w:p>
            <w:pPr>
              <w:jc w:val="center"/>
              <w:rPr>
                <w:szCs w:val="21"/>
              </w:rPr>
            </w:pPr>
            <w:r>
              <w:rPr>
                <w:rFonts w:hint="eastAsia"/>
                <w:szCs w:val="21"/>
              </w:rPr>
              <w:t>合计</w:t>
            </w:r>
          </w:p>
        </w:tc>
        <w:tc>
          <w:tcPr>
            <w:tcW w:w="752" w:type="pct"/>
            <w:vAlign w:val="center"/>
          </w:tcPr>
          <w:p>
            <w:pPr>
              <w:ind w:right="105"/>
              <w:jc w:val="right"/>
              <w:rPr>
                <w:szCs w:val="21"/>
              </w:rPr>
            </w:pPr>
            <w:r>
              <w:rPr>
                <w:szCs w:val="21"/>
              </w:rPr>
              <w:t>23,228,530</w:t>
            </w:r>
          </w:p>
        </w:tc>
        <w:tc>
          <w:tcPr>
            <w:tcW w:w="562" w:type="pct"/>
            <w:vAlign w:val="center"/>
          </w:tcPr>
          <w:p>
            <w:pPr>
              <w:ind w:right="73"/>
              <w:jc w:val="right"/>
              <w:rPr>
                <w:szCs w:val="21"/>
              </w:rPr>
            </w:pPr>
            <w:r>
              <w:rPr>
                <w:szCs w:val="21"/>
              </w:rPr>
              <w:t>701,550</w:t>
            </w:r>
          </w:p>
        </w:tc>
        <w:tc>
          <w:tcPr>
            <w:tcW w:w="735" w:type="pct"/>
            <w:vAlign w:val="center"/>
          </w:tcPr>
          <w:p>
            <w:pPr>
              <w:ind w:right="73"/>
              <w:jc w:val="right"/>
              <w:rPr>
                <w:szCs w:val="21"/>
              </w:rPr>
            </w:pPr>
            <w:r>
              <w:rPr>
                <w:szCs w:val="21"/>
              </w:rPr>
              <w:t>22,526,980</w:t>
            </w:r>
          </w:p>
        </w:tc>
        <w:tc>
          <w:tcPr>
            <w:tcW w:w="695" w:type="pct"/>
            <w:vAlign w:val="center"/>
          </w:tcPr>
          <w:p>
            <w:pPr>
              <w:jc w:val="right"/>
              <w:rPr>
                <w:szCs w:val="21"/>
              </w:rPr>
            </w:pPr>
            <w:r>
              <w:rPr>
                <w:szCs w:val="21"/>
              </w:rPr>
              <w:t>21,752,941</w:t>
            </w:r>
          </w:p>
        </w:tc>
        <w:tc>
          <w:tcPr>
            <w:tcW w:w="637" w:type="pct"/>
            <w:vAlign w:val="center"/>
          </w:tcPr>
          <w:p>
            <w:pPr>
              <w:jc w:val="right"/>
              <w:rPr>
                <w:szCs w:val="21"/>
              </w:rPr>
            </w:pPr>
            <w:r>
              <w:rPr>
                <w:szCs w:val="21"/>
              </w:rPr>
              <w:t>1,547,984</w:t>
            </w:r>
          </w:p>
        </w:tc>
        <w:tc>
          <w:tcPr>
            <w:tcW w:w="695" w:type="pct"/>
            <w:vAlign w:val="center"/>
          </w:tcPr>
          <w:p>
            <w:pPr>
              <w:jc w:val="right"/>
              <w:rPr>
                <w:szCs w:val="21"/>
              </w:rPr>
            </w:pPr>
            <w:r>
              <w:rPr>
                <w:szCs w:val="21"/>
              </w:rPr>
              <w:t>20,204,957</w:t>
            </w:r>
          </w:p>
        </w:tc>
      </w:tr>
    </w:tbl>
    <w:p>
      <w:pPr>
        <w:pStyle w:val="affffffffffffffffffffffffffffffffe"/>
      </w:pPr>
    </w:p>
    <w:p>
      <w:pPr>
        <w:pStyle w:val="afffffffffffffffffffffffffffffffff2"/>
        <w:numPr>
          <w:ilvl w:val="0"/>
          <w:numId w:val="112"/>
        </w:numPr>
        <w:ind w:leftChars="0"/>
        <w:rPr>
          <w:rFonts w:ascii="宋体" w:hAnsi="宋体" w:cs="宋体"/>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89478676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5926714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在建工程项目变动情况"/>
          <w:tag w:val="_GBC_110e0fe0dd4f471bae83a62e58e88d74"/>
          <w:id w:val="20217411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p>
      <w:pPr>
        <w:rPr>
          <w:szCs w:val="21"/>
        </w:rPr>
      </w:pPr>
    </w:p>
    <w:p>
      <w:pPr>
        <w:rPr>
          <w:szCs w:val="21"/>
        </w:rPr>
      </w:pPr>
    </w:p>
    <w:p>
      <w:pPr>
        <w:rPr>
          <w:szCs w:val="21"/>
        </w:rPr>
        <w:sectPr>
          <w:pgSz w:w="11906" w:h="16838"/>
          <w:pgMar w:top="1440" w:right="1797" w:bottom="1525" w:left="1276" w:header="856" w:footer="992" w:gutter="0"/>
          <w:cols w:space="425"/>
          <w:docGrid w:linePitch="312"/>
        </w:sectPr>
      </w:pPr>
    </w:p>
    <w:p>
      <w:pPr>
        <w:rPr>
          <w:szCs w:val="21"/>
        </w:rPr>
      </w:pPr>
    </w:p>
    <w:tbl>
      <w:tblPr>
        <w:tblStyle w:val="affffffffff8"/>
        <w:tblW w:w="5675"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1406"/>
        <w:gridCol w:w="1404"/>
        <w:gridCol w:w="1290"/>
        <w:gridCol w:w="1290"/>
        <w:gridCol w:w="494"/>
        <w:gridCol w:w="1064"/>
        <w:gridCol w:w="1407"/>
        <w:gridCol w:w="607"/>
        <w:gridCol w:w="607"/>
        <w:gridCol w:w="1161"/>
        <w:gridCol w:w="951"/>
        <w:gridCol w:w="741"/>
        <w:gridCol w:w="1366"/>
      </w:tblGrid>
      <w:tr>
        <w:trPr>
          <w:cantSplit/>
        </w:trPr>
        <w:sdt>
          <w:sdtPr>
            <w:tag w:val="_PLD_0072ffbc51294cefbe17dde844d0e5ed"/>
            <w:id w:val="-229154738"/>
          </w:sdtPr>
          <w:sdtContent>
            <w:tc>
              <w:tcPr>
                <w:tcW w:w="619" w:type="pct"/>
                <w:shd w:val="clear" w:color="auto" w:fill="auto"/>
                <w:vAlign w:val="center"/>
              </w:tcPr>
              <w:p>
                <w:pPr>
                  <w:jc w:val="center"/>
                  <w:rPr>
                    <w:szCs w:val="21"/>
                  </w:rPr>
                </w:pPr>
                <w:r>
                  <w:rPr>
                    <w:rFonts w:hint="eastAsia"/>
                    <w:szCs w:val="21"/>
                  </w:rPr>
                  <w:t>项目名称</w:t>
                </w:r>
              </w:p>
            </w:tc>
          </w:sdtContent>
        </w:sdt>
        <w:sdt>
          <w:sdtPr>
            <w:tag w:val="_PLD_6349ea6a696f4d27b00b071275a38ea5"/>
            <w:id w:val="-159853097"/>
          </w:sdtPr>
          <w:sdtContent>
            <w:tc>
              <w:tcPr>
                <w:tcW w:w="447" w:type="pct"/>
                <w:shd w:val="clear" w:color="auto" w:fill="auto"/>
                <w:vAlign w:val="center"/>
              </w:tcPr>
              <w:p>
                <w:pPr>
                  <w:jc w:val="center"/>
                  <w:rPr>
                    <w:szCs w:val="21"/>
                  </w:rPr>
                </w:pPr>
                <w:r>
                  <w:rPr>
                    <w:rFonts w:hint="eastAsia"/>
                    <w:szCs w:val="21"/>
                  </w:rPr>
                  <w:t>预算数</w:t>
                </w:r>
              </w:p>
            </w:tc>
          </w:sdtContent>
        </w:sdt>
        <w:sdt>
          <w:sdtPr>
            <w:tag w:val="_PLD_392420deb7e94f0a8026947a325da4f4"/>
            <w:id w:val="-26180549"/>
          </w:sdtPr>
          <w:sdtContent>
            <w:tc>
              <w:tcPr>
                <w:tcW w:w="446" w:type="pct"/>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de4faed3465b4da6b8ac35d7e677431c"/>
            <w:id w:val="902649178"/>
          </w:sdtPr>
          <w:sdtContent>
            <w:tc>
              <w:tcPr>
                <w:tcW w:w="410" w:type="pct"/>
                <w:shd w:val="clear" w:color="auto" w:fill="auto"/>
                <w:vAlign w:val="center"/>
              </w:tcPr>
              <w:p>
                <w:pPr>
                  <w:jc w:val="center"/>
                  <w:rPr>
                    <w:szCs w:val="21"/>
                  </w:rPr>
                </w:pPr>
                <w:r>
                  <w:rPr>
                    <w:rFonts w:hint="eastAsia"/>
                    <w:szCs w:val="21"/>
                  </w:rPr>
                  <w:t>本期增加金额</w:t>
                </w:r>
              </w:p>
            </w:tc>
          </w:sdtContent>
        </w:sdt>
        <w:sdt>
          <w:sdtPr>
            <w:tag w:val="_PLD_51ce4224316b4f4b99a8fb0c8e4500a5"/>
            <w:id w:val="-1359268487"/>
          </w:sdtPr>
          <w:sdtContent>
            <w:tc>
              <w:tcPr>
                <w:tcW w:w="410" w:type="pct"/>
                <w:shd w:val="clear" w:color="auto" w:fill="auto"/>
                <w:vAlign w:val="center"/>
              </w:tcPr>
              <w:p>
                <w:pPr>
                  <w:jc w:val="center"/>
                  <w:rPr>
                    <w:szCs w:val="21"/>
                  </w:rPr>
                </w:pPr>
                <w:r>
                  <w:rPr>
                    <w:rFonts w:hint="eastAsia"/>
                    <w:szCs w:val="21"/>
                  </w:rPr>
                  <w:t>本期转入固定资产金额</w:t>
                </w:r>
              </w:p>
            </w:tc>
          </w:sdtContent>
        </w:sdt>
        <w:sdt>
          <w:sdtPr>
            <w:tag w:val="_PLD_d80ffbe10b944f57a31723041ffbcbdf"/>
            <w:id w:val="-1382005180"/>
          </w:sdtPr>
          <w:sdtContent>
            <w:tc>
              <w:tcPr>
                <w:tcW w:w="157" w:type="pct"/>
                <w:shd w:val="clear" w:color="auto" w:fill="auto"/>
                <w:vAlign w:val="center"/>
              </w:tcPr>
              <w:p>
                <w:pPr>
                  <w:jc w:val="center"/>
                  <w:rPr>
                    <w:szCs w:val="21"/>
                  </w:rPr>
                </w:pPr>
                <w:r>
                  <w:rPr>
                    <w:rFonts w:hint="eastAsia"/>
                    <w:szCs w:val="21"/>
                  </w:rPr>
                  <w:t>本期其他减少金额</w:t>
                </w:r>
              </w:p>
            </w:tc>
          </w:sdtContent>
        </w:sdt>
        <w:tc>
          <w:tcPr>
            <w:tcW w:w="338" w:type="pct"/>
            <w:vAlign w:val="center"/>
          </w:tcPr>
          <w:p>
            <w:pPr>
              <w:jc w:val="center"/>
            </w:pPr>
            <w:r>
              <w:rPr>
                <w:rFonts w:hint="eastAsia"/>
              </w:rPr>
              <w:t>外币报表折算</w:t>
            </w:r>
          </w:p>
        </w:tc>
        <w:sdt>
          <w:sdtPr>
            <w:tag w:val="_PLD_c8b617c64ad64a03834695d9bc0b8d2f"/>
            <w:id w:val="-7687334"/>
          </w:sdtPr>
          <w:sdtContent>
            <w:tc>
              <w:tcPr>
                <w:tcW w:w="447" w:type="pct"/>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38551d97ef741f093f852402c423e47"/>
            <w:id w:val="-307712990"/>
          </w:sdtPr>
          <w:sdtContent>
            <w:tc>
              <w:tcPr>
                <w:tcW w:w="193" w:type="pct"/>
                <w:shd w:val="clear" w:color="auto" w:fill="auto"/>
                <w:vAlign w:val="center"/>
              </w:tcPr>
              <w:p>
                <w:pPr>
                  <w:jc w:val="center"/>
                  <w:rPr>
                    <w:szCs w:val="21"/>
                  </w:rPr>
                </w:pPr>
                <w:r>
                  <w:rPr>
                    <w:rFonts w:hint="eastAsia"/>
                    <w:szCs w:val="21"/>
                  </w:rPr>
                  <w:t>工程累计投入占预算比例(%)</w:t>
                </w:r>
              </w:p>
            </w:tc>
          </w:sdtContent>
        </w:sdt>
        <w:sdt>
          <w:sdtPr>
            <w:tag w:val="_PLD_0f7f749f98e74f33ae9032c17002d136"/>
            <w:id w:val="-414243880"/>
          </w:sdtPr>
          <w:sdtContent>
            <w:tc>
              <w:tcPr>
                <w:tcW w:w="193" w:type="pct"/>
                <w:shd w:val="clear" w:color="auto" w:fill="auto"/>
                <w:vAlign w:val="center"/>
              </w:tcPr>
              <w:p>
                <w:pPr>
                  <w:jc w:val="center"/>
                  <w:rPr>
                    <w:szCs w:val="21"/>
                  </w:rPr>
                </w:pPr>
                <w:r>
                  <w:rPr>
                    <w:rFonts w:hint="eastAsia"/>
                    <w:szCs w:val="21"/>
                  </w:rPr>
                  <w:t>工程进度</w:t>
                </w:r>
              </w:p>
            </w:tc>
          </w:sdtContent>
        </w:sdt>
        <w:sdt>
          <w:sdtPr>
            <w:tag w:val="_PLD_0b58d44121d2475586a13d1ce8eaed0a"/>
            <w:id w:val="1471715092"/>
          </w:sdtPr>
          <w:sdtContent>
            <w:tc>
              <w:tcPr>
                <w:tcW w:w="369" w:type="pct"/>
                <w:shd w:val="clear" w:color="auto" w:fill="auto"/>
                <w:vAlign w:val="center"/>
              </w:tcPr>
              <w:p>
                <w:pPr>
                  <w:jc w:val="center"/>
                  <w:rPr>
                    <w:szCs w:val="21"/>
                  </w:rPr>
                </w:pPr>
                <w:r>
                  <w:rPr>
                    <w:rFonts w:hint="eastAsia"/>
                    <w:szCs w:val="21"/>
                  </w:rPr>
                  <w:t>利息资本化累计金额</w:t>
                </w:r>
              </w:p>
            </w:tc>
          </w:sdtContent>
        </w:sdt>
        <w:sdt>
          <w:sdtPr>
            <w:tag w:val="_PLD_2250f692e957437687c2cafcae1d7f81"/>
            <w:id w:val="969479915"/>
          </w:sdtPr>
          <w:sdtContent>
            <w:tc>
              <w:tcPr>
                <w:tcW w:w="302" w:type="pct"/>
                <w:shd w:val="clear" w:color="auto" w:fill="auto"/>
                <w:vAlign w:val="center"/>
              </w:tcPr>
              <w:p>
                <w:pPr>
                  <w:jc w:val="center"/>
                  <w:rPr>
                    <w:szCs w:val="21"/>
                  </w:rPr>
                </w:pPr>
                <w:r>
                  <w:rPr>
                    <w:rFonts w:hint="eastAsia"/>
                    <w:szCs w:val="21"/>
                  </w:rPr>
                  <w:t>其中：本期利息资本化金额</w:t>
                </w:r>
              </w:p>
            </w:tc>
          </w:sdtContent>
        </w:sdt>
        <w:sdt>
          <w:sdtPr>
            <w:tag w:val="_PLD_7a9834f354d948e19f071bbf4b5baafe"/>
            <w:id w:val="2074460437"/>
          </w:sdtPr>
          <w:sdtContent>
            <w:tc>
              <w:tcPr>
                <w:tcW w:w="235" w:type="pct"/>
                <w:shd w:val="clear" w:color="auto" w:fill="auto"/>
                <w:vAlign w:val="center"/>
              </w:tcPr>
              <w:p>
                <w:pPr>
                  <w:jc w:val="center"/>
                  <w:rPr>
                    <w:szCs w:val="21"/>
                  </w:rPr>
                </w:pPr>
                <w:r>
                  <w:rPr>
                    <w:rFonts w:hint="eastAsia"/>
                    <w:szCs w:val="21"/>
                  </w:rPr>
                  <w:t>本期利息资本化率(%)</w:t>
                </w:r>
              </w:p>
            </w:tc>
          </w:sdtContent>
        </w:sdt>
        <w:sdt>
          <w:sdtPr>
            <w:tag w:val="_PLD_6015e39597424a7ea59d45da3ff56e99"/>
            <w:id w:val="-1578512486"/>
          </w:sdtPr>
          <w:sdtContent>
            <w:tc>
              <w:tcPr>
                <w:tcW w:w="435" w:type="pct"/>
                <w:shd w:val="clear" w:color="auto" w:fill="auto"/>
                <w:vAlign w:val="center"/>
              </w:tcPr>
              <w:p>
                <w:pPr>
                  <w:jc w:val="center"/>
                  <w:rPr>
                    <w:szCs w:val="21"/>
                  </w:rPr>
                </w:pPr>
                <w:r>
                  <w:rPr>
                    <w:rFonts w:hint="eastAsia"/>
                    <w:szCs w:val="21"/>
                  </w:rPr>
                  <w:t>资金来源</w:t>
                </w:r>
              </w:p>
            </w:tc>
          </w:sdtContent>
        </w:sdt>
      </w:tr>
      <w:tr>
        <w:trPr>
          <w:cantSplit/>
        </w:trPr>
        <w:tc>
          <w:tcPr>
            <w:tcW w:w="619" w:type="pct"/>
            <w:shd w:val="clear" w:color="auto" w:fill="auto"/>
            <w:vAlign w:val="center"/>
          </w:tcPr>
          <w:p>
            <w:pPr>
              <w:rPr>
                <w:szCs w:val="21"/>
              </w:rPr>
            </w:pPr>
            <w:r>
              <w:t>加拿大钾矿（注）</w:t>
            </w:r>
          </w:p>
        </w:tc>
        <w:tc>
          <w:tcPr>
            <w:tcW w:w="447" w:type="pct"/>
            <w:shd w:val="clear" w:color="auto" w:fill="auto"/>
            <w:vAlign w:val="center"/>
          </w:tcPr>
          <w:p>
            <w:pPr>
              <w:jc w:val="right"/>
              <w:rPr>
                <w:szCs w:val="21"/>
              </w:rPr>
            </w:pPr>
            <w:r>
              <w:rPr>
                <w:szCs w:val="21"/>
              </w:rPr>
              <w:t>N/A</w:t>
            </w:r>
          </w:p>
        </w:tc>
        <w:tc>
          <w:tcPr>
            <w:tcW w:w="446" w:type="pct"/>
            <w:shd w:val="clear" w:color="auto" w:fill="auto"/>
            <w:vAlign w:val="center"/>
          </w:tcPr>
          <w:p>
            <w:pPr>
              <w:pStyle w:val="affffffffffffffffffffffffffffffffe"/>
            </w:pPr>
            <w:r>
              <w:t>1,966,131</w:t>
            </w:r>
          </w:p>
        </w:tc>
        <w:tc>
          <w:tcPr>
            <w:tcW w:w="410" w:type="pct"/>
            <w:shd w:val="clear" w:color="auto" w:fill="auto"/>
            <w:vAlign w:val="center"/>
          </w:tcPr>
          <w:p>
            <w:pPr>
              <w:rPr>
                <w:rFonts w:ascii="Times New Roman" w:hAnsi="Times New Roman" w:cs="Times New Roman"/>
                <w:szCs w:val="20"/>
              </w:rPr>
            </w:pPr>
          </w:p>
        </w:tc>
        <w:tc>
          <w:tcPr>
            <w:tcW w:w="410" w:type="pct"/>
            <w:shd w:val="clear" w:color="auto" w:fill="auto"/>
            <w:vAlign w:val="center"/>
          </w:tcPr>
          <w:p>
            <w:pPr>
              <w:rPr>
                <w:rFonts w:ascii="Times New Roman" w:eastAsia="Times New Roman" w:hAnsi="Times New Roman" w:cs="Times New Roman"/>
                <w:sz w:val="20"/>
                <w:szCs w:val="20"/>
              </w:rPr>
            </w:pPr>
          </w:p>
        </w:tc>
        <w:tc>
          <w:tcPr>
            <w:tcW w:w="157" w:type="pct"/>
            <w:shd w:val="clear" w:color="auto" w:fill="auto"/>
            <w:vAlign w:val="center"/>
          </w:tcPr>
          <w:p>
            <w:pPr>
              <w:rPr>
                <w:rFonts w:ascii="Times New Roman" w:eastAsia="Times New Roman" w:hAnsi="Times New Roman" w:cs="Times New Roman"/>
                <w:sz w:val="20"/>
                <w:szCs w:val="20"/>
              </w:rPr>
            </w:pPr>
          </w:p>
        </w:tc>
        <w:tc>
          <w:tcPr>
            <w:tcW w:w="338" w:type="pct"/>
            <w:vAlign w:val="center"/>
          </w:tcPr>
          <w:p>
            <w:pPr>
              <w:pStyle w:val="affffffffffffffffffffffffffffffffe"/>
            </w:pPr>
            <w:r>
              <w:t>-108,300</w:t>
            </w:r>
          </w:p>
        </w:tc>
        <w:tc>
          <w:tcPr>
            <w:tcW w:w="447" w:type="pct"/>
            <w:vAlign w:val="center"/>
          </w:tcPr>
          <w:p>
            <w:pPr>
              <w:pStyle w:val="affffffffffffffffffffffffffffffffe"/>
            </w:pPr>
            <w:r>
              <w:t>1,857,831</w:t>
            </w:r>
          </w:p>
        </w:tc>
        <w:tc>
          <w:tcPr>
            <w:tcW w:w="193" w:type="pct"/>
            <w:shd w:val="clear" w:color="auto" w:fill="auto"/>
            <w:vAlign w:val="center"/>
          </w:tcPr>
          <w:p>
            <w:pPr>
              <w:pStyle w:val="affffffffffffffffffffffffffffffffe"/>
            </w:pPr>
            <w:r>
              <w:t>N/A</w:t>
            </w:r>
          </w:p>
        </w:tc>
        <w:tc>
          <w:tcPr>
            <w:tcW w:w="193" w:type="pct"/>
            <w:shd w:val="clear" w:color="auto" w:fill="auto"/>
            <w:vAlign w:val="center"/>
          </w:tcPr>
          <w:p>
            <w:pPr>
              <w:pStyle w:val="affffffffffffffffffffffffffffffffe"/>
            </w:pPr>
            <w:r>
              <w:t>N/A</w:t>
            </w:r>
          </w:p>
        </w:tc>
        <w:tc>
          <w:tcPr>
            <w:tcW w:w="369" w:type="pct"/>
            <w:shd w:val="clear" w:color="auto" w:fill="auto"/>
            <w:vAlign w:val="center"/>
          </w:tcPr>
          <w:p>
            <w:pPr>
              <w:rPr>
                <w:rFonts w:ascii="Times New Roman" w:hAnsi="Times New Roman" w:cs="Times New Roman"/>
                <w:szCs w:val="20"/>
              </w:rPr>
            </w:pPr>
          </w:p>
        </w:tc>
        <w:tc>
          <w:tcPr>
            <w:tcW w:w="302" w:type="pct"/>
            <w:shd w:val="clear" w:color="auto" w:fill="auto"/>
            <w:vAlign w:val="center"/>
          </w:tcPr>
          <w:p>
            <w:pPr>
              <w:rPr>
                <w:rFonts w:ascii="Times New Roman" w:eastAsia="Times New Roman" w:hAnsi="Times New Roman" w:cs="Times New Roman"/>
                <w:sz w:val="20"/>
                <w:szCs w:val="20"/>
              </w:rPr>
            </w:pPr>
          </w:p>
        </w:tc>
        <w:tc>
          <w:tcPr>
            <w:tcW w:w="235" w:type="pct"/>
            <w:shd w:val="clear" w:color="auto" w:fill="auto"/>
            <w:vAlign w:val="center"/>
          </w:tcPr>
          <w:p>
            <w:pPr>
              <w:rPr>
                <w:rFonts w:ascii="Times New Roman" w:eastAsia="Times New Roman" w:hAnsi="Times New Roman" w:cs="Times New Roman"/>
                <w:sz w:val="20"/>
                <w:szCs w:val="20"/>
              </w:rPr>
            </w:pPr>
          </w:p>
        </w:tc>
        <w:tc>
          <w:tcPr>
            <w:tcW w:w="435" w:type="pct"/>
            <w:shd w:val="clear" w:color="auto" w:fill="auto"/>
            <w:vAlign w:val="center"/>
          </w:tcPr>
          <w:p>
            <w:pPr>
              <w:rPr>
                <w:sz w:val="24"/>
              </w:rPr>
            </w:pPr>
            <w:r>
              <w:t>贷款</w:t>
            </w:r>
          </w:p>
        </w:tc>
      </w:tr>
      <w:tr>
        <w:trPr>
          <w:cantSplit/>
        </w:trPr>
        <w:tc>
          <w:tcPr>
            <w:tcW w:w="619" w:type="pct"/>
            <w:shd w:val="clear" w:color="auto" w:fill="auto"/>
            <w:vAlign w:val="center"/>
          </w:tcPr>
          <w:p>
            <w:pPr>
              <w:rPr>
                <w:szCs w:val="21"/>
              </w:rPr>
            </w:pPr>
            <w:r>
              <w:t>万福煤矿</w:t>
            </w:r>
          </w:p>
        </w:tc>
        <w:tc>
          <w:tcPr>
            <w:tcW w:w="447" w:type="pct"/>
            <w:shd w:val="clear" w:color="auto" w:fill="auto"/>
            <w:vAlign w:val="center"/>
          </w:tcPr>
          <w:p>
            <w:pPr>
              <w:pStyle w:val="affffffffffffffffffffffffffffffffe"/>
            </w:pPr>
            <w:r>
              <w:t>8,395,930</w:t>
            </w:r>
          </w:p>
        </w:tc>
        <w:tc>
          <w:tcPr>
            <w:tcW w:w="446" w:type="pct"/>
            <w:shd w:val="clear" w:color="auto" w:fill="auto"/>
            <w:vAlign w:val="center"/>
          </w:tcPr>
          <w:p>
            <w:pPr>
              <w:pStyle w:val="affffffffffffffffffffffffffffffffe"/>
            </w:pPr>
            <w:r>
              <w:t>5,936,235</w:t>
            </w:r>
          </w:p>
        </w:tc>
        <w:tc>
          <w:tcPr>
            <w:tcW w:w="410" w:type="pct"/>
            <w:shd w:val="clear" w:color="auto" w:fill="auto"/>
            <w:vAlign w:val="center"/>
          </w:tcPr>
          <w:p>
            <w:pPr>
              <w:rPr>
                <w:sz w:val="24"/>
              </w:rPr>
            </w:pPr>
            <w:r>
              <w:t>763,015</w:t>
            </w:r>
          </w:p>
        </w:tc>
        <w:tc>
          <w:tcPr>
            <w:tcW w:w="410" w:type="pct"/>
            <w:shd w:val="clear" w:color="auto" w:fill="auto"/>
            <w:vAlign w:val="center"/>
          </w:tcPr>
          <w:p>
            <w:pPr>
              <w:pStyle w:val="affffffffffffffffffffffffffffffffe"/>
            </w:pPr>
          </w:p>
        </w:tc>
        <w:tc>
          <w:tcPr>
            <w:tcW w:w="157" w:type="pct"/>
            <w:shd w:val="clear" w:color="auto" w:fill="auto"/>
            <w:vAlign w:val="center"/>
          </w:tcPr>
          <w:p>
            <w:pPr>
              <w:rPr>
                <w:rFonts w:ascii="Times New Roman" w:eastAsia="Times New Roman" w:hAnsi="Times New Roman" w:cs="Times New Roman"/>
                <w:sz w:val="20"/>
                <w:szCs w:val="20"/>
              </w:rPr>
            </w:pPr>
          </w:p>
        </w:tc>
        <w:tc>
          <w:tcPr>
            <w:tcW w:w="338" w:type="pct"/>
            <w:vAlign w:val="center"/>
          </w:tcPr>
          <w:p>
            <w:pPr>
              <w:pStyle w:val="affffffffffffffffffffffffffffffffe"/>
            </w:pPr>
          </w:p>
        </w:tc>
        <w:tc>
          <w:tcPr>
            <w:tcW w:w="447" w:type="pct"/>
            <w:vAlign w:val="center"/>
          </w:tcPr>
          <w:p>
            <w:pPr>
              <w:rPr>
                <w:sz w:val="24"/>
              </w:rPr>
            </w:pPr>
            <w:r>
              <w:t>6,699,250</w:t>
            </w:r>
          </w:p>
        </w:tc>
        <w:tc>
          <w:tcPr>
            <w:tcW w:w="193" w:type="pct"/>
            <w:shd w:val="clear" w:color="auto" w:fill="auto"/>
            <w:vAlign w:val="center"/>
          </w:tcPr>
          <w:p>
            <w:pPr>
              <w:pStyle w:val="affffffffffffffffffffffffffffffffe"/>
            </w:pPr>
            <w:r>
              <w:t>80%</w:t>
            </w:r>
          </w:p>
        </w:tc>
        <w:tc>
          <w:tcPr>
            <w:tcW w:w="193" w:type="pct"/>
            <w:shd w:val="clear" w:color="auto" w:fill="auto"/>
            <w:vAlign w:val="center"/>
          </w:tcPr>
          <w:p>
            <w:pPr>
              <w:pStyle w:val="affffffffffffffffffffffffffffffffe"/>
            </w:pPr>
            <w:r>
              <w:t>80%</w:t>
            </w:r>
          </w:p>
        </w:tc>
        <w:tc>
          <w:tcPr>
            <w:tcW w:w="369" w:type="pct"/>
            <w:shd w:val="clear" w:color="auto" w:fill="auto"/>
            <w:vAlign w:val="center"/>
          </w:tcPr>
          <w:p>
            <w:pPr>
              <w:pStyle w:val="affffffffffffffffffffffffffffffffe"/>
            </w:pPr>
            <w:r>
              <w:t>1,443,533</w:t>
            </w:r>
          </w:p>
        </w:tc>
        <w:tc>
          <w:tcPr>
            <w:tcW w:w="302" w:type="pct"/>
            <w:shd w:val="clear" w:color="auto" w:fill="auto"/>
            <w:vAlign w:val="center"/>
          </w:tcPr>
          <w:p>
            <w:pPr>
              <w:pStyle w:val="affffffffffffffffffffffffffffffffe"/>
            </w:pPr>
            <w:r>
              <w:t>169,622</w:t>
            </w:r>
          </w:p>
        </w:tc>
        <w:tc>
          <w:tcPr>
            <w:tcW w:w="235" w:type="pct"/>
            <w:shd w:val="clear" w:color="auto" w:fill="auto"/>
            <w:vAlign w:val="center"/>
          </w:tcPr>
          <w:p>
            <w:pPr>
              <w:pStyle w:val="affffffffffffffffffffffffffffffffe"/>
            </w:pPr>
            <w:r>
              <w:t>2.27-4.75</w:t>
            </w:r>
          </w:p>
        </w:tc>
        <w:tc>
          <w:tcPr>
            <w:tcW w:w="435" w:type="pct"/>
            <w:shd w:val="clear" w:color="auto" w:fill="auto"/>
            <w:vAlign w:val="center"/>
          </w:tcPr>
          <w:p>
            <w:pPr>
              <w:pStyle w:val="affffffffffffffffffffffffffffffffe"/>
            </w:pPr>
            <w:r>
              <w:t>自筹及贷款</w:t>
            </w:r>
          </w:p>
        </w:tc>
      </w:tr>
      <w:tr>
        <w:trPr>
          <w:cantSplit/>
        </w:trPr>
        <w:tc>
          <w:tcPr>
            <w:tcW w:w="619" w:type="pct"/>
            <w:shd w:val="clear" w:color="auto" w:fill="auto"/>
            <w:vAlign w:val="center"/>
          </w:tcPr>
          <w:p>
            <w:pPr>
              <w:rPr>
                <w:szCs w:val="21"/>
              </w:rPr>
            </w:pPr>
            <w:r>
              <w:t>兖矿泰安港公铁水联运物流园项目</w:t>
            </w:r>
          </w:p>
        </w:tc>
        <w:tc>
          <w:tcPr>
            <w:tcW w:w="447" w:type="pct"/>
            <w:shd w:val="clear" w:color="auto" w:fill="auto"/>
            <w:vAlign w:val="center"/>
          </w:tcPr>
          <w:p>
            <w:pPr>
              <w:pStyle w:val="affffffffffffffffffffffffffffffffe"/>
            </w:pPr>
            <w:r>
              <w:t>2,380,610</w:t>
            </w:r>
          </w:p>
        </w:tc>
        <w:tc>
          <w:tcPr>
            <w:tcW w:w="446" w:type="pct"/>
            <w:shd w:val="clear" w:color="auto" w:fill="auto"/>
            <w:vAlign w:val="center"/>
          </w:tcPr>
          <w:p>
            <w:pPr>
              <w:pStyle w:val="affffffffffffffffffffffffffffffffe"/>
            </w:pPr>
            <w:r>
              <w:t>1,586,887</w:t>
            </w:r>
          </w:p>
        </w:tc>
        <w:tc>
          <w:tcPr>
            <w:tcW w:w="410" w:type="pct"/>
            <w:shd w:val="clear" w:color="auto" w:fill="auto"/>
            <w:vAlign w:val="center"/>
          </w:tcPr>
          <w:p>
            <w:pPr>
              <w:rPr>
                <w:sz w:val="24"/>
              </w:rPr>
            </w:pPr>
            <w:r>
              <w:t>543,394</w:t>
            </w:r>
          </w:p>
        </w:tc>
        <w:tc>
          <w:tcPr>
            <w:tcW w:w="410" w:type="pct"/>
            <w:shd w:val="clear" w:color="auto" w:fill="auto"/>
            <w:vAlign w:val="center"/>
          </w:tcPr>
          <w:p>
            <w:pPr>
              <w:pStyle w:val="affffffffffffffffffffffffffffffffe"/>
            </w:pPr>
          </w:p>
        </w:tc>
        <w:tc>
          <w:tcPr>
            <w:tcW w:w="157" w:type="pct"/>
            <w:shd w:val="clear" w:color="auto" w:fill="auto"/>
            <w:vAlign w:val="center"/>
          </w:tcPr>
          <w:p>
            <w:pPr>
              <w:rPr>
                <w:rFonts w:ascii="Times New Roman" w:eastAsia="Times New Roman" w:hAnsi="Times New Roman" w:cs="Times New Roman"/>
                <w:sz w:val="20"/>
                <w:szCs w:val="20"/>
              </w:rPr>
            </w:pPr>
          </w:p>
        </w:tc>
        <w:tc>
          <w:tcPr>
            <w:tcW w:w="338" w:type="pct"/>
            <w:vAlign w:val="center"/>
          </w:tcPr>
          <w:p>
            <w:pPr>
              <w:pStyle w:val="affffffffffffffffffffffffffffffffe"/>
            </w:pPr>
          </w:p>
        </w:tc>
        <w:tc>
          <w:tcPr>
            <w:tcW w:w="447" w:type="pct"/>
            <w:vAlign w:val="center"/>
          </w:tcPr>
          <w:p>
            <w:pPr>
              <w:rPr>
                <w:sz w:val="24"/>
              </w:rPr>
            </w:pPr>
            <w:r>
              <w:t>2,130,281</w:t>
            </w:r>
          </w:p>
        </w:tc>
        <w:tc>
          <w:tcPr>
            <w:tcW w:w="193" w:type="pct"/>
            <w:shd w:val="clear" w:color="auto" w:fill="auto"/>
            <w:vAlign w:val="center"/>
          </w:tcPr>
          <w:p>
            <w:pPr>
              <w:pStyle w:val="affffffffffffffffffffffffffffffffe"/>
            </w:pPr>
            <w:r>
              <w:t>89%</w:t>
            </w:r>
          </w:p>
        </w:tc>
        <w:tc>
          <w:tcPr>
            <w:tcW w:w="193" w:type="pct"/>
            <w:shd w:val="clear" w:color="auto" w:fill="auto"/>
            <w:vAlign w:val="center"/>
          </w:tcPr>
          <w:p>
            <w:pPr>
              <w:pStyle w:val="affffffffffffffffffffffffffffffffe"/>
            </w:pPr>
            <w:r>
              <w:t>89%</w:t>
            </w:r>
          </w:p>
        </w:tc>
        <w:tc>
          <w:tcPr>
            <w:tcW w:w="369" w:type="pct"/>
            <w:shd w:val="clear" w:color="auto" w:fill="auto"/>
            <w:vAlign w:val="center"/>
          </w:tcPr>
          <w:p>
            <w:pPr>
              <w:pStyle w:val="affffffffffffffffffffffffffffffffe"/>
            </w:pPr>
            <w:r>
              <w:t>92,013</w:t>
            </w:r>
          </w:p>
        </w:tc>
        <w:tc>
          <w:tcPr>
            <w:tcW w:w="302" w:type="pct"/>
            <w:shd w:val="clear" w:color="auto" w:fill="auto"/>
            <w:vAlign w:val="center"/>
          </w:tcPr>
          <w:p>
            <w:pPr>
              <w:pStyle w:val="affffffffffffffffffffffffffffffffe"/>
            </w:pPr>
            <w:r>
              <w:t>50,718</w:t>
            </w:r>
          </w:p>
        </w:tc>
        <w:tc>
          <w:tcPr>
            <w:tcW w:w="235" w:type="pct"/>
            <w:shd w:val="clear" w:color="auto" w:fill="auto"/>
            <w:vAlign w:val="center"/>
          </w:tcPr>
          <w:p>
            <w:pPr>
              <w:pStyle w:val="affffffffffffffffffffffffffffffffe"/>
            </w:pPr>
            <w:r>
              <w:t>3.13-3.27</w:t>
            </w:r>
          </w:p>
        </w:tc>
        <w:tc>
          <w:tcPr>
            <w:tcW w:w="435" w:type="pct"/>
            <w:shd w:val="clear" w:color="auto" w:fill="auto"/>
            <w:vAlign w:val="center"/>
          </w:tcPr>
          <w:p>
            <w:pPr>
              <w:pStyle w:val="affffffffffffffffffffffffffffffffe"/>
            </w:pPr>
            <w:r>
              <w:t>自筹及贷款</w:t>
            </w:r>
          </w:p>
        </w:tc>
      </w:tr>
      <w:tr>
        <w:trPr>
          <w:cantSplit/>
        </w:trPr>
        <w:tc>
          <w:tcPr>
            <w:tcW w:w="619" w:type="pct"/>
            <w:shd w:val="clear" w:color="auto" w:fill="auto"/>
            <w:vAlign w:val="center"/>
          </w:tcPr>
          <w:p>
            <w:pPr>
              <w:rPr>
                <w:szCs w:val="21"/>
              </w:rPr>
            </w:pPr>
            <w:r>
              <w:t>鲁化己内酰胺产业链配套节能减碳一体化工程项目</w:t>
            </w:r>
          </w:p>
        </w:tc>
        <w:tc>
          <w:tcPr>
            <w:tcW w:w="447" w:type="pct"/>
            <w:shd w:val="clear" w:color="auto" w:fill="auto"/>
            <w:vAlign w:val="center"/>
          </w:tcPr>
          <w:p>
            <w:pPr>
              <w:pStyle w:val="affffffffffffffffffffffffffffffffe"/>
            </w:pPr>
            <w:r>
              <w:t>2,015,533</w:t>
            </w:r>
          </w:p>
        </w:tc>
        <w:tc>
          <w:tcPr>
            <w:tcW w:w="446" w:type="pct"/>
            <w:shd w:val="clear" w:color="auto" w:fill="auto"/>
            <w:vAlign w:val="center"/>
          </w:tcPr>
          <w:p>
            <w:pPr>
              <w:pStyle w:val="affffffffffffffffffffffffffffffffe"/>
            </w:pPr>
            <w:r>
              <w:t>1,526,605</w:t>
            </w:r>
          </w:p>
        </w:tc>
        <w:tc>
          <w:tcPr>
            <w:tcW w:w="410" w:type="pct"/>
            <w:shd w:val="clear" w:color="auto" w:fill="auto"/>
            <w:vAlign w:val="center"/>
          </w:tcPr>
          <w:p>
            <w:pPr>
              <w:rPr>
                <w:sz w:val="24"/>
              </w:rPr>
            </w:pPr>
            <w:r>
              <w:t>125,904</w:t>
            </w:r>
          </w:p>
        </w:tc>
        <w:tc>
          <w:tcPr>
            <w:tcW w:w="410" w:type="pct"/>
            <w:shd w:val="clear" w:color="auto" w:fill="auto"/>
            <w:vAlign w:val="center"/>
          </w:tcPr>
          <w:p>
            <w:pPr>
              <w:pStyle w:val="affffffffffffffffffffffffffffffffe"/>
            </w:pPr>
            <w:r>
              <w:t>1,249,181</w:t>
            </w:r>
          </w:p>
        </w:tc>
        <w:tc>
          <w:tcPr>
            <w:tcW w:w="157" w:type="pct"/>
            <w:shd w:val="clear" w:color="auto" w:fill="auto"/>
            <w:vAlign w:val="center"/>
          </w:tcPr>
          <w:p>
            <w:pPr>
              <w:pStyle w:val="affffffffffffffffffffffffffffffffe"/>
            </w:pPr>
          </w:p>
        </w:tc>
        <w:tc>
          <w:tcPr>
            <w:tcW w:w="338" w:type="pct"/>
            <w:vAlign w:val="center"/>
          </w:tcPr>
          <w:p>
            <w:pPr>
              <w:pStyle w:val="affffffffffffffffffffffffffffffffe"/>
            </w:pPr>
          </w:p>
        </w:tc>
        <w:tc>
          <w:tcPr>
            <w:tcW w:w="447" w:type="pct"/>
            <w:vAlign w:val="center"/>
          </w:tcPr>
          <w:p>
            <w:pPr>
              <w:rPr>
                <w:sz w:val="24"/>
              </w:rPr>
            </w:pPr>
            <w:r>
              <w:t>403,328</w:t>
            </w:r>
          </w:p>
        </w:tc>
        <w:tc>
          <w:tcPr>
            <w:tcW w:w="193" w:type="pct"/>
            <w:shd w:val="clear" w:color="auto" w:fill="auto"/>
            <w:vAlign w:val="center"/>
          </w:tcPr>
          <w:p>
            <w:pPr>
              <w:pStyle w:val="affffffffffffffffffffffffffffffffe"/>
            </w:pPr>
            <w:r>
              <w:t>82%</w:t>
            </w:r>
          </w:p>
        </w:tc>
        <w:tc>
          <w:tcPr>
            <w:tcW w:w="193" w:type="pct"/>
            <w:shd w:val="clear" w:color="auto" w:fill="auto"/>
            <w:vAlign w:val="center"/>
          </w:tcPr>
          <w:p>
            <w:pPr>
              <w:pStyle w:val="affffffffffffffffffffffffffffffffe"/>
            </w:pPr>
            <w:r>
              <w:t>82%</w:t>
            </w:r>
          </w:p>
        </w:tc>
        <w:tc>
          <w:tcPr>
            <w:tcW w:w="369" w:type="pct"/>
            <w:shd w:val="clear" w:color="auto" w:fill="auto"/>
            <w:vAlign w:val="center"/>
          </w:tcPr>
          <w:p>
            <w:pPr>
              <w:pStyle w:val="affffffffffffffffffffffffffffffffe"/>
            </w:pPr>
          </w:p>
        </w:tc>
        <w:tc>
          <w:tcPr>
            <w:tcW w:w="302" w:type="pct"/>
            <w:shd w:val="clear" w:color="auto" w:fill="auto"/>
            <w:vAlign w:val="center"/>
          </w:tcPr>
          <w:p>
            <w:pPr>
              <w:rPr>
                <w:rFonts w:ascii="Times New Roman" w:eastAsia="Times New Roman" w:hAnsi="Times New Roman" w:cs="Times New Roman"/>
                <w:sz w:val="20"/>
                <w:szCs w:val="20"/>
              </w:rPr>
            </w:pPr>
          </w:p>
        </w:tc>
        <w:tc>
          <w:tcPr>
            <w:tcW w:w="235" w:type="pct"/>
            <w:shd w:val="clear" w:color="auto" w:fill="auto"/>
            <w:vAlign w:val="center"/>
          </w:tcPr>
          <w:p>
            <w:pPr>
              <w:rPr>
                <w:rFonts w:ascii="Times New Roman" w:eastAsia="Times New Roman" w:hAnsi="Times New Roman" w:cs="Times New Roman"/>
                <w:sz w:val="20"/>
                <w:szCs w:val="20"/>
              </w:rPr>
            </w:pPr>
          </w:p>
        </w:tc>
        <w:tc>
          <w:tcPr>
            <w:tcW w:w="435" w:type="pct"/>
            <w:shd w:val="clear" w:color="auto" w:fill="auto"/>
            <w:vAlign w:val="center"/>
          </w:tcPr>
          <w:p>
            <w:pPr>
              <w:rPr>
                <w:sz w:val="24"/>
              </w:rPr>
            </w:pPr>
            <w:r>
              <w:t>自筹</w:t>
            </w:r>
          </w:p>
        </w:tc>
      </w:tr>
      <w:tr>
        <w:trPr>
          <w:cantSplit/>
        </w:trPr>
        <w:tc>
          <w:tcPr>
            <w:tcW w:w="619" w:type="pct"/>
            <w:shd w:val="clear" w:color="auto" w:fill="auto"/>
            <w:vAlign w:val="center"/>
          </w:tcPr>
          <w:p>
            <w:pPr>
              <w:rPr>
                <w:szCs w:val="21"/>
              </w:rPr>
            </w:pPr>
            <w:r>
              <w:t>兖矿能源智慧制造园区项目</w:t>
            </w:r>
          </w:p>
        </w:tc>
        <w:tc>
          <w:tcPr>
            <w:tcW w:w="447" w:type="pct"/>
            <w:shd w:val="clear" w:color="auto" w:fill="auto"/>
            <w:vAlign w:val="center"/>
          </w:tcPr>
          <w:p>
            <w:pPr>
              <w:pStyle w:val="affffffffffffffffffffffffffffffffe"/>
            </w:pPr>
            <w:r>
              <w:t>1,704,000</w:t>
            </w:r>
          </w:p>
        </w:tc>
        <w:tc>
          <w:tcPr>
            <w:tcW w:w="446" w:type="pct"/>
            <w:shd w:val="clear" w:color="auto" w:fill="auto"/>
            <w:vAlign w:val="center"/>
          </w:tcPr>
          <w:p>
            <w:pPr>
              <w:pStyle w:val="affffffffffffffffffffffffffffffffe"/>
            </w:pPr>
            <w:r>
              <w:t>1,221,533</w:t>
            </w:r>
          </w:p>
        </w:tc>
        <w:tc>
          <w:tcPr>
            <w:tcW w:w="410" w:type="pct"/>
            <w:shd w:val="clear" w:color="auto" w:fill="auto"/>
            <w:vAlign w:val="center"/>
          </w:tcPr>
          <w:p>
            <w:pPr>
              <w:rPr>
                <w:sz w:val="24"/>
              </w:rPr>
            </w:pPr>
            <w:r>
              <w:t>482,241</w:t>
            </w:r>
          </w:p>
        </w:tc>
        <w:tc>
          <w:tcPr>
            <w:tcW w:w="410" w:type="pct"/>
            <w:shd w:val="clear" w:color="auto" w:fill="auto"/>
            <w:vAlign w:val="center"/>
          </w:tcPr>
          <w:p>
            <w:pPr>
              <w:pStyle w:val="affffffffffffffffffffffffffffffffe"/>
            </w:pPr>
          </w:p>
        </w:tc>
        <w:tc>
          <w:tcPr>
            <w:tcW w:w="157" w:type="pct"/>
            <w:shd w:val="clear" w:color="auto" w:fill="auto"/>
            <w:vAlign w:val="center"/>
          </w:tcPr>
          <w:p>
            <w:pPr>
              <w:rPr>
                <w:rFonts w:ascii="Times New Roman" w:eastAsia="Times New Roman" w:hAnsi="Times New Roman" w:cs="Times New Roman"/>
                <w:sz w:val="20"/>
                <w:szCs w:val="20"/>
              </w:rPr>
            </w:pPr>
          </w:p>
        </w:tc>
        <w:tc>
          <w:tcPr>
            <w:tcW w:w="338" w:type="pct"/>
            <w:vAlign w:val="center"/>
          </w:tcPr>
          <w:p>
            <w:pPr>
              <w:pStyle w:val="affffffffffffffffffffffffffffffffe"/>
            </w:pPr>
          </w:p>
        </w:tc>
        <w:tc>
          <w:tcPr>
            <w:tcW w:w="447" w:type="pct"/>
            <w:vAlign w:val="center"/>
          </w:tcPr>
          <w:p>
            <w:pPr>
              <w:rPr>
                <w:sz w:val="24"/>
              </w:rPr>
            </w:pPr>
            <w:r>
              <w:t>1,703,774</w:t>
            </w:r>
          </w:p>
        </w:tc>
        <w:tc>
          <w:tcPr>
            <w:tcW w:w="193" w:type="pct"/>
            <w:shd w:val="clear" w:color="auto" w:fill="auto"/>
            <w:vAlign w:val="center"/>
          </w:tcPr>
          <w:p>
            <w:pPr>
              <w:pStyle w:val="affffffffffffffffffffffffffffffffe"/>
            </w:pPr>
            <w:r>
              <w:t>99%</w:t>
            </w:r>
          </w:p>
        </w:tc>
        <w:tc>
          <w:tcPr>
            <w:tcW w:w="193" w:type="pct"/>
            <w:shd w:val="clear" w:color="auto" w:fill="auto"/>
            <w:vAlign w:val="center"/>
          </w:tcPr>
          <w:p>
            <w:pPr>
              <w:pStyle w:val="affffffffffffffffffffffffffffffffe"/>
            </w:pPr>
            <w:r>
              <w:t>99%</w:t>
            </w:r>
          </w:p>
        </w:tc>
        <w:tc>
          <w:tcPr>
            <w:tcW w:w="369" w:type="pct"/>
            <w:shd w:val="clear" w:color="auto" w:fill="auto"/>
            <w:vAlign w:val="center"/>
          </w:tcPr>
          <w:p>
            <w:pPr>
              <w:pStyle w:val="affffffffffffffffffffffffffffffffe"/>
            </w:pPr>
          </w:p>
        </w:tc>
        <w:tc>
          <w:tcPr>
            <w:tcW w:w="302" w:type="pct"/>
            <w:shd w:val="clear" w:color="auto" w:fill="auto"/>
            <w:vAlign w:val="center"/>
          </w:tcPr>
          <w:p>
            <w:pPr>
              <w:rPr>
                <w:rFonts w:ascii="Times New Roman" w:eastAsia="Times New Roman" w:hAnsi="Times New Roman" w:cs="Times New Roman"/>
                <w:sz w:val="20"/>
                <w:szCs w:val="20"/>
              </w:rPr>
            </w:pPr>
          </w:p>
        </w:tc>
        <w:tc>
          <w:tcPr>
            <w:tcW w:w="235" w:type="pct"/>
            <w:shd w:val="clear" w:color="auto" w:fill="auto"/>
            <w:vAlign w:val="center"/>
          </w:tcPr>
          <w:p>
            <w:pPr>
              <w:rPr>
                <w:rFonts w:ascii="Times New Roman" w:eastAsia="Times New Roman" w:hAnsi="Times New Roman" w:cs="Times New Roman"/>
                <w:sz w:val="20"/>
                <w:szCs w:val="20"/>
              </w:rPr>
            </w:pPr>
          </w:p>
        </w:tc>
        <w:tc>
          <w:tcPr>
            <w:tcW w:w="435" w:type="pct"/>
            <w:shd w:val="clear" w:color="auto" w:fill="auto"/>
            <w:vAlign w:val="center"/>
          </w:tcPr>
          <w:p>
            <w:pPr>
              <w:rPr>
                <w:sz w:val="24"/>
              </w:rPr>
            </w:pPr>
            <w:r>
              <w:t>自筹</w:t>
            </w:r>
          </w:p>
        </w:tc>
      </w:tr>
      <w:tr>
        <w:trPr>
          <w:cantSplit/>
        </w:trPr>
        <w:tc>
          <w:tcPr>
            <w:tcW w:w="619" w:type="pct"/>
            <w:shd w:val="clear" w:color="auto" w:fill="auto"/>
            <w:vAlign w:val="center"/>
          </w:tcPr>
          <w:p>
            <w:pPr>
              <w:jc w:val="center"/>
              <w:rPr>
                <w:szCs w:val="21"/>
              </w:rPr>
            </w:pPr>
            <w:r>
              <w:rPr>
                <w:rFonts w:hint="eastAsia"/>
                <w:szCs w:val="21"/>
              </w:rPr>
              <w:t>合计</w:t>
            </w:r>
          </w:p>
        </w:tc>
        <w:tc>
          <w:tcPr>
            <w:tcW w:w="447" w:type="pct"/>
            <w:shd w:val="clear" w:color="auto" w:fill="auto"/>
            <w:vAlign w:val="center"/>
          </w:tcPr>
          <w:p>
            <w:pPr>
              <w:pStyle w:val="affffffffffffffffffffffffffffffffe"/>
            </w:pPr>
            <w:r>
              <w:t>14,496,073</w:t>
            </w:r>
          </w:p>
        </w:tc>
        <w:tc>
          <w:tcPr>
            <w:tcW w:w="446" w:type="pct"/>
            <w:shd w:val="clear" w:color="auto" w:fill="auto"/>
            <w:vAlign w:val="center"/>
          </w:tcPr>
          <w:p>
            <w:pPr>
              <w:pStyle w:val="affffffffffffffffffffffffffffffffe"/>
            </w:pPr>
            <w:r>
              <w:t>12,237,391</w:t>
            </w:r>
          </w:p>
        </w:tc>
        <w:tc>
          <w:tcPr>
            <w:tcW w:w="410" w:type="pct"/>
            <w:shd w:val="clear" w:color="auto" w:fill="auto"/>
            <w:vAlign w:val="center"/>
          </w:tcPr>
          <w:p>
            <w:pPr>
              <w:rPr>
                <w:sz w:val="24"/>
              </w:rPr>
            </w:pPr>
            <w:r>
              <w:t>1,914,554</w:t>
            </w:r>
          </w:p>
        </w:tc>
        <w:tc>
          <w:tcPr>
            <w:tcW w:w="410" w:type="pct"/>
            <w:shd w:val="clear" w:color="auto" w:fill="auto"/>
            <w:vAlign w:val="center"/>
          </w:tcPr>
          <w:p>
            <w:pPr>
              <w:pStyle w:val="affffffffffffffffffffffffffffffffe"/>
            </w:pPr>
            <w:r>
              <w:t>1,249,181</w:t>
            </w:r>
          </w:p>
        </w:tc>
        <w:tc>
          <w:tcPr>
            <w:tcW w:w="157" w:type="pct"/>
            <w:shd w:val="clear" w:color="auto" w:fill="auto"/>
            <w:vAlign w:val="center"/>
          </w:tcPr>
          <w:p>
            <w:pPr>
              <w:pStyle w:val="affffffffffffffffffffffffffffffffe"/>
            </w:pPr>
          </w:p>
        </w:tc>
        <w:tc>
          <w:tcPr>
            <w:tcW w:w="338" w:type="pct"/>
            <w:vAlign w:val="center"/>
          </w:tcPr>
          <w:p>
            <w:pPr>
              <w:pStyle w:val="affffffffffffffffffffffffffffffffe"/>
            </w:pPr>
            <w:r>
              <w:t>-108,300</w:t>
            </w:r>
          </w:p>
        </w:tc>
        <w:tc>
          <w:tcPr>
            <w:tcW w:w="447" w:type="pct"/>
            <w:vAlign w:val="center"/>
          </w:tcPr>
          <w:p>
            <w:pPr>
              <w:pStyle w:val="affffffffffffffffffffffffffffffffe"/>
            </w:pPr>
            <w:r>
              <w:t>12,794,464</w:t>
            </w:r>
          </w:p>
        </w:tc>
        <w:tc>
          <w:tcPr>
            <w:tcW w:w="193" w:type="pct"/>
            <w:shd w:val="clear" w:color="auto" w:fill="auto"/>
            <w:vAlign w:val="center"/>
          </w:tcPr>
          <w:p>
            <w:pPr>
              <w:pStyle w:val="affffffffffffffffffffffffffffffffe"/>
            </w:pPr>
          </w:p>
        </w:tc>
        <w:tc>
          <w:tcPr>
            <w:tcW w:w="193" w:type="pct"/>
            <w:shd w:val="clear" w:color="auto" w:fill="auto"/>
            <w:vAlign w:val="center"/>
          </w:tcPr>
          <w:p>
            <w:pPr>
              <w:rPr>
                <w:rFonts w:ascii="Times New Roman" w:eastAsia="Times New Roman" w:hAnsi="Times New Roman" w:cs="Times New Roman"/>
                <w:sz w:val="20"/>
                <w:szCs w:val="20"/>
              </w:rPr>
            </w:pPr>
          </w:p>
        </w:tc>
        <w:tc>
          <w:tcPr>
            <w:tcW w:w="369" w:type="pct"/>
            <w:shd w:val="clear" w:color="auto" w:fill="auto"/>
            <w:vAlign w:val="center"/>
          </w:tcPr>
          <w:p>
            <w:pPr>
              <w:pStyle w:val="affffffffffffffffffffffffffffffffe"/>
            </w:pPr>
            <w:r>
              <w:t>1,535,546</w:t>
            </w:r>
          </w:p>
        </w:tc>
        <w:tc>
          <w:tcPr>
            <w:tcW w:w="302" w:type="pct"/>
            <w:shd w:val="clear" w:color="auto" w:fill="auto"/>
            <w:vAlign w:val="center"/>
          </w:tcPr>
          <w:p>
            <w:pPr>
              <w:pStyle w:val="affffffffffffffffffffffffffffffffe"/>
            </w:pPr>
            <w:r>
              <w:t>220,340</w:t>
            </w:r>
          </w:p>
        </w:tc>
        <w:tc>
          <w:tcPr>
            <w:tcW w:w="235" w:type="pct"/>
            <w:shd w:val="clear" w:color="auto" w:fill="auto"/>
            <w:vAlign w:val="center"/>
          </w:tcPr>
          <w:p>
            <w:pPr>
              <w:pStyle w:val="affffffffffffffffffffffffffffffffe"/>
            </w:pPr>
          </w:p>
        </w:tc>
        <w:tc>
          <w:tcPr>
            <w:tcW w:w="435" w:type="pct"/>
            <w:shd w:val="clear" w:color="auto" w:fill="auto"/>
            <w:vAlign w:val="center"/>
          </w:tcPr>
          <w:p>
            <w:pPr>
              <w:rPr>
                <w:rFonts w:ascii="Times New Roman" w:eastAsia="Times New Roman" w:hAnsi="Times New Roman" w:cs="Times New Roman"/>
                <w:sz w:val="20"/>
                <w:szCs w:val="20"/>
              </w:rPr>
            </w:pPr>
          </w:p>
        </w:tc>
      </w:tr>
    </w:tbl>
    <w:p>
      <w:pPr>
        <w:pStyle w:val="affffffffffffffffffffffffffffffffe"/>
      </w:pPr>
    </w:p>
    <w:p>
      <w:pPr>
        <w:autoSpaceDE w:val="0"/>
        <w:autoSpaceDN w:val="0"/>
        <w:adjustRightInd w:val="0"/>
        <w:spacing w:afterLines="50" w:after="120" w:line="360" w:lineRule="exact"/>
        <w:ind w:firstLineChars="200" w:firstLine="420"/>
      </w:pPr>
      <w:r>
        <w:rPr>
          <w:rFonts w:hint="eastAsia"/>
        </w:rPr>
        <w:t>注：2024年9月23日，兖矿能源与Highfield Resources Limite（一家于澳大利亚证券交易所上市的公司，股份代码：HFR，“高地资源”)签署“Implementation Agreement”（“《实施协议》”）及“Equity Subscription Agreement”（“《股份认购协议》”）。兖矿能源将通过转让加拿大钾矿和注入现金认购方式获得高地资源新增发股份，上述交易尚未完成，交易完成后兖矿能源将成高地资源的第一大股东并控制董事会。</w:t>
      </w:r>
    </w:p>
    <w:p>
      <w:pPr>
        <w:pStyle w:val="afffffffffffffffffffffffffffffffff2"/>
        <w:numPr>
          <w:ilvl w:val="0"/>
          <w:numId w:val="112"/>
        </w:numPr>
        <w:ind w:leftChars="0"/>
        <w:rPr>
          <w:rFonts w:ascii="宋体" w:hAnsi="宋体" w:cs="宋体"/>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152771295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exact"/>
        <w:jc w:val="right"/>
        <w:rPr>
          <w:szCs w:val="21"/>
        </w:rPr>
      </w:pPr>
      <w:r>
        <w:rPr>
          <w:rFonts w:hint="eastAsia"/>
          <w:szCs w:val="21"/>
        </w:rPr>
        <w:lastRenderedPageBreak/>
        <w:t>单位：</w:t>
      </w:r>
      <w:sdt>
        <w:sdtPr>
          <w:rPr>
            <w:rFonts w:hint="eastAsia"/>
            <w:szCs w:val="21"/>
          </w:rPr>
          <w:alias w:val="单位：财务附注：在建工程减值准备"/>
          <w:tag w:val="_GBC_8d07728a10e04fe8975346f691b08703"/>
          <w:id w:val="-1949701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在建工程减值准备"/>
          <w:tag w:val="_GBC_dcac5a7bb0554146902fd010b31997cd"/>
          <w:id w:val="-19415954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000" w:firstRow="0" w:lastRow="0" w:firstColumn="0" w:lastColumn="0" w:noHBand="0" w:noVBand="0"/>
      </w:tblPr>
      <w:tblGrid>
        <w:gridCol w:w="1654"/>
        <w:gridCol w:w="2039"/>
        <w:gridCol w:w="2036"/>
        <w:gridCol w:w="2036"/>
        <w:gridCol w:w="2036"/>
        <w:gridCol w:w="2036"/>
        <w:gridCol w:w="2030"/>
      </w:tblGrid>
      <w:tr>
        <w:trPr>
          <w:cantSplit/>
          <w:trHeight w:val="280"/>
          <w:tblHeader/>
        </w:trPr>
        <w:bookmarkStart w:id="423" w:name="_Hlk153461314" w:displacedByCustomXml="next"/>
        <w:sdt>
          <w:sdtPr>
            <w:tag w:val="_PLD_ca5fca2bcae54c8d81b3befb48b8bf1c"/>
            <w:id w:val="-1383558199"/>
          </w:sdtPr>
          <w:sdtContent>
            <w:tc>
              <w:tcPr>
                <w:tcW w:w="596" w:type="pct"/>
                <w:tcBorders>
                  <w:top w:val="single" w:sz="2" w:space="0" w:color="auto"/>
                  <w:left w:val="single" w:sz="2" w:space="0" w:color="auto"/>
                  <w:bottom w:val="single" w:sz="2" w:space="0" w:color="auto"/>
                  <w:right w:val="single" w:sz="2" w:space="0" w:color="auto"/>
                </w:tcBorders>
                <w:shd w:val="clear" w:color="auto" w:fill="auto"/>
                <w:vAlign w:val="center"/>
              </w:tcPr>
              <w:p>
                <w:pPr>
                  <w:jc w:val="center"/>
                  <w:rPr>
                    <w:szCs w:val="21"/>
                  </w:rPr>
                </w:pPr>
                <w:r>
                  <w:rPr>
                    <w:rFonts w:hint="eastAsia"/>
                    <w:szCs w:val="21"/>
                  </w:rPr>
                  <w:t>项目</w:t>
                </w:r>
              </w:p>
            </w:tc>
          </w:sdtContent>
        </w:sdt>
        <w:sdt>
          <w:sdtPr>
            <w:tag w:val="_PLD_28dd15af0114424f8f5185950c3635bc"/>
            <w:id w:val="-176730918"/>
          </w:sdtPr>
          <w:sdtContent>
            <w:tc>
              <w:tcPr>
                <w:tcW w:w="735" w:type="pct"/>
                <w:tcBorders>
                  <w:top w:val="single" w:sz="2" w:space="0" w:color="auto"/>
                  <w:left w:val="single" w:sz="2" w:space="0" w:color="auto"/>
                  <w:bottom w:val="single" w:sz="2" w:space="0" w:color="auto"/>
                  <w:right w:val="single" w:sz="2" w:space="0" w:color="auto"/>
                </w:tcBorders>
              </w:tcPr>
              <w:p>
                <w:pPr>
                  <w:jc w:val="center"/>
                </w:pPr>
                <w:r>
                  <w:t>期初余额</w:t>
                </w:r>
              </w:p>
            </w:tc>
          </w:sdtContent>
        </w:sdt>
        <w:sdt>
          <w:sdtPr>
            <w:tag w:val="_PLD_ec3d7160e0da43cdacd9d2ec22f977da"/>
            <w:id w:val="-1895728090"/>
          </w:sdtPr>
          <w:sdtContent>
            <w:tc>
              <w:tcPr>
                <w:tcW w:w="734" w:type="pct"/>
                <w:tcBorders>
                  <w:top w:val="single" w:sz="2" w:space="0" w:color="auto"/>
                  <w:left w:val="single" w:sz="2" w:space="0" w:color="auto"/>
                  <w:bottom w:val="single" w:sz="2" w:space="0" w:color="auto"/>
                  <w:right w:val="single" w:sz="2" w:space="0" w:color="auto"/>
                </w:tcBorders>
              </w:tcPr>
              <w:p>
                <w:pPr>
                  <w:jc w:val="center"/>
                </w:pPr>
                <w:r>
                  <w:t>本期增加</w:t>
                </w:r>
              </w:p>
            </w:tc>
          </w:sdtContent>
        </w:sdt>
        <w:sdt>
          <w:sdtPr>
            <w:tag w:val="_PLD_2a4dec9242fb44d7bd2cf9053d3ffd92"/>
            <w:id w:val="619957179"/>
          </w:sdtPr>
          <w:sdtContent>
            <w:tc>
              <w:tcPr>
                <w:tcW w:w="734" w:type="pct"/>
                <w:tcBorders>
                  <w:top w:val="single" w:sz="2" w:space="0" w:color="auto"/>
                  <w:left w:val="single" w:sz="2" w:space="0" w:color="auto"/>
                  <w:bottom w:val="single" w:sz="2" w:space="0" w:color="auto"/>
                  <w:right w:val="single" w:sz="2" w:space="0" w:color="auto"/>
                </w:tcBorders>
              </w:tcPr>
              <w:p>
                <w:pPr>
                  <w:jc w:val="center"/>
                </w:pPr>
                <w:r>
                  <w:t>本期减少</w:t>
                </w:r>
              </w:p>
            </w:tc>
          </w:sdtContent>
        </w:sdt>
        <w:tc>
          <w:tcPr>
            <w:tcW w:w="734" w:type="pct"/>
            <w:tcBorders>
              <w:top w:val="single" w:sz="2" w:space="0" w:color="auto"/>
              <w:left w:val="single" w:sz="2" w:space="0" w:color="auto"/>
              <w:bottom w:val="single" w:sz="2" w:space="0" w:color="auto"/>
              <w:right w:val="single" w:sz="2" w:space="0" w:color="auto"/>
            </w:tcBorders>
          </w:tcPr>
          <w:p>
            <w:pPr>
              <w:jc w:val="center"/>
            </w:pPr>
            <w:r>
              <w:rPr>
                <w:rFonts w:hint="eastAsia"/>
              </w:rPr>
              <w:t>外币报表折算</w:t>
            </w:r>
          </w:p>
        </w:tc>
        <w:sdt>
          <w:sdtPr>
            <w:tag w:val="_PLD_a48d3febdc3b43778ed5bbd8e0c30ba0"/>
            <w:id w:val="434097326"/>
          </w:sdtPr>
          <w:sdtContent>
            <w:tc>
              <w:tcPr>
                <w:tcW w:w="734" w:type="pct"/>
                <w:tcBorders>
                  <w:top w:val="single" w:sz="2" w:space="0" w:color="auto"/>
                  <w:left w:val="single" w:sz="2" w:space="0" w:color="auto"/>
                  <w:bottom w:val="single" w:sz="2" w:space="0" w:color="auto"/>
                  <w:right w:val="single" w:sz="2" w:space="0" w:color="auto"/>
                </w:tcBorders>
              </w:tcPr>
              <w:p>
                <w:pPr>
                  <w:jc w:val="center"/>
                </w:pPr>
                <w:r>
                  <w:rPr>
                    <w:rFonts w:hint="eastAsia"/>
                  </w:rPr>
                  <w:t>期末余额</w:t>
                </w:r>
              </w:p>
            </w:tc>
          </w:sdtContent>
        </w:sdt>
        <w:sdt>
          <w:sdtPr>
            <w:tag w:val="_PLD_671763ef665249248712c4c3426bd61e"/>
            <w:id w:val="-1820800132"/>
          </w:sdtPr>
          <w:sdtContent>
            <w:tc>
              <w:tcPr>
                <w:tcW w:w="732" w:type="pct"/>
                <w:tcBorders>
                  <w:top w:val="single" w:sz="2" w:space="0" w:color="auto"/>
                  <w:left w:val="single" w:sz="2" w:space="0" w:color="auto"/>
                  <w:bottom w:val="single" w:sz="2" w:space="0" w:color="auto"/>
                  <w:right w:val="single" w:sz="2" w:space="0" w:color="auto"/>
                </w:tcBorders>
                <w:shd w:val="clear" w:color="auto" w:fill="auto"/>
                <w:vAlign w:val="center"/>
              </w:tcPr>
              <w:p>
                <w:pPr>
                  <w:jc w:val="center"/>
                  <w:rPr>
                    <w:szCs w:val="21"/>
                  </w:rPr>
                </w:pPr>
                <w:r>
                  <w:rPr>
                    <w:rFonts w:hint="eastAsia"/>
                    <w:szCs w:val="21"/>
                  </w:rPr>
                  <w:t>计提原因</w:t>
                </w:r>
              </w:p>
            </w:tc>
          </w:sdtContent>
        </w:sdt>
      </w:tr>
      <w:tr>
        <w:trPr>
          <w:cantSplit/>
        </w:trPr>
        <w:tc>
          <w:tcPr>
            <w:tcW w:w="596" w:type="pct"/>
            <w:tcBorders>
              <w:top w:val="single" w:sz="2" w:space="0" w:color="auto"/>
              <w:left w:val="single" w:sz="2" w:space="0" w:color="auto"/>
              <w:bottom w:val="single" w:sz="2" w:space="0" w:color="auto"/>
              <w:right w:val="single" w:sz="2" w:space="0" w:color="auto"/>
            </w:tcBorders>
            <w:shd w:val="clear" w:color="auto" w:fill="auto"/>
          </w:tcPr>
          <w:p>
            <w:pPr>
              <w:rPr>
                <w:szCs w:val="21"/>
              </w:rPr>
            </w:pPr>
            <w:r>
              <w:t>维简工程</w:t>
            </w:r>
          </w:p>
        </w:tc>
        <w:tc>
          <w:tcPr>
            <w:tcW w:w="735"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44,358</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p>
        </w:tc>
        <w:tc>
          <w:tcPr>
            <w:tcW w:w="734" w:type="pct"/>
            <w:tcBorders>
              <w:top w:val="single" w:sz="2" w:space="0" w:color="auto"/>
              <w:left w:val="single" w:sz="2" w:space="0" w:color="auto"/>
              <w:bottom w:val="single" w:sz="2" w:space="0" w:color="auto"/>
              <w:right w:val="single" w:sz="2" w:space="0" w:color="auto"/>
            </w:tcBorders>
            <w:vAlign w:val="center"/>
          </w:tcPr>
          <w:p>
            <w:pPr>
              <w:rPr>
                <w:rFonts w:ascii="Times New Roman" w:eastAsia="Times New Roman" w:hAnsi="Times New Roman" w:cs="Times New Roman"/>
                <w:sz w:val="20"/>
                <w:szCs w:val="20"/>
              </w:rPr>
            </w:pPr>
          </w:p>
        </w:tc>
        <w:tc>
          <w:tcPr>
            <w:tcW w:w="734" w:type="pct"/>
            <w:tcBorders>
              <w:top w:val="single" w:sz="2" w:space="0" w:color="auto"/>
              <w:left w:val="single" w:sz="2" w:space="0" w:color="auto"/>
              <w:bottom w:val="single" w:sz="2" w:space="0" w:color="auto"/>
              <w:right w:val="single" w:sz="2" w:space="0" w:color="auto"/>
            </w:tcBorders>
            <w:vAlign w:val="center"/>
          </w:tcPr>
          <w:p>
            <w:pPr>
              <w:rPr>
                <w:rFonts w:ascii="Times New Roman" w:eastAsia="Times New Roman" w:hAnsi="Times New Roman" w:cs="Times New Roman"/>
                <w:sz w:val="20"/>
                <w:szCs w:val="20"/>
              </w:rPr>
            </w:pPr>
          </w:p>
        </w:tc>
        <w:tc>
          <w:tcPr>
            <w:tcW w:w="734" w:type="pct"/>
            <w:tcBorders>
              <w:top w:val="single" w:sz="2" w:space="0" w:color="auto"/>
              <w:left w:val="single" w:sz="2" w:space="0" w:color="auto"/>
              <w:bottom w:val="single" w:sz="2" w:space="0" w:color="auto"/>
              <w:right w:val="single" w:sz="2" w:space="0" w:color="auto"/>
            </w:tcBorders>
            <w:vAlign w:val="center"/>
          </w:tcPr>
          <w:p>
            <w:pPr>
              <w:rPr>
                <w:sz w:val="24"/>
              </w:rPr>
            </w:pPr>
            <w:r>
              <w:t>44,358</w:t>
            </w:r>
          </w:p>
        </w:tc>
        <w:tc>
          <w:tcPr>
            <w:tcW w:w="732" w:type="pct"/>
            <w:tcBorders>
              <w:top w:val="single" w:sz="2" w:space="0" w:color="auto"/>
              <w:left w:val="single" w:sz="2" w:space="0" w:color="auto"/>
              <w:bottom w:val="single" w:sz="2" w:space="0" w:color="auto"/>
              <w:right w:val="single" w:sz="2" w:space="0" w:color="auto"/>
            </w:tcBorders>
            <w:shd w:val="clear" w:color="auto" w:fill="auto"/>
          </w:tcPr>
          <w:p>
            <w:pPr>
              <w:rPr>
                <w:szCs w:val="21"/>
              </w:rPr>
            </w:pPr>
          </w:p>
        </w:tc>
      </w:tr>
      <w:tr>
        <w:trPr>
          <w:cantSplit/>
        </w:trPr>
        <w:tc>
          <w:tcPr>
            <w:tcW w:w="596" w:type="pct"/>
            <w:tcBorders>
              <w:top w:val="single" w:sz="2" w:space="0" w:color="auto"/>
              <w:left w:val="single" w:sz="2" w:space="0" w:color="auto"/>
              <w:bottom w:val="single" w:sz="2" w:space="0" w:color="auto"/>
              <w:right w:val="single" w:sz="2" w:space="0" w:color="auto"/>
            </w:tcBorders>
            <w:shd w:val="clear" w:color="auto" w:fill="auto"/>
          </w:tcPr>
          <w:p>
            <w:pPr>
              <w:rPr>
                <w:szCs w:val="21"/>
              </w:rPr>
            </w:pPr>
            <w:r>
              <w:t>基建工程</w:t>
            </w:r>
          </w:p>
        </w:tc>
        <w:tc>
          <w:tcPr>
            <w:tcW w:w="735"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821,508</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p>
        </w:tc>
        <w:tc>
          <w:tcPr>
            <w:tcW w:w="734" w:type="pct"/>
            <w:tcBorders>
              <w:top w:val="single" w:sz="2" w:space="0" w:color="auto"/>
              <w:left w:val="single" w:sz="2" w:space="0" w:color="auto"/>
              <w:bottom w:val="single" w:sz="2" w:space="0" w:color="auto"/>
              <w:right w:val="single" w:sz="2" w:space="0" w:color="auto"/>
            </w:tcBorders>
            <w:vAlign w:val="center"/>
          </w:tcPr>
          <w:p>
            <w:pPr>
              <w:rPr>
                <w:sz w:val="24"/>
              </w:rPr>
            </w:pPr>
            <w:r>
              <w:t>798,333</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-55</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23,120</w:t>
            </w:r>
          </w:p>
        </w:tc>
        <w:tc>
          <w:tcPr>
            <w:tcW w:w="732" w:type="pct"/>
            <w:tcBorders>
              <w:top w:val="single" w:sz="2" w:space="0" w:color="auto"/>
              <w:left w:val="single" w:sz="2" w:space="0" w:color="auto"/>
              <w:bottom w:val="single" w:sz="2" w:space="0" w:color="auto"/>
              <w:right w:val="single" w:sz="2" w:space="0" w:color="auto"/>
            </w:tcBorders>
            <w:shd w:val="clear" w:color="auto" w:fill="auto"/>
          </w:tcPr>
          <w:p>
            <w:pPr>
              <w:rPr>
                <w:szCs w:val="21"/>
              </w:rPr>
            </w:pPr>
          </w:p>
        </w:tc>
      </w:tr>
      <w:tr>
        <w:trPr>
          <w:cantSplit/>
        </w:trPr>
        <w:tc>
          <w:tcPr>
            <w:tcW w:w="596" w:type="pct"/>
            <w:tcBorders>
              <w:top w:val="single" w:sz="2" w:space="0" w:color="auto"/>
              <w:left w:val="single" w:sz="2" w:space="0" w:color="auto"/>
              <w:bottom w:val="single" w:sz="2" w:space="0" w:color="auto"/>
              <w:right w:val="single" w:sz="2" w:space="0" w:color="auto"/>
            </w:tcBorders>
            <w:shd w:val="clear" w:color="auto" w:fill="auto"/>
          </w:tcPr>
          <w:p>
            <w:pPr>
              <w:rPr>
                <w:szCs w:val="21"/>
              </w:rPr>
            </w:pPr>
            <w:r>
              <w:t>勘探工程</w:t>
            </w:r>
          </w:p>
        </w:tc>
        <w:tc>
          <w:tcPr>
            <w:tcW w:w="735"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681,624</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p>
        </w:tc>
        <w:tc>
          <w:tcPr>
            <w:tcW w:w="734" w:type="pct"/>
            <w:tcBorders>
              <w:top w:val="single" w:sz="2" w:space="0" w:color="auto"/>
              <w:left w:val="single" w:sz="2" w:space="0" w:color="auto"/>
              <w:bottom w:val="single" w:sz="2" w:space="0" w:color="auto"/>
              <w:right w:val="single" w:sz="2" w:space="0" w:color="auto"/>
            </w:tcBorders>
            <w:vAlign w:val="center"/>
          </w:tcPr>
          <w:p>
            <w:pPr>
              <w:rPr>
                <w:rFonts w:ascii="Times New Roman" w:eastAsia="Times New Roman" w:hAnsi="Times New Roman" w:cs="Times New Roman"/>
                <w:sz w:val="20"/>
                <w:szCs w:val="20"/>
              </w:rPr>
            </w:pPr>
          </w:p>
        </w:tc>
        <w:tc>
          <w:tcPr>
            <w:tcW w:w="734" w:type="pct"/>
            <w:tcBorders>
              <w:top w:val="single" w:sz="2" w:space="0" w:color="auto"/>
              <w:left w:val="single" w:sz="2" w:space="0" w:color="auto"/>
              <w:bottom w:val="single" w:sz="2" w:space="0" w:color="auto"/>
              <w:right w:val="single" w:sz="2" w:space="0" w:color="auto"/>
            </w:tcBorders>
            <w:vAlign w:val="center"/>
          </w:tcPr>
          <w:p>
            <w:pPr>
              <w:rPr>
                <w:sz w:val="24"/>
              </w:rPr>
            </w:pPr>
            <w:r>
              <w:t>-48,046</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633,578</w:t>
            </w:r>
          </w:p>
        </w:tc>
        <w:tc>
          <w:tcPr>
            <w:tcW w:w="732" w:type="pct"/>
            <w:tcBorders>
              <w:top w:val="single" w:sz="2" w:space="0" w:color="auto"/>
              <w:left w:val="single" w:sz="2" w:space="0" w:color="auto"/>
              <w:bottom w:val="single" w:sz="2" w:space="0" w:color="auto"/>
              <w:right w:val="single" w:sz="2" w:space="0" w:color="auto"/>
            </w:tcBorders>
            <w:shd w:val="clear" w:color="auto" w:fill="auto"/>
          </w:tcPr>
          <w:p>
            <w:pPr>
              <w:rPr>
                <w:szCs w:val="21"/>
              </w:rPr>
            </w:pPr>
          </w:p>
        </w:tc>
      </w:tr>
      <w:tr>
        <w:trPr>
          <w:cantSplit/>
        </w:trPr>
        <w:tc>
          <w:tcPr>
            <w:tcW w:w="596" w:type="pct"/>
            <w:tcBorders>
              <w:top w:val="single" w:sz="2" w:space="0" w:color="auto"/>
              <w:left w:val="single" w:sz="2" w:space="0" w:color="auto"/>
              <w:bottom w:val="single" w:sz="2" w:space="0" w:color="auto"/>
              <w:right w:val="single" w:sz="2" w:space="0" w:color="auto"/>
            </w:tcBorders>
            <w:shd w:val="clear" w:color="auto" w:fill="auto"/>
          </w:tcPr>
          <w:p>
            <w:pPr>
              <w:rPr>
                <w:szCs w:val="21"/>
              </w:rPr>
            </w:pPr>
            <w:r>
              <w:t>修理工程</w:t>
            </w:r>
          </w:p>
        </w:tc>
        <w:tc>
          <w:tcPr>
            <w:tcW w:w="735"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494</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p>
        </w:tc>
        <w:tc>
          <w:tcPr>
            <w:tcW w:w="734" w:type="pct"/>
            <w:tcBorders>
              <w:top w:val="single" w:sz="2" w:space="0" w:color="auto"/>
              <w:left w:val="single" w:sz="2" w:space="0" w:color="auto"/>
              <w:bottom w:val="single" w:sz="2" w:space="0" w:color="auto"/>
              <w:right w:val="single" w:sz="2" w:space="0" w:color="auto"/>
            </w:tcBorders>
            <w:vAlign w:val="center"/>
          </w:tcPr>
          <w:p>
            <w:pPr>
              <w:rPr>
                <w:rFonts w:ascii="Times New Roman" w:eastAsia="Times New Roman" w:hAnsi="Times New Roman" w:cs="Times New Roman"/>
                <w:sz w:val="20"/>
                <w:szCs w:val="20"/>
              </w:rPr>
            </w:pPr>
          </w:p>
        </w:tc>
        <w:tc>
          <w:tcPr>
            <w:tcW w:w="734" w:type="pct"/>
            <w:tcBorders>
              <w:top w:val="single" w:sz="2" w:space="0" w:color="auto"/>
              <w:left w:val="single" w:sz="2" w:space="0" w:color="auto"/>
              <w:bottom w:val="single" w:sz="2" w:space="0" w:color="auto"/>
              <w:right w:val="single" w:sz="2" w:space="0" w:color="auto"/>
            </w:tcBorders>
            <w:vAlign w:val="center"/>
          </w:tcPr>
          <w:p>
            <w:pPr>
              <w:rPr>
                <w:rFonts w:ascii="Times New Roman" w:eastAsia="Times New Roman" w:hAnsi="Times New Roman" w:cs="Times New Roman"/>
                <w:sz w:val="20"/>
                <w:szCs w:val="20"/>
              </w:rPr>
            </w:pPr>
          </w:p>
        </w:tc>
        <w:tc>
          <w:tcPr>
            <w:tcW w:w="734" w:type="pct"/>
            <w:tcBorders>
              <w:top w:val="single" w:sz="2" w:space="0" w:color="auto"/>
              <w:left w:val="single" w:sz="2" w:space="0" w:color="auto"/>
              <w:bottom w:val="single" w:sz="2" w:space="0" w:color="auto"/>
              <w:right w:val="single" w:sz="2" w:space="0" w:color="auto"/>
            </w:tcBorders>
            <w:vAlign w:val="center"/>
          </w:tcPr>
          <w:p>
            <w:pPr>
              <w:rPr>
                <w:sz w:val="24"/>
              </w:rPr>
            </w:pPr>
            <w:r>
              <w:t>494</w:t>
            </w:r>
          </w:p>
        </w:tc>
        <w:tc>
          <w:tcPr>
            <w:tcW w:w="732" w:type="pct"/>
            <w:tcBorders>
              <w:top w:val="single" w:sz="2" w:space="0" w:color="auto"/>
              <w:left w:val="single" w:sz="2" w:space="0" w:color="auto"/>
              <w:bottom w:val="single" w:sz="2" w:space="0" w:color="auto"/>
              <w:right w:val="single" w:sz="2" w:space="0" w:color="auto"/>
            </w:tcBorders>
            <w:shd w:val="clear" w:color="auto" w:fill="auto"/>
          </w:tcPr>
          <w:p>
            <w:pPr>
              <w:rPr>
                <w:szCs w:val="21"/>
              </w:rPr>
            </w:pPr>
          </w:p>
        </w:tc>
      </w:tr>
      <w:tr>
        <w:trPr>
          <w:cantSplit/>
        </w:trPr>
        <w:tc>
          <w:tcPr>
            <w:tcW w:w="596" w:type="pct"/>
            <w:tcBorders>
              <w:top w:val="single" w:sz="2" w:space="0" w:color="auto"/>
              <w:left w:val="single" w:sz="2" w:space="0" w:color="auto"/>
              <w:bottom w:val="single" w:sz="2" w:space="0" w:color="auto"/>
              <w:right w:val="single" w:sz="2" w:space="0" w:color="auto"/>
            </w:tcBorders>
            <w:shd w:val="clear" w:color="auto" w:fill="auto"/>
            <w:vAlign w:val="center"/>
          </w:tcPr>
          <w:p>
            <w:pPr>
              <w:jc w:val="center"/>
              <w:rPr>
                <w:szCs w:val="21"/>
              </w:rPr>
            </w:pPr>
            <w:r>
              <w:rPr>
                <w:rFonts w:hint="eastAsia"/>
                <w:szCs w:val="21"/>
              </w:rPr>
              <w:t>合计</w:t>
            </w:r>
          </w:p>
        </w:tc>
        <w:tc>
          <w:tcPr>
            <w:tcW w:w="735"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1,547,984</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p>
        </w:tc>
        <w:tc>
          <w:tcPr>
            <w:tcW w:w="734" w:type="pct"/>
            <w:tcBorders>
              <w:top w:val="single" w:sz="2" w:space="0" w:color="auto"/>
              <w:left w:val="single" w:sz="2" w:space="0" w:color="auto"/>
              <w:bottom w:val="single" w:sz="2" w:space="0" w:color="auto"/>
              <w:right w:val="single" w:sz="2" w:space="0" w:color="auto"/>
            </w:tcBorders>
            <w:vAlign w:val="center"/>
          </w:tcPr>
          <w:p>
            <w:pPr>
              <w:rPr>
                <w:sz w:val="24"/>
              </w:rPr>
            </w:pPr>
            <w:r>
              <w:t>798,333</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-48,101</w:t>
            </w:r>
          </w:p>
        </w:tc>
        <w:tc>
          <w:tcPr>
            <w:tcW w:w="734" w:type="pct"/>
            <w:tcBorders>
              <w:top w:val="single" w:sz="2" w:space="0" w:color="auto"/>
              <w:left w:val="single" w:sz="2" w:space="0" w:color="auto"/>
              <w:bottom w:val="single" w:sz="2" w:space="0" w:color="auto"/>
              <w:right w:val="single" w:sz="2" w:space="0" w:color="auto"/>
            </w:tcBorders>
            <w:vAlign w:val="center"/>
          </w:tcPr>
          <w:p>
            <w:pPr>
              <w:pStyle w:val="affffffffffffffffffffffffffffffffe"/>
            </w:pPr>
            <w:r>
              <w:t>701,550</w:t>
            </w:r>
          </w:p>
        </w:tc>
        <w:tc>
          <w:tcPr>
            <w:tcW w:w="732" w:type="pct"/>
            <w:tcBorders>
              <w:top w:val="single" w:sz="2" w:space="0" w:color="auto"/>
              <w:left w:val="single" w:sz="2" w:space="0" w:color="auto"/>
              <w:bottom w:val="single" w:sz="2" w:space="0" w:color="auto"/>
              <w:right w:val="single" w:sz="2" w:space="0" w:color="auto"/>
            </w:tcBorders>
            <w:shd w:val="clear" w:color="auto" w:fill="auto"/>
          </w:tcPr>
          <w:p>
            <w:pPr>
              <w:jc w:val="center"/>
              <w:rPr>
                <w:szCs w:val="21"/>
              </w:rPr>
            </w:pPr>
            <w:r>
              <w:rPr>
                <w:szCs w:val="21"/>
              </w:rPr>
              <w:t>/</w:t>
            </w:r>
          </w:p>
        </w:tc>
      </w:tr>
    </w:tbl>
    <w:p>
      <w:pPr>
        <w:pStyle w:val="affffffffffffffffffffffffffffffffe"/>
      </w:pPr>
    </w:p>
    <w:p>
      <w:pPr>
        <w:pStyle w:val="afffffffffffffffffffffffffffffffff2"/>
        <w:numPr>
          <w:ilvl w:val="0"/>
          <w:numId w:val="112"/>
        </w:numPr>
        <w:ind w:leftChars="0"/>
        <w:rPr>
          <w:rFonts w:ascii="宋体" w:hAnsi="宋体" w:cs="宋体"/>
          <w:kern w:val="0"/>
          <w:szCs w:val="24"/>
        </w:rPr>
      </w:pPr>
      <w:r>
        <w:rPr>
          <w:rFonts w:ascii="宋体" w:hAnsi="宋体" w:cs="宋体" w:hint="eastAsia"/>
          <w:kern w:val="0"/>
          <w:szCs w:val="24"/>
        </w:rPr>
        <w:t>在建工程的减值测试情况</w:t>
      </w:r>
    </w:p>
    <w:sdt>
      <w:sdtPr>
        <w:alias w:val="是否适用：减值测试情况[双击切换]"/>
        <w:tag w:val="_GBC_d3e3ceb3450d42e8a3d61da2c2d7d3cb"/>
        <w:id w:val="-128218722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sectPr>
          <w:pgSz w:w="16838" w:h="11906" w:orient="landscape"/>
          <w:pgMar w:top="1276" w:right="1440" w:bottom="1797" w:left="1525" w:header="856" w:footer="992" w:gutter="0"/>
          <w:cols w:space="425"/>
          <w:docGrid w:linePitch="312"/>
        </w:sectPr>
      </w:pPr>
    </w:p>
    <w:p>
      <w:pPr>
        <w:pStyle w:val="affffffffffffffffffffffffffffffffe"/>
      </w:pPr>
    </w:p>
    <w:p>
      <w:pPr>
        <w:snapToGrid w:val="0"/>
        <w:spacing w:line="240" w:lineRule="atLeast"/>
        <w:rPr>
          <w:szCs w:val="21"/>
        </w:rPr>
      </w:pPr>
    </w:p>
    <w:bookmarkEnd w:id="423"/>
    <w:p>
      <w:pPr>
        <w:rPr>
          <w:szCs w:val="21"/>
        </w:rPr>
      </w:pPr>
      <w:r>
        <w:rPr>
          <w:rFonts w:hint="eastAsia"/>
          <w:szCs w:val="21"/>
        </w:rPr>
        <w:t>其他说明：</w:t>
      </w:r>
    </w:p>
    <w:sdt>
      <w:sdtPr>
        <w:rPr>
          <w:szCs w:val="21"/>
        </w:rPr>
        <w:alias w:val="是否适用：在建工程的说明[双击切换]"/>
        <w:tag w:val="_GBC_e6220a45d928426882f5c3ad23ff2098"/>
        <w:id w:val="218330440"/>
        <w:placeholder>
          <w:docPart w:val="GBC22222222222222222222222222222"/>
        </w:placeholder>
      </w:sdtPr>
      <w:sdtContent>
        <w:p>
          <w:pPr>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11"/>
        </w:numPr>
      </w:pPr>
      <w:bookmarkStart w:id="424" w:name="_Hlk532903321"/>
      <w:r>
        <w:rPr>
          <w:rFonts w:hint="eastAsia"/>
        </w:rPr>
        <w:t>工程物资</w:t>
      </w:r>
    </w:p>
    <w:p>
      <w:pPr>
        <w:pStyle w:val="afffffffffffffffffffffffffffffffff2"/>
        <w:numPr>
          <w:ilvl w:val="0"/>
          <w:numId w:val="113"/>
        </w:numPr>
        <w:ind w:leftChars="0"/>
      </w:pPr>
      <w:r>
        <w:rPr>
          <w:rFonts w:hint="eastAsia"/>
        </w:rPr>
        <w:t>工程物资情况</w:t>
      </w:r>
    </w:p>
    <w:sdt>
      <w:sdtPr>
        <w:alias w:val="是否适用：工程物资[双击切换]"/>
        <w:tag w:val="_GBC_91916c11fa864423a1c0e6a4024fdda5"/>
        <w:id w:val="-1300297794"/>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rFonts w:cstheme="minorBidi"/>
          <w:szCs w:val="21"/>
        </w:rPr>
      </w:pPr>
    </w:p>
    <w:bookmarkEnd w:id="424"/>
    <w:p>
      <w:pPr>
        <w:pStyle w:val="afffffffffffffffffffffffffffffffff0"/>
        <w:numPr>
          <w:ilvl w:val="0"/>
          <w:numId w:val="103"/>
        </w:numPr>
        <w:tabs>
          <w:tab w:val="left" w:pos="504"/>
        </w:tabs>
        <w:rPr>
          <w:rFonts w:ascii="宋体" w:hAnsi="宋体"/>
          <w:szCs w:val="21"/>
        </w:rPr>
      </w:pPr>
      <w:r>
        <w:rPr>
          <w:rFonts w:ascii="宋体" w:hAnsi="宋体" w:hint="eastAsia"/>
          <w:szCs w:val="21"/>
        </w:rPr>
        <w:t>生产性生物资产</w:t>
      </w:r>
    </w:p>
    <w:p>
      <w:pPr>
        <w:pStyle w:val="afffffffffffffffffffffffffffffffff1"/>
        <w:numPr>
          <w:ilvl w:val="3"/>
          <w:numId w:val="173"/>
        </w:numPr>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385304084"/>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heme="minorBidi"/>
          <w:szCs w:val="21"/>
        </w:rPr>
      </w:pPr>
    </w:p>
    <w:p>
      <w:pPr>
        <w:pStyle w:val="afffffffffffffffffffffffffffffffff1"/>
        <w:numPr>
          <w:ilvl w:val="3"/>
          <w:numId w:val="173"/>
        </w:numPr>
        <w:ind w:left="426" w:hanging="426"/>
        <w:rPr>
          <w:rFonts w:ascii="宋体" w:eastAsia="宋体" w:hAnsi="宋体" w:cstheme="minorBidi"/>
          <w:kern w:val="0"/>
          <w:szCs w:val="24"/>
        </w:rPr>
      </w:pPr>
      <w:bookmarkStart w:id="425"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30582817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snapToGrid w:val="0"/>
        <w:spacing w:line="240" w:lineRule="atLeast"/>
        <w:rPr>
          <w:szCs w:val="21"/>
        </w:rPr>
      </w:pPr>
    </w:p>
    <w:bookmarkEnd w:id="425"/>
    <w:p>
      <w:pPr>
        <w:pStyle w:val="afffffffffffffffffffffffffffffffff1"/>
        <w:numPr>
          <w:ilvl w:val="3"/>
          <w:numId w:val="173"/>
        </w:numPr>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1060066128"/>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autoSpaceDE w:val="0"/>
        <w:autoSpaceDN w:val="0"/>
        <w:adjustRightInd w:val="0"/>
        <w:rPr>
          <w:szCs w:val="21"/>
        </w:rPr>
      </w:pPr>
      <w:r>
        <w:rPr>
          <w:rFonts w:hint="eastAsia"/>
          <w:szCs w:val="21"/>
        </w:rPr>
        <w:t>其他说明：</w:t>
      </w:r>
    </w:p>
    <w:sdt>
      <w:sdtPr>
        <w:rPr>
          <w:szCs w:val="21"/>
        </w:rPr>
        <w:alias w:val="是否适用：生产性生物资产的说明[双击切换]"/>
        <w:tag w:val="_GBC_d3e0f749d04b4097a0886c38dadda8f4"/>
        <w:id w:val="1897477706"/>
        <w:placeholder>
          <w:docPart w:val="GBC22222222222222222222222222222"/>
        </w:placeholder>
      </w:sdtPr>
      <w:sdtContent>
        <w:p>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03"/>
        </w:numPr>
        <w:tabs>
          <w:tab w:val="left" w:pos="504"/>
        </w:tabs>
        <w:rPr>
          <w:rFonts w:ascii="宋体" w:hAnsi="宋体"/>
          <w:szCs w:val="21"/>
        </w:rPr>
      </w:pPr>
      <w:r>
        <w:rPr>
          <w:rFonts w:ascii="宋体" w:hAnsi="宋体" w:hint="eastAsia"/>
          <w:szCs w:val="21"/>
        </w:rPr>
        <w:t>油气资产</w:t>
      </w:r>
    </w:p>
    <w:p>
      <w:pPr>
        <w:pStyle w:val="afffffffffffffffffffffffffffffffff1"/>
        <w:numPr>
          <w:ilvl w:val="0"/>
          <w:numId w:val="114"/>
        </w:numPr>
        <w:ind w:left="450" w:hanging="450"/>
      </w:pPr>
      <w:r>
        <w:rPr>
          <w:rFonts w:hint="eastAsia"/>
        </w:rPr>
        <w:t>油气资产情况</w:t>
      </w:r>
    </w:p>
    <w:sdt>
      <w:sdtPr>
        <w:alias w:val="是否适用：油气资产[双击切换]"/>
        <w:tag w:val="_GBC_a587239cd6ac4d96b99f6fe496e97c34"/>
        <w:id w:val="9729339"/>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kern w:val="2"/>
          <w:szCs w:val="21"/>
        </w:rPr>
      </w:pPr>
    </w:p>
    <w:p>
      <w:pPr>
        <w:pStyle w:val="afffffffffffffffffffffffffffffffff1"/>
        <w:numPr>
          <w:ilvl w:val="0"/>
          <w:numId w:val="114"/>
        </w:numPr>
        <w:ind w:left="450" w:hanging="450"/>
      </w:pPr>
      <w:bookmarkStart w:id="426" w:name="_Hlk153461604"/>
      <w:r>
        <w:rPr>
          <w:rFonts w:hint="eastAsia"/>
        </w:rPr>
        <w:t>油气资产的减值测试情况</w:t>
      </w:r>
    </w:p>
    <w:sdt>
      <w:sdtPr>
        <w:alias w:val="是否适用：减值测试情况[双击切换]"/>
        <w:tag w:val="_GBC_c658db7dbb96462dbe4ab745ca73e3ca"/>
        <w:id w:val="-149017425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snapToGrid w:val="0"/>
        <w:spacing w:line="240" w:lineRule="atLeast"/>
        <w:rPr>
          <w:szCs w:val="21"/>
        </w:rPr>
      </w:pPr>
    </w:p>
    <w:p>
      <w:pPr>
        <w:autoSpaceDE w:val="0"/>
        <w:autoSpaceDN w:val="0"/>
        <w:adjustRightInd w:val="0"/>
        <w:rPr>
          <w:szCs w:val="21"/>
        </w:rPr>
      </w:pPr>
      <w:bookmarkStart w:id="427" w:name="_Hlk152863119"/>
      <w:bookmarkEnd w:id="426"/>
      <w:r>
        <w:rPr>
          <w:rFonts w:hint="eastAsia"/>
          <w:szCs w:val="21"/>
        </w:rPr>
        <w:t>其他说明：</w:t>
      </w:r>
    </w:p>
    <w:p>
      <w:pPr>
        <w:rPr>
          <w:szCs w:val="21"/>
        </w:rPr>
      </w:pPr>
      <w:sdt>
        <w:sdtPr>
          <w:rPr>
            <w:szCs w:val="21"/>
          </w:rPr>
          <w:alias w:val="油气资产的说明"/>
          <w:tag w:val="_GBC_4766b2b071af48e7aaf22a35a082671e"/>
          <w:id w:val="-400907260"/>
          <w:placeholder>
            <w:docPart w:val="GBC22222222222222222222222222222"/>
          </w:placeholder>
        </w:sdtPr>
        <w:sdtContent>
          <w:r>
            <w:rPr>
              <w:szCs w:val="21"/>
            </w:rPr>
            <w:t>-</w:t>
          </w:r>
        </w:sdtContent>
      </w:sdt>
    </w:p>
    <w:bookmarkEnd w:id="427"/>
    <w:p>
      <w:pPr>
        <w:rPr>
          <w:szCs w:val="21"/>
        </w:rPr>
      </w:pPr>
    </w:p>
    <w:bookmarkStart w:id="428" w:name="_Hlk121390344" w:displacedByCustomXml="next"/>
    <w:bookmarkStart w:id="429" w:name="_Hlk24026112" w:displacedByCustomXml="next"/>
    <w:sdt>
      <w:sdtPr>
        <w:rPr>
          <w:rFonts w:ascii="宋体" w:eastAsia="黑体" w:hAnsi="宋体" w:cs="宋体" w:hint="eastAsia"/>
          <w:b w:val="0"/>
          <w:bCs w:val="0"/>
          <w:kern w:val="0"/>
          <w:sz w:val="24"/>
          <w:szCs w:val="21"/>
          <w14:ligatures w14:val="standardContextual"/>
        </w:rPr>
        <w:alias w:val="模块:使用权资产"/>
        <w:tag w:val="_SEC_56ef077439914c3f97ba31c1af9eef32"/>
        <w:id w:val="1764410529"/>
        <w:placeholder>
          <w:docPart w:val="GBC22222222222222222222222222222"/>
        </w:placeholder>
      </w:sdtPr>
      <w:sdtEndPr>
        <w:rPr>
          <w:rFonts w:ascii="黑体" w:hAnsiTheme="minorHAnsi" w:cstheme="minorBidi"/>
          <w:b/>
          <w:kern w:val="2"/>
          <w:szCs w:val="24"/>
        </w:rPr>
      </w:sdtEndPr>
      <w:sdtContent>
        <w:sdt>
          <w:sdtPr>
            <w:tag w:val="_PLD_711cc8de7e9f47e8bf0e59a53059ca2e"/>
            <w:id w:val="-1917383779"/>
          </w:sdtPr>
          <w:sdtContent>
            <w:p>
              <w:pPr>
                <w:pStyle w:val="affffffffffffffffff6"/>
                <w:numPr>
                  <w:ilvl w:val="0"/>
                  <w:numId w:val="103"/>
                </w:numPr>
                <w:tabs>
                  <w:tab w:val="left" w:pos="504"/>
                </w:tabs>
                <w:rPr>
                  <w:szCs w:val="21"/>
                </w:rPr>
              </w:pPr>
              <w:r>
                <w:rPr>
                  <w:rFonts w:hint="eastAsia"/>
                  <w:szCs w:val="21"/>
                </w:rPr>
                <w:t>使用权资产</w:t>
              </w:r>
            </w:p>
          </w:sdtContent>
        </w:sdt>
        <w:p>
          <w:pPr>
            <w:pStyle w:val="affffffffffffffffff7"/>
            <w:numPr>
              <w:ilvl w:val="0"/>
              <w:numId w:val="115"/>
            </w:numPr>
            <w:ind w:left="450" w:hanging="450"/>
          </w:pPr>
          <w:r>
            <w:rPr>
              <w:rFonts w:hint="eastAsia"/>
            </w:rPr>
            <w:t>使用权资产情况</w:t>
          </w:r>
        </w:p>
        <w:sdt>
          <w:sdtPr>
            <w:alias w:val="是否适用：使用权资产[双击切换]"/>
            <w:tag w:val="_GBC_0d86ed9789d84ef592fcb1556e3f676f"/>
            <w:id w:val="-882869125"/>
          </w:sdtPr>
          <w:sdtContent>
            <w:p>
              <w:pPr>
                <w:pStyle w:val="affffffffffffffffff3"/>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701167983"/>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使用权资产"/>
              <w:tag w:val="_GBC_52957ed8d1644c96801bc28a57ac0486"/>
              <w:id w:val="964544412"/>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Style w:val="affffffffff8"/>
            <w:tblW w:w="540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2"/>
            <w:gridCol w:w="1267"/>
            <w:gridCol w:w="1267"/>
            <w:gridCol w:w="1581"/>
            <w:gridCol w:w="797"/>
            <w:gridCol w:w="1267"/>
            <w:gridCol w:w="1167"/>
          </w:tblGrid>
          <w:tr>
            <w:trPr>
              <w:trHeight w:val="284"/>
            </w:trPr>
            <w:sdt>
              <w:sdtPr>
                <w:tag w:val="_PLD_6e52ac1447e040bbbee6d5db3fc1c995"/>
                <w:id w:val="381377821"/>
              </w:sdtPr>
              <w:sdtContent>
                <w:tc>
                  <w:tcPr>
                    <w:tcW w:w="1149" w:type="pct"/>
                    <w:shd w:val="clear" w:color="auto" w:fill="auto"/>
                    <w:vAlign w:val="center"/>
                  </w:tcPr>
                  <w:p>
                    <w:pPr>
                      <w:spacing w:line="240" w:lineRule="atLeast"/>
                      <w:jc w:val="center"/>
                      <w:rPr>
                        <w:szCs w:val="21"/>
                      </w:rPr>
                    </w:pPr>
                    <w:r>
                      <w:rPr>
                        <w:rFonts w:hint="eastAsia"/>
                        <w:szCs w:val="21"/>
                      </w:rPr>
                      <w:t>项目</w:t>
                    </w:r>
                  </w:p>
                </w:tc>
              </w:sdtContent>
            </w:sdt>
            <w:sdt>
              <w:sdtPr>
                <w:rPr>
                  <w:szCs w:val="21"/>
                </w:rPr>
                <w:alias w:val="使用权资产明细-项目"/>
                <w:tag w:val="_GBC_8854a3b92dce426b81aa78cb836a99cd"/>
                <w:id w:val="-2130305846"/>
              </w:sdtPr>
              <w:sdtContent>
                <w:tc>
                  <w:tcPr>
                    <w:tcW w:w="664" w:type="pct"/>
                    <w:shd w:val="clear" w:color="auto" w:fill="auto"/>
                    <w:vAlign w:val="center"/>
                  </w:tcPr>
                  <w:p>
                    <w:pPr>
                      <w:spacing w:line="240" w:lineRule="atLeast"/>
                      <w:jc w:val="center"/>
                      <w:rPr>
                        <w:szCs w:val="21"/>
                      </w:rPr>
                    </w:pPr>
                    <w:r>
                      <w:rPr>
                        <w:szCs w:val="21"/>
                      </w:rPr>
                      <w:t>房屋建筑物</w:t>
                    </w:r>
                  </w:p>
                </w:tc>
              </w:sdtContent>
            </w:sdt>
            <w:sdt>
              <w:sdtPr>
                <w:rPr>
                  <w:szCs w:val="21"/>
                </w:rPr>
                <w:alias w:val="使用权资产明细-项目"/>
                <w:tag w:val="_GBC_8854a3b92dce426b81aa78cb836a99cd"/>
                <w:id w:val="-868681076"/>
              </w:sdtPr>
              <w:sdtContent>
                <w:tc>
                  <w:tcPr>
                    <w:tcW w:w="664" w:type="pct"/>
                    <w:shd w:val="clear" w:color="auto" w:fill="auto"/>
                    <w:vAlign w:val="center"/>
                  </w:tcPr>
                  <w:p>
                    <w:pPr>
                      <w:spacing w:line="240" w:lineRule="atLeast"/>
                      <w:jc w:val="center"/>
                      <w:rPr>
                        <w:szCs w:val="21"/>
                      </w:rPr>
                    </w:pPr>
                    <w:r>
                      <w:rPr>
                        <w:szCs w:val="21"/>
                      </w:rPr>
                      <w:t>地面建筑物</w:t>
                    </w:r>
                  </w:p>
                </w:tc>
              </w:sdtContent>
            </w:sdt>
            <w:sdt>
              <w:sdtPr>
                <w:rPr>
                  <w:szCs w:val="21"/>
                </w:rPr>
                <w:alias w:val="使用权资产明细-项目"/>
                <w:tag w:val="_GBC_8854a3b92dce426b81aa78cb836a99cd"/>
                <w:id w:val="1112705072"/>
              </w:sdtPr>
              <w:sdtContent>
                <w:tc>
                  <w:tcPr>
                    <w:tcW w:w="829" w:type="pct"/>
                    <w:shd w:val="clear" w:color="auto" w:fill="auto"/>
                    <w:vAlign w:val="center"/>
                  </w:tcPr>
                  <w:p>
                    <w:pPr>
                      <w:spacing w:line="240" w:lineRule="atLeast"/>
                      <w:jc w:val="center"/>
                      <w:rPr>
                        <w:szCs w:val="21"/>
                      </w:rPr>
                    </w:pPr>
                    <w:r>
                      <w:rPr>
                        <w:szCs w:val="21"/>
                      </w:rPr>
                      <w:t>机器设备</w:t>
                    </w:r>
                  </w:p>
                </w:tc>
              </w:sdtContent>
            </w:sdt>
            <w:sdt>
              <w:sdtPr>
                <w:rPr>
                  <w:szCs w:val="21"/>
                </w:rPr>
                <w:alias w:val="使用权资产明细-项目"/>
                <w:tag w:val="_GBC_8854a3b92dce426b81aa78cb836a99cd"/>
                <w:id w:val="-47466438"/>
              </w:sdtPr>
              <w:sdtContent>
                <w:tc>
                  <w:tcPr>
                    <w:tcW w:w="418" w:type="pct"/>
                    <w:shd w:val="clear" w:color="auto" w:fill="auto"/>
                    <w:vAlign w:val="center"/>
                  </w:tcPr>
                  <w:p>
                    <w:pPr>
                      <w:spacing w:line="240" w:lineRule="atLeast"/>
                      <w:jc w:val="center"/>
                      <w:rPr>
                        <w:szCs w:val="21"/>
                      </w:rPr>
                    </w:pPr>
                    <w:r>
                      <w:rPr>
                        <w:szCs w:val="21"/>
                      </w:rPr>
                      <w:t>运输设备</w:t>
                    </w:r>
                  </w:p>
                </w:tc>
              </w:sdtContent>
            </w:sdt>
            <w:sdt>
              <w:sdtPr>
                <w:rPr>
                  <w:szCs w:val="21"/>
                </w:rPr>
                <w:alias w:val="使用权资产明细-项目"/>
                <w:tag w:val="_GBC_8854a3b92dce426b81aa78cb836a99cd"/>
                <w:id w:val="-220754348"/>
              </w:sdtPr>
              <w:sdtContent>
                <w:tc>
                  <w:tcPr>
                    <w:tcW w:w="664" w:type="pct"/>
                    <w:shd w:val="clear" w:color="auto" w:fill="auto"/>
                    <w:vAlign w:val="center"/>
                  </w:tcPr>
                  <w:p>
                    <w:pPr>
                      <w:spacing w:line="240" w:lineRule="atLeast"/>
                      <w:jc w:val="center"/>
                      <w:rPr>
                        <w:szCs w:val="21"/>
                      </w:rPr>
                    </w:pPr>
                    <w:r>
                      <w:rPr>
                        <w:szCs w:val="21"/>
                      </w:rPr>
                      <w:t>其他</w:t>
                    </w:r>
                  </w:p>
                </w:tc>
              </w:sdtContent>
            </w:sdt>
            <w:sdt>
              <w:sdtPr>
                <w:tag w:val="_PLD_9c5be9b6ed044311be8a2370c18f35f0"/>
                <w:id w:val="-1642499195"/>
              </w:sdtPr>
              <w:sdtContent>
                <w:tc>
                  <w:tcPr>
                    <w:tcW w:w="613" w:type="pct"/>
                    <w:shd w:val="clear" w:color="auto" w:fill="auto"/>
                    <w:vAlign w:val="center"/>
                  </w:tcPr>
                  <w:p>
                    <w:pPr>
                      <w:spacing w:line="240" w:lineRule="atLeast"/>
                      <w:jc w:val="center"/>
                      <w:rPr>
                        <w:szCs w:val="21"/>
                      </w:rPr>
                    </w:pPr>
                    <w:r>
                      <w:rPr>
                        <w:szCs w:val="21"/>
                      </w:rPr>
                      <w:t>合计</w:t>
                    </w:r>
                  </w:p>
                </w:tc>
              </w:sdtContent>
            </w:sdt>
          </w:tr>
          <w:tr>
            <w:trPr>
              <w:trHeight w:val="284"/>
            </w:trPr>
            <w:sdt>
              <w:sdtPr>
                <w:tag w:val="_PLD_3548dba12ab44fffb8352baf0a2432b0"/>
                <w:id w:val="555680484"/>
              </w:sdtPr>
              <w:sdtContent>
                <w:tc>
                  <w:tcPr>
                    <w:tcW w:w="5000" w:type="pct"/>
                    <w:gridSpan w:val="7"/>
                    <w:shd w:val="clear" w:color="auto" w:fill="auto"/>
                    <w:vAlign w:val="center"/>
                  </w:tcPr>
                  <w:p>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trPr>
              <w:trHeight w:val="284"/>
            </w:trPr>
            <w:tc>
              <w:tcPr>
                <w:tcW w:w="1149" w:type="pct"/>
                <w:shd w:val="clear" w:color="auto" w:fill="auto"/>
                <w:vAlign w:val="center"/>
              </w:tcPr>
              <w:p>
                <w:pPr>
                  <w:spacing w:line="240" w:lineRule="atLeast"/>
                  <w:rPr>
                    <w:szCs w:val="21"/>
                  </w:rPr>
                </w:pPr>
                <w:r>
                  <w:rPr>
                    <w:szCs w:val="21"/>
                  </w:rPr>
                  <w:lastRenderedPageBreak/>
                  <w:t xml:space="preserve">    1.</w:t>
                </w:r>
                <w:r>
                  <w:rPr>
                    <w:rFonts w:hint="eastAsia"/>
                    <w:szCs w:val="21"/>
                  </w:rPr>
                  <w:t>期</w:t>
                </w:r>
                <w:r>
                  <w:rPr>
                    <w:szCs w:val="21"/>
                  </w:rPr>
                  <w:t>初余额</w:t>
                </w:r>
              </w:p>
            </w:tc>
            <w:tc>
              <w:tcPr>
                <w:tcW w:w="664" w:type="pct"/>
                <w:shd w:val="clear" w:color="auto" w:fill="auto"/>
                <w:vAlign w:val="center"/>
              </w:tcPr>
              <w:p>
                <w:pPr>
                  <w:spacing w:line="240" w:lineRule="atLeast"/>
                  <w:ind w:firstLineChars="200" w:firstLine="420"/>
                  <w:jc w:val="right"/>
                  <w:rPr>
                    <w:szCs w:val="21"/>
                  </w:rPr>
                </w:pPr>
                <w:r>
                  <w:rPr>
                    <w:szCs w:val="21"/>
                  </w:rPr>
                  <w:t>20,909</w:t>
                </w:r>
              </w:p>
            </w:tc>
            <w:tc>
              <w:tcPr>
                <w:tcW w:w="664" w:type="pct"/>
                <w:shd w:val="clear" w:color="auto" w:fill="auto"/>
                <w:vAlign w:val="center"/>
              </w:tcPr>
              <w:p>
                <w:pPr>
                  <w:spacing w:line="240" w:lineRule="atLeast"/>
                  <w:ind w:firstLineChars="200" w:firstLine="420"/>
                  <w:jc w:val="right"/>
                  <w:rPr>
                    <w:szCs w:val="21"/>
                  </w:rPr>
                </w:pPr>
                <w:r>
                  <w:rPr>
                    <w:szCs w:val="21"/>
                  </w:rPr>
                  <w:t>32,409</w:t>
                </w:r>
              </w:p>
            </w:tc>
            <w:tc>
              <w:tcPr>
                <w:tcW w:w="829" w:type="pct"/>
                <w:shd w:val="clear" w:color="auto" w:fill="auto"/>
                <w:vAlign w:val="center"/>
              </w:tcPr>
              <w:p>
                <w:pPr>
                  <w:spacing w:line="240" w:lineRule="atLeast"/>
                  <w:ind w:firstLineChars="200" w:firstLine="420"/>
                  <w:jc w:val="right"/>
                  <w:rPr>
                    <w:szCs w:val="21"/>
                  </w:rPr>
                </w:pPr>
                <w:r>
                  <w:rPr>
                    <w:szCs w:val="21"/>
                  </w:rPr>
                  <w:t>1,270,208</w:t>
                </w:r>
              </w:p>
            </w:tc>
            <w:tc>
              <w:tcPr>
                <w:tcW w:w="418" w:type="pct"/>
                <w:shd w:val="clear" w:color="auto" w:fill="auto"/>
              </w:tcPr>
              <w:p>
                <w:pPr>
                  <w:spacing w:line="240" w:lineRule="atLeast"/>
                  <w:ind w:firstLineChars="200" w:firstLine="420"/>
                  <w:jc w:val="right"/>
                  <w:rPr>
                    <w:szCs w:val="21"/>
                  </w:rPr>
                </w:pPr>
                <w:r>
                  <w:rPr>
                    <w:rFonts w:hint="eastAsia"/>
                  </w:rPr>
                  <w:t xml:space="preserve">　</w:t>
                </w:r>
              </w:p>
            </w:tc>
            <w:tc>
              <w:tcPr>
                <w:tcW w:w="664" w:type="pct"/>
                <w:shd w:val="clear" w:color="auto" w:fill="auto"/>
                <w:vAlign w:val="center"/>
              </w:tcPr>
              <w:p>
                <w:pPr>
                  <w:spacing w:line="240" w:lineRule="atLeast"/>
                  <w:ind w:firstLineChars="200" w:firstLine="420"/>
                  <w:jc w:val="right"/>
                  <w:rPr>
                    <w:szCs w:val="21"/>
                  </w:rPr>
                </w:pPr>
                <w:r>
                  <w:rPr>
                    <w:szCs w:val="21"/>
                  </w:rPr>
                  <w:t>13,461</w:t>
                </w:r>
              </w:p>
            </w:tc>
            <w:tc>
              <w:tcPr>
                <w:tcW w:w="613" w:type="pct"/>
                <w:shd w:val="clear" w:color="auto" w:fill="auto"/>
                <w:vAlign w:val="center"/>
              </w:tcPr>
              <w:p>
                <w:pPr>
                  <w:spacing w:line="240" w:lineRule="atLeast"/>
                  <w:jc w:val="right"/>
                  <w:rPr>
                    <w:szCs w:val="21"/>
                  </w:rPr>
                </w:pPr>
                <w:r>
                  <w:rPr>
                    <w:szCs w:val="21"/>
                  </w:rPr>
                  <w:t>1,336,987</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2.本期增加</w:t>
                </w:r>
                <w:r>
                  <w:rPr>
                    <w:rFonts w:hint="eastAsia"/>
                    <w:szCs w:val="21"/>
                  </w:rPr>
                  <w:t>金额</w:t>
                </w:r>
              </w:p>
            </w:tc>
            <w:tc>
              <w:tcPr>
                <w:tcW w:w="664" w:type="pct"/>
                <w:shd w:val="clear" w:color="auto" w:fill="auto"/>
                <w:vAlign w:val="center"/>
              </w:tcPr>
              <w:p>
                <w:pPr>
                  <w:spacing w:line="240" w:lineRule="atLeast"/>
                  <w:jc w:val="right"/>
                  <w:rPr>
                    <w:szCs w:val="21"/>
                  </w:rPr>
                </w:pPr>
                <w:r>
                  <w:rPr>
                    <w:szCs w:val="21"/>
                  </w:rPr>
                  <w:t>69,482</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vAlign w:val="center"/>
              </w:tcPr>
              <w:p>
                <w:pPr>
                  <w:spacing w:line="240" w:lineRule="atLeast"/>
                  <w:jc w:val="right"/>
                  <w:rPr>
                    <w:szCs w:val="21"/>
                  </w:rPr>
                </w:pPr>
                <w:r>
                  <w:rPr>
                    <w:szCs w:val="21"/>
                  </w:rPr>
                  <w:t>80,463</w:t>
                </w:r>
              </w:p>
            </w:tc>
            <w:tc>
              <w:tcPr>
                <w:tcW w:w="418" w:type="pct"/>
                <w:shd w:val="clear" w:color="auto" w:fill="auto"/>
                <w:vAlign w:val="center"/>
              </w:tcPr>
              <w:p>
                <w:pPr>
                  <w:spacing w:line="240" w:lineRule="atLeast"/>
                  <w:jc w:val="right"/>
                  <w:rPr>
                    <w:szCs w:val="21"/>
                  </w:rPr>
                </w:pPr>
                <w:r>
                  <w:rPr>
                    <w:szCs w:val="21"/>
                  </w:rPr>
                  <w:t>658</w:t>
                </w:r>
              </w:p>
            </w:tc>
            <w:tc>
              <w:tcPr>
                <w:tcW w:w="664" w:type="pct"/>
                <w:shd w:val="clear" w:color="auto" w:fill="auto"/>
                <w:vAlign w:val="center"/>
              </w:tcPr>
              <w:p>
                <w:pPr>
                  <w:spacing w:line="240" w:lineRule="atLeast"/>
                  <w:jc w:val="right"/>
                  <w:rPr>
                    <w:szCs w:val="21"/>
                  </w:rPr>
                </w:pPr>
                <w:r>
                  <w:rPr>
                    <w:szCs w:val="21"/>
                  </w:rPr>
                  <w:t>48,755</w:t>
                </w:r>
              </w:p>
            </w:tc>
            <w:tc>
              <w:tcPr>
                <w:tcW w:w="613" w:type="pct"/>
                <w:shd w:val="clear" w:color="auto" w:fill="auto"/>
                <w:vAlign w:val="center"/>
              </w:tcPr>
              <w:p>
                <w:pPr>
                  <w:spacing w:line="240" w:lineRule="atLeast"/>
                  <w:jc w:val="right"/>
                  <w:rPr>
                    <w:szCs w:val="21"/>
                  </w:rPr>
                </w:pPr>
                <w:r>
                  <w:rPr>
                    <w:szCs w:val="21"/>
                  </w:rPr>
                  <w:t>199,358</w:t>
                </w:r>
              </w:p>
            </w:tc>
          </w:tr>
          <w:tr>
            <w:trPr>
              <w:trHeight w:val="284"/>
            </w:trPr>
            <w:tc>
              <w:tcPr>
                <w:tcW w:w="1149" w:type="pct"/>
                <w:shd w:val="clear" w:color="auto" w:fill="auto"/>
              </w:tcPr>
              <w:p>
                <w:pPr>
                  <w:spacing w:line="240" w:lineRule="atLeast"/>
                  <w:ind w:firstLineChars="300" w:firstLine="630"/>
                  <w:rPr>
                    <w:szCs w:val="21"/>
                  </w:rPr>
                </w:pPr>
                <w:r>
                  <w:rPr>
                    <w:szCs w:val="21"/>
                  </w:rPr>
                  <w:t>（1）租入</w:t>
                </w:r>
              </w:p>
            </w:tc>
            <w:tc>
              <w:tcPr>
                <w:tcW w:w="664" w:type="pct"/>
                <w:shd w:val="clear" w:color="auto" w:fill="auto"/>
                <w:vAlign w:val="center"/>
              </w:tcPr>
              <w:p>
                <w:pPr>
                  <w:spacing w:line="240" w:lineRule="atLeast"/>
                  <w:jc w:val="right"/>
                  <w:rPr>
                    <w:szCs w:val="21"/>
                  </w:rPr>
                </w:pPr>
                <w:r>
                  <w:rPr>
                    <w:szCs w:val="21"/>
                  </w:rPr>
                  <w:t>3,026</w:t>
                </w:r>
              </w:p>
            </w:tc>
            <w:tc>
              <w:tcPr>
                <w:tcW w:w="664" w:type="pct"/>
                <w:shd w:val="clear" w:color="auto" w:fill="auto"/>
              </w:tcPr>
              <w:p>
                <w:pPr>
                  <w:spacing w:line="240" w:lineRule="atLeast"/>
                  <w:jc w:val="right"/>
                  <w:rPr>
                    <w:szCs w:val="21"/>
                  </w:rPr>
                </w:pPr>
              </w:p>
            </w:tc>
            <w:tc>
              <w:tcPr>
                <w:tcW w:w="829" w:type="pct"/>
                <w:shd w:val="clear" w:color="auto" w:fill="auto"/>
                <w:vAlign w:val="center"/>
              </w:tcPr>
              <w:p>
                <w:pPr>
                  <w:spacing w:line="240" w:lineRule="atLeast"/>
                  <w:jc w:val="right"/>
                  <w:rPr>
                    <w:szCs w:val="21"/>
                  </w:rPr>
                </w:pPr>
                <w:r>
                  <w:rPr>
                    <w:szCs w:val="21"/>
                  </w:rPr>
                  <w:t>5,381</w:t>
                </w:r>
              </w:p>
            </w:tc>
            <w:tc>
              <w:tcPr>
                <w:tcW w:w="418" w:type="pct"/>
                <w:shd w:val="clear" w:color="auto" w:fill="auto"/>
              </w:tcPr>
              <w:p>
                <w:pPr>
                  <w:spacing w:line="240" w:lineRule="atLeast"/>
                  <w:jc w:val="right"/>
                  <w:rPr>
                    <w:szCs w:val="21"/>
                  </w:rPr>
                </w:pPr>
              </w:p>
            </w:tc>
            <w:tc>
              <w:tcPr>
                <w:tcW w:w="664" w:type="pct"/>
                <w:shd w:val="clear" w:color="auto" w:fill="auto"/>
                <w:vAlign w:val="center"/>
              </w:tcPr>
              <w:p>
                <w:pPr>
                  <w:spacing w:line="240" w:lineRule="atLeast"/>
                  <w:jc w:val="right"/>
                  <w:rPr>
                    <w:szCs w:val="21"/>
                  </w:rPr>
                </w:pPr>
                <w:r>
                  <w:rPr>
                    <w:szCs w:val="21"/>
                  </w:rPr>
                  <w:t>29,786</w:t>
                </w:r>
              </w:p>
            </w:tc>
            <w:tc>
              <w:tcPr>
                <w:tcW w:w="613" w:type="pct"/>
                <w:shd w:val="clear" w:color="auto" w:fill="auto"/>
                <w:vAlign w:val="center"/>
              </w:tcPr>
              <w:p>
                <w:pPr>
                  <w:spacing w:line="240" w:lineRule="atLeast"/>
                  <w:jc w:val="right"/>
                  <w:rPr>
                    <w:szCs w:val="21"/>
                  </w:rPr>
                </w:pPr>
                <w:r>
                  <w:rPr>
                    <w:szCs w:val="21"/>
                  </w:rPr>
                  <w:t>38,193</w:t>
                </w:r>
              </w:p>
            </w:tc>
          </w:tr>
          <w:tr>
            <w:trPr>
              <w:trHeight w:val="284"/>
            </w:trPr>
            <w:tc>
              <w:tcPr>
                <w:tcW w:w="1149" w:type="pct"/>
                <w:shd w:val="clear" w:color="auto" w:fill="auto"/>
              </w:tcPr>
              <w:p>
                <w:pPr>
                  <w:spacing w:line="240" w:lineRule="atLeast"/>
                  <w:ind w:firstLineChars="300" w:firstLine="630"/>
                  <w:rPr>
                    <w:szCs w:val="21"/>
                  </w:rPr>
                </w:pPr>
                <w:r>
                  <w:rPr>
                    <w:szCs w:val="21"/>
                  </w:rPr>
                  <w:t>（2）其它</w:t>
                </w:r>
              </w:p>
            </w:tc>
            <w:tc>
              <w:tcPr>
                <w:tcW w:w="664" w:type="pct"/>
                <w:shd w:val="clear" w:color="auto" w:fill="auto"/>
                <w:vAlign w:val="center"/>
              </w:tcPr>
              <w:p>
                <w:pPr>
                  <w:spacing w:line="240" w:lineRule="atLeast"/>
                  <w:jc w:val="right"/>
                  <w:rPr>
                    <w:szCs w:val="21"/>
                  </w:rPr>
                </w:pPr>
                <w:r>
                  <w:rPr>
                    <w:szCs w:val="21"/>
                  </w:rPr>
                  <w:t>66,456</w:t>
                </w:r>
              </w:p>
            </w:tc>
            <w:tc>
              <w:tcPr>
                <w:tcW w:w="664" w:type="pct"/>
                <w:shd w:val="clear" w:color="auto" w:fill="auto"/>
              </w:tcPr>
              <w:p>
                <w:pPr>
                  <w:spacing w:line="240" w:lineRule="atLeast"/>
                  <w:jc w:val="right"/>
                  <w:rPr>
                    <w:szCs w:val="21"/>
                  </w:rPr>
                </w:pPr>
              </w:p>
            </w:tc>
            <w:tc>
              <w:tcPr>
                <w:tcW w:w="829" w:type="pct"/>
                <w:shd w:val="clear" w:color="auto" w:fill="auto"/>
                <w:vAlign w:val="center"/>
              </w:tcPr>
              <w:p>
                <w:pPr>
                  <w:spacing w:line="240" w:lineRule="atLeast"/>
                  <w:jc w:val="right"/>
                  <w:rPr>
                    <w:szCs w:val="21"/>
                  </w:rPr>
                </w:pPr>
                <w:r>
                  <w:rPr>
                    <w:szCs w:val="21"/>
                  </w:rPr>
                  <w:t>75,082</w:t>
                </w:r>
              </w:p>
            </w:tc>
            <w:tc>
              <w:tcPr>
                <w:tcW w:w="418" w:type="pct"/>
                <w:shd w:val="clear" w:color="auto" w:fill="auto"/>
                <w:vAlign w:val="center"/>
              </w:tcPr>
              <w:p>
                <w:pPr>
                  <w:spacing w:line="240" w:lineRule="atLeast"/>
                  <w:jc w:val="right"/>
                  <w:rPr>
                    <w:szCs w:val="21"/>
                  </w:rPr>
                </w:pPr>
                <w:r>
                  <w:rPr>
                    <w:szCs w:val="21"/>
                  </w:rPr>
                  <w:t>658</w:t>
                </w:r>
              </w:p>
            </w:tc>
            <w:tc>
              <w:tcPr>
                <w:tcW w:w="664" w:type="pct"/>
                <w:shd w:val="clear" w:color="auto" w:fill="auto"/>
                <w:vAlign w:val="center"/>
              </w:tcPr>
              <w:p>
                <w:pPr>
                  <w:spacing w:line="240" w:lineRule="atLeast"/>
                  <w:jc w:val="right"/>
                  <w:rPr>
                    <w:szCs w:val="21"/>
                  </w:rPr>
                </w:pPr>
                <w:r>
                  <w:rPr>
                    <w:szCs w:val="21"/>
                  </w:rPr>
                  <w:t>18,969</w:t>
                </w:r>
              </w:p>
            </w:tc>
            <w:tc>
              <w:tcPr>
                <w:tcW w:w="613" w:type="pct"/>
                <w:shd w:val="clear" w:color="auto" w:fill="auto"/>
                <w:vAlign w:val="center"/>
              </w:tcPr>
              <w:p>
                <w:pPr>
                  <w:spacing w:line="240" w:lineRule="atLeast"/>
                  <w:jc w:val="right"/>
                  <w:rPr>
                    <w:szCs w:val="21"/>
                  </w:rPr>
                </w:pPr>
                <w:r>
                  <w:rPr>
                    <w:szCs w:val="21"/>
                  </w:rPr>
                  <w:t>161,165</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3.本期减少</w:t>
                </w:r>
                <w:r>
                  <w:rPr>
                    <w:rFonts w:hint="eastAsia"/>
                    <w:szCs w:val="21"/>
                  </w:rPr>
                  <w:t>金额</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vAlign w:val="center"/>
              </w:tcPr>
              <w:p>
                <w:pPr>
                  <w:spacing w:line="240" w:lineRule="atLeast"/>
                  <w:jc w:val="right"/>
                  <w:rPr>
                    <w:szCs w:val="21"/>
                  </w:rPr>
                </w:pPr>
                <w:r>
                  <w:rPr>
                    <w:szCs w:val="21"/>
                  </w:rPr>
                  <w:t>126,711</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vAlign w:val="center"/>
              </w:tcPr>
              <w:p>
                <w:pPr>
                  <w:spacing w:line="240" w:lineRule="atLeast"/>
                  <w:jc w:val="right"/>
                  <w:rPr>
                    <w:szCs w:val="21"/>
                  </w:rPr>
                </w:pPr>
                <w:r>
                  <w:rPr>
                    <w:szCs w:val="21"/>
                  </w:rPr>
                  <w:t>6,877</w:t>
                </w:r>
              </w:p>
            </w:tc>
            <w:tc>
              <w:tcPr>
                <w:tcW w:w="613" w:type="pct"/>
                <w:shd w:val="clear" w:color="auto" w:fill="auto"/>
                <w:vAlign w:val="center"/>
              </w:tcPr>
              <w:p>
                <w:pPr>
                  <w:spacing w:line="240" w:lineRule="atLeast"/>
                  <w:jc w:val="right"/>
                  <w:rPr>
                    <w:szCs w:val="21"/>
                  </w:rPr>
                </w:pPr>
                <w:r>
                  <w:rPr>
                    <w:szCs w:val="21"/>
                  </w:rPr>
                  <w:t>133,588</w:t>
                </w:r>
              </w:p>
            </w:tc>
          </w:tr>
          <w:tr>
            <w:trPr>
              <w:trHeight w:val="284"/>
            </w:trPr>
            <w:tc>
              <w:tcPr>
                <w:tcW w:w="1149" w:type="pct"/>
                <w:shd w:val="clear" w:color="auto" w:fill="auto"/>
              </w:tcPr>
              <w:p>
                <w:pPr>
                  <w:spacing w:line="240" w:lineRule="atLeast"/>
                  <w:ind w:firstLineChars="300" w:firstLine="630"/>
                  <w:rPr>
                    <w:szCs w:val="21"/>
                  </w:rPr>
                </w:pPr>
                <w:r>
                  <w:rPr>
                    <w:szCs w:val="21"/>
                  </w:rPr>
                  <w:t>（1）处置或报废</w:t>
                </w:r>
              </w:p>
            </w:tc>
            <w:tc>
              <w:tcPr>
                <w:tcW w:w="664"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p>
            </w:tc>
            <w:tc>
              <w:tcPr>
                <w:tcW w:w="829" w:type="pct"/>
                <w:shd w:val="clear" w:color="auto" w:fill="auto"/>
                <w:vAlign w:val="center"/>
              </w:tcPr>
              <w:p>
                <w:pPr>
                  <w:spacing w:line="240" w:lineRule="atLeast"/>
                  <w:jc w:val="right"/>
                  <w:rPr>
                    <w:szCs w:val="21"/>
                  </w:rPr>
                </w:pPr>
                <w:r>
                  <w:rPr>
                    <w:szCs w:val="21"/>
                  </w:rPr>
                  <w:t>126,711</w:t>
                </w:r>
              </w:p>
            </w:tc>
            <w:tc>
              <w:tcPr>
                <w:tcW w:w="418" w:type="pct"/>
                <w:shd w:val="clear" w:color="auto" w:fill="auto"/>
              </w:tcPr>
              <w:p>
                <w:pPr>
                  <w:spacing w:line="240" w:lineRule="atLeast"/>
                  <w:jc w:val="right"/>
                  <w:rPr>
                    <w:szCs w:val="21"/>
                  </w:rPr>
                </w:pPr>
              </w:p>
            </w:tc>
            <w:tc>
              <w:tcPr>
                <w:tcW w:w="664" w:type="pct"/>
                <w:shd w:val="clear" w:color="auto" w:fill="auto"/>
                <w:vAlign w:val="center"/>
              </w:tcPr>
              <w:p>
                <w:pPr>
                  <w:spacing w:line="240" w:lineRule="atLeast"/>
                  <w:jc w:val="right"/>
                  <w:rPr>
                    <w:szCs w:val="21"/>
                  </w:rPr>
                </w:pPr>
                <w:r>
                  <w:rPr>
                    <w:rFonts w:hint="eastAsia"/>
                  </w:rPr>
                  <w:t xml:space="preserve">　</w:t>
                </w:r>
              </w:p>
            </w:tc>
            <w:tc>
              <w:tcPr>
                <w:tcW w:w="613" w:type="pct"/>
                <w:shd w:val="clear" w:color="auto" w:fill="auto"/>
                <w:vAlign w:val="center"/>
              </w:tcPr>
              <w:p>
                <w:pPr>
                  <w:spacing w:line="240" w:lineRule="atLeast"/>
                  <w:jc w:val="right"/>
                  <w:rPr>
                    <w:szCs w:val="21"/>
                  </w:rPr>
                </w:pPr>
                <w:r>
                  <w:rPr>
                    <w:szCs w:val="21"/>
                  </w:rPr>
                  <w:t>126,711</w:t>
                </w:r>
              </w:p>
            </w:tc>
          </w:tr>
          <w:tr>
            <w:trPr>
              <w:trHeight w:val="284"/>
            </w:trPr>
            <w:tc>
              <w:tcPr>
                <w:tcW w:w="1149" w:type="pct"/>
                <w:shd w:val="clear" w:color="auto" w:fill="auto"/>
              </w:tcPr>
              <w:p>
                <w:pPr>
                  <w:spacing w:line="240" w:lineRule="atLeast"/>
                  <w:ind w:firstLineChars="300" w:firstLine="630"/>
                  <w:rPr>
                    <w:szCs w:val="21"/>
                  </w:rPr>
                </w:pPr>
                <w:r>
                  <w:rPr>
                    <w:szCs w:val="21"/>
                  </w:rPr>
                  <w:t>（2）其它</w:t>
                </w:r>
              </w:p>
            </w:tc>
            <w:tc>
              <w:tcPr>
                <w:tcW w:w="664"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p>
            </w:tc>
            <w:tc>
              <w:tcPr>
                <w:tcW w:w="829" w:type="pct"/>
                <w:shd w:val="clear" w:color="auto" w:fill="auto"/>
                <w:vAlign w:val="center"/>
              </w:tcPr>
              <w:p>
                <w:pPr>
                  <w:spacing w:line="240" w:lineRule="atLeast"/>
                  <w:jc w:val="right"/>
                  <w:rPr>
                    <w:szCs w:val="21"/>
                  </w:rPr>
                </w:pPr>
              </w:p>
            </w:tc>
            <w:tc>
              <w:tcPr>
                <w:tcW w:w="418" w:type="pct"/>
                <w:shd w:val="clear" w:color="auto" w:fill="auto"/>
              </w:tcPr>
              <w:p>
                <w:pPr>
                  <w:spacing w:line="240" w:lineRule="atLeast"/>
                  <w:jc w:val="right"/>
                  <w:rPr>
                    <w:szCs w:val="21"/>
                  </w:rPr>
                </w:pPr>
              </w:p>
            </w:tc>
            <w:tc>
              <w:tcPr>
                <w:tcW w:w="664" w:type="pct"/>
                <w:shd w:val="clear" w:color="auto" w:fill="auto"/>
                <w:vAlign w:val="center"/>
              </w:tcPr>
              <w:p>
                <w:pPr>
                  <w:spacing w:line="240" w:lineRule="atLeast"/>
                  <w:jc w:val="right"/>
                  <w:rPr>
                    <w:szCs w:val="21"/>
                  </w:rPr>
                </w:pPr>
                <w:r>
                  <w:rPr>
                    <w:szCs w:val="21"/>
                  </w:rPr>
                  <w:t>6,877</w:t>
                </w:r>
              </w:p>
            </w:tc>
            <w:tc>
              <w:tcPr>
                <w:tcW w:w="613" w:type="pct"/>
                <w:shd w:val="clear" w:color="auto" w:fill="auto"/>
                <w:vAlign w:val="center"/>
              </w:tcPr>
              <w:p>
                <w:pPr>
                  <w:spacing w:line="240" w:lineRule="atLeast"/>
                  <w:jc w:val="right"/>
                  <w:rPr>
                    <w:szCs w:val="21"/>
                  </w:rPr>
                </w:pPr>
                <w:r>
                  <w:rPr>
                    <w:szCs w:val="21"/>
                  </w:rPr>
                  <w:t>6,877</w:t>
                </w:r>
              </w:p>
            </w:tc>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4</w:t>
                </w:r>
                <w:r>
                  <w:rPr>
                    <w:szCs w:val="21"/>
                  </w:rPr>
                  <w:t>.</w:t>
                </w:r>
                <w:r>
                  <w:rPr>
                    <w:rFonts w:hint="eastAsia"/>
                    <w:szCs w:val="21"/>
                  </w:rPr>
                  <w:t>外币报表折算差额</w:t>
                </w:r>
              </w:p>
            </w:tc>
            <w:tc>
              <w:tcPr>
                <w:tcW w:w="664" w:type="pct"/>
                <w:shd w:val="clear" w:color="auto" w:fill="auto"/>
                <w:vAlign w:val="center"/>
              </w:tcPr>
              <w:p>
                <w:pPr>
                  <w:spacing w:line="240" w:lineRule="atLeast"/>
                  <w:jc w:val="right"/>
                  <w:rPr>
                    <w:szCs w:val="21"/>
                  </w:rPr>
                </w:pPr>
              </w:p>
            </w:tc>
            <w:tc>
              <w:tcPr>
                <w:tcW w:w="664" w:type="pct"/>
                <w:shd w:val="clear" w:color="auto" w:fill="auto"/>
                <w:vAlign w:val="center"/>
              </w:tcPr>
              <w:p>
                <w:pPr>
                  <w:spacing w:line="240" w:lineRule="atLeast"/>
                  <w:jc w:val="right"/>
                  <w:rPr>
                    <w:szCs w:val="21"/>
                  </w:rPr>
                </w:pPr>
              </w:p>
            </w:tc>
            <w:tc>
              <w:tcPr>
                <w:tcW w:w="829" w:type="pct"/>
                <w:shd w:val="clear" w:color="auto" w:fill="auto"/>
              </w:tcPr>
              <w:p>
                <w:pPr>
                  <w:spacing w:line="240" w:lineRule="atLeast"/>
                  <w:jc w:val="right"/>
                  <w:rPr>
                    <w:szCs w:val="21"/>
                  </w:rPr>
                </w:pPr>
                <w:r>
                  <w:t>-87,204</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vAlign w:val="center"/>
              </w:tcPr>
              <w:p>
                <w:pPr>
                  <w:spacing w:line="240" w:lineRule="atLeast"/>
                  <w:jc w:val="right"/>
                  <w:rPr>
                    <w:szCs w:val="21"/>
                  </w:rPr>
                </w:pPr>
                <w:r>
                  <w:rPr>
                    <w:rFonts w:hint="eastAsia"/>
                  </w:rPr>
                  <w:t xml:space="preserve">　</w:t>
                </w:r>
              </w:p>
            </w:tc>
            <w:tc>
              <w:tcPr>
                <w:tcW w:w="613" w:type="pct"/>
                <w:shd w:val="clear" w:color="auto" w:fill="auto"/>
                <w:vAlign w:val="center"/>
              </w:tcPr>
              <w:p>
                <w:pPr>
                  <w:spacing w:line="240" w:lineRule="atLeast"/>
                  <w:jc w:val="right"/>
                  <w:rPr>
                    <w:szCs w:val="21"/>
                  </w:rPr>
                </w:pPr>
                <w:r>
                  <w:rPr>
                    <w:szCs w:val="21"/>
                  </w:rPr>
                  <w:t>-87,204</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5.期末余额</w:t>
                </w:r>
              </w:p>
            </w:tc>
            <w:tc>
              <w:tcPr>
                <w:tcW w:w="664" w:type="pct"/>
                <w:shd w:val="clear" w:color="auto" w:fill="auto"/>
                <w:vAlign w:val="center"/>
              </w:tcPr>
              <w:p>
                <w:pPr>
                  <w:spacing w:line="240" w:lineRule="atLeast"/>
                  <w:jc w:val="right"/>
                  <w:rPr>
                    <w:szCs w:val="21"/>
                  </w:rPr>
                </w:pPr>
                <w:r>
                  <w:rPr>
                    <w:szCs w:val="21"/>
                  </w:rPr>
                  <w:t>90,391</w:t>
                </w:r>
              </w:p>
            </w:tc>
            <w:tc>
              <w:tcPr>
                <w:tcW w:w="664" w:type="pct"/>
                <w:shd w:val="clear" w:color="auto" w:fill="auto"/>
                <w:vAlign w:val="center"/>
              </w:tcPr>
              <w:p>
                <w:pPr>
                  <w:spacing w:line="240" w:lineRule="atLeast"/>
                  <w:jc w:val="right"/>
                  <w:rPr>
                    <w:szCs w:val="21"/>
                  </w:rPr>
                </w:pPr>
                <w:r>
                  <w:rPr>
                    <w:szCs w:val="21"/>
                  </w:rPr>
                  <w:t>32,409</w:t>
                </w:r>
              </w:p>
            </w:tc>
            <w:tc>
              <w:tcPr>
                <w:tcW w:w="829" w:type="pct"/>
                <w:shd w:val="clear" w:color="auto" w:fill="auto"/>
              </w:tcPr>
              <w:p>
                <w:pPr>
                  <w:spacing w:line="240" w:lineRule="atLeast"/>
                  <w:jc w:val="right"/>
                  <w:rPr>
                    <w:szCs w:val="21"/>
                  </w:rPr>
                </w:pPr>
                <w:r>
                  <w:t>1,136,756</w:t>
                </w:r>
              </w:p>
            </w:tc>
            <w:tc>
              <w:tcPr>
                <w:tcW w:w="418" w:type="pct"/>
                <w:shd w:val="clear" w:color="auto" w:fill="auto"/>
              </w:tcPr>
              <w:p>
                <w:pPr>
                  <w:spacing w:line="240" w:lineRule="atLeast"/>
                  <w:jc w:val="right"/>
                  <w:rPr>
                    <w:szCs w:val="21"/>
                  </w:rPr>
                </w:pPr>
                <w:r>
                  <w:t>658</w:t>
                </w:r>
                <w:r>
                  <w:rPr>
                    <w:rFonts w:hint="eastAsia"/>
                  </w:rPr>
                  <w:t xml:space="preserve">　</w:t>
                </w:r>
              </w:p>
            </w:tc>
            <w:tc>
              <w:tcPr>
                <w:tcW w:w="664" w:type="pct"/>
                <w:shd w:val="clear" w:color="auto" w:fill="auto"/>
                <w:vAlign w:val="center"/>
              </w:tcPr>
              <w:p>
                <w:pPr>
                  <w:spacing w:line="240" w:lineRule="atLeast"/>
                  <w:jc w:val="right"/>
                  <w:rPr>
                    <w:szCs w:val="21"/>
                  </w:rPr>
                </w:pPr>
                <w:r>
                  <w:t>55,339</w:t>
                </w:r>
              </w:p>
            </w:tc>
            <w:tc>
              <w:tcPr>
                <w:tcW w:w="613" w:type="pct"/>
                <w:shd w:val="clear" w:color="auto" w:fill="auto"/>
                <w:vAlign w:val="center"/>
              </w:tcPr>
              <w:p>
                <w:pPr>
                  <w:spacing w:line="240" w:lineRule="atLeast"/>
                  <w:jc w:val="right"/>
                  <w:rPr>
                    <w:szCs w:val="21"/>
                  </w:rPr>
                </w:pPr>
                <w:r>
                  <w:rPr>
                    <w:szCs w:val="21"/>
                  </w:rPr>
                  <w:t>1,315,553</w:t>
                </w:r>
              </w:p>
            </w:tc>
          </w:tr>
          <w:tr>
            <w:trPr>
              <w:trHeight w:val="284"/>
            </w:trPr>
            <w:sdt>
              <w:sdtPr>
                <w:tag w:val="_PLD_39b1174f077e44e0af9583631dcb785f"/>
                <w:id w:val="985199432"/>
              </w:sdtPr>
              <w:sdtContent>
                <w:tc>
                  <w:tcPr>
                    <w:tcW w:w="5000" w:type="pct"/>
                    <w:gridSpan w:val="7"/>
                    <w:shd w:val="clear" w:color="auto" w:fill="auto"/>
                    <w:vAlign w:val="center"/>
                  </w:tcPr>
                  <w:p>
                    <w:pPr>
                      <w:spacing w:line="240" w:lineRule="atLeast"/>
                      <w:rPr>
                        <w:szCs w:val="21"/>
                      </w:rPr>
                    </w:pPr>
                    <w:r>
                      <w:rPr>
                        <w:szCs w:val="21"/>
                      </w:rPr>
                      <w:t>二、累计折旧</w:t>
                    </w:r>
                  </w:p>
                </w:tc>
              </w:sdtContent>
            </w:sdt>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1.期</w:t>
                </w:r>
                <w:r>
                  <w:rPr>
                    <w:szCs w:val="21"/>
                  </w:rPr>
                  <w:t>初余额</w:t>
                </w:r>
              </w:p>
            </w:tc>
            <w:tc>
              <w:tcPr>
                <w:tcW w:w="664" w:type="pct"/>
                <w:shd w:val="clear" w:color="auto" w:fill="auto"/>
                <w:vAlign w:val="center"/>
              </w:tcPr>
              <w:p>
                <w:pPr>
                  <w:spacing w:line="240" w:lineRule="atLeast"/>
                  <w:jc w:val="right"/>
                  <w:rPr>
                    <w:szCs w:val="21"/>
                  </w:rPr>
                </w:pPr>
                <w:r>
                  <w:rPr>
                    <w:szCs w:val="21"/>
                  </w:rPr>
                  <w:t>7,302</w:t>
                </w:r>
              </w:p>
            </w:tc>
            <w:tc>
              <w:tcPr>
                <w:tcW w:w="664" w:type="pct"/>
                <w:shd w:val="clear" w:color="auto" w:fill="auto"/>
                <w:vAlign w:val="center"/>
              </w:tcPr>
              <w:p>
                <w:pPr>
                  <w:spacing w:line="240" w:lineRule="atLeast"/>
                  <w:jc w:val="right"/>
                  <w:rPr>
                    <w:szCs w:val="21"/>
                  </w:rPr>
                </w:pPr>
                <w:r>
                  <w:rPr>
                    <w:szCs w:val="21"/>
                  </w:rPr>
                  <w:t>6,436</w:t>
                </w:r>
              </w:p>
            </w:tc>
            <w:tc>
              <w:tcPr>
                <w:tcW w:w="829" w:type="pct"/>
                <w:shd w:val="clear" w:color="auto" w:fill="auto"/>
              </w:tcPr>
              <w:p>
                <w:pPr>
                  <w:spacing w:line="240" w:lineRule="atLeast"/>
                  <w:jc w:val="right"/>
                  <w:rPr>
                    <w:szCs w:val="21"/>
                  </w:rPr>
                </w:pPr>
                <w:r>
                  <w:rPr>
                    <w:szCs w:val="21"/>
                  </w:rPr>
                  <w:t>585,907</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szCs w:val="21"/>
                  </w:rPr>
                  <w:t>7,430</w:t>
                </w:r>
              </w:p>
            </w:tc>
            <w:tc>
              <w:tcPr>
                <w:tcW w:w="613" w:type="pct"/>
                <w:shd w:val="clear" w:color="auto" w:fill="auto"/>
              </w:tcPr>
              <w:p>
                <w:pPr>
                  <w:spacing w:line="240" w:lineRule="atLeast"/>
                  <w:jc w:val="right"/>
                  <w:rPr>
                    <w:szCs w:val="21"/>
                  </w:rPr>
                </w:pPr>
                <w:r>
                  <w:rPr>
                    <w:szCs w:val="21"/>
                  </w:rPr>
                  <w:t>607,075</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2.本期增加</w:t>
                </w:r>
                <w:r>
                  <w:rPr>
                    <w:rFonts w:hint="eastAsia"/>
                    <w:szCs w:val="21"/>
                  </w:rPr>
                  <w:t>金额</w:t>
                </w:r>
              </w:p>
            </w:tc>
            <w:tc>
              <w:tcPr>
                <w:tcW w:w="664" w:type="pct"/>
                <w:shd w:val="clear" w:color="auto" w:fill="auto"/>
                <w:vAlign w:val="center"/>
              </w:tcPr>
              <w:p>
                <w:pPr>
                  <w:spacing w:line="240" w:lineRule="atLeast"/>
                  <w:jc w:val="right"/>
                  <w:rPr>
                    <w:szCs w:val="21"/>
                  </w:rPr>
                </w:pPr>
                <w:r>
                  <w:rPr>
                    <w:szCs w:val="21"/>
                  </w:rPr>
                  <w:t>41,642</w:t>
                </w:r>
              </w:p>
            </w:tc>
            <w:tc>
              <w:tcPr>
                <w:tcW w:w="664" w:type="pct"/>
                <w:shd w:val="clear" w:color="auto" w:fill="auto"/>
                <w:vAlign w:val="center"/>
              </w:tcPr>
              <w:p>
                <w:pPr>
                  <w:spacing w:line="240" w:lineRule="atLeast"/>
                  <w:jc w:val="right"/>
                  <w:rPr>
                    <w:szCs w:val="21"/>
                  </w:rPr>
                </w:pPr>
                <w:r>
                  <w:rPr>
                    <w:szCs w:val="21"/>
                  </w:rPr>
                  <w:t>13,965</w:t>
                </w:r>
              </w:p>
            </w:tc>
            <w:tc>
              <w:tcPr>
                <w:tcW w:w="829" w:type="pct"/>
                <w:shd w:val="clear" w:color="auto" w:fill="auto"/>
              </w:tcPr>
              <w:p>
                <w:pPr>
                  <w:spacing w:line="240" w:lineRule="atLeast"/>
                  <w:jc w:val="right"/>
                  <w:rPr>
                    <w:szCs w:val="21"/>
                  </w:rPr>
                </w:pPr>
                <w:r>
                  <w:rPr>
                    <w:szCs w:val="21"/>
                  </w:rPr>
                  <w:t>225,039</w:t>
                </w:r>
              </w:p>
            </w:tc>
            <w:tc>
              <w:tcPr>
                <w:tcW w:w="418" w:type="pct"/>
                <w:shd w:val="clear" w:color="auto" w:fill="auto"/>
              </w:tcPr>
              <w:p>
                <w:pPr>
                  <w:spacing w:line="240" w:lineRule="atLeast"/>
                  <w:jc w:val="right"/>
                  <w:rPr>
                    <w:szCs w:val="21"/>
                  </w:rPr>
                </w:pPr>
                <w:r>
                  <w:rPr>
                    <w:szCs w:val="21"/>
                  </w:rPr>
                  <w:t>388</w:t>
                </w:r>
              </w:p>
            </w:tc>
            <w:tc>
              <w:tcPr>
                <w:tcW w:w="664" w:type="pct"/>
                <w:shd w:val="clear" w:color="auto" w:fill="auto"/>
              </w:tcPr>
              <w:p>
                <w:pPr>
                  <w:spacing w:line="240" w:lineRule="atLeast"/>
                  <w:jc w:val="right"/>
                  <w:rPr>
                    <w:szCs w:val="21"/>
                  </w:rPr>
                </w:pPr>
                <w:r>
                  <w:rPr>
                    <w:szCs w:val="21"/>
                  </w:rPr>
                  <w:t>16,775</w:t>
                </w:r>
              </w:p>
            </w:tc>
            <w:tc>
              <w:tcPr>
                <w:tcW w:w="613" w:type="pct"/>
                <w:shd w:val="clear" w:color="auto" w:fill="auto"/>
              </w:tcPr>
              <w:p>
                <w:pPr>
                  <w:spacing w:line="240" w:lineRule="atLeast"/>
                  <w:jc w:val="right"/>
                  <w:rPr>
                    <w:szCs w:val="21"/>
                  </w:rPr>
                </w:pPr>
                <w:r>
                  <w:rPr>
                    <w:szCs w:val="21"/>
                  </w:rPr>
                  <w:t>297,809</w:t>
                </w:r>
              </w:p>
            </w:tc>
          </w:tr>
          <w:tr>
            <w:trPr>
              <w:trHeight w:val="284"/>
            </w:trPr>
            <w:tc>
              <w:tcPr>
                <w:tcW w:w="1149" w:type="pct"/>
                <w:shd w:val="clear" w:color="auto" w:fill="auto"/>
                <w:vAlign w:val="center"/>
              </w:tcPr>
              <w:p>
                <w:pPr>
                  <w:spacing w:line="240" w:lineRule="atLeast"/>
                  <w:ind w:firstLineChars="300" w:firstLine="630"/>
                  <w:rPr>
                    <w:szCs w:val="21"/>
                  </w:rPr>
                </w:pPr>
                <w:r>
                  <w:rPr>
                    <w:szCs w:val="21"/>
                  </w:rPr>
                  <w:t>(1)计提</w:t>
                </w:r>
              </w:p>
            </w:tc>
            <w:tc>
              <w:tcPr>
                <w:tcW w:w="664" w:type="pct"/>
                <w:shd w:val="clear" w:color="auto" w:fill="auto"/>
                <w:vAlign w:val="center"/>
              </w:tcPr>
              <w:p>
                <w:pPr>
                  <w:spacing w:line="240" w:lineRule="atLeast"/>
                  <w:jc w:val="right"/>
                  <w:rPr>
                    <w:szCs w:val="21"/>
                  </w:rPr>
                </w:pPr>
                <w:r>
                  <w:rPr>
                    <w:szCs w:val="21"/>
                  </w:rPr>
                  <w:t>5,533</w:t>
                </w:r>
              </w:p>
            </w:tc>
            <w:tc>
              <w:tcPr>
                <w:tcW w:w="664" w:type="pct"/>
                <w:shd w:val="clear" w:color="auto" w:fill="auto"/>
                <w:vAlign w:val="center"/>
              </w:tcPr>
              <w:p>
                <w:pPr>
                  <w:spacing w:line="240" w:lineRule="atLeast"/>
                  <w:jc w:val="right"/>
                  <w:rPr>
                    <w:szCs w:val="21"/>
                  </w:rPr>
                </w:pPr>
                <w:r>
                  <w:rPr>
                    <w:szCs w:val="21"/>
                  </w:rPr>
                  <w:t>13,965</w:t>
                </w:r>
              </w:p>
            </w:tc>
            <w:tc>
              <w:tcPr>
                <w:tcW w:w="829" w:type="pct"/>
                <w:shd w:val="clear" w:color="auto" w:fill="auto"/>
              </w:tcPr>
              <w:p>
                <w:pPr>
                  <w:spacing w:line="240" w:lineRule="atLeast"/>
                  <w:jc w:val="right"/>
                  <w:rPr>
                    <w:szCs w:val="21"/>
                  </w:rPr>
                </w:pPr>
                <w:r>
                  <w:rPr>
                    <w:szCs w:val="21"/>
                  </w:rPr>
                  <w:t>223,713</w:t>
                </w:r>
              </w:p>
            </w:tc>
            <w:tc>
              <w:tcPr>
                <w:tcW w:w="418" w:type="pct"/>
                <w:shd w:val="clear" w:color="auto" w:fill="auto"/>
              </w:tcPr>
              <w:p>
                <w:pPr>
                  <w:spacing w:line="240" w:lineRule="atLeast"/>
                  <w:jc w:val="right"/>
                  <w:rPr>
                    <w:szCs w:val="21"/>
                  </w:rPr>
                </w:pPr>
                <w:r>
                  <w:rPr>
                    <w:szCs w:val="21"/>
                  </w:rPr>
                  <w:t>21</w:t>
                </w:r>
              </w:p>
            </w:tc>
            <w:tc>
              <w:tcPr>
                <w:tcW w:w="664" w:type="pct"/>
                <w:shd w:val="clear" w:color="auto" w:fill="auto"/>
              </w:tcPr>
              <w:p>
                <w:pPr>
                  <w:spacing w:line="240" w:lineRule="atLeast"/>
                  <w:jc w:val="right"/>
                  <w:rPr>
                    <w:szCs w:val="21"/>
                  </w:rPr>
                </w:pPr>
                <w:r>
                  <w:rPr>
                    <w:szCs w:val="21"/>
                  </w:rPr>
                  <w:t>5,728</w:t>
                </w:r>
              </w:p>
            </w:tc>
            <w:tc>
              <w:tcPr>
                <w:tcW w:w="613" w:type="pct"/>
                <w:shd w:val="clear" w:color="auto" w:fill="auto"/>
              </w:tcPr>
              <w:p>
                <w:pPr>
                  <w:spacing w:line="240" w:lineRule="atLeast"/>
                  <w:jc w:val="right"/>
                  <w:rPr>
                    <w:szCs w:val="21"/>
                  </w:rPr>
                </w:pPr>
                <w:r>
                  <w:rPr>
                    <w:szCs w:val="21"/>
                  </w:rPr>
                  <w:t>248,960</w:t>
                </w:r>
              </w:p>
            </w:tc>
          </w:tr>
          <w:tr>
            <w:trPr>
              <w:trHeight w:val="284"/>
            </w:trPr>
            <w:tc>
              <w:tcPr>
                <w:tcW w:w="1149" w:type="pct"/>
                <w:shd w:val="clear" w:color="auto" w:fill="auto"/>
                <w:vAlign w:val="center"/>
              </w:tcPr>
              <w:p>
                <w:pPr>
                  <w:spacing w:line="240" w:lineRule="atLeast"/>
                  <w:ind w:firstLineChars="300" w:firstLine="630"/>
                  <w:rPr>
                    <w:szCs w:val="21"/>
                  </w:rPr>
                </w:pPr>
                <w:r>
                  <w:rPr>
                    <w:szCs w:val="21"/>
                  </w:rPr>
                  <w:t>（2）其它</w:t>
                </w:r>
              </w:p>
            </w:tc>
            <w:tc>
              <w:tcPr>
                <w:tcW w:w="664" w:type="pct"/>
                <w:shd w:val="clear" w:color="auto" w:fill="auto"/>
                <w:vAlign w:val="center"/>
              </w:tcPr>
              <w:p>
                <w:pPr>
                  <w:spacing w:line="240" w:lineRule="atLeast"/>
                  <w:jc w:val="right"/>
                  <w:rPr>
                    <w:szCs w:val="21"/>
                  </w:rPr>
                </w:pPr>
                <w:r>
                  <w:rPr>
                    <w:szCs w:val="21"/>
                  </w:rPr>
                  <w:t>36,109</w:t>
                </w:r>
              </w:p>
            </w:tc>
            <w:tc>
              <w:tcPr>
                <w:tcW w:w="664" w:type="pct"/>
                <w:shd w:val="clear" w:color="auto" w:fill="auto"/>
              </w:tcPr>
              <w:p>
                <w:pPr>
                  <w:spacing w:line="240" w:lineRule="atLeast"/>
                  <w:jc w:val="right"/>
                  <w:rPr>
                    <w:szCs w:val="21"/>
                  </w:rPr>
                </w:pPr>
              </w:p>
            </w:tc>
            <w:tc>
              <w:tcPr>
                <w:tcW w:w="829" w:type="pct"/>
                <w:shd w:val="clear" w:color="auto" w:fill="auto"/>
              </w:tcPr>
              <w:p>
                <w:pPr>
                  <w:spacing w:line="240" w:lineRule="atLeast"/>
                  <w:jc w:val="right"/>
                  <w:rPr>
                    <w:szCs w:val="21"/>
                  </w:rPr>
                </w:pPr>
                <w:r>
                  <w:rPr>
                    <w:szCs w:val="21"/>
                  </w:rPr>
                  <w:t>1,326</w:t>
                </w:r>
              </w:p>
            </w:tc>
            <w:tc>
              <w:tcPr>
                <w:tcW w:w="418" w:type="pct"/>
                <w:shd w:val="clear" w:color="auto" w:fill="auto"/>
              </w:tcPr>
              <w:p>
                <w:pPr>
                  <w:spacing w:line="240" w:lineRule="atLeast"/>
                  <w:jc w:val="right"/>
                  <w:rPr>
                    <w:szCs w:val="21"/>
                  </w:rPr>
                </w:pPr>
                <w:r>
                  <w:rPr>
                    <w:szCs w:val="21"/>
                  </w:rPr>
                  <w:t>367</w:t>
                </w:r>
              </w:p>
            </w:tc>
            <w:tc>
              <w:tcPr>
                <w:tcW w:w="664" w:type="pct"/>
                <w:shd w:val="clear" w:color="auto" w:fill="auto"/>
              </w:tcPr>
              <w:p>
                <w:pPr>
                  <w:spacing w:line="240" w:lineRule="atLeast"/>
                  <w:jc w:val="right"/>
                  <w:rPr>
                    <w:szCs w:val="21"/>
                  </w:rPr>
                </w:pPr>
                <w:r>
                  <w:rPr>
                    <w:szCs w:val="21"/>
                  </w:rPr>
                  <w:t>11,047</w:t>
                </w:r>
              </w:p>
            </w:tc>
            <w:tc>
              <w:tcPr>
                <w:tcW w:w="613" w:type="pct"/>
                <w:shd w:val="clear" w:color="auto" w:fill="auto"/>
              </w:tcPr>
              <w:p>
                <w:pPr>
                  <w:spacing w:line="240" w:lineRule="atLeast"/>
                  <w:jc w:val="right"/>
                  <w:rPr>
                    <w:szCs w:val="21"/>
                  </w:rPr>
                </w:pPr>
                <w:r>
                  <w:rPr>
                    <w:szCs w:val="21"/>
                  </w:rPr>
                  <w:t>48,849</w:t>
                </w:r>
              </w:p>
            </w:tc>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tcPr>
              <w:p>
                <w:pPr>
                  <w:spacing w:line="240" w:lineRule="atLeast"/>
                  <w:jc w:val="right"/>
                  <w:rPr>
                    <w:szCs w:val="21"/>
                  </w:rPr>
                </w:pPr>
                <w:r>
                  <w:rPr>
                    <w:szCs w:val="21"/>
                  </w:rPr>
                  <w:t>124,509</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szCs w:val="21"/>
                  </w:rPr>
                  <w:t>3,579</w:t>
                </w:r>
              </w:p>
            </w:tc>
            <w:tc>
              <w:tcPr>
                <w:tcW w:w="613" w:type="pct"/>
                <w:shd w:val="clear" w:color="auto" w:fill="auto"/>
              </w:tcPr>
              <w:p>
                <w:pPr>
                  <w:spacing w:line="240" w:lineRule="atLeast"/>
                  <w:jc w:val="right"/>
                  <w:rPr>
                    <w:szCs w:val="21"/>
                  </w:rPr>
                </w:pPr>
                <w:r>
                  <w:rPr>
                    <w:szCs w:val="21"/>
                  </w:rPr>
                  <w:t>128,088</w:t>
                </w:r>
              </w:p>
            </w:tc>
          </w:tr>
          <w:tr>
            <w:trPr>
              <w:trHeight w:val="284"/>
            </w:trPr>
            <w:tc>
              <w:tcPr>
                <w:tcW w:w="1149" w:type="pct"/>
                <w:shd w:val="clear" w:color="auto" w:fill="auto"/>
                <w:vAlign w:val="center"/>
              </w:tcPr>
              <w:p>
                <w:pPr>
                  <w:spacing w:line="240" w:lineRule="atLeast"/>
                  <w:ind w:firstLineChars="300" w:firstLine="630"/>
                  <w:rPr>
                    <w:szCs w:val="21"/>
                  </w:rPr>
                </w:pPr>
                <w:r>
                  <w:rPr>
                    <w:szCs w:val="21"/>
                  </w:rPr>
                  <w:t>(1)处置或报废</w:t>
                </w:r>
              </w:p>
            </w:tc>
            <w:tc>
              <w:tcPr>
                <w:tcW w:w="664"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p>
            </w:tc>
            <w:tc>
              <w:tcPr>
                <w:tcW w:w="829" w:type="pct"/>
                <w:shd w:val="clear" w:color="auto" w:fill="auto"/>
              </w:tcPr>
              <w:p>
                <w:pPr>
                  <w:spacing w:line="240" w:lineRule="atLeast"/>
                  <w:jc w:val="right"/>
                  <w:rPr>
                    <w:szCs w:val="21"/>
                  </w:rPr>
                </w:pPr>
                <w:r>
                  <w:rPr>
                    <w:szCs w:val="21"/>
                  </w:rPr>
                  <w:t>124,509</w:t>
                </w:r>
              </w:p>
            </w:tc>
            <w:tc>
              <w:tcPr>
                <w:tcW w:w="418"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r>
                  <w:rPr>
                    <w:rFonts w:hint="eastAsia"/>
                  </w:rPr>
                  <w:t xml:space="preserve">　</w:t>
                </w:r>
              </w:p>
            </w:tc>
            <w:tc>
              <w:tcPr>
                <w:tcW w:w="613" w:type="pct"/>
                <w:shd w:val="clear" w:color="auto" w:fill="auto"/>
              </w:tcPr>
              <w:p>
                <w:pPr>
                  <w:spacing w:line="240" w:lineRule="atLeast"/>
                  <w:jc w:val="right"/>
                  <w:rPr>
                    <w:szCs w:val="21"/>
                  </w:rPr>
                </w:pPr>
                <w:r>
                  <w:rPr>
                    <w:szCs w:val="21"/>
                  </w:rPr>
                  <w:t>124,509</w:t>
                </w:r>
              </w:p>
            </w:tc>
          </w:tr>
          <w:tr>
            <w:trPr>
              <w:trHeight w:val="284"/>
            </w:trPr>
            <w:tc>
              <w:tcPr>
                <w:tcW w:w="1149" w:type="pct"/>
                <w:shd w:val="clear" w:color="auto" w:fill="auto"/>
                <w:vAlign w:val="center"/>
              </w:tcPr>
              <w:p>
                <w:pPr>
                  <w:spacing w:line="240" w:lineRule="atLeast"/>
                  <w:ind w:firstLineChars="300" w:firstLine="630"/>
                  <w:rPr>
                    <w:szCs w:val="21"/>
                  </w:rPr>
                </w:pPr>
                <w:r>
                  <w:rPr>
                    <w:szCs w:val="21"/>
                  </w:rPr>
                  <w:t>（2）其它</w:t>
                </w:r>
              </w:p>
            </w:tc>
            <w:tc>
              <w:tcPr>
                <w:tcW w:w="664"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p>
            </w:tc>
            <w:tc>
              <w:tcPr>
                <w:tcW w:w="829" w:type="pct"/>
                <w:shd w:val="clear" w:color="auto" w:fill="auto"/>
              </w:tcPr>
              <w:p>
                <w:pPr>
                  <w:spacing w:line="240" w:lineRule="atLeast"/>
                  <w:jc w:val="right"/>
                  <w:rPr>
                    <w:szCs w:val="21"/>
                  </w:rPr>
                </w:pPr>
              </w:p>
            </w:tc>
            <w:tc>
              <w:tcPr>
                <w:tcW w:w="418"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r>
                  <w:rPr>
                    <w:szCs w:val="21"/>
                  </w:rPr>
                  <w:t>3,579</w:t>
                </w:r>
              </w:p>
            </w:tc>
            <w:tc>
              <w:tcPr>
                <w:tcW w:w="613" w:type="pct"/>
                <w:shd w:val="clear" w:color="auto" w:fill="auto"/>
              </w:tcPr>
              <w:p>
                <w:pPr>
                  <w:spacing w:line="240" w:lineRule="atLeast"/>
                  <w:jc w:val="right"/>
                  <w:rPr>
                    <w:szCs w:val="21"/>
                  </w:rPr>
                </w:pPr>
                <w:r>
                  <w:rPr>
                    <w:szCs w:val="21"/>
                  </w:rPr>
                  <w:t>3,579</w:t>
                </w:r>
              </w:p>
            </w:tc>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4</w:t>
                </w:r>
                <w:r>
                  <w:rPr>
                    <w:szCs w:val="21"/>
                  </w:rPr>
                  <w:t>.</w:t>
                </w:r>
                <w:r>
                  <w:rPr>
                    <w:rFonts w:hint="eastAsia"/>
                    <w:szCs w:val="21"/>
                  </w:rPr>
                  <w:t>外币报表折算差额</w:t>
                </w:r>
              </w:p>
            </w:tc>
            <w:tc>
              <w:tcPr>
                <w:tcW w:w="664" w:type="pct"/>
                <w:shd w:val="clear" w:color="auto" w:fill="auto"/>
                <w:vAlign w:val="center"/>
              </w:tcPr>
              <w:p>
                <w:pPr>
                  <w:spacing w:line="240" w:lineRule="atLeast"/>
                  <w:jc w:val="right"/>
                  <w:rPr>
                    <w:szCs w:val="21"/>
                  </w:rPr>
                </w:pPr>
              </w:p>
            </w:tc>
            <w:tc>
              <w:tcPr>
                <w:tcW w:w="664" w:type="pct"/>
                <w:shd w:val="clear" w:color="auto" w:fill="auto"/>
                <w:vAlign w:val="center"/>
              </w:tcPr>
              <w:p>
                <w:pPr>
                  <w:spacing w:line="240" w:lineRule="atLeast"/>
                  <w:jc w:val="right"/>
                  <w:rPr>
                    <w:szCs w:val="21"/>
                  </w:rPr>
                </w:pPr>
              </w:p>
            </w:tc>
            <w:tc>
              <w:tcPr>
                <w:tcW w:w="829" w:type="pct"/>
                <w:shd w:val="clear" w:color="auto" w:fill="auto"/>
              </w:tcPr>
              <w:p>
                <w:pPr>
                  <w:spacing w:line="240" w:lineRule="atLeast"/>
                  <w:jc w:val="right"/>
                  <w:rPr>
                    <w:szCs w:val="21"/>
                  </w:rPr>
                </w:pPr>
                <w:r>
                  <w:rPr>
                    <w:szCs w:val="21"/>
                  </w:rPr>
                  <w:t>-44,772</w:t>
                </w:r>
              </w:p>
            </w:tc>
            <w:tc>
              <w:tcPr>
                <w:tcW w:w="418" w:type="pct"/>
                <w:shd w:val="clear" w:color="auto" w:fill="auto"/>
              </w:tcPr>
              <w:p>
                <w:pPr>
                  <w:spacing w:line="240" w:lineRule="atLeast"/>
                  <w:jc w:val="right"/>
                  <w:rPr>
                    <w:szCs w:val="21"/>
                  </w:rPr>
                </w:pPr>
              </w:p>
            </w:tc>
            <w:tc>
              <w:tcPr>
                <w:tcW w:w="664" w:type="pct"/>
                <w:shd w:val="clear" w:color="auto" w:fill="auto"/>
              </w:tcPr>
              <w:p>
                <w:pPr>
                  <w:spacing w:line="240" w:lineRule="atLeast"/>
                  <w:jc w:val="right"/>
                  <w:rPr>
                    <w:szCs w:val="21"/>
                  </w:rPr>
                </w:pPr>
              </w:p>
            </w:tc>
            <w:tc>
              <w:tcPr>
                <w:tcW w:w="613" w:type="pct"/>
                <w:shd w:val="clear" w:color="auto" w:fill="auto"/>
              </w:tcPr>
              <w:p>
                <w:pPr>
                  <w:spacing w:line="240" w:lineRule="atLeast"/>
                  <w:jc w:val="right"/>
                  <w:rPr>
                    <w:szCs w:val="21"/>
                  </w:rPr>
                </w:pPr>
                <w:r>
                  <w:rPr>
                    <w:szCs w:val="21"/>
                  </w:rPr>
                  <w:t>-44,772</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5</w:t>
                </w:r>
                <w:r>
                  <w:rPr>
                    <w:rFonts w:hint="eastAsia"/>
                    <w:szCs w:val="21"/>
                  </w:rPr>
                  <w:t>.</w:t>
                </w:r>
                <w:r>
                  <w:rPr>
                    <w:szCs w:val="21"/>
                  </w:rPr>
                  <w:t>期末余额</w:t>
                </w:r>
              </w:p>
            </w:tc>
            <w:tc>
              <w:tcPr>
                <w:tcW w:w="664" w:type="pct"/>
                <w:shd w:val="clear" w:color="auto" w:fill="auto"/>
                <w:vAlign w:val="center"/>
              </w:tcPr>
              <w:p>
                <w:pPr>
                  <w:spacing w:line="240" w:lineRule="atLeast"/>
                  <w:jc w:val="right"/>
                  <w:rPr>
                    <w:szCs w:val="21"/>
                  </w:rPr>
                </w:pPr>
                <w:r>
                  <w:rPr>
                    <w:szCs w:val="21"/>
                  </w:rPr>
                  <w:t>48,944</w:t>
                </w:r>
              </w:p>
            </w:tc>
            <w:tc>
              <w:tcPr>
                <w:tcW w:w="664" w:type="pct"/>
                <w:shd w:val="clear" w:color="auto" w:fill="auto"/>
                <w:vAlign w:val="center"/>
              </w:tcPr>
              <w:p>
                <w:pPr>
                  <w:spacing w:line="240" w:lineRule="atLeast"/>
                  <w:jc w:val="right"/>
                  <w:rPr>
                    <w:szCs w:val="21"/>
                  </w:rPr>
                </w:pPr>
                <w:r>
                  <w:rPr>
                    <w:szCs w:val="21"/>
                  </w:rPr>
                  <w:t>20,401</w:t>
                </w:r>
              </w:p>
            </w:tc>
            <w:tc>
              <w:tcPr>
                <w:tcW w:w="829" w:type="pct"/>
                <w:shd w:val="clear" w:color="auto" w:fill="auto"/>
              </w:tcPr>
              <w:p>
                <w:pPr>
                  <w:spacing w:line="240" w:lineRule="atLeast"/>
                  <w:jc w:val="right"/>
                  <w:rPr>
                    <w:szCs w:val="21"/>
                  </w:rPr>
                </w:pPr>
                <w:r>
                  <w:rPr>
                    <w:szCs w:val="21"/>
                  </w:rPr>
                  <w:t>641,665</w:t>
                </w:r>
              </w:p>
            </w:tc>
            <w:tc>
              <w:tcPr>
                <w:tcW w:w="418" w:type="pct"/>
                <w:shd w:val="clear" w:color="auto" w:fill="auto"/>
              </w:tcPr>
              <w:p>
                <w:pPr>
                  <w:spacing w:line="240" w:lineRule="atLeast"/>
                  <w:jc w:val="right"/>
                  <w:rPr>
                    <w:szCs w:val="21"/>
                  </w:rPr>
                </w:pPr>
                <w:r>
                  <w:rPr>
                    <w:szCs w:val="21"/>
                  </w:rPr>
                  <w:t>388</w:t>
                </w:r>
              </w:p>
            </w:tc>
            <w:tc>
              <w:tcPr>
                <w:tcW w:w="664" w:type="pct"/>
                <w:shd w:val="clear" w:color="auto" w:fill="auto"/>
              </w:tcPr>
              <w:p>
                <w:pPr>
                  <w:spacing w:line="240" w:lineRule="atLeast"/>
                  <w:jc w:val="right"/>
                  <w:rPr>
                    <w:szCs w:val="21"/>
                  </w:rPr>
                </w:pPr>
                <w:r>
                  <w:rPr>
                    <w:szCs w:val="21"/>
                  </w:rPr>
                  <w:t>20,626</w:t>
                </w:r>
              </w:p>
            </w:tc>
            <w:tc>
              <w:tcPr>
                <w:tcW w:w="613" w:type="pct"/>
                <w:shd w:val="clear" w:color="auto" w:fill="auto"/>
              </w:tcPr>
              <w:p>
                <w:pPr>
                  <w:spacing w:line="240" w:lineRule="atLeast"/>
                  <w:jc w:val="right"/>
                  <w:rPr>
                    <w:szCs w:val="21"/>
                  </w:rPr>
                </w:pPr>
                <w:r>
                  <w:rPr>
                    <w:szCs w:val="21"/>
                  </w:rPr>
                  <w:t>732,024</w:t>
                </w:r>
              </w:p>
            </w:tc>
          </w:tr>
          <w:tr>
            <w:trPr>
              <w:trHeight w:val="284"/>
            </w:trPr>
            <w:sdt>
              <w:sdtPr>
                <w:tag w:val="_PLD_a32c53282c7a49e1a1747c76e44e7471"/>
                <w:id w:val="1826780049"/>
              </w:sdtPr>
              <w:sdtContent>
                <w:tc>
                  <w:tcPr>
                    <w:tcW w:w="5000" w:type="pct"/>
                    <w:gridSpan w:val="7"/>
                    <w:shd w:val="clear" w:color="auto" w:fill="auto"/>
                    <w:vAlign w:val="center"/>
                  </w:tcPr>
                  <w:p>
                    <w:pPr>
                      <w:spacing w:line="240" w:lineRule="atLeast"/>
                      <w:rPr>
                        <w:szCs w:val="21"/>
                      </w:rPr>
                    </w:pPr>
                    <w:r>
                      <w:rPr>
                        <w:szCs w:val="21"/>
                      </w:rPr>
                      <w:t>三、减值准备</w:t>
                    </w:r>
                  </w:p>
                </w:tc>
              </w:sdtContent>
            </w:sdt>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1.期</w:t>
                </w:r>
                <w:r>
                  <w:rPr>
                    <w:szCs w:val="21"/>
                  </w:rPr>
                  <w:t>初余额</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tcPr>
              <w:p>
                <w:pPr>
                  <w:spacing w:line="240" w:lineRule="atLeast"/>
                  <w:jc w:val="right"/>
                  <w:rPr>
                    <w:szCs w:val="21"/>
                  </w:rPr>
                </w:pPr>
                <w:r>
                  <w:t>109,937</w:t>
                </w:r>
                <w:r>
                  <w:rPr>
                    <w:rFonts w:hint="eastAsia"/>
                  </w:rPr>
                  <w:t xml:space="preserve">　</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613" w:type="pct"/>
                <w:shd w:val="clear" w:color="auto" w:fill="auto"/>
              </w:tcPr>
              <w:p>
                <w:pPr>
                  <w:spacing w:line="240" w:lineRule="atLeast"/>
                  <w:jc w:val="right"/>
                  <w:rPr>
                    <w:szCs w:val="21"/>
                  </w:rPr>
                </w:pPr>
                <w:r>
                  <w:t>109,937</w:t>
                </w:r>
                <w:r>
                  <w:rPr>
                    <w:rFonts w:hint="eastAsia"/>
                  </w:rPr>
                  <w:t xml:space="preserve">　</w:t>
                </w:r>
              </w:p>
            </w:tc>
          </w:tr>
          <w:tr>
            <w:trPr>
              <w:trHeight w:val="284"/>
            </w:trPr>
            <w:tc>
              <w:tcPr>
                <w:tcW w:w="1149" w:type="pct"/>
                <w:shd w:val="clear" w:color="auto" w:fill="auto"/>
                <w:vAlign w:val="center"/>
              </w:tcPr>
              <w:p>
                <w:pPr>
                  <w:spacing w:line="240" w:lineRule="atLeast"/>
                  <w:ind w:firstLineChars="200" w:firstLine="420"/>
                  <w:rPr>
                    <w:szCs w:val="21"/>
                  </w:rPr>
                </w:pPr>
                <w:r>
                  <w:rPr>
                    <w:szCs w:val="21"/>
                  </w:rPr>
                  <w:t>2.本期增加</w:t>
                </w:r>
                <w:r>
                  <w:rPr>
                    <w:rFonts w:hint="eastAsia"/>
                    <w:szCs w:val="21"/>
                  </w:rPr>
                  <w:t>金额</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tcPr>
              <w:p>
                <w:pPr>
                  <w:spacing w:line="240" w:lineRule="atLeast"/>
                  <w:jc w:val="right"/>
                  <w:rPr>
                    <w:szCs w:val="21"/>
                  </w:rPr>
                </w:pP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613" w:type="pct"/>
                <w:shd w:val="clear" w:color="auto" w:fill="auto"/>
              </w:tcPr>
              <w:p>
                <w:pPr>
                  <w:spacing w:line="240" w:lineRule="atLeast"/>
                  <w:jc w:val="right"/>
                  <w:rPr>
                    <w:szCs w:val="21"/>
                  </w:rPr>
                </w:pPr>
              </w:p>
            </w:tc>
          </w:tr>
          <w:tr>
            <w:trPr>
              <w:trHeight w:val="284"/>
            </w:trPr>
            <w:tc>
              <w:tcPr>
                <w:tcW w:w="1149" w:type="pct"/>
                <w:shd w:val="clear" w:color="auto" w:fill="auto"/>
                <w:vAlign w:val="center"/>
              </w:tcPr>
              <w:p>
                <w:pPr>
                  <w:spacing w:line="240" w:lineRule="atLeast"/>
                  <w:ind w:firstLineChars="300" w:firstLine="630"/>
                  <w:rPr>
                    <w:szCs w:val="21"/>
                  </w:rPr>
                </w:pPr>
                <w:r>
                  <w:rPr>
                    <w:szCs w:val="21"/>
                  </w:rPr>
                  <w:t>(1)计提</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tcPr>
              <w:p>
                <w:pPr>
                  <w:spacing w:line="240" w:lineRule="atLeast"/>
                  <w:jc w:val="right"/>
                  <w:rPr>
                    <w:szCs w:val="21"/>
                  </w:rPr>
                </w:pPr>
                <w:r>
                  <w:rPr>
                    <w:rFonts w:hint="eastAsia"/>
                  </w:rPr>
                  <w:t xml:space="preserve">　</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613" w:type="pct"/>
                <w:shd w:val="clear" w:color="auto" w:fill="auto"/>
              </w:tcPr>
              <w:p>
                <w:pPr>
                  <w:spacing w:line="240" w:lineRule="atLeast"/>
                  <w:jc w:val="right"/>
                  <w:rPr>
                    <w:szCs w:val="21"/>
                  </w:rPr>
                </w:pPr>
                <w:r>
                  <w:rPr>
                    <w:rFonts w:hint="eastAsia"/>
                  </w:rPr>
                  <w:t xml:space="preserve">　</w:t>
                </w:r>
              </w:p>
            </w:tc>
          </w:tr>
          <w:tr>
            <w:trPr>
              <w:trHeight w:val="284"/>
            </w:trPr>
            <w:tc>
              <w:tcPr>
                <w:tcW w:w="1149" w:type="pct"/>
                <w:shd w:val="clear" w:color="auto" w:fill="auto"/>
                <w:vAlign w:val="center"/>
              </w:tcPr>
              <w:p>
                <w:pPr>
                  <w:spacing w:line="240" w:lineRule="atLeast"/>
                  <w:ind w:firstLineChars="200" w:firstLine="420"/>
                  <w:rPr>
                    <w:szCs w:val="21"/>
                  </w:rPr>
                </w:pPr>
                <w:r>
                  <w:rPr>
                    <w:rFonts w:hint="eastAsia"/>
                    <w:szCs w:val="21"/>
                  </w:rPr>
                  <w:t>3.</w:t>
                </w:r>
                <w:r>
                  <w:rPr>
                    <w:szCs w:val="21"/>
                  </w:rPr>
                  <w:t>本期减少</w:t>
                </w:r>
                <w:r>
                  <w:rPr>
                    <w:rFonts w:hint="eastAsia"/>
                    <w:szCs w:val="21"/>
                  </w:rPr>
                  <w:t>金额</w:t>
                </w:r>
              </w:p>
            </w:tc>
            <w:tc>
              <w:tcPr>
                <w:tcW w:w="664"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829" w:type="pct"/>
                <w:shd w:val="clear" w:color="auto" w:fill="auto"/>
              </w:tcPr>
              <w:p>
                <w:pPr>
                  <w:spacing w:line="240" w:lineRule="atLeast"/>
                  <w:jc w:val="right"/>
                  <w:rPr>
                    <w:szCs w:val="21"/>
                  </w:rPr>
                </w:pPr>
                <w:r>
                  <w:rPr>
                    <w:rFonts w:hint="eastAsia"/>
                  </w:rPr>
                  <w:t xml:space="preserve">　</w:t>
                </w:r>
              </w:p>
            </w:tc>
            <w:tc>
              <w:tcPr>
                <w:tcW w:w="418" w:type="pct"/>
                <w:shd w:val="clear" w:color="auto" w:fill="auto"/>
              </w:tcPr>
              <w:p>
                <w:pPr>
                  <w:spacing w:line="240" w:lineRule="atLeast"/>
                  <w:jc w:val="right"/>
                  <w:rPr>
                    <w:szCs w:val="21"/>
                  </w:rPr>
                </w:pPr>
                <w:r>
                  <w:rPr>
                    <w:rFonts w:hint="eastAsia"/>
                  </w:rPr>
                  <w:t xml:space="preserve">　</w:t>
                </w:r>
              </w:p>
            </w:tc>
            <w:tc>
              <w:tcPr>
                <w:tcW w:w="664" w:type="pct"/>
                <w:shd w:val="clear" w:color="auto" w:fill="auto"/>
              </w:tcPr>
              <w:p>
                <w:pPr>
                  <w:spacing w:line="240" w:lineRule="atLeast"/>
                  <w:jc w:val="right"/>
                  <w:rPr>
                    <w:szCs w:val="21"/>
                  </w:rPr>
                </w:pPr>
                <w:r>
                  <w:rPr>
                    <w:rFonts w:hint="eastAsia"/>
                  </w:rPr>
                  <w:t xml:space="preserve">　</w:t>
                </w:r>
              </w:p>
            </w:tc>
            <w:tc>
              <w:tcPr>
                <w:tcW w:w="613" w:type="pct"/>
                <w:shd w:val="clear" w:color="auto" w:fill="auto"/>
              </w:tcPr>
              <w:p>
                <w:pPr>
                  <w:spacing w:line="240" w:lineRule="atLeast"/>
                  <w:jc w:val="right"/>
                  <w:rPr>
                    <w:szCs w:val="21"/>
                  </w:rPr>
                </w:pPr>
                <w:r>
                  <w:rPr>
                    <w:rFonts w:hint="eastAsia"/>
                  </w:rPr>
                  <w:t xml:space="preserve">　</w:t>
                </w:r>
              </w:p>
            </w:tc>
          </w:tr>
        </w:tbl>
        <w:p>
          <w:pPr>
            <w:spacing w:line="240" w:lineRule="atLeast"/>
            <w:ind w:firstLineChars="300" w:firstLine="630"/>
            <w:rPr>
              <w:szCs w:val="21"/>
            </w:rPr>
            <w:sectPr>
              <w:pgSz w:w="11906" w:h="16838"/>
              <w:pgMar w:top="1440" w:right="1797" w:bottom="1525" w:left="1276" w:header="856" w:footer="992" w:gutter="0"/>
              <w:cols w:space="425"/>
              <w:docGrid w:linePitch="312"/>
            </w:sectPr>
          </w:pPr>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1988"/>
            <w:gridCol w:w="1988"/>
            <w:gridCol w:w="2484"/>
            <w:gridCol w:w="1253"/>
            <w:gridCol w:w="1988"/>
            <w:gridCol w:w="1838"/>
          </w:tblGrid>
          <w:tr>
            <w:trPr>
              <w:trHeight w:val="284"/>
            </w:trPr>
            <w:tc>
              <w:tcPr>
                <w:tcW w:w="838" w:type="pct"/>
                <w:shd w:val="clear" w:color="auto" w:fill="auto"/>
                <w:vAlign w:val="center"/>
              </w:tcPr>
              <w:p>
                <w:pPr>
                  <w:spacing w:line="240" w:lineRule="atLeast"/>
                  <w:ind w:firstLineChars="300" w:firstLine="630"/>
                  <w:rPr>
                    <w:szCs w:val="21"/>
                  </w:rPr>
                </w:pPr>
                <w:r>
                  <w:rPr>
                    <w:szCs w:val="21"/>
                  </w:rPr>
                  <w:lastRenderedPageBreak/>
                  <w:t>(1)</w:t>
                </w:r>
                <w:r>
                  <w:rPr>
                    <w:rFonts w:hint="eastAsia"/>
                    <w:szCs w:val="21"/>
                  </w:rPr>
                  <w:t>处置</w:t>
                </w:r>
              </w:p>
            </w:tc>
            <w:tc>
              <w:tcPr>
                <w:tcW w:w="717" w:type="pct"/>
                <w:shd w:val="clear" w:color="auto" w:fill="auto"/>
              </w:tcPr>
              <w:p>
                <w:pPr>
                  <w:spacing w:line="240" w:lineRule="atLeast"/>
                  <w:jc w:val="right"/>
                  <w:rPr>
                    <w:szCs w:val="21"/>
                  </w:rPr>
                </w:pPr>
                <w:r>
                  <w:rPr>
                    <w:rFonts w:hint="eastAsia"/>
                  </w:rPr>
                  <w:t xml:space="preserve">　</w:t>
                </w:r>
              </w:p>
            </w:tc>
            <w:tc>
              <w:tcPr>
                <w:tcW w:w="717" w:type="pct"/>
                <w:shd w:val="clear" w:color="auto" w:fill="auto"/>
              </w:tcPr>
              <w:p>
                <w:pPr>
                  <w:spacing w:line="240" w:lineRule="atLeast"/>
                  <w:jc w:val="right"/>
                  <w:rPr>
                    <w:szCs w:val="21"/>
                  </w:rPr>
                </w:pPr>
                <w:r>
                  <w:rPr>
                    <w:rFonts w:hint="eastAsia"/>
                  </w:rPr>
                  <w:t xml:space="preserve">　</w:t>
                </w:r>
              </w:p>
            </w:tc>
            <w:tc>
              <w:tcPr>
                <w:tcW w:w="896" w:type="pct"/>
                <w:shd w:val="clear" w:color="auto" w:fill="auto"/>
              </w:tcPr>
              <w:p>
                <w:pPr>
                  <w:spacing w:line="240" w:lineRule="atLeast"/>
                  <w:jc w:val="right"/>
                  <w:rPr>
                    <w:szCs w:val="21"/>
                  </w:rPr>
                </w:pPr>
                <w:r>
                  <w:rPr>
                    <w:rFonts w:hint="eastAsia"/>
                  </w:rPr>
                  <w:t xml:space="preserve">　</w:t>
                </w:r>
              </w:p>
            </w:tc>
            <w:tc>
              <w:tcPr>
                <w:tcW w:w="452" w:type="pct"/>
                <w:shd w:val="clear" w:color="auto" w:fill="auto"/>
              </w:tcPr>
              <w:p>
                <w:pPr>
                  <w:spacing w:line="240" w:lineRule="atLeast"/>
                  <w:jc w:val="right"/>
                  <w:rPr>
                    <w:szCs w:val="21"/>
                  </w:rPr>
                </w:pPr>
                <w:r>
                  <w:rPr>
                    <w:rFonts w:hint="eastAsia"/>
                  </w:rPr>
                  <w:t xml:space="preserve">　</w:t>
                </w:r>
              </w:p>
            </w:tc>
            <w:tc>
              <w:tcPr>
                <w:tcW w:w="717" w:type="pct"/>
                <w:shd w:val="clear" w:color="auto" w:fill="auto"/>
              </w:tcPr>
              <w:p>
                <w:pPr>
                  <w:spacing w:line="240" w:lineRule="atLeast"/>
                  <w:jc w:val="right"/>
                  <w:rPr>
                    <w:szCs w:val="21"/>
                  </w:rPr>
                </w:pPr>
                <w:r>
                  <w:rPr>
                    <w:rFonts w:hint="eastAsia"/>
                  </w:rPr>
                  <w:t xml:space="preserve">　</w:t>
                </w:r>
              </w:p>
            </w:tc>
            <w:tc>
              <w:tcPr>
                <w:tcW w:w="662" w:type="pct"/>
                <w:shd w:val="clear" w:color="auto" w:fill="auto"/>
              </w:tcPr>
              <w:p>
                <w:pPr>
                  <w:spacing w:line="240" w:lineRule="atLeast"/>
                  <w:jc w:val="right"/>
                  <w:rPr>
                    <w:szCs w:val="21"/>
                  </w:rPr>
                </w:pPr>
                <w:r>
                  <w:rPr>
                    <w:rFonts w:hint="eastAsia"/>
                  </w:rPr>
                  <w:t xml:space="preserve">　</w:t>
                </w:r>
              </w:p>
            </w:tc>
          </w:tr>
          <w:tr>
            <w:trPr>
              <w:trHeight w:val="284"/>
            </w:trPr>
            <w:tc>
              <w:tcPr>
                <w:tcW w:w="838" w:type="pct"/>
                <w:shd w:val="clear" w:color="auto" w:fill="auto"/>
              </w:tcPr>
              <w:p>
                <w:pPr>
                  <w:spacing w:line="240" w:lineRule="atLeast"/>
                  <w:ind w:firstLineChars="300" w:firstLine="630"/>
                  <w:rPr>
                    <w:szCs w:val="21"/>
                  </w:rPr>
                </w:pPr>
                <w:r>
                  <w:rPr>
                    <w:szCs w:val="21"/>
                  </w:rPr>
                  <w:t>（2）其他减少</w:t>
                </w:r>
              </w:p>
            </w:tc>
            <w:tc>
              <w:tcPr>
                <w:tcW w:w="717" w:type="pct"/>
                <w:shd w:val="clear" w:color="auto" w:fill="auto"/>
              </w:tcPr>
              <w:p>
                <w:pPr>
                  <w:spacing w:line="240" w:lineRule="atLeast"/>
                  <w:jc w:val="right"/>
                  <w:rPr>
                    <w:szCs w:val="21"/>
                  </w:rPr>
                </w:pPr>
              </w:p>
            </w:tc>
            <w:tc>
              <w:tcPr>
                <w:tcW w:w="717" w:type="pct"/>
                <w:shd w:val="clear" w:color="auto" w:fill="auto"/>
              </w:tcPr>
              <w:p>
                <w:pPr>
                  <w:spacing w:line="240" w:lineRule="atLeast"/>
                  <w:jc w:val="right"/>
                  <w:rPr>
                    <w:szCs w:val="21"/>
                  </w:rPr>
                </w:pPr>
              </w:p>
            </w:tc>
            <w:tc>
              <w:tcPr>
                <w:tcW w:w="896" w:type="pct"/>
                <w:shd w:val="clear" w:color="auto" w:fill="auto"/>
              </w:tcPr>
              <w:p>
                <w:pPr>
                  <w:spacing w:line="240" w:lineRule="atLeast"/>
                  <w:jc w:val="right"/>
                  <w:rPr>
                    <w:szCs w:val="21"/>
                  </w:rPr>
                </w:pPr>
              </w:p>
            </w:tc>
            <w:tc>
              <w:tcPr>
                <w:tcW w:w="452" w:type="pct"/>
                <w:shd w:val="clear" w:color="auto" w:fill="auto"/>
              </w:tcPr>
              <w:p>
                <w:pPr>
                  <w:spacing w:line="240" w:lineRule="atLeast"/>
                  <w:jc w:val="right"/>
                  <w:rPr>
                    <w:szCs w:val="21"/>
                  </w:rPr>
                </w:pPr>
              </w:p>
            </w:tc>
            <w:tc>
              <w:tcPr>
                <w:tcW w:w="717" w:type="pct"/>
                <w:shd w:val="clear" w:color="auto" w:fill="auto"/>
              </w:tcPr>
              <w:p>
                <w:pPr>
                  <w:spacing w:line="240" w:lineRule="atLeast"/>
                  <w:jc w:val="right"/>
                  <w:rPr>
                    <w:szCs w:val="21"/>
                  </w:rPr>
                </w:pPr>
                <w:r>
                  <w:rPr>
                    <w:rFonts w:hint="eastAsia"/>
                  </w:rPr>
                  <w:t xml:space="preserve">　</w:t>
                </w:r>
              </w:p>
            </w:tc>
            <w:tc>
              <w:tcPr>
                <w:tcW w:w="662" w:type="pct"/>
                <w:shd w:val="clear" w:color="auto" w:fill="auto"/>
              </w:tcPr>
              <w:p>
                <w:pPr>
                  <w:spacing w:line="240" w:lineRule="atLeast"/>
                  <w:jc w:val="right"/>
                  <w:rPr>
                    <w:szCs w:val="21"/>
                  </w:rPr>
                </w:pPr>
              </w:p>
            </w:tc>
          </w:tr>
          <w:tr>
            <w:trPr>
              <w:trHeight w:val="284"/>
            </w:trPr>
            <w:tc>
              <w:tcPr>
                <w:tcW w:w="838" w:type="pct"/>
                <w:shd w:val="clear" w:color="auto" w:fill="auto"/>
              </w:tcPr>
              <w:p>
                <w:pPr>
                  <w:spacing w:line="240" w:lineRule="atLeast"/>
                  <w:ind w:firstLineChars="300" w:firstLine="630"/>
                  <w:rPr>
                    <w:szCs w:val="21"/>
                  </w:rPr>
                </w:pPr>
                <w:r>
                  <w:rPr>
                    <w:rFonts w:hint="eastAsia"/>
                    <w:szCs w:val="21"/>
                  </w:rPr>
                  <w:t>4</w:t>
                </w:r>
                <w:r>
                  <w:rPr>
                    <w:szCs w:val="21"/>
                  </w:rPr>
                  <w:t>.</w:t>
                </w:r>
                <w:r>
                  <w:rPr>
                    <w:rFonts w:hint="eastAsia"/>
                    <w:szCs w:val="21"/>
                  </w:rPr>
                  <w:t>外币报表折算差额</w:t>
                </w:r>
              </w:p>
            </w:tc>
            <w:tc>
              <w:tcPr>
                <w:tcW w:w="717" w:type="pct"/>
                <w:shd w:val="clear" w:color="auto" w:fill="auto"/>
              </w:tcPr>
              <w:p>
                <w:pPr>
                  <w:spacing w:line="240" w:lineRule="atLeast"/>
                  <w:jc w:val="right"/>
                  <w:rPr>
                    <w:szCs w:val="21"/>
                  </w:rPr>
                </w:pPr>
              </w:p>
            </w:tc>
            <w:tc>
              <w:tcPr>
                <w:tcW w:w="717" w:type="pct"/>
                <w:shd w:val="clear" w:color="auto" w:fill="auto"/>
              </w:tcPr>
              <w:p>
                <w:pPr>
                  <w:spacing w:line="240" w:lineRule="atLeast"/>
                  <w:jc w:val="right"/>
                  <w:rPr>
                    <w:szCs w:val="21"/>
                  </w:rPr>
                </w:pPr>
              </w:p>
            </w:tc>
            <w:tc>
              <w:tcPr>
                <w:tcW w:w="896" w:type="pct"/>
                <w:shd w:val="clear" w:color="auto" w:fill="auto"/>
              </w:tcPr>
              <w:p>
                <w:pPr>
                  <w:spacing w:line="240" w:lineRule="atLeast"/>
                  <w:jc w:val="right"/>
                  <w:rPr>
                    <w:szCs w:val="21"/>
                  </w:rPr>
                </w:pPr>
                <w:r>
                  <w:rPr>
                    <w:szCs w:val="21"/>
                  </w:rPr>
                  <w:t>-27,253</w:t>
                </w:r>
              </w:p>
            </w:tc>
            <w:tc>
              <w:tcPr>
                <w:tcW w:w="452" w:type="pct"/>
                <w:shd w:val="clear" w:color="auto" w:fill="auto"/>
              </w:tcPr>
              <w:p>
                <w:pPr>
                  <w:spacing w:line="240" w:lineRule="atLeast"/>
                  <w:jc w:val="right"/>
                  <w:rPr>
                    <w:szCs w:val="21"/>
                  </w:rPr>
                </w:pPr>
              </w:p>
            </w:tc>
            <w:tc>
              <w:tcPr>
                <w:tcW w:w="717" w:type="pct"/>
                <w:shd w:val="clear" w:color="auto" w:fill="auto"/>
              </w:tcPr>
              <w:p>
                <w:pPr>
                  <w:spacing w:line="240" w:lineRule="atLeast"/>
                  <w:jc w:val="right"/>
                  <w:rPr>
                    <w:szCs w:val="21"/>
                  </w:rPr>
                </w:pPr>
              </w:p>
            </w:tc>
            <w:tc>
              <w:tcPr>
                <w:tcW w:w="662" w:type="pct"/>
                <w:shd w:val="clear" w:color="auto" w:fill="auto"/>
              </w:tcPr>
              <w:p>
                <w:pPr>
                  <w:spacing w:line="240" w:lineRule="atLeast"/>
                  <w:jc w:val="right"/>
                  <w:rPr>
                    <w:szCs w:val="21"/>
                  </w:rPr>
                </w:pPr>
                <w:r>
                  <w:rPr>
                    <w:szCs w:val="21"/>
                  </w:rPr>
                  <w:t>-27,253</w:t>
                </w:r>
              </w:p>
            </w:tc>
          </w:tr>
          <w:tr>
            <w:trPr>
              <w:trHeight w:val="284"/>
            </w:trPr>
            <w:tc>
              <w:tcPr>
                <w:tcW w:w="838" w:type="pct"/>
                <w:shd w:val="clear" w:color="auto" w:fill="auto"/>
                <w:vAlign w:val="center"/>
              </w:tcPr>
              <w:p>
                <w:pPr>
                  <w:spacing w:line="240" w:lineRule="atLeast"/>
                  <w:ind w:firstLineChars="200" w:firstLine="420"/>
                  <w:rPr>
                    <w:szCs w:val="21"/>
                  </w:rPr>
                </w:pPr>
                <w:r>
                  <w:rPr>
                    <w:szCs w:val="21"/>
                  </w:rPr>
                  <w:t>5</w:t>
                </w:r>
                <w:r>
                  <w:rPr>
                    <w:rFonts w:hint="eastAsia"/>
                    <w:szCs w:val="21"/>
                  </w:rPr>
                  <w:t>.</w:t>
                </w:r>
                <w:r>
                  <w:rPr>
                    <w:szCs w:val="21"/>
                  </w:rPr>
                  <w:t>期末余额</w:t>
                </w:r>
              </w:p>
            </w:tc>
            <w:tc>
              <w:tcPr>
                <w:tcW w:w="717" w:type="pct"/>
                <w:shd w:val="clear" w:color="auto" w:fill="auto"/>
              </w:tcPr>
              <w:p>
                <w:pPr>
                  <w:spacing w:line="240" w:lineRule="atLeast"/>
                  <w:jc w:val="right"/>
                  <w:rPr>
                    <w:szCs w:val="21"/>
                  </w:rPr>
                </w:pPr>
                <w:r>
                  <w:rPr>
                    <w:rFonts w:hint="eastAsia"/>
                  </w:rPr>
                  <w:t xml:space="preserve">　</w:t>
                </w:r>
              </w:p>
            </w:tc>
            <w:tc>
              <w:tcPr>
                <w:tcW w:w="717" w:type="pct"/>
                <w:shd w:val="clear" w:color="auto" w:fill="auto"/>
              </w:tcPr>
              <w:p>
                <w:pPr>
                  <w:spacing w:line="240" w:lineRule="atLeast"/>
                  <w:jc w:val="right"/>
                  <w:rPr>
                    <w:szCs w:val="21"/>
                  </w:rPr>
                </w:pPr>
                <w:r>
                  <w:rPr>
                    <w:rFonts w:hint="eastAsia"/>
                  </w:rPr>
                  <w:t xml:space="preserve">　</w:t>
                </w:r>
              </w:p>
            </w:tc>
            <w:tc>
              <w:tcPr>
                <w:tcW w:w="896" w:type="pct"/>
                <w:shd w:val="clear" w:color="auto" w:fill="auto"/>
              </w:tcPr>
              <w:p>
                <w:pPr>
                  <w:spacing w:line="240" w:lineRule="atLeast"/>
                  <w:jc w:val="right"/>
                  <w:rPr>
                    <w:szCs w:val="21"/>
                  </w:rPr>
                </w:pPr>
                <w:r>
                  <w:rPr>
                    <w:szCs w:val="21"/>
                  </w:rPr>
                  <w:t>82,684</w:t>
                </w:r>
              </w:p>
            </w:tc>
            <w:tc>
              <w:tcPr>
                <w:tcW w:w="452" w:type="pct"/>
                <w:shd w:val="clear" w:color="auto" w:fill="auto"/>
              </w:tcPr>
              <w:p>
                <w:pPr>
                  <w:spacing w:line="240" w:lineRule="atLeast"/>
                  <w:jc w:val="right"/>
                  <w:rPr>
                    <w:szCs w:val="21"/>
                  </w:rPr>
                </w:pPr>
                <w:r>
                  <w:rPr>
                    <w:rFonts w:hint="eastAsia"/>
                  </w:rPr>
                  <w:t xml:space="preserve">　</w:t>
                </w:r>
              </w:p>
            </w:tc>
            <w:tc>
              <w:tcPr>
                <w:tcW w:w="717" w:type="pct"/>
                <w:shd w:val="clear" w:color="auto" w:fill="auto"/>
              </w:tcPr>
              <w:p>
                <w:pPr>
                  <w:spacing w:line="240" w:lineRule="atLeast"/>
                  <w:jc w:val="right"/>
                  <w:rPr>
                    <w:szCs w:val="21"/>
                  </w:rPr>
                </w:pPr>
                <w:r>
                  <w:rPr>
                    <w:rFonts w:hint="eastAsia"/>
                  </w:rPr>
                  <w:t xml:space="preserve">　</w:t>
                </w:r>
              </w:p>
            </w:tc>
            <w:tc>
              <w:tcPr>
                <w:tcW w:w="662" w:type="pct"/>
                <w:shd w:val="clear" w:color="auto" w:fill="auto"/>
              </w:tcPr>
              <w:p>
                <w:pPr>
                  <w:spacing w:line="240" w:lineRule="atLeast"/>
                  <w:jc w:val="right"/>
                  <w:rPr>
                    <w:szCs w:val="21"/>
                  </w:rPr>
                </w:pPr>
                <w:r>
                  <w:rPr>
                    <w:szCs w:val="21"/>
                  </w:rPr>
                  <w:t>82,684</w:t>
                </w:r>
              </w:p>
            </w:tc>
          </w:tr>
          <w:tr>
            <w:trPr>
              <w:trHeight w:val="284"/>
            </w:trPr>
            <w:sdt>
              <w:sdtPr>
                <w:tag w:val="_PLD_11c4f53648e149a88b6ff0ef5ef90dc8"/>
                <w:id w:val="-585145826"/>
              </w:sdtPr>
              <w:sdtContent>
                <w:tc>
                  <w:tcPr>
                    <w:tcW w:w="5000" w:type="pct"/>
                    <w:gridSpan w:val="7"/>
                    <w:shd w:val="clear" w:color="auto" w:fill="auto"/>
                    <w:vAlign w:val="center"/>
                  </w:tcPr>
                  <w:p>
                    <w:pPr>
                      <w:spacing w:line="240" w:lineRule="atLeast"/>
                      <w:rPr>
                        <w:szCs w:val="21"/>
                      </w:rPr>
                    </w:pPr>
                    <w:r>
                      <w:rPr>
                        <w:szCs w:val="21"/>
                      </w:rPr>
                      <w:t>四、账面价值</w:t>
                    </w:r>
                  </w:p>
                </w:tc>
              </w:sdtContent>
            </w:sdt>
          </w:tr>
          <w:tr>
            <w:trPr>
              <w:trHeight w:val="284"/>
            </w:trPr>
            <w:tc>
              <w:tcPr>
                <w:tcW w:w="838" w:type="pct"/>
                <w:shd w:val="clear" w:color="auto" w:fill="auto"/>
                <w:vAlign w:val="center"/>
              </w:tcPr>
              <w:p>
                <w:pPr>
                  <w:spacing w:line="240" w:lineRule="atLeast"/>
                  <w:rPr>
                    <w:szCs w:val="21"/>
                  </w:rPr>
                </w:pPr>
                <w:r>
                  <w:rPr>
                    <w:szCs w:val="21"/>
                  </w:rPr>
                  <w:t xml:space="preserve">    1.期末账面价值</w:t>
                </w:r>
              </w:p>
            </w:tc>
            <w:tc>
              <w:tcPr>
                <w:tcW w:w="717" w:type="pct"/>
                <w:shd w:val="clear" w:color="auto" w:fill="auto"/>
              </w:tcPr>
              <w:p>
                <w:pPr>
                  <w:spacing w:line="240" w:lineRule="atLeast"/>
                  <w:jc w:val="right"/>
                  <w:rPr>
                    <w:szCs w:val="21"/>
                  </w:rPr>
                </w:pPr>
                <w:r>
                  <w:rPr>
                    <w:szCs w:val="21"/>
                  </w:rPr>
                  <w:t>41,447</w:t>
                </w:r>
              </w:p>
            </w:tc>
            <w:tc>
              <w:tcPr>
                <w:tcW w:w="717" w:type="pct"/>
                <w:shd w:val="clear" w:color="auto" w:fill="auto"/>
              </w:tcPr>
              <w:p>
                <w:pPr>
                  <w:spacing w:line="240" w:lineRule="atLeast"/>
                  <w:jc w:val="right"/>
                  <w:rPr>
                    <w:szCs w:val="21"/>
                  </w:rPr>
                </w:pPr>
                <w:r>
                  <w:rPr>
                    <w:szCs w:val="21"/>
                  </w:rPr>
                  <w:t>12,008</w:t>
                </w:r>
              </w:p>
            </w:tc>
            <w:tc>
              <w:tcPr>
                <w:tcW w:w="896" w:type="pct"/>
                <w:shd w:val="clear" w:color="auto" w:fill="auto"/>
              </w:tcPr>
              <w:p>
                <w:pPr>
                  <w:spacing w:line="240" w:lineRule="atLeast"/>
                  <w:jc w:val="right"/>
                  <w:rPr>
                    <w:szCs w:val="21"/>
                  </w:rPr>
                </w:pPr>
                <w:r>
                  <w:rPr>
                    <w:szCs w:val="21"/>
                  </w:rPr>
                  <w:t>412,407</w:t>
                </w:r>
              </w:p>
            </w:tc>
            <w:tc>
              <w:tcPr>
                <w:tcW w:w="452" w:type="pct"/>
                <w:shd w:val="clear" w:color="auto" w:fill="auto"/>
              </w:tcPr>
              <w:p>
                <w:pPr>
                  <w:spacing w:line="240" w:lineRule="atLeast"/>
                  <w:jc w:val="right"/>
                  <w:rPr>
                    <w:szCs w:val="21"/>
                  </w:rPr>
                </w:pPr>
                <w:r>
                  <w:rPr>
                    <w:szCs w:val="21"/>
                  </w:rPr>
                  <w:t>270</w:t>
                </w:r>
              </w:p>
            </w:tc>
            <w:tc>
              <w:tcPr>
                <w:tcW w:w="717" w:type="pct"/>
                <w:shd w:val="clear" w:color="auto" w:fill="auto"/>
              </w:tcPr>
              <w:p>
                <w:pPr>
                  <w:spacing w:line="240" w:lineRule="atLeast"/>
                  <w:jc w:val="right"/>
                  <w:rPr>
                    <w:szCs w:val="21"/>
                  </w:rPr>
                </w:pPr>
                <w:r>
                  <w:rPr>
                    <w:szCs w:val="21"/>
                  </w:rPr>
                  <w:t>34,713</w:t>
                </w:r>
              </w:p>
            </w:tc>
            <w:tc>
              <w:tcPr>
                <w:tcW w:w="662" w:type="pct"/>
                <w:shd w:val="clear" w:color="auto" w:fill="auto"/>
              </w:tcPr>
              <w:p>
                <w:pPr>
                  <w:spacing w:line="240" w:lineRule="atLeast"/>
                  <w:jc w:val="right"/>
                  <w:rPr>
                    <w:szCs w:val="21"/>
                  </w:rPr>
                </w:pPr>
                <w:r>
                  <w:rPr>
                    <w:szCs w:val="21"/>
                  </w:rPr>
                  <w:t>500,845</w:t>
                </w:r>
              </w:p>
            </w:tc>
          </w:tr>
          <w:tr>
            <w:trPr>
              <w:trHeight w:val="284"/>
            </w:trPr>
            <w:tc>
              <w:tcPr>
                <w:tcW w:w="838" w:type="pct"/>
                <w:shd w:val="clear" w:color="auto" w:fill="auto"/>
                <w:vAlign w:val="center"/>
              </w:tcPr>
              <w:p>
                <w:pPr>
                  <w:spacing w:line="240" w:lineRule="atLeast"/>
                  <w:rPr>
                    <w:szCs w:val="21"/>
                  </w:rPr>
                </w:pPr>
                <w:r>
                  <w:rPr>
                    <w:szCs w:val="21"/>
                  </w:rPr>
                  <w:t xml:space="preserve">    2.期初账面价值</w:t>
                </w:r>
              </w:p>
            </w:tc>
            <w:tc>
              <w:tcPr>
                <w:tcW w:w="717" w:type="pct"/>
                <w:shd w:val="clear" w:color="auto" w:fill="auto"/>
              </w:tcPr>
              <w:p>
                <w:pPr>
                  <w:spacing w:line="240" w:lineRule="atLeast"/>
                  <w:jc w:val="right"/>
                  <w:rPr>
                    <w:szCs w:val="21"/>
                  </w:rPr>
                </w:pPr>
                <w:r>
                  <w:rPr>
                    <w:szCs w:val="21"/>
                  </w:rPr>
                  <w:t>13,607</w:t>
                </w:r>
              </w:p>
            </w:tc>
            <w:tc>
              <w:tcPr>
                <w:tcW w:w="717" w:type="pct"/>
                <w:shd w:val="clear" w:color="auto" w:fill="auto"/>
              </w:tcPr>
              <w:p>
                <w:pPr>
                  <w:spacing w:line="240" w:lineRule="atLeast"/>
                  <w:jc w:val="right"/>
                  <w:rPr>
                    <w:szCs w:val="21"/>
                  </w:rPr>
                </w:pPr>
                <w:r>
                  <w:rPr>
                    <w:szCs w:val="21"/>
                  </w:rPr>
                  <w:t>25,973</w:t>
                </w:r>
              </w:p>
            </w:tc>
            <w:tc>
              <w:tcPr>
                <w:tcW w:w="896" w:type="pct"/>
                <w:shd w:val="clear" w:color="auto" w:fill="auto"/>
              </w:tcPr>
              <w:p>
                <w:pPr>
                  <w:spacing w:line="240" w:lineRule="atLeast"/>
                  <w:jc w:val="right"/>
                  <w:rPr>
                    <w:szCs w:val="21"/>
                  </w:rPr>
                </w:pPr>
                <w:r>
                  <w:rPr>
                    <w:szCs w:val="21"/>
                  </w:rPr>
                  <w:t>574,364</w:t>
                </w:r>
              </w:p>
            </w:tc>
            <w:tc>
              <w:tcPr>
                <w:tcW w:w="452" w:type="pct"/>
                <w:shd w:val="clear" w:color="auto" w:fill="auto"/>
              </w:tcPr>
              <w:p>
                <w:pPr>
                  <w:spacing w:line="240" w:lineRule="atLeast"/>
                  <w:jc w:val="right"/>
                  <w:rPr>
                    <w:szCs w:val="21"/>
                  </w:rPr>
                </w:pPr>
                <w:r>
                  <w:rPr>
                    <w:rFonts w:hint="eastAsia"/>
                  </w:rPr>
                  <w:t xml:space="preserve">　</w:t>
                </w:r>
              </w:p>
            </w:tc>
            <w:tc>
              <w:tcPr>
                <w:tcW w:w="717" w:type="pct"/>
                <w:shd w:val="clear" w:color="auto" w:fill="auto"/>
              </w:tcPr>
              <w:p>
                <w:pPr>
                  <w:spacing w:line="240" w:lineRule="atLeast"/>
                  <w:jc w:val="right"/>
                  <w:rPr>
                    <w:szCs w:val="21"/>
                  </w:rPr>
                </w:pPr>
                <w:r>
                  <w:rPr>
                    <w:szCs w:val="21"/>
                  </w:rPr>
                  <w:t>6,031</w:t>
                </w:r>
              </w:p>
            </w:tc>
            <w:tc>
              <w:tcPr>
                <w:tcW w:w="662" w:type="pct"/>
                <w:shd w:val="clear" w:color="auto" w:fill="auto"/>
              </w:tcPr>
              <w:p>
                <w:pPr>
                  <w:spacing w:line="240" w:lineRule="atLeast"/>
                  <w:jc w:val="right"/>
                  <w:rPr>
                    <w:szCs w:val="21"/>
                  </w:rPr>
                </w:pPr>
                <w:r>
                  <w:rPr>
                    <w:szCs w:val="21"/>
                  </w:rPr>
                  <w:t>619,975</w:t>
                </w:r>
              </w:p>
            </w:tc>
          </w:tr>
        </w:tbl>
        <w:p>
          <w:pPr>
            <w:pStyle w:val="afffffffffffffffffffffffffffffff6"/>
          </w:pPr>
        </w:p>
      </w:sdtContent>
    </w:sdt>
    <w:p>
      <w:pPr>
        <w:pStyle w:val="affffffffffffffffff7"/>
        <w:numPr>
          <w:ilvl w:val="0"/>
          <w:numId w:val="115"/>
        </w:numPr>
        <w:ind w:left="450" w:hanging="450"/>
      </w:pPr>
      <w:bookmarkStart w:id="430" w:name="_Hlk153461708"/>
      <w:bookmarkEnd w:id="428"/>
      <w:r>
        <w:rPr>
          <w:rFonts w:hint="eastAsia"/>
        </w:rPr>
        <w:t>使用权资产的减值测试情况</w:t>
      </w:r>
    </w:p>
    <w:sdt>
      <w:sdtPr>
        <w:alias w:val="是否适用：减值测试情况[双击切换]"/>
        <w:tag w:val="_GBC_3b3aabc5b9ad4e9896fb84bfd63b8c60"/>
        <w:id w:val="-123153807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autoSpaceDE w:val="0"/>
        <w:autoSpaceDN w:val="0"/>
        <w:adjustRightInd w:val="0"/>
        <w:rPr>
          <w:szCs w:val="21"/>
        </w:rPr>
      </w:pPr>
      <w:bookmarkStart w:id="431" w:name="_Hlk152863567"/>
      <w:bookmarkEnd w:id="429"/>
      <w:bookmarkEnd w:id="430"/>
      <w:r>
        <w:rPr>
          <w:rFonts w:hint="eastAsia"/>
          <w:szCs w:val="21"/>
        </w:rPr>
        <w:t>其他说明：</w:t>
      </w:r>
    </w:p>
    <w:p>
      <w:pPr>
        <w:rPr>
          <w:szCs w:val="21"/>
        </w:rPr>
      </w:pPr>
      <w:sdt>
        <w:sdtPr>
          <w:alias w:val="使用权资产其他说明"/>
          <w:tag w:val="_GBC_41c40d661bff4f1b859d4bd00049983c"/>
          <w:id w:val="653422929"/>
          <w:placeholder>
            <w:docPart w:val="GBC22222222222222222222222222222"/>
          </w:placeholder>
        </w:sdtPr>
        <w:sdtContent>
          <w:r>
            <w:t>-</w:t>
          </w:r>
        </w:sdtContent>
      </w:sdt>
    </w:p>
    <w:bookmarkEnd w:id="431"/>
    <w:p>
      <w:pPr>
        <w:pStyle w:val="affffffffffffffffff6"/>
        <w:numPr>
          <w:ilvl w:val="0"/>
          <w:numId w:val="103"/>
        </w:numPr>
        <w:tabs>
          <w:tab w:val="left" w:pos="504"/>
        </w:tabs>
        <w:rPr>
          <w:szCs w:val="21"/>
        </w:rPr>
      </w:pPr>
      <w:r>
        <w:rPr>
          <w:rFonts w:hint="eastAsia"/>
          <w:szCs w:val="21"/>
        </w:rPr>
        <w:t>无形资产</w:t>
      </w:r>
    </w:p>
    <w:p>
      <w:pPr>
        <w:pStyle w:val="affffffffffffffffff7"/>
        <w:numPr>
          <w:ilvl w:val="3"/>
          <w:numId w:val="116"/>
        </w:numPr>
        <w:ind w:left="426" w:hanging="426"/>
      </w:pPr>
      <w:bookmarkStart w:id="432" w:name="_Hlk90557281"/>
      <w:r>
        <w:rPr>
          <w:rFonts w:hint="eastAsia"/>
        </w:rPr>
        <w:t>无形资产情况</w:t>
      </w:r>
    </w:p>
    <w:sdt>
      <w:sdtPr>
        <w:rPr>
          <w:rFonts w:hint="eastAsia"/>
          <w:szCs w:val="21"/>
        </w:rPr>
        <w:alias w:val="是否适用：无形资产情况[双击切换]"/>
        <w:tag w:val="_GBC_42237c7a99c64602a661c1668bc893bd"/>
        <w:id w:val="-1810851680"/>
      </w:sdtPr>
      <w:sdtContent>
        <w:p>
          <w:pPr>
            <w:snapToGrid w:val="0"/>
            <w:spacing w:line="240" w:lineRule="atLeast"/>
            <w:rPr>
              <w:szCs w:val="21"/>
            </w:rPr>
          </w:pPr>
          <w:r>
            <w:rPr>
              <w:szCs w:val="21"/>
            </w:rPr>
            <w:fldChar w:fldCharType="begin"/>
          </w:r>
          <w:r>
            <w:rPr>
              <w:szCs w:val="21"/>
            </w:rPr>
            <w:instrText xml:space="preserve"> </w:instrText>
          </w:r>
          <w:r>
            <w:rPr>
              <w:rFonts w:hint="eastAsia"/>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74394561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无形资产情况"/>
          <w:tag w:val="_GBC_2c85ccef3cf1470c8cf657b14b474192"/>
          <w:id w:val="176857966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155"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8"/>
        <w:gridCol w:w="1541"/>
        <w:gridCol w:w="1675"/>
        <w:gridCol w:w="1538"/>
        <w:gridCol w:w="1538"/>
        <w:gridCol w:w="1272"/>
        <w:gridCol w:w="1538"/>
        <w:gridCol w:w="1272"/>
        <w:gridCol w:w="1681"/>
      </w:tblGrid>
      <w:tr>
        <w:trPr>
          <w:trHeight w:val="340"/>
        </w:trPr>
        <w:sdt>
          <w:sdtPr>
            <w:rPr>
              <w:szCs w:val="21"/>
            </w:rPr>
            <w:tag w:val="_PLD_0d0c5c4c9acf46eaa7c41a19eb731a5c"/>
            <w:id w:val="-2109955399"/>
          </w:sdtPr>
          <w:sdtContent>
            <w:tc>
              <w:tcPr>
                <w:tcW w:w="783" w:type="pct"/>
                <w:shd w:val="clear" w:color="auto" w:fill="auto"/>
                <w:vAlign w:val="center"/>
              </w:tcPr>
              <w:p>
                <w:pPr>
                  <w:jc w:val="center"/>
                  <w:rPr>
                    <w:szCs w:val="21"/>
                  </w:rPr>
                </w:pPr>
                <w:r>
                  <w:rPr>
                    <w:rFonts w:hint="eastAsia"/>
                    <w:szCs w:val="21"/>
                  </w:rPr>
                  <w:t>项目</w:t>
                </w:r>
              </w:p>
            </w:tc>
          </w:sdtContent>
        </w:sdt>
        <w:tc>
          <w:tcPr>
            <w:tcW w:w="539" w:type="pct"/>
            <w:shd w:val="clear" w:color="auto" w:fill="auto"/>
            <w:vAlign w:val="center"/>
          </w:tcPr>
          <w:p>
            <w:pPr>
              <w:spacing w:line="360" w:lineRule="exact"/>
              <w:jc w:val="center"/>
              <w:rPr>
                <w:b/>
                <w:bCs/>
                <w:color w:val="000000"/>
                <w:szCs w:val="21"/>
              </w:rPr>
            </w:pPr>
            <w:r>
              <w:rPr>
                <w:rFonts w:hint="eastAsia"/>
                <w:b/>
                <w:bCs/>
                <w:color w:val="000000"/>
                <w:szCs w:val="21"/>
              </w:rPr>
              <w:t>采矿权</w:t>
            </w:r>
          </w:p>
        </w:tc>
        <w:tc>
          <w:tcPr>
            <w:tcW w:w="586" w:type="pct"/>
            <w:shd w:val="clear" w:color="auto" w:fill="auto"/>
            <w:vAlign w:val="center"/>
          </w:tcPr>
          <w:p>
            <w:pPr>
              <w:spacing w:line="360" w:lineRule="exact"/>
              <w:jc w:val="center"/>
              <w:rPr>
                <w:b/>
                <w:bCs/>
                <w:color w:val="000000"/>
                <w:szCs w:val="21"/>
              </w:rPr>
            </w:pPr>
            <w:r>
              <w:rPr>
                <w:rFonts w:hint="eastAsia"/>
                <w:b/>
                <w:bCs/>
                <w:color w:val="000000"/>
                <w:szCs w:val="21"/>
              </w:rPr>
              <w:t>未探明矿区权益</w:t>
            </w:r>
          </w:p>
        </w:tc>
        <w:tc>
          <w:tcPr>
            <w:tcW w:w="538" w:type="pct"/>
            <w:shd w:val="clear" w:color="auto" w:fill="auto"/>
            <w:vAlign w:val="center"/>
          </w:tcPr>
          <w:p>
            <w:pPr>
              <w:spacing w:line="360" w:lineRule="exact"/>
              <w:jc w:val="center"/>
              <w:rPr>
                <w:b/>
                <w:bCs/>
                <w:color w:val="000000"/>
                <w:szCs w:val="21"/>
              </w:rPr>
            </w:pPr>
            <w:r>
              <w:rPr>
                <w:rFonts w:hint="eastAsia"/>
                <w:b/>
                <w:bCs/>
                <w:color w:val="000000"/>
                <w:szCs w:val="21"/>
              </w:rPr>
              <w:t>土地使用权</w:t>
            </w:r>
          </w:p>
        </w:tc>
        <w:tc>
          <w:tcPr>
            <w:tcW w:w="538" w:type="pct"/>
            <w:shd w:val="clear" w:color="auto" w:fill="auto"/>
            <w:vAlign w:val="center"/>
          </w:tcPr>
          <w:p>
            <w:pPr>
              <w:spacing w:line="360" w:lineRule="exact"/>
              <w:jc w:val="center"/>
              <w:rPr>
                <w:b/>
                <w:bCs/>
                <w:color w:val="000000"/>
                <w:szCs w:val="21"/>
              </w:rPr>
            </w:pPr>
            <w:r>
              <w:rPr>
                <w:rFonts w:hint="eastAsia"/>
                <w:b/>
                <w:bCs/>
                <w:color w:val="000000"/>
                <w:szCs w:val="21"/>
              </w:rPr>
              <w:t>专利和专有技术</w:t>
            </w:r>
          </w:p>
        </w:tc>
        <w:tc>
          <w:tcPr>
            <w:tcW w:w="445" w:type="pct"/>
            <w:shd w:val="clear" w:color="auto" w:fill="auto"/>
            <w:vAlign w:val="center"/>
          </w:tcPr>
          <w:p>
            <w:pPr>
              <w:spacing w:line="360" w:lineRule="exact"/>
              <w:jc w:val="center"/>
              <w:rPr>
                <w:b/>
                <w:bCs/>
                <w:color w:val="000000"/>
                <w:szCs w:val="21"/>
              </w:rPr>
            </w:pPr>
            <w:r>
              <w:rPr>
                <w:rFonts w:hint="eastAsia"/>
                <w:b/>
                <w:bCs/>
                <w:color w:val="000000"/>
                <w:szCs w:val="21"/>
              </w:rPr>
              <w:t>水资源使用权</w:t>
            </w:r>
          </w:p>
        </w:tc>
        <w:tc>
          <w:tcPr>
            <w:tcW w:w="538" w:type="pct"/>
            <w:shd w:val="clear" w:color="auto" w:fill="auto"/>
            <w:vAlign w:val="center"/>
          </w:tcPr>
          <w:p>
            <w:pPr>
              <w:spacing w:line="360" w:lineRule="exact"/>
              <w:jc w:val="center"/>
              <w:rPr>
                <w:b/>
                <w:bCs/>
                <w:color w:val="000000"/>
                <w:szCs w:val="21"/>
              </w:rPr>
            </w:pPr>
            <w:r>
              <w:rPr>
                <w:rFonts w:hint="eastAsia"/>
                <w:b/>
                <w:bCs/>
                <w:color w:val="000000"/>
                <w:szCs w:val="21"/>
              </w:rPr>
              <w:t>产能置换</w:t>
            </w:r>
          </w:p>
        </w:tc>
        <w:tc>
          <w:tcPr>
            <w:tcW w:w="445" w:type="pct"/>
            <w:shd w:val="clear" w:color="auto" w:fill="auto"/>
            <w:vAlign w:val="center"/>
          </w:tcPr>
          <w:p>
            <w:pPr>
              <w:spacing w:line="360" w:lineRule="exact"/>
              <w:jc w:val="center"/>
              <w:rPr>
                <w:b/>
                <w:bCs/>
                <w:color w:val="000000"/>
                <w:szCs w:val="21"/>
              </w:rPr>
            </w:pPr>
            <w:r>
              <w:rPr>
                <w:rFonts w:hint="eastAsia"/>
                <w:b/>
                <w:bCs/>
                <w:color w:val="000000"/>
                <w:szCs w:val="21"/>
              </w:rPr>
              <w:t>计算机软件</w:t>
            </w:r>
          </w:p>
        </w:tc>
        <w:sdt>
          <w:sdtPr>
            <w:rPr>
              <w:szCs w:val="21"/>
            </w:rPr>
            <w:tag w:val="_PLD_010a173744294c79817b77db863e3438"/>
            <w:id w:val="-234014339"/>
          </w:sdtPr>
          <w:sdtContent>
            <w:tc>
              <w:tcPr>
                <w:tcW w:w="587" w:type="pct"/>
                <w:shd w:val="clear" w:color="auto" w:fill="auto"/>
                <w:vAlign w:val="center"/>
              </w:tcPr>
              <w:p>
                <w:pPr>
                  <w:jc w:val="center"/>
                  <w:rPr>
                    <w:szCs w:val="21"/>
                  </w:rPr>
                </w:pPr>
                <w:r>
                  <w:rPr>
                    <w:szCs w:val="21"/>
                  </w:rPr>
                  <w:t>合计</w:t>
                </w:r>
              </w:p>
            </w:tc>
          </w:sdtContent>
        </w:sdt>
      </w:tr>
      <w:tr>
        <w:trPr>
          <w:trHeight w:val="340"/>
        </w:trPr>
        <w:sdt>
          <w:sdtPr>
            <w:rPr>
              <w:szCs w:val="21"/>
            </w:rPr>
            <w:tag w:val="_PLD_d38b2136312a4180852ade61efe6b93c"/>
            <w:id w:val="-951161150"/>
          </w:sdtPr>
          <w:sdtContent>
            <w:tc>
              <w:tcPr>
                <w:tcW w:w="5000" w:type="pct"/>
                <w:gridSpan w:val="9"/>
                <w:shd w:val="clear" w:color="auto" w:fill="auto"/>
                <w:vAlign w:val="center"/>
              </w:tcPr>
              <w:p>
                <w:pPr>
                  <w:rPr>
                    <w:szCs w:val="21"/>
                  </w:rPr>
                </w:pPr>
                <w:r>
                  <w:rPr>
                    <w:szCs w:val="21"/>
                  </w:rPr>
                  <w:t>一、</w:t>
                </w:r>
                <w:r>
                  <w:rPr>
                    <w:rFonts w:hint="eastAsia"/>
                    <w:szCs w:val="21"/>
                  </w:rPr>
                  <w:t>账面原值</w:t>
                </w:r>
              </w:p>
            </w:tc>
          </w:sdtContent>
        </w:sdt>
      </w:tr>
      <w:tr>
        <w:trPr>
          <w:trHeight w:val="340"/>
        </w:trPr>
        <w:sdt>
          <w:sdtPr>
            <w:rPr>
              <w:szCs w:val="21"/>
            </w:rPr>
            <w:tag w:val="_PLD_c5adbbf7566848428d517f50646b04c1"/>
            <w:id w:val="1523666531"/>
          </w:sdtPr>
          <w:sdtContent>
            <w:tc>
              <w:tcPr>
                <w:tcW w:w="783" w:type="pct"/>
                <w:shd w:val="clear" w:color="auto" w:fill="auto"/>
                <w:vAlign w:val="center"/>
              </w:tcPr>
              <w:p>
                <w:pPr>
                  <w:rPr>
                    <w:szCs w:val="21"/>
                  </w:rPr>
                </w:pPr>
                <w:r>
                  <w:rPr>
                    <w:szCs w:val="21"/>
                  </w:rPr>
                  <w:t xml:space="preserve">    1.</w:t>
                </w:r>
                <w:r>
                  <w:rPr>
                    <w:rFonts w:hint="eastAsia"/>
                    <w:szCs w:val="21"/>
                  </w:rPr>
                  <w:t>期</w:t>
                </w:r>
                <w:r>
                  <w:rPr>
                    <w:szCs w:val="21"/>
                  </w:rPr>
                  <w:t>初余额</w:t>
                </w:r>
              </w:p>
            </w:tc>
          </w:sdtContent>
        </w:sdt>
        <w:tc>
          <w:tcPr>
            <w:tcW w:w="539" w:type="pct"/>
            <w:shd w:val="clear" w:color="auto" w:fill="auto"/>
            <w:vAlign w:val="center"/>
          </w:tcPr>
          <w:p>
            <w:pPr>
              <w:spacing w:line="360" w:lineRule="exact"/>
              <w:jc w:val="right"/>
              <w:rPr>
                <w:color w:val="000000"/>
                <w:szCs w:val="21"/>
              </w:rPr>
            </w:pPr>
            <w:r>
              <w:rPr>
                <w:color w:val="000000"/>
                <w:szCs w:val="21"/>
              </w:rPr>
              <w:t>80,971,202</w:t>
            </w:r>
          </w:p>
        </w:tc>
        <w:tc>
          <w:tcPr>
            <w:tcW w:w="586" w:type="pct"/>
            <w:shd w:val="clear" w:color="auto" w:fill="auto"/>
            <w:vAlign w:val="center"/>
          </w:tcPr>
          <w:p>
            <w:pPr>
              <w:spacing w:line="360" w:lineRule="exact"/>
              <w:jc w:val="right"/>
              <w:rPr>
                <w:color w:val="000000"/>
                <w:szCs w:val="21"/>
              </w:rPr>
            </w:pPr>
            <w:r>
              <w:rPr>
                <w:color w:val="000000"/>
                <w:szCs w:val="21"/>
              </w:rPr>
              <w:t>2,724,581</w:t>
            </w:r>
          </w:p>
        </w:tc>
        <w:tc>
          <w:tcPr>
            <w:tcW w:w="538" w:type="pct"/>
            <w:shd w:val="clear" w:color="auto" w:fill="auto"/>
            <w:vAlign w:val="center"/>
          </w:tcPr>
          <w:p>
            <w:pPr>
              <w:spacing w:line="360" w:lineRule="exact"/>
              <w:jc w:val="right"/>
              <w:rPr>
                <w:color w:val="000000"/>
                <w:szCs w:val="21"/>
              </w:rPr>
            </w:pPr>
            <w:r>
              <w:rPr>
                <w:color w:val="000000"/>
                <w:szCs w:val="21"/>
              </w:rPr>
              <w:t>6,033,124</w:t>
            </w:r>
          </w:p>
        </w:tc>
        <w:tc>
          <w:tcPr>
            <w:tcW w:w="538" w:type="pct"/>
            <w:shd w:val="clear" w:color="auto" w:fill="auto"/>
            <w:vAlign w:val="center"/>
          </w:tcPr>
          <w:p>
            <w:pPr>
              <w:jc w:val="right"/>
              <w:rPr>
                <w:szCs w:val="21"/>
              </w:rPr>
            </w:pPr>
            <w:r>
              <w:rPr>
                <w:rFonts w:hint="eastAsia"/>
                <w:szCs w:val="21"/>
              </w:rPr>
              <w:t>1,426,344</w:t>
            </w:r>
          </w:p>
        </w:tc>
        <w:tc>
          <w:tcPr>
            <w:tcW w:w="445" w:type="pct"/>
            <w:shd w:val="clear" w:color="auto" w:fill="auto"/>
            <w:vAlign w:val="center"/>
          </w:tcPr>
          <w:p>
            <w:pPr>
              <w:jc w:val="right"/>
              <w:rPr>
                <w:szCs w:val="21"/>
              </w:rPr>
            </w:pPr>
            <w:r>
              <w:rPr>
                <w:rFonts w:hint="eastAsia"/>
                <w:szCs w:val="21"/>
              </w:rPr>
              <w:t>593,394</w:t>
            </w:r>
          </w:p>
        </w:tc>
        <w:tc>
          <w:tcPr>
            <w:tcW w:w="538" w:type="pct"/>
            <w:shd w:val="clear" w:color="auto" w:fill="auto"/>
          </w:tcPr>
          <w:p>
            <w:pPr>
              <w:jc w:val="right"/>
              <w:rPr>
                <w:szCs w:val="21"/>
              </w:rPr>
            </w:pPr>
            <w:r>
              <w:rPr>
                <w:rFonts w:hint="eastAsia"/>
                <w:szCs w:val="21"/>
              </w:rPr>
              <w:t>2,575,351</w:t>
            </w:r>
          </w:p>
        </w:tc>
        <w:tc>
          <w:tcPr>
            <w:tcW w:w="445" w:type="pct"/>
            <w:shd w:val="clear" w:color="auto" w:fill="auto"/>
          </w:tcPr>
          <w:p>
            <w:pPr>
              <w:jc w:val="right"/>
              <w:rPr>
                <w:szCs w:val="21"/>
              </w:rPr>
            </w:pPr>
            <w:r>
              <w:rPr>
                <w:rFonts w:hint="eastAsia"/>
                <w:szCs w:val="21"/>
              </w:rPr>
              <w:t>272,459</w:t>
            </w:r>
          </w:p>
        </w:tc>
        <w:tc>
          <w:tcPr>
            <w:tcW w:w="587" w:type="pct"/>
            <w:shd w:val="clear" w:color="auto" w:fill="auto"/>
          </w:tcPr>
          <w:p>
            <w:pPr>
              <w:jc w:val="right"/>
              <w:rPr>
                <w:szCs w:val="21"/>
              </w:rPr>
            </w:pPr>
            <w:r>
              <w:rPr>
                <w:rFonts w:hint="eastAsia"/>
                <w:szCs w:val="21"/>
              </w:rPr>
              <w:t>94,596,455</w:t>
            </w:r>
          </w:p>
        </w:tc>
      </w:tr>
      <w:tr>
        <w:trPr>
          <w:trHeight w:val="340"/>
        </w:trPr>
        <w:sdt>
          <w:sdtPr>
            <w:rPr>
              <w:szCs w:val="21"/>
            </w:rPr>
            <w:tag w:val="_PLD_0b446630b07f4e06a5d143f4d4a21911"/>
            <w:id w:val="2024671842"/>
          </w:sdtPr>
          <w:sdtContent>
            <w:tc>
              <w:tcPr>
                <w:tcW w:w="783" w:type="pct"/>
                <w:shd w:val="clear" w:color="auto" w:fill="auto"/>
                <w:vAlign w:val="center"/>
              </w:tcPr>
              <w:p>
                <w:pPr>
                  <w:ind w:firstLineChars="200" w:firstLine="420"/>
                  <w:rPr>
                    <w:szCs w:val="21"/>
                  </w:rPr>
                </w:pPr>
                <w:r>
                  <w:rPr>
                    <w:szCs w:val="21"/>
                  </w:rPr>
                  <w:t>2.本期增加</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603,134</w:t>
            </w:r>
          </w:p>
        </w:tc>
        <w:tc>
          <w:tcPr>
            <w:tcW w:w="538" w:type="pct"/>
            <w:shd w:val="clear" w:color="auto" w:fill="auto"/>
            <w:vAlign w:val="center"/>
          </w:tcPr>
          <w:p>
            <w:pPr>
              <w:spacing w:line="360" w:lineRule="exact"/>
              <w:jc w:val="right"/>
              <w:rPr>
                <w:color w:val="000000"/>
                <w:szCs w:val="21"/>
              </w:rPr>
            </w:pPr>
            <w:r>
              <w:rPr>
                <w:color w:val="000000"/>
                <w:szCs w:val="21"/>
              </w:rPr>
              <w:t>26,574</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106,400</w:t>
            </w:r>
          </w:p>
        </w:tc>
        <w:tc>
          <w:tcPr>
            <w:tcW w:w="445" w:type="pct"/>
            <w:shd w:val="clear" w:color="auto" w:fill="auto"/>
            <w:vAlign w:val="center"/>
          </w:tcPr>
          <w:p>
            <w:pPr>
              <w:spacing w:line="360" w:lineRule="exact"/>
              <w:jc w:val="right"/>
              <w:rPr>
                <w:color w:val="000000"/>
                <w:szCs w:val="21"/>
              </w:rPr>
            </w:pPr>
            <w:r>
              <w:rPr>
                <w:color w:val="000000"/>
                <w:szCs w:val="21"/>
              </w:rPr>
              <w:t>437,082</w:t>
            </w:r>
          </w:p>
        </w:tc>
        <w:tc>
          <w:tcPr>
            <w:tcW w:w="587" w:type="pct"/>
            <w:shd w:val="clear" w:color="auto" w:fill="auto"/>
            <w:vAlign w:val="center"/>
          </w:tcPr>
          <w:p>
            <w:pPr>
              <w:spacing w:line="360" w:lineRule="exact"/>
              <w:jc w:val="right"/>
              <w:rPr>
                <w:color w:val="000000"/>
                <w:szCs w:val="21"/>
              </w:rPr>
            </w:pPr>
            <w:r>
              <w:rPr>
                <w:color w:val="000000"/>
                <w:szCs w:val="21"/>
              </w:rPr>
              <w:t>1,173,190</w:t>
            </w:r>
          </w:p>
        </w:tc>
      </w:tr>
      <w:tr>
        <w:trPr>
          <w:trHeight w:val="340"/>
        </w:trPr>
        <w:sdt>
          <w:sdtPr>
            <w:rPr>
              <w:szCs w:val="21"/>
            </w:rPr>
            <w:tag w:val="_PLD_add88995250b4c76b28f71f8876082c0"/>
            <w:id w:val="-1637938162"/>
          </w:sdtPr>
          <w:sdtContent>
            <w:tc>
              <w:tcPr>
                <w:tcW w:w="783" w:type="pct"/>
                <w:shd w:val="clear" w:color="auto" w:fill="auto"/>
                <w:vAlign w:val="center"/>
              </w:tcPr>
              <w:p>
                <w:pPr>
                  <w:ind w:firstLineChars="300" w:firstLine="630"/>
                  <w:rPr>
                    <w:szCs w:val="21"/>
                  </w:rPr>
                </w:pPr>
                <w:r>
                  <w:rPr>
                    <w:szCs w:val="21"/>
                  </w:rPr>
                  <w:t>(1)</w:t>
                </w:r>
                <w:r>
                  <w:rPr>
                    <w:rFonts w:hint="eastAsia"/>
                    <w:szCs w:val="21"/>
                  </w:rPr>
                  <w:t>购置</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573,561</w:t>
            </w:r>
          </w:p>
        </w:tc>
        <w:tc>
          <w:tcPr>
            <w:tcW w:w="538" w:type="pct"/>
            <w:shd w:val="clear" w:color="auto" w:fill="auto"/>
            <w:vAlign w:val="center"/>
          </w:tcPr>
          <w:p>
            <w:pPr>
              <w:spacing w:line="360" w:lineRule="exact"/>
              <w:jc w:val="right"/>
              <w:rPr>
                <w:color w:val="000000"/>
                <w:szCs w:val="21"/>
              </w:rPr>
            </w:pPr>
            <w:r>
              <w:rPr>
                <w:szCs w:val="21"/>
              </w:rPr>
              <w:t>26,574</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36,494</w:t>
            </w:r>
          </w:p>
        </w:tc>
        <w:tc>
          <w:tcPr>
            <w:tcW w:w="445" w:type="pct"/>
            <w:shd w:val="clear" w:color="auto" w:fill="auto"/>
            <w:vAlign w:val="center"/>
          </w:tcPr>
          <w:p>
            <w:pPr>
              <w:spacing w:line="360" w:lineRule="exact"/>
              <w:jc w:val="right"/>
              <w:rPr>
                <w:color w:val="000000"/>
                <w:szCs w:val="21"/>
              </w:rPr>
            </w:pPr>
            <w:r>
              <w:rPr>
                <w:color w:val="000000"/>
                <w:szCs w:val="21"/>
              </w:rPr>
              <w:t>32,890</w:t>
            </w:r>
          </w:p>
        </w:tc>
        <w:tc>
          <w:tcPr>
            <w:tcW w:w="587" w:type="pct"/>
            <w:shd w:val="clear" w:color="auto" w:fill="auto"/>
            <w:vAlign w:val="center"/>
          </w:tcPr>
          <w:p>
            <w:pPr>
              <w:spacing w:line="360" w:lineRule="exact"/>
              <w:jc w:val="right"/>
              <w:rPr>
                <w:color w:val="000000"/>
                <w:szCs w:val="21"/>
              </w:rPr>
            </w:pPr>
            <w:r>
              <w:rPr>
                <w:color w:val="000000"/>
                <w:szCs w:val="21"/>
              </w:rPr>
              <w:t>669,519</w:t>
            </w:r>
          </w:p>
        </w:tc>
      </w:tr>
      <w:tr>
        <w:trPr>
          <w:trHeight w:val="340"/>
        </w:trPr>
        <w:sdt>
          <w:sdtPr>
            <w:rPr>
              <w:szCs w:val="21"/>
            </w:rPr>
            <w:tag w:val="_PLD_c066ab7eb447440385f68a3f33860975"/>
            <w:id w:val="-1126612392"/>
          </w:sdtPr>
          <w:sdtContent>
            <w:tc>
              <w:tcPr>
                <w:tcW w:w="783" w:type="pct"/>
                <w:shd w:val="clear" w:color="auto" w:fill="auto"/>
                <w:vAlign w:val="center"/>
              </w:tcPr>
              <w:p>
                <w:pPr>
                  <w:ind w:firstLineChars="300" w:firstLine="630"/>
                  <w:rPr>
                    <w:szCs w:val="21"/>
                  </w:rPr>
                </w:pPr>
                <w:r>
                  <w:rPr>
                    <w:rFonts w:hint="eastAsia"/>
                    <w:szCs w:val="21"/>
                  </w:rPr>
                  <w:t>(</w:t>
                </w:r>
                <w:r>
                  <w:rPr>
                    <w:szCs w:val="21"/>
                  </w:rPr>
                  <w:t>2)</w:t>
                </w:r>
                <w:r>
                  <w:rPr>
                    <w:rFonts w:hint="eastAsia"/>
                    <w:szCs w:val="21"/>
                  </w:rPr>
                  <w:t>在建工程转入</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87" w:type="pct"/>
            <w:shd w:val="clear" w:color="auto" w:fill="auto"/>
            <w:vAlign w:val="center"/>
          </w:tcPr>
          <w:p>
            <w:pPr>
              <w:spacing w:line="360" w:lineRule="exact"/>
              <w:jc w:val="right"/>
              <w:rPr>
                <w:color w:val="000000"/>
                <w:szCs w:val="21"/>
              </w:rPr>
            </w:pPr>
          </w:p>
        </w:tc>
      </w:tr>
      <w:tr>
        <w:trPr>
          <w:trHeight w:val="233"/>
        </w:trPr>
        <w:sdt>
          <w:sdtPr>
            <w:rPr>
              <w:rFonts w:hint="eastAsia"/>
              <w:szCs w:val="21"/>
            </w:rPr>
            <w:alias w:val="无形资产账面原值增加项目名称"/>
            <w:tag w:val="_GBC_d6a7b28bd7ca4aa39125f2767fd9ab9f"/>
            <w:id w:val="1822851645"/>
          </w:sdtPr>
          <w:sdtContent>
            <w:tc>
              <w:tcPr>
                <w:tcW w:w="783" w:type="pct"/>
                <w:shd w:val="clear" w:color="auto" w:fill="auto"/>
                <w:vAlign w:val="center"/>
              </w:tcPr>
              <w:p>
                <w:pPr>
                  <w:ind w:firstLineChars="300" w:firstLine="630"/>
                  <w:rPr>
                    <w:szCs w:val="21"/>
                  </w:rPr>
                </w:pPr>
                <w:r>
                  <w:rPr>
                    <w:rFonts w:hint="eastAsia"/>
                    <w:szCs w:val="21"/>
                  </w:rPr>
                  <w:t>(3)其他</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29,573</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69,906</w:t>
            </w:r>
          </w:p>
        </w:tc>
        <w:tc>
          <w:tcPr>
            <w:tcW w:w="445" w:type="pct"/>
            <w:shd w:val="clear" w:color="auto" w:fill="auto"/>
            <w:vAlign w:val="center"/>
          </w:tcPr>
          <w:p>
            <w:pPr>
              <w:spacing w:line="360" w:lineRule="exact"/>
              <w:jc w:val="right"/>
              <w:rPr>
                <w:color w:val="000000"/>
                <w:szCs w:val="21"/>
              </w:rPr>
            </w:pPr>
            <w:r>
              <w:rPr>
                <w:color w:val="000000"/>
                <w:szCs w:val="21"/>
              </w:rPr>
              <w:t>404,192</w:t>
            </w:r>
          </w:p>
        </w:tc>
        <w:tc>
          <w:tcPr>
            <w:tcW w:w="587" w:type="pct"/>
            <w:shd w:val="clear" w:color="auto" w:fill="auto"/>
            <w:vAlign w:val="center"/>
          </w:tcPr>
          <w:p>
            <w:pPr>
              <w:spacing w:line="360" w:lineRule="exact"/>
              <w:jc w:val="right"/>
              <w:rPr>
                <w:color w:val="000000"/>
                <w:szCs w:val="21"/>
              </w:rPr>
            </w:pPr>
            <w:r>
              <w:rPr>
                <w:color w:val="000000"/>
                <w:szCs w:val="21"/>
              </w:rPr>
              <w:t>503,671</w:t>
            </w:r>
          </w:p>
        </w:tc>
      </w:tr>
      <w:tr>
        <w:trPr>
          <w:trHeight w:val="340"/>
        </w:trPr>
        <w:sdt>
          <w:sdtPr>
            <w:rPr>
              <w:szCs w:val="21"/>
            </w:rPr>
            <w:tag w:val="_PLD_ef6de8d106a344419ba63c194a180aab"/>
            <w:id w:val="-1248490738"/>
          </w:sdtPr>
          <w:sdtContent>
            <w:tc>
              <w:tcPr>
                <w:tcW w:w="783" w:type="pct"/>
                <w:shd w:val="clear" w:color="auto" w:fill="auto"/>
                <w:vAlign w:val="center"/>
              </w:tcPr>
              <w:p>
                <w:pPr>
                  <w:rPr>
                    <w:szCs w:val="21"/>
                  </w:rPr>
                </w:pPr>
                <w:r>
                  <w:rPr>
                    <w:szCs w:val="21"/>
                  </w:rPr>
                  <w:t xml:space="preserve">    3.本期减少</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r>
              <w:rPr>
                <w:color w:val="000000"/>
                <w:szCs w:val="21"/>
              </w:rPr>
              <w:t>13,880</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375,473</w:t>
            </w:r>
          </w:p>
        </w:tc>
        <w:tc>
          <w:tcPr>
            <w:tcW w:w="538" w:type="pct"/>
            <w:shd w:val="clear" w:color="auto" w:fill="auto"/>
            <w:vAlign w:val="center"/>
          </w:tcPr>
          <w:p>
            <w:pPr>
              <w:spacing w:line="360" w:lineRule="exact"/>
              <w:jc w:val="right"/>
              <w:rPr>
                <w:color w:val="000000"/>
                <w:szCs w:val="21"/>
              </w:rPr>
            </w:pPr>
            <w:r>
              <w:rPr>
                <w:color w:val="000000"/>
                <w:szCs w:val="21"/>
              </w:rPr>
              <w:t>224,084</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88,302</w:t>
            </w:r>
          </w:p>
        </w:tc>
        <w:tc>
          <w:tcPr>
            <w:tcW w:w="445" w:type="pct"/>
            <w:shd w:val="clear" w:color="auto" w:fill="auto"/>
            <w:vAlign w:val="center"/>
          </w:tcPr>
          <w:p>
            <w:pPr>
              <w:spacing w:line="360" w:lineRule="exact"/>
              <w:jc w:val="right"/>
              <w:rPr>
                <w:color w:val="000000"/>
                <w:szCs w:val="21"/>
              </w:rPr>
            </w:pPr>
            <w:r>
              <w:rPr>
                <w:color w:val="000000"/>
                <w:szCs w:val="21"/>
              </w:rPr>
              <w:t>2,450</w:t>
            </w:r>
          </w:p>
        </w:tc>
        <w:tc>
          <w:tcPr>
            <w:tcW w:w="587" w:type="pct"/>
            <w:shd w:val="clear" w:color="auto" w:fill="auto"/>
            <w:vAlign w:val="center"/>
          </w:tcPr>
          <w:p>
            <w:pPr>
              <w:spacing w:line="360" w:lineRule="exact"/>
              <w:jc w:val="right"/>
              <w:rPr>
                <w:color w:val="000000"/>
                <w:szCs w:val="21"/>
              </w:rPr>
            </w:pPr>
            <w:r>
              <w:rPr>
                <w:color w:val="000000"/>
                <w:szCs w:val="21"/>
              </w:rPr>
              <w:t>704,189</w:t>
            </w:r>
          </w:p>
        </w:tc>
      </w:tr>
      <w:tr>
        <w:trPr>
          <w:trHeight w:val="340"/>
        </w:trPr>
        <w:sdt>
          <w:sdtPr>
            <w:rPr>
              <w:szCs w:val="21"/>
            </w:rPr>
            <w:tag w:val="_PLD_a2dde99d637c467abd414e8ab49b893b"/>
            <w:id w:val="-440527616"/>
          </w:sdtPr>
          <w:sdtContent>
            <w:tc>
              <w:tcPr>
                <w:tcW w:w="783" w:type="pct"/>
                <w:shd w:val="clear" w:color="auto" w:fill="auto"/>
                <w:vAlign w:val="center"/>
              </w:tcPr>
              <w:p>
                <w:pPr>
                  <w:ind w:firstLineChars="300" w:firstLine="630"/>
                  <w:rPr>
                    <w:szCs w:val="21"/>
                  </w:rPr>
                </w:pPr>
                <w:r>
                  <w:rPr>
                    <w:szCs w:val="21"/>
                  </w:rPr>
                  <w:t>(</w:t>
                </w:r>
                <w:r>
                  <w:rPr>
                    <w:rFonts w:hint="eastAsia"/>
                    <w:szCs w:val="21"/>
                  </w:rPr>
                  <w:t>1</w:t>
                </w:r>
                <w:r>
                  <w:rPr>
                    <w:szCs w:val="21"/>
                  </w:rPr>
                  <w:t>)</w:t>
                </w:r>
                <w:r>
                  <w:rPr>
                    <w:rFonts w:hint="eastAsia"/>
                    <w:szCs w:val="21"/>
                  </w:rPr>
                  <w:t>处置</w:t>
                </w:r>
              </w:p>
            </w:tc>
          </w:sdtContent>
        </w:sdt>
        <w:tc>
          <w:tcPr>
            <w:tcW w:w="539" w:type="pct"/>
            <w:shd w:val="clear" w:color="auto" w:fill="auto"/>
            <w:vAlign w:val="center"/>
          </w:tcPr>
          <w:p>
            <w:pPr>
              <w:spacing w:line="360" w:lineRule="exact"/>
              <w:jc w:val="right"/>
              <w:rPr>
                <w:color w:val="000000"/>
                <w:szCs w:val="21"/>
              </w:rPr>
            </w:pPr>
            <w:r>
              <w:rPr>
                <w:color w:val="000000"/>
                <w:szCs w:val="21"/>
              </w:rPr>
              <w:t>13,880</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375,473</w:t>
            </w:r>
          </w:p>
        </w:tc>
        <w:tc>
          <w:tcPr>
            <w:tcW w:w="538" w:type="pct"/>
            <w:shd w:val="clear" w:color="auto" w:fill="auto"/>
            <w:vAlign w:val="center"/>
          </w:tcPr>
          <w:p>
            <w:pPr>
              <w:spacing w:line="360" w:lineRule="exact"/>
              <w:jc w:val="right"/>
              <w:rPr>
                <w:color w:val="000000"/>
                <w:szCs w:val="21"/>
              </w:rPr>
            </w:pPr>
            <w:r>
              <w:rPr>
                <w:color w:val="000000"/>
                <w:szCs w:val="21"/>
              </w:rPr>
              <w:t>224,084</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88,302</w:t>
            </w:r>
          </w:p>
        </w:tc>
        <w:tc>
          <w:tcPr>
            <w:tcW w:w="445" w:type="pct"/>
            <w:shd w:val="clear" w:color="auto" w:fill="auto"/>
            <w:vAlign w:val="center"/>
          </w:tcPr>
          <w:p>
            <w:pPr>
              <w:spacing w:line="360" w:lineRule="exact"/>
              <w:jc w:val="right"/>
              <w:rPr>
                <w:color w:val="000000"/>
                <w:szCs w:val="21"/>
              </w:rPr>
            </w:pPr>
            <w:r>
              <w:rPr>
                <w:color w:val="000000"/>
                <w:szCs w:val="21"/>
              </w:rPr>
              <w:t>2,450</w:t>
            </w:r>
          </w:p>
        </w:tc>
        <w:tc>
          <w:tcPr>
            <w:tcW w:w="587" w:type="pct"/>
            <w:shd w:val="clear" w:color="auto" w:fill="auto"/>
            <w:vAlign w:val="center"/>
          </w:tcPr>
          <w:p>
            <w:pPr>
              <w:spacing w:line="360" w:lineRule="exact"/>
              <w:jc w:val="right"/>
              <w:rPr>
                <w:color w:val="000000"/>
                <w:szCs w:val="21"/>
              </w:rPr>
            </w:pPr>
            <w:r>
              <w:rPr>
                <w:color w:val="000000"/>
                <w:szCs w:val="21"/>
              </w:rPr>
              <w:t>704,189</w:t>
            </w:r>
          </w:p>
        </w:tc>
      </w:tr>
      <w:tr>
        <w:trPr>
          <w:trHeight w:val="70"/>
        </w:trPr>
        <w:sdt>
          <w:sdtPr>
            <w:rPr>
              <w:rFonts w:hint="eastAsia"/>
              <w:szCs w:val="21"/>
            </w:rPr>
            <w:alias w:val="无形资产账面原值减少项目名称"/>
            <w:tag w:val="_GBC_5d3e5a9fbe294b2894dce189a919753d"/>
            <w:id w:val="-303237938"/>
          </w:sdtPr>
          <w:sdtContent>
            <w:tc>
              <w:tcPr>
                <w:tcW w:w="783" w:type="pct"/>
                <w:shd w:val="clear" w:color="auto" w:fill="auto"/>
              </w:tcPr>
              <w:p>
                <w:pPr>
                  <w:ind w:firstLineChars="300" w:firstLine="630"/>
                  <w:rPr>
                    <w:szCs w:val="21"/>
                  </w:rPr>
                </w:pPr>
                <w:r>
                  <w:rPr>
                    <w:szCs w:val="21"/>
                  </w:rPr>
                  <w:t>4.</w:t>
                </w:r>
                <w:r>
                  <w:rPr>
                    <w:rFonts w:hint="eastAsia"/>
                    <w:szCs w:val="21"/>
                  </w:rPr>
                  <w:t>外币报表折算差额</w:t>
                </w:r>
              </w:p>
            </w:tc>
          </w:sdtContent>
        </w:sdt>
        <w:tc>
          <w:tcPr>
            <w:tcW w:w="539" w:type="pct"/>
            <w:shd w:val="clear" w:color="auto" w:fill="auto"/>
            <w:vAlign w:val="center"/>
          </w:tcPr>
          <w:p>
            <w:pPr>
              <w:spacing w:line="360" w:lineRule="exact"/>
              <w:jc w:val="right"/>
              <w:rPr>
                <w:color w:val="000000"/>
                <w:szCs w:val="21"/>
              </w:rPr>
            </w:pPr>
            <w:r>
              <w:rPr>
                <w:color w:val="000000"/>
                <w:szCs w:val="21"/>
              </w:rPr>
              <w:t>-2,488,988</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-4,617</w:t>
            </w:r>
          </w:p>
        </w:tc>
        <w:tc>
          <w:tcPr>
            <w:tcW w:w="538" w:type="pct"/>
            <w:shd w:val="clear" w:color="auto" w:fill="auto"/>
            <w:vAlign w:val="center"/>
          </w:tcPr>
          <w:p>
            <w:pPr>
              <w:spacing w:line="360" w:lineRule="exact"/>
              <w:jc w:val="right"/>
              <w:rPr>
                <w:color w:val="000000"/>
                <w:szCs w:val="21"/>
              </w:rPr>
            </w:pPr>
            <w:r>
              <w:rPr>
                <w:color w:val="000000"/>
                <w:szCs w:val="21"/>
              </w:rPr>
              <w:t>-4,268</w:t>
            </w:r>
          </w:p>
        </w:tc>
        <w:tc>
          <w:tcPr>
            <w:tcW w:w="445" w:type="pct"/>
            <w:shd w:val="clear" w:color="auto" w:fill="auto"/>
            <w:vAlign w:val="center"/>
          </w:tcPr>
          <w:p>
            <w:pPr>
              <w:spacing w:line="360" w:lineRule="exact"/>
              <w:jc w:val="right"/>
              <w:rPr>
                <w:color w:val="000000"/>
                <w:szCs w:val="21"/>
              </w:rPr>
            </w:pPr>
            <w:r>
              <w:rPr>
                <w:color w:val="000000"/>
                <w:szCs w:val="21"/>
              </w:rPr>
              <w:t>-17,901</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-19,044</w:t>
            </w:r>
          </w:p>
        </w:tc>
        <w:tc>
          <w:tcPr>
            <w:tcW w:w="587" w:type="pct"/>
            <w:shd w:val="clear" w:color="auto" w:fill="auto"/>
            <w:vAlign w:val="center"/>
          </w:tcPr>
          <w:p>
            <w:pPr>
              <w:spacing w:line="360" w:lineRule="exact"/>
              <w:jc w:val="right"/>
              <w:rPr>
                <w:color w:val="000000"/>
                <w:szCs w:val="21"/>
              </w:rPr>
            </w:pPr>
            <w:r>
              <w:rPr>
                <w:color w:val="000000"/>
                <w:szCs w:val="21"/>
              </w:rPr>
              <w:t>-2,534,818</w:t>
            </w:r>
          </w:p>
        </w:tc>
      </w:tr>
      <w:tr>
        <w:trPr>
          <w:trHeight w:val="340"/>
        </w:trPr>
        <w:sdt>
          <w:sdtPr>
            <w:rPr>
              <w:szCs w:val="21"/>
            </w:rPr>
            <w:tag w:val="_PLD_03745bff079541e1ababba4ad6de075d"/>
            <w:id w:val="-83380897"/>
          </w:sdtPr>
          <w:sdtContent>
            <w:tc>
              <w:tcPr>
                <w:tcW w:w="783" w:type="pct"/>
                <w:shd w:val="clear" w:color="auto" w:fill="auto"/>
                <w:vAlign w:val="center"/>
              </w:tcPr>
              <w:p>
                <w:pPr>
                  <w:rPr>
                    <w:szCs w:val="21"/>
                  </w:rPr>
                </w:pPr>
                <w:r>
                  <w:rPr>
                    <w:szCs w:val="21"/>
                  </w:rPr>
                  <w:t xml:space="preserve">   5.期末余额</w:t>
                </w:r>
              </w:p>
            </w:tc>
          </w:sdtContent>
        </w:sdt>
        <w:tc>
          <w:tcPr>
            <w:tcW w:w="539" w:type="pct"/>
            <w:shd w:val="clear" w:color="auto" w:fill="auto"/>
            <w:vAlign w:val="center"/>
          </w:tcPr>
          <w:p>
            <w:pPr>
              <w:spacing w:line="360" w:lineRule="exact"/>
              <w:jc w:val="right"/>
              <w:rPr>
                <w:color w:val="000000"/>
                <w:szCs w:val="21"/>
              </w:rPr>
            </w:pPr>
            <w:r>
              <w:rPr>
                <w:color w:val="000000"/>
                <w:szCs w:val="21"/>
              </w:rPr>
              <w:t>78,468,334</w:t>
            </w:r>
          </w:p>
        </w:tc>
        <w:tc>
          <w:tcPr>
            <w:tcW w:w="586" w:type="pct"/>
            <w:shd w:val="clear" w:color="auto" w:fill="auto"/>
            <w:vAlign w:val="center"/>
          </w:tcPr>
          <w:p>
            <w:pPr>
              <w:spacing w:line="360" w:lineRule="exact"/>
              <w:jc w:val="right"/>
              <w:rPr>
                <w:color w:val="000000"/>
                <w:szCs w:val="21"/>
              </w:rPr>
            </w:pPr>
            <w:r>
              <w:rPr>
                <w:color w:val="000000"/>
                <w:szCs w:val="21"/>
              </w:rPr>
              <w:t>2,724,581</w:t>
            </w:r>
          </w:p>
        </w:tc>
        <w:tc>
          <w:tcPr>
            <w:tcW w:w="538" w:type="pct"/>
            <w:shd w:val="clear" w:color="auto" w:fill="auto"/>
            <w:vAlign w:val="center"/>
          </w:tcPr>
          <w:p>
            <w:pPr>
              <w:spacing w:line="360" w:lineRule="exact"/>
              <w:jc w:val="right"/>
              <w:rPr>
                <w:color w:val="000000"/>
                <w:szCs w:val="21"/>
              </w:rPr>
            </w:pPr>
            <w:r>
              <w:rPr>
                <w:color w:val="000000"/>
                <w:szCs w:val="21"/>
              </w:rPr>
              <w:t>6,256,168</w:t>
            </w:r>
          </w:p>
        </w:tc>
        <w:tc>
          <w:tcPr>
            <w:tcW w:w="538" w:type="pct"/>
            <w:shd w:val="clear" w:color="auto" w:fill="auto"/>
            <w:vAlign w:val="center"/>
          </w:tcPr>
          <w:p>
            <w:pPr>
              <w:spacing w:line="360" w:lineRule="exact"/>
              <w:jc w:val="right"/>
              <w:rPr>
                <w:color w:val="000000"/>
                <w:szCs w:val="21"/>
              </w:rPr>
            </w:pPr>
            <w:r>
              <w:rPr>
                <w:color w:val="000000"/>
                <w:szCs w:val="21"/>
              </w:rPr>
              <w:t>1,224,566</w:t>
            </w:r>
          </w:p>
        </w:tc>
        <w:tc>
          <w:tcPr>
            <w:tcW w:w="445" w:type="pct"/>
            <w:shd w:val="clear" w:color="auto" w:fill="auto"/>
            <w:vAlign w:val="center"/>
          </w:tcPr>
          <w:p>
            <w:pPr>
              <w:spacing w:line="360" w:lineRule="exact"/>
              <w:jc w:val="right"/>
              <w:rPr>
                <w:color w:val="000000"/>
                <w:szCs w:val="21"/>
              </w:rPr>
            </w:pPr>
            <w:r>
              <w:rPr>
                <w:color w:val="000000"/>
                <w:szCs w:val="21"/>
              </w:rPr>
              <w:t>575,493</w:t>
            </w:r>
          </w:p>
        </w:tc>
        <w:tc>
          <w:tcPr>
            <w:tcW w:w="538" w:type="pct"/>
            <w:shd w:val="clear" w:color="auto" w:fill="auto"/>
            <w:vAlign w:val="center"/>
          </w:tcPr>
          <w:p>
            <w:pPr>
              <w:spacing w:line="360" w:lineRule="exact"/>
              <w:jc w:val="right"/>
              <w:rPr>
                <w:color w:val="000000"/>
                <w:szCs w:val="21"/>
              </w:rPr>
            </w:pPr>
            <w:r>
              <w:rPr>
                <w:color w:val="000000"/>
                <w:szCs w:val="21"/>
              </w:rPr>
              <w:t>2,593,449</w:t>
            </w:r>
          </w:p>
        </w:tc>
        <w:tc>
          <w:tcPr>
            <w:tcW w:w="445" w:type="pct"/>
            <w:shd w:val="clear" w:color="auto" w:fill="auto"/>
            <w:vAlign w:val="center"/>
          </w:tcPr>
          <w:p>
            <w:pPr>
              <w:spacing w:line="360" w:lineRule="exact"/>
              <w:jc w:val="right"/>
              <w:rPr>
                <w:color w:val="000000"/>
                <w:szCs w:val="21"/>
              </w:rPr>
            </w:pPr>
            <w:r>
              <w:rPr>
                <w:color w:val="000000"/>
                <w:szCs w:val="21"/>
              </w:rPr>
              <w:t>688,047</w:t>
            </w:r>
          </w:p>
        </w:tc>
        <w:tc>
          <w:tcPr>
            <w:tcW w:w="587" w:type="pct"/>
            <w:shd w:val="clear" w:color="auto" w:fill="auto"/>
            <w:vAlign w:val="center"/>
          </w:tcPr>
          <w:p>
            <w:pPr>
              <w:spacing w:line="360" w:lineRule="exact"/>
              <w:jc w:val="right"/>
              <w:rPr>
                <w:color w:val="000000"/>
                <w:szCs w:val="21"/>
              </w:rPr>
            </w:pPr>
            <w:r>
              <w:rPr>
                <w:color w:val="000000"/>
                <w:szCs w:val="21"/>
              </w:rPr>
              <w:t>92,530,638</w:t>
            </w:r>
          </w:p>
        </w:tc>
      </w:tr>
      <w:tr>
        <w:trPr>
          <w:trHeight w:val="340"/>
        </w:trPr>
        <w:sdt>
          <w:sdtPr>
            <w:rPr>
              <w:szCs w:val="21"/>
            </w:rPr>
            <w:tag w:val="_PLD_31b6b6971eff48bf893163f2b1779469"/>
            <w:id w:val="1550957229"/>
          </w:sdtPr>
          <w:sdtContent>
            <w:tc>
              <w:tcPr>
                <w:tcW w:w="5000" w:type="pct"/>
                <w:gridSpan w:val="9"/>
                <w:shd w:val="clear" w:color="auto" w:fill="auto"/>
                <w:vAlign w:val="center"/>
              </w:tcPr>
              <w:p>
                <w:pPr>
                  <w:rPr>
                    <w:szCs w:val="21"/>
                  </w:rPr>
                </w:pPr>
                <w:r>
                  <w:rPr>
                    <w:szCs w:val="21"/>
                  </w:rPr>
                  <w:t>二、累计</w:t>
                </w:r>
                <w:r>
                  <w:rPr>
                    <w:rFonts w:hint="eastAsia"/>
                    <w:szCs w:val="21"/>
                  </w:rPr>
                  <w:t>摊销</w:t>
                </w:r>
              </w:p>
            </w:tc>
          </w:sdtContent>
        </w:sdt>
      </w:tr>
      <w:tr>
        <w:trPr>
          <w:trHeight w:val="340"/>
        </w:trPr>
        <w:sdt>
          <w:sdtPr>
            <w:rPr>
              <w:szCs w:val="21"/>
            </w:rPr>
            <w:tag w:val="_PLD_192ef7a489984acd8b494007033b87de"/>
            <w:id w:val="-451864347"/>
          </w:sdtPr>
          <w:sdtContent>
            <w:tc>
              <w:tcPr>
                <w:tcW w:w="783" w:type="pct"/>
                <w:shd w:val="clear" w:color="auto" w:fill="auto"/>
                <w:vAlign w:val="center"/>
              </w:tcPr>
              <w:p>
                <w:pPr>
                  <w:ind w:firstLineChars="200" w:firstLine="420"/>
                  <w:rPr>
                    <w:szCs w:val="21"/>
                  </w:rPr>
                </w:pPr>
                <w:r>
                  <w:rPr>
                    <w:rFonts w:hint="eastAsia"/>
                    <w:szCs w:val="21"/>
                  </w:rPr>
                  <w:t>1.期</w:t>
                </w:r>
                <w:r>
                  <w:rPr>
                    <w:szCs w:val="21"/>
                  </w:rPr>
                  <w:t>初余额</w:t>
                </w:r>
              </w:p>
            </w:tc>
          </w:sdtContent>
        </w:sdt>
        <w:tc>
          <w:tcPr>
            <w:tcW w:w="539" w:type="pct"/>
            <w:shd w:val="clear" w:color="auto" w:fill="auto"/>
            <w:vAlign w:val="center"/>
          </w:tcPr>
          <w:p>
            <w:pPr>
              <w:spacing w:line="360" w:lineRule="exact"/>
              <w:jc w:val="right"/>
              <w:rPr>
                <w:color w:val="000000"/>
                <w:szCs w:val="21"/>
              </w:rPr>
            </w:pPr>
            <w:r>
              <w:rPr>
                <w:color w:val="000000"/>
                <w:szCs w:val="21"/>
              </w:rPr>
              <w:t>21,573,562</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1,065,298</w:t>
            </w:r>
          </w:p>
        </w:tc>
        <w:tc>
          <w:tcPr>
            <w:tcW w:w="538" w:type="pct"/>
            <w:shd w:val="clear" w:color="auto" w:fill="auto"/>
            <w:vAlign w:val="center"/>
          </w:tcPr>
          <w:p>
            <w:pPr>
              <w:spacing w:line="360" w:lineRule="exact"/>
              <w:jc w:val="right"/>
              <w:rPr>
                <w:color w:val="000000"/>
                <w:szCs w:val="21"/>
              </w:rPr>
            </w:pPr>
            <w:r>
              <w:rPr>
                <w:color w:val="000000"/>
                <w:szCs w:val="21"/>
              </w:rPr>
              <w:t>810,614</w:t>
            </w:r>
          </w:p>
        </w:tc>
        <w:tc>
          <w:tcPr>
            <w:tcW w:w="445" w:type="pct"/>
            <w:shd w:val="clear" w:color="auto" w:fill="auto"/>
            <w:vAlign w:val="center"/>
          </w:tcPr>
          <w:p>
            <w:pPr>
              <w:spacing w:line="360" w:lineRule="exact"/>
              <w:jc w:val="right"/>
              <w:rPr>
                <w:color w:val="000000"/>
                <w:szCs w:val="21"/>
              </w:rPr>
            </w:pPr>
            <w:r>
              <w:rPr>
                <w:color w:val="000000"/>
                <w:szCs w:val="21"/>
              </w:rPr>
              <w:t>56,049</w:t>
            </w:r>
          </w:p>
        </w:tc>
        <w:tc>
          <w:tcPr>
            <w:tcW w:w="538" w:type="pct"/>
            <w:shd w:val="clear" w:color="auto" w:fill="auto"/>
            <w:vAlign w:val="center"/>
          </w:tcPr>
          <w:p>
            <w:pPr>
              <w:spacing w:line="360" w:lineRule="exact"/>
              <w:jc w:val="right"/>
              <w:rPr>
                <w:color w:val="000000"/>
                <w:szCs w:val="21"/>
              </w:rPr>
            </w:pPr>
            <w:r>
              <w:rPr>
                <w:color w:val="000000"/>
                <w:szCs w:val="21"/>
              </w:rPr>
              <w:t>350,395</w:t>
            </w:r>
          </w:p>
        </w:tc>
        <w:tc>
          <w:tcPr>
            <w:tcW w:w="445" w:type="pct"/>
            <w:shd w:val="clear" w:color="auto" w:fill="auto"/>
            <w:vAlign w:val="center"/>
          </w:tcPr>
          <w:p>
            <w:pPr>
              <w:spacing w:line="360" w:lineRule="exact"/>
              <w:jc w:val="right"/>
              <w:rPr>
                <w:color w:val="000000"/>
                <w:szCs w:val="21"/>
              </w:rPr>
            </w:pPr>
            <w:r>
              <w:rPr>
                <w:color w:val="000000"/>
                <w:szCs w:val="21"/>
              </w:rPr>
              <w:t>218,763</w:t>
            </w:r>
          </w:p>
        </w:tc>
        <w:tc>
          <w:tcPr>
            <w:tcW w:w="587" w:type="pct"/>
            <w:shd w:val="clear" w:color="auto" w:fill="auto"/>
            <w:vAlign w:val="center"/>
          </w:tcPr>
          <w:p>
            <w:pPr>
              <w:spacing w:line="360" w:lineRule="exact"/>
              <w:jc w:val="right"/>
              <w:rPr>
                <w:color w:val="000000"/>
                <w:szCs w:val="21"/>
              </w:rPr>
            </w:pPr>
            <w:r>
              <w:rPr>
                <w:color w:val="000000"/>
                <w:szCs w:val="21"/>
              </w:rPr>
              <w:t>24,074,681</w:t>
            </w:r>
          </w:p>
        </w:tc>
      </w:tr>
      <w:tr>
        <w:trPr>
          <w:trHeight w:val="340"/>
        </w:trPr>
        <w:sdt>
          <w:sdtPr>
            <w:rPr>
              <w:szCs w:val="21"/>
            </w:rPr>
            <w:tag w:val="_PLD_d9b2c881fa5c4e37827a5af57760bac7"/>
            <w:id w:val="1205374912"/>
          </w:sdtPr>
          <w:sdtContent>
            <w:tc>
              <w:tcPr>
                <w:tcW w:w="783" w:type="pct"/>
                <w:shd w:val="clear" w:color="auto" w:fill="auto"/>
                <w:vAlign w:val="center"/>
              </w:tcPr>
              <w:p>
                <w:pPr>
                  <w:ind w:firstLineChars="200" w:firstLine="420"/>
                  <w:rPr>
                    <w:szCs w:val="21"/>
                  </w:rPr>
                </w:pPr>
                <w:r>
                  <w:rPr>
                    <w:szCs w:val="21"/>
                  </w:rPr>
                  <w:t>2.本期增加</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r>
              <w:rPr>
                <w:color w:val="000000"/>
                <w:szCs w:val="21"/>
              </w:rPr>
              <w:t>1,898,884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216,157</w:t>
            </w:r>
          </w:p>
        </w:tc>
        <w:tc>
          <w:tcPr>
            <w:tcW w:w="538" w:type="pct"/>
            <w:shd w:val="clear" w:color="auto" w:fill="auto"/>
            <w:vAlign w:val="center"/>
          </w:tcPr>
          <w:p>
            <w:pPr>
              <w:spacing w:line="360" w:lineRule="exact"/>
              <w:jc w:val="right"/>
              <w:rPr>
                <w:color w:val="000000"/>
                <w:szCs w:val="21"/>
              </w:rPr>
            </w:pPr>
            <w:r>
              <w:rPr>
                <w:color w:val="000000"/>
                <w:szCs w:val="21"/>
              </w:rPr>
              <w:t>85,711</w:t>
            </w:r>
          </w:p>
        </w:tc>
        <w:tc>
          <w:tcPr>
            <w:tcW w:w="445" w:type="pct"/>
            <w:shd w:val="clear" w:color="auto" w:fill="auto"/>
            <w:vAlign w:val="center"/>
          </w:tcPr>
          <w:p>
            <w:pPr>
              <w:spacing w:line="360" w:lineRule="exact"/>
              <w:jc w:val="right"/>
              <w:rPr>
                <w:color w:val="000000"/>
                <w:szCs w:val="21"/>
              </w:rPr>
            </w:pPr>
            <w:r>
              <w:rPr>
                <w:color w:val="000000"/>
                <w:szCs w:val="21"/>
              </w:rPr>
              <w:t>13,711</w:t>
            </w:r>
          </w:p>
        </w:tc>
        <w:tc>
          <w:tcPr>
            <w:tcW w:w="538" w:type="pct"/>
            <w:shd w:val="clear" w:color="auto" w:fill="auto"/>
            <w:vAlign w:val="center"/>
          </w:tcPr>
          <w:p>
            <w:pPr>
              <w:spacing w:line="360" w:lineRule="exact"/>
              <w:jc w:val="right"/>
              <w:rPr>
                <w:color w:val="000000"/>
                <w:szCs w:val="21"/>
              </w:rPr>
            </w:pPr>
            <w:r>
              <w:rPr>
                <w:color w:val="000000"/>
                <w:szCs w:val="21"/>
              </w:rPr>
              <w:t>112,738</w:t>
            </w:r>
          </w:p>
        </w:tc>
        <w:tc>
          <w:tcPr>
            <w:tcW w:w="445" w:type="pct"/>
            <w:shd w:val="clear" w:color="auto" w:fill="auto"/>
            <w:vAlign w:val="center"/>
          </w:tcPr>
          <w:p>
            <w:pPr>
              <w:spacing w:line="360" w:lineRule="exact"/>
              <w:jc w:val="right"/>
              <w:rPr>
                <w:color w:val="000000"/>
                <w:szCs w:val="21"/>
              </w:rPr>
            </w:pPr>
            <w:r>
              <w:rPr>
                <w:color w:val="000000"/>
                <w:szCs w:val="21"/>
              </w:rPr>
              <w:t>114,645</w:t>
            </w:r>
          </w:p>
        </w:tc>
        <w:tc>
          <w:tcPr>
            <w:tcW w:w="587" w:type="pct"/>
            <w:shd w:val="clear" w:color="auto" w:fill="auto"/>
            <w:vAlign w:val="center"/>
          </w:tcPr>
          <w:p>
            <w:pPr>
              <w:spacing w:line="360" w:lineRule="exact"/>
              <w:jc w:val="right"/>
              <w:rPr>
                <w:color w:val="000000"/>
                <w:szCs w:val="21"/>
              </w:rPr>
            </w:pPr>
            <w:r>
              <w:rPr>
                <w:color w:val="000000"/>
                <w:szCs w:val="21"/>
              </w:rPr>
              <w:t>2,441,846</w:t>
            </w:r>
          </w:p>
        </w:tc>
      </w:tr>
      <w:tr>
        <w:trPr>
          <w:trHeight w:val="340"/>
        </w:trPr>
        <w:sdt>
          <w:sdtPr>
            <w:rPr>
              <w:szCs w:val="21"/>
            </w:rPr>
            <w:tag w:val="_PLD_cc7d668427664f6aa25782750d371885"/>
            <w:id w:val="262116076"/>
          </w:sdtPr>
          <w:sdtContent>
            <w:tc>
              <w:tcPr>
                <w:tcW w:w="783" w:type="pct"/>
                <w:shd w:val="clear" w:color="auto" w:fill="auto"/>
                <w:vAlign w:val="center"/>
              </w:tcPr>
              <w:p>
                <w:pPr>
                  <w:ind w:firstLineChars="300" w:firstLine="630"/>
                  <w:rPr>
                    <w:szCs w:val="21"/>
                  </w:rPr>
                </w:pPr>
                <w:r>
                  <w:rPr>
                    <w:rFonts w:hint="eastAsia"/>
                    <w:szCs w:val="21"/>
                  </w:rPr>
                  <w:t>（1）</w:t>
                </w:r>
                <w:r>
                  <w:rPr>
                    <w:szCs w:val="21"/>
                  </w:rPr>
                  <w:t>计提</w:t>
                </w:r>
              </w:p>
            </w:tc>
          </w:sdtContent>
        </w:sdt>
        <w:tc>
          <w:tcPr>
            <w:tcW w:w="539" w:type="pct"/>
            <w:shd w:val="clear" w:color="auto" w:fill="auto"/>
            <w:vAlign w:val="center"/>
          </w:tcPr>
          <w:p>
            <w:pPr>
              <w:spacing w:line="360" w:lineRule="exact"/>
              <w:jc w:val="right"/>
              <w:rPr>
                <w:color w:val="000000"/>
                <w:szCs w:val="21"/>
              </w:rPr>
            </w:pPr>
            <w:r>
              <w:rPr>
                <w:color w:val="000000"/>
                <w:szCs w:val="21"/>
              </w:rPr>
              <w:t>1,898,884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216,157</w:t>
            </w:r>
          </w:p>
        </w:tc>
        <w:tc>
          <w:tcPr>
            <w:tcW w:w="538" w:type="pct"/>
            <w:shd w:val="clear" w:color="auto" w:fill="auto"/>
            <w:vAlign w:val="center"/>
          </w:tcPr>
          <w:p>
            <w:pPr>
              <w:spacing w:line="360" w:lineRule="exact"/>
              <w:jc w:val="right"/>
              <w:rPr>
                <w:color w:val="000000"/>
                <w:szCs w:val="21"/>
              </w:rPr>
            </w:pPr>
            <w:r>
              <w:rPr>
                <w:color w:val="000000"/>
                <w:szCs w:val="21"/>
              </w:rPr>
              <w:t>85,711</w:t>
            </w:r>
          </w:p>
        </w:tc>
        <w:tc>
          <w:tcPr>
            <w:tcW w:w="445" w:type="pct"/>
            <w:shd w:val="clear" w:color="auto" w:fill="auto"/>
            <w:vAlign w:val="center"/>
          </w:tcPr>
          <w:p>
            <w:pPr>
              <w:spacing w:line="360" w:lineRule="exact"/>
              <w:jc w:val="right"/>
              <w:rPr>
                <w:color w:val="000000"/>
                <w:szCs w:val="21"/>
              </w:rPr>
            </w:pPr>
            <w:r>
              <w:rPr>
                <w:color w:val="000000"/>
                <w:szCs w:val="21"/>
              </w:rPr>
              <w:t>13,711</w:t>
            </w:r>
          </w:p>
        </w:tc>
        <w:tc>
          <w:tcPr>
            <w:tcW w:w="538" w:type="pct"/>
            <w:shd w:val="clear" w:color="auto" w:fill="auto"/>
            <w:vAlign w:val="center"/>
          </w:tcPr>
          <w:p>
            <w:pPr>
              <w:spacing w:line="360" w:lineRule="exact"/>
              <w:jc w:val="right"/>
              <w:rPr>
                <w:color w:val="000000"/>
                <w:szCs w:val="21"/>
              </w:rPr>
            </w:pPr>
            <w:r>
              <w:rPr>
                <w:color w:val="000000"/>
                <w:szCs w:val="21"/>
              </w:rPr>
              <w:t>112,738</w:t>
            </w:r>
          </w:p>
        </w:tc>
        <w:tc>
          <w:tcPr>
            <w:tcW w:w="445" w:type="pct"/>
            <w:shd w:val="clear" w:color="auto" w:fill="auto"/>
            <w:vAlign w:val="center"/>
          </w:tcPr>
          <w:p>
            <w:pPr>
              <w:spacing w:line="360" w:lineRule="exact"/>
              <w:jc w:val="right"/>
              <w:rPr>
                <w:color w:val="000000"/>
                <w:szCs w:val="21"/>
              </w:rPr>
            </w:pPr>
            <w:r>
              <w:rPr>
                <w:color w:val="000000"/>
                <w:szCs w:val="21"/>
              </w:rPr>
              <w:t>114,645</w:t>
            </w:r>
          </w:p>
        </w:tc>
        <w:tc>
          <w:tcPr>
            <w:tcW w:w="587" w:type="pct"/>
            <w:shd w:val="clear" w:color="auto" w:fill="auto"/>
            <w:vAlign w:val="center"/>
          </w:tcPr>
          <w:p>
            <w:pPr>
              <w:spacing w:line="360" w:lineRule="exact"/>
              <w:jc w:val="right"/>
              <w:rPr>
                <w:color w:val="000000"/>
                <w:szCs w:val="21"/>
              </w:rPr>
            </w:pPr>
            <w:r>
              <w:rPr>
                <w:color w:val="000000"/>
                <w:szCs w:val="21"/>
              </w:rPr>
              <w:t>2,441,846</w:t>
            </w:r>
          </w:p>
        </w:tc>
      </w:tr>
      <w:tr>
        <w:trPr>
          <w:trHeight w:val="340"/>
        </w:trPr>
        <w:sdt>
          <w:sdtPr>
            <w:rPr>
              <w:szCs w:val="21"/>
            </w:rPr>
            <w:tag w:val="_PLD_8e892aff304549108ee89d7a36074102"/>
            <w:id w:val="-772633880"/>
          </w:sdtPr>
          <w:sdtContent>
            <w:tc>
              <w:tcPr>
                <w:tcW w:w="783" w:type="pct"/>
                <w:shd w:val="clear" w:color="auto" w:fill="auto"/>
                <w:vAlign w:val="center"/>
              </w:tcPr>
              <w:p>
                <w:pPr>
                  <w:ind w:firstLineChars="200" w:firstLine="420"/>
                  <w:rPr>
                    <w:szCs w:val="21"/>
                  </w:rPr>
                </w:pPr>
                <w:r>
                  <w:rPr>
                    <w:rFonts w:hint="eastAsia"/>
                    <w:szCs w:val="21"/>
                  </w:rPr>
                  <w:t>3.</w:t>
                </w:r>
                <w:r>
                  <w:rPr>
                    <w:szCs w:val="21"/>
                  </w:rPr>
                  <w:t>本期减少</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r>
              <w:rPr>
                <w:color w:val="000000"/>
                <w:szCs w:val="21"/>
              </w:rPr>
              <w:t>9,454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112,184</w:t>
            </w:r>
          </w:p>
        </w:tc>
        <w:tc>
          <w:tcPr>
            <w:tcW w:w="538" w:type="pct"/>
            <w:shd w:val="clear" w:color="auto" w:fill="auto"/>
            <w:vAlign w:val="center"/>
          </w:tcPr>
          <w:p>
            <w:pPr>
              <w:spacing w:line="360" w:lineRule="exact"/>
              <w:jc w:val="right"/>
              <w:rPr>
                <w:color w:val="000000"/>
                <w:szCs w:val="21"/>
              </w:rPr>
            </w:pPr>
            <w:r>
              <w:rPr>
                <w:color w:val="000000"/>
                <w:szCs w:val="21"/>
              </w:rPr>
              <w:t>331</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2,450</w:t>
            </w:r>
          </w:p>
        </w:tc>
        <w:tc>
          <w:tcPr>
            <w:tcW w:w="587" w:type="pct"/>
            <w:shd w:val="clear" w:color="auto" w:fill="auto"/>
            <w:vAlign w:val="center"/>
          </w:tcPr>
          <w:p>
            <w:pPr>
              <w:spacing w:line="360" w:lineRule="exact"/>
              <w:jc w:val="right"/>
              <w:rPr>
                <w:color w:val="000000"/>
                <w:szCs w:val="21"/>
              </w:rPr>
            </w:pPr>
            <w:r>
              <w:rPr>
                <w:color w:val="000000"/>
                <w:szCs w:val="21"/>
              </w:rPr>
              <w:t>124,419</w:t>
            </w:r>
          </w:p>
        </w:tc>
      </w:tr>
      <w:tr>
        <w:trPr>
          <w:trHeight w:val="340"/>
        </w:trPr>
        <w:sdt>
          <w:sdtPr>
            <w:rPr>
              <w:szCs w:val="21"/>
            </w:rPr>
            <w:tag w:val="_PLD_f8ab01d348a04c4d883a00519ee0501a"/>
            <w:id w:val="1012569477"/>
          </w:sdtPr>
          <w:sdtContent>
            <w:tc>
              <w:tcPr>
                <w:tcW w:w="783" w:type="pct"/>
                <w:shd w:val="clear" w:color="auto" w:fill="auto"/>
                <w:vAlign w:val="center"/>
              </w:tcPr>
              <w:p>
                <w:pPr>
                  <w:ind w:firstLineChars="300" w:firstLine="630"/>
                  <w:rPr>
                    <w:szCs w:val="21"/>
                  </w:rPr>
                </w:pPr>
                <w:r>
                  <w:rPr>
                    <w:szCs w:val="21"/>
                  </w:rPr>
                  <w:t xml:space="preserve"> (</w:t>
                </w:r>
                <w:r>
                  <w:rPr>
                    <w:rFonts w:hint="eastAsia"/>
                    <w:szCs w:val="21"/>
                  </w:rPr>
                  <w:t>1</w:t>
                </w:r>
                <w:r>
                  <w:rPr>
                    <w:szCs w:val="21"/>
                  </w:rPr>
                  <w:t>)</w:t>
                </w:r>
                <w:r>
                  <w:rPr>
                    <w:rFonts w:hint="eastAsia"/>
                    <w:szCs w:val="21"/>
                  </w:rPr>
                  <w:t>处置</w:t>
                </w:r>
              </w:p>
            </w:tc>
          </w:sdtContent>
        </w:sdt>
        <w:tc>
          <w:tcPr>
            <w:tcW w:w="539" w:type="pct"/>
            <w:shd w:val="clear" w:color="auto" w:fill="auto"/>
            <w:vAlign w:val="center"/>
          </w:tcPr>
          <w:p>
            <w:pPr>
              <w:spacing w:line="360" w:lineRule="exact"/>
              <w:jc w:val="right"/>
              <w:rPr>
                <w:color w:val="000000"/>
                <w:szCs w:val="21"/>
              </w:rPr>
            </w:pPr>
            <w:r>
              <w:rPr>
                <w:color w:val="000000"/>
                <w:szCs w:val="21"/>
              </w:rPr>
              <w:t>9,454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112,184</w:t>
            </w:r>
          </w:p>
        </w:tc>
        <w:tc>
          <w:tcPr>
            <w:tcW w:w="538" w:type="pct"/>
            <w:shd w:val="clear" w:color="auto" w:fill="auto"/>
            <w:vAlign w:val="center"/>
          </w:tcPr>
          <w:p>
            <w:pPr>
              <w:spacing w:line="360" w:lineRule="exact"/>
              <w:jc w:val="right"/>
              <w:rPr>
                <w:color w:val="000000"/>
                <w:szCs w:val="21"/>
              </w:rPr>
            </w:pPr>
            <w:r>
              <w:rPr>
                <w:color w:val="000000"/>
                <w:szCs w:val="21"/>
              </w:rPr>
              <w:t>331</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2,450</w:t>
            </w:r>
          </w:p>
        </w:tc>
        <w:tc>
          <w:tcPr>
            <w:tcW w:w="587" w:type="pct"/>
            <w:shd w:val="clear" w:color="auto" w:fill="auto"/>
            <w:vAlign w:val="center"/>
          </w:tcPr>
          <w:p>
            <w:pPr>
              <w:spacing w:line="360" w:lineRule="exact"/>
              <w:jc w:val="right"/>
              <w:rPr>
                <w:color w:val="000000"/>
                <w:szCs w:val="21"/>
              </w:rPr>
            </w:pPr>
            <w:r>
              <w:rPr>
                <w:color w:val="000000"/>
                <w:szCs w:val="21"/>
              </w:rPr>
              <w:t>124,419</w:t>
            </w:r>
          </w:p>
        </w:tc>
      </w:tr>
      <w:tr>
        <w:trPr>
          <w:trHeight w:val="91"/>
        </w:trPr>
        <w:sdt>
          <w:sdtPr>
            <w:rPr>
              <w:rFonts w:hint="eastAsia"/>
              <w:szCs w:val="21"/>
            </w:rPr>
            <w:alias w:val="无形资产累计摊销减少项目名称"/>
            <w:tag w:val="_GBC_e20bf01c005c4657bce2d5dc94c6f570"/>
            <w:id w:val="1909654236"/>
          </w:sdtPr>
          <w:sdtContent>
            <w:tc>
              <w:tcPr>
                <w:tcW w:w="783" w:type="pct"/>
                <w:shd w:val="clear" w:color="auto" w:fill="auto"/>
              </w:tcPr>
              <w:p>
                <w:pPr>
                  <w:ind w:firstLineChars="300" w:firstLine="630"/>
                  <w:rPr>
                    <w:szCs w:val="21"/>
                  </w:rPr>
                </w:pPr>
                <w:r>
                  <w:rPr>
                    <w:szCs w:val="21"/>
                  </w:rPr>
                  <w:t>4.</w:t>
                </w:r>
                <w:r>
                  <w:rPr>
                    <w:rFonts w:hint="eastAsia"/>
                    <w:szCs w:val="21"/>
                  </w:rPr>
                  <w:t>外币报表折算差额</w:t>
                </w:r>
              </w:p>
            </w:tc>
          </w:sdtContent>
        </w:sdt>
        <w:tc>
          <w:tcPr>
            <w:tcW w:w="539" w:type="pct"/>
            <w:shd w:val="clear" w:color="auto" w:fill="auto"/>
            <w:vAlign w:val="center"/>
          </w:tcPr>
          <w:p>
            <w:pPr>
              <w:spacing w:line="360" w:lineRule="exact"/>
              <w:jc w:val="right"/>
              <w:rPr>
                <w:color w:val="000000"/>
                <w:szCs w:val="21"/>
              </w:rPr>
            </w:pPr>
            <w:r>
              <w:rPr>
                <w:color w:val="000000"/>
                <w:szCs w:val="21"/>
              </w:rPr>
              <w:t>-962,974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-773</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-14,079</w:t>
            </w:r>
          </w:p>
        </w:tc>
        <w:tc>
          <w:tcPr>
            <w:tcW w:w="587" w:type="pct"/>
            <w:shd w:val="clear" w:color="auto" w:fill="auto"/>
            <w:vAlign w:val="center"/>
          </w:tcPr>
          <w:p>
            <w:pPr>
              <w:spacing w:line="360" w:lineRule="exact"/>
              <w:jc w:val="right"/>
              <w:rPr>
                <w:color w:val="000000"/>
                <w:szCs w:val="21"/>
              </w:rPr>
            </w:pPr>
            <w:r>
              <w:rPr>
                <w:color w:val="000000"/>
                <w:szCs w:val="21"/>
              </w:rPr>
              <w:t>-977,826</w:t>
            </w:r>
          </w:p>
        </w:tc>
      </w:tr>
      <w:tr>
        <w:trPr>
          <w:trHeight w:val="340"/>
        </w:trPr>
        <w:sdt>
          <w:sdtPr>
            <w:rPr>
              <w:szCs w:val="21"/>
            </w:rPr>
            <w:tag w:val="_PLD_00974608625b4b68972908d459d17711"/>
            <w:id w:val="-2355680"/>
          </w:sdtPr>
          <w:sdtContent>
            <w:tc>
              <w:tcPr>
                <w:tcW w:w="783" w:type="pct"/>
                <w:shd w:val="clear" w:color="auto" w:fill="auto"/>
                <w:vAlign w:val="center"/>
              </w:tcPr>
              <w:p>
                <w:pPr>
                  <w:ind w:firstLineChars="200" w:firstLine="420"/>
                  <w:rPr>
                    <w:szCs w:val="21"/>
                  </w:rPr>
                </w:pPr>
                <w:r>
                  <w:rPr>
                    <w:szCs w:val="21"/>
                  </w:rPr>
                  <w:t>5</w:t>
                </w:r>
                <w:r>
                  <w:rPr>
                    <w:rFonts w:hint="eastAsia"/>
                    <w:szCs w:val="21"/>
                  </w:rPr>
                  <w:t>.</w:t>
                </w:r>
                <w:r>
                  <w:rPr>
                    <w:szCs w:val="21"/>
                  </w:rPr>
                  <w:t>期末余额</w:t>
                </w:r>
              </w:p>
            </w:tc>
          </w:sdtContent>
        </w:sdt>
        <w:tc>
          <w:tcPr>
            <w:tcW w:w="539" w:type="pct"/>
            <w:shd w:val="clear" w:color="auto" w:fill="auto"/>
            <w:vAlign w:val="center"/>
          </w:tcPr>
          <w:p>
            <w:pPr>
              <w:spacing w:line="360" w:lineRule="exact"/>
              <w:jc w:val="right"/>
              <w:rPr>
                <w:color w:val="000000"/>
                <w:szCs w:val="21"/>
              </w:rPr>
            </w:pPr>
            <w:r>
              <w:rPr>
                <w:color w:val="000000"/>
                <w:szCs w:val="21"/>
              </w:rPr>
              <w:t>22,500,018</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1,168,498</w:t>
            </w:r>
          </w:p>
        </w:tc>
        <w:tc>
          <w:tcPr>
            <w:tcW w:w="538" w:type="pct"/>
            <w:shd w:val="clear" w:color="auto" w:fill="auto"/>
            <w:vAlign w:val="center"/>
          </w:tcPr>
          <w:p>
            <w:pPr>
              <w:spacing w:line="360" w:lineRule="exact"/>
              <w:jc w:val="right"/>
              <w:rPr>
                <w:color w:val="000000"/>
                <w:szCs w:val="21"/>
              </w:rPr>
            </w:pPr>
            <w:r>
              <w:rPr>
                <w:color w:val="000000"/>
                <w:szCs w:val="21"/>
              </w:rPr>
              <w:t>895,994</w:t>
            </w:r>
          </w:p>
        </w:tc>
        <w:tc>
          <w:tcPr>
            <w:tcW w:w="445" w:type="pct"/>
            <w:shd w:val="clear" w:color="auto" w:fill="auto"/>
            <w:vAlign w:val="center"/>
          </w:tcPr>
          <w:p>
            <w:pPr>
              <w:spacing w:line="360" w:lineRule="exact"/>
              <w:jc w:val="right"/>
              <w:rPr>
                <w:color w:val="000000"/>
                <w:szCs w:val="21"/>
              </w:rPr>
            </w:pPr>
            <w:r>
              <w:rPr>
                <w:color w:val="000000"/>
                <w:szCs w:val="21"/>
              </w:rPr>
              <w:t>69,760</w:t>
            </w:r>
          </w:p>
        </w:tc>
        <w:tc>
          <w:tcPr>
            <w:tcW w:w="538" w:type="pct"/>
            <w:shd w:val="clear" w:color="auto" w:fill="auto"/>
            <w:vAlign w:val="center"/>
          </w:tcPr>
          <w:p>
            <w:pPr>
              <w:spacing w:line="360" w:lineRule="exact"/>
              <w:jc w:val="right"/>
              <w:rPr>
                <w:color w:val="000000"/>
                <w:szCs w:val="21"/>
              </w:rPr>
            </w:pPr>
            <w:r>
              <w:rPr>
                <w:color w:val="000000"/>
                <w:szCs w:val="21"/>
              </w:rPr>
              <w:t>463,133</w:t>
            </w:r>
          </w:p>
        </w:tc>
        <w:tc>
          <w:tcPr>
            <w:tcW w:w="445" w:type="pct"/>
            <w:shd w:val="clear" w:color="auto" w:fill="auto"/>
            <w:vAlign w:val="center"/>
          </w:tcPr>
          <w:p>
            <w:pPr>
              <w:spacing w:line="360" w:lineRule="exact"/>
              <w:jc w:val="right"/>
              <w:rPr>
                <w:color w:val="000000"/>
                <w:szCs w:val="21"/>
              </w:rPr>
            </w:pPr>
            <w:r>
              <w:rPr>
                <w:color w:val="000000"/>
                <w:szCs w:val="21"/>
              </w:rPr>
              <w:t>316,879</w:t>
            </w:r>
          </w:p>
        </w:tc>
        <w:tc>
          <w:tcPr>
            <w:tcW w:w="587" w:type="pct"/>
            <w:shd w:val="clear" w:color="auto" w:fill="auto"/>
            <w:vAlign w:val="center"/>
          </w:tcPr>
          <w:p>
            <w:pPr>
              <w:spacing w:line="360" w:lineRule="exact"/>
              <w:jc w:val="right"/>
              <w:rPr>
                <w:color w:val="000000"/>
                <w:szCs w:val="21"/>
              </w:rPr>
            </w:pPr>
            <w:r>
              <w:rPr>
                <w:color w:val="000000"/>
                <w:szCs w:val="21"/>
              </w:rPr>
              <w:t>25,414,282</w:t>
            </w:r>
          </w:p>
        </w:tc>
      </w:tr>
      <w:tr>
        <w:trPr>
          <w:trHeight w:val="340"/>
        </w:trPr>
        <w:sdt>
          <w:sdtPr>
            <w:rPr>
              <w:szCs w:val="21"/>
            </w:rPr>
            <w:tag w:val="_PLD_f7d5f180eba449a29a01985d504a8cad"/>
            <w:id w:val="1011568324"/>
          </w:sdtPr>
          <w:sdtContent>
            <w:tc>
              <w:tcPr>
                <w:tcW w:w="5000" w:type="pct"/>
                <w:gridSpan w:val="9"/>
                <w:shd w:val="clear" w:color="auto" w:fill="auto"/>
                <w:vAlign w:val="center"/>
              </w:tcPr>
              <w:p>
                <w:pPr>
                  <w:rPr>
                    <w:szCs w:val="21"/>
                  </w:rPr>
                </w:pPr>
                <w:r>
                  <w:rPr>
                    <w:szCs w:val="21"/>
                  </w:rPr>
                  <w:t>三、减值准备</w:t>
                </w:r>
              </w:p>
            </w:tc>
          </w:sdtContent>
        </w:sdt>
      </w:tr>
      <w:tr>
        <w:trPr>
          <w:trHeight w:val="340"/>
        </w:trPr>
        <w:sdt>
          <w:sdtPr>
            <w:rPr>
              <w:szCs w:val="21"/>
            </w:rPr>
            <w:tag w:val="_PLD_d456d6b4542546f2b64c57daa1b24f6c"/>
            <w:id w:val="289865173"/>
          </w:sdtPr>
          <w:sdtContent>
            <w:tc>
              <w:tcPr>
                <w:tcW w:w="783" w:type="pct"/>
                <w:shd w:val="clear" w:color="auto" w:fill="auto"/>
                <w:vAlign w:val="center"/>
              </w:tcPr>
              <w:p>
                <w:pPr>
                  <w:ind w:firstLineChars="200" w:firstLine="420"/>
                  <w:rPr>
                    <w:szCs w:val="21"/>
                  </w:rPr>
                </w:pPr>
                <w:r>
                  <w:rPr>
                    <w:rFonts w:hint="eastAsia"/>
                    <w:szCs w:val="21"/>
                  </w:rPr>
                  <w:t>1.期</w:t>
                </w:r>
                <w:r>
                  <w:rPr>
                    <w:szCs w:val="21"/>
                  </w:rPr>
                  <w:t>初余额</w:t>
                </w:r>
              </w:p>
            </w:tc>
          </w:sdtContent>
        </w:sdt>
        <w:tc>
          <w:tcPr>
            <w:tcW w:w="539" w:type="pct"/>
            <w:shd w:val="clear" w:color="auto" w:fill="auto"/>
            <w:vAlign w:val="center"/>
          </w:tcPr>
          <w:p>
            <w:pPr>
              <w:spacing w:line="360" w:lineRule="exact"/>
              <w:jc w:val="right"/>
              <w:rPr>
                <w:color w:val="000000"/>
                <w:szCs w:val="21"/>
              </w:rPr>
            </w:pPr>
            <w:r>
              <w:rPr>
                <w:color w:val="000000"/>
                <w:szCs w:val="21"/>
              </w:rPr>
              <w:t>3,205,609</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2,517</w:t>
            </w:r>
          </w:p>
        </w:tc>
        <w:tc>
          <w:tcPr>
            <w:tcW w:w="538" w:type="pct"/>
            <w:shd w:val="clear" w:color="auto" w:fill="auto"/>
            <w:vAlign w:val="center"/>
          </w:tcPr>
          <w:p>
            <w:pPr>
              <w:spacing w:line="360" w:lineRule="exact"/>
              <w:jc w:val="right"/>
              <w:rPr>
                <w:color w:val="000000"/>
                <w:szCs w:val="21"/>
              </w:rPr>
            </w:pPr>
            <w:r>
              <w:rPr>
                <w:color w:val="000000"/>
                <w:szCs w:val="21"/>
              </w:rPr>
              <w:t>130,530</w:t>
            </w:r>
          </w:p>
        </w:tc>
        <w:tc>
          <w:tcPr>
            <w:tcW w:w="445" w:type="pct"/>
            <w:shd w:val="clear" w:color="auto" w:fill="auto"/>
            <w:vAlign w:val="center"/>
          </w:tcPr>
          <w:p>
            <w:pPr>
              <w:spacing w:line="360" w:lineRule="exact"/>
              <w:jc w:val="right"/>
              <w:rPr>
                <w:color w:val="000000"/>
                <w:szCs w:val="21"/>
              </w:rPr>
            </w:pPr>
            <w:r>
              <w:rPr>
                <w:color w:val="000000"/>
                <w:szCs w:val="21"/>
              </w:rPr>
              <w:t>27,151</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415</w:t>
            </w:r>
          </w:p>
        </w:tc>
        <w:tc>
          <w:tcPr>
            <w:tcW w:w="587" w:type="pct"/>
            <w:shd w:val="clear" w:color="auto" w:fill="auto"/>
            <w:vAlign w:val="center"/>
          </w:tcPr>
          <w:p>
            <w:pPr>
              <w:spacing w:line="360" w:lineRule="exact"/>
              <w:jc w:val="right"/>
              <w:rPr>
                <w:color w:val="000000"/>
                <w:szCs w:val="21"/>
              </w:rPr>
            </w:pPr>
            <w:r>
              <w:rPr>
                <w:color w:val="000000"/>
                <w:szCs w:val="21"/>
              </w:rPr>
              <w:t>3,366,222</w:t>
            </w:r>
          </w:p>
        </w:tc>
      </w:tr>
      <w:tr>
        <w:trPr>
          <w:trHeight w:val="340"/>
        </w:trPr>
        <w:sdt>
          <w:sdtPr>
            <w:rPr>
              <w:szCs w:val="21"/>
            </w:rPr>
            <w:tag w:val="_PLD_e2857e7aebd8427e95c78e58c21c30a8"/>
            <w:id w:val="969322556"/>
          </w:sdtPr>
          <w:sdtContent>
            <w:tc>
              <w:tcPr>
                <w:tcW w:w="783" w:type="pct"/>
                <w:shd w:val="clear" w:color="auto" w:fill="auto"/>
                <w:vAlign w:val="center"/>
              </w:tcPr>
              <w:p>
                <w:pPr>
                  <w:ind w:firstLineChars="200" w:firstLine="420"/>
                  <w:rPr>
                    <w:szCs w:val="21"/>
                  </w:rPr>
                </w:pPr>
                <w:r>
                  <w:rPr>
                    <w:szCs w:val="21"/>
                  </w:rPr>
                  <w:t>2.本期增加</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87" w:type="pct"/>
            <w:shd w:val="clear" w:color="auto" w:fill="auto"/>
            <w:vAlign w:val="center"/>
          </w:tcPr>
          <w:p>
            <w:pPr>
              <w:spacing w:line="360" w:lineRule="exact"/>
              <w:jc w:val="right"/>
              <w:rPr>
                <w:color w:val="000000"/>
                <w:szCs w:val="21"/>
              </w:rPr>
            </w:pPr>
          </w:p>
        </w:tc>
      </w:tr>
      <w:tr>
        <w:trPr>
          <w:trHeight w:val="340"/>
        </w:trPr>
        <w:sdt>
          <w:sdtPr>
            <w:rPr>
              <w:szCs w:val="21"/>
            </w:rPr>
            <w:tag w:val="_PLD_7e845556cb2643f09ea62762907b48f4"/>
            <w:id w:val="1224643133"/>
          </w:sdtPr>
          <w:sdtContent>
            <w:tc>
              <w:tcPr>
                <w:tcW w:w="783" w:type="pct"/>
                <w:shd w:val="clear" w:color="auto" w:fill="auto"/>
                <w:vAlign w:val="center"/>
              </w:tcPr>
              <w:p>
                <w:pPr>
                  <w:ind w:firstLineChars="300" w:firstLine="630"/>
                  <w:rPr>
                    <w:szCs w:val="21"/>
                  </w:rPr>
                </w:pPr>
                <w:r>
                  <w:rPr>
                    <w:rFonts w:hint="eastAsia"/>
                    <w:szCs w:val="21"/>
                  </w:rPr>
                  <w:t>（1）</w:t>
                </w:r>
                <w:r>
                  <w:rPr>
                    <w:szCs w:val="21"/>
                  </w:rPr>
                  <w:t>计提</w:t>
                </w:r>
              </w:p>
            </w:tc>
          </w:sdtContent>
        </w:sdt>
        <w:tc>
          <w:tcPr>
            <w:tcW w:w="539" w:type="pct"/>
            <w:shd w:val="clear" w:color="auto" w:fill="auto"/>
            <w:vAlign w:val="center"/>
          </w:tcPr>
          <w:p>
            <w:pPr>
              <w:spacing w:line="360" w:lineRule="exact"/>
              <w:jc w:val="right"/>
              <w:rPr>
                <w:color w:val="000000"/>
                <w:szCs w:val="21"/>
              </w:rPr>
            </w:pP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p>
        </w:tc>
        <w:tc>
          <w:tcPr>
            <w:tcW w:w="587" w:type="pct"/>
            <w:shd w:val="clear" w:color="auto" w:fill="auto"/>
            <w:vAlign w:val="center"/>
          </w:tcPr>
          <w:p>
            <w:pPr>
              <w:spacing w:line="360" w:lineRule="exact"/>
              <w:jc w:val="right"/>
              <w:rPr>
                <w:color w:val="000000"/>
                <w:szCs w:val="21"/>
              </w:rPr>
            </w:pPr>
          </w:p>
        </w:tc>
      </w:tr>
      <w:tr>
        <w:trPr>
          <w:trHeight w:val="340"/>
        </w:trPr>
        <w:sdt>
          <w:sdtPr>
            <w:rPr>
              <w:szCs w:val="21"/>
            </w:rPr>
            <w:tag w:val="_PLD_82ae87c72cfb4360abe17ac07d374fa6"/>
            <w:id w:val="-1769385237"/>
          </w:sdtPr>
          <w:sdtContent>
            <w:tc>
              <w:tcPr>
                <w:tcW w:w="783" w:type="pct"/>
                <w:shd w:val="clear" w:color="auto" w:fill="auto"/>
                <w:vAlign w:val="center"/>
              </w:tcPr>
              <w:p>
                <w:pPr>
                  <w:ind w:firstLineChars="200" w:firstLine="420"/>
                  <w:rPr>
                    <w:szCs w:val="21"/>
                  </w:rPr>
                </w:pPr>
                <w:r>
                  <w:rPr>
                    <w:rFonts w:hint="eastAsia"/>
                    <w:szCs w:val="21"/>
                  </w:rPr>
                  <w:t>3.</w:t>
                </w:r>
                <w:r>
                  <w:rPr>
                    <w:szCs w:val="21"/>
                  </w:rPr>
                  <w:t>本期减少</w:t>
                </w:r>
                <w:r>
                  <w:rPr>
                    <w:rFonts w:hint="eastAsia"/>
                    <w:szCs w:val="21"/>
                  </w:rPr>
                  <w:t>金额</w:t>
                </w:r>
              </w:p>
            </w:tc>
          </w:sdtContent>
        </w:sdt>
        <w:tc>
          <w:tcPr>
            <w:tcW w:w="539" w:type="pct"/>
            <w:shd w:val="clear" w:color="auto" w:fill="auto"/>
            <w:vAlign w:val="center"/>
          </w:tcPr>
          <w:p>
            <w:pPr>
              <w:spacing w:line="360" w:lineRule="exact"/>
              <w:jc w:val="right"/>
              <w:rPr>
                <w:color w:val="000000"/>
                <w:szCs w:val="21"/>
              </w:rPr>
            </w:pPr>
            <w:r>
              <w:rPr>
                <w:color w:val="000000"/>
                <w:szCs w:val="21"/>
              </w:rPr>
              <w:t>37,474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126,262</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475</w:t>
            </w:r>
          </w:p>
        </w:tc>
        <w:tc>
          <w:tcPr>
            <w:tcW w:w="587" w:type="pct"/>
            <w:shd w:val="clear" w:color="auto" w:fill="auto"/>
            <w:vAlign w:val="center"/>
          </w:tcPr>
          <w:p>
            <w:pPr>
              <w:spacing w:line="360" w:lineRule="exact"/>
              <w:jc w:val="right"/>
              <w:rPr>
                <w:color w:val="000000"/>
                <w:szCs w:val="21"/>
              </w:rPr>
            </w:pPr>
            <w:r>
              <w:rPr>
                <w:color w:val="000000"/>
                <w:szCs w:val="21"/>
              </w:rPr>
              <w:t>164,211</w:t>
            </w:r>
          </w:p>
        </w:tc>
      </w:tr>
      <w:tr>
        <w:trPr>
          <w:trHeight w:val="83"/>
        </w:trPr>
        <w:sdt>
          <w:sdtPr>
            <w:rPr>
              <w:rFonts w:hint="eastAsia"/>
              <w:szCs w:val="21"/>
            </w:rPr>
            <w:alias w:val="无形资产减值准备减少项目名称"/>
            <w:tag w:val="_GBC_69bf8e57afac474b88c45b6fe971d9fd"/>
            <w:id w:val="1496384251"/>
          </w:sdtPr>
          <w:sdtContent>
            <w:tc>
              <w:tcPr>
                <w:tcW w:w="783" w:type="pct"/>
                <w:shd w:val="clear" w:color="auto" w:fill="auto"/>
                <w:vAlign w:val="center"/>
              </w:tcPr>
              <w:p>
                <w:pPr>
                  <w:ind w:firstLineChars="300" w:firstLine="630"/>
                  <w:rPr>
                    <w:szCs w:val="21"/>
                  </w:rPr>
                </w:pPr>
                <w:r>
                  <w:rPr>
                    <w:rFonts w:hint="eastAsia"/>
                    <w:szCs w:val="21"/>
                  </w:rPr>
                  <w:t>(1)其他减少</w:t>
                </w:r>
              </w:p>
            </w:tc>
          </w:sdtContent>
        </w:sdt>
        <w:tc>
          <w:tcPr>
            <w:tcW w:w="539" w:type="pct"/>
            <w:shd w:val="clear" w:color="auto" w:fill="auto"/>
            <w:vAlign w:val="center"/>
          </w:tcPr>
          <w:p>
            <w:pPr>
              <w:spacing w:line="360" w:lineRule="exact"/>
              <w:jc w:val="right"/>
              <w:rPr>
                <w:color w:val="000000"/>
                <w:szCs w:val="21"/>
              </w:rPr>
            </w:pPr>
            <w:r>
              <w:rPr>
                <w:color w:val="000000"/>
                <w:szCs w:val="21"/>
              </w:rPr>
              <w:t>37,474</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126,262</w:t>
            </w:r>
          </w:p>
        </w:tc>
        <w:tc>
          <w:tcPr>
            <w:tcW w:w="445"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475</w:t>
            </w:r>
          </w:p>
        </w:tc>
        <w:tc>
          <w:tcPr>
            <w:tcW w:w="587" w:type="pct"/>
            <w:shd w:val="clear" w:color="auto" w:fill="auto"/>
            <w:vAlign w:val="center"/>
          </w:tcPr>
          <w:p>
            <w:pPr>
              <w:spacing w:line="360" w:lineRule="exact"/>
              <w:jc w:val="right"/>
              <w:rPr>
                <w:color w:val="000000"/>
                <w:szCs w:val="21"/>
              </w:rPr>
            </w:pPr>
            <w:r>
              <w:rPr>
                <w:color w:val="000000"/>
                <w:szCs w:val="21"/>
              </w:rPr>
              <w:t>164,211</w:t>
            </w:r>
          </w:p>
        </w:tc>
      </w:tr>
      <w:tr>
        <w:trPr>
          <w:trHeight w:val="83"/>
        </w:trPr>
        <w:sdt>
          <w:sdtPr>
            <w:rPr>
              <w:rFonts w:hint="eastAsia"/>
              <w:szCs w:val="21"/>
            </w:rPr>
            <w:alias w:val="无形资产减值准备减少项目名称"/>
            <w:tag w:val="_GBC_69bf8e57afac474b88c45b6fe971d9fd"/>
            <w:id w:val="-1447772756"/>
          </w:sdtPr>
          <w:sdtContent>
            <w:tc>
              <w:tcPr>
                <w:tcW w:w="783" w:type="pct"/>
                <w:shd w:val="clear" w:color="auto" w:fill="auto"/>
              </w:tcPr>
              <w:p>
                <w:pPr>
                  <w:ind w:firstLineChars="300" w:firstLine="630"/>
                  <w:rPr>
                    <w:szCs w:val="21"/>
                  </w:rPr>
                </w:pPr>
                <w:r>
                  <w:rPr>
                    <w:szCs w:val="21"/>
                  </w:rPr>
                  <w:t>4.</w:t>
                </w:r>
                <w:r>
                  <w:rPr>
                    <w:rFonts w:hint="eastAsia"/>
                    <w:szCs w:val="21"/>
                  </w:rPr>
                  <w:t>外币报表折算差额</w:t>
                </w:r>
              </w:p>
            </w:tc>
          </w:sdtContent>
        </w:sdt>
        <w:tc>
          <w:tcPr>
            <w:tcW w:w="539" w:type="pct"/>
            <w:shd w:val="clear" w:color="auto" w:fill="auto"/>
            <w:vAlign w:val="center"/>
          </w:tcPr>
          <w:p>
            <w:pPr>
              <w:spacing w:line="360" w:lineRule="exact"/>
              <w:jc w:val="right"/>
              <w:rPr>
                <w:color w:val="000000"/>
                <w:szCs w:val="21"/>
              </w:rPr>
            </w:pPr>
            <w:r>
              <w:rPr>
                <w:color w:val="000000"/>
                <w:szCs w:val="21"/>
              </w:rPr>
              <w:t>-98,892</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-4,268</w:t>
            </w:r>
          </w:p>
        </w:tc>
        <w:tc>
          <w:tcPr>
            <w:tcW w:w="445" w:type="pct"/>
            <w:shd w:val="clear" w:color="auto" w:fill="auto"/>
            <w:vAlign w:val="center"/>
          </w:tcPr>
          <w:p>
            <w:pPr>
              <w:spacing w:line="360" w:lineRule="exact"/>
              <w:jc w:val="right"/>
              <w:rPr>
                <w:color w:val="000000"/>
                <w:szCs w:val="21"/>
              </w:rPr>
            </w:pPr>
            <w:r>
              <w:rPr>
                <w:color w:val="000000"/>
                <w:szCs w:val="21"/>
              </w:rPr>
              <w:t>-1,912</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-12</w:t>
            </w:r>
          </w:p>
        </w:tc>
        <w:tc>
          <w:tcPr>
            <w:tcW w:w="587" w:type="pct"/>
            <w:shd w:val="clear" w:color="auto" w:fill="auto"/>
            <w:vAlign w:val="center"/>
          </w:tcPr>
          <w:p>
            <w:pPr>
              <w:spacing w:line="360" w:lineRule="exact"/>
              <w:jc w:val="right"/>
              <w:rPr>
                <w:color w:val="000000"/>
                <w:szCs w:val="21"/>
              </w:rPr>
            </w:pPr>
            <w:r>
              <w:rPr>
                <w:color w:val="000000"/>
                <w:szCs w:val="21"/>
              </w:rPr>
              <w:t>-105,084</w:t>
            </w:r>
          </w:p>
        </w:tc>
      </w:tr>
      <w:tr>
        <w:trPr>
          <w:trHeight w:val="340"/>
        </w:trPr>
        <w:sdt>
          <w:sdtPr>
            <w:rPr>
              <w:szCs w:val="21"/>
            </w:rPr>
            <w:tag w:val="_PLD_9428ef0f2bd34dc7821d00833f5252c1"/>
            <w:id w:val="-868833171"/>
          </w:sdtPr>
          <w:sdtContent>
            <w:tc>
              <w:tcPr>
                <w:tcW w:w="783" w:type="pct"/>
                <w:shd w:val="clear" w:color="auto" w:fill="auto"/>
                <w:vAlign w:val="center"/>
              </w:tcPr>
              <w:p>
                <w:pPr>
                  <w:ind w:firstLineChars="200" w:firstLine="420"/>
                  <w:rPr>
                    <w:szCs w:val="21"/>
                  </w:rPr>
                </w:pPr>
                <w:r>
                  <w:rPr>
                    <w:szCs w:val="21"/>
                  </w:rPr>
                  <w:t>5</w:t>
                </w:r>
                <w:r>
                  <w:rPr>
                    <w:rFonts w:hint="eastAsia"/>
                    <w:szCs w:val="21"/>
                  </w:rPr>
                  <w:t>.</w:t>
                </w:r>
                <w:r>
                  <w:rPr>
                    <w:szCs w:val="21"/>
                  </w:rPr>
                  <w:t>期末余额</w:t>
                </w:r>
              </w:p>
            </w:tc>
          </w:sdtContent>
        </w:sdt>
        <w:tc>
          <w:tcPr>
            <w:tcW w:w="539" w:type="pct"/>
            <w:shd w:val="clear" w:color="auto" w:fill="auto"/>
            <w:vAlign w:val="center"/>
          </w:tcPr>
          <w:p>
            <w:pPr>
              <w:spacing w:line="360" w:lineRule="exact"/>
              <w:jc w:val="right"/>
              <w:rPr>
                <w:color w:val="000000"/>
                <w:szCs w:val="21"/>
              </w:rPr>
            </w:pPr>
            <w:r>
              <w:rPr>
                <w:color w:val="000000"/>
                <w:szCs w:val="21"/>
              </w:rPr>
              <w:t>3,069,243</w:t>
            </w:r>
          </w:p>
        </w:tc>
        <w:tc>
          <w:tcPr>
            <w:tcW w:w="586" w:type="pct"/>
            <w:shd w:val="clear" w:color="auto" w:fill="auto"/>
            <w:vAlign w:val="center"/>
          </w:tcPr>
          <w:p>
            <w:pPr>
              <w:spacing w:line="360" w:lineRule="exact"/>
              <w:jc w:val="right"/>
              <w:rPr>
                <w:color w:val="000000"/>
                <w:szCs w:val="21"/>
              </w:rPr>
            </w:pPr>
          </w:p>
        </w:tc>
        <w:tc>
          <w:tcPr>
            <w:tcW w:w="538" w:type="pct"/>
            <w:shd w:val="clear" w:color="auto" w:fill="auto"/>
            <w:vAlign w:val="center"/>
          </w:tcPr>
          <w:p>
            <w:pPr>
              <w:spacing w:line="360" w:lineRule="exact"/>
              <w:jc w:val="right"/>
              <w:rPr>
                <w:color w:val="000000"/>
                <w:szCs w:val="21"/>
              </w:rPr>
            </w:pPr>
            <w:r>
              <w:rPr>
                <w:color w:val="000000"/>
                <w:szCs w:val="21"/>
              </w:rPr>
              <w:t>2,517</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25,239</w:t>
            </w:r>
          </w:p>
        </w:tc>
        <w:tc>
          <w:tcPr>
            <w:tcW w:w="538" w:type="pct"/>
            <w:shd w:val="clear" w:color="auto" w:fill="auto"/>
            <w:vAlign w:val="center"/>
          </w:tcPr>
          <w:p>
            <w:pPr>
              <w:spacing w:line="360" w:lineRule="exact"/>
              <w:jc w:val="right"/>
              <w:rPr>
                <w:color w:val="000000"/>
                <w:szCs w:val="21"/>
              </w:rPr>
            </w:pPr>
          </w:p>
        </w:tc>
        <w:tc>
          <w:tcPr>
            <w:tcW w:w="445" w:type="pct"/>
            <w:shd w:val="clear" w:color="auto" w:fill="auto"/>
            <w:vAlign w:val="center"/>
          </w:tcPr>
          <w:p>
            <w:pPr>
              <w:spacing w:line="360" w:lineRule="exact"/>
              <w:jc w:val="right"/>
              <w:rPr>
                <w:color w:val="000000"/>
                <w:szCs w:val="21"/>
              </w:rPr>
            </w:pPr>
            <w:r>
              <w:rPr>
                <w:color w:val="000000"/>
                <w:szCs w:val="21"/>
              </w:rPr>
              <w:t>-72</w:t>
            </w:r>
          </w:p>
        </w:tc>
        <w:tc>
          <w:tcPr>
            <w:tcW w:w="587" w:type="pct"/>
            <w:shd w:val="clear" w:color="auto" w:fill="auto"/>
            <w:vAlign w:val="center"/>
          </w:tcPr>
          <w:p>
            <w:pPr>
              <w:spacing w:line="360" w:lineRule="exact"/>
              <w:jc w:val="right"/>
              <w:rPr>
                <w:color w:val="000000"/>
                <w:szCs w:val="21"/>
              </w:rPr>
            </w:pPr>
            <w:r>
              <w:rPr>
                <w:color w:val="000000"/>
                <w:szCs w:val="21"/>
              </w:rPr>
              <w:t>3,096,927</w:t>
            </w:r>
          </w:p>
        </w:tc>
      </w:tr>
      <w:tr>
        <w:trPr>
          <w:trHeight w:val="340"/>
        </w:trPr>
        <w:sdt>
          <w:sdtPr>
            <w:rPr>
              <w:szCs w:val="21"/>
            </w:rPr>
            <w:tag w:val="_PLD_4b0672b3afec475f9c6133950914fc81"/>
            <w:id w:val="-1004357654"/>
          </w:sdtPr>
          <w:sdtContent>
            <w:tc>
              <w:tcPr>
                <w:tcW w:w="5000" w:type="pct"/>
                <w:gridSpan w:val="9"/>
                <w:shd w:val="clear" w:color="auto" w:fill="auto"/>
                <w:vAlign w:val="center"/>
              </w:tcPr>
              <w:p>
                <w:pPr>
                  <w:rPr>
                    <w:szCs w:val="21"/>
                  </w:rPr>
                </w:pPr>
                <w:r>
                  <w:rPr>
                    <w:szCs w:val="21"/>
                  </w:rPr>
                  <w:t>四、账面价值</w:t>
                </w:r>
              </w:p>
            </w:tc>
          </w:sdtContent>
        </w:sdt>
      </w:tr>
      <w:tr>
        <w:trPr>
          <w:trHeight w:val="340"/>
        </w:trPr>
        <w:sdt>
          <w:sdtPr>
            <w:rPr>
              <w:szCs w:val="21"/>
            </w:rPr>
            <w:tag w:val="_PLD_1fc70ce7dba842249c5899f16f4ea2f4"/>
            <w:id w:val="-263228552"/>
          </w:sdtPr>
          <w:sdtContent>
            <w:tc>
              <w:tcPr>
                <w:tcW w:w="783" w:type="pct"/>
                <w:shd w:val="clear" w:color="auto" w:fill="auto"/>
                <w:vAlign w:val="center"/>
              </w:tcPr>
              <w:p>
                <w:pPr>
                  <w:rPr>
                    <w:szCs w:val="21"/>
                  </w:rPr>
                </w:pPr>
                <w:r>
                  <w:rPr>
                    <w:szCs w:val="21"/>
                  </w:rPr>
                  <w:t xml:space="preserve">    1.期末账面价值</w:t>
                </w:r>
              </w:p>
            </w:tc>
          </w:sdtContent>
        </w:sdt>
        <w:tc>
          <w:tcPr>
            <w:tcW w:w="539" w:type="pct"/>
            <w:shd w:val="clear" w:color="auto" w:fill="auto"/>
            <w:vAlign w:val="center"/>
          </w:tcPr>
          <w:p>
            <w:pPr>
              <w:spacing w:line="360" w:lineRule="exact"/>
              <w:jc w:val="right"/>
              <w:rPr>
                <w:color w:val="000000"/>
                <w:szCs w:val="21"/>
              </w:rPr>
            </w:pPr>
            <w:r>
              <w:rPr>
                <w:color w:val="000000"/>
                <w:szCs w:val="21"/>
              </w:rPr>
              <w:t>52,899,073</w:t>
            </w:r>
          </w:p>
        </w:tc>
        <w:tc>
          <w:tcPr>
            <w:tcW w:w="586" w:type="pct"/>
            <w:shd w:val="clear" w:color="auto" w:fill="auto"/>
            <w:vAlign w:val="center"/>
          </w:tcPr>
          <w:p>
            <w:pPr>
              <w:spacing w:line="360" w:lineRule="exact"/>
              <w:jc w:val="right"/>
              <w:rPr>
                <w:color w:val="000000"/>
                <w:szCs w:val="21"/>
              </w:rPr>
            </w:pPr>
            <w:r>
              <w:rPr>
                <w:color w:val="000000"/>
                <w:szCs w:val="21"/>
              </w:rPr>
              <w:t>2,724,581</w:t>
            </w:r>
          </w:p>
        </w:tc>
        <w:tc>
          <w:tcPr>
            <w:tcW w:w="538" w:type="pct"/>
            <w:shd w:val="clear" w:color="auto" w:fill="auto"/>
            <w:vAlign w:val="center"/>
          </w:tcPr>
          <w:p>
            <w:pPr>
              <w:spacing w:line="360" w:lineRule="exact"/>
              <w:jc w:val="right"/>
              <w:rPr>
                <w:color w:val="000000"/>
                <w:szCs w:val="21"/>
              </w:rPr>
            </w:pPr>
            <w:r>
              <w:rPr>
                <w:color w:val="000000"/>
                <w:szCs w:val="21"/>
              </w:rPr>
              <w:t>5,085,153</w:t>
            </w:r>
          </w:p>
        </w:tc>
        <w:tc>
          <w:tcPr>
            <w:tcW w:w="538" w:type="pct"/>
            <w:shd w:val="clear" w:color="auto" w:fill="auto"/>
            <w:vAlign w:val="center"/>
          </w:tcPr>
          <w:p>
            <w:pPr>
              <w:spacing w:line="360" w:lineRule="exact"/>
              <w:jc w:val="right"/>
              <w:rPr>
                <w:color w:val="000000"/>
                <w:szCs w:val="21"/>
              </w:rPr>
            </w:pPr>
            <w:r>
              <w:rPr>
                <w:color w:val="000000"/>
                <w:szCs w:val="21"/>
              </w:rPr>
              <w:t>328,572</w:t>
            </w:r>
          </w:p>
        </w:tc>
        <w:tc>
          <w:tcPr>
            <w:tcW w:w="445" w:type="pct"/>
            <w:shd w:val="clear" w:color="auto" w:fill="auto"/>
            <w:vAlign w:val="center"/>
          </w:tcPr>
          <w:p>
            <w:pPr>
              <w:spacing w:line="360" w:lineRule="exact"/>
              <w:jc w:val="right"/>
              <w:rPr>
                <w:color w:val="000000"/>
                <w:szCs w:val="21"/>
              </w:rPr>
            </w:pPr>
            <w:r>
              <w:rPr>
                <w:color w:val="000000"/>
                <w:szCs w:val="21"/>
              </w:rPr>
              <w:t>480,494</w:t>
            </w:r>
          </w:p>
        </w:tc>
        <w:tc>
          <w:tcPr>
            <w:tcW w:w="538" w:type="pct"/>
            <w:shd w:val="clear" w:color="auto" w:fill="auto"/>
            <w:vAlign w:val="center"/>
          </w:tcPr>
          <w:p>
            <w:pPr>
              <w:spacing w:line="360" w:lineRule="exact"/>
              <w:jc w:val="right"/>
              <w:rPr>
                <w:color w:val="000000"/>
                <w:szCs w:val="21"/>
              </w:rPr>
            </w:pPr>
            <w:r>
              <w:rPr>
                <w:color w:val="000000"/>
                <w:szCs w:val="21"/>
              </w:rPr>
              <w:t>2,130,316</w:t>
            </w:r>
          </w:p>
        </w:tc>
        <w:tc>
          <w:tcPr>
            <w:tcW w:w="445" w:type="pct"/>
            <w:shd w:val="clear" w:color="auto" w:fill="auto"/>
            <w:vAlign w:val="center"/>
          </w:tcPr>
          <w:p>
            <w:pPr>
              <w:spacing w:line="360" w:lineRule="exact"/>
              <w:jc w:val="right"/>
              <w:rPr>
                <w:color w:val="000000"/>
                <w:szCs w:val="21"/>
              </w:rPr>
            </w:pPr>
            <w:r>
              <w:rPr>
                <w:color w:val="000000"/>
                <w:szCs w:val="21"/>
              </w:rPr>
              <w:t>371,240</w:t>
            </w:r>
          </w:p>
        </w:tc>
        <w:tc>
          <w:tcPr>
            <w:tcW w:w="587" w:type="pct"/>
            <w:shd w:val="clear" w:color="auto" w:fill="auto"/>
            <w:vAlign w:val="center"/>
          </w:tcPr>
          <w:p>
            <w:pPr>
              <w:spacing w:line="360" w:lineRule="exact"/>
              <w:jc w:val="right"/>
              <w:rPr>
                <w:color w:val="000000"/>
                <w:szCs w:val="21"/>
              </w:rPr>
            </w:pPr>
            <w:r>
              <w:rPr>
                <w:color w:val="000000"/>
                <w:szCs w:val="21"/>
              </w:rPr>
              <w:t>64,019,429</w:t>
            </w:r>
          </w:p>
        </w:tc>
      </w:tr>
      <w:tr>
        <w:trPr>
          <w:trHeight w:val="340"/>
        </w:trPr>
        <w:sdt>
          <w:sdtPr>
            <w:rPr>
              <w:szCs w:val="21"/>
            </w:rPr>
            <w:tag w:val="_PLD_b71bc5d491a34e85a1ce292ad355233a"/>
            <w:id w:val="469185134"/>
          </w:sdtPr>
          <w:sdtContent>
            <w:tc>
              <w:tcPr>
                <w:tcW w:w="783" w:type="pct"/>
                <w:shd w:val="clear" w:color="auto" w:fill="auto"/>
                <w:vAlign w:val="center"/>
              </w:tcPr>
              <w:p>
                <w:pPr>
                  <w:rPr>
                    <w:szCs w:val="21"/>
                  </w:rPr>
                </w:pPr>
                <w:r>
                  <w:rPr>
                    <w:szCs w:val="21"/>
                  </w:rPr>
                  <w:t xml:space="preserve">    2.</w:t>
                </w:r>
                <w:r>
                  <w:rPr>
                    <w:rFonts w:hint="eastAsia"/>
                    <w:szCs w:val="21"/>
                  </w:rPr>
                  <w:t>期初</w:t>
                </w:r>
                <w:r>
                  <w:rPr>
                    <w:szCs w:val="21"/>
                  </w:rPr>
                  <w:t>账面价值</w:t>
                </w:r>
              </w:p>
            </w:tc>
          </w:sdtContent>
        </w:sdt>
        <w:tc>
          <w:tcPr>
            <w:tcW w:w="539" w:type="pct"/>
            <w:shd w:val="clear" w:color="auto" w:fill="auto"/>
            <w:vAlign w:val="center"/>
          </w:tcPr>
          <w:p>
            <w:pPr>
              <w:spacing w:line="360" w:lineRule="exact"/>
              <w:jc w:val="right"/>
              <w:rPr>
                <w:color w:val="000000"/>
                <w:szCs w:val="21"/>
              </w:rPr>
            </w:pPr>
            <w:r>
              <w:rPr>
                <w:color w:val="000000"/>
                <w:szCs w:val="21"/>
              </w:rPr>
              <w:t>56,192,031</w:t>
            </w:r>
          </w:p>
        </w:tc>
        <w:tc>
          <w:tcPr>
            <w:tcW w:w="586" w:type="pct"/>
            <w:shd w:val="clear" w:color="auto" w:fill="auto"/>
            <w:vAlign w:val="center"/>
          </w:tcPr>
          <w:p>
            <w:pPr>
              <w:spacing w:line="360" w:lineRule="exact"/>
              <w:jc w:val="right"/>
              <w:rPr>
                <w:color w:val="000000"/>
                <w:szCs w:val="21"/>
              </w:rPr>
            </w:pPr>
            <w:r>
              <w:rPr>
                <w:color w:val="000000"/>
                <w:szCs w:val="21"/>
              </w:rPr>
              <w:t>2,724,581</w:t>
            </w:r>
          </w:p>
        </w:tc>
        <w:tc>
          <w:tcPr>
            <w:tcW w:w="538" w:type="pct"/>
            <w:shd w:val="clear" w:color="auto" w:fill="auto"/>
            <w:vAlign w:val="center"/>
          </w:tcPr>
          <w:p>
            <w:pPr>
              <w:spacing w:line="360" w:lineRule="exact"/>
              <w:jc w:val="right"/>
              <w:rPr>
                <w:color w:val="000000"/>
                <w:szCs w:val="21"/>
              </w:rPr>
            </w:pPr>
            <w:r>
              <w:rPr>
                <w:color w:val="000000"/>
                <w:szCs w:val="21"/>
              </w:rPr>
              <w:t>4,965,309</w:t>
            </w:r>
          </w:p>
        </w:tc>
        <w:tc>
          <w:tcPr>
            <w:tcW w:w="538" w:type="pct"/>
            <w:shd w:val="clear" w:color="auto" w:fill="auto"/>
            <w:vAlign w:val="center"/>
          </w:tcPr>
          <w:p>
            <w:pPr>
              <w:spacing w:line="360" w:lineRule="exact"/>
              <w:jc w:val="right"/>
              <w:rPr>
                <w:color w:val="000000"/>
                <w:szCs w:val="21"/>
              </w:rPr>
            </w:pPr>
            <w:r>
              <w:rPr>
                <w:color w:val="000000"/>
                <w:szCs w:val="21"/>
              </w:rPr>
              <w:t>485,200</w:t>
            </w:r>
          </w:p>
        </w:tc>
        <w:tc>
          <w:tcPr>
            <w:tcW w:w="445" w:type="pct"/>
            <w:shd w:val="clear" w:color="auto" w:fill="auto"/>
            <w:vAlign w:val="center"/>
          </w:tcPr>
          <w:p>
            <w:pPr>
              <w:spacing w:line="360" w:lineRule="exact"/>
              <w:jc w:val="right"/>
              <w:rPr>
                <w:color w:val="000000"/>
                <w:szCs w:val="21"/>
              </w:rPr>
            </w:pPr>
            <w:r>
              <w:rPr>
                <w:color w:val="000000"/>
                <w:szCs w:val="21"/>
              </w:rPr>
              <w:t>510,194</w:t>
            </w:r>
          </w:p>
        </w:tc>
        <w:tc>
          <w:tcPr>
            <w:tcW w:w="538" w:type="pct"/>
            <w:shd w:val="clear" w:color="auto" w:fill="auto"/>
            <w:vAlign w:val="center"/>
          </w:tcPr>
          <w:p>
            <w:pPr>
              <w:spacing w:line="360" w:lineRule="exact"/>
              <w:jc w:val="right"/>
              <w:rPr>
                <w:color w:val="000000"/>
                <w:szCs w:val="21"/>
              </w:rPr>
            </w:pPr>
            <w:r>
              <w:rPr>
                <w:color w:val="000000"/>
                <w:szCs w:val="21"/>
              </w:rPr>
              <w:t>2,224,956</w:t>
            </w:r>
          </w:p>
        </w:tc>
        <w:tc>
          <w:tcPr>
            <w:tcW w:w="445" w:type="pct"/>
            <w:shd w:val="clear" w:color="auto" w:fill="auto"/>
            <w:vAlign w:val="center"/>
          </w:tcPr>
          <w:p>
            <w:pPr>
              <w:spacing w:line="360" w:lineRule="exact"/>
              <w:jc w:val="right"/>
              <w:rPr>
                <w:color w:val="000000"/>
                <w:szCs w:val="21"/>
              </w:rPr>
            </w:pPr>
            <w:r>
              <w:rPr>
                <w:color w:val="000000"/>
                <w:szCs w:val="21"/>
              </w:rPr>
              <w:t>53,281</w:t>
            </w:r>
          </w:p>
        </w:tc>
        <w:tc>
          <w:tcPr>
            <w:tcW w:w="587" w:type="pct"/>
            <w:shd w:val="clear" w:color="auto" w:fill="auto"/>
            <w:vAlign w:val="center"/>
          </w:tcPr>
          <w:p>
            <w:pPr>
              <w:spacing w:line="360" w:lineRule="exact"/>
              <w:jc w:val="right"/>
              <w:rPr>
                <w:color w:val="000000"/>
                <w:szCs w:val="21"/>
              </w:rPr>
            </w:pPr>
            <w:r>
              <w:rPr>
                <w:color w:val="000000"/>
                <w:szCs w:val="21"/>
              </w:rPr>
              <w:t>67,155,552</w:t>
            </w:r>
          </w:p>
        </w:tc>
      </w:tr>
    </w:tbl>
    <w:p>
      <w:pPr>
        <w:pStyle w:val="affffffffffffffffff3"/>
      </w:pPr>
    </w:p>
    <w:p>
      <w:pPr>
        <w:snapToGrid w:val="0"/>
        <w:spacing w:line="240" w:lineRule="atLeast"/>
        <w:rPr>
          <w:szCs w:val="21"/>
        </w:rPr>
      </w:pPr>
      <w:r>
        <w:rPr>
          <w:rFonts w:hint="eastAsia"/>
          <w:szCs w:val="21"/>
        </w:rPr>
        <w:t>本期末通过公司内部研发形成的无形资产占无形资产余额的比例是</w:t>
      </w:r>
      <w:sdt>
        <w:sdtPr>
          <w:rPr>
            <w:szCs w:val="21"/>
          </w:rPr>
          <w:alias w:val="通过公司内部研发形成的无形资产占无形资产账面价值的比例"/>
          <w:tag w:val="_GBC_a5caf6c87458439c8916b866a1bdf523"/>
          <w:id w:val="-382559027"/>
        </w:sdtPr>
        <w:sdtContent>
          <w:r>
            <w:rPr>
              <w:szCs w:val="21"/>
            </w:rPr>
            <w:t>-</w:t>
          </w:r>
        </w:sdtContent>
      </w:sdt>
    </w:p>
    <w:p>
      <w:pPr>
        <w:snapToGrid w:val="0"/>
        <w:spacing w:line="240" w:lineRule="atLeast"/>
        <w:rPr>
          <w:szCs w:val="21"/>
        </w:rPr>
      </w:pPr>
    </w:p>
    <w:p>
      <w:pPr>
        <w:snapToGrid w:val="0"/>
        <w:spacing w:line="240" w:lineRule="atLeast"/>
        <w:rPr>
          <w:szCs w:val="21"/>
        </w:rPr>
      </w:pPr>
    </w:p>
    <w:p>
      <w:pPr>
        <w:keepNext/>
        <w:keepLines/>
        <w:widowControl w:val="0"/>
        <w:numPr>
          <w:ilvl w:val="3"/>
          <w:numId w:val="116"/>
        </w:numPr>
        <w:spacing w:before="60" w:line="360" w:lineRule="auto"/>
        <w:ind w:left="426" w:hanging="426"/>
        <w:jc w:val="both"/>
        <w:outlineLvl w:val="3"/>
      </w:pPr>
      <w:bookmarkStart w:id="433" w:name="_Hlk169705970"/>
      <w:bookmarkStart w:id="434" w:name="_Hlk182485368"/>
      <w:bookmarkEnd w:id="432"/>
      <w:r>
        <w:rPr>
          <w:rFonts w:hint="eastAsia"/>
        </w:rPr>
        <w:t>确认为无形资产的数据资源</w:t>
      </w:r>
    </w:p>
    <w:sdt>
      <w:sdtPr>
        <w:rPr>
          <w:color w:val="000000" w:themeColor="text1"/>
        </w:rPr>
        <w:alias w:val="是否适用：确认为无形资产的数据资源[双击切换]"/>
        <w:tag w:val="_GBC_178251a2b9bc4427aa8303576cf5eeed"/>
        <w:id w:val="-1128307995"/>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snapToGrid w:val="0"/>
        <w:spacing w:line="240" w:lineRule="atLeast"/>
        <w:rPr>
          <w:color w:val="000000" w:themeColor="text1"/>
        </w:rPr>
      </w:pPr>
    </w:p>
    <w:p>
      <w:pPr>
        <w:snapToGrid w:val="0"/>
        <w:spacing w:line="240" w:lineRule="atLeast"/>
        <w:rPr>
          <w:color w:val="000000" w:themeColor="text1"/>
        </w:rPr>
      </w:pPr>
    </w:p>
    <w:bookmarkEnd w:id="433"/>
    <w:bookmarkEnd w:id="434"/>
    <w:p>
      <w:pPr>
        <w:keepNext/>
        <w:keepLines/>
        <w:widowControl w:val="0"/>
        <w:numPr>
          <w:ilvl w:val="3"/>
          <w:numId w:val="116"/>
        </w:numPr>
        <w:spacing w:before="60" w:line="360" w:lineRule="auto"/>
        <w:ind w:left="426" w:hanging="426"/>
        <w:jc w:val="both"/>
        <w:outlineLvl w:val="3"/>
      </w:pPr>
      <w:r>
        <w:rPr>
          <w:rFonts w:hint="eastAsia"/>
        </w:rPr>
        <w:t>未办妥产权证书的土地使用权情况</w:t>
      </w:r>
    </w:p>
    <w:p>
      <w:pPr>
        <w:pStyle w:val="affffffffffffffffffffffffffffffffe"/>
      </w:pPr>
      <w:sdt>
        <w:sdtPr>
          <w:alias w:val="是否适用：未办妥产权证书的土地使用权情况[双击切换]"/>
          <w:tag w:val="_GBC_62bb02d09b844cb69dfe16466ac211c9"/>
          <w:id w:val="1379675198"/>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土地使用权情况"/>
          <w:tag w:val="_GBC_0f049ced02af4be6bb3132c9fb8b9914"/>
          <w:id w:val="-178874127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未办妥产权证书的土地使用权情况"/>
          <w:tag w:val="_GBC_2d9d301f865248d6b6f1b7ab06b239cf"/>
          <w:id w:val="20316880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9"/>
        <w:gridCol w:w="4622"/>
        <w:gridCol w:w="4622"/>
      </w:tblGrid>
      <w:tr>
        <w:bookmarkStart w:id="435" w:name="_Hlk153461844" w:displacedByCustomXml="next"/>
        <w:sdt>
          <w:sdtPr>
            <w:tag w:val="_PLD_394f6bb5ef6741f099060f7a817e1f9c"/>
            <w:id w:val="399556821"/>
          </w:sdtPr>
          <w:sdtContent>
            <w:tc>
              <w:tcPr>
                <w:tcW w:w="1666" w:type="pct"/>
                <w:shd w:val="clear" w:color="auto" w:fill="auto"/>
                <w:vAlign w:val="center"/>
              </w:tcPr>
              <w:p>
                <w:pPr>
                  <w:jc w:val="center"/>
                </w:pPr>
                <w:r>
                  <w:rPr>
                    <w:rFonts w:hint="eastAsia"/>
                  </w:rPr>
                  <w:t>项目</w:t>
                </w:r>
              </w:p>
            </w:tc>
          </w:sdtContent>
        </w:sdt>
        <w:sdt>
          <w:sdtPr>
            <w:tag w:val="_PLD_e52ee31192ed4f9facd48939a297a1af"/>
            <w:id w:val="-1037974261"/>
          </w:sdtPr>
          <w:sdtContent>
            <w:tc>
              <w:tcPr>
                <w:tcW w:w="1667" w:type="pct"/>
                <w:shd w:val="clear" w:color="auto" w:fill="auto"/>
                <w:vAlign w:val="center"/>
              </w:tcPr>
              <w:p>
                <w:pPr>
                  <w:jc w:val="center"/>
                </w:pPr>
                <w:r>
                  <w:rPr>
                    <w:rFonts w:hint="eastAsia"/>
                  </w:rPr>
                  <w:t>账面价值</w:t>
                </w:r>
              </w:p>
            </w:tc>
          </w:sdtContent>
        </w:sdt>
        <w:sdt>
          <w:sdtPr>
            <w:tag w:val="_PLD_658d52b6529741e0acdd01e40f47293b"/>
            <w:id w:val="-1676567902"/>
          </w:sdtPr>
          <w:sdtContent>
            <w:tc>
              <w:tcPr>
                <w:tcW w:w="1667" w:type="pct"/>
                <w:shd w:val="clear" w:color="auto" w:fill="auto"/>
                <w:vAlign w:val="center"/>
              </w:tcPr>
              <w:p>
                <w:pPr>
                  <w:jc w:val="center"/>
                </w:pPr>
                <w:r>
                  <w:rPr>
                    <w:rFonts w:hint="eastAsia"/>
                  </w:rPr>
                  <w:t>未办妥产权证书的原因</w:t>
                </w:r>
              </w:p>
            </w:tc>
          </w:sdtContent>
        </w:sdt>
      </w:tr>
      <w:tr>
        <w:tc>
          <w:tcPr>
            <w:tcW w:w="1666" w:type="pct"/>
            <w:shd w:val="clear" w:color="auto" w:fill="auto"/>
            <w:vAlign w:val="center"/>
          </w:tcPr>
          <w:p>
            <w:pPr>
              <w:pStyle w:val="affffffffffffffffffffffffffffffffe"/>
            </w:pPr>
            <w:r>
              <w:t>土地使用权</w:t>
            </w:r>
          </w:p>
        </w:tc>
        <w:tc>
          <w:tcPr>
            <w:tcW w:w="1667" w:type="pct"/>
            <w:shd w:val="clear" w:color="auto" w:fill="auto"/>
            <w:vAlign w:val="center"/>
          </w:tcPr>
          <w:p>
            <w:pPr>
              <w:jc w:val="right"/>
            </w:pPr>
            <w:r>
              <w:t>34,659</w:t>
            </w:r>
          </w:p>
        </w:tc>
        <w:tc>
          <w:tcPr>
            <w:tcW w:w="1667" w:type="pct"/>
            <w:shd w:val="clear" w:color="auto" w:fill="auto"/>
            <w:vAlign w:val="center"/>
          </w:tcPr>
          <w:p>
            <w:pPr>
              <w:pStyle w:val="affffffffffffffffffffffffffffffffe"/>
            </w:pPr>
            <w:r>
              <w:t>办理中</w:t>
            </w:r>
          </w:p>
        </w:tc>
      </w:tr>
      <w:tr>
        <w:tc>
          <w:tcPr>
            <w:tcW w:w="1666" w:type="pct"/>
            <w:shd w:val="clear" w:color="auto" w:fill="auto"/>
            <w:vAlign w:val="center"/>
          </w:tcPr>
          <w:p>
            <w:pPr>
              <w:pStyle w:val="affffffffffffffffffffffffffffffffe"/>
            </w:pPr>
            <w:r>
              <w:t>水资源使用权</w:t>
            </w:r>
          </w:p>
        </w:tc>
        <w:tc>
          <w:tcPr>
            <w:tcW w:w="1667" w:type="pct"/>
            <w:shd w:val="clear" w:color="auto" w:fill="auto"/>
            <w:vAlign w:val="center"/>
          </w:tcPr>
          <w:p>
            <w:pPr>
              <w:jc w:val="right"/>
            </w:pPr>
            <w:r>
              <w:t>132,167</w:t>
            </w:r>
          </w:p>
        </w:tc>
        <w:tc>
          <w:tcPr>
            <w:tcW w:w="1667" w:type="pct"/>
            <w:shd w:val="clear" w:color="auto" w:fill="auto"/>
            <w:vAlign w:val="center"/>
          </w:tcPr>
          <w:p>
            <w:pPr>
              <w:pStyle w:val="affffffffffffffffffffffffffffffffe"/>
            </w:pPr>
            <w:r>
              <w:t>办理中</w:t>
            </w:r>
          </w:p>
        </w:tc>
      </w:tr>
      <w:tr>
        <w:tc>
          <w:tcPr>
            <w:tcW w:w="1666" w:type="pct"/>
            <w:shd w:val="clear" w:color="auto" w:fill="auto"/>
            <w:vAlign w:val="center"/>
          </w:tcPr>
          <w:p>
            <w:pPr>
              <w:pStyle w:val="affffffffffffffffffffffffffffffffe"/>
            </w:pPr>
            <w:r>
              <w:rPr>
                <w:rFonts w:hint="eastAsia"/>
              </w:rPr>
              <w:t>合计</w:t>
            </w:r>
          </w:p>
        </w:tc>
        <w:tc>
          <w:tcPr>
            <w:tcW w:w="1667" w:type="pct"/>
            <w:shd w:val="clear" w:color="auto" w:fill="auto"/>
            <w:vAlign w:val="center"/>
          </w:tcPr>
          <w:p>
            <w:pPr>
              <w:jc w:val="right"/>
              <w:rPr>
                <w:szCs w:val="21"/>
              </w:rPr>
            </w:pPr>
            <w:r>
              <w:rPr>
                <w:color w:val="000000"/>
                <w:szCs w:val="21"/>
              </w:rPr>
              <w:t>166,826</w:t>
            </w:r>
          </w:p>
        </w:tc>
        <w:tc>
          <w:tcPr>
            <w:tcW w:w="1667" w:type="pct"/>
            <w:shd w:val="clear" w:color="auto" w:fill="auto"/>
            <w:vAlign w:val="center"/>
          </w:tcPr>
          <w:p>
            <w:pPr>
              <w:pStyle w:val="affffffffffffffffffffffffffffffffe"/>
            </w:pPr>
          </w:p>
        </w:tc>
      </w:tr>
    </w:tbl>
    <w:p>
      <w:pPr>
        <w:pStyle w:val="affffffffffffffffffffffffffffffffe"/>
      </w:pPr>
    </w:p>
    <w:p>
      <w:pPr>
        <w:keepNext/>
        <w:keepLines/>
        <w:widowControl w:val="0"/>
        <w:numPr>
          <w:ilvl w:val="3"/>
          <w:numId w:val="116"/>
        </w:numPr>
        <w:spacing w:before="60" w:line="360" w:lineRule="auto"/>
        <w:ind w:left="426" w:hanging="426"/>
        <w:jc w:val="both"/>
        <w:outlineLvl w:val="3"/>
      </w:pPr>
      <w:r>
        <w:rPr>
          <w:rFonts w:hint="eastAsia"/>
        </w:rPr>
        <w:t>无形资产的减值测试情况</w:t>
      </w:r>
    </w:p>
    <w:sdt>
      <w:sdtPr>
        <w:alias w:val="是否适用：减值测试情况[双击切换]"/>
        <w:tag w:val="_GBC_c5612c50ddb44cf8892aefcbaf89a0f7"/>
        <w:id w:val="-1556698862"/>
        <w:placeholder>
          <w:docPart w:val="GBC22222222222222222222222222222"/>
        </w:placeholder>
      </w:sdtPr>
      <w:sdtContent>
        <w:p>
          <w:pPr>
            <w:pStyle w:val="affffffffffffffffffffffffffffffffe"/>
            <w:sectPr>
              <w:pgSz w:w="16838" w:h="11906" w:orient="landscape"/>
              <w:pgMar w:top="1276" w:right="1440" w:bottom="1797" w:left="1525" w:header="856" w:footer="992" w:gutter="0"/>
              <w:cols w:space="425"/>
              <w:docGrid w:linePitch="312"/>
            </w:sect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bookmarkEnd w:id="435"/>
    <w:p>
      <w:pPr>
        <w:rPr>
          <w:szCs w:val="21"/>
        </w:rPr>
      </w:pPr>
      <w:r>
        <w:rPr>
          <w:rFonts w:hint="eastAsia"/>
          <w:szCs w:val="21"/>
        </w:rPr>
        <w:t>其他说明：</w:t>
      </w:r>
    </w:p>
    <w:sdt>
      <w:sdtPr>
        <w:rPr>
          <w:szCs w:val="21"/>
        </w:rPr>
        <w:alias w:val="是否适用：无形资产的说明[双击切换]"/>
        <w:tag w:val="_GBC_ff92654365f04f7ba71b01dd8af2f696"/>
        <w:id w:val="209081287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商誉</w:t>
      </w:r>
    </w:p>
    <w:p>
      <w:pPr>
        <w:pStyle w:val="afffffffffffffffffffffffffffffffff1"/>
        <w:numPr>
          <w:ilvl w:val="3"/>
          <w:numId w:val="117"/>
        </w:numPr>
        <w:ind w:left="426" w:hanging="426"/>
      </w:pPr>
      <w:r>
        <w:rPr>
          <w:rFonts w:hint="eastAsia"/>
        </w:rPr>
        <w:t>商誉账面原值</w:t>
      </w:r>
    </w:p>
    <w:sdt>
      <w:sdtPr>
        <w:alias w:val="是否适用：商誉账面原值[双击切换]"/>
        <w:tag w:val="_GBC_ef393f0687ab4747a43cd96895a18dcb"/>
        <w:id w:val="-635647464"/>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商誉"/>
          <w:tag w:val="_GBC_1969cb3272364bc49f9ccb754d95df61"/>
          <w:id w:val="15239720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商誉"/>
          <w:tag w:val="_GBC_55d7143fbcf14746b997ea323f9b063b"/>
          <w:id w:val="16340599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7"/>
        <w:gridCol w:w="1295"/>
        <w:gridCol w:w="851"/>
        <w:gridCol w:w="930"/>
        <w:gridCol w:w="1039"/>
        <w:gridCol w:w="1030"/>
        <w:gridCol w:w="1000"/>
        <w:gridCol w:w="1387"/>
      </w:tblGrid>
      <w:tr>
        <w:trPr>
          <w:trHeight w:val="284"/>
          <w:jc w:val="center"/>
        </w:trPr>
        <w:sdt>
          <w:sdtPr>
            <w:tag w:val="_PLD_321a0416f313455db9437f8692d7d27e"/>
            <w:id w:val="-1346933878"/>
          </w:sdtPr>
          <w:sdtContent>
            <w:tc>
              <w:tcPr>
                <w:tcW w:w="911" w:type="pct"/>
                <w:vMerge w:val="restart"/>
                <w:shd w:val="clear" w:color="auto" w:fill="auto"/>
                <w:vAlign w:val="center"/>
              </w:tcPr>
              <w:p>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454253880"/>
          </w:sdtPr>
          <w:sdtContent>
            <w:tc>
              <w:tcPr>
                <w:tcW w:w="703" w:type="pct"/>
                <w:vMerge w:val="restart"/>
                <w:shd w:val="clear" w:color="auto" w:fill="auto"/>
                <w:vAlign w:val="center"/>
              </w:tcPr>
              <w:p>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687571435"/>
          </w:sdtPr>
          <w:sdtContent>
            <w:tc>
              <w:tcPr>
                <w:tcW w:w="967" w:type="pct"/>
                <w:gridSpan w:val="2"/>
                <w:shd w:val="clear" w:color="auto" w:fill="auto"/>
                <w:vAlign w:val="center"/>
              </w:tcPr>
              <w:p>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2055338143"/>
          </w:sdtPr>
          <w:sdtContent>
            <w:tc>
              <w:tcPr>
                <w:tcW w:w="1123" w:type="pct"/>
                <w:gridSpan w:val="2"/>
                <w:shd w:val="clear" w:color="auto" w:fill="auto"/>
                <w:vAlign w:val="center"/>
              </w:tcPr>
              <w:p>
                <w:pPr>
                  <w:autoSpaceDE w:val="0"/>
                  <w:autoSpaceDN w:val="0"/>
                  <w:adjustRightInd w:val="0"/>
                  <w:snapToGrid w:val="0"/>
                  <w:jc w:val="center"/>
                  <w:rPr>
                    <w:szCs w:val="21"/>
                  </w:rPr>
                </w:pPr>
                <w:r>
                  <w:rPr>
                    <w:rFonts w:hint="eastAsia"/>
                    <w:szCs w:val="21"/>
                  </w:rPr>
                  <w:t>本期减少</w:t>
                </w:r>
              </w:p>
            </w:tc>
          </w:sdtContent>
        </w:sdt>
        <w:tc>
          <w:tcPr>
            <w:tcW w:w="543" w:type="pct"/>
            <w:vMerge w:val="restart"/>
          </w:tcPr>
          <w:p>
            <w:pPr>
              <w:autoSpaceDE w:val="0"/>
              <w:autoSpaceDN w:val="0"/>
              <w:adjustRightInd w:val="0"/>
              <w:snapToGrid w:val="0"/>
              <w:jc w:val="center"/>
            </w:pPr>
            <w:r>
              <w:rPr>
                <w:rFonts w:hint="eastAsia"/>
              </w:rPr>
              <w:t>外币报表折算差额</w:t>
            </w:r>
          </w:p>
        </w:tc>
        <w:sdt>
          <w:sdtPr>
            <w:tag w:val="_PLD_9b7450bb10fb432a80b42e729cd30f12"/>
            <w:id w:val="1303732315"/>
          </w:sdtPr>
          <w:sdtContent>
            <w:tc>
              <w:tcPr>
                <w:tcW w:w="753" w:type="pct"/>
                <w:vMerge w:val="restart"/>
                <w:shd w:val="clear" w:color="auto" w:fill="auto"/>
                <w:vAlign w:val="center"/>
              </w:tcPr>
              <w:p>
                <w:pPr>
                  <w:autoSpaceDE w:val="0"/>
                  <w:autoSpaceDN w:val="0"/>
                  <w:adjustRightInd w:val="0"/>
                  <w:snapToGrid w:val="0"/>
                  <w:jc w:val="center"/>
                  <w:rPr>
                    <w:szCs w:val="21"/>
                  </w:rPr>
                </w:pPr>
                <w:r>
                  <w:rPr>
                    <w:rFonts w:hint="eastAsia"/>
                    <w:szCs w:val="21"/>
                  </w:rPr>
                  <w:t>期末余额</w:t>
                </w:r>
              </w:p>
            </w:tc>
          </w:sdtContent>
        </w:sdt>
      </w:tr>
      <w:tr>
        <w:trPr>
          <w:trHeight w:val="535"/>
          <w:jc w:val="center"/>
        </w:trPr>
        <w:tc>
          <w:tcPr>
            <w:tcW w:w="911" w:type="pct"/>
            <w:vMerge/>
            <w:shd w:val="clear" w:color="auto" w:fill="auto"/>
          </w:tcPr>
          <w:p>
            <w:pPr>
              <w:autoSpaceDE w:val="0"/>
              <w:autoSpaceDN w:val="0"/>
              <w:adjustRightInd w:val="0"/>
              <w:snapToGrid w:val="0"/>
              <w:jc w:val="center"/>
              <w:rPr>
                <w:szCs w:val="21"/>
              </w:rPr>
            </w:pPr>
          </w:p>
        </w:tc>
        <w:tc>
          <w:tcPr>
            <w:tcW w:w="703" w:type="pct"/>
            <w:vMerge/>
            <w:shd w:val="clear" w:color="auto" w:fill="auto"/>
          </w:tcPr>
          <w:p>
            <w:pPr>
              <w:autoSpaceDE w:val="0"/>
              <w:autoSpaceDN w:val="0"/>
              <w:adjustRightInd w:val="0"/>
              <w:snapToGrid w:val="0"/>
              <w:jc w:val="center"/>
              <w:rPr>
                <w:szCs w:val="21"/>
              </w:rPr>
            </w:pPr>
          </w:p>
        </w:tc>
        <w:tc>
          <w:tcPr>
            <w:tcW w:w="462" w:type="pct"/>
            <w:shd w:val="clear" w:color="auto" w:fill="auto"/>
            <w:vAlign w:val="center"/>
          </w:tcPr>
          <w:p>
            <w:pPr>
              <w:autoSpaceDE w:val="0"/>
              <w:autoSpaceDN w:val="0"/>
              <w:adjustRightInd w:val="0"/>
              <w:snapToGrid w:val="0"/>
              <w:jc w:val="center"/>
              <w:rPr>
                <w:szCs w:val="21"/>
              </w:rPr>
            </w:pPr>
            <w:r>
              <w:rPr>
                <w:rFonts w:hint="eastAsia"/>
                <w:szCs w:val="21"/>
              </w:rPr>
              <w:t>企业合并形成的</w:t>
            </w:r>
          </w:p>
        </w:tc>
        <w:tc>
          <w:tcPr>
            <w:tcW w:w="505" w:type="pct"/>
            <w:shd w:val="clear" w:color="auto" w:fill="auto"/>
            <w:vAlign w:val="center"/>
          </w:tcPr>
          <w:p>
            <w:pPr>
              <w:autoSpaceDE w:val="0"/>
              <w:autoSpaceDN w:val="0"/>
              <w:adjustRightInd w:val="0"/>
              <w:snapToGrid w:val="0"/>
              <w:jc w:val="center"/>
              <w:rPr>
                <w:szCs w:val="21"/>
              </w:rPr>
            </w:pPr>
            <w:r>
              <w:rPr>
                <w:rFonts w:hint="eastAsia"/>
                <w:szCs w:val="21"/>
              </w:rPr>
              <w:t xml:space="preserve">　其他</w:t>
            </w:r>
          </w:p>
        </w:tc>
        <w:tc>
          <w:tcPr>
            <w:tcW w:w="564" w:type="pct"/>
            <w:shd w:val="clear" w:color="auto" w:fill="auto"/>
            <w:vAlign w:val="center"/>
          </w:tcPr>
          <w:p>
            <w:pPr>
              <w:autoSpaceDE w:val="0"/>
              <w:autoSpaceDN w:val="0"/>
              <w:adjustRightInd w:val="0"/>
              <w:snapToGrid w:val="0"/>
              <w:jc w:val="center"/>
              <w:rPr>
                <w:szCs w:val="21"/>
              </w:rPr>
            </w:pPr>
            <w:r>
              <w:rPr>
                <w:rFonts w:hint="eastAsia"/>
                <w:szCs w:val="21"/>
              </w:rPr>
              <w:t>处置</w:t>
            </w:r>
          </w:p>
        </w:tc>
        <w:tc>
          <w:tcPr>
            <w:tcW w:w="559" w:type="pct"/>
            <w:shd w:val="clear" w:color="auto" w:fill="auto"/>
            <w:vAlign w:val="center"/>
          </w:tcPr>
          <w:p>
            <w:pPr>
              <w:autoSpaceDE w:val="0"/>
              <w:autoSpaceDN w:val="0"/>
              <w:adjustRightInd w:val="0"/>
              <w:snapToGrid w:val="0"/>
              <w:jc w:val="center"/>
              <w:rPr>
                <w:szCs w:val="21"/>
              </w:rPr>
            </w:pPr>
            <w:r>
              <w:rPr>
                <w:rFonts w:hint="eastAsia"/>
                <w:szCs w:val="21"/>
              </w:rPr>
              <w:t xml:space="preserve">其他　</w:t>
            </w:r>
          </w:p>
        </w:tc>
        <w:tc>
          <w:tcPr>
            <w:tcW w:w="543" w:type="pct"/>
            <w:vMerge/>
          </w:tcPr>
          <w:p>
            <w:pPr>
              <w:autoSpaceDE w:val="0"/>
              <w:autoSpaceDN w:val="0"/>
              <w:adjustRightInd w:val="0"/>
              <w:snapToGrid w:val="0"/>
              <w:jc w:val="center"/>
              <w:rPr>
                <w:szCs w:val="21"/>
              </w:rPr>
            </w:pPr>
          </w:p>
        </w:tc>
        <w:tc>
          <w:tcPr>
            <w:tcW w:w="753" w:type="pct"/>
            <w:vMerge/>
            <w:shd w:val="clear" w:color="auto" w:fill="auto"/>
          </w:tcPr>
          <w:p>
            <w:pPr>
              <w:autoSpaceDE w:val="0"/>
              <w:autoSpaceDN w:val="0"/>
              <w:adjustRightInd w:val="0"/>
              <w:snapToGrid w:val="0"/>
              <w:jc w:val="center"/>
              <w:rPr>
                <w:szCs w:val="21"/>
              </w:rPr>
            </w:pPr>
          </w:p>
        </w:tc>
      </w:tr>
      <w:tr>
        <w:trPr>
          <w:trHeight w:val="246"/>
          <w:jc w:val="center"/>
        </w:trPr>
        <w:tc>
          <w:tcPr>
            <w:tcW w:w="911" w:type="pct"/>
            <w:shd w:val="clear" w:color="auto" w:fill="auto"/>
          </w:tcPr>
          <w:p>
            <w:pPr>
              <w:autoSpaceDE w:val="0"/>
              <w:autoSpaceDN w:val="0"/>
              <w:adjustRightInd w:val="0"/>
              <w:snapToGrid w:val="0"/>
              <w:rPr>
                <w:szCs w:val="21"/>
              </w:rPr>
            </w:pPr>
            <w:r>
              <w:t>收购鑫泰</w:t>
            </w:r>
          </w:p>
        </w:tc>
        <w:tc>
          <w:tcPr>
            <w:tcW w:w="703" w:type="pct"/>
            <w:shd w:val="clear" w:color="auto" w:fill="auto"/>
            <w:vAlign w:val="center"/>
          </w:tcPr>
          <w:p>
            <w:pPr>
              <w:pStyle w:val="affffffffffffffffffffffffffffffffe"/>
              <w:jc w:val="right"/>
            </w:pPr>
            <w:r>
              <w:t>653,836</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jc w:val="right"/>
              <w:rPr>
                <w:rFonts w:ascii="Times New Roman" w:hAnsi="Times New Roman" w:cs="Times New Roman"/>
                <w:szCs w:val="20"/>
              </w:rPr>
            </w:pPr>
          </w:p>
        </w:tc>
        <w:tc>
          <w:tcPr>
            <w:tcW w:w="753" w:type="pct"/>
            <w:shd w:val="clear" w:color="auto" w:fill="auto"/>
            <w:vAlign w:val="center"/>
          </w:tcPr>
          <w:p>
            <w:pPr>
              <w:autoSpaceDE w:val="0"/>
              <w:autoSpaceDN w:val="0"/>
              <w:adjustRightInd w:val="0"/>
              <w:snapToGrid w:val="0"/>
              <w:jc w:val="right"/>
              <w:rPr>
                <w:szCs w:val="21"/>
              </w:rPr>
            </w:pPr>
            <w:r>
              <w:rPr>
                <w:szCs w:val="21"/>
              </w:rPr>
              <w:t>653,836</w:t>
            </w:r>
          </w:p>
        </w:tc>
      </w:tr>
      <w:tr>
        <w:trPr>
          <w:trHeight w:val="246"/>
          <w:jc w:val="center"/>
        </w:trPr>
        <w:tc>
          <w:tcPr>
            <w:tcW w:w="911" w:type="pct"/>
            <w:shd w:val="clear" w:color="auto" w:fill="auto"/>
          </w:tcPr>
          <w:p>
            <w:pPr>
              <w:autoSpaceDE w:val="0"/>
              <w:autoSpaceDN w:val="0"/>
              <w:adjustRightInd w:val="0"/>
              <w:snapToGrid w:val="0"/>
              <w:rPr>
                <w:szCs w:val="21"/>
              </w:rPr>
            </w:pPr>
            <w:r>
              <w:t>收购兖煤资源</w:t>
            </w:r>
          </w:p>
        </w:tc>
        <w:tc>
          <w:tcPr>
            <w:tcW w:w="703" w:type="pct"/>
            <w:shd w:val="clear" w:color="auto" w:fill="auto"/>
            <w:vAlign w:val="center"/>
          </w:tcPr>
          <w:p>
            <w:pPr>
              <w:pStyle w:val="affffffffffffffffffffffffffffffffe"/>
              <w:jc w:val="right"/>
            </w:pPr>
            <w:r>
              <w:t>295,913</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jc w:val="right"/>
              <w:rPr>
                <w:sz w:val="24"/>
              </w:rPr>
            </w:pPr>
            <w:r>
              <w:t>-20,836</w:t>
            </w:r>
          </w:p>
        </w:tc>
        <w:tc>
          <w:tcPr>
            <w:tcW w:w="753" w:type="pct"/>
            <w:shd w:val="clear" w:color="auto" w:fill="auto"/>
            <w:vAlign w:val="center"/>
          </w:tcPr>
          <w:p>
            <w:pPr>
              <w:autoSpaceDE w:val="0"/>
              <w:autoSpaceDN w:val="0"/>
              <w:adjustRightInd w:val="0"/>
              <w:snapToGrid w:val="0"/>
              <w:jc w:val="right"/>
              <w:rPr>
                <w:szCs w:val="21"/>
              </w:rPr>
            </w:pPr>
            <w:r>
              <w:rPr>
                <w:szCs w:val="21"/>
              </w:rPr>
              <w:t>275,077</w:t>
            </w:r>
          </w:p>
        </w:tc>
      </w:tr>
      <w:tr>
        <w:trPr>
          <w:trHeight w:val="246"/>
          <w:jc w:val="center"/>
        </w:trPr>
        <w:tc>
          <w:tcPr>
            <w:tcW w:w="911" w:type="pct"/>
            <w:shd w:val="clear" w:color="auto" w:fill="auto"/>
          </w:tcPr>
          <w:p>
            <w:pPr>
              <w:autoSpaceDE w:val="0"/>
              <w:autoSpaceDN w:val="0"/>
              <w:adjustRightInd w:val="0"/>
              <w:snapToGrid w:val="0"/>
              <w:rPr>
                <w:szCs w:val="21"/>
              </w:rPr>
            </w:pPr>
            <w:r>
              <w:t>收购新泰克Ⅱ</w:t>
            </w:r>
          </w:p>
        </w:tc>
        <w:tc>
          <w:tcPr>
            <w:tcW w:w="703" w:type="pct"/>
            <w:shd w:val="clear" w:color="auto" w:fill="auto"/>
            <w:vAlign w:val="center"/>
          </w:tcPr>
          <w:p>
            <w:pPr>
              <w:pStyle w:val="affffffffffffffffffffffffffffffffe"/>
              <w:jc w:val="right"/>
            </w:pPr>
            <w:r>
              <w:t>21,207</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pStyle w:val="affffffffffffffffffffffffffffffffe"/>
              <w:jc w:val="right"/>
            </w:pPr>
            <w:r>
              <w:t>-1,493</w:t>
            </w:r>
          </w:p>
        </w:tc>
        <w:tc>
          <w:tcPr>
            <w:tcW w:w="753" w:type="pct"/>
            <w:shd w:val="clear" w:color="auto" w:fill="auto"/>
            <w:vAlign w:val="center"/>
          </w:tcPr>
          <w:p>
            <w:pPr>
              <w:autoSpaceDE w:val="0"/>
              <w:autoSpaceDN w:val="0"/>
              <w:adjustRightInd w:val="0"/>
              <w:snapToGrid w:val="0"/>
              <w:jc w:val="right"/>
              <w:rPr>
                <w:szCs w:val="21"/>
              </w:rPr>
            </w:pPr>
            <w:r>
              <w:rPr>
                <w:szCs w:val="21"/>
              </w:rPr>
              <w:t>19,714</w:t>
            </w:r>
          </w:p>
        </w:tc>
      </w:tr>
      <w:tr>
        <w:trPr>
          <w:trHeight w:val="246"/>
          <w:jc w:val="center"/>
        </w:trPr>
        <w:tc>
          <w:tcPr>
            <w:tcW w:w="911" w:type="pct"/>
            <w:shd w:val="clear" w:color="auto" w:fill="auto"/>
          </w:tcPr>
          <w:p>
            <w:pPr>
              <w:autoSpaceDE w:val="0"/>
              <w:autoSpaceDN w:val="0"/>
              <w:adjustRightInd w:val="0"/>
              <w:snapToGrid w:val="0"/>
              <w:rPr>
                <w:szCs w:val="21"/>
              </w:rPr>
            </w:pPr>
            <w:r>
              <w:t>收购普力马</w:t>
            </w:r>
          </w:p>
        </w:tc>
        <w:tc>
          <w:tcPr>
            <w:tcW w:w="703" w:type="pct"/>
            <w:shd w:val="clear" w:color="auto" w:fill="auto"/>
            <w:vAlign w:val="center"/>
          </w:tcPr>
          <w:p>
            <w:pPr>
              <w:pStyle w:val="affffffffffffffffffffffffffffffffe"/>
              <w:jc w:val="right"/>
            </w:pPr>
            <w:r>
              <w:t>13,188</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pStyle w:val="affffffffffffffffffffffffffffffffe"/>
              <w:jc w:val="right"/>
            </w:pPr>
            <w:r>
              <w:t>-928</w:t>
            </w:r>
          </w:p>
        </w:tc>
        <w:tc>
          <w:tcPr>
            <w:tcW w:w="753" w:type="pct"/>
            <w:shd w:val="clear" w:color="auto" w:fill="auto"/>
            <w:vAlign w:val="center"/>
          </w:tcPr>
          <w:p>
            <w:pPr>
              <w:autoSpaceDE w:val="0"/>
              <w:autoSpaceDN w:val="0"/>
              <w:adjustRightInd w:val="0"/>
              <w:snapToGrid w:val="0"/>
              <w:jc w:val="right"/>
              <w:rPr>
                <w:szCs w:val="21"/>
              </w:rPr>
            </w:pPr>
            <w:r>
              <w:rPr>
                <w:szCs w:val="21"/>
              </w:rPr>
              <w:t>12,260</w:t>
            </w:r>
          </w:p>
        </w:tc>
      </w:tr>
      <w:tr>
        <w:trPr>
          <w:trHeight w:val="246"/>
          <w:jc w:val="center"/>
        </w:trPr>
        <w:tc>
          <w:tcPr>
            <w:tcW w:w="911" w:type="pct"/>
            <w:shd w:val="clear" w:color="auto" w:fill="auto"/>
          </w:tcPr>
          <w:p>
            <w:pPr>
              <w:autoSpaceDE w:val="0"/>
              <w:autoSpaceDN w:val="0"/>
              <w:adjustRightInd w:val="0"/>
              <w:snapToGrid w:val="0"/>
              <w:rPr>
                <w:szCs w:val="21"/>
              </w:rPr>
            </w:pPr>
            <w:r>
              <w:t>收购兖煤航运</w:t>
            </w:r>
          </w:p>
        </w:tc>
        <w:tc>
          <w:tcPr>
            <w:tcW w:w="703" w:type="pct"/>
            <w:shd w:val="clear" w:color="auto" w:fill="auto"/>
            <w:vAlign w:val="center"/>
          </w:tcPr>
          <w:p>
            <w:pPr>
              <w:pStyle w:val="affffffffffffffffffffffffffffffffe"/>
              <w:jc w:val="right"/>
            </w:pPr>
            <w:r>
              <w:t>10,045</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pStyle w:val="affffffffffffffffffffffffffffffffe"/>
              <w:jc w:val="right"/>
            </w:pPr>
          </w:p>
        </w:tc>
        <w:tc>
          <w:tcPr>
            <w:tcW w:w="753" w:type="pct"/>
            <w:shd w:val="clear" w:color="auto" w:fill="auto"/>
            <w:vAlign w:val="center"/>
          </w:tcPr>
          <w:p>
            <w:pPr>
              <w:autoSpaceDE w:val="0"/>
              <w:autoSpaceDN w:val="0"/>
              <w:adjustRightInd w:val="0"/>
              <w:snapToGrid w:val="0"/>
              <w:jc w:val="right"/>
              <w:rPr>
                <w:szCs w:val="21"/>
              </w:rPr>
            </w:pPr>
            <w:r>
              <w:rPr>
                <w:szCs w:val="21"/>
              </w:rPr>
              <w:t>10,045</w:t>
            </w:r>
          </w:p>
        </w:tc>
      </w:tr>
      <w:tr>
        <w:trPr>
          <w:trHeight w:val="246"/>
          <w:jc w:val="center"/>
        </w:trPr>
        <w:tc>
          <w:tcPr>
            <w:tcW w:w="911" w:type="pct"/>
            <w:shd w:val="clear" w:color="auto" w:fill="auto"/>
          </w:tcPr>
          <w:p>
            <w:pPr>
              <w:autoSpaceDE w:val="0"/>
              <w:autoSpaceDN w:val="0"/>
              <w:adjustRightInd w:val="0"/>
              <w:snapToGrid w:val="0"/>
              <w:rPr>
                <w:szCs w:val="21"/>
              </w:rPr>
            </w:pPr>
            <w:r>
              <w:t>收购卡松科技</w:t>
            </w:r>
          </w:p>
        </w:tc>
        <w:tc>
          <w:tcPr>
            <w:tcW w:w="703" w:type="pct"/>
            <w:shd w:val="clear" w:color="auto" w:fill="auto"/>
            <w:vAlign w:val="center"/>
          </w:tcPr>
          <w:p>
            <w:pPr>
              <w:pStyle w:val="affffffffffffffffffffffffffffffffe"/>
              <w:jc w:val="right"/>
            </w:pPr>
            <w:r>
              <w:t>31,543</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jc w:val="right"/>
              <w:rPr>
                <w:rFonts w:ascii="Times New Roman" w:eastAsia="Times New Roman" w:hAnsi="Times New Roman" w:cs="Times New Roman"/>
                <w:sz w:val="20"/>
                <w:szCs w:val="20"/>
              </w:rPr>
            </w:pPr>
          </w:p>
        </w:tc>
        <w:tc>
          <w:tcPr>
            <w:tcW w:w="753" w:type="pct"/>
            <w:shd w:val="clear" w:color="auto" w:fill="auto"/>
            <w:vAlign w:val="center"/>
          </w:tcPr>
          <w:p>
            <w:pPr>
              <w:autoSpaceDE w:val="0"/>
              <w:autoSpaceDN w:val="0"/>
              <w:adjustRightInd w:val="0"/>
              <w:snapToGrid w:val="0"/>
              <w:jc w:val="right"/>
              <w:rPr>
                <w:szCs w:val="21"/>
              </w:rPr>
            </w:pPr>
            <w:r>
              <w:rPr>
                <w:szCs w:val="21"/>
              </w:rPr>
              <w:t>31,543</w:t>
            </w:r>
          </w:p>
        </w:tc>
      </w:tr>
      <w:tr>
        <w:trPr>
          <w:trHeight w:val="296"/>
          <w:jc w:val="center"/>
        </w:trPr>
        <w:tc>
          <w:tcPr>
            <w:tcW w:w="911" w:type="pct"/>
            <w:shd w:val="clear" w:color="auto" w:fill="auto"/>
            <w:vAlign w:val="center"/>
          </w:tcPr>
          <w:p>
            <w:pPr>
              <w:autoSpaceDE w:val="0"/>
              <w:autoSpaceDN w:val="0"/>
              <w:adjustRightInd w:val="0"/>
              <w:snapToGrid w:val="0"/>
              <w:jc w:val="center"/>
              <w:rPr>
                <w:szCs w:val="21"/>
                <w:u w:val="double"/>
              </w:rPr>
            </w:pPr>
            <w:r>
              <w:rPr>
                <w:rFonts w:hint="eastAsia"/>
                <w:szCs w:val="21"/>
              </w:rPr>
              <w:t>合计</w:t>
            </w:r>
          </w:p>
        </w:tc>
        <w:tc>
          <w:tcPr>
            <w:tcW w:w="703" w:type="pct"/>
            <w:shd w:val="clear" w:color="auto" w:fill="auto"/>
            <w:vAlign w:val="center"/>
          </w:tcPr>
          <w:p>
            <w:pPr>
              <w:pStyle w:val="affffffffffffffffffffffffffffffffe"/>
              <w:jc w:val="right"/>
            </w:pPr>
            <w:r>
              <w:t>1,025,732</w:t>
            </w:r>
          </w:p>
        </w:tc>
        <w:tc>
          <w:tcPr>
            <w:tcW w:w="462" w:type="pct"/>
            <w:shd w:val="clear" w:color="auto" w:fill="auto"/>
          </w:tcPr>
          <w:p>
            <w:pPr>
              <w:autoSpaceDE w:val="0"/>
              <w:autoSpaceDN w:val="0"/>
              <w:adjustRightInd w:val="0"/>
              <w:snapToGrid w:val="0"/>
              <w:jc w:val="right"/>
              <w:rPr>
                <w:szCs w:val="21"/>
              </w:rPr>
            </w:pPr>
          </w:p>
        </w:tc>
        <w:tc>
          <w:tcPr>
            <w:tcW w:w="505" w:type="pct"/>
            <w:shd w:val="clear" w:color="auto" w:fill="auto"/>
          </w:tcPr>
          <w:p>
            <w:pPr>
              <w:autoSpaceDE w:val="0"/>
              <w:autoSpaceDN w:val="0"/>
              <w:adjustRightInd w:val="0"/>
              <w:snapToGrid w:val="0"/>
              <w:jc w:val="right"/>
              <w:rPr>
                <w:szCs w:val="21"/>
              </w:rPr>
            </w:pPr>
          </w:p>
        </w:tc>
        <w:tc>
          <w:tcPr>
            <w:tcW w:w="564" w:type="pct"/>
            <w:shd w:val="clear" w:color="auto" w:fill="auto"/>
          </w:tcPr>
          <w:p>
            <w:pPr>
              <w:autoSpaceDE w:val="0"/>
              <w:autoSpaceDN w:val="0"/>
              <w:adjustRightInd w:val="0"/>
              <w:snapToGrid w:val="0"/>
              <w:jc w:val="right"/>
              <w:rPr>
                <w:szCs w:val="21"/>
              </w:rPr>
            </w:pPr>
          </w:p>
        </w:tc>
        <w:tc>
          <w:tcPr>
            <w:tcW w:w="559" w:type="pct"/>
            <w:shd w:val="clear" w:color="auto" w:fill="auto"/>
          </w:tcPr>
          <w:p>
            <w:pPr>
              <w:autoSpaceDE w:val="0"/>
              <w:autoSpaceDN w:val="0"/>
              <w:adjustRightInd w:val="0"/>
              <w:snapToGrid w:val="0"/>
              <w:jc w:val="right"/>
              <w:rPr>
                <w:szCs w:val="21"/>
              </w:rPr>
            </w:pPr>
          </w:p>
        </w:tc>
        <w:tc>
          <w:tcPr>
            <w:tcW w:w="543" w:type="pct"/>
            <w:vAlign w:val="center"/>
          </w:tcPr>
          <w:p>
            <w:pPr>
              <w:jc w:val="right"/>
              <w:rPr>
                <w:sz w:val="24"/>
              </w:rPr>
            </w:pPr>
            <w:r>
              <w:t>-23,257</w:t>
            </w:r>
          </w:p>
        </w:tc>
        <w:tc>
          <w:tcPr>
            <w:tcW w:w="753" w:type="pct"/>
            <w:shd w:val="clear" w:color="auto" w:fill="auto"/>
            <w:vAlign w:val="center"/>
          </w:tcPr>
          <w:p>
            <w:pPr>
              <w:autoSpaceDE w:val="0"/>
              <w:autoSpaceDN w:val="0"/>
              <w:adjustRightInd w:val="0"/>
              <w:snapToGrid w:val="0"/>
              <w:jc w:val="right"/>
              <w:rPr>
                <w:szCs w:val="21"/>
              </w:rPr>
            </w:pPr>
            <w:r>
              <w:rPr>
                <w:szCs w:val="21"/>
              </w:rPr>
              <w:t>1,002,475</w:t>
            </w:r>
          </w:p>
        </w:tc>
      </w:tr>
    </w:tbl>
    <w:p>
      <w:pPr>
        <w:pStyle w:val="affffffffffffffffffffffffffffffffe"/>
      </w:pPr>
    </w:p>
    <w:p>
      <w:pPr>
        <w:pStyle w:val="afffffffffffffffffffffffffffffffff1"/>
        <w:numPr>
          <w:ilvl w:val="3"/>
          <w:numId w:val="117"/>
        </w:numPr>
        <w:ind w:left="426" w:hanging="426"/>
      </w:pPr>
      <w:r>
        <w:rPr>
          <w:rFonts w:hint="eastAsia"/>
        </w:rPr>
        <w:t>商誉减值准备</w:t>
      </w:r>
    </w:p>
    <w:sdt>
      <w:sdtPr>
        <w:alias w:val="是否适用：商誉减值准备[双击切换]"/>
        <w:tag w:val="_GBC_6da4c3df55cf453f9753bb7045db7e9c"/>
        <w:id w:val="-30847976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减值准备"/>
          <w:tag w:val="_GBC_f57fd757a9b44c6ebaa3d245d43745bc"/>
          <w:id w:val="-15757370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商誉减值准备"/>
          <w:tag w:val="_GBC_c1f3995384ba4c438db9d1f743b78f7d"/>
          <w:id w:val="3546285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6"/>
        <w:gridCol w:w="1018"/>
        <w:gridCol w:w="1043"/>
        <w:gridCol w:w="1020"/>
        <w:gridCol w:w="1031"/>
        <w:gridCol w:w="1073"/>
        <w:gridCol w:w="976"/>
        <w:gridCol w:w="976"/>
      </w:tblGrid>
      <w:tr>
        <w:trPr>
          <w:trHeight w:val="255"/>
          <w:jc w:val="center"/>
        </w:trPr>
        <w:sdt>
          <w:sdtPr>
            <w:tag w:val="_PLD_18986b1742bd44dfbf2a33ba8f31cdbc"/>
            <w:id w:val="-8605413"/>
          </w:sdtPr>
          <w:sdtContent>
            <w:tc>
              <w:tcPr>
                <w:tcW w:w="955" w:type="pct"/>
                <w:vMerge w:val="restart"/>
                <w:shd w:val="clear" w:color="auto" w:fill="auto"/>
                <w:vAlign w:val="center"/>
              </w:tcPr>
              <w:p>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1227687858"/>
          </w:sdtPr>
          <w:sdtContent>
            <w:tc>
              <w:tcPr>
                <w:tcW w:w="577" w:type="pct"/>
                <w:vMerge w:val="restart"/>
                <w:shd w:val="clear" w:color="auto" w:fill="auto"/>
                <w:vAlign w:val="center"/>
              </w:tcPr>
              <w:p>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1103696141"/>
          </w:sdtPr>
          <w:sdtContent>
            <w:tc>
              <w:tcPr>
                <w:tcW w:w="1169" w:type="pct"/>
                <w:gridSpan w:val="2"/>
                <w:shd w:val="clear" w:color="auto" w:fill="auto"/>
                <w:vAlign w:val="center"/>
              </w:tcPr>
              <w:p>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1729184048"/>
          </w:sdtPr>
          <w:sdtContent>
            <w:tc>
              <w:tcPr>
                <w:tcW w:w="1192" w:type="pct"/>
                <w:gridSpan w:val="2"/>
                <w:shd w:val="clear" w:color="auto" w:fill="auto"/>
                <w:vAlign w:val="center"/>
              </w:tcPr>
              <w:p>
                <w:pPr>
                  <w:autoSpaceDE w:val="0"/>
                  <w:autoSpaceDN w:val="0"/>
                  <w:adjustRightInd w:val="0"/>
                  <w:snapToGrid w:val="0"/>
                  <w:jc w:val="center"/>
                  <w:rPr>
                    <w:szCs w:val="21"/>
                  </w:rPr>
                </w:pPr>
                <w:r>
                  <w:rPr>
                    <w:rFonts w:hint="eastAsia"/>
                    <w:szCs w:val="21"/>
                  </w:rPr>
                  <w:t>本期减少</w:t>
                </w:r>
              </w:p>
            </w:tc>
          </w:sdtContent>
        </w:sdt>
        <w:tc>
          <w:tcPr>
            <w:tcW w:w="553" w:type="pct"/>
            <w:vMerge w:val="restart"/>
          </w:tcPr>
          <w:p>
            <w:pPr>
              <w:autoSpaceDE w:val="0"/>
              <w:autoSpaceDN w:val="0"/>
              <w:adjustRightInd w:val="0"/>
              <w:snapToGrid w:val="0"/>
              <w:jc w:val="center"/>
            </w:pPr>
            <w:r>
              <w:rPr>
                <w:rFonts w:hint="eastAsia"/>
              </w:rPr>
              <w:t>外币报表折算差额</w:t>
            </w:r>
          </w:p>
        </w:tc>
        <w:sdt>
          <w:sdtPr>
            <w:tag w:val="_PLD_507192cf6da34101afd3a25ed1e4bd77"/>
            <w:id w:val="421466866"/>
          </w:sdtPr>
          <w:sdtContent>
            <w:tc>
              <w:tcPr>
                <w:tcW w:w="553" w:type="pct"/>
                <w:vMerge w:val="restart"/>
                <w:shd w:val="clear" w:color="auto" w:fill="auto"/>
                <w:vAlign w:val="center"/>
              </w:tcPr>
              <w:p>
                <w:pPr>
                  <w:autoSpaceDE w:val="0"/>
                  <w:autoSpaceDN w:val="0"/>
                  <w:adjustRightInd w:val="0"/>
                  <w:snapToGrid w:val="0"/>
                  <w:jc w:val="center"/>
                  <w:rPr>
                    <w:szCs w:val="21"/>
                  </w:rPr>
                </w:pPr>
                <w:r>
                  <w:rPr>
                    <w:rFonts w:hint="eastAsia"/>
                    <w:szCs w:val="21"/>
                  </w:rPr>
                  <w:t>期末余额</w:t>
                </w:r>
              </w:p>
            </w:tc>
          </w:sdtContent>
        </w:sdt>
      </w:tr>
      <w:tr>
        <w:trPr>
          <w:trHeight w:val="296"/>
          <w:jc w:val="center"/>
        </w:trPr>
        <w:tc>
          <w:tcPr>
            <w:tcW w:w="955" w:type="pct"/>
            <w:vMerge/>
            <w:shd w:val="clear" w:color="auto" w:fill="auto"/>
          </w:tcPr>
          <w:p>
            <w:pPr>
              <w:autoSpaceDE w:val="0"/>
              <w:autoSpaceDN w:val="0"/>
              <w:adjustRightInd w:val="0"/>
              <w:snapToGrid w:val="0"/>
              <w:rPr>
                <w:szCs w:val="21"/>
              </w:rPr>
            </w:pPr>
          </w:p>
        </w:tc>
        <w:tc>
          <w:tcPr>
            <w:tcW w:w="577" w:type="pct"/>
            <w:vMerge/>
            <w:shd w:val="clear" w:color="auto" w:fill="auto"/>
            <w:vAlign w:val="center"/>
          </w:tcPr>
          <w:p>
            <w:pPr>
              <w:autoSpaceDE w:val="0"/>
              <w:autoSpaceDN w:val="0"/>
              <w:adjustRightInd w:val="0"/>
              <w:snapToGrid w:val="0"/>
              <w:jc w:val="right"/>
              <w:rPr>
                <w:szCs w:val="21"/>
              </w:rPr>
            </w:pPr>
          </w:p>
        </w:tc>
        <w:tc>
          <w:tcPr>
            <w:tcW w:w="591" w:type="pct"/>
            <w:shd w:val="clear" w:color="auto" w:fill="auto"/>
            <w:vAlign w:val="center"/>
          </w:tcPr>
          <w:p>
            <w:pPr>
              <w:autoSpaceDE w:val="0"/>
              <w:autoSpaceDN w:val="0"/>
              <w:adjustRightInd w:val="0"/>
              <w:snapToGrid w:val="0"/>
              <w:jc w:val="center"/>
              <w:rPr>
                <w:szCs w:val="21"/>
              </w:rPr>
            </w:pPr>
            <w:r>
              <w:rPr>
                <w:rFonts w:hint="eastAsia"/>
                <w:szCs w:val="21"/>
              </w:rPr>
              <w:t>计提</w:t>
            </w:r>
          </w:p>
        </w:tc>
        <w:tc>
          <w:tcPr>
            <w:tcW w:w="578" w:type="pct"/>
            <w:shd w:val="clear" w:color="auto" w:fill="auto"/>
            <w:vAlign w:val="center"/>
          </w:tcPr>
          <w:p>
            <w:pPr>
              <w:autoSpaceDE w:val="0"/>
              <w:autoSpaceDN w:val="0"/>
              <w:adjustRightInd w:val="0"/>
              <w:snapToGrid w:val="0"/>
              <w:jc w:val="center"/>
              <w:rPr>
                <w:szCs w:val="21"/>
              </w:rPr>
            </w:pPr>
            <w:r>
              <w:rPr>
                <w:rFonts w:hint="eastAsia"/>
                <w:szCs w:val="21"/>
              </w:rPr>
              <w:t xml:space="preserve">其他　</w:t>
            </w:r>
          </w:p>
        </w:tc>
        <w:tc>
          <w:tcPr>
            <w:tcW w:w="584" w:type="pct"/>
            <w:shd w:val="clear" w:color="auto" w:fill="auto"/>
            <w:vAlign w:val="center"/>
          </w:tcPr>
          <w:p>
            <w:pPr>
              <w:autoSpaceDE w:val="0"/>
              <w:autoSpaceDN w:val="0"/>
              <w:adjustRightInd w:val="0"/>
              <w:snapToGrid w:val="0"/>
              <w:jc w:val="center"/>
              <w:rPr>
                <w:szCs w:val="21"/>
              </w:rPr>
            </w:pPr>
            <w:r>
              <w:rPr>
                <w:rFonts w:hint="eastAsia"/>
                <w:szCs w:val="21"/>
              </w:rPr>
              <w:t>处置</w:t>
            </w:r>
          </w:p>
        </w:tc>
        <w:tc>
          <w:tcPr>
            <w:tcW w:w="608" w:type="pct"/>
            <w:shd w:val="clear" w:color="auto" w:fill="auto"/>
            <w:vAlign w:val="center"/>
          </w:tcPr>
          <w:p>
            <w:pPr>
              <w:autoSpaceDE w:val="0"/>
              <w:autoSpaceDN w:val="0"/>
              <w:adjustRightInd w:val="0"/>
              <w:snapToGrid w:val="0"/>
              <w:jc w:val="center"/>
              <w:rPr>
                <w:szCs w:val="21"/>
              </w:rPr>
            </w:pPr>
            <w:r>
              <w:rPr>
                <w:rFonts w:hint="eastAsia"/>
                <w:szCs w:val="21"/>
              </w:rPr>
              <w:t xml:space="preserve">其他　</w:t>
            </w:r>
          </w:p>
        </w:tc>
        <w:tc>
          <w:tcPr>
            <w:tcW w:w="553" w:type="pct"/>
            <w:vMerge/>
          </w:tcPr>
          <w:p>
            <w:pPr>
              <w:autoSpaceDE w:val="0"/>
              <w:autoSpaceDN w:val="0"/>
              <w:adjustRightInd w:val="0"/>
              <w:snapToGrid w:val="0"/>
              <w:jc w:val="center"/>
              <w:rPr>
                <w:szCs w:val="21"/>
              </w:rPr>
            </w:pPr>
          </w:p>
        </w:tc>
        <w:tc>
          <w:tcPr>
            <w:tcW w:w="553" w:type="pct"/>
            <w:vMerge/>
            <w:shd w:val="clear" w:color="auto" w:fill="auto"/>
          </w:tcPr>
          <w:p>
            <w:pPr>
              <w:autoSpaceDE w:val="0"/>
              <w:autoSpaceDN w:val="0"/>
              <w:adjustRightInd w:val="0"/>
              <w:snapToGrid w:val="0"/>
              <w:jc w:val="center"/>
              <w:rPr>
                <w:szCs w:val="21"/>
              </w:rPr>
            </w:pPr>
          </w:p>
        </w:tc>
      </w:tr>
      <w:tr>
        <w:trPr>
          <w:trHeight w:val="70"/>
          <w:jc w:val="center"/>
        </w:trPr>
        <w:tc>
          <w:tcPr>
            <w:tcW w:w="955" w:type="pct"/>
            <w:shd w:val="clear" w:color="auto" w:fill="auto"/>
          </w:tcPr>
          <w:p>
            <w:pPr>
              <w:autoSpaceDE w:val="0"/>
              <w:autoSpaceDN w:val="0"/>
              <w:adjustRightInd w:val="0"/>
              <w:snapToGrid w:val="0"/>
              <w:rPr>
                <w:szCs w:val="21"/>
              </w:rPr>
            </w:pPr>
            <w:r>
              <w:t>收购鑫泰</w:t>
            </w:r>
          </w:p>
        </w:tc>
        <w:tc>
          <w:tcPr>
            <w:tcW w:w="577" w:type="pct"/>
            <w:shd w:val="clear" w:color="auto" w:fill="auto"/>
            <w:vAlign w:val="center"/>
          </w:tcPr>
          <w:p>
            <w:pPr>
              <w:pStyle w:val="affffffffffffffffffffffffffffffffe"/>
              <w:jc w:val="right"/>
            </w:pPr>
            <w:r>
              <w:t>653,836</w:t>
            </w:r>
          </w:p>
        </w:tc>
        <w:tc>
          <w:tcPr>
            <w:tcW w:w="591" w:type="pct"/>
            <w:shd w:val="clear" w:color="auto" w:fill="auto"/>
          </w:tcPr>
          <w:p>
            <w:pPr>
              <w:autoSpaceDE w:val="0"/>
              <w:autoSpaceDN w:val="0"/>
              <w:adjustRightInd w:val="0"/>
              <w:snapToGrid w:val="0"/>
              <w:jc w:val="right"/>
              <w:rPr>
                <w:szCs w:val="21"/>
              </w:rPr>
            </w:pPr>
          </w:p>
        </w:tc>
        <w:tc>
          <w:tcPr>
            <w:tcW w:w="578" w:type="pct"/>
            <w:shd w:val="clear" w:color="auto" w:fill="auto"/>
          </w:tcPr>
          <w:p>
            <w:pPr>
              <w:autoSpaceDE w:val="0"/>
              <w:autoSpaceDN w:val="0"/>
              <w:adjustRightInd w:val="0"/>
              <w:snapToGrid w:val="0"/>
              <w:jc w:val="right"/>
              <w:rPr>
                <w:szCs w:val="21"/>
              </w:rPr>
            </w:pPr>
          </w:p>
        </w:tc>
        <w:tc>
          <w:tcPr>
            <w:tcW w:w="584" w:type="pct"/>
            <w:shd w:val="clear" w:color="auto" w:fill="auto"/>
          </w:tcPr>
          <w:p>
            <w:pPr>
              <w:autoSpaceDE w:val="0"/>
              <w:autoSpaceDN w:val="0"/>
              <w:adjustRightInd w:val="0"/>
              <w:snapToGrid w:val="0"/>
              <w:jc w:val="right"/>
              <w:rPr>
                <w:szCs w:val="21"/>
              </w:rPr>
            </w:pPr>
          </w:p>
        </w:tc>
        <w:tc>
          <w:tcPr>
            <w:tcW w:w="608" w:type="pct"/>
            <w:shd w:val="clear" w:color="auto" w:fill="auto"/>
          </w:tcPr>
          <w:p>
            <w:pPr>
              <w:autoSpaceDE w:val="0"/>
              <w:autoSpaceDN w:val="0"/>
              <w:adjustRightInd w:val="0"/>
              <w:snapToGrid w:val="0"/>
              <w:jc w:val="right"/>
              <w:rPr>
                <w:szCs w:val="21"/>
              </w:rPr>
            </w:pPr>
          </w:p>
        </w:tc>
        <w:tc>
          <w:tcPr>
            <w:tcW w:w="553" w:type="pct"/>
            <w:vAlign w:val="center"/>
          </w:tcPr>
          <w:p>
            <w:pPr>
              <w:autoSpaceDE w:val="0"/>
              <w:autoSpaceDN w:val="0"/>
              <w:adjustRightInd w:val="0"/>
              <w:snapToGrid w:val="0"/>
              <w:jc w:val="right"/>
              <w:rPr>
                <w:szCs w:val="21"/>
              </w:rPr>
            </w:pPr>
          </w:p>
        </w:tc>
        <w:tc>
          <w:tcPr>
            <w:tcW w:w="553" w:type="pct"/>
            <w:shd w:val="clear" w:color="auto" w:fill="auto"/>
            <w:vAlign w:val="center"/>
          </w:tcPr>
          <w:p>
            <w:pPr>
              <w:pStyle w:val="affffffffffffffffffffffffffffffffe"/>
              <w:jc w:val="right"/>
            </w:pPr>
            <w:r>
              <w:t>653,836</w:t>
            </w:r>
          </w:p>
        </w:tc>
      </w:tr>
      <w:tr>
        <w:trPr>
          <w:trHeight w:val="70"/>
          <w:jc w:val="center"/>
        </w:trPr>
        <w:tc>
          <w:tcPr>
            <w:tcW w:w="955" w:type="pct"/>
            <w:shd w:val="clear" w:color="auto" w:fill="auto"/>
          </w:tcPr>
          <w:p>
            <w:pPr>
              <w:autoSpaceDE w:val="0"/>
              <w:autoSpaceDN w:val="0"/>
              <w:adjustRightInd w:val="0"/>
              <w:snapToGrid w:val="0"/>
              <w:rPr>
                <w:szCs w:val="21"/>
              </w:rPr>
            </w:pPr>
            <w:r>
              <w:t>收购兖煤资源</w:t>
            </w:r>
          </w:p>
        </w:tc>
        <w:tc>
          <w:tcPr>
            <w:tcW w:w="577" w:type="pct"/>
            <w:shd w:val="clear" w:color="auto" w:fill="auto"/>
            <w:vAlign w:val="center"/>
          </w:tcPr>
          <w:p>
            <w:pPr>
              <w:pStyle w:val="affffffffffffffffffffffffffffffffe"/>
              <w:jc w:val="right"/>
            </w:pPr>
            <w:r>
              <w:t>8,246</w:t>
            </w:r>
          </w:p>
        </w:tc>
        <w:tc>
          <w:tcPr>
            <w:tcW w:w="591" w:type="pct"/>
            <w:shd w:val="clear" w:color="auto" w:fill="auto"/>
          </w:tcPr>
          <w:p>
            <w:pPr>
              <w:autoSpaceDE w:val="0"/>
              <w:autoSpaceDN w:val="0"/>
              <w:adjustRightInd w:val="0"/>
              <w:snapToGrid w:val="0"/>
              <w:jc w:val="right"/>
              <w:rPr>
                <w:szCs w:val="21"/>
              </w:rPr>
            </w:pPr>
          </w:p>
        </w:tc>
        <w:tc>
          <w:tcPr>
            <w:tcW w:w="578" w:type="pct"/>
            <w:shd w:val="clear" w:color="auto" w:fill="auto"/>
          </w:tcPr>
          <w:p>
            <w:pPr>
              <w:autoSpaceDE w:val="0"/>
              <w:autoSpaceDN w:val="0"/>
              <w:adjustRightInd w:val="0"/>
              <w:snapToGrid w:val="0"/>
              <w:jc w:val="right"/>
              <w:rPr>
                <w:szCs w:val="21"/>
              </w:rPr>
            </w:pPr>
          </w:p>
        </w:tc>
        <w:tc>
          <w:tcPr>
            <w:tcW w:w="584" w:type="pct"/>
            <w:shd w:val="clear" w:color="auto" w:fill="auto"/>
          </w:tcPr>
          <w:p>
            <w:pPr>
              <w:autoSpaceDE w:val="0"/>
              <w:autoSpaceDN w:val="0"/>
              <w:adjustRightInd w:val="0"/>
              <w:snapToGrid w:val="0"/>
              <w:jc w:val="right"/>
              <w:rPr>
                <w:szCs w:val="21"/>
              </w:rPr>
            </w:pPr>
          </w:p>
        </w:tc>
        <w:tc>
          <w:tcPr>
            <w:tcW w:w="608" w:type="pct"/>
            <w:shd w:val="clear" w:color="auto" w:fill="auto"/>
          </w:tcPr>
          <w:p>
            <w:pPr>
              <w:autoSpaceDE w:val="0"/>
              <w:autoSpaceDN w:val="0"/>
              <w:adjustRightInd w:val="0"/>
              <w:snapToGrid w:val="0"/>
              <w:jc w:val="right"/>
              <w:rPr>
                <w:szCs w:val="21"/>
              </w:rPr>
            </w:pPr>
          </w:p>
        </w:tc>
        <w:tc>
          <w:tcPr>
            <w:tcW w:w="553" w:type="pct"/>
            <w:vAlign w:val="center"/>
          </w:tcPr>
          <w:p>
            <w:pPr>
              <w:pStyle w:val="affffffffffffffffffffffffffffffffe"/>
              <w:jc w:val="right"/>
            </w:pPr>
            <w:r>
              <w:t>-581</w:t>
            </w:r>
          </w:p>
        </w:tc>
        <w:tc>
          <w:tcPr>
            <w:tcW w:w="553" w:type="pct"/>
            <w:shd w:val="clear" w:color="auto" w:fill="auto"/>
            <w:vAlign w:val="center"/>
          </w:tcPr>
          <w:p>
            <w:pPr>
              <w:pStyle w:val="affffffffffffffffffffffffffffffffe"/>
              <w:jc w:val="right"/>
            </w:pPr>
            <w:r>
              <w:t>7,665</w:t>
            </w:r>
          </w:p>
        </w:tc>
      </w:tr>
      <w:tr>
        <w:trPr>
          <w:trHeight w:val="70"/>
          <w:jc w:val="center"/>
        </w:trPr>
        <w:tc>
          <w:tcPr>
            <w:tcW w:w="955" w:type="pct"/>
            <w:shd w:val="clear" w:color="auto" w:fill="auto"/>
          </w:tcPr>
          <w:p>
            <w:pPr>
              <w:autoSpaceDE w:val="0"/>
              <w:autoSpaceDN w:val="0"/>
              <w:adjustRightInd w:val="0"/>
              <w:snapToGrid w:val="0"/>
              <w:rPr>
                <w:szCs w:val="21"/>
              </w:rPr>
            </w:pPr>
            <w:r>
              <w:t>收购普力马</w:t>
            </w:r>
          </w:p>
        </w:tc>
        <w:tc>
          <w:tcPr>
            <w:tcW w:w="577" w:type="pct"/>
            <w:shd w:val="clear" w:color="auto" w:fill="auto"/>
            <w:vAlign w:val="center"/>
          </w:tcPr>
          <w:p>
            <w:pPr>
              <w:pStyle w:val="affffffffffffffffffffffffffffffffe"/>
              <w:jc w:val="right"/>
            </w:pPr>
            <w:r>
              <w:t>13,189</w:t>
            </w:r>
          </w:p>
        </w:tc>
        <w:tc>
          <w:tcPr>
            <w:tcW w:w="591" w:type="pct"/>
            <w:shd w:val="clear" w:color="auto" w:fill="auto"/>
          </w:tcPr>
          <w:p>
            <w:pPr>
              <w:autoSpaceDE w:val="0"/>
              <w:autoSpaceDN w:val="0"/>
              <w:adjustRightInd w:val="0"/>
              <w:snapToGrid w:val="0"/>
              <w:jc w:val="right"/>
              <w:rPr>
                <w:szCs w:val="21"/>
              </w:rPr>
            </w:pPr>
          </w:p>
        </w:tc>
        <w:tc>
          <w:tcPr>
            <w:tcW w:w="578" w:type="pct"/>
            <w:shd w:val="clear" w:color="auto" w:fill="auto"/>
          </w:tcPr>
          <w:p>
            <w:pPr>
              <w:autoSpaceDE w:val="0"/>
              <w:autoSpaceDN w:val="0"/>
              <w:adjustRightInd w:val="0"/>
              <w:snapToGrid w:val="0"/>
              <w:jc w:val="right"/>
              <w:rPr>
                <w:szCs w:val="21"/>
              </w:rPr>
            </w:pPr>
          </w:p>
        </w:tc>
        <w:tc>
          <w:tcPr>
            <w:tcW w:w="584" w:type="pct"/>
            <w:shd w:val="clear" w:color="auto" w:fill="auto"/>
          </w:tcPr>
          <w:p>
            <w:pPr>
              <w:autoSpaceDE w:val="0"/>
              <w:autoSpaceDN w:val="0"/>
              <w:adjustRightInd w:val="0"/>
              <w:snapToGrid w:val="0"/>
              <w:jc w:val="right"/>
              <w:rPr>
                <w:szCs w:val="21"/>
              </w:rPr>
            </w:pPr>
          </w:p>
        </w:tc>
        <w:tc>
          <w:tcPr>
            <w:tcW w:w="608" w:type="pct"/>
            <w:shd w:val="clear" w:color="auto" w:fill="auto"/>
          </w:tcPr>
          <w:p>
            <w:pPr>
              <w:autoSpaceDE w:val="0"/>
              <w:autoSpaceDN w:val="0"/>
              <w:adjustRightInd w:val="0"/>
              <w:snapToGrid w:val="0"/>
              <w:jc w:val="right"/>
              <w:rPr>
                <w:szCs w:val="21"/>
              </w:rPr>
            </w:pPr>
          </w:p>
        </w:tc>
        <w:tc>
          <w:tcPr>
            <w:tcW w:w="553" w:type="pct"/>
            <w:vAlign w:val="center"/>
          </w:tcPr>
          <w:p>
            <w:pPr>
              <w:pStyle w:val="affffffffffffffffffffffffffffffffe"/>
              <w:jc w:val="right"/>
            </w:pPr>
            <w:r>
              <w:t>-927</w:t>
            </w:r>
          </w:p>
        </w:tc>
        <w:tc>
          <w:tcPr>
            <w:tcW w:w="553" w:type="pct"/>
            <w:shd w:val="clear" w:color="auto" w:fill="auto"/>
            <w:vAlign w:val="center"/>
          </w:tcPr>
          <w:p>
            <w:pPr>
              <w:pStyle w:val="affffffffffffffffffffffffffffffffe"/>
              <w:jc w:val="right"/>
            </w:pPr>
            <w:r>
              <w:t>12,262</w:t>
            </w:r>
          </w:p>
        </w:tc>
      </w:tr>
      <w:tr>
        <w:trPr>
          <w:trHeight w:val="70"/>
          <w:jc w:val="center"/>
        </w:trPr>
        <w:tc>
          <w:tcPr>
            <w:tcW w:w="955" w:type="pct"/>
            <w:shd w:val="clear" w:color="auto" w:fill="auto"/>
          </w:tcPr>
          <w:p>
            <w:pPr>
              <w:autoSpaceDE w:val="0"/>
              <w:autoSpaceDN w:val="0"/>
              <w:adjustRightInd w:val="0"/>
              <w:snapToGrid w:val="0"/>
              <w:rPr>
                <w:szCs w:val="21"/>
              </w:rPr>
            </w:pPr>
            <w:r>
              <w:t>收购卡松科技</w:t>
            </w:r>
          </w:p>
        </w:tc>
        <w:tc>
          <w:tcPr>
            <w:tcW w:w="577" w:type="pct"/>
            <w:shd w:val="clear" w:color="auto" w:fill="auto"/>
            <w:vAlign w:val="center"/>
          </w:tcPr>
          <w:p>
            <w:pPr>
              <w:pStyle w:val="affffffffffffffffffffffffffffffffe"/>
              <w:jc w:val="right"/>
            </w:pPr>
            <w:r>
              <w:t>31,543</w:t>
            </w:r>
          </w:p>
        </w:tc>
        <w:tc>
          <w:tcPr>
            <w:tcW w:w="591" w:type="pct"/>
            <w:shd w:val="clear" w:color="auto" w:fill="auto"/>
          </w:tcPr>
          <w:p>
            <w:pPr>
              <w:autoSpaceDE w:val="0"/>
              <w:autoSpaceDN w:val="0"/>
              <w:adjustRightInd w:val="0"/>
              <w:snapToGrid w:val="0"/>
              <w:jc w:val="right"/>
              <w:rPr>
                <w:szCs w:val="21"/>
              </w:rPr>
            </w:pPr>
          </w:p>
        </w:tc>
        <w:tc>
          <w:tcPr>
            <w:tcW w:w="578" w:type="pct"/>
            <w:shd w:val="clear" w:color="auto" w:fill="auto"/>
          </w:tcPr>
          <w:p>
            <w:pPr>
              <w:autoSpaceDE w:val="0"/>
              <w:autoSpaceDN w:val="0"/>
              <w:adjustRightInd w:val="0"/>
              <w:snapToGrid w:val="0"/>
              <w:jc w:val="right"/>
              <w:rPr>
                <w:szCs w:val="21"/>
              </w:rPr>
            </w:pPr>
          </w:p>
        </w:tc>
        <w:tc>
          <w:tcPr>
            <w:tcW w:w="584" w:type="pct"/>
            <w:shd w:val="clear" w:color="auto" w:fill="auto"/>
          </w:tcPr>
          <w:p>
            <w:pPr>
              <w:autoSpaceDE w:val="0"/>
              <w:autoSpaceDN w:val="0"/>
              <w:adjustRightInd w:val="0"/>
              <w:snapToGrid w:val="0"/>
              <w:jc w:val="right"/>
              <w:rPr>
                <w:szCs w:val="21"/>
              </w:rPr>
            </w:pPr>
          </w:p>
        </w:tc>
        <w:tc>
          <w:tcPr>
            <w:tcW w:w="608" w:type="pct"/>
            <w:shd w:val="clear" w:color="auto" w:fill="auto"/>
          </w:tcPr>
          <w:p>
            <w:pPr>
              <w:autoSpaceDE w:val="0"/>
              <w:autoSpaceDN w:val="0"/>
              <w:adjustRightInd w:val="0"/>
              <w:snapToGrid w:val="0"/>
              <w:jc w:val="right"/>
              <w:rPr>
                <w:szCs w:val="21"/>
              </w:rPr>
            </w:pPr>
          </w:p>
        </w:tc>
        <w:tc>
          <w:tcPr>
            <w:tcW w:w="553" w:type="pct"/>
            <w:vAlign w:val="center"/>
          </w:tcPr>
          <w:p>
            <w:pPr>
              <w:pStyle w:val="affffffffffffffffffffffffffffffffe"/>
              <w:jc w:val="right"/>
            </w:pPr>
          </w:p>
        </w:tc>
        <w:tc>
          <w:tcPr>
            <w:tcW w:w="553" w:type="pct"/>
            <w:shd w:val="clear" w:color="auto" w:fill="auto"/>
            <w:vAlign w:val="center"/>
          </w:tcPr>
          <w:p>
            <w:pPr>
              <w:pStyle w:val="affffffffffffffffffffffffffffffffe"/>
              <w:jc w:val="right"/>
            </w:pPr>
            <w:r>
              <w:t>31,543</w:t>
            </w:r>
          </w:p>
        </w:tc>
      </w:tr>
      <w:tr>
        <w:trPr>
          <w:trHeight w:val="282"/>
          <w:jc w:val="center"/>
        </w:trPr>
        <w:tc>
          <w:tcPr>
            <w:tcW w:w="955" w:type="pct"/>
            <w:shd w:val="clear" w:color="auto" w:fill="auto"/>
            <w:vAlign w:val="center"/>
          </w:tcPr>
          <w:p>
            <w:pPr>
              <w:autoSpaceDE w:val="0"/>
              <w:autoSpaceDN w:val="0"/>
              <w:adjustRightInd w:val="0"/>
              <w:snapToGrid w:val="0"/>
              <w:jc w:val="center"/>
              <w:rPr>
                <w:szCs w:val="21"/>
                <w:u w:val="double"/>
              </w:rPr>
            </w:pPr>
            <w:r>
              <w:rPr>
                <w:rFonts w:hint="eastAsia"/>
                <w:szCs w:val="21"/>
              </w:rPr>
              <w:t>合计</w:t>
            </w:r>
          </w:p>
        </w:tc>
        <w:tc>
          <w:tcPr>
            <w:tcW w:w="577" w:type="pct"/>
            <w:shd w:val="clear" w:color="auto" w:fill="auto"/>
            <w:vAlign w:val="center"/>
          </w:tcPr>
          <w:p>
            <w:pPr>
              <w:pStyle w:val="affffffffffffffffffffffffffffffffe"/>
              <w:jc w:val="right"/>
            </w:pPr>
            <w:r>
              <w:t>706,814</w:t>
            </w:r>
          </w:p>
        </w:tc>
        <w:tc>
          <w:tcPr>
            <w:tcW w:w="591" w:type="pct"/>
            <w:shd w:val="clear" w:color="auto" w:fill="auto"/>
          </w:tcPr>
          <w:p>
            <w:pPr>
              <w:autoSpaceDE w:val="0"/>
              <w:autoSpaceDN w:val="0"/>
              <w:adjustRightInd w:val="0"/>
              <w:snapToGrid w:val="0"/>
              <w:jc w:val="right"/>
              <w:rPr>
                <w:szCs w:val="21"/>
              </w:rPr>
            </w:pPr>
          </w:p>
        </w:tc>
        <w:tc>
          <w:tcPr>
            <w:tcW w:w="578" w:type="pct"/>
            <w:shd w:val="clear" w:color="auto" w:fill="auto"/>
          </w:tcPr>
          <w:p>
            <w:pPr>
              <w:autoSpaceDE w:val="0"/>
              <w:autoSpaceDN w:val="0"/>
              <w:adjustRightInd w:val="0"/>
              <w:snapToGrid w:val="0"/>
              <w:jc w:val="right"/>
              <w:rPr>
                <w:szCs w:val="21"/>
              </w:rPr>
            </w:pPr>
          </w:p>
        </w:tc>
        <w:tc>
          <w:tcPr>
            <w:tcW w:w="584" w:type="pct"/>
            <w:shd w:val="clear" w:color="auto" w:fill="auto"/>
          </w:tcPr>
          <w:p>
            <w:pPr>
              <w:autoSpaceDE w:val="0"/>
              <w:autoSpaceDN w:val="0"/>
              <w:adjustRightInd w:val="0"/>
              <w:snapToGrid w:val="0"/>
              <w:jc w:val="right"/>
              <w:rPr>
                <w:szCs w:val="21"/>
              </w:rPr>
            </w:pPr>
          </w:p>
        </w:tc>
        <w:tc>
          <w:tcPr>
            <w:tcW w:w="608" w:type="pct"/>
            <w:shd w:val="clear" w:color="auto" w:fill="auto"/>
          </w:tcPr>
          <w:p>
            <w:pPr>
              <w:autoSpaceDE w:val="0"/>
              <w:autoSpaceDN w:val="0"/>
              <w:adjustRightInd w:val="0"/>
              <w:snapToGrid w:val="0"/>
              <w:jc w:val="right"/>
              <w:rPr>
                <w:szCs w:val="21"/>
              </w:rPr>
            </w:pPr>
          </w:p>
        </w:tc>
        <w:tc>
          <w:tcPr>
            <w:tcW w:w="553" w:type="pct"/>
            <w:vAlign w:val="center"/>
          </w:tcPr>
          <w:p>
            <w:pPr>
              <w:jc w:val="right"/>
              <w:rPr>
                <w:sz w:val="24"/>
              </w:rPr>
            </w:pPr>
            <w:r>
              <w:t>-1,508</w:t>
            </w:r>
          </w:p>
        </w:tc>
        <w:tc>
          <w:tcPr>
            <w:tcW w:w="553" w:type="pct"/>
            <w:shd w:val="clear" w:color="auto" w:fill="auto"/>
            <w:vAlign w:val="center"/>
          </w:tcPr>
          <w:p>
            <w:pPr>
              <w:pStyle w:val="affffffffffffffffffffffffffffffffe"/>
              <w:jc w:val="right"/>
            </w:pPr>
            <w:r>
              <w:t>705,306</w:t>
            </w:r>
          </w:p>
        </w:tc>
      </w:tr>
    </w:tbl>
    <w:p>
      <w:pPr>
        <w:pStyle w:val="affffffffffffffffffffffffffffffffe"/>
      </w:pPr>
    </w:p>
    <w:p>
      <w:pPr>
        <w:pStyle w:val="afffffffffffffffffffffffffffffffff1"/>
        <w:numPr>
          <w:ilvl w:val="3"/>
          <w:numId w:val="117"/>
        </w:numPr>
        <w:ind w:left="426" w:hanging="426"/>
        <w:rPr>
          <w:rFonts w:ascii="宋体" w:eastAsia="宋体" w:hAnsi="宋体" w:cs="宋体"/>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48605446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bookmarkStart w:id="436" w:name="_Hlk153462880"/>
      <w:r>
        <w:rPr>
          <w:rFonts w:hint="eastAsia"/>
        </w:rPr>
        <w:t>资产组或资产组组合发生变化</w:t>
      </w:r>
    </w:p>
    <w:sdt>
      <w:sdtPr>
        <w:alias w:val="是否适用：资产组或资产组组合发生变化[双击切换]"/>
        <w:tag w:val="_GBC_31d9e35c99cb43c2ad1aced4a6a40606"/>
        <w:id w:val="-12521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bookmarkStart w:id="437" w:name="_Hlk152948734"/>
      <w:bookmarkEnd w:id="436"/>
      <w:r>
        <w:rPr>
          <w:rFonts w:hint="eastAsia"/>
        </w:rPr>
        <w:t>其他说明：</w:t>
      </w:r>
    </w:p>
    <w:sdt>
      <w:sdtPr>
        <w:alias w:val="是否适用：商誉所在资产组或资产组组合的相关信息其他说明[双击切换]"/>
        <w:tag w:val="_GBC_9f9bd4d9cf084d4594694aa545981d14"/>
        <w:id w:val="85203059"/>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437"/>
    <w:p>
      <w:pPr>
        <w:pStyle w:val="affffffffffffffffffffffffffffffffe"/>
      </w:pPr>
    </w:p>
    <w:p>
      <w:pPr>
        <w:pStyle w:val="afffffffffffffffffffffffffffffffff1"/>
        <w:numPr>
          <w:ilvl w:val="3"/>
          <w:numId w:val="117"/>
        </w:numPr>
        <w:ind w:left="424" w:hangingChars="201" w:hanging="424"/>
      </w:pPr>
      <w:r>
        <w:rPr>
          <w:rFonts w:hint="eastAsia"/>
        </w:rPr>
        <w:t>可收回金额的具体确定方法</w:t>
      </w:r>
    </w:p>
    <w:p>
      <w:pPr>
        <w:pStyle w:val="affffffffffffffffffffffffffffffffe"/>
      </w:pPr>
      <w:bookmarkStart w:id="438"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86765059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e"/>
      </w:pPr>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79348347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1842694199"/>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pStyle w:val="affffffffffffffffffffffffffffffffe"/>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972539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p>
      <w:pPr>
        <w:pStyle w:val="afffffffffffffffffffffffffffffffff1"/>
        <w:numPr>
          <w:ilvl w:val="3"/>
          <w:numId w:val="117"/>
        </w:numPr>
        <w:ind w:left="426" w:hanging="426"/>
        <w:rPr>
          <w:rFonts w:ascii="宋体" w:eastAsia="宋体" w:hAnsi="宋体" w:cs="宋体"/>
          <w:kern w:val="0"/>
          <w:szCs w:val="24"/>
        </w:rPr>
      </w:pPr>
      <w:bookmarkStart w:id="439" w:name="_Hlk153463443"/>
      <w:bookmarkEnd w:id="438"/>
      <w:r>
        <w:rPr>
          <w:rFonts w:ascii="宋体" w:eastAsia="宋体" w:hAnsi="宋体" w:cs="宋体" w:hint="eastAsia"/>
          <w:kern w:val="0"/>
          <w:szCs w:val="24"/>
        </w:rPr>
        <w:t>业绩承诺及对应商誉减值情况</w:t>
      </w:r>
    </w:p>
    <w:p>
      <w:pPr>
        <w:pStyle w:val="affffffffffffffffffffffffffffffffe"/>
      </w:pPr>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170714750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bookmarkEnd w:id="439"/>
    <w:p>
      <w:pPr>
        <w:pStyle w:val="affffffffffffffffffffffffffffffffe"/>
      </w:pPr>
      <w:r>
        <w:rPr>
          <w:rFonts w:hint="eastAsia"/>
        </w:rPr>
        <w:t>其他说明：</w:t>
      </w:r>
    </w:p>
    <w:sdt>
      <w:sdtPr>
        <w:alias w:val="是否适用：商誉其他需要说明的事项[双击切换]"/>
        <w:tag w:val="_GBC_99f8ebd0cb464294bea4051ad19cf581"/>
        <w:id w:val="-440537034"/>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rFonts w:cstheme="minorBidi"/>
          <w:kern w:val="2"/>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长期待摊费用</w:t>
      </w:r>
    </w:p>
    <w:sdt>
      <w:sdtPr>
        <w:alias w:val="是否适用：长期待摊费用[双击切换]"/>
        <w:tag w:val="_GBC_cbcb541b65cd4be6b93f357c0fdd9f09"/>
        <w:id w:val="-1006739274"/>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递延所得税资产/ 递延所得税负债</w:t>
      </w:r>
    </w:p>
    <w:p>
      <w:pPr>
        <w:pStyle w:val="affffffffffffffffff7"/>
        <w:numPr>
          <w:ilvl w:val="0"/>
          <w:numId w:val="174"/>
        </w:numPr>
        <w:ind w:left="426" w:hanging="426"/>
      </w:pPr>
      <w:bookmarkStart w:id="440" w:name="_Toc215903151"/>
      <w:bookmarkStart w:id="441" w:name="_Hlk24103450"/>
      <w:bookmarkEnd w:id="440"/>
      <w:r>
        <w:rPr>
          <w:rFonts w:hint="eastAsia"/>
        </w:rPr>
        <w:t>未经抵销的递延所得税资产</w:t>
      </w:r>
    </w:p>
    <w:sdt>
      <w:sdtPr>
        <w:alias w:val="是否适用：未经抵销的递延所得税资产[双击切换]"/>
        <w:tag w:val="_GBC_ba4415ee4af24efe852073192d94c115"/>
        <w:id w:val="1895386364"/>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977597619"/>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51138218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1610"/>
        <w:gridCol w:w="1606"/>
        <w:gridCol w:w="1622"/>
        <w:gridCol w:w="1604"/>
      </w:tblGrid>
      <w:tr>
        <w:trPr>
          <w:trHeight w:val="285"/>
        </w:trPr>
        <w:sdt>
          <w:sdtPr>
            <w:tag w:val="_PLD_e006c9e7b70844cd8ef6f2cbb5161589"/>
            <w:id w:val="917286534"/>
          </w:sdtPr>
          <w:sdtContent>
            <w:tc>
              <w:tcPr>
                <w:tcW w:w="1350" w:type="pct"/>
                <w:vMerge w:val="restart"/>
                <w:shd w:val="clear" w:color="auto" w:fill="auto"/>
                <w:vAlign w:val="center"/>
              </w:tcPr>
              <w:p>
                <w:pPr>
                  <w:jc w:val="center"/>
                  <w:rPr>
                    <w:szCs w:val="21"/>
                  </w:rPr>
                </w:pPr>
                <w:r>
                  <w:rPr>
                    <w:rFonts w:hint="eastAsia"/>
                    <w:szCs w:val="21"/>
                  </w:rPr>
                  <w:t>项目</w:t>
                </w:r>
              </w:p>
            </w:tc>
          </w:sdtContent>
        </w:sdt>
        <w:sdt>
          <w:sdtPr>
            <w:tag w:val="_PLD_9380d941020241f39819205f4df8c355"/>
            <w:id w:val="-1216358578"/>
          </w:sdtPr>
          <w:sdtContent>
            <w:tc>
              <w:tcPr>
                <w:tcW w:w="1822" w:type="pct"/>
                <w:gridSpan w:val="2"/>
                <w:shd w:val="clear" w:color="auto" w:fill="auto"/>
                <w:vAlign w:val="center"/>
              </w:tcPr>
              <w:p>
                <w:pPr>
                  <w:jc w:val="center"/>
                  <w:rPr>
                    <w:szCs w:val="21"/>
                  </w:rPr>
                </w:pPr>
                <w:r>
                  <w:rPr>
                    <w:rFonts w:hint="eastAsia"/>
                    <w:szCs w:val="21"/>
                  </w:rPr>
                  <w:t>期末余额</w:t>
                </w:r>
              </w:p>
            </w:tc>
          </w:sdtContent>
        </w:sdt>
        <w:sdt>
          <w:sdtPr>
            <w:tag w:val="_PLD_40d587838e534f37a8f9a9e7e2020671"/>
            <w:id w:val="1058050261"/>
          </w:sdtPr>
          <w:sdtContent>
            <w:tc>
              <w:tcPr>
                <w:tcW w:w="1828" w:type="pct"/>
                <w:gridSpan w:val="2"/>
                <w:shd w:val="clear" w:color="auto" w:fill="auto"/>
                <w:vAlign w:val="center"/>
              </w:tcPr>
              <w:p>
                <w:pPr>
                  <w:jc w:val="center"/>
                  <w:rPr>
                    <w:szCs w:val="21"/>
                  </w:rPr>
                </w:pPr>
                <w:r>
                  <w:rPr>
                    <w:rFonts w:hint="eastAsia"/>
                    <w:szCs w:val="21"/>
                  </w:rPr>
                  <w:t>期初余额</w:t>
                </w:r>
              </w:p>
            </w:tc>
          </w:sdtContent>
        </w:sdt>
      </w:tr>
      <w:tr>
        <w:trPr>
          <w:trHeight w:val="285"/>
        </w:trPr>
        <w:tc>
          <w:tcPr>
            <w:tcW w:w="1350" w:type="pct"/>
            <w:vMerge/>
            <w:shd w:val="clear" w:color="auto" w:fill="auto"/>
            <w:vAlign w:val="center"/>
          </w:tcPr>
          <w:p>
            <w:pPr>
              <w:jc w:val="center"/>
              <w:rPr>
                <w:b/>
                <w:szCs w:val="21"/>
              </w:rPr>
            </w:pPr>
          </w:p>
        </w:tc>
        <w:sdt>
          <w:sdtPr>
            <w:tag w:val="_PLD_c239006a5e6040d58bedd94ab36e9784"/>
            <w:id w:val="-1510295126"/>
          </w:sdtPr>
          <w:sdtContent>
            <w:tc>
              <w:tcPr>
                <w:tcW w:w="912" w:type="pct"/>
                <w:shd w:val="clear" w:color="auto" w:fill="auto"/>
                <w:vAlign w:val="center"/>
              </w:tcPr>
              <w:p>
                <w:pPr>
                  <w:jc w:val="center"/>
                  <w:rPr>
                    <w:szCs w:val="21"/>
                  </w:rPr>
                </w:pPr>
                <w:r>
                  <w:rPr>
                    <w:rFonts w:hint="eastAsia"/>
                    <w:szCs w:val="21"/>
                  </w:rPr>
                  <w:t>可抵扣暂时性差异</w:t>
                </w:r>
              </w:p>
            </w:tc>
          </w:sdtContent>
        </w:sdt>
        <w:sdt>
          <w:sdtPr>
            <w:tag w:val="_PLD_1559717fc58743e19a1e868ac528fbc0"/>
            <w:id w:val="559214451"/>
          </w:sdtPr>
          <w:sdtContent>
            <w:tc>
              <w:tcPr>
                <w:tcW w:w="91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sdt>
          <w:sdtPr>
            <w:tag w:val="_PLD_de171afb73ff474dbccc47c2cec6d4f1"/>
            <w:id w:val="-1938442492"/>
          </w:sdtPr>
          <w:sdtContent>
            <w:tc>
              <w:tcPr>
                <w:tcW w:w="919" w:type="pct"/>
                <w:shd w:val="clear" w:color="auto" w:fill="auto"/>
                <w:vAlign w:val="center"/>
              </w:tcPr>
              <w:p>
                <w:pPr>
                  <w:jc w:val="center"/>
                  <w:rPr>
                    <w:szCs w:val="21"/>
                  </w:rPr>
                </w:pPr>
                <w:r>
                  <w:rPr>
                    <w:rFonts w:hint="eastAsia"/>
                    <w:szCs w:val="21"/>
                  </w:rPr>
                  <w:t>可抵扣暂时性差异</w:t>
                </w:r>
              </w:p>
            </w:tc>
          </w:sdtContent>
        </w:sdt>
        <w:sdt>
          <w:sdtPr>
            <w:tag w:val="_PLD_bafc90864e7347e5bb50ec31a5dffe05"/>
            <w:id w:val="1933247432"/>
          </w:sdtPr>
          <w:sdtContent>
            <w:tc>
              <w:tcPr>
                <w:tcW w:w="909"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tr>
      <w:tr>
        <w:trPr>
          <w:trHeight w:val="285"/>
        </w:trPr>
        <w:tc>
          <w:tcPr>
            <w:tcW w:w="1350" w:type="pct"/>
            <w:shd w:val="clear" w:color="auto" w:fill="auto"/>
            <w:vAlign w:val="center"/>
          </w:tcPr>
          <w:p>
            <w:pPr>
              <w:spacing w:line="360" w:lineRule="exact"/>
              <w:rPr>
                <w:szCs w:val="21"/>
              </w:rPr>
            </w:pPr>
            <w:r>
              <w:rPr>
                <w:rFonts w:hint="eastAsia"/>
                <w:szCs w:val="21"/>
              </w:rPr>
              <w:t>母公司及境内子公司：</w:t>
            </w:r>
          </w:p>
        </w:tc>
        <w:tc>
          <w:tcPr>
            <w:tcW w:w="912" w:type="pct"/>
            <w:shd w:val="clear" w:color="auto" w:fill="auto"/>
            <w:vAlign w:val="center"/>
          </w:tcPr>
          <w:p>
            <w:pPr>
              <w:spacing w:line="360" w:lineRule="exact"/>
              <w:jc w:val="right"/>
              <w:rPr>
                <w:szCs w:val="21"/>
              </w:rPr>
            </w:pPr>
          </w:p>
        </w:tc>
        <w:tc>
          <w:tcPr>
            <w:tcW w:w="910" w:type="pct"/>
            <w:shd w:val="clear" w:color="auto" w:fill="auto"/>
            <w:vAlign w:val="center"/>
          </w:tcPr>
          <w:p>
            <w:pPr>
              <w:spacing w:line="360" w:lineRule="exact"/>
              <w:jc w:val="right"/>
              <w:rPr>
                <w:szCs w:val="21"/>
              </w:rPr>
            </w:pPr>
          </w:p>
        </w:tc>
        <w:tc>
          <w:tcPr>
            <w:tcW w:w="919" w:type="pct"/>
            <w:shd w:val="clear" w:color="auto" w:fill="auto"/>
            <w:vAlign w:val="center"/>
          </w:tcPr>
          <w:p>
            <w:pPr>
              <w:spacing w:line="360" w:lineRule="exact"/>
              <w:jc w:val="right"/>
              <w:rPr>
                <w:szCs w:val="21"/>
              </w:rPr>
            </w:pPr>
          </w:p>
        </w:tc>
        <w:tc>
          <w:tcPr>
            <w:tcW w:w="909" w:type="pct"/>
            <w:shd w:val="clear" w:color="auto" w:fill="auto"/>
            <w:vAlign w:val="center"/>
          </w:tcPr>
          <w:p>
            <w:pPr>
              <w:spacing w:line="360" w:lineRule="exact"/>
              <w:jc w:val="right"/>
              <w:rPr>
                <w:szCs w:val="21"/>
              </w:rPr>
            </w:pPr>
          </w:p>
        </w:tc>
      </w:tr>
      <w:tr>
        <w:trPr>
          <w:trHeight w:val="285"/>
        </w:trPr>
        <w:tc>
          <w:tcPr>
            <w:tcW w:w="1350" w:type="pct"/>
            <w:shd w:val="clear" w:color="auto" w:fill="auto"/>
            <w:vAlign w:val="center"/>
          </w:tcPr>
          <w:p>
            <w:pPr>
              <w:spacing w:line="360" w:lineRule="exact"/>
              <w:rPr>
                <w:szCs w:val="21"/>
              </w:rPr>
            </w:pPr>
            <w:r>
              <w:rPr>
                <w:rFonts w:hint="eastAsia"/>
                <w:szCs w:val="21"/>
              </w:rPr>
              <w:t>弃置义务</w:t>
            </w:r>
          </w:p>
        </w:tc>
        <w:tc>
          <w:tcPr>
            <w:tcW w:w="912" w:type="pct"/>
            <w:shd w:val="clear" w:color="auto" w:fill="auto"/>
            <w:vAlign w:val="center"/>
          </w:tcPr>
          <w:p>
            <w:pPr>
              <w:spacing w:line="360" w:lineRule="exact"/>
              <w:jc w:val="right"/>
              <w:rPr>
                <w:szCs w:val="21"/>
              </w:rPr>
            </w:pPr>
            <w:r>
              <w:rPr>
                <w:szCs w:val="21"/>
              </w:rPr>
              <w:t>5,869,508</w:t>
            </w:r>
          </w:p>
        </w:tc>
        <w:tc>
          <w:tcPr>
            <w:tcW w:w="910" w:type="pct"/>
            <w:shd w:val="clear" w:color="auto" w:fill="auto"/>
            <w:vAlign w:val="center"/>
          </w:tcPr>
          <w:p>
            <w:pPr>
              <w:spacing w:line="360" w:lineRule="exact"/>
              <w:jc w:val="right"/>
              <w:rPr>
                <w:szCs w:val="21"/>
              </w:rPr>
            </w:pPr>
            <w:r>
              <w:rPr>
                <w:szCs w:val="21"/>
              </w:rPr>
              <w:t>1,390,363</w:t>
            </w:r>
          </w:p>
        </w:tc>
        <w:tc>
          <w:tcPr>
            <w:tcW w:w="919" w:type="pct"/>
            <w:shd w:val="clear" w:color="auto" w:fill="auto"/>
            <w:vAlign w:val="center"/>
          </w:tcPr>
          <w:p>
            <w:pPr>
              <w:spacing w:line="360" w:lineRule="exact"/>
              <w:jc w:val="right"/>
              <w:rPr>
                <w:szCs w:val="21"/>
              </w:rPr>
            </w:pPr>
            <w:r>
              <w:rPr>
                <w:szCs w:val="21"/>
              </w:rPr>
              <w:t>6,801,271</w:t>
            </w:r>
          </w:p>
        </w:tc>
        <w:tc>
          <w:tcPr>
            <w:tcW w:w="909" w:type="pct"/>
            <w:shd w:val="clear" w:color="auto" w:fill="auto"/>
            <w:vAlign w:val="center"/>
          </w:tcPr>
          <w:p>
            <w:pPr>
              <w:spacing w:line="360" w:lineRule="exact"/>
              <w:jc w:val="right"/>
              <w:rPr>
                <w:szCs w:val="21"/>
              </w:rPr>
            </w:pPr>
            <w:r>
              <w:rPr>
                <w:szCs w:val="21"/>
              </w:rPr>
              <w:t>1,630,302</w:t>
            </w:r>
          </w:p>
        </w:tc>
      </w:tr>
      <w:tr>
        <w:trPr>
          <w:trHeight w:val="285"/>
        </w:trPr>
        <w:tc>
          <w:tcPr>
            <w:tcW w:w="1350" w:type="pct"/>
            <w:tcBorders>
              <w:bottom w:val="single" w:sz="4" w:space="0" w:color="auto"/>
            </w:tcBorders>
            <w:shd w:val="clear" w:color="auto" w:fill="auto"/>
            <w:vAlign w:val="center"/>
          </w:tcPr>
          <w:p>
            <w:pPr>
              <w:spacing w:line="360" w:lineRule="exact"/>
              <w:rPr>
                <w:szCs w:val="21"/>
              </w:rPr>
            </w:pPr>
            <w:r>
              <w:rPr>
                <w:rFonts w:hint="eastAsia"/>
                <w:szCs w:val="21"/>
              </w:rPr>
              <w:t>未弥补亏损</w:t>
            </w:r>
          </w:p>
        </w:tc>
        <w:tc>
          <w:tcPr>
            <w:tcW w:w="912" w:type="pct"/>
            <w:shd w:val="clear" w:color="auto" w:fill="auto"/>
            <w:vAlign w:val="center"/>
          </w:tcPr>
          <w:p>
            <w:pPr>
              <w:spacing w:line="360" w:lineRule="exact"/>
              <w:jc w:val="right"/>
              <w:rPr>
                <w:szCs w:val="21"/>
              </w:rPr>
            </w:pPr>
            <w:r>
              <w:rPr>
                <w:szCs w:val="21"/>
              </w:rPr>
              <w:t>5,255,644</w:t>
            </w:r>
          </w:p>
        </w:tc>
        <w:tc>
          <w:tcPr>
            <w:tcW w:w="910" w:type="pct"/>
            <w:shd w:val="clear" w:color="auto" w:fill="auto"/>
            <w:vAlign w:val="center"/>
          </w:tcPr>
          <w:p>
            <w:pPr>
              <w:spacing w:line="360" w:lineRule="exact"/>
              <w:jc w:val="right"/>
              <w:rPr>
                <w:szCs w:val="21"/>
              </w:rPr>
            </w:pPr>
            <w:r>
              <w:rPr>
                <w:szCs w:val="21"/>
              </w:rPr>
              <w:t>1,181,837</w:t>
            </w:r>
          </w:p>
        </w:tc>
        <w:tc>
          <w:tcPr>
            <w:tcW w:w="919" w:type="pct"/>
            <w:shd w:val="clear" w:color="auto" w:fill="auto"/>
            <w:vAlign w:val="center"/>
          </w:tcPr>
          <w:p>
            <w:pPr>
              <w:spacing w:line="360" w:lineRule="exact"/>
              <w:jc w:val="right"/>
              <w:rPr>
                <w:szCs w:val="21"/>
              </w:rPr>
            </w:pPr>
            <w:r>
              <w:rPr>
                <w:szCs w:val="21"/>
              </w:rPr>
              <w:t>6,360,199</w:t>
            </w:r>
          </w:p>
        </w:tc>
        <w:tc>
          <w:tcPr>
            <w:tcW w:w="909" w:type="pct"/>
            <w:shd w:val="clear" w:color="auto" w:fill="auto"/>
            <w:vAlign w:val="center"/>
          </w:tcPr>
          <w:p>
            <w:pPr>
              <w:spacing w:line="360" w:lineRule="exact"/>
              <w:jc w:val="right"/>
              <w:rPr>
                <w:szCs w:val="21"/>
              </w:rPr>
            </w:pPr>
            <w:r>
              <w:rPr>
                <w:szCs w:val="21"/>
              </w:rPr>
              <w:t>1,329,065</w:t>
            </w:r>
          </w:p>
        </w:tc>
      </w:tr>
      <w:tr>
        <w:trPr>
          <w:trHeight w:val="285"/>
        </w:trPr>
        <w:tc>
          <w:tcPr>
            <w:tcW w:w="1350" w:type="pct"/>
            <w:shd w:val="clear" w:color="auto" w:fill="auto"/>
            <w:vAlign w:val="center"/>
          </w:tcPr>
          <w:p>
            <w:pPr>
              <w:spacing w:line="360" w:lineRule="exact"/>
              <w:rPr>
                <w:szCs w:val="21"/>
              </w:rPr>
            </w:pPr>
            <w:r>
              <w:rPr>
                <w:rFonts w:hint="eastAsia"/>
                <w:szCs w:val="21"/>
              </w:rPr>
              <w:t>土地塌陷、复原、重整及环保费</w:t>
            </w:r>
          </w:p>
        </w:tc>
        <w:tc>
          <w:tcPr>
            <w:tcW w:w="912" w:type="pct"/>
            <w:shd w:val="clear" w:color="auto" w:fill="auto"/>
            <w:vAlign w:val="center"/>
          </w:tcPr>
          <w:p>
            <w:pPr>
              <w:spacing w:line="360" w:lineRule="exact"/>
              <w:jc w:val="right"/>
              <w:rPr>
                <w:szCs w:val="21"/>
              </w:rPr>
            </w:pPr>
            <w:r>
              <w:rPr>
                <w:szCs w:val="21"/>
              </w:rPr>
              <w:t>2,767,763</w:t>
            </w:r>
          </w:p>
        </w:tc>
        <w:tc>
          <w:tcPr>
            <w:tcW w:w="910" w:type="pct"/>
            <w:shd w:val="clear" w:color="auto" w:fill="auto"/>
            <w:vAlign w:val="center"/>
          </w:tcPr>
          <w:p>
            <w:pPr>
              <w:spacing w:line="360" w:lineRule="exact"/>
              <w:jc w:val="right"/>
              <w:rPr>
                <w:szCs w:val="21"/>
              </w:rPr>
            </w:pPr>
            <w:r>
              <w:rPr>
                <w:szCs w:val="21"/>
              </w:rPr>
              <w:t>605,374</w:t>
            </w:r>
          </w:p>
        </w:tc>
        <w:tc>
          <w:tcPr>
            <w:tcW w:w="919" w:type="pct"/>
            <w:shd w:val="clear" w:color="auto" w:fill="auto"/>
            <w:vAlign w:val="center"/>
          </w:tcPr>
          <w:p>
            <w:pPr>
              <w:spacing w:line="360" w:lineRule="exact"/>
              <w:jc w:val="right"/>
              <w:rPr>
                <w:szCs w:val="21"/>
              </w:rPr>
            </w:pPr>
            <w:r>
              <w:rPr>
                <w:szCs w:val="21"/>
              </w:rPr>
              <w:t>3,090,489</w:t>
            </w:r>
          </w:p>
        </w:tc>
        <w:tc>
          <w:tcPr>
            <w:tcW w:w="909" w:type="pct"/>
            <w:shd w:val="clear" w:color="auto" w:fill="auto"/>
            <w:vAlign w:val="center"/>
          </w:tcPr>
          <w:p>
            <w:pPr>
              <w:spacing w:line="360" w:lineRule="exact"/>
              <w:jc w:val="right"/>
              <w:rPr>
                <w:szCs w:val="21"/>
              </w:rPr>
            </w:pPr>
            <w:r>
              <w:rPr>
                <w:szCs w:val="21"/>
              </w:rPr>
              <w:t>684,945</w:t>
            </w:r>
          </w:p>
        </w:tc>
      </w:tr>
      <w:tr>
        <w:trPr>
          <w:trHeight w:val="285"/>
        </w:trPr>
        <w:tc>
          <w:tcPr>
            <w:tcW w:w="1350" w:type="pct"/>
            <w:shd w:val="clear" w:color="auto" w:fill="auto"/>
            <w:vAlign w:val="center"/>
          </w:tcPr>
          <w:p>
            <w:pPr>
              <w:spacing w:line="360" w:lineRule="exact"/>
              <w:rPr>
                <w:szCs w:val="21"/>
              </w:rPr>
            </w:pPr>
            <w:r>
              <w:rPr>
                <w:rFonts w:hint="eastAsia"/>
                <w:szCs w:val="21"/>
              </w:rPr>
              <w:t>资产减值准备</w:t>
            </w:r>
          </w:p>
        </w:tc>
        <w:tc>
          <w:tcPr>
            <w:tcW w:w="912" w:type="pct"/>
            <w:shd w:val="clear" w:color="auto" w:fill="auto"/>
            <w:vAlign w:val="center"/>
          </w:tcPr>
          <w:p>
            <w:pPr>
              <w:spacing w:line="360" w:lineRule="exact"/>
              <w:jc w:val="right"/>
              <w:rPr>
                <w:szCs w:val="21"/>
              </w:rPr>
            </w:pPr>
            <w:r>
              <w:rPr>
                <w:szCs w:val="21"/>
              </w:rPr>
              <w:t>1,736,856</w:t>
            </w:r>
          </w:p>
        </w:tc>
        <w:tc>
          <w:tcPr>
            <w:tcW w:w="910" w:type="pct"/>
            <w:shd w:val="clear" w:color="auto" w:fill="auto"/>
            <w:vAlign w:val="center"/>
          </w:tcPr>
          <w:p>
            <w:pPr>
              <w:spacing w:line="360" w:lineRule="exact"/>
              <w:jc w:val="right"/>
              <w:rPr>
                <w:szCs w:val="21"/>
              </w:rPr>
            </w:pPr>
            <w:r>
              <w:rPr>
                <w:szCs w:val="21"/>
              </w:rPr>
              <w:t>413,805</w:t>
            </w:r>
          </w:p>
        </w:tc>
        <w:tc>
          <w:tcPr>
            <w:tcW w:w="919" w:type="pct"/>
            <w:shd w:val="clear" w:color="auto" w:fill="auto"/>
            <w:vAlign w:val="center"/>
          </w:tcPr>
          <w:p>
            <w:pPr>
              <w:spacing w:line="360" w:lineRule="exact"/>
              <w:jc w:val="right"/>
              <w:rPr>
                <w:szCs w:val="21"/>
              </w:rPr>
            </w:pPr>
            <w:r>
              <w:rPr>
                <w:szCs w:val="21"/>
              </w:rPr>
              <w:t>2,084,303</w:t>
            </w:r>
          </w:p>
        </w:tc>
        <w:tc>
          <w:tcPr>
            <w:tcW w:w="909" w:type="pct"/>
            <w:shd w:val="clear" w:color="auto" w:fill="auto"/>
            <w:vAlign w:val="center"/>
          </w:tcPr>
          <w:p>
            <w:pPr>
              <w:spacing w:line="360" w:lineRule="exact"/>
              <w:jc w:val="right"/>
              <w:rPr>
                <w:szCs w:val="21"/>
              </w:rPr>
            </w:pPr>
            <w:r>
              <w:rPr>
                <w:szCs w:val="21"/>
              </w:rPr>
              <w:t>465,716</w:t>
            </w:r>
          </w:p>
        </w:tc>
      </w:tr>
      <w:tr>
        <w:trPr>
          <w:trHeight w:val="285"/>
        </w:trPr>
        <w:tc>
          <w:tcPr>
            <w:tcW w:w="1350" w:type="pct"/>
            <w:shd w:val="clear" w:color="auto" w:fill="auto"/>
            <w:vAlign w:val="center"/>
          </w:tcPr>
          <w:p>
            <w:pPr>
              <w:spacing w:line="360" w:lineRule="exact"/>
              <w:rPr>
                <w:szCs w:val="21"/>
              </w:rPr>
            </w:pPr>
            <w:r>
              <w:rPr>
                <w:rFonts w:hint="eastAsia"/>
                <w:szCs w:val="21"/>
              </w:rPr>
              <w:t>采矿权出让收益</w:t>
            </w:r>
          </w:p>
        </w:tc>
        <w:tc>
          <w:tcPr>
            <w:tcW w:w="912" w:type="pct"/>
            <w:shd w:val="clear" w:color="auto" w:fill="auto"/>
            <w:vAlign w:val="center"/>
          </w:tcPr>
          <w:p>
            <w:pPr>
              <w:spacing w:line="360" w:lineRule="exact"/>
              <w:jc w:val="right"/>
              <w:rPr>
                <w:szCs w:val="21"/>
              </w:rPr>
            </w:pPr>
            <w:r>
              <w:rPr>
                <w:szCs w:val="21"/>
              </w:rPr>
              <w:t>1,845,177</w:t>
            </w:r>
          </w:p>
        </w:tc>
        <w:tc>
          <w:tcPr>
            <w:tcW w:w="910" w:type="pct"/>
            <w:shd w:val="clear" w:color="auto" w:fill="auto"/>
            <w:vAlign w:val="center"/>
          </w:tcPr>
          <w:p>
            <w:pPr>
              <w:spacing w:line="360" w:lineRule="exact"/>
              <w:jc w:val="right"/>
              <w:rPr>
                <w:szCs w:val="21"/>
              </w:rPr>
            </w:pPr>
            <w:r>
              <w:rPr>
                <w:szCs w:val="21"/>
              </w:rPr>
              <w:t>447,348</w:t>
            </w:r>
          </w:p>
        </w:tc>
        <w:tc>
          <w:tcPr>
            <w:tcW w:w="919" w:type="pct"/>
            <w:shd w:val="clear" w:color="auto" w:fill="auto"/>
            <w:vAlign w:val="center"/>
          </w:tcPr>
          <w:p>
            <w:pPr>
              <w:spacing w:line="360" w:lineRule="exact"/>
              <w:jc w:val="right"/>
              <w:rPr>
                <w:szCs w:val="21"/>
              </w:rPr>
            </w:pPr>
            <w:r>
              <w:rPr>
                <w:szCs w:val="21"/>
              </w:rPr>
              <w:t>1,638,642</w:t>
            </w:r>
          </w:p>
        </w:tc>
        <w:tc>
          <w:tcPr>
            <w:tcW w:w="909" w:type="pct"/>
            <w:shd w:val="clear" w:color="auto" w:fill="auto"/>
            <w:vAlign w:val="center"/>
          </w:tcPr>
          <w:p>
            <w:pPr>
              <w:spacing w:line="360" w:lineRule="exact"/>
              <w:jc w:val="right"/>
              <w:rPr>
                <w:szCs w:val="21"/>
              </w:rPr>
            </w:pPr>
            <w:r>
              <w:rPr>
                <w:szCs w:val="21"/>
              </w:rPr>
              <w:t>397,815</w:t>
            </w:r>
          </w:p>
        </w:tc>
      </w:tr>
      <w:tr>
        <w:trPr>
          <w:trHeight w:val="285"/>
        </w:trPr>
        <w:tc>
          <w:tcPr>
            <w:tcW w:w="1350" w:type="pct"/>
            <w:shd w:val="clear" w:color="auto" w:fill="auto"/>
            <w:vAlign w:val="center"/>
          </w:tcPr>
          <w:p>
            <w:pPr>
              <w:spacing w:line="360" w:lineRule="exact"/>
              <w:rPr>
                <w:szCs w:val="21"/>
              </w:rPr>
            </w:pPr>
            <w:r>
              <w:rPr>
                <w:rFonts w:hint="eastAsia"/>
                <w:szCs w:val="21"/>
              </w:rPr>
              <w:t>固定资产折旧差异</w:t>
            </w:r>
          </w:p>
        </w:tc>
        <w:tc>
          <w:tcPr>
            <w:tcW w:w="912" w:type="pct"/>
            <w:shd w:val="clear" w:color="auto" w:fill="auto"/>
            <w:vAlign w:val="center"/>
          </w:tcPr>
          <w:p>
            <w:pPr>
              <w:spacing w:line="360" w:lineRule="exact"/>
              <w:jc w:val="right"/>
              <w:rPr>
                <w:szCs w:val="21"/>
              </w:rPr>
            </w:pPr>
            <w:r>
              <w:rPr>
                <w:szCs w:val="21"/>
              </w:rPr>
              <w:t>1,241,665</w:t>
            </w:r>
          </w:p>
        </w:tc>
        <w:tc>
          <w:tcPr>
            <w:tcW w:w="910" w:type="pct"/>
            <w:shd w:val="clear" w:color="auto" w:fill="auto"/>
            <w:vAlign w:val="center"/>
          </w:tcPr>
          <w:p>
            <w:pPr>
              <w:spacing w:line="360" w:lineRule="exact"/>
              <w:jc w:val="right"/>
              <w:rPr>
                <w:szCs w:val="21"/>
              </w:rPr>
            </w:pPr>
            <w:r>
              <w:rPr>
                <w:szCs w:val="21"/>
              </w:rPr>
              <w:t>310,558</w:t>
            </w:r>
          </w:p>
        </w:tc>
        <w:tc>
          <w:tcPr>
            <w:tcW w:w="919" w:type="pct"/>
            <w:shd w:val="clear" w:color="auto" w:fill="auto"/>
            <w:vAlign w:val="center"/>
          </w:tcPr>
          <w:p>
            <w:pPr>
              <w:spacing w:line="360" w:lineRule="exact"/>
              <w:jc w:val="right"/>
              <w:rPr>
                <w:szCs w:val="21"/>
              </w:rPr>
            </w:pPr>
            <w:r>
              <w:rPr>
                <w:szCs w:val="21"/>
              </w:rPr>
              <w:t>1,292,891</w:t>
            </w:r>
          </w:p>
        </w:tc>
        <w:tc>
          <w:tcPr>
            <w:tcW w:w="909" w:type="pct"/>
            <w:shd w:val="clear" w:color="auto" w:fill="auto"/>
            <w:vAlign w:val="center"/>
          </w:tcPr>
          <w:p>
            <w:pPr>
              <w:spacing w:line="360" w:lineRule="exact"/>
              <w:jc w:val="right"/>
              <w:rPr>
                <w:szCs w:val="21"/>
              </w:rPr>
            </w:pPr>
            <w:r>
              <w:rPr>
                <w:szCs w:val="21"/>
              </w:rPr>
              <w:t>322,581</w:t>
            </w:r>
          </w:p>
        </w:tc>
      </w:tr>
      <w:tr>
        <w:trPr>
          <w:trHeight w:val="285"/>
        </w:trPr>
        <w:tc>
          <w:tcPr>
            <w:tcW w:w="1350" w:type="pct"/>
            <w:shd w:val="clear" w:color="auto" w:fill="auto"/>
            <w:vAlign w:val="center"/>
          </w:tcPr>
          <w:p>
            <w:pPr>
              <w:spacing w:line="360" w:lineRule="exact"/>
              <w:rPr>
                <w:szCs w:val="21"/>
              </w:rPr>
            </w:pPr>
            <w:r>
              <w:rPr>
                <w:rFonts w:hint="eastAsia"/>
                <w:szCs w:val="21"/>
              </w:rPr>
              <w:t>维简费、发展基金</w:t>
            </w:r>
          </w:p>
        </w:tc>
        <w:tc>
          <w:tcPr>
            <w:tcW w:w="912" w:type="pct"/>
            <w:shd w:val="clear" w:color="auto" w:fill="auto"/>
            <w:vAlign w:val="center"/>
          </w:tcPr>
          <w:p>
            <w:pPr>
              <w:spacing w:line="360" w:lineRule="exact"/>
              <w:jc w:val="right"/>
              <w:rPr>
                <w:szCs w:val="21"/>
              </w:rPr>
            </w:pPr>
            <w:r>
              <w:rPr>
                <w:szCs w:val="21"/>
              </w:rPr>
              <w:t>834,594</w:t>
            </w:r>
          </w:p>
        </w:tc>
        <w:tc>
          <w:tcPr>
            <w:tcW w:w="910" w:type="pct"/>
            <w:shd w:val="clear" w:color="auto" w:fill="auto"/>
            <w:vAlign w:val="center"/>
          </w:tcPr>
          <w:p>
            <w:pPr>
              <w:spacing w:line="360" w:lineRule="exact"/>
              <w:jc w:val="right"/>
              <w:rPr>
                <w:szCs w:val="21"/>
              </w:rPr>
            </w:pPr>
            <w:r>
              <w:rPr>
                <w:szCs w:val="21"/>
              </w:rPr>
              <w:t>201,758</w:t>
            </w:r>
          </w:p>
        </w:tc>
        <w:tc>
          <w:tcPr>
            <w:tcW w:w="919" w:type="pct"/>
            <w:shd w:val="clear" w:color="auto" w:fill="auto"/>
            <w:vAlign w:val="center"/>
          </w:tcPr>
          <w:p>
            <w:pPr>
              <w:spacing w:line="360" w:lineRule="exact"/>
              <w:jc w:val="right"/>
              <w:rPr>
                <w:szCs w:val="21"/>
              </w:rPr>
            </w:pPr>
            <w:r>
              <w:rPr>
                <w:szCs w:val="21"/>
              </w:rPr>
              <w:t>1,031,618</w:t>
            </w:r>
          </w:p>
        </w:tc>
        <w:tc>
          <w:tcPr>
            <w:tcW w:w="909" w:type="pct"/>
            <w:shd w:val="clear" w:color="auto" w:fill="auto"/>
            <w:vAlign w:val="center"/>
          </w:tcPr>
          <w:p>
            <w:pPr>
              <w:spacing w:line="360" w:lineRule="exact"/>
              <w:jc w:val="right"/>
              <w:rPr>
                <w:szCs w:val="21"/>
              </w:rPr>
            </w:pPr>
            <w:r>
              <w:rPr>
                <w:szCs w:val="21"/>
              </w:rPr>
              <w:t>243,847</w:t>
            </w:r>
          </w:p>
        </w:tc>
      </w:tr>
      <w:tr>
        <w:trPr>
          <w:trHeight w:val="285"/>
        </w:trPr>
        <w:tc>
          <w:tcPr>
            <w:tcW w:w="1350" w:type="pct"/>
            <w:shd w:val="clear" w:color="auto" w:fill="auto"/>
            <w:vAlign w:val="center"/>
          </w:tcPr>
          <w:p>
            <w:pPr>
              <w:spacing w:line="360" w:lineRule="exact"/>
              <w:rPr>
                <w:szCs w:val="21"/>
              </w:rPr>
            </w:pPr>
            <w:r>
              <w:rPr>
                <w:rFonts w:hint="eastAsia"/>
                <w:szCs w:val="21"/>
              </w:rPr>
              <w:t>固定资产清理</w:t>
            </w:r>
          </w:p>
        </w:tc>
        <w:tc>
          <w:tcPr>
            <w:tcW w:w="912" w:type="pct"/>
            <w:shd w:val="clear" w:color="auto" w:fill="auto"/>
            <w:vAlign w:val="center"/>
          </w:tcPr>
          <w:p>
            <w:pPr>
              <w:spacing w:line="360" w:lineRule="exact"/>
              <w:jc w:val="right"/>
              <w:rPr>
                <w:szCs w:val="21"/>
              </w:rPr>
            </w:pPr>
            <w:r>
              <w:rPr>
                <w:szCs w:val="21"/>
              </w:rPr>
              <w:t>549,846</w:t>
            </w:r>
          </w:p>
        </w:tc>
        <w:tc>
          <w:tcPr>
            <w:tcW w:w="910" w:type="pct"/>
            <w:shd w:val="clear" w:color="auto" w:fill="auto"/>
            <w:vAlign w:val="center"/>
          </w:tcPr>
          <w:p>
            <w:pPr>
              <w:spacing w:line="360" w:lineRule="exact"/>
              <w:jc w:val="right"/>
              <w:rPr>
                <w:szCs w:val="21"/>
              </w:rPr>
            </w:pPr>
            <w:r>
              <w:rPr>
                <w:szCs w:val="21"/>
              </w:rPr>
              <w:t>137,462</w:t>
            </w:r>
          </w:p>
        </w:tc>
        <w:tc>
          <w:tcPr>
            <w:tcW w:w="919" w:type="pct"/>
            <w:shd w:val="clear" w:color="auto" w:fill="auto"/>
            <w:vAlign w:val="center"/>
          </w:tcPr>
          <w:p>
            <w:pPr>
              <w:spacing w:line="360" w:lineRule="exact"/>
              <w:jc w:val="right"/>
              <w:rPr>
                <w:szCs w:val="21"/>
              </w:rPr>
            </w:pPr>
            <w:r>
              <w:rPr>
                <w:szCs w:val="21"/>
              </w:rPr>
              <w:t>800,613</w:t>
            </w:r>
          </w:p>
        </w:tc>
        <w:tc>
          <w:tcPr>
            <w:tcW w:w="909" w:type="pct"/>
            <w:shd w:val="clear" w:color="auto" w:fill="auto"/>
            <w:vAlign w:val="center"/>
          </w:tcPr>
          <w:p>
            <w:pPr>
              <w:spacing w:line="360" w:lineRule="exact"/>
              <w:jc w:val="right"/>
              <w:rPr>
                <w:szCs w:val="21"/>
              </w:rPr>
            </w:pPr>
            <w:r>
              <w:rPr>
                <w:szCs w:val="21"/>
              </w:rPr>
              <w:t>200,153</w:t>
            </w:r>
          </w:p>
        </w:tc>
      </w:tr>
      <w:tr>
        <w:trPr>
          <w:trHeight w:val="285"/>
        </w:trPr>
        <w:tc>
          <w:tcPr>
            <w:tcW w:w="1350" w:type="pct"/>
            <w:shd w:val="clear" w:color="auto" w:fill="auto"/>
            <w:vAlign w:val="center"/>
          </w:tcPr>
          <w:p>
            <w:pPr>
              <w:spacing w:line="360" w:lineRule="exact"/>
              <w:rPr>
                <w:szCs w:val="21"/>
              </w:rPr>
            </w:pPr>
            <w:r>
              <w:rPr>
                <w:rFonts w:hint="eastAsia"/>
                <w:szCs w:val="21"/>
              </w:rPr>
              <w:t>已计提未支付的工资、保险</w:t>
            </w:r>
          </w:p>
        </w:tc>
        <w:tc>
          <w:tcPr>
            <w:tcW w:w="912" w:type="pct"/>
            <w:shd w:val="clear" w:color="auto" w:fill="auto"/>
            <w:vAlign w:val="center"/>
          </w:tcPr>
          <w:p>
            <w:pPr>
              <w:spacing w:line="360" w:lineRule="exact"/>
              <w:jc w:val="right"/>
              <w:rPr>
                <w:szCs w:val="21"/>
              </w:rPr>
            </w:pPr>
            <w:r>
              <w:rPr>
                <w:szCs w:val="21"/>
              </w:rPr>
              <w:t>172,310</w:t>
            </w:r>
          </w:p>
        </w:tc>
        <w:tc>
          <w:tcPr>
            <w:tcW w:w="910" w:type="pct"/>
            <w:shd w:val="clear" w:color="auto" w:fill="auto"/>
            <w:vAlign w:val="center"/>
          </w:tcPr>
          <w:p>
            <w:pPr>
              <w:spacing w:line="360" w:lineRule="exact"/>
              <w:jc w:val="right"/>
              <w:rPr>
                <w:szCs w:val="21"/>
              </w:rPr>
            </w:pPr>
            <w:r>
              <w:rPr>
                <w:szCs w:val="21"/>
              </w:rPr>
              <w:t>42,233</w:t>
            </w:r>
          </w:p>
        </w:tc>
        <w:tc>
          <w:tcPr>
            <w:tcW w:w="919" w:type="pct"/>
            <w:shd w:val="clear" w:color="auto" w:fill="auto"/>
            <w:vAlign w:val="center"/>
          </w:tcPr>
          <w:p>
            <w:pPr>
              <w:spacing w:line="360" w:lineRule="exact"/>
              <w:jc w:val="right"/>
              <w:rPr>
                <w:szCs w:val="21"/>
              </w:rPr>
            </w:pPr>
            <w:r>
              <w:rPr>
                <w:szCs w:val="21"/>
              </w:rPr>
              <w:t>355,762</w:t>
            </w:r>
          </w:p>
        </w:tc>
        <w:tc>
          <w:tcPr>
            <w:tcW w:w="909" w:type="pct"/>
            <w:shd w:val="clear" w:color="auto" w:fill="auto"/>
            <w:vAlign w:val="center"/>
          </w:tcPr>
          <w:p>
            <w:pPr>
              <w:spacing w:line="360" w:lineRule="exact"/>
              <w:jc w:val="right"/>
              <w:rPr>
                <w:szCs w:val="21"/>
              </w:rPr>
            </w:pPr>
            <w:r>
              <w:rPr>
                <w:szCs w:val="21"/>
              </w:rPr>
              <w:t>87,844</w:t>
            </w:r>
          </w:p>
        </w:tc>
      </w:tr>
      <w:tr>
        <w:trPr>
          <w:trHeight w:val="285"/>
        </w:trPr>
        <w:tc>
          <w:tcPr>
            <w:tcW w:w="1350" w:type="pct"/>
            <w:shd w:val="clear" w:color="auto" w:fill="auto"/>
            <w:vAlign w:val="center"/>
          </w:tcPr>
          <w:p>
            <w:pPr>
              <w:spacing w:line="360" w:lineRule="exact"/>
              <w:rPr>
                <w:szCs w:val="21"/>
              </w:rPr>
            </w:pPr>
            <w:r>
              <w:rPr>
                <w:rFonts w:hint="eastAsia"/>
                <w:szCs w:val="21"/>
              </w:rPr>
              <w:t>无形资产摊销差异</w:t>
            </w:r>
          </w:p>
        </w:tc>
        <w:tc>
          <w:tcPr>
            <w:tcW w:w="912" w:type="pct"/>
            <w:shd w:val="clear" w:color="auto" w:fill="auto"/>
            <w:vAlign w:val="center"/>
          </w:tcPr>
          <w:p>
            <w:pPr>
              <w:spacing w:line="360" w:lineRule="exact"/>
              <w:jc w:val="right"/>
              <w:rPr>
                <w:szCs w:val="21"/>
              </w:rPr>
            </w:pPr>
            <w:r>
              <w:rPr>
                <w:szCs w:val="21"/>
              </w:rPr>
              <w:t>148,142</w:t>
            </w:r>
          </w:p>
        </w:tc>
        <w:tc>
          <w:tcPr>
            <w:tcW w:w="910" w:type="pct"/>
            <w:shd w:val="clear" w:color="auto" w:fill="auto"/>
            <w:vAlign w:val="center"/>
          </w:tcPr>
          <w:p>
            <w:pPr>
              <w:spacing w:line="360" w:lineRule="exact"/>
              <w:jc w:val="right"/>
              <w:rPr>
                <w:szCs w:val="21"/>
              </w:rPr>
            </w:pPr>
            <w:r>
              <w:rPr>
                <w:szCs w:val="21"/>
              </w:rPr>
              <w:t>37,035</w:t>
            </w:r>
          </w:p>
        </w:tc>
        <w:tc>
          <w:tcPr>
            <w:tcW w:w="919" w:type="pct"/>
            <w:shd w:val="clear" w:color="auto" w:fill="auto"/>
            <w:vAlign w:val="center"/>
          </w:tcPr>
          <w:p>
            <w:pPr>
              <w:spacing w:line="360" w:lineRule="exact"/>
              <w:jc w:val="right"/>
              <w:rPr>
                <w:szCs w:val="21"/>
              </w:rPr>
            </w:pPr>
            <w:r>
              <w:rPr>
                <w:szCs w:val="21"/>
              </w:rPr>
              <w:t>205,969</w:t>
            </w:r>
          </w:p>
        </w:tc>
        <w:tc>
          <w:tcPr>
            <w:tcW w:w="909" w:type="pct"/>
            <w:shd w:val="clear" w:color="auto" w:fill="auto"/>
            <w:vAlign w:val="center"/>
          </w:tcPr>
          <w:p>
            <w:pPr>
              <w:spacing w:line="360" w:lineRule="exact"/>
              <w:jc w:val="right"/>
              <w:rPr>
                <w:szCs w:val="21"/>
              </w:rPr>
            </w:pPr>
            <w:r>
              <w:rPr>
                <w:szCs w:val="21"/>
              </w:rPr>
              <w:t>51,492</w:t>
            </w:r>
          </w:p>
        </w:tc>
      </w:tr>
      <w:tr>
        <w:trPr>
          <w:trHeight w:val="285"/>
        </w:trPr>
        <w:tc>
          <w:tcPr>
            <w:tcW w:w="1350" w:type="pct"/>
            <w:shd w:val="clear" w:color="auto" w:fill="auto"/>
            <w:vAlign w:val="center"/>
          </w:tcPr>
          <w:p>
            <w:pPr>
              <w:spacing w:line="360" w:lineRule="exact"/>
              <w:rPr>
                <w:szCs w:val="21"/>
              </w:rPr>
            </w:pPr>
            <w:r>
              <w:rPr>
                <w:rFonts w:hint="eastAsia"/>
                <w:szCs w:val="21"/>
              </w:rPr>
              <w:t>递延收益</w:t>
            </w:r>
          </w:p>
        </w:tc>
        <w:tc>
          <w:tcPr>
            <w:tcW w:w="912" w:type="pct"/>
            <w:shd w:val="clear" w:color="auto" w:fill="auto"/>
            <w:vAlign w:val="center"/>
          </w:tcPr>
          <w:p>
            <w:pPr>
              <w:spacing w:line="360" w:lineRule="exact"/>
              <w:jc w:val="right"/>
              <w:rPr>
                <w:szCs w:val="21"/>
              </w:rPr>
            </w:pPr>
            <w:r>
              <w:rPr>
                <w:szCs w:val="21"/>
              </w:rPr>
              <w:t>277,255</w:t>
            </w:r>
          </w:p>
        </w:tc>
        <w:tc>
          <w:tcPr>
            <w:tcW w:w="910" w:type="pct"/>
            <w:shd w:val="clear" w:color="auto" w:fill="auto"/>
            <w:vAlign w:val="center"/>
          </w:tcPr>
          <w:p>
            <w:pPr>
              <w:spacing w:line="360" w:lineRule="exact"/>
              <w:jc w:val="right"/>
              <w:rPr>
                <w:szCs w:val="21"/>
              </w:rPr>
            </w:pPr>
            <w:r>
              <w:rPr>
                <w:szCs w:val="21"/>
              </w:rPr>
              <w:t>60,780</w:t>
            </w:r>
          </w:p>
        </w:tc>
        <w:tc>
          <w:tcPr>
            <w:tcW w:w="919" w:type="pct"/>
            <w:shd w:val="clear" w:color="auto" w:fill="auto"/>
            <w:vAlign w:val="center"/>
          </w:tcPr>
          <w:p>
            <w:pPr>
              <w:spacing w:line="360" w:lineRule="exact"/>
              <w:jc w:val="right"/>
              <w:rPr>
                <w:szCs w:val="21"/>
              </w:rPr>
            </w:pPr>
            <w:r>
              <w:rPr>
                <w:szCs w:val="21"/>
              </w:rPr>
              <w:t>197,423</w:t>
            </w:r>
          </w:p>
        </w:tc>
        <w:tc>
          <w:tcPr>
            <w:tcW w:w="909" w:type="pct"/>
            <w:shd w:val="clear" w:color="auto" w:fill="auto"/>
            <w:vAlign w:val="center"/>
          </w:tcPr>
          <w:p>
            <w:pPr>
              <w:spacing w:line="360" w:lineRule="exact"/>
              <w:jc w:val="right"/>
              <w:rPr>
                <w:szCs w:val="21"/>
              </w:rPr>
            </w:pPr>
            <w:r>
              <w:rPr>
                <w:szCs w:val="21"/>
              </w:rPr>
              <w:t>43,412</w:t>
            </w:r>
          </w:p>
        </w:tc>
      </w:tr>
      <w:tr>
        <w:trPr>
          <w:trHeight w:val="285"/>
        </w:trPr>
        <w:tc>
          <w:tcPr>
            <w:tcW w:w="1350" w:type="pct"/>
            <w:shd w:val="clear" w:color="auto" w:fill="auto"/>
            <w:vAlign w:val="center"/>
          </w:tcPr>
          <w:p>
            <w:pPr>
              <w:spacing w:line="360" w:lineRule="exact"/>
              <w:rPr>
                <w:szCs w:val="21"/>
              </w:rPr>
            </w:pPr>
            <w:r>
              <w:rPr>
                <w:rFonts w:hint="eastAsia"/>
                <w:szCs w:val="21"/>
              </w:rPr>
              <w:t>租赁负债</w:t>
            </w:r>
          </w:p>
        </w:tc>
        <w:tc>
          <w:tcPr>
            <w:tcW w:w="912" w:type="pct"/>
            <w:shd w:val="clear" w:color="auto" w:fill="auto"/>
            <w:vAlign w:val="center"/>
          </w:tcPr>
          <w:p>
            <w:pPr>
              <w:spacing w:line="360" w:lineRule="exact"/>
              <w:jc w:val="right"/>
              <w:rPr>
                <w:szCs w:val="21"/>
              </w:rPr>
            </w:pPr>
            <w:r>
              <w:rPr>
                <w:szCs w:val="21"/>
              </w:rPr>
              <w:t>29,943</w:t>
            </w:r>
          </w:p>
        </w:tc>
        <w:tc>
          <w:tcPr>
            <w:tcW w:w="910" w:type="pct"/>
            <w:shd w:val="clear" w:color="auto" w:fill="auto"/>
            <w:vAlign w:val="center"/>
          </w:tcPr>
          <w:p>
            <w:pPr>
              <w:spacing w:line="360" w:lineRule="exact"/>
              <w:jc w:val="right"/>
              <w:rPr>
                <w:szCs w:val="21"/>
              </w:rPr>
            </w:pPr>
            <w:r>
              <w:rPr>
                <w:szCs w:val="21"/>
              </w:rPr>
              <w:t>6,698</w:t>
            </w:r>
          </w:p>
        </w:tc>
        <w:tc>
          <w:tcPr>
            <w:tcW w:w="919" w:type="pct"/>
            <w:shd w:val="clear" w:color="auto" w:fill="auto"/>
            <w:vAlign w:val="center"/>
          </w:tcPr>
          <w:p>
            <w:pPr>
              <w:spacing w:line="360" w:lineRule="exact"/>
              <w:jc w:val="right"/>
              <w:rPr>
                <w:szCs w:val="21"/>
              </w:rPr>
            </w:pPr>
            <w:r>
              <w:rPr>
                <w:szCs w:val="21"/>
              </w:rPr>
              <w:t>12,285</w:t>
            </w:r>
          </w:p>
        </w:tc>
        <w:tc>
          <w:tcPr>
            <w:tcW w:w="909" w:type="pct"/>
            <w:shd w:val="clear" w:color="auto" w:fill="auto"/>
            <w:vAlign w:val="center"/>
          </w:tcPr>
          <w:p>
            <w:pPr>
              <w:spacing w:line="360" w:lineRule="exact"/>
              <w:jc w:val="right"/>
              <w:rPr>
                <w:szCs w:val="21"/>
              </w:rPr>
            </w:pPr>
            <w:r>
              <w:rPr>
                <w:szCs w:val="21"/>
              </w:rPr>
              <w:t>2,764</w:t>
            </w:r>
          </w:p>
        </w:tc>
      </w:tr>
      <w:tr>
        <w:trPr>
          <w:trHeight w:val="285"/>
        </w:trPr>
        <w:tc>
          <w:tcPr>
            <w:tcW w:w="1350" w:type="pct"/>
            <w:shd w:val="clear" w:color="auto" w:fill="auto"/>
            <w:vAlign w:val="center"/>
          </w:tcPr>
          <w:p>
            <w:pPr>
              <w:spacing w:line="360" w:lineRule="exact"/>
              <w:rPr>
                <w:szCs w:val="21"/>
              </w:rPr>
            </w:pPr>
            <w:r>
              <w:rPr>
                <w:rFonts w:hint="eastAsia"/>
                <w:szCs w:val="21"/>
              </w:rPr>
              <w:lastRenderedPageBreak/>
              <w:t>其他权益工具投资公允价值调整</w:t>
            </w:r>
          </w:p>
        </w:tc>
        <w:tc>
          <w:tcPr>
            <w:tcW w:w="912" w:type="pct"/>
            <w:shd w:val="clear" w:color="auto" w:fill="auto"/>
            <w:vAlign w:val="center"/>
          </w:tcPr>
          <w:p>
            <w:pPr>
              <w:spacing w:line="360" w:lineRule="exact"/>
              <w:jc w:val="right"/>
              <w:rPr>
                <w:szCs w:val="21"/>
              </w:rPr>
            </w:pPr>
            <w:r>
              <w:rPr>
                <w:szCs w:val="21"/>
              </w:rPr>
              <w:t>2,242</w:t>
            </w:r>
          </w:p>
        </w:tc>
        <w:tc>
          <w:tcPr>
            <w:tcW w:w="910" w:type="pct"/>
            <w:shd w:val="clear" w:color="auto" w:fill="auto"/>
            <w:vAlign w:val="center"/>
          </w:tcPr>
          <w:p>
            <w:pPr>
              <w:spacing w:line="360" w:lineRule="exact"/>
              <w:jc w:val="right"/>
              <w:rPr>
                <w:szCs w:val="21"/>
              </w:rPr>
            </w:pPr>
            <w:r>
              <w:rPr>
                <w:szCs w:val="21"/>
              </w:rPr>
              <w:t>356</w:t>
            </w:r>
          </w:p>
        </w:tc>
        <w:tc>
          <w:tcPr>
            <w:tcW w:w="919" w:type="pct"/>
            <w:shd w:val="clear" w:color="auto" w:fill="auto"/>
            <w:vAlign w:val="center"/>
          </w:tcPr>
          <w:p>
            <w:pPr>
              <w:spacing w:line="360" w:lineRule="exact"/>
              <w:jc w:val="right"/>
              <w:rPr>
                <w:szCs w:val="21"/>
              </w:rPr>
            </w:pPr>
            <w:r>
              <w:rPr>
                <w:szCs w:val="21"/>
              </w:rPr>
              <w:t>1,242</w:t>
            </w:r>
          </w:p>
        </w:tc>
        <w:tc>
          <w:tcPr>
            <w:tcW w:w="909" w:type="pct"/>
            <w:shd w:val="clear" w:color="auto" w:fill="auto"/>
            <w:vAlign w:val="center"/>
          </w:tcPr>
          <w:p>
            <w:pPr>
              <w:spacing w:line="360" w:lineRule="exact"/>
              <w:jc w:val="right"/>
              <w:rPr>
                <w:szCs w:val="21"/>
              </w:rPr>
            </w:pPr>
            <w:r>
              <w:rPr>
                <w:szCs w:val="21"/>
              </w:rPr>
              <w:t>310</w:t>
            </w:r>
          </w:p>
        </w:tc>
      </w:tr>
      <w:tr>
        <w:trPr>
          <w:trHeight w:val="285"/>
        </w:trPr>
        <w:tc>
          <w:tcPr>
            <w:tcW w:w="1350" w:type="pct"/>
            <w:shd w:val="clear" w:color="auto" w:fill="auto"/>
            <w:vAlign w:val="center"/>
          </w:tcPr>
          <w:p>
            <w:pPr>
              <w:spacing w:line="360" w:lineRule="exact"/>
              <w:rPr>
                <w:szCs w:val="21"/>
              </w:rPr>
            </w:pPr>
            <w:r>
              <w:rPr>
                <w:rFonts w:hint="eastAsia"/>
                <w:szCs w:val="21"/>
              </w:rPr>
              <w:t>其他</w:t>
            </w:r>
          </w:p>
        </w:tc>
        <w:tc>
          <w:tcPr>
            <w:tcW w:w="912" w:type="pct"/>
            <w:shd w:val="clear" w:color="auto" w:fill="auto"/>
            <w:vAlign w:val="center"/>
          </w:tcPr>
          <w:p>
            <w:pPr>
              <w:spacing w:line="360" w:lineRule="exact"/>
              <w:jc w:val="right"/>
              <w:rPr>
                <w:szCs w:val="21"/>
              </w:rPr>
            </w:pPr>
            <w:r>
              <w:rPr>
                <w:szCs w:val="21"/>
              </w:rPr>
              <w:t>861,579</w:t>
            </w:r>
          </w:p>
        </w:tc>
        <w:tc>
          <w:tcPr>
            <w:tcW w:w="910" w:type="pct"/>
            <w:shd w:val="clear" w:color="auto" w:fill="auto"/>
            <w:vAlign w:val="center"/>
          </w:tcPr>
          <w:p>
            <w:pPr>
              <w:spacing w:line="360" w:lineRule="exact"/>
              <w:jc w:val="right"/>
              <w:rPr>
                <w:szCs w:val="21"/>
              </w:rPr>
            </w:pPr>
            <w:r>
              <w:rPr>
                <w:szCs w:val="21"/>
              </w:rPr>
              <w:t>209,512</w:t>
            </w:r>
          </w:p>
        </w:tc>
        <w:tc>
          <w:tcPr>
            <w:tcW w:w="919" w:type="pct"/>
            <w:shd w:val="clear" w:color="auto" w:fill="auto"/>
            <w:vAlign w:val="center"/>
          </w:tcPr>
          <w:p>
            <w:pPr>
              <w:spacing w:line="360" w:lineRule="exact"/>
              <w:jc w:val="right"/>
              <w:rPr>
                <w:szCs w:val="21"/>
              </w:rPr>
            </w:pPr>
            <w:r>
              <w:rPr>
                <w:szCs w:val="21"/>
              </w:rPr>
              <w:t>773,148</w:t>
            </w:r>
          </w:p>
        </w:tc>
        <w:tc>
          <w:tcPr>
            <w:tcW w:w="909" w:type="pct"/>
            <w:shd w:val="clear" w:color="auto" w:fill="auto"/>
            <w:vAlign w:val="center"/>
          </w:tcPr>
          <w:p>
            <w:pPr>
              <w:spacing w:line="360" w:lineRule="exact"/>
              <w:jc w:val="right"/>
              <w:rPr>
                <w:szCs w:val="21"/>
              </w:rPr>
            </w:pPr>
            <w:r>
              <w:rPr>
                <w:szCs w:val="21"/>
              </w:rPr>
              <w:t>188,600</w:t>
            </w:r>
          </w:p>
        </w:tc>
      </w:tr>
      <w:tr>
        <w:trPr>
          <w:trHeight w:val="285"/>
        </w:trPr>
        <w:tc>
          <w:tcPr>
            <w:tcW w:w="1350" w:type="pct"/>
            <w:shd w:val="clear" w:color="auto" w:fill="auto"/>
            <w:vAlign w:val="center"/>
          </w:tcPr>
          <w:p>
            <w:pPr>
              <w:spacing w:line="360" w:lineRule="exact"/>
              <w:jc w:val="center"/>
              <w:rPr>
                <w:szCs w:val="21"/>
              </w:rPr>
            </w:pPr>
            <w:r>
              <w:rPr>
                <w:rFonts w:hint="eastAsia"/>
                <w:szCs w:val="21"/>
              </w:rPr>
              <w:t>小计</w:t>
            </w:r>
          </w:p>
        </w:tc>
        <w:tc>
          <w:tcPr>
            <w:tcW w:w="912" w:type="pct"/>
            <w:shd w:val="clear" w:color="auto" w:fill="auto"/>
            <w:vAlign w:val="center"/>
          </w:tcPr>
          <w:p>
            <w:pPr>
              <w:spacing w:line="360" w:lineRule="exact"/>
              <w:jc w:val="right"/>
              <w:rPr>
                <w:szCs w:val="21"/>
              </w:rPr>
            </w:pPr>
            <w:r>
              <w:rPr>
                <w:szCs w:val="21"/>
              </w:rPr>
              <w:t>21,592,524</w:t>
            </w:r>
          </w:p>
        </w:tc>
        <w:tc>
          <w:tcPr>
            <w:tcW w:w="910" w:type="pct"/>
            <w:shd w:val="clear" w:color="auto" w:fill="auto"/>
            <w:vAlign w:val="center"/>
          </w:tcPr>
          <w:p>
            <w:pPr>
              <w:spacing w:line="360" w:lineRule="exact"/>
              <w:jc w:val="right"/>
              <w:rPr>
                <w:szCs w:val="21"/>
              </w:rPr>
            </w:pPr>
            <w:r>
              <w:rPr>
                <w:szCs w:val="21"/>
              </w:rPr>
              <w:t>5,045,119</w:t>
            </w:r>
          </w:p>
        </w:tc>
        <w:tc>
          <w:tcPr>
            <w:tcW w:w="919" w:type="pct"/>
            <w:shd w:val="clear" w:color="auto" w:fill="auto"/>
            <w:vAlign w:val="center"/>
          </w:tcPr>
          <w:p>
            <w:pPr>
              <w:spacing w:line="360" w:lineRule="exact"/>
              <w:jc w:val="right"/>
              <w:rPr>
                <w:szCs w:val="21"/>
              </w:rPr>
            </w:pPr>
            <w:r>
              <w:rPr>
                <w:szCs w:val="21"/>
              </w:rPr>
              <w:t>24,645,855</w:t>
            </w:r>
          </w:p>
        </w:tc>
        <w:tc>
          <w:tcPr>
            <w:tcW w:w="909" w:type="pct"/>
            <w:shd w:val="clear" w:color="auto" w:fill="auto"/>
            <w:vAlign w:val="center"/>
          </w:tcPr>
          <w:p>
            <w:pPr>
              <w:spacing w:line="360" w:lineRule="exact"/>
              <w:jc w:val="right"/>
              <w:rPr>
                <w:szCs w:val="21"/>
              </w:rPr>
            </w:pPr>
            <w:r>
              <w:rPr>
                <w:szCs w:val="21"/>
              </w:rPr>
              <w:t>5,648,846</w:t>
            </w:r>
          </w:p>
        </w:tc>
      </w:tr>
      <w:tr>
        <w:trPr>
          <w:trHeight w:val="285"/>
        </w:trPr>
        <w:tc>
          <w:tcPr>
            <w:tcW w:w="1350" w:type="pct"/>
            <w:shd w:val="clear" w:color="auto" w:fill="auto"/>
            <w:vAlign w:val="center"/>
          </w:tcPr>
          <w:p>
            <w:pPr>
              <w:spacing w:line="360" w:lineRule="exact"/>
              <w:rPr>
                <w:szCs w:val="21"/>
              </w:rPr>
            </w:pPr>
            <w:r>
              <w:rPr>
                <w:rFonts w:hint="eastAsia"/>
                <w:szCs w:val="21"/>
              </w:rPr>
              <w:t>境外子公司：</w:t>
            </w:r>
          </w:p>
        </w:tc>
        <w:tc>
          <w:tcPr>
            <w:tcW w:w="912" w:type="pct"/>
            <w:shd w:val="clear" w:color="auto" w:fill="auto"/>
            <w:vAlign w:val="center"/>
          </w:tcPr>
          <w:p>
            <w:pPr>
              <w:spacing w:line="360" w:lineRule="exact"/>
              <w:jc w:val="right"/>
              <w:rPr>
                <w:szCs w:val="21"/>
              </w:rPr>
            </w:pPr>
          </w:p>
        </w:tc>
        <w:tc>
          <w:tcPr>
            <w:tcW w:w="910" w:type="pct"/>
            <w:shd w:val="clear" w:color="auto" w:fill="auto"/>
            <w:vAlign w:val="center"/>
          </w:tcPr>
          <w:p>
            <w:pPr>
              <w:spacing w:line="360" w:lineRule="exact"/>
              <w:jc w:val="right"/>
              <w:rPr>
                <w:szCs w:val="21"/>
              </w:rPr>
            </w:pPr>
          </w:p>
        </w:tc>
        <w:tc>
          <w:tcPr>
            <w:tcW w:w="919" w:type="pct"/>
            <w:shd w:val="clear" w:color="auto" w:fill="auto"/>
            <w:vAlign w:val="center"/>
          </w:tcPr>
          <w:p>
            <w:pPr>
              <w:spacing w:line="360" w:lineRule="exact"/>
              <w:jc w:val="right"/>
              <w:rPr>
                <w:szCs w:val="21"/>
              </w:rPr>
            </w:pPr>
          </w:p>
        </w:tc>
        <w:tc>
          <w:tcPr>
            <w:tcW w:w="909" w:type="pct"/>
            <w:shd w:val="clear" w:color="auto" w:fill="auto"/>
            <w:vAlign w:val="center"/>
          </w:tcPr>
          <w:p>
            <w:pPr>
              <w:spacing w:line="360" w:lineRule="exact"/>
              <w:jc w:val="right"/>
              <w:rPr>
                <w:szCs w:val="21"/>
              </w:rPr>
            </w:pPr>
          </w:p>
        </w:tc>
      </w:tr>
      <w:tr>
        <w:trPr>
          <w:trHeight w:val="285"/>
        </w:trPr>
        <w:tc>
          <w:tcPr>
            <w:tcW w:w="1350" w:type="pct"/>
            <w:shd w:val="clear" w:color="auto" w:fill="auto"/>
            <w:vAlign w:val="center"/>
          </w:tcPr>
          <w:p>
            <w:pPr>
              <w:spacing w:line="360" w:lineRule="exact"/>
              <w:rPr>
                <w:szCs w:val="21"/>
              </w:rPr>
            </w:pPr>
            <w:r>
              <w:rPr>
                <w:rFonts w:hint="eastAsia"/>
                <w:szCs w:val="21"/>
              </w:rPr>
              <w:t>复垦费用</w:t>
            </w:r>
          </w:p>
        </w:tc>
        <w:tc>
          <w:tcPr>
            <w:tcW w:w="912" w:type="pct"/>
            <w:shd w:val="clear" w:color="auto" w:fill="auto"/>
            <w:vAlign w:val="center"/>
          </w:tcPr>
          <w:p>
            <w:pPr>
              <w:spacing w:line="360" w:lineRule="exact"/>
              <w:jc w:val="right"/>
              <w:rPr>
                <w:szCs w:val="21"/>
              </w:rPr>
            </w:pPr>
            <w:r>
              <w:rPr>
                <w:szCs w:val="21"/>
              </w:rPr>
              <w:t>6,611,902</w:t>
            </w:r>
          </w:p>
        </w:tc>
        <w:tc>
          <w:tcPr>
            <w:tcW w:w="910" w:type="pct"/>
            <w:shd w:val="clear" w:color="auto" w:fill="auto"/>
            <w:vAlign w:val="center"/>
          </w:tcPr>
          <w:p>
            <w:pPr>
              <w:spacing w:line="360" w:lineRule="exact"/>
              <w:jc w:val="right"/>
              <w:rPr>
                <w:szCs w:val="21"/>
              </w:rPr>
            </w:pPr>
            <w:r>
              <w:rPr>
                <w:szCs w:val="21"/>
              </w:rPr>
              <w:t>1,983,571</w:t>
            </w:r>
          </w:p>
        </w:tc>
        <w:tc>
          <w:tcPr>
            <w:tcW w:w="919" w:type="pct"/>
            <w:shd w:val="clear" w:color="auto" w:fill="auto"/>
            <w:vAlign w:val="center"/>
          </w:tcPr>
          <w:p>
            <w:pPr>
              <w:spacing w:line="360" w:lineRule="exact"/>
              <w:jc w:val="right"/>
              <w:rPr>
                <w:szCs w:val="21"/>
              </w:rPr>
            </w:pPr>
            <w:r>
              <w:rPr>
                <w:szCs w:val="21"/>
              </w:rPr>
              <w:t>6,574,435</w:t>
            </w:r>
          </w:p>
        </w:tc>
        <w:tc>
          <w:tcPr>
            <w:tcW w:w="909" w:type="pct"/>
            <w:shd w:val="clear" w:color="auto" w:fill="auto"/>
            <w:vAlign w:val="center"/>
          </w:tcPr>
          <w:p>
            <w:pPr>
              <w:spacing w:line="360" w:lineRule="exact"/>
              <w:jc w:val="right"/>
              <w:rPr>
                <w:szCs w:val="21"/>
              </w:rPr>
            </w:pPr>
            <w:r>
              <w:rPr>
                <w:szCs w:val="21"/>
              </w:rPr>
              <w:t>1,972,331</w:t>
            </w:r>
          </w:p>
        </w:tc>
      </w:tr>
      <w:tr>
        <w:trPr>
          <w:trHeight w:val="285"/>
        </w:trPr>
        <w:tc>
          <w:tcPr>
            <w:tcW w:w="1350" w:type="pct"/>
            <w:shd w:val="clear" w:color="auto" w:fill="auto"/>
            <w:vAlign w:val="center"/>
          </w:tcPr>
          <w:p>
            <w:pPr>
              <w:spacing w:line="360" w:lineRule="exact"/>
              <w:rPr>
                <w:szCs w:val="21"/>
              </w:rPr>
            </w:pPr>
            <w:r>
              <w:rPr>
                <w:rFonts w:hint="eastAsia"/>
                <w:szCs w:val="21"/>
              </w:rPr>
              <w:t>套期工具</w:t>
            </w:r>
          </w:p>
        </w:tc>
        <w:tc>
          <w:tcPr>
            <w:tcW w:w="912" w:type="pct"/>
            <w:shd w:val="clear" w:color="auto" w:fill="auto"/>
            <w:vAlign w:val="center"/>
          </w:tcPr>
          <w:p>
            <w:pPr>
              <w:spacing w:line="360" w:lineRule="exact"/>
              <w:jc w:val="right"/>
              <w:rPr>
                <w:szCs w:val="21"/>
              </w:rPr>
            </w:pPr>
            <w:r>
              <w:rPr>
                <w:szCs w:val="21"/>
              </w:rPr>
              <w:t>223,321</w:t>
            </w:r>
          </w:p>
        </w:tc>
        <w:tc>
          <w:tcPr>
            <w:tcW w:w="910" w:type="pct"/>
            <w:shd w:val="clear" w:color="auto" w:fill="auto"/>
            <w:vAlign w:val="center"/>
          </w:tcPr>
          <w:p>
            <w:pPr>
              <w:spacing w:line="360" w:lineRule="exact"/>
              <w:jc w:val="right"/>
              <w:rPr>
                <w:szCs w:val="21"/>
              </w:rPr>
            </w:pPr>
            <w:r>
              <w:rPr>
                <w:szCs w:val="21"/>
              </w:rPr>
              <w:t>66,996</w:t>
            </w:r>
          </w:p>
        </w:tc>
        <w:tc>
          <w:tcPr>
            <w:tcW w:w="919" w:type="pct"/>
            <w:shd w:val="clear" w:color="auto" w:fill="auto"/>
            <w:vAlign w:val="center"/>
          </w:tcPr>
          <w:p>
            <w:pPr>
              <w:spacing w:line="360" w:lineRule="exact"/>
              <w:jc w:val="right"/>
              <w:rPr>
                <w:szCs w:val="21"/>
              </w:rPr>
            </w:pPr>
            <w:r>
              <w:rPr>
                <w:szCs w:val="21"/>
              </w:rPr>
              <w:t>913,378</w:t>
            </w:r>
          </w:p>
        </w:tc>
        <w:tc>
          <w:tcPr>
            <w:tcW w:w="909" w:type="pct"/>
            <w:shd w:val="clear" w:color="auto" w:fill="auto"/>
            <w:vAlign w:val="center"/>
          </w:tcPr>
          <w:p>
            <w:pPr>
              <w:spacing w:line="360" w:lineRule="exact"/>
              <w:jc w:val="right"/>
              <w:rPr>
                <w:szCs w:val="21"/>
              </w:rPr>
            </w:pPr>
            <w:r>
              <w:rPr>
                <w:szCs w:val="21"/>
              </w:rPr>
              <w:t>274,014</w:t>
            </w:r>
          </w:p>
        </w:tc>
      </w:tr>
      <w:tr>
        <w:trPr>
          <w:trHeight w:val="285"/>
        </w:trPr>
        <w:tc>
          <w:tcPr>
            <w:tcW w:w="1350" w:type="pct"/>
            <w:shd w:val="clear" w:color="auto" w:fill="auto"/>
            <w:vAlign w:val="center"/>
          </w:tcPr>
          <w:p>
            <w:pPr>
              <w:spacing w:line="360" w:lineRule="exact"/>
              <w:rPr>
                <w:szCs w:val="21"/>
              </w:rPr>
            </w:pPr>
            <w:r>
              <w:rPr>
                <w:rFonts w:hint="eastAsia"/>
                <w:szCs w:val="21"/>
              </w:rPr>
              <w:t>预提费用</w:t>
            </w:r>
          </w:p>
        </w:tc>
        <w:tc>
          <w:tcPr>
            <w:tcW w:w="912" w:type="pct"/>
            <w:shd w:val="clear" w:color="auto" w:fill="auto"/>
            <w:vAlign w:val="center"/>
          </w:tcPr>
          <w:p>
            <w:pPr>
              <w:spacing w:line="360" w:lineRule="exact"/>
              <w:jc w:val="right"/>
              <w:rPr>
                <w:szCs w:val="21"/>
              </w:rPr>
            </w:pPr>
            <w:r>
              <w:rPr>
                <w:szCs w:val="21"/>
              </w:rPr>
              <w:t>637,129</w:t>
            </w:r>
          </w:p>
        </w:tc>
        <w:tc>
          <w:tcPr>
            <w:tcW w:w="910" w:type="pct"/>
            <w:shd w:val="clear" w:color="auto" w:fill="auto"/>
            <w:vAlign w:val="center"/>
          </w:tcPr>
          <w:p>
            <w:pPr>
              <w:spacing w:line="360" w:lineRule="exact"/>
              <w:jc w:val="right"/>
              <w:rPr>
                <w:szCs w:val="21"/>
              </w:rPr>
            </w:pPr>
            <w:r>
              <w:rPr>
                <w:szCs w:val="21"/>
              </w:rPr>
              <w:t>191,139</w:t>
            </w:r>
          </w:p>
        </w:tc>
        <w:tc>
          <w:tcPr>
            <w:tcW w:w="919" w:type="pct"/>
            <w:shd w:val="clear" w:color="auto" w:fill="auto"/>
            <w:vAlign w:val="center"/>
          </w:tcPr>
          <w:p>
            <w:pPr>
              <w:spacing w:line="360" w:lineRule="exact"/>
              <w:jc w:val="right"/>
              <w:rPr>
                <w:szCs w:val="21"/>
              </w:rPr>
            </w:pPr>
            <w:r>
              <w:rPr>
                <w:szCs w:val="21"/>
              </w:rPr>
              <w:t>748,650</w:t>
            </w:r>
          </w:p>
        </w:tc>
        <w:tc>
          <w:tcPr>
            <w:tcW w:w="909" w:type="pct"/>
            <w:shd w:val="clear" w:color="auto" w:fill="auto"/>
            <w:vAlign w:val="center"/>
          </w:tcPr>
          <w:p>
            <w:pPr>
              <w:spacing w:line="360" w:lineRule="exact"/>
              <w:jc w:val="right"/>
              <w:rPr>
                <w:szCs w:val="21"/>
              </w:rPr>
            </w:pPr>
            <w:r>
              <w:rPr>
                <w:szCs w:val="21"/>
              </w:rPr>
              <w:t>224,595</w:t>
            </w:r>
          </w:p>
        </w:tc>
      </w:tr>
      <w:tr>
        <w:trPr>
          <w:trHeight w:val="285"/>
        </w:trPr>
        <w:tc>
          <w:tcPr>
            <w:tcW w:w="1350" w:type="pct"/>
            <w:shd w:val="clear" w:color="auto" w:fill="auto"/>
            <w:vAlign w:val="center"/>
          </w:tcPr>
          <w:p>
            <w:pPr>
              <w:spacing w:line="360" w:lineRule="exact"/>
              <w:rPr>
                <w:szCs w:val="21"/>
              </w:rPr>
            </w:pPr>
            <w:r>
              <w:rPr>
                <w:rFonts w:hint="eastAsia"/>
                <w:szCs w:val="21"/>
              </w:rPr>
              <w:t>租赁负债</w:t>
            </w:r>
          </w:p>
        </w:tc>
        <w:tc>
          <w:tcPr>
            <w:tcW w:w="912" w:type="pct"/>
            <w:shd w:val="clear" w:color="auto" w:fill="auto"/>
            <w:vAlign w:val="center"/>
          </w:tcPr>
          <w:p>
            <w:pPr>
              <w:spacing w:line="360" w:lineRule="exact"/>
              <w:jc w:val="right"/>
              <w:rPr>
                <w:szCs w:val="21"/>
              </w:rPr>
            </w:pPr>
            <w:r>
              <w:rPr>
                <w:szCs w:val="21"/>
              </w:rPr>
              <w:t>234,596</w:t>
            </w:r>
          </w:p>
        </w:tc>
        <w:tc>
          <w:tcPr>
            <w:tcW w:w="910" w:type="pct"/>
            <w:shd w:val="clear" w:color="auto" w:fill="auto"/>
            <w:vAlign w:val="center"/>
          </w:tcPr>
          <w:p>
            <w:pPr>
              <w:spacing w:line="360" w:lineRule="exact"/>
              <w:jc w:val="right"/>
              <w:rPr>
                <w:szCs w:val="21"/>
              </w:rPr>
            </w:pPr>
            <w:r>
              <w:rPr>
                <w:szCs w:val="21"/>
              </w:rPr>
              <w:t>70,379</w:t>
            </w:r>
          </w:p>
        </w:tc>
        <w:tc>
          <w:tcPr>
            <w:tcW w:w="919" w:type="pct"/>
            <w:shd w:val="clear" w:color="auto" w:fill="auto"/>
            <w:vAlign w:val="center"/>
          </w:tcPr>
          <w:p>
            <w:pPr>
              <w:spacing w:line="360" w:lineRule="exact"/>
              <w:jc w:val="right"/>
              <w:rPr>
                <w:szCs w:val="21"/>
              </w:rPr>
            </w:pPr>
            <w:r>
              <w:rPr>
                <w:szCs w:val="21"/>
              </w:rPr>
              <w:t>323,277</w:t>
            </w:r>
          </w:p>
        </w:tc>
        <w:tc>
          <w:tcPr>
            <w:tcW w:w="909" w:type="pct"/>
            <w:shd w:val="clear" w:color="auto" w:fill="auto"/>
            <w:vAlign w:val="center"/>
          </w:tcPr>
          <w:p>
            <w:pPr>
              <w:spacing w:line="360" w:lineRule="exact"/>
              <w:jc w:val="right"/>
              <w:rPr>
                <w:szCs w:val="21"/>
              </w:rPr>
            </w:pPr>
            <w:r>
              <w:rPr>
                <w:szCs w:val="21"/>
              </w:rPr>
              <w:t>96,983</w:t>
            </w:r>
          </w:p>
        </w:tc>
      </w:tr>
      <w:tr>
        <w:trPr>
          <w:trHeight w:val="285"/>
        </w:trPr>
        <w:tc>
          <w:tcPr>
            <w:tcW w:w="1350" w:type="pct"/>
            <w:shd w:val="clear" w:color="auto" w:fill="auto"/>
            <w:vAlign w:val="center"/>
          </w:tcPr>
          <w:p>
            <w:pPr>
              <w:spacing w:line="360" w:lineRule="exact"/>
              <w:rPr>
                <w:szCs w:val="21"/>
              </w:rPr>
            </w:pPr>
            <w:r>
              <w:rPr>
                <w:rFonts w:hint="eastAsia"/>
                <w:szCs w:val="21"/>
              </w:rPr>
              <w:t>资产摊销</w:t>
            </w:r>
          </w:p>
        </w:tc>
        <w:tc>
          <w:tcPr>
            <w:tcW w:w="912" w:type="pct"/>
            <w:shd w:val="clear" w:color="auto" w:fill="auto"/>
            <w:vAlign w:val="center"/>
          </w:tcPr>
          <w:p>
            <w:pPr>
              <w:spacing w:line="360" w:lineRule="exact"/>
              <w:jc w:val="right"/>
              <w:rPr>
                <w:szCs w:val="21"/>
              </w:rPr>
            </w:pPr>
            <w:r>
              <w:rPr>
                <w:szCs w:val="21"/>
              </w:rPr>
              <w:t>213,817</w:t>
            </w:r>
          </w:p>
        </w:tc>
        <w:tc>
          <w:tcPr>
            <w:tcW w:w="910" w:type="pct"/>
            <w:shd w:val="clear" w:color="auto" w:fill="auto"/>
            <w:vAlign w:val="center"/>
          </w:tcPr>
          <w:p>
            <w:pPr>
              <w:spacing w:line="360" w:lineRule="exact"/>
              <w:jc w:val="right"/>
              <w:rPr>
                <w:szCs w:val="21"/>
              </w:rPr>
            </w:pPr>
            <w:r>
              <w:rPr>
                <w:szCs w:val="21"/>
              </w:rPr>
              <w:t>64,145</w:t>
            </w:r>
          </w:p>
        </w:tc>
        <w:tc>
          <w:tcPr>
            <w:tcW w:w="919" w:type="pct"/>
            <w:shd w:val="clear" w:color="auto" w:fill="auto"/>
            <w:vAlign w:val="center"/>
          </w:tcPr>
          <w:p>
            <w:pPr>
              <w:spacing w:line="360" w:lineRule="exact"/>
              <w:jc w:val="right"/>
              <w:rPr>
                <w:szCs w:val="21"/>
              </w:rPr>
            </w:pPr>
            <w:r>
              <w:rPr>
                <w:szCs w:val="21"/>
              </w:rPr>
              <w:t>248,099</w:t>
            </w:r>
          </w:p>
        </w:tc>
        <w:tc>
          <w:tcPr>
            <w:tcW w:w="909" w:type="pct"/>
            <w:shd w:val="clear" w:color="auto" w:fill="auto"/>
            <w:vAlign w:val="center"/>
          </w:tcPr>
          <w:p>
            <w:pPr>
              <w:spacing w:line="360" w:lineRule="exact"/>
              <w:jc w:val="right"/>
              <w:rPr>
                <w:szCs w:val="21"/>
              </w:rPr>
            </w:pPr>
            <w:r>
              <w:rPr>
                <w:szCs w:val="21"/>
              </w:rPr>
              <w:t>74,430</w:t>
            </w:r>
          </w:p>
        </w:tc>
      </w:tr>
      <w:tr>
        <w:trPr>
          <w:trHeight w:val="285"/>
        </w:trPr>
        <w:tc>
          <w:tcPr>
            <w:tcW w:w="1350" w:type="pct"/>
            <w:shd w:val="clear" w:color="auto" w:fill="auto"/>
            <w:vAlign w:val="center"/>
          </w:tcPr>
          <w:p>
            <w:pPr>
              <w:spacing w:line="360" w:lineRule="exact"/>
              <w:rPr>
                <w:szCs w:val="21"/>
              </w:rPr>
            </w:pPr>
            <w:r>
              <w:rPr>
                <w:rFonts w:hint="eastAsia"/>
                <w:szCs w:val="21"/>
              </w:rPr>
              <w:t>未实现外汇损益</w:t>
            </w:r>
          </w:p>
        </w:tc>
        <w:tc>
          <w:tcPr>
            <w:tcW w:w="912" w:type="pct"/>
            <w:shd w:val="clear" w:color="auto" w:fill="auto"/>
            <w:vAlign w:val="center"/>
          </w:tcPr>
          <w:p>
            <w:pPr>
              <w:spacing w:line="360" w:lineRule="exact"/>
              <w:jc w:val="right"/>
              <w:rPr>
                <w:szCs w:val="21"/>
              </w:rPr>
            </w:pPr>
            <w:r>
              <w:rPr>
                <w:szCs w:val="21"/>
              </w:rPr>
              <w:t>-156,436</w:t>
            </w:r>
          </w:p>
        </w:tc>
        <w:tc>
          <w:tcPr>
            <w:tcW w:w="910" w:type="pct"/>
            <w:shd w:val="clear" w:color="auto" w:fill="auto"/>
            <w:vAlign w:val="center"/>
          </w:tcPr>
          <w:p>
            <w:pPr>
              <w:spacing w:line="360" w:lineRule="exact"/>
              <w:jc w:val="right"/>
              <w:rPr>
                <w:szCs w:val="21"/>
              </w:rPr>
            </w:pPr>
            <w:r>
              <w:rPr>
                <w:szCs w:val="21"/>
              </w:rPr>
              <w:t>-46,931</w:t>
            </w:r>
          </w:p>
        </w:tc>
        <w:tc>
          <w:tcPr>
            <w:tcW w:w="919" w:type="pct"/>
            <w:shd w:val="clear" w:color="auto" w:fill="auto"/>
            <w:vAlign w:val="center"/>
          </w:tcPr>
          <w:p>
            <w:pPr>
              <w:spacing w:line="360" w:lineRule="exact"/>
              <w:jc w:val="right"/>
              <w:rPr>
                <w:szCs w:val="21"/>
              </w:rPr>
            </w:pPr>
            <w:r>
              <w:rPr>
                <w:szCs w:val="21"/>
              </w:rPr>
              <w:t>-79,290</w:t>
            </w:r>
          </w:p>
        </w:tc>
        <w:tc>
          <w:tcPr>
            <w:tcW w:w="909" w:type="pct"/>
            <w:shd w:val="clear" w:color="auto" w:fill="auto"/>
            <w:vAlign w:val="center"/>
          </w:tcPr>
          <w:p>
            <w:pPr>
              <w:spacing w:line="360" w:lineRule="exact"/>
              <w:jc w:val="right"/>
              <w:rPr>
                <w:szCs w:val="21"/>
              </w:rPr>
            </w:pPr>
            <w:r>
              <w:rPr>
                <w:szCs w:val="21"/>
              </w:rPr>
              <w:t>-23,787</w:t>
            </w:r>
          </w:p>
        </w:tc>
      </w:tr>
      <w:tr>
        <w:trPr>
          <w:trHeight w:val="285"/>
        </w:trPr>
        <w:tc>
          <w:tcPr>
            <w:tcW w:w="1350" w:type="pct"/>
            <w:shd w:val="clear" w:color="auto" w:fill="auto"/>
            <w:vAlign w:val="center"/>
          </w:tcPr>
          <w:p>
            <w:pPr>
              <w:spacing w:line="360" w:lineRule="exact"/>
              <w:rPr>
                <w:szCs w:val="21"/>
              </w:rPr>
            </w:pPr>
            <w:r>
              <w:rPr>
                <w:rFonts w:hint="eastAsia"/>
                <w:szCs w:val="21"/>
              </w:rPr>
              <w:t>其他</w:t>
            </w:r>
          </w:p>
        </w:tc>
        <w:tc>
          <w:tcPr>
            <w:tcW w:w="912" w:type="pct"/>
            <w:shd w:val="clear" w:color="auto" w:fill="auto"/>
            <w:vAlign w:val="center"/>
          </w:tcPr>
          <w:p>
            <w:pPr>
              <w:spacing w:line="360" w:lineRule="exact"/>
              <w:jc w:val="right"/>
              <w:rPr>
                <w:szCs w:val="21"/>
              </w:rPr>
            </w:pPr>
            <w:r>
              <w:rPr>
                <w:szCs w:val="21"/>
              </w:rPr>
              <w:t>843,842</w:t>
            </w:r>
          </w:p>
        </w:tc>
        <w:tc>
          <w:tcPr>
            <w:tcW w:w="910" w:type="pct"/>
            <w:shd w:val="clear" w:color="auto" w:fill="auto"/>
            <w:vAlign w:val="center"/>
          </w:tcPr>
          <w:p>
            <w:pPr>
              <w:spacing w:line="360" w:lineRule="exact"/>
              <w:jc w:val="right"/>
              <w:rPr>
                <w:szCs w:val="21"/>
              </w:rPr>
            </w:pPr>
            <w:r>
              <w:rPr>
                <w:szCs w:val="21"/>
              </w:rPr>
              <w:t>246,770</w:t>
            </w:r>
          </w:p>
        </w:tc>
        <w:tc>
          <w:tcPr>
            <w:tcW w:w="919" w:type="pct"/>
            <w:shd w:val="clear" w:color="auto" w:fill="auto"/>
            <w:vAlign w:val="center"/>
          </w:tcPr>
          <w:p>
            <w:pPr>
              <w:spacing w:line="360" w:lineRule="exact"/>
              <w:jc w:val="right"/>
              <w:rPr>
                <w:szCs w:val="21"/>
              </w:rPr>
            </w:pPr>
            <w:r>
              <w:rPr>
                <w:szCs w:val="21"/>
              </w:rPr>
              <w:t>297,944</w:t>
            </w:r>
          </w:p>
        </w:tc>
        <w:tc>
          <w:tcPr>
            <w:tcW w:w="909" w:type="pct"/>
            <w:shd w:val="clear" w:color="auto" w:fill="auto"/>
            <w:vAlign w:val="center"/>
          </w:tcPr>
          <w:p>
            <w:pPr>
              <w:spacing w:line="360" w:lineRule="exact"/>
              <w:jc w:val="right"/>
              <w:rPr>
                <w:szCs w:val="21"/>
              </w:rPr>
            </w:pPr>
            <w:r>
              <w:rPr>
                <w:szCs w:val="21"/>
              </w:rPr>
              <w:t>89,383</w:t>
            </w:r>
          </w:p>
        </w:tc>
      </w:tr>
      <w:tr>
        <w:trPr>
          <w:trHeight w:val="285"/>
        </w:trPr>
        <w:tc>
          <w:tcPr>
            <w:tcW w:w="1350" w:type="pct"/>
            <w:shd w:val="clear" w:color="auto" w:fill="auto"/>
            <w:vAlign w:val="center"/>
          </w:tcPr>
          <w:p>
            <w:pPr>
              <w:spacing w:line="360" w:lineRule="exact"/>
              <w:jc w:val="center"/>
              <w:rPr>
                <w:szCs w:val="21"/>
              </w:rPr>
            </w:pPr>
            <w:r>
              <w:rPr>
                <w:rFonts w:hint="eastAsia"/>
                <w:szCs w:val="21"/>
              </w:rPr>
              <w:t>小计</w:t>
            </w:r>
          </w:p>
        </w:tc>
        <w:tc>
          <w:tcPr>
            <w:tcW w:w="912" w:type="pct"/>
            <w:shd w:val="clear" w:color="auto" w:fill="auto"/>
            <w:vAlign w:val="center"/>
          </w:tcPr>
          <w:p>
            <w:pPr>
              <w:spacing w:line="360" w:lineRule="exact"/>
              <w:jc w:val="right"/>
              <w:rPr>
                <w:szCs w:val="21"/>
              </w:rPr>
            </w:pPr>
            <w:r>
              <w:rPr>
                <w:szCs w:val="21"/>
              </w:rPr>
              <w:t>8,608,171</w:t>
            </w:r>
          </w:p>
        </w:tc>
        <w:tc>
          <w:tcPr>
            <w:tcW w:w="910" w:type="pct"/>
            <w:shd w:val="clear" w:color="auto" w:fill="auto"/>
            <w:vAlign w:val="center"/>
          </w:tcPr>
          <w:p>
            <w:pPr>
              <w:spacing w:line="360" w:lineRule="exact"/>
              <w:jc w:val="right"/>
              <w:rPr>
                <w:szCs w:val="21"/>
              </w:rPr>
            </w:pPr>
            <w:r>
              <w:rPr>
                <w:szCs w:val="21"/>
              </w:rPr>
              <w:t>2,576,069</w:t>
            </w:r>
          </w:p>
        </w:tc>
        <w:tc>
          <w:tcPr>
            <w:tcW w:w="919" w:type="pct"/>
            <w:shd w:val="clear" w:color="auto" w:fill="auto"/>
            <w:vAlign w:val="center"/>
          </w:tcPr>
          <w:p>
            <w:pPr>
              <w:spacing w:line="360" w:lineRule="exact"/>
              <w:jc w:val="right"/>
              <w:rPr>
                <w:szCs w:val="21"/>
              </w:rPr>
            </w:pPr>
            <w:r>
              <w:rPr>
                <w:szCs w:val="21"/>
              </w:rPr>
              <w:t>9,026,493</w:t>
            </w:r>
          </w:p>
        </w:tc>
        <w:tc>
          <w:tcPr>
            <w:tcW w:w="909" w:type="pct"/>
            <w:shd w:val="clear" w:color="auto" w:fill="auto"/>
            <w:vAlign w:val="center"/>
          </w:tcPr>
          <w:p>
            <w:pPr>
              <w:spacing w:line="360" w:lineRule="exact"/>
              <w:jc w:val="right"/>
              <w:rPr>
                <w:szCs w:val="21"/>
              </w:rPr>
            </w:pPr>
            <w:r>
              <w:rPr>
                <w:szCs w:val="21"/>
              </w:rPr>
              <w:t>2,707,949</w:t>
            </w:r>
          </w:p>
        </w:tc>
      </w:tr>
      <w:tr>
        <w:trPr>
          <w:trHeight w:val="285"/>
        </w:trPr>
        <w:tc>
          <w:tcPr>
            <w:tcW w:w="1350" w:type="pct"/>
            <w:shd w:val="clear" w:color="auto" w:fill="auto"/>
            <w:vAlign w:val="center"/>
          </w:tcPr>
          <w:p>
            <w:pPr>
              <w:spacing w:line="360" w:lineRule="exact"/>
              <w:jc w:val="center"/>
              <w:rPr>
                <w:szCs w:val="21"/>
              </w:rPr>
            </w:pPr>
            <w:r>
              <w:rPr>
                <w:rFonts w:hint="eastAsia"/>
                <w:szCs w:val="21"/>
              </w:rPr>
              <w:t>合计</w:t>
            </w:r>
          </w:p>
        </w:tc>
        <w:tc>
          <w:tcPr>
            <w:tcW w:w="912" w:type="pct"/>
            <w:shd w:val="clear" w:color="auto" w:fill="auto"/>
            <w:vAlign w:val="center"/>
          </w:tcPr>
          <w:p>
            <w:pPr>
              <w:spacing w:line="360" w:lineRule="exact"/>
              <w:jc w:val="right"/>
              <w:rPr>
                <w:szCs w:val="21"/>
              </w:rPr>
            </w:pPr>
            <w:r>
              <w:rPr>
                <w:szCs w:val="21"/>
              </w:rPr>
              <w:t>30,200,695</w:t>
            </w:r>
          </w:p>
        </w:tc>
        <w:tc>
          <w:tcPr>
            <w:tcW w:w="910" w:type="pct"/>
            <w:shd w:val="clear" w:color="auto" w:fill="auto"/>
            <w:vAlign w:val="center"/>
          </w:tcPr>
          <w:p>
            <w:pPr>
              <w:spacing w:line="360" w:lineRule="exact"/>
              <w:jc w:val="right"/>
              <w:rPr>
                <w:szCs w:val="21"/>
              </w:rPr>
            </w:pPr>
            <w:r>
              <w:rPr>
                <w:szCs w:val="21"/>
              </w:rPr>
              <w:t>7,621,188</w:t>
            </w:r>
          </w:p>
        </w:tc>
        <w:tc>
          <w:tcPr>
            <w:tcW w:w="919" w:type="pct"/>
            <w:shd w:val="clear" w:color="auto" w:fill="auto"/>
            <w:vAlign w:val="center"/>
          </w:tcPr>
          <w:p>
            <w:pPr>
              <w:spacing w:line="360" w:lineRule="exact"/>
              <w:jc w:val="right"/>
              <w:rPr>
                <w:szCs w:val="21"/>
              </w:rPr>
            </w:pPr>
            <w:r>
              <w:rPr>
                <w:szCs w:val="21"/>
              </w:rPr>
              <w:t>33,672,348</w:t>
            </w:r>
          </w:p>
        </w:tc>
        <w:tc>
          <w:tcPr>
            <w:tcW w:w="909" w:type="pct"/>
            <w:shd w:val="clear" w:color="auto" w:fill="auto"/>
            <w:vAlign w:val="center"/>
          </w:tcPr>
          <w:p>
            <w:pPr>
              <w:spacing w:line="360" w:lineRule="exact"/>
              <w:jc w:val="right"/>
              <w:rPr>
                <w:szCs w:val="21"/>
              </w:rPr>
            </w:pPr>
            <w:r>
              <w:rPr>
                <w:szCs w:val="21"/>
              </w:rPr>
              <w:t>8,356,795</w:t>
            </w:r>
          </w:p>
        </w:tc>
      </w:tr>
    </w:tbl>
    <w:p>
      <w:pPr>
        <w:pStyle w:val="affffffffffffffffff3"/>
      </w:pPr>
    </w:p>
    <w:p>
      <w:pPr>
        <w:pStyle w:val="affffffffffffffffff7"/>
        <w:numPr>
          <w:ilvl w:val="0"/>
          <w:numId w:val="174"/>
        </w:numPr>
        <w:ind w:left="426" w:hanging="426"/>
      </w:pPr>
      <w:r>
        <w:rPr>
          <w:rFonts w:hint="eastAsia"/>
        </w:rPr>
        <w:t>未经抵销的递延所得税负债</w:t>
      </w:r>
    </w:p>
    <w:p>
      <w:pPr>
        <w:pStyle w:val="affffffffffffffffff3"/>
      </w:pPr>
      <w:sdt>
        <w:sdtPr>
          <w:alias w:val="是否适用：未经抵销的递延所得税负债[双击切换]"/>
          <w:tag w:val="_GBC_e7d8f83d611d4464afa60fcd4c2b0690"/>
          <w:id w:val="1531296911"/>
        </w:sdtPr>
        <w:sdtContent>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673390707"/>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未经抵销的递延所得税负债"/>
          <w:tag w:val="_GBC_e6ace91667794eff9d02520878b629f9"/>
          <w:id w:val="481355485"/>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6"/>
        <w:gridCol w:w="1634"/>
        <w:gridCol w:w="1623"/>
        <w:gridCol w:w="1616"/>
        <w:gridCol w:w="1634"/>
      </w:tblGrid>
      <w:tr>
        <w:trPr>
          <w:trHeight w:val="285"/>
        </w:trPr>
        <w:sdt>
          <w:sdtPr>
            <w:rPr>
              <w:szCs w:val="21"/>
            </w:rPr>
            <w:tag w:val="_PLD_e9bdb30dce784b4a9efd1b5efd6964fb"/>
            <w:id w:val="622888573"/>
          </w:sdtPr>
          <w:sdtContent>
            <w:tc>
              <w:tcPr>
                <w:tcW w:w="1312" w:type="pct"/>
                <w:vMerge w:val="restart"/>
                <w:shd w:val="clear" w:color="auto" w:fill="auto"/>
                <w:vAlign w:val="center"/>
              </w:tcPr>
              <w:p>
                <w:pPr>
                  <w:jc w:val="center"/>
                  <w:rPr>
                    <w:szCs w:val="21"/>
                  </w:rPr>
                </w:pPr>
                <w:r>
                  <w:rPr>
                    <w:rFonts w:hint="eastAsia"/>
                    <w:szCs w:val="21"/>
                  </w:rPr>
                  <w:t>项目</w:t>
                </w:r>
              </w:p>
            </w:tc>
          </w:sdtContent>
        </w:sdt>
        <w:sdt>
          <w:sdtPr>
            <w:rPr>
              <w:szCs w:val="21"/>
            </w:rPr>
            <w:tag w:val="_PLD_600f3752c404468197724275bf44cd43"/>
            <w:id w:val="-841932558"/>
          </w:sdtPr>
          <w:sdtContent>
            <w:tc>
              <w:tcPr>
                <w:tcW w:w="1846" w:type="pct"/>
                <w:gridSpan w:val="2"/>
                <w:shd w:val="clear" w:color="auto" w:fill="auto"/>
                <w:vAlign w:val="center"/>
              </w:tcPr>
              <w:p>
                <w:pPr>
                  <w:jc w:val="center"/>
                  <w:rPr>
                    <w:szCs w:val="21"/>
                  </w:rPr>
                </w:pPr>
                <w:r>
                  <w:rPr>
                    <w:rFonts w:hint="eastAsia"/>
                    <w:szCs w:val="21"/>
                  </w:rPr>
                  <w:t>期末余额</w:t>
                </w:r>
              </w:p>
            </w:tc>
          </w:sdtContent>
        </w:sdt>
        <w:sdt>
          <w:sdtPr>
            <w:rPr>
              <w:szCs w:val="21"/>
            </w:rPr>
            <w:tag w:val="_PLD_7e4b2554e2544865b74424edbdb55d4b"/>
            <w:id w:val="816928386"/>
          </w:sdtPr>
          <w:sdtContent>
            <w:tc>
              <w:tcPr>
                <w:tcW w:w="1842" w:type="pct"/>
                <w:gridSpan w:val="2"/>
                <w:shd w:val="clear" w:color="auto" w:fill="auto"/>
                <w:vAlign w:val="center"/>
              </w:tcPr>
              <w:p>
                <w:pPr>
                  <w:jc w:val="center"/>
                  <w:rPr>
                    <w:szCs w:val="21"/>
                  </w:rPr>
                </w:pPr>
                <w:r>
                  <w:rPr>
                    <w:rFonts w:hint="eastAsia"/>
                    <w:szCs w:val="21"/>
                  </w:rPr>
                  <w:t>期初余额</w:t>
                </w:r>
              </w:p>
            </w:tc>
          </w:sdtContent>
        </w:sdt>
      </w:tr>
      <w:tr>
        <w:trPr>
          <w:trHeight w:val="285"/>
        </w:trPr>
        <w:tc>
          <w:tcPr>
            <w:tcW w:w="1312" w:type="pct"/>
            <w:vMerge/>
            <w:shd w:val="clear" w:color="auto" w:fill="auto"/>
            <w:vAlign w:val="center"/>
          </w:tcPr>
          <w:p>
            <w:pPr>
              <w:jc w:val="center"/>
              <w:rPr>
                <w:b/>
                <w:szCs w:val="21"/>
              </w:rPr>
            </w:pPr>
          </w:p>
        </w:tc>
        <w:sdt>
          <w:sdtPr>
            <w:rPr>
              <w:szCs w:val="21"/>
            </w:rPr>
            <w:tag w:val="_PLD_2db432e06e184a41a8eb727ebb64ec40"/>
            <w:id w:val="478802199"/>
          </w:sdtPr>
          <w:sdtContent>
            <w:tc>
              <w:tcPr>
                <w:tcW w:w="926" w:type="pct"/>
                <w:shd w:val="clear" w:color="auto" w:fill="auto"/>
                <w:vAlign w:val="center"/>
              </w:tcPr>
              <w:p>
                <w:pPr>
                  <w:jc w:val="center"/>
                  <w:rPr>
                    <w:szCs w:val="21"/>
                  </w:rPr>
                </w:pPr>
                <w:r>
                  <w:rPr>
                    <w:rFonts w:ascii="Arial" w:hAnsi="Arial" w:hint="eastAsia"/>
                    <w:szCs w:val="21"/>
                  </w:rPr>
                  <w:t>应纳税暂时性差异</w:t>
                </w:r>
              </w:p>
            </w:tc>
          </w:sdtContent>
        </w:sdt>
        <w:sdt>
          <w:sdtPr>
            <w:rPr>
              <w:szCs w:val="21"/>
            </w:rPr>
            <w:tag w:val="_PLD_b3dd3e66f628452aab8284dc189a458b"/>
            <w:id w:val="1995449306"/>
          </w:sdtPr>
          <w:sdtContent>
            <w:tc>
              <w:tcPr>
                <w:tcW w:w="92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sdt>
          <w:sdtPr>
            <w:rPr>
              <w:szCs w:val="21"/>
            </w:rPr>
            <w:tag w:val="_PLD_3e69493cf6a2462eab1eaf8ece87a89d"/>
            <w:id w:val="-1410151877"/>
          </w:sdtPr>
          <w:sdtContent>
            <w:tc>
              <w:tcPr>
                <w:tcW w:w="916" w:type="pct"/>
                <w:shd w:val="clear" w:color="auto" w:fill="auto"/>
                <w:vAlign w:val="center"/>
              </w:tcPr>
              <w:p>
                <w:pPr>
                  <w:jc w:val="center"/>
                  <w:rPr>
                    <w:szCs w:val="21"/>
                  </w:rPr>
                </w:pPr>
                <w:r>
                  <w:rPr>
                    <w:rFonts w:ascii="Arial" w:hAnsi="Arial" w:hint="eastAsia"/>
                    <w:szCs w:val="21"/>
                  </w:rPr>
                  <w:t>应纳税暂时性差异</w:t>
                </w:r>
              </w:p>
            </w:tc>
          </w:sdtContent>
        </w:sdt>
        <w:sdt>
          <w:sdtPr>
            <w:rPr>
              <w:szCs w:val="21"/>
            </w:rPr>
            <w:tag w:val="_PLD_ad4c3389a4a04a96990ace5203f3adbb"/>
            <w:id w:val="-1455171629"/>
          </w:sdtPr>
          <w:sdtContent>
            <w:tc>
              <w:tcPr>
                <w:tcW w:w="926"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tr>
      <w:sdt>
        <w:sdtPr>
          <w:rPr>
            <w:szCs w:val="21"/>
          </w:rPr>
          <w:alias w:val="递延所得税负债明细"/>
          <w:tag w:val="_TUP_8036f0bdcd3a43a38ae605c99228b929"/>
          <w:id w:val="338901355"/>
        </w:sdtPr>
        <w:sdtContent>
          <w:tr>
            <w:trPr>
              <w:trHeight w:val="285"/>
            </w:trPr>
            <w:tc>
              <w:tcPr>
                <w:tcW w:w="1312" w:type="pct"/>
                <w:shd w:val="clear" w:color="auto" w:fill="auto"/>
                <w:vAlign w:val="center"/>
              </w:tcPr>
              <w:p>
                <w:pPr>
                  <w:rPr>
                    <w:szCs w:val="21"/>
                  </w:rPr>
                </w:pPr>
                <w:r>
                  <w:rPr>
                    <w:rFonts w:hint="eastAsia"/>
                    <w:szCs w:val="21"/>
                  </w:rPr>
                  <w:t>母公司及境内子公司：</w:t>
                </w:r>
              </w:p>
            </w:tc>
            <w:tc>
              <w:tcPr>
                <w:tcW w:w="926" w:type="pct"/>
                <w:shd w:val="clear" w:color="auto" w:fill="auto"/>
                <w:vAlign w:val="center"/>
              </w:tcPr>
              <w:p>
                <w:pPr>
                  <w:jc w:val="right"/>
                  <w:rPr>
                    <w:szCs w:val="21"/>
                  </w:rPr>
                </w:pPr>
              </w:p>
            </w:tc>
            <w:tc>
              <w:tcPr>
                <w:tcW w:w="920" w:type="pct"/>
                <w:shd w:val="clear" w:color="auto" w:fill="auto"/>
                <w:vAlign w:val="center"/>
              </w:tcPr>
              <w:p>
                <w:pPr>
                  <w:jc w:val="right"/>
                  <w:rPr>
                    <w:szCs w:val="21"/>
                  </w:rPr>
                </w:pPr>
              </w:p>
            </w:tc>
            <w:tc>
              <w:tcPr>
                <w:tcW w:w="916" w:type="pct"/>
                <w:shd w:val="clear" w:color="auto" w:fill="auto"/>
                <w:vAlign w:val="center"/>
              </w:tcPr>
              <w:p>
                <w:pPr>
                  <w:jc w:val="right"/>
                  <w:rPr>
                    <w:szCs w:val="21"/>
                  </w:rPr>
                </w:pPr>
              </w:p>
            </w:tc>
            <w:tc>
              <w:tcPr>
                <w:tcW w:w="926" w:type="pct"/>
                <w:shd w:val="clear" w:color="auto" w:fill="auto"/>
                <w:vAlign w:val="center"/>
              </w:tcPr>
              <w:p>
                <w:pPr>
                  <w:jc w:val="right"/>
                  <w:rPr>
                    <w:szCs w:val="21"/>
                  </w:rPr>
                </w:pPr>
              </w:p>
            </w:tc>
          </w:tr>
        </w:sdtContent>
      </w:sdt>
      <w:tr>
        <w:trPr>
          <w:trHeight w:val="285"/>
        </w:trPr>
        <w:tc>
          <w:tcPr>
            <w:tcW w:w="1312" w:type="pct"/>
            <w:shd w:val="clear" w:color="auto" w:fill="auto"/>
            <w:vAlign w:val="center"/>
          </w:tcPr>
          <w:p>
            <w:pPr>
              <w:spacing w:line="360" w:lineRule="exact"/>
              <w:rPr>
                <w:szCs w:val="21"/>
              </w:rPr>
            </w:pPr>
            <w:r>
              <w:rPr>
                <w:rFonts w:hint="eastAsia"/>
                <w:szCs w:val="21"/>
              </w:rPr>
              <w:t>采（探）矿权公允价值</w:t>
            </w:r>
          </w:p>
        </w:tc>
        <w:tc>
          <w:tcPr>
            <w:tcW w:w="926" w:type="pct"/>
            <w:shd w:val="clear" w:color="auto" w:fill="auto"/>
            <w:vAlign w:val="center"/>
          </w:tcPr>
          <w:p>
            <w:pPr>
              <w:spacing w:line="360" w:lineRule="exact"/>
              <w:jc w:val="right"/>
              <w:rPr>
                <w:szCs w:val="21"/>
              </w:rPr>
            </w:pPr>
            <w:r>
              <w:rPr>
                <w:szCs w:val="21"/>
              </w:rPr>
              <w:t>23,856,869</w:t>
            </w:r>
          </w:p>
        </w:tc>
        <w:tc>
          <w:tcPr>
            <w:tcW w:w="920" w:type="pct"/>
            <w:shd w:val="clear" w:color="auto" w:fill="auto"/>
            <w:vAlign w:val="center"/>
          </w:tcPr>
          <w:p>
            <w:pPr>
              <w:spacing w:line="360" w:lineRule="exact"/>
              <w:jc w:val="right"/>
              <w:rPr>
                <w:szCs w:val="21"/>
              </w:rPr>
            </w:pPr>
            <w:r>
              <w:rPr>
                <w:szCs w:val="21"/>
              </w:rPr>
              <w:t>5,838,214</w:t>
            </w:r>
          </w:p>
        </w:tc>
        <w:tc>
          <w:tcPr>
            <w:tcW w:w="916" w:type="pct"/>
            <w:shd w:val="clear" w:color="auto" w:fill="auto"/>
            <w:vAlign w:val="center"/>
          </w:tcPr>
          <w:p>
            <w:pPr>
              <w:spacing w:line="360" w:lineRule="exact"/>
              <w:jc w:val="right"/>
              <w:rPr>
                <w:szCs w:val="21"/>
              </w:rPr>
            </w:pPr>
            <w:r>
              <w:rPr>
                <w:szCs w:val="21"/>
              </w:rPr>
              <w:t>23,848,428</w:t>
            </w:r>
          </w:p>
        </w:tc>
        <w:tc>
          <w:tcPr>
            <w:tcW w:w="926" w:type="pct"/>
            <w:shd w:val="clear" w:color="auto" w:fill="auto"/>
            <w:vAlign w:val="center"/>
          </w:tcPr>
          <w:p>
            <w:pPr>
              <w:spacing w:line="360" w:lineRule="exact"/>
              <w:jc w:val="right"/>
              <w:rPr>
                <w:szCs w:val="21"/>
              </w:rPr>
            </w:pPr>
            <w:r>
              <w:rPr>
                <w:szCs w:val="21"/>
              </w:rPr>
              <w:t>5,849,537</w:t>
            </w:r>
          </w:p>
        </w:tc>
      </w:tr>
      <w:tr>
        <w:trPr>
          <w:trHeight w:val="285"/>
        </w:trPr>
        <w:tc>
          <w:tcPr>
            <w:tcW w:w="1312" w:type="pct"/>
            <w:shd w:val="clear" w:color="auto" w:fill="auto"/>
            <w:vAlign w:val="center"/>
          </w:tcPr>
          <w:p>
            <w:pPr>
              <w:spacing w:line="360" w:lineRule="exact"/>
              <w:rPr>
                <w:szCs w:val="21"/>
              </w:rPr>
            </w:pPr>
            <w:r>
              <w:rPr>
                <w:rFonts w:hint="eastAsia"/>
                <w:szCs w:val="21"/>
              </w:rPr>
              <w:t>弃置义务</w:t>
            </w:r>
          </w:p>
        </w:tc>
        <w:tc>
          <w:tcPr>
            <w:tcW w:w="926" w:type="pct"/>
            <w:shd w:val="clear" w:color="auto" w:fill="auto"/>
            <w:vAlign w:val="center"/>
          </w:tcPr>
          <w:p>
            <w:pPr>
              <w:spacing w:line="360" w:lineRule="exact"/>
              <w:jc w:val="right"/>
              <w:rPr>
                <w:szCs w:val="21"/>
              </w:rPr>
            </w:pPr>
            <w:r>
              <w:rPr>
                <w:szCs w:val="21"/>
              </w:rPr>
              <w:t>4,670,699</w:t>
            </w:r>
          </w:p>
        </w:tc>
        <w:tc>
          <w:tcPr>
            <w:tcW w:w="920" w:type="pct"/>
            <w:shd w:val="clear" w:color="auto" w:fill="auto"/>
            <w:vAlign w:val="center"/>
          </w:tcPr>
          <w:p>
            <w:pPr>
              <w:spacing w:line="360" w:lineRule="exact"/>
              <w:jc w:val="right"/>
              <w:rPr>
                <w:szCs w:val="21"/>
              </w:rPr>
            </w:pPr>
            <w:r>
              <w:rPr>
                <w:szCs w:val="21"/>
              </w:rPr>
              <w:t>1,111,782</w:t>
            </w:r>
          </w:p>
        </w:tc>
        <w:tc>
          <w:tcPr>
            <w:tcW w:w="916" w:type="pct"/>
            <w:shd w:val="clear" w:color="auto" w:fill="auto"/>
            <w:vAlign w:val="center"/>
          </w:tcPr>
          <w:p>
            <w:pPr>
              <w:spacing w:line="360" w:lineRule="exact"/>
              <w:jc w:val="right"/>
              <w:rPr>
                <w:szCs w:val="21"/>
              </w:rPr>
            </w:pPr>
            <w:r>
              <w:rPr>
                <w:szCs w:val="21"/>
              </w:rPr>
              <w:t>5,837,172</w:t>
            </w:r>
          </w:p>
        </w:tc>
        <w:tc>
          <w:tcPr>
            <w:tcW w:w="926" w:type="pct"/>
            <w:shd w:val="clear" w:color="auto" w:fill="auto"/>
            <w:vAlign w:val="center"/>
          </w:tcPr>
          <w:p>
            <w:pPr>
              <w:spacing w:line="360" w:lineRule="exact"/>
              <w:jc w:val="right"/>
              <w:rPr>
                <w:szCs w:val="21"/>
              </w:rPr>
            </w:pPr>
            <w:r>
              <w:rPr>
                <w:szCs w:val="21"/>
              </w:rPr>
              <w:t>1,397,502</w:t>
            </w:r>
          </w:p>
        </w:tc>
      </w:tr>
      <w:tr>
        <w:trPr>
          <w:trHeight w:val="285"/>
        </w:trPr>
        <w:tc>
          <w:tcPr>
            <w:tcW w:w="1312" w:type="pct"/>
            <w:shd w:val="clear" w:color="auto" w:fill="auto"/>
            <w:vAlign w:val="center"/>
          </w:tcPr>
          <w:p>
            <w:pPr>
              <w:spacing w:line="360" w:lineRule="exact"/>
              <w:rPr>
                <w:szCs w:val="21"/>
              </w:rPr>
            </w:pPr>
            <w:r>
              <w:rPr>
                <w:rFonts w:hint="eastAsia"/>
                <w:szCs w:val="21"/>
              </w:rPr>
              <w:t>固定资产加速折旧</w:t>
            </w:r>
          </w:p>
        </w:tc>
        <w:tc>
          <w:tcPr>
            <w:tcW w:w="926" w:type="pct"/>
            <w:shd w:val="clear" w:color="auto" w:fill="auto"/>
            <w:vAlign w:val="center"/>
          </w:tcPr>
          <w:p>
            <w:pPr>
              <w:spacing w:line="360" w:lineRule="exact"/>
              <w:jc w:val="right"/>
              <w:rPr>
                <w:szCs w:val="21"/>
              </w:rPr>
            </w:pPr>
            <w:r>
              <w:rPr>
                <w:szCs w:val="21"/>
              </w:rPr>
              <w:t>2,423,654</w:t>
            </w:r>
          </w:p>
        </w:tc>
        <w:tc>
          <w:tcPr>
            <w:tcW w:w="920" w:type="pct"/>
            <w:shd w:val="clear" w:color="auto" w:fill="auto"/>
            <w:vAlign w:val="center"/>
          </w:tcPr>
          <w:p>
            <w:pPr>
              <w:spacing w:line="360" w:lineRule="exact"/>
              <w:jc w:val="right"/>
              <w:rPr>
                <w:szCs w:val="21"/>
              </w:rPr>
            </w:pPr>
            <w:r>
              <w:rPr>
                <w:szCs w:val="21"/>
              </w:rPr>
              <w:t>570,230</w:t>
            </w:r>
          </w:p>
        </w:tc>
        <w:tc>
          <w:tcPr>
            <w:tcW w:w="916" w:type="pct"/>
            <w:shd w:val="clear" w:color="auto" w:fill="auto"/>
            <w:vAlign w:val="center"/>
          </w:tcPr>
          <w:p>
            <w:pPr>
              <w:spacing w:line="360" w:lineRule="exact"/>
              <w:jc w:val="right"/>
              <w:rPr>
                <w:szCs w:val="21"/>
              </w:rPr>
            </w:pPr>
            <w:r>
              <w:rPr>
                <w:szCs w:val="21"/>
              </w:rPr>
              <w:t>2,306,893</w:t>
            </w:r>
          </w:p>
        </w:tc>
        <w:tc>
          <w:tcPr>
            <w:tcW w:w="926" w:type="pct"/>
            <w:shd w:val="clear" w:color="auto" w:fill="auto"/>
            <w:vAlign w:val="center"/>
          </w:tcPr>
          <w:p>
            <w:pPr>
              <w:spacing w:line="360" w:lineRule="exact"/>
              <w:jc w:val="right"/>
              <w:rPr>
                <w:szCs w:val="21"/>
              </w:rPr>
            </w:pPr>
            <w:r>
              <w:rPr>
                <w:szCs w:val="21"/>
              </w:rPr>
              <w:t>526,979</w:t>
            </w:r>
          </w:p>
        </w:tc>
      </w:tr>
      <w:tr>
        <w:trPr>
          <w:trHeight w:val="285"/>
        </w:trPr>
        <w:tc>
          <w:tcPr>
            <w:tcW w:w="1312" w:type="pct"/>
            <w:shd w:val="clear" w:color="auto" w:fill="auto"/>
            <w:vAlign w:val="center"/>
          </w:tcPr>
          <w:p>
            <w:pPr>
              <w:spacing w:line="360" w:lineRule="exact"/>
              <w:rPr>
                <w:szCs w:val="21"/>
              </w:rPr>
            </w:pPr>
            <w:r>
              <w:rPr>
                <w:rFonts w:hint="eastAsia"/>
                <w:szCs w:val="21"/>
              </w:rPr>
              <w:t>非同一控制下企业合</w:t>
            </w:r>
            <w:r>
              <w:rPr>
                <w:szCs w:val="21"/>
              </w:rPr>
              <w:t xml:space="preserve"> 并资产评估增值</w:t>
            </w:r>
          </w:p>
        </w:tc>
        <w:tc>
          <w:tcPr>
            <w:tcW w:w="926" w:type="pct"/>
            <w:shd w:val="clear" w:color="auto" w:fill="auto"/>
            <w:vAlign w:val="center"/>
          </w:tcPr>
          <w:p>
            <w:pPr>
              <w:spacing w:line="360" w:lineRule="exact"/>
              <w:jc w:val="right"/>
              <w:rPr>
                <w:szCs w:val="21"/>
              </w:rPr>
            </w:pPr>
            <w:r>
              <w:rPr>
                <w:szCs w:val="21"/>
              </w:rPr>
              <w:t>787,199</w:t>
            </w:r>
          </w:p>
        </w:tc>
        <w:tc>
          <w:tcPr>
            <w:tcW w:w="920" w:type="pct"/>
            <w:shd w:val="clear" w:color="auto" w:fill="auto"/>
            <w:vAlign w:val="center"/>
          </w:tcPr>
          <w:p>
            <w:pPr>
              <w:spacing w:line="360" w:lineRule="exact"/>
              <w:jc w:val="right"/>
              <w:rPr>
                <w:szCs w:val="21"/>
              </w:rPr>
            </w:pPr>
            <w:r>
              <w:rPr>
                <w:szCs w:val="21"/>
              </w:rPr>
              <w:t>196,800</w:t>
            </w:r>
          </w:p>
        </w:tc>
        <w:tc>
          <w:tcPr>
            <w:tcW w:w="916" w:type="pct"/>
            <w:shd w:val="clear" w:color="auto" w:fill="auto"/>
            <w:vAlign w:val="center"/>
          </w:tcPr>
          <w:p>
            <w:pPr>
              <w:spacing w:line="360" w:lineRule="exact"/>
              <w:jc w:val="right"/>
              <w:rPr>
                <w:szCs w:val="21"/>
              </w:rPr>
            </w:pPr>
            <w:r>
              <w:rPr>
                <w:szCs w:val="21"/>
              </w:rPr>
              <w:t>430,146</w:t>
            </w:r>
          </w:p>
        </w:tc>
        <w:tc>
          <w:tcPr>
            <w:tcW w:w="926" w:type="pct"/>
            <w:shd w:val="clear" w:color="auto" w:fill="auto"/>
            <w:vAlign w:val="center"/>
          </w:tcPr>
          <w:p>
            <w:pPr>
              <w:spacing w:line="360" w:lineRule="exact"/>
              <w:jc w:val="right"/>
              <w:rPr>
                <w:szCs w:val="21"/>
              </w:rPr>
            </w:pPr>
            <w:r>
              <w:rPr>
                <w:szCs w:val="21"/>
              </w:rPr>
              <w:t>107,536</w:t>
            </w:r>
          </w:p>
        </w:tc>
      </w:tr>
      <w:tr>
        <w:trPr>
          <w:trHeight w:val="285"/>
        </w:trPr>
        <w:tc>
          <w:tcPr>
            <w:tcW w:w="1312" w:type="pct"/>
            <w:shd w:val="clear" w:color="auto" w:fill="auto"/>
            <w:vAlign w:val="center"/>
          </w:tcPr>
          <w:p>
            <w:pPr>
              <w:spacing w:line="360" w:lineRule="exact"/>
              <w:rPr>
                <w:szCs w:val="21"/>
              </w:rPr>
            </w:pPr>
            <w:r>
              <w:rPr>
                <w:rFonts w:hint="eastAsia"/>
                <w:szCs w:val="21"/>
              </w:rPr>
              <w:t>固定资产转投资性房地产</w:t>
            </w:r>
          </w:p>
        </w:tc>
        <w:tc>
          <w:tcPr>
            <w:tcW w:w="926" w:type="pct"/>
            <w:shd w:val="clear" w:color="auto" w:fill="auto"/>
            <w:vAlign w:val="center"/>
          </w:tcPr>
          <w:p>
            <w:pPr>
              <w:spacing w:line="360" w:lineRule="exact"/>
              <w:jc w:val="right"/>
              <w:rPr>
                <w:szCs w:val="21"/>
              </w:rPr>
            </w:pPr>
            <w:r>
              <w:rPr>
                <w:szCs w:val="21"/>
              </w:rPr>
              <w:t>343,924</w:t>
            </w:r>
          </w:p>
        </w:tc>
        <w:tc>
          <w:tcPr>
            <w:tcW w:w="920" w:type="pct"/>
            <w:shd w:val="clear" w:color="auto" w:fill="auto"/>
            <w:vAlign w:val="center"/>
          </w:tcPr>
          <w:p>
            <w:pPr>
              <w:spacing w:line="360" w:lineRule="exact"/>
              <w:jc w:val="right"/>
              <w:rPr>
                <w:szCs w:val="21"/>
              </w:rPr>
            </w:pPr>
            <w:r>
              <w:rPr>
                <w:szCs w:val="21"/>
              </w:rPr>
              <w:t>85,981</w:t>
            </w:r>
          </w:p>
        </w:tc>
        <w:tc>
          <w:tcPr>
            <w:tcW w:w="916" w:type="pct"/>
            <w:shd w:val="clear" w:color="auto" w:fill="auto"/>
            <w:vAlign w:val="center"/>
          </w:tcPr>
          <w:p>
            <w:pPr>
              <w:spacing w:line="360" w:lineRule="exact"/>
              <w:jc w:val="right"/>
              <w:rPr>
                <w:szCs w:val="21"/>
              </w:rPr>
            </w:pPr>
            <w:r>
              <w:rPr>
                <w:szCs w:val="21"/>
              </w:rPr>
              <w:t>352,077</w:t>
            </w:r>
          </w:p>
        </w:tc>
        <w:tc>
          <w:tcPr>
            <w:tcW w:w="926" w:type="pct"/>
            <w:shd w:val="clear" w:color="auto" w:fill="auto"/>
            <w:vAlign w:val="center"/>
          </w:tcPr>
          <w:p>
            <w:pPr>
              <w:spacing w:line="360" w:lineRule="exact"/>
              <w:jc w:val="right"/>
              <w:rPr>
                <w:szCs w:val="21"/>
              </w:rPr>
            </w:pPr>
            <w:r>
              <w:rPr>
                <w:szCs w:val="21"/>
              </w:rPr>
              <w:t>88,019</w:t>
            </w:r>
          </w:p>
        </w:tc>
      </w:tr>
      <w:tr>
        <w:trPr>
          <w:trHeight w:val="285"/>
        </w:trPr>
        <w:tc>
          <w:tcPr>
            <w:tcW w:w="1312" w:type="pct"/>
            <w:shd w:val="clear" w:color="auto" w:fill="auto"/>
            <w:vAlign w:val="center"/>
          </w:tcPr>
          <w:p>
            <w:pPr>
              <w:spacing w:line="360" w:lineRule="exact"/>
              <w:rPr>
                <w:szCs w:val="21"/>
              </w:rPr>
            </w:pPr>
            <w:r>
              <w:rPr>
                <w:rFonts w:hint="eastAsia"/>
                <w:szCs w:val="21"/>
              </w:rPr>
              <w:t>投资性房地产公允价值变动</w:t>
            </w:r>
          </w:p>
        </w:tc>
        <w:tc>
          <w:tcPr>
            <w:tcW w:w="926" w:type="pct"/>
            <w:shd w:val="clear" w:color="auto" w:fill="auto"/>
            <w:vAlign w:val="center"/>
          </w:tcPr>
          <w:p>
            <w:pPr>
              <w:spacing w:line="360" w:lineRule="exact"/>
              <w:jc w:val="right"/>
              <w:rPr>
                <w:szCs w:val="21"/>
              </w:rPr>
            </w:pPr>
            <w:r>
              <w:rPr>
                <w:szCs w:val="21"/>
              </w:rPr>
              <w:t>185,709</w:t>
            </w:r>
          </w:p>
        </w:tc>
        <w:tc>
          <w:tcPr>
            <w:tcW w:w="920" w:type="pct"/>
            <w:shd w:val="clear" w:color="auto" w:fill="auto"/>
            <w:vAlign w:val="center"/>
          </w:tcPr>
          <w:p>
            <w:pPr>
              <w:spacing w:line="360" w:lineRule="exact"/>
              <w:jc w:val="right"/>
              <w:rPr>
                <w:szCs w:val="21"/>
              </w:rPr>
            </w:pPr>
            <w:r>
              <w:rPr>
                <w:szCs w:val="21"/>
              </w:rPr>
              <w:t>42,294</w:t>
            </w:r>
          </w:p>
        </w:tc>
        <w:tc>
          <w:tcPr>
            <w:tcW w:w="916" w:type="pct"/>
            <w:shd w:val="clear" w:color="auto" w:fill="auto"/>
            <w:vAlign w:val="center"/>
          </w:tcPr>
          <w:p>
            <w:pPr>
              <w:spacing w:line="360" w:lineRule="exact"/>
              <w:jc w:val="right"/>
              <w:rPr>
                <w:szCs w:val="21"/>
              </w:rPr>
            </w:pPr>
            <w:r>
              <w:rPr>
                <w:szCs w:val="21"/>
              </w:rPr>
              <w:t>156,923</w:t>
            </w:r>
          </w:p>
        </w:tc>
        <w:tc>
          <w:tcPr>
            <w:tcW w:w="926" w:type="pct"/>
            <w:shd w:val="clear" w:color="auto" w:fill="auto"/>
            <w:vAlign w:val="center"/>
          </w:tcPr>
          <w:p>
            <w:pPr>
              <w:spacing w:line="360" w:lineRule="exact"/>
              <w:jc w:val="right"/>
              <w:rPr>
                <w:szCs w:val="21"/>
              </w:rPr>
            </w:pPr>
            <w:r>
              <w:rPr>
                <w:szCs w:val="21"/>
              </w:rPr>
              <w:t>39,231</w:t>
            </w:r>
          </w:p>
        </w:tc>
      </w:tr>
      <w:tr>
        <w:trPr>
          <w:trHeight w:val="285"/>
        </w:trPr>
        <w:tc>
          <w:tcPr>
            <w:tcW w:w="1312" w:type="pct"/>
            <w:shd w:val="clear" w:color="auto" w:fill="auto"/>
            <w:vAlign w:val="center"/>
          </w:tcPr>
          <w:p>
            <w:pPr>
              <w:spacing w:line="360" w:lineRule="exact"/>
              <w:rPr>
                <w:szCs w:val="21"/>
              </w:rPr>
            </w:pPr>
            <w:r>
              <w:rPr>
                <w:rFonts w:hint="eastAsia"/>
                <w:szCs w:val="21"/>
              </w:rPr>
              <w:t>其他非流动金融资产公允价值调整</w:t>
            </w:r>
          </w:p>
        </w:tc>
        <w:tc>
          <w:tcPr>
            <w:tcW w:w="926" w:type="pct"/>
            <w:shd w:val="clear" w:color="auto" w:fill="auto"/>
            <w:vAlign w:val="center"/>
          </w:tcPr>
          <w:p>
            <w:pPr>
              <w:spacing w:line="360" w:lineRule="exact"/>
              <w:jc w:val="right"/>
              <w:rPr>
                <w:szCs w:val="21"/>
              </w:rPr>
            </w:pPr>
            <w:r>
              <w:rPr>
                <w:szCs w:val="21"/>
              </w:rPr>
              <w:t>24,538</w:t>
            </w:r>
          </w:p>
        </w:tc>
        <w:tc>
          <w:tcPr>
            <w:tcW w:w="920" w:type="pct"/>
            <w:shd w:val="clear" w:color="auto" w:fill="auto"/>
            <w:vAlign w:val="center"/>
          </w:tcPr>
          <w:p>
            <w:pPr>
              <w:spacing w:line="360" w:lineRule="exact"/>
              <w:jc w:val="right"/>
              <w:rPr>
                <w:szCs w:val="21"/>
              </w:rPr>
            </w:pPr>
            <w:r>
              <w:rPr>
                <w:szCs w:val="21"/>
              </w:rPr>
              <w:t>6,135</w:t>
            </w:r>
          </w:p>
        </w:tc>
        <w:tc>
          <w:tcPr>
            <w:tcW w:w="916" w:type="pct"/>
            <w:shd w:val="clear" w:color="auto" w:fill="auto"/>
            <w:vAlign w:val="center"/>
          </w:tcPr>
          <w:p>
            <w:pPr>
              <w:spacing w:line="360" w:lineRule="exact"/>
              <w:jc w:val="right"/>
              <w:rPr>
                <w:szCs w:val="21"/>
              </w:rPr>
            </w:pPr>
            <w:r>
              <w:rPr>
                <w:szCs w:val="21"/>
              </w:rPr>
              <w:t>35,991</w:t>
            </w:r>
          </w:p>
        </w:tc>
        <w:tc>
          <w:tcPr>
            <w:tcW w:w="926" w:type="pct"/>
            <w:shd w:val="clear" w:color="auto" w:fill="auto"/>
            <w:vAlign w:val="center"/>
          </w:tcPr>
          <w:p>
            <w:pPr>
              <w:spacing w:line="360" w:lineRule="exact"/>
              <w:jc w:val="right"/>
              <w:rPr>
                <w:szCs w:val="21"/>
              </w:rPr>
            </w:pPr>
            <w:r>
              <w:rPr>
                <w:szCs w:val="21"/>
              </w:rPr>
              <w:t>8,998</w:t>
            </w:r>
          </w:p>
        </w:tc>
      </w:tr>
      <w:tr>
        <w:trPr>
          <w:trHeight w:val="285"/>
        </w:trPr>
        <w:tc>
          <w:tcPr>
            <w:tcW w:w="1312" w:type="pct"/>
            <w:shd w:val="clear" w:color="auto" w:fill="auto"/>
            <w:vAlign w:val="center"/>
          </w:tcPr>
          <w:p>
            <w:pPr>
              <w:spacing w:line="360" w:lineRule="exact"/>
              <w:rPr>
                <w:szCs w:val="21"/>
              </w:rPr>
            </w:pPr>
            <w:r>
              <w:rPr>
                <w:rFonts w:hint="eastAsia"/>
                <w:szCs w:val="21"/>
              </w:rPr>
              <w:t>使用权资产</w:t>
            </w:r>
          </w:p>
        </w:tc>
        <w:tc>
          <w:tcPr>
            <w:tcW w:w="926" w:type="pct"/>
            <w:shd w:val="clear" w:color="auto" w:fill="auto"/>
            <w:vAlign w:val="center"/>
          </w:tcPr>
          <w:p>
            <w:pPr>
              <w:spacing w:line="360" w:lineRule="exact"/>
              <w:jc w:val="right"/>
              <w:rPr>
                <w:szCs w:val="21"/>
              </w:rPr>
            </w:pPr>
            <w:r>
              <w:rPr>
                <w:szCs w:val="21"/>
              </w:rPr>
              <w:t>38,341</w:t>
            </w:r>
          </w:p>
        </w:tc>
        <w:tc>
          <w:tcPr>
            <w:tcW w:w="920" w:type="pct"/>
            <w:shd w:val="clear" w:color="auto" w:fill="auto"/>
            <w:vAlign w:val="center"/>
          </w:tcPr>
          <w:p>
            <w:pPr>
              <w:spacing w:line="360" w:lineRule="exact"/>
              <w:jc w:val="right"/>
              <w:rPr>
                <w:szCs w:val="21"/>
              </w:rPr>
            </w:pPr>
            <w:r>
              <w:rPr>
                <w:szCs w:val="21"/>
              </w:rPr>
              <w:t>8,687</w:t>
            </w:r>
          </w:p>
        </w:tc>
        <w:tc>
          <w:tcPr>
            <w:tcW w:w="916" w:type="pct"/>
            <w:shd w:val="clear" w:color="auto" w:fill="auto"/>
            <w:vAlign w:val="center"/>
          </w:tcPr>
          <w:p>
            <w:pPr>
              <w:spacing w:line="360" w:lineRule="exact"/>
              <w:jc w:val="right"/>
              <w:rPr>
                <w:szCs w:val="21"/>
              </w:rPr>
            </w:pPr>
            <w:r>
              <w:rPr>
                <w:szCs w:val="21"/>
              </w:rPr>
              <w:t>16,984</w:t>
            </w:r>
          </w:p>
        </w:tc>
        <w:tc>
          <w:tcPr>
            <w:tcW w:w="926" w:type="pct"/>
            <w:shd w:val="clear" w:color="auto" w:fill="auto"/>
            <w:vAlign w:val="center"/>
          </w:tcPr>
          <w:p>
            <w:pPr>
              <w:spacing w:line="360" w:lineRule="exact"/>
              <w:jc w:val="right"/>
              <w:rPr>
                <w:szCs w:val="21"/>
              </w:rPr>
            </w:pPr>
            <w:r>
              <w:rPr>
                <w:szCs w:val="21"/>
              </w:rPr>
              <w:t>3,960</w:t>
            </w:r>
          </w:p>
        </w:tc>
      </w:tr>
      <w:tr>
        <w:trPr>
          <w:trHeight w:val="285"/>
        </w:trPr>
        <w:tc>
          <w:tcPr>
            <w:tcW w:w="1312" w:type="pct"/>
            <w:shd w:val="clear" w:color="auto" w:fill="auto"/>
            <w:vAlign w:val="center"/>
          </w:tcPr>
          <w:p>
            <w:pPr>
              <w:spacing w:line="360" w:lineRule="exact"/>
              <w:rPr>
                <w:szCs w:val="21"/>
              </w:rPr>
            </w:pPr>
            <w:r>
              <w:rPr>
                <w:rFonts w:hint="eastAsia"/>
                <w:szCs w:val="21"/>
              </w:rPr>
              <w:t>其他权益工具投资公允价值变动</w:t>
            </w:r>
          </w:p>
        </w:tc>
        <w:tc>
          <w:tcPr>
            <w:tcW w:w="926" w:type="pct"/>
            <w:shd w:val="clear" w:color="auto" w:fill="auto"/>
            <w:vAlign w:val="center"/>
          </w:tcPr>
          <w:p>
            <w:pPr>
              <w:spacing w:line="360" w:lineRule="exact"/>
              <w:jc w:val="right"/>
              <w:rPr>
                <w:szCs w:val="21"/>
              </w:rPr>
            </w:pPr>
            <w:r>
              <w:rPr>
                <w:szCs w:val="21"/>
              </w:rPr>
              <w:t>237</w:t>
            </w:r>
          </w:p>
        </w:tc>
        <w:tc>
          <w:tcPr>
            <w:tcW w:w="920" w:type="pct"/>
            <w:shd w:val="clear" w:color="auto" w:fill="auto"/>
            <w:vAlign w:val="center"/>
          </w:tcPr>
          <w:p>
            <w:pPr>
              <w:spacing w:line="360" w:lineRule="exact"/>
              <w:jc w:val="right"/>
              <w:rPr>
                <w:szCs w:val="21"/>
              </w:rPr>
            </w:pPr>
            <w:r>
              <w:rPr>
                <w:szCs w:val="21"/>
              </w:rPr>
              <w:t>59</w:t>
            </w:r>
          </w:p>
        </w:tc>
        <w:tc>
          <w:tcPr>
            <w:tcW w:w="916" w:type="pct"/>
            <w:shd w:val="clear" w:color="auto" w:fill="auto"/>
            <w:vAlign w:val="center"/>
          </w:tcPr>
          <w:p>
            <w:pPr>
              <w:spacing w:line="360" w:lineRule="exact"/>
              <w:jc w:val="right"/>
              <w:rPr>
                <w:szCs w:val="21"/>
              </w:rPr>
            </w:pPr>
            <w:r>
              <w:rPr>
                <w:szCs w:val="21"/>
              </w:rPr>
              <w:t>277</w:t>
            </w:r>
          </w:p>
        </w:tc>
        <w:tc>
          <w:tcPr>
            <w:tcW w:w="926" w:type="pct"/>
            <w:shd w:val="clear" w:color="auto" w:fill="auto"/>
            <w:vAlign w:val="center"/>
          </w:tcPr>
          <w:p>
            <w:pPr>
              <w:spacing w:line="360" w:lineRule="exact"/>
              <w:jc w:val="right"/>
              <w:rPr>
                <w:szCs w:val="21"/>
              </w:rPr>
            </w:pPr>
            <w:r>
              <w:rPr>
                <w:szCs w:val="21"/>
              </w:rPr>
              <w:t>69</w:t>
            </w:r>
          </w:p>
        </w:tc>
      </w:tr>
      <w:tr>
        <w:trPr>
          <w:trHeight w:val="285"/>
        </w:trPr>
        <w:tc>
          <w:tcPr>
            <w:tcW w:w="1312" w:type="pct"/>
            <w:shd w:val="clear" w:color="auto" w:fill="auto"/>
            <w:vAlign w:val="center"/>
          </w:tcPr>
          <w:p>
            <w:pPr>
              <w:spacing w:line="360" w:lineRule="exact"/>
              <w:rPr>
                <w:szCs w:val="21"/>
              </w:rPr>
            </w:pPr>
            <w:r>
              <w:rPr>
                <w:rFonts w:hint="eastAsia"/>
                <w:szCs w:val="21"/>
              </w:rPr>
              <w:t>其他</w:t>
            </w:r>
          </w:p>
        </w:tc>
        <w:tc>
          <w:tcPr>
            <w:tcW w:w="926" w:type="pct"/>
            <w:shd w:val="clear" w:color="auto" w:fill="auto"/>
            <w:vAlign w:val="center"/>
          </w:tcPr>
          <w:p>
            <w:pPr>
              <w:spacing w:line="360" w:lineRule="exact"/>
              <w:jc w:val="right"/>
              <w:rPr>
                <w:szCs w:val="21"/>
              </w:rPr>
            </w:pPr>
            <w:r>
              <w:rPr>
                <w:szCs w:val="21"/>
              </w:rPr>
              <w:t>908,580</w:t>
            </w:r>
          </w:p>
        </w:tc>
        <w:tc>
          <w:tcPr>
            <w:tcW w:w="920" w:type="pct"/>
            <w:shd w:val="clear" w:color="auto" w:fill="auto"/>
            <w:vAlign w:val="center"/>
          </w:tcPr>
          <w:p>
            <w:pPr>
              <w:spacing w:line="360" w:lineRule="exact"/>
              <w:jc w:val="right"/>
              <w:rPr>
                <w:szCs w:val="21"/>
              </w:rPr>
            </w:pPr>
            <w:r>
              <w:rPr>
                <w:szCs w:val="21"/>
              </w:rPr>
              <w:t>147,324</w:t>
            </w:r>
          </w:p>
        </w:tc>
        <w:tc>
          <w:tcPr>
            <w:tcW w:w="916" w:type="pct"/>
            <w:shd w:val="clear" w:color="auto" w:fill="auto"/>
            <w:vAlign w:val="center"/>
          </w:tcPr>
          <w:p>
            <w:pPr>
              <w:spacing w:line="360" w:lineRule="exact"/>
              <w:jc w:val="right"/>
              <w:rPr>
                <w:szCs w:val="21"/>
              </w:rPr>
            </w:pPr>
            <w:r>
              <w:rPr>
                <w:szCs w:val="21"/>
              </w:rPr>
              <w:t>639,209</w:t>
            </w:r>
          </w:p>
        </w:tc>
        <w:tc>
          <w:tcPr>
            <w:tcW w:w="926" w:type="pct"/>
            <w:shd w:val="clear" w:color="auto" w:fill="auto"/>
            <w:vAlign w:val="center"/>
          </w:tcPr>
          <w:p>
            <w:pPr>
              <w:spacing w:line="360" w:lineRule="exact"/>
              <w:jc w:val="right"/>
              <w:rPr>
                <w:szCs w:val="21"/>
              </w:rPr>
            </w:pPr>
            <w:r>
              <w:rPr>
                <w:szCs w:val="21"/>
              </w:rPr>
              <w:t>95,882</w:t>
            </w:r>
          </w:p>
        </w:tc>
      </w:tr>
      <w:sdt>
        <w:sdtPr>
          <w:rPr>
            <w:szCs w:val="21"/>
          </w:rPr>
          <w:alias w:val="递延所得税负债明细"/>
          <w:tag w:val="_TUP_8036f0bdcd3a43a38ae605c99228b929"/>
          <w:id w:val="271511016"/>
        </w:sdtPr>
        <w:sdtContent>
          <w:tr>
            <w:trPr>
              <w:trHeight w:val="285"/>
            </w:trPr>
            <w:tc>
              <w:tcPr>
                <w:tcW w:w="1312" w:type="pct"/>
                <w:shd w:val="clear" w:color="auto" w:fill="auto"/>
                <w:vAlign w:val="center"/>
              </w:tcPr>
              <w:p>
                <w:pPr>
                  <w:rPr>
                    <w:szCs w:val="21"/>
                  </w:rPr>
                </w:pPr>
                <w:r>
                  <w:rPr>
                    <w:rFonts w:hint="eastAsia"/>
                    <w:szCs w:val="21"/>
                  </w:rPr>
                  <w:t>小计</w:t>
                </w:r>
              </w:p>
            </w:tc>
            <w:tc>
              <w:tcPr>
                <w:tcW w:w="926" w:type="pct"/>
                <w:shd w:val="clear" w:color="auto" w:fill="auto"/>
                <w:vAlign w:val="center"/>
              </w:tcPr>
              <w:p>
                <w:pPr>
                  <w:jc w:val="right"/>
                  <w:rPr>
                    <w:szCs w:val="21"/>
                  </w:rPr>
                </w:pPr>
                <w:r>
                  <w:rPr>
                    <w:rFonts w:hint="eastAsia"/>
                    <w:szCs w:val="21"/>
                  </w:rPr>
                  <w:t>33,239,750</w:t>
                </w:r>
              </w:p>
            </w:tc>
            <w:tc>
              <w:tcPr>
                <w:tcW w:w="920" w:type="pct"/>
                <w:shd w:val="clear" w:color="auto" w:fill="auto"/>
                <w:vAlign w:val="center"/>
              </w:tcPr>
              <w:p>
                <w:pPr>
                  <w:jc w:val="right"/>
                  <w:rPr>
                    <w:szCs w:val="21"/>
                  </w:rPr>
                </w:pPr>
                <w:r>
                  <w:rPr>
                    <w:rFonts w:hint="eastAsia"/>
                    <w:szCs w:val="21"/>
                  </w:rPr>
                  <w:t>8,007,506</w:t>
                </w:r>
              </w:p>
            </w:tc>
            <w:tc>
              <w:tcPr>
                <w:tcW w:w="916" w:type="pct"/>
                <w:shd w:val="clear" w:color="auto" w:fill="auto"/>
                <w:vAlign w:val="center"/>
              </w:tcPr>
              <w:p>
                <w:pPr>
                  <w:jc w:val="right"/>
                  <w:rPr>
                    <w:szCs w:val="21"/>
                  </w:rPr>
                </w:pPr>
                <w:r>
                  <w:rPr>
                    <w:rFonts w:hint="eastAsia"/>
                    <w:szCs w:val="21"/>
                  </w:rPr>
                  <w:t>33,624,100</w:t>
                </w:r>
              </w:p>
            </w:tc>
            <w:tc>
              <w:tcPr>
                <w:tcW w:w="926" w:type="pct"/>
                <w:shd w:val="clear" w:color="auto" w:fill="auto"/>
                <w:vAlign w:val="center"/>
              </w:tcPr>
              <w:p>
                <w:pPr>
                  <w:jc w:val="right"/>
                  <w:rPr>
                    <w:szCs w:val="21"/>
                  </w:rPr>
                </w:pPr>
                <w:r>
                  <w:rPr>
                    <w:rFonts w:hint="eastAsia"/>
                    <w:szCs w:val="21"/>
                  </w:rPr>
                  <w:t>8,117,713</w:t>
                </w:r>
              </w:p>
            </w:tc>
          </w:tr>
        </w:sdtContent>
      </w:sdt>
      <w:sdt>
        <w:sdtPr>
          <w:rPr>
            <w:szCs w:val="21"/>
          </w:rPr>
          <w:alias w:val="递延所得税负债明细"/>
          <w:tag w:val="_TUP_8036f0bdcd3a43a38ae605c99228b929"/>
          <w:id w:val="1563594046"/>
        </w:sdtPr>
        <w:sdtContent>
          <w:tr>
            <w:trPr>
              <w:trHeight w:val="285"/>
            </w:trPr>
            <w:tc>
              <w:tcPr>
                <w:tcW w:w="1312" w:type="pct"/>
                <w:shd w:val="clear" w:color="auto" w:fill="auto"/>
                <w:vAlign w:val="center"/>
              </w:tcPr>
              <w:p>
                <w:pPr>
                  <w:rPr>
                    <w:szCs w:val="21"/>
                  </w:rPr>
                </w:pPr>
                <w:r>
                  <w:rPr>
                    <w:rFonts w:hint="eastAsia"/>
                    <w:szCs w:val="21"/>
                  </w:rPr>
                  <w:t>境外子公司：</w:t>
                </w:r>
              </w:p>
            </w:tc>
            <w:tc>
              <w:tcPr>
                <w:tcW w:w="926" w:type="pct"/>
                <w:shd w:val="clear" w:color="auto" w:fill="auto"/>
                <w:vAlign w:val="center"/>
              </w:tcPr>
              <w:p>
                <w:pPr>
                  <w:jc w:val="right"/>
                  <w:rPr>
                    <w:szCs w:val="21"/>
                  </w:rPr>
                </w:pPr>
              </w:p>
            </w:tc>
            <w:tc>
              <w:tcPr>
                <w:tcW w:w="920" w:type="pct"/>
                <w:shd w:val="clear" w:color="auto" w:fill="auto"/>
                <w:vAlign w:val="center"/>
              </w:tcPr>
              <w:p>
                <w:pPr>
                  <w:jc w:val="right"/>
                  <w:rPr>
                    <w:szCs w:val="21"/>
                  </w:rPr>
                </w:pPr>
              </w:p>
            </w:tc>
            <w:tc>
              <w:tcPr>
                <w:tcW w:w="916" w:type="pct"/>
                <w:shd w:val="clear" w:color="auto" w:fill="auto"/>
                <w:vAlign w:val="center"/>
              </w:tcPr>
              <w:p>
                <w:pPr>
                  <w:jc w:val="right"/>
                  <w:rPr>
                    <w:szCs w:val="21"/>
                  </w:rPr>
                </w:pPr>
              </w:p>
            </w:tc>
            <w:tc>
              <w:tcPr>
                <w:tcW w:w="926" w:type="pct"/>
                <w:shd w:val="clear" w:color="auto" w:fill="auto"/>
                <w:vAlign w:val="center"/>
              </w:tcPr>
              <w:p>
                <w:pPr>
                  <w:jc w:val="right"/>
                  <w:rPr>
                    <w:szCs w:val="21"/>
                  </w:rPr>
                </w:pPr>
              </w:p>
            </w:tc>
          </w:tr>
        </w:sdtContent>
      </w:sdt>
      <w:sdt>
        <w:sdtPr>
          <w:rPr>
            <w:szCs w:val="21"/>
          </w:rPr>
          <w:alias w:val="递延所得税负债明细"/>
          <w:tag w:val="_TUP_8036f0bdcd3a43a38ae605c99228b929"/>
          <w:id w:val="-634099151"/>
        </w:sdtPr>
        <w:sdtContent>
          <w:tr>
            <w:trPr>
              <w:trHeight w:val="285"/>
            </w:trPr>
            <w:tc>
              <w:tcPr>
                <w:tcW w:w="1312" w:type="pct"/>
                <w:shd w:val="clear" w:color="auto" w:fill="auto"/>
                <w:vAlign w:val="center"/>
              </w:tcPr>
              <w:p>
                <w:pPr>
                  <w:rPr>
                    <w:szCs w:val="21"/>
                  </w:rPr>
                </w:pPr>
                <w:r>
                  <w:rPr>
                    <w:rFonts w:hint="eastAsia"/>
                    <w:szCs w:val="21"/>
                  </w:rPr>
                  <w:t>资产摊销及确认</w:t>
                </w:r>
              </w:p>
            </w:tc>
            <w:tc>
              <w:tcPr>
                <w:tcW w:w="926" w:type="pct"/>
                <w:shd w:val="clear" w:color="auto" w:fill="auto"/>
                <w:vAlign w:val="center"/>
              </w:tcPr>
              <w:p>
                <w:pPr>
                  <w:spacing w:line="360" w:lineRule="exact"/>
                  <w:jc w:val="right"/>
                  <w:rPr>
                    <w:szCs w:val="21"/>
                  </w:rPr>
                </w:pPr>
                <w:r>
                  <w:rPr>
                    <w:szCs w:val="21"/>
                  </w:rPr>
                  <w:t>11,882,136</w:t>
                </w:r>
              </w:p>
            </w:tc>
            <w:tc>
              <w:tcPr>
                <w:tcW w:w="920" w:type="pct"/>
                <w:shd w:val="clear" w:color="auto" w:fill="auto"/>
                <w:vAlign w:val="center"/>
              </w:tcPr>
              <w:p>
                <w:pPr>
                  <w:spacing w:line="360" w:lineRule="exact"/>
                  <w:jc w:val="right"/>
                  <w:rPr>
                    <w:szCs w:val="21"/>
                  </w:rPr>
                </w:pPr>
                <w:r>
                  <w:rPr>
                    <w:szCs w:val="21"/>
                  </w:rPr>
                  <w:t>3,564,641</w:t>
                </w:r>
              </w:p>
            </w:tc>
            <w:tc>
              <w:tcPr>
                <w:tcW w:w="916" w:type="pct"/>
                <w:shd w:val="clear" w:color="auto" w:fill="auto"/>
                <w:vAlign w:val="center"/>
              </w:tcPr>
              <w:p>
                <w:pPr>
                  <w:spacing w:line="360" w:lineRule="exact"/>
                  <w:jc w:val="right"/>
                  <w:rPr>
                    <w:szCs w:val="21"/>
                  </w:rPr>
                </w:pPr>
                <w:r>
                  <w:rPr>
                    <w:szCs w:val="21"/>
                  </w:rPr>
                  <w:t>12,792,855</w:t>
                </w:r>
              </w:p>
            </w:tc>
            <w:tc>
              <w:tcPr>
                <w:tcW w:w="926" w:type="pct"/>
                <w:shd w:val="clear" w:color="auto" w:fill="auto"/>
                <w:vAlign w:val="center"/>
              </w:tcPr>
              <w:p>
                <w:pPr>
                  <w:spacing w:line="360" w:lineRule="exact"/>
                  <w:jc w:val="right"/>
                  <w:rPr>
                    <w:szCs w:val="21"/>
                  </w:rPr>
                </w:pPr>
                <w:r>
                  <w:rPr>
                    <w:szCs w:val="21"/>
                  </w:rPr>
                  <w:t>3,837,856</w:t>
                </w:r>
              </w:p>
            </w:tc>
          </w:tr>
        </w:sdtContent>
      </w:sdt>
      <w:sdt>
        <w:sdtPr>
          <w:rPr>
            <w:szCs w:val="21"/>
          </w:rPr>
          <w:alias w:val="递延所得税负债明细"/>
          <w:tag w:val="_TUP_8036f0bdcd3a43a38ae605c99228b929"/>
          <w:id w:val="1033463007"/>
        </w:sdtPr>
        <w:sdtContent>
          <w:tr>
            <w:trPr>
              <w:trHeight w:val="285"/>
            </w:trPr>
            <w:tc>
              <w:tcPr>
                <w:tcW w:w="1312" w:type="pct"/>
                <w:shd w:val="clear" w:color="auto" w:fill="auto"/>
                <w:vAlign w:val="center"/>
              </w:tcPr>
              <w:p>
                <w:pPr>
                  <w:rPr>
                    <w:szCs w:val="21"/>
                  </w:rPr>
                </w:pPr>
                <w:r>
                  <w:rPr>
                    <w:rFonts w:hint="eastAsia"/>
                    <w:szCs w:val="21"/>
                  </w:rPr>
                  <w:t>未实现外汇损益</w:t>
                </w:r>
              </w:p>
            </w:tc>
            <w:tc>
              <w:tcPr>
                <w:tcW w:w="926" w:type="pct"/>
                <w:shd w:val="clear" w:color="auto" w:fill="auto"/>
                <w:vAlign w:val="center"/>
              </w:tcPr>
              <w:p>
                <w:pPr>
                  <w:spacing w:line="360" w:lineRule="exact"/>
                  <w:jc w:val="right"/>
                  <w:rPr>
                    <w:szCs w:val="21"/>
                  </w:rPr>
                </w:pPr>
                <w:r>
                  <w:rPr>
                    <w:szCs w:val="21"/>
                  </w:rPr>
                  <w:t>1,360,343</w:t>
                </w:r>
              </w:p>
            </w:tc>
            <w:tc>
              <w:tcPr>
                <w:tcW w:w="920" w:type="pct"/>
                <w:shd w:val="clear" w:color="auto" w:fill="auto"/>
                <w:vAlign w:val="center"/>
              </w:tcPr>
              <w:p>
                <w:pPr>
                  <w:spacing w:line="360" w:lineRule="exact"/>
                  <w:jc w:val="right"/>
                  <w:rPr>
                    <w:szCs w:val="21"/>
                  </w:rPr>
                </w:pPr>
                <w:r>
                  <w:rPr>
                    <w:szCs w:val="21"/>
                  </w:rPr>
                  <w:t>408,103</w:t>
                </w:r>
              </w:p>
            </w:tc>
            <w:tc>
              <w:tcPr>
                <w:tcW w:w="916" w:type="pct"/>
                <w:shd w:val="clear" w:color="auto" w:fill="auto"/>
                <w:vAlign w:val="center"/>
              </w:tcPr>
              <w:p>
                <w:pPr>
                  <w:spacing w:line="360" w:lineRule="exact"/>
                  <w:jc w:val="right"/>
                  <w:rPr>
                    <w:szCs w:val="21"/>
                  </w:rPr>
                </w:pPr>
                <w:r>
                  <w:rPr>
                    <w:szCs w:val="21"/>
                  </w:rPr>
                  <w:t>1,454,121</w:t>
                </w:r>
              </w:p>
            </w:tc>
            <w:tc>
              <w:tcPr>
                <w:tcW w:w="926" w:type="pct"/>
                <w:shd w:val="clear" w:color="auto" w:fill="auto"/>
                <w:vAlign w:val="center"/>
              </w:tcPr>
              <w:p>
                <w:pPr>
                  <w:spacing w:line="360" w:lineRule="exact"/>
                  <w:jc w:val="right"/>
                  <w:rPr>
                    <w:szCs w:val="21"/>
                  </w:rPr>
                </w:pPr>
                <w:r>
                  <w:rPr>
                    <w:szCs w:val="21"/>
                  </w:rPr>
                  <w:t>436,236</w:t>
                </w:r>
              </w:p>
            </w:tc>
          </w:tr>
        </w:sdtContent>
      </w:sdt>
      <w:sdt>
        <w:sdtPr>
          <w:rPr>
            <w:szCs w:val="21"/>
          </w:rPr>
          <w:alias w:val="递延所得税负债明细"/>
          <w:tag w:val="_TUP_8036f0bdcd3a43a38ae605c99228b929"/>
          <w:id w:val="425012657"/>
        </w:sdtPr>
        <w:sdtContent>
          <w:tr>
            <w:trPr>
              <w:trHeight w:val="285"/>
            </w:trPr>
            <w:tc>
              <w:tcPr>
                <w:tcW w:w="1312" w:type="pct"/>
                <w:shd w:val="clear" w:color="auto" w:fill="auto"/>
                <w:vAlign w:val="center"/>
              </w:tcPr>
              <w:p>
                <w:pPr>
                  <w:rPr>
                    <w:szCs w:val="21"/>
                  </w:rPr>
                </w:pPr>
                <w:r>
                  <w:rPr>
                    <w:rFonts w:hint="eastAsia"/>
                    <w:szCs w:val="21"/>
                  </w:rPr>
                  <w:t>其他</w:t>
                </w:r>
              </w:p>
            </w:tc>
            <w:tc>
              <w:tcPr>
                <w:tcW w:w="926" w:type="pct"/>
                <w:shd w:val="clear" w:color="auto" w:fill="auto"/>
                <w:vAlign w:val="center"/>
              </w:tcPr>
              <w:p>
                <w:pPr>
                  <w:spacing w:line="360" w:lineRule="exact"/>
                  <w:jc w:val="right"/>
                  <w:rPr>
                    <w:szCs w:val="21"/>
                  </w:rPr>
                </w:pPr>
                <w:r>
                  <w:rPr>
                    <w:szCs w:val="21"/>
                  </w:rPr>
                  <w:t>846,783</w:t>
                </w:r>
              </w:p>
            </w:tc>
            <w:tc>
              <w:tcPr>
                <w:tcW w:w="920" w:type="pct"/>
                <w:shd w:val="clear" w:color="auto" w:fill="auto"/>
                <w:vAlign w:val="center"/>
              </w:tcPr>
              <w:p>
                <w:pPr>
                  <w:spacing w:line="360" w:lineRule="exact"/>
                  <w:jc w:val="right"/>
                  <w:rPr>
                    <w:szCs w:val="21"/>
                  </w:rPr>
                </w:pPr>
                <w:r>
                  <w:rPr>
                    <w:szCs w:val="21"/>
                  </w:rPr>
                  <w:t>254,431</w:t>
                </w:r>
              </w:p>
            </w:tc>
            <w:tc>
              <w:tcPr>
                <w:tcW w:w="916" w:type="pct"/>
                <w:shd w:val="clear" w:color="auto" w:fill="auto"/>
                <w:vAlign w:val="center"/>
              </w:tcPr>
              <w:p>
                <w:pPr>
                  <w:spacing w:line="360" w:lineRule="exact"/>
                  <w:jc w:val="right"/>
                  <w:rPr>
                    <w:szCs w:val="21"/>
                  </w:rPr>
                </w:pPr>
                <w:r>
                  <w:rPr>
                    <w:szCs w:val="21"/>
                  </w:rPr>
                  <w:t>888,214</w:t>
                </w:r>
              </w:p>
            </w:tc>
            <w:tc>
              <w:tcPr>
                <w:tcW w:w="926" w:type="pct"/>
                <w:shd w:val="clear" w:color="auto" w:fill="auto"/>
                <w:vAlign w:val="center"/>
              </w:tcPr>
              <w:p>
                <w:pPr>
                  <w:spacing w:line="360" w:lineRule="exact"/>
                  <w:jc w:val="right"/>
                  <w:rPr>
                    <w:szCs w:val="21"/>
                  </w:rPr>
                </w:pPr>
                <w:r>
                  <w:rPr>
                    <w:szCs w:val="21"/>
                  </w:rPr>
                  <w:t>266,464</w:t>
                </w:r>
              </w:p>
            </w:tc>
          </w:tr>
        </w:sdtContent>
      </w:sdt>
      <w:sdt>
        <w:sdtPr>
          <w:rPr>
            <w:szCs w:val="21"/>
          </w:rPr>
          <w:alias w:val="递延所得税负债明细"/>
          <w:tag w:val="_TUP_8036f0bdcd3a43a38ae605c99228b929"/>
          <w:id w:val="1067302785"/>
        </w:sdtPr>
        <w:sdtContent>
          <w:tr>
            <w:trPr>
              <w:trHeight w:val="285"/>
            </w:trPr>
            <w:tc>
              <w:tcPr>
                <w:tcW w:w="1312" w:type="pct"/>
                <w:shd w:val="clear" w:color="auto" w:fill="auto"/>
                <w:vAlign w:val="center"/>
              </w:tcPr>
              <w:p>
                <w:pPr>
                  <w:rPr>
                    <w:szCs w:val="21"/>
                  </w:rPr>
                </w:pPr>
                <w:r>
                  <w:rPr>
                    <w:rFonts w:hint="eastAsia"/>
                    <w:szCs w:val="21"/>
                  </w:rPr>
                  <w:t>小计</w:t>
                </w:r>
              </w:p>
            </w:tc>
            <w:tc>
              <w:tcPr>
                <w:tcW w:w="926" w:type="pct"/>
                <w:shd w:val="clear" w:color="auto" w:fill="auto"/>
                <w:vAlign w:val="center"/>
              </w:tcPr>
              <w:p>
                <w:pPr>
                  <w:jc w:val="right"/>
                  <w:rPr>
                    <w:szCs w:val="21"/>
                  </w:rPr>
                </w:pPr>
                <w:r>
                  <w:rPr>
                    <w:rFonts w:hint="eastAsia"/>
                    <w:szCs w:val="21"/>
                  </w:rPr>
                  <w:t>14,089,262</w:t>
                </w:r>
              </w:p>
            </w:tc>
            <w:tc>
              <w:tcPr>
                <w:tcW w:w="920" w:type="pct"/>
                <w:shd w:val="clear" w:color="auto" w:fill="auto"/>
                <w:vAlign w:val="center"/>
              </w:tcPr>
              <w:p>
                <w:pPr>
                  <w:jc w:val="right"/>
                  <w:rPr>
                    <w:szCs w:val="21"/>
                  </w:rPr>
                </w:pPr>
                <w:r>
                  <w:rPr>
                    <w:rFonts w:hint="eastAsia"/>
                    <w:szCs w:val="21"/>
                  </w:rPr>
                  <w:t>4,227,175</w:t>
                </w:r>
              </w:p>
            </w:tc>
            <w:tc>
              <w:tcPr>
                <w:tcW w:w="916" w:type="pct"/>
                <w:shd w:val="clear" w:color="auto" w:fill="auto"/>
                <w:vAlign w:val="center"/>
              </w:tcPr>
              <w:p>
                <w:pPr>
                  <w:jc w:val="right"/>
                  <w:rPr>
                    <w:szCs w:val="21"/>
                  </w:rPr>
                </w:pPr>
                <w:r>
                  <w:rPr>
                    <w:rFonts w:hint="eastAsia"/>
                    <w:szCs w:val="21"/>
                  </w:rPr>
                  <w:t>15,135,190</w:t>
                </w:r>
              </w:p>
            </w:tc>
            <w:tc>
              <w:tcPr>
                <w:tcW w:w="926" w:type="pct"/>
                <w:shd w:val="clear" w:color="auto" w:fill="auto"/>
                <w:vAlign w:val="center"/>
              </w:tcPr>
              <w:p>
                <w:pPr>
                  <w:jc w:val="right"/>
                  <w:rPr>
                    <w:szCs w:val="21"/>
                  </w:rPr>
                </w:pPr>
                <w:r>
                  <w:rPr>
                    <w:rFonts w:hint="eastAsia"/>
                    <w:szCs w:val="21"/>
                  </w:rPr>
                  <w:t>4,540,556</w:t>
                </w:r>
              </w:p>
            </w:tc>
          </w:tr>
        </w:sdtContent>
      </w:sdt>
      <w:tr>
        <w:trPr>
          <w:trHeight w:val="285"/>
        </w:trPr>
        <w:sdt>
          <w:sdtPr>
            <w:rPr>
              <w:szCs w:val="21"/>
            </w:rPr>
            <w:tag w:val="_PLD_b75c52751ee84b8da27bd6f8290a4521"/>
            <w:id w:val="475568050"/>
          </w:sdtPr>
          <w:sdtContent>
            <w:tc>
              <w:tcPr>
                <w:tcW w:w="1312" w:type="pct"/>
                <w:shd w:val="clear" w:color="auto" w:fill="auto"/>
                <w:vAlign w:val="center"/>
              </w:tcPr>
              <w:p>
                <w:pPr>
                  <w:jc w:val="center"/>
                  <w:rPr>
                    <w:szCs w:val="21"/>
                  </w:rPr>
                </w:pPr>
                <w:r>
                  <w:rPr>
                    <w:rFonts w:hint="eastAsia"/>
                    <w:szCs w:val="21"/>
                  </w:rPr>
                  <w:t>合计</w:t>
                </w:r>
              </w:p>
            </w:tc>
          </w:sdtContent>
        </w:sdt>
        <w:tc>
          <w:tcPr>
            <w:tcW w:w="926" w:type="pct"/>
            <w:shd w:val="clear" w:color="auto" w:fill="auto"/>
            <w:vAlign w:val="center"/>
          </w:tcPr>
          <w:p>
            <w:pPr>
              <w:jc w:val="right"/>
              <w:rPr>
                <w:szCs w:val="21"/>
              </w:rPr>
            </w:pPr>
            <w:r>
              <w:rPr>
                <w:rFonts w:hint="eastAsia"/>
                <w:szCs w:val="21"/>
              </w:rPr>
              <w:t>47,329,012</w:t>
            </w:r>
          </w:p>
        </w:tc>
        <w:tc>
          <w:tcPr>
            <w:tcW w:w="920" w:type="pct"/>
            <w:shd w:val="clear" w:color="auto" w:fill="auto"/>
            <w:vAlign w:val="center"/>
          </w:tcPr>
          <w:p>
            <w:pPr>
              <w:jc w:val="right"/>
              <w:rPr>
                <w:szCs w:val="21"/>
              </w:rPr>
            </w:pPr>
            <w:r>
              <w:rPr>
                <w:rFonts w:hint="eastAsia"/>
                <w:szCs w:val="21"/>
              </w:rPr>
              <w:t>12,234,681</w:t>
            </w:r>
          </w:p>
        </w:tc>
        <w:tc>
          <w:tcPr>
            <w:tcW w:w="916" w:type="pct"/>
            <w:shd w:val="clear" w:color="auto" w:fill="auto"/>
            <w:vAlign w:val="center"/>
          </w:tcPr>
          <w:p>
            <w:pPr>
              <w:jc w:val="right"/>
              <w:rPr>
                <w:szCs w:val="21"/>
              </w:rPr>
            </w:pPr>
            <w:r>
              <w:rPr>
                <w:rFonts w:hint="eastAsia"/>
                <w:szCs w:val="21"/>
              </w:rPr>
              <w:t>48,759,290</w:t>
            </w:r>
          </w:p>
        </w:tc>
        <w:tc>
          <w:tcPr>
            <w:tcW w:w="926" w:type="pct"/>
            <w:shd w:val="clear" w:color="auto" w:fill="auto"/>
            <w:vAlign w:val="center"/>
          </w:tcPr>
          <w:p>
            <w:pPr>
              <w:jc w:val="right"/>
              <w:rPr>
                <w:szCs w:val="21"/>
              </w:rPr>
            </w:pPr>
            <w:r>
              <w:rPr>
                <w:rFonts w:hint="eastAsia"/>
                <w:szCs w:val="21"/>
              </w:rPr>
              <w:t>12,658,269</w:t>
            </w:r>
          </w:p>
        </w:tc>
      </w:tr>
    </w:tbl>
    <w:p>
      <w:pPr>
        <w:pStyle w:val="affffffffffffffffff3"/>
      </w:pPr>
    </w:p>
    <w:p>
      <w:pPr>
        <w:pStyle w:val="affffffffffffffffff7"/>
        <w:numPr>
          <w:ilvl w:val="0"/>
          <w:numId w:val="174"/>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319576574"/>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wordWrap w:val="0"/>
        <w:jc w:val="right"/>
      </w:pPr>
      <w:r>
        <w:rPr>
          <w:rFonts w:hint="eastAsia"/>
        </w:rPr>
        <w:t>单位：</w:t>
      </w:r>
      <w:sdt>
        <w:sdtPr>
          <w:rPr>
            <w:rFonts w:hint="eastAsia"/>
          </w:rPr>
          <w:alias w:val="单位：财务附注：互抵后的递延所得税资产及负债的组成项目"/>
          <w:tag w:val="_GBC_2b339a7e526d4061aa348bb358a09881"/>
          <w:id w:val="-73509326"/>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7331429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5"/>
        <w:gridCol w:w="1634"/>
        <w:gridCol w:w="1620"/>
        <w:gridCol w:w="1646"/>
        <w:gridCol w:w="1618"/>
      </w:tblGrid>
      <w:tr>
        <w:sdt>
          <w:sdtPr>
            <w:rPr>
              <w:szCs w:val="21"/>
            </w:rPr>
            <w:tag w:val="_PLD_376bc62ed08748b387f49005e1f18dee"/>
            <w:id w:val="-1629080499"/>
          </w:sdtPr>
          <w:sdtContent>
            <w:tc>
              <w:tcPr>
                <w:tcW w:w="1306" w:type="pct"/>
                <w:tcBorders>
                  <w:bottom w:val="single" w:sz="4" w:space="0" w:color="auto"/>
                </w:tcBorders>
                <w:shd w:val="clear" w:color="auto" w:fill="auto"/>
                <w:vAlign w:val="center"/>
              </w:tcPr>
              <w:p>
                <w:pPr>
                  <w:jc w:val="center"/>
                  <w:rPr>
                    <w:szCs w:val="21"/>
                  </w:rPr>
                </w:pPr>
                <w:r>
                  <w:rPr>
                    <w:rFonts w:hint="eastAsia"/>
                    <w:szCs w:val="21"/>
                  </w:rPr>
                  <w:t>项目</w:t>
                </w:r>
              </w:p>
            </w:tc>
          </w:sdtContent>
        </w:sdt>
        <w:sdt>
          <w:sdtPr>
            <w:rPr>
              <w:szCs w:val="21"/>
            </w:rPr>
            <w:tag w:val="_PLD_6cd13a97416d42f89e9ea2c943014688"/>
            <w:id w:val="-921720990"/>
          </w:sdtPr>
          <w:sdtContent>
            <w:tc>
              <w:tcPr>
                <w:tcW w:w="926" w:type="pct"/>
                <w:tcBorders>
                  <w:bottom w:val="single" w:sz="4" w:space="0" w:color="auto"/>
                </w:tcBorders>
                <w:shd w:val="clear" w:color="auto" w:fill="auto"/>
                <w:vAlign w:val="center"/>
              </w:tcPr>
              <w:p>
                <w:pPr>
                  <w:jc w:val="center"/>
                  <w:rPr>
                    <w:szCs w:val="21"/>
                  </w:rPr>
                </w:pPr>
                <w:r>
                  <w:rPr>
                    <w:rFonts w:hint="eastAsia"/>
                    <w:szCs w:val="21"/>
                  </w:rPr>
                  <w:t>递延所得税资产和负债期末互抵金额</w:t>
                </w:r>
              </w:p>
            </w:tc>
          </w:sdtContent>
        </w:sdt>
        <w:sdt>
          <w:sdtPr>
            <w:rPr>
              <w:szCs w:val="21"/>
            </w:rPr>
            <w:tag w:val="_PLD_09c02830b1824a4c8ce30fe73cda15b9"/>
            <w:id w:val="-911618469"/>
          </w:sdtPr>
          <w:sdtContent>
            <w:tc>
              <w:tcPr>
                <w:tcW w:w="918" w:type="pct"/>
                <w:tcBorders>
                  <w:bottom w:val="single" w:sz="4" w:space="0" w:color="auto"/>
                </w:tcBorders>
                <w:shd w:val="clear" w:color="auto" w:fill="auto"/>
                <w:vAlign w:val="center"/>
              </w:tcPr>
              <w:p>
                <w:pPr>
                  <w:jc w:val="center"/>
                  <w:rPr>
                    <w:szCs w:val="21"/>
                  </w:rPr>
                </w:pPr>
                <w:r>
                  <w:rPr>
                    <w:rFonts w:hint="eastAsia"/>
                    <w:szCs w:val="21"/>
                  </w:rPr>
                  <w:t>抵销后递延所得税资产或负债期末余额</w:t>
                </w:r>
              </w:p>
            </w:tc>
          </w:sdtContent>
        </w:sdt>
        <w:sdt>
          <w:sdtPr>
            <w:rPr>
              <w:szCs w:val="21"/>
            </w:rPr>
            <w:tag w:val="_PLD_862180b8f6b94867ac93686a5c934b4c"/>
            <w:id w:val="-638803554"/>
          </w:sdtPr>
          <w:sdtContent>
            <w:tc>
              <w:tcPr>
                <w:tcW w:w="933" w:type="pct"/>
                <w:tcBorders>
                  <w:bottom w:val="single" w:sz="4" w:space="0" w:color="auto"/>
                </w:tcBorders>
                <w:shd w:val="clear" w:color="auto" w:fill="auto"/>
                <w:vAlign w:val="center"/>
              </w:tcPr>
              <w:p>
                <w:pPr>
                  <w:jc w:val="center"/>
                  <w:rPr>
                    <w:szCs w:val="21"/>
                  </w:rPr>
                </w:pPr>
                <w:r>
                  <w:rPr>
                    <w:rFonts w:hint="eastAsia"/>
                    <w:szCs w:val="21"/>
                  </w:rPr>
                  <w:t>递延所得税资产和负债期初互抵金额</w:t>
                </w:r>
              </w:p>
            </w:tc>
          </w:sdtContent>
        </w:sdt>
        <w:sdt>
          <w:sdtPr>
            <w:rPr>
              <w:szCs w:val="21"/>
            </w:rPr>
            <w:tag w:val="_PLD_3aec77ff824a48e989777a8da4146bf7"/>
            <w:id w:val="-1903514230"/>
          </w:sdtPr>
          <w:sdtContent>
            <w:tc>
              <w:tcPr>
                <w:tcW w:w="917" w:type="pct"/>
                <w:tcBorders>
                  <w:bottom w:val="single" w:sz="4" w:space="0" w:color="auto"/>
                </w:tcBorders>
                <w:shd w:val="clear" w:color="auto" w:fill="auto"/>
                <w:vAlign w:val="center"/>
              </w:tcPr>
              <w:p>
                <w:pPr>
                  <w:jc w:val="center"/>
                  <w:rPr>
                    <w:szCs w:val="21"/>
                  </w:rPr>
                </w:pPr>
                <w:r>
                  <w:rPr>
                    <w:rFonts w:hint="eastAsia"/>
                    <w:szCs w:val="21"/>
                  </w:rPr>
                  <w:t>抵销后递延所得税资产或负债期初余额</w:t>
                </w:r>
              </w:p>
            </w:tc>
          </w:sdtContent>
        </w:sdt>
      </w:tr>
      <w:tr>
        <w:sdt>
          <w:sdtPr>
            <w:rPr>
              <w:szCs w:val="21"/>
            </w:rPr>
            <w:tag w:val="_PLD_804cef41cca74cf9ade653fe4b1aeea5"/>
            <w:id w:val="-259924155"/>
          </w:sdtPr>
          <w:sdtContent>
            <w:tc>
              <w:tcPr>
                <w:tcW w:w="1306" w:type="pct"/>
                <w:shd w:val="clear" w:color="auto" w:fill="auto"/>
              </w:tcPr>
              <w:p>
                <w:pPr>
                  <w:rPr>
                    <w:szCs w:val="21"/>
                  </w:rPr>
                </w:pPr>
                <w:r>
                  <w:rPr>
                    <w:rFonts w:hint="eastAsia"/>
                    <w:szCs w:val="21"/>
                  </w:rPr>
                  <w:t>递延所得税资产</w:t>
                </w:r>
              </w:p>
            </w:tc>
          </w:sdtContent>
        </w:sdt>
        <w:tc>
          <w:tcPr>
            <w:tcW w:w="926" w:type="pct"/>
            <w:shd w:val="clear" w:color="auto" w:fill="auto"/>
            <w:vAlign w:val="center"/>
          </w:tcPr>
          <w:p>
            <w:pPr>
              <w:spacing w:line="360" w:lineRule="exact"/>
              <w:jc w:val="right"/>
              <w:rPr>
                <w:szCs w:val="21"/>
              </w:rPr>
            </w:pPr>
            <w:r>
              <w:rPr>
                <w:szCs w:val="21"/>
              </w:rPr>
              <w:t>2,754,912</w:t>
            </w:r>
          </w:p>
        </w:tc>
        <w:tc>
          <w:tcPr>
            <w:tcW w:w="918" w:type="pct"/>
            <w:shd w:val="clear" w:color="auto" w:fill="auto"/>
            <w:vAlign w:val="center"/>
          </w:tcPr>
          <w:p>
            <w:pPr>
              <w:spacing w:line="360" w:lineRule="exact"/>
              <w:jc w:val="right"/>
              <w:rPr>
                <w:szCs w:val="21"/>
              </w:rPr>
            </w:pPr>
            <w:r>
              <w:rPr>
                <w:szCs w:val="21"/>
              </w:rPr>
              <w:t>4,866,276</w:t>
            </w:r>
          </w:p>
        </w:tc>
        <w:tc>
          <w:tcPr>
            <w:tcW w:w="933" w:type="pct"/>
            <w:shd w:val="clear" w:color="auto" w:fill="auto"/>
            <w:vAlign w:val="center"/>
          </w:tcPr>
          <w:p>
            <w:pPr>
              <w:spacing w:line="360" w:lineRule="exact"/>
              <w:jc w:val="right"/>
              <w:rPr>
                <w:szCs w:val="21"/>
              </w:rPr>
            </w:pPr>
            <w:r>
              <w:rPr>
                <w:szCs w:val="21"/>
              </w:rPr>
              <w:t>2,872,078</w:t>
            </w:r>
          </w:p>
        </w:tc>
        <w:tc>
          <w:tcPr>
            <w:tcW w:w="917" w:type="pct"/>
            <w:shd w:val="clear" w:color="auto" w:fill="auto"/>
            <w:vAlign w:val="center"/>
          </w:tcPr>
          <w:p>
            <w:pPr>
              <w:spacing w:line="360" w:lineRule="exact"/>
              <w:jc w:val="right"/>
              <w:rPr>
                <w:szCs w:val="21"/>
              </w:rPr>
            </w:pPr>
            <w:r>
              <w:rPr>
                <w:szCs w:val="21"/>
              </w:rPr>
              <w:t>5,484,717</w:t>
            </w:r>
          </w:p>
        </w:tc>
      </w:tr>
      <w:tr>
        <w:sdt>
          <w:sdtPr>
            <w:rPr>
              <w:szCs w:val="21"/>
            </w:rPr>
            <w:tag w:val="_PLD_003ca37971dc4ab1b267e9450faff888"/>
            <w:id w:val="-972831896"/>
          </w:sdtPr>
          <w:sdtContent>
            <w:tc>
              <w:tcPr>
                <w:tcW w:w="1306" w:type="pct"/>
                <w:tcBorders>
                  <w:bottom w:val="single" w:sz="4" w:space="0" w:color="auto"/>
                </w:tcBorders>
                <w:shd w:val="clear" w:color="auto" w:fill="auto"/>
              </w:tcPr>
              <w:p>
                <w:pPr>
                  <w:rPr>
                    <w:szCs w:val="21"/>
                  </w:rPr>
                </w:pPr>
                <w:r>
                  <w:rPr>
                    <w:rFonts w:hint="eastAsia"/>
                    <w:szCs w:val="21"/>
                  </w:rPr>
                  <w:t>递延所得税负债</w:t>
                </w:r>
              </w:p>
            </w:tc>
          </w:sdtContent>
        </w:sdt>
        <w:tc>
          <w:tcPr>
            <w:tcW w:w="926" w:type="pct"/>
            <w:shd w:val="clear" w:color="auto" w:fill="auto"/>
            <w:vAlign w:val="center"/>
          </w:tcPr>
          <w:p>
            <w:pPr>
              <w:spacing w:line="360" w:lineRule="exact"/>
              <w:jc w:val="right"/>
              <w:rPr>
                <w:szCs w:val="21"/>
              </w:rPr>
            </w:pPr>
            <w:r>
              <w:rPr>
                <w:szCs w:val="21"/>
              </w:rPr>
              <w:t>2,754,912</w:t>
            </w:r>
          </w:p>
        </w:tc>
        <w:tc>
          <w:tcPr>
            <w:tcW w:w="918" w:type="pct"/>
            <w:shd w:val="clear" w:color="auto" w:fill="auto"/>
            <w:vAlign w:val="center"/>
          </w:tcPr>
          <w:p>
            <w:pPr>
              <w:spacing w:line="360" w:lineRule="exact"/>
              <w:jc w:val="right"/>
              <w:rPr>
                <w:szCs w:val="21"/>
              </w:rPr>
            </w:pPr>
            <w:r>
              <w:rPr>
                <w:szCs w:val="21"/>
              </w:rPr>
              <w:t>9,479,769</w:t>
            </w:r>
          </w:p>
        </w:tc>
        <w:tc>
          <w:tcPr>
            <w:tcW w:w="933" w:type="pct"/>
            <w:shd w:val="clear" w:color="auto" w:fill="auto"/>
            <w:vAlign w:val="center"/>
          </w:tcPr>
          <w:p>
            <w:pPr>
              <w:spacing w:line="360" w:lineRule="exact"/>
              <w:jc w:val="right"/>
              <w:rPr>
                <w:szCs w:val="21"/>
              </w:rPr>
            </w:pPr>
            <w:r>
              <w:rPr>
                <w:szCs w:val="21"/>
              </w:rPr>
              <w:t>2,872,078</w:t>
            </w:r>
          </w:p>
        </w:tc>
        <w:tc>
          <w:tcPr>
            <w:tcW w:w="917" w:type="pct"/>
            <w:shd w:val="clear" w:color="auto" w:fill="auto"/>
            <w:vAlign w:val="center"/>
          </w:tcPr>
          <w:p>
            <w:pPr>
              <w:spacing w:line="360" w:lineRule="exact"/>
              <w:jc w:val="right"/>
              <w:rPr>
                <w:szCs w:val="21"/>
              </w:rPr>
            </w:pPr>
            <w:r>
              <w:rPr>
                <w:szCs w:val="21"/>
              </w:rPr>
              <w:t>9,786,191</w:t>
            </w:r>
          </w:p>
        </w:tc>
      </w:tr>
    </w:tbl>
    <w:p>
      <w:pPr>
        <w:pStyle w:val="afffffffffffffffffffffffffffffffffffffff2"/>
        <w:spacing w:after="120"/>
        <w:rPr>
          <w:szCs w:val="21"/>
        </w:rPr>
      </w:pPr>
      <w:r>
        <w:rPr>
          <w:rFonts w:hint="eastAsia"/>
          <w:szCs w:val="21"/>
        </w:rPr>
        <w:t xml:space="preserve"> </w:t>
      </w:r>
      <w:r>
        <w:rPr>
          <w:szCs w:val="21"/>
        </w:rPr>
        <w:t>注：本集团之澳洲地区子公司分别属于两个纳税集团，经批准，于2024年12月31日，抵销递延所得税资产和递延所得税负债2,754,912千元。</w:t>
      </w:r>
    </w:p>
    <w:p>
      <w:pPr>
        <w:pStyle w:val="affffffffffffffffff7"/>
        <w:numPr>
          <w:ilvl w:val="0"/>
          <w:numId w:val="174"/>
        </w:numPr>
        <w:ind w:left="426" w:hanging="426"/>
        <w:rPr>
          <w:szCs w:val="21"/>
        </w:rPr>
      </w:pPr>
      <w:r>
        <w:rPr>
          <w:rFonts w:hint="eastAsia"/>
          <w:szCs w:val="21"/>
        </w:rPr>
        <w:t>未确认递延所得税资产明细</w:t>
      </w:r>
    </w:p>
    <w:sdt>
      <w:sdtPr>
        <w:alias w:val="是否适用：未确认递延所得税资产明细[双击切换]"/>
        <w:tag w:val="_GBC_713996bf5e4d4c6988835fbf892c5ef2"/>
        <w:id w:val="-843083302"/>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200780383"/>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13777851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16"/>
        <w:gridCol w:w="3005"/>
        <w:gridCol w:w="3002"/>
      </w:tblGrid>
      <w:tr>
        <w:trPr>
          <w:trHeight w:val="285"/>
        </w:trPr>
        <w:sdt>
          <w:sdtPr>
            <w:tag w:val="_PLD_91af0f9b93ef459d823e4bc33d9190d6"/>
            <w:id w:val="-815715825"/>
          </w:sdtPr>
          <w:sdtContent>
            <w:tc>
              <w:tcPr>
                <w:tcW w:w="15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项目</w:t>
                </w:r>
              </w:p>
            </w:tc>
          </w:sdtContent>
        </w:sdt>
        <w:sdt>
          <w:sdtPr>
            <w:tag w:val="_PLD_2c2dee2efbd6433784024156b3454ba7"/>
            <w:id w:val="-770620585"/>
          </w:sdtPr>
          <w:sdtContent>
            <w:tc>
              <w:tcPr>
                <w:tcW w:w="170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期末余额</w:t>
                </w:r>
              </w:p>
            </w:tc>
          </w:sdtContent>
        </w:sdt>
        <w:sdt>
          <w:sdtPr>
            <w:tag w:val="_PLD_d5059c87582d4e558703d63a8a2d5399"/>
            <w:id w:val="-1160225037"/>
          </w:sdtPr>
          <w:sdtContent>
            <w:tc>
              <w:tcPr>
                <w:tcW w:w="1701"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期初余额</w:t>
                </w:r>
              </w:p>
            </w:tc>
          </w:sdtContent>
        </w:sdt>
      </w:tr>
      <w:tr>
        <w:trPr>
          <w:trHeight w:val="285"/>
        </w:trPr>
        <w:sdt>
          <w:sdtPr>
            <w:tag w:val="_PLD_967b4d05866f48ccbd10a38bb9691c20"/>
            <w:id w:val="-158156564"/>
          </w:sdtPr>
          <w:sdtContent>
            <w:tc>
              <w:tcPr>
                <w:tcW w:w="159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可抵扣暂时性差异</w:t>
                </w:r>
              </w:p>
            </w:tc>
          </w:sdtContent>
        </w:sdt>
        <w:tc>
          <w:tcPr>
            <w:tcW w:w="1703"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701"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r>
      <w:tr>
        <w:trPr>
          <w:trHeight w:val="285"/>
        </w:trPr>
        <w:sdt>
          <w:sdtPr>
            <w:tag w:val="_PLD_fcfc7718db484ea1b986c6371393d8ea"/>
            <w:id w:val="-1956788993"/>
          </w:sdtPr>
          <w:sdtContent>
            <w:tc>
              <w:tcPr>
                <w:tcW w:w="1596"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可抵扣亏损</w:t>
                </w:r>
              </w:p>
            </w:tc>
          </w:sdtContent>
        </w:sdt>
        <w:tc>
          <w:tcPr>
            <w:tcW w:w="1703"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701"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r>
      <w:tr>
        <w:trPr>
          <w:trHeight w:val="285"/>
        </w:trPr>
        <w:sdt>
          <w:sdtPr>
            <w:tag w:val="_PLD_fb4b8beb920a4500aa2e3d35f8842374"/>
            <w:id w:val="-1100869493"/>
          </w:sdtPr>
          <w:sdtContent>
            <w:tc>
              <w:tcPr>
                <w:tcW w:w="15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sdtContent>
        </w:sdt>
        <w:tc>
          <w:tcPr>
            <w:tcW w:w="1703"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701"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r>
    </w:tbl>
    <w:p>
      <w:pPr>
        <w:rPr>
          <w:szCs w:val="21"/>
        </w:rPr>
      </w:pPr>
    </w:p>
    <w:p>
      <w:pPr>
        <w:pStyle w:val="affffffffffffffffff7"/>
        <w:numPr>
          <w:ilvl w:val="0"/>
          <w:numId w:val="17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9497896"/>
      </w:sdtPr>
      <w:sdtContent>
        <w:p>
          <w:pPr>
            <w:pStyle w:val="affffffffffffffffff3"/>
            <w:rPr>
              <w:color w:val="FF00FF"/>
              <w:szCs w:val="21"/>
            </w:rPr>
          </w:pPr>
          <w:r>
            <w:fldChar w:fldCharType="begin"/>
          </w:r>
          <w: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rPr>
          <w:color w:val="FF00FF"/>
          <w:szCs w:val="21"/>
        </w:rPr>
      </w:pPr>
    </w:p>
    <w:p>
      <w:pPr>
        <w:rPr>
          <w:color w:val="FF00FF"/>
          <w:szCs w:val="21"/>
        </w:rPr>
      </w:pPr>
    </w:p>
    <w:bookmarkEnd w:id="441"/>
    <w:p>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208379460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6"/>
        <w:numPr>
          <w:ilvl w:val="0"/>
          <w:numId w:val="103"/>
        </w:numPr>
        <w:tabs>
          <w:tab w:val="left" w:pos="504"/>
        </w:tabs>
        <w:rPr>
          <w:szCs w:val="21"/>
        </w:rPr>
      </w:pPr>
      <w:bookmarkStart w:id="442" w:name="_Hlk533670093"/>
      <w:r>
        <w:rPr>
          <w:rFonts w:hint="eastAsia"/>
          <w:szCs w:val="21"/>
        </w:rPr>
        <w:t>其他非流动资产</w:t>
      </w:r>
    </w:p>
    <w:sdt>
      <w:sdtPr>
        <w:alias w:val="是否适用：其他非流动资产[双击切换]"/>
        <w:tag w:val="_GBC_a847828a70d64218a7f8a07dc593d18b"/>
        <w:id w:val="-328833771"/>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szCs w:val="21"/>
          </w:rPr>
          <w:alias w:val="单位：财务附注：其他非流动资产"/>
          <w:tag w:val="_GBC_7c7ae7cee25948deb399f93e000e5ba2"/>
          <w:id w:val="7662046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其他非流动资产"/>
          <w:tag w:val="_GBC_b449fdd4941b4ff8a1bda3449b257e1d"/>
          <w:id w:val="-19237870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3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044"/>
        <w:gridCol w:w="1276"/>
        <w:gridCol w:w="1193"/>
        <w:gridCol w:w="1278"/>
        <w:gridCol w:w="1276"/>
        <w:gridCol w:w="1052"/>
        <w:gridCol w:w="1276"/>
      </w:tblGrid>
      <w:tr>
        <w:trPr>
          <w:jc w:val="center"/>
        </w:trPr>
        <w:sdt>
          <w:sdtPr>
            <w:rPr>
              <w:szCs w:val="21"/>
            </w:rPr>
            <w:tag w:val="_PLD_2b90e6e62acc45b288941c3eec3d8d88"/>
            <w:id w:val="-1390037244"/>
          </w:sdtPr>
          <w:sdtContent>
            <w:tc>
              <w:tcPr>
                <w:tcW w:w="1088" w:type="pct"/>
                <w:vMerge w:val="restart"/>
                <w:shd w:val="clear" w:color="auto" w:fill="auto"/>
                <w:vAlign w:val="center"/>
              </w:tcPr>
              <w:p>
                <w:pPr>
                  <w:jc w:val="center"/>
                  <w:rPr>
                    <w:szCs w:val="21"/>
                  </w:rPr>
                </w:pPr>
                <w:r>
                  <w:rPr>
                    <w:rFonts w:hint="eastAsia"/>
                    <w:szCs w:val="21"/>
                  </w:rPr>
                  <w:t>项目</w:t>
                </w:r>
              </w:p>
            </w:tc>
          </w:sdtContent>
        </w:sdt>
        <w:sdt>
          <w:sdtPr>
            <w:rPr>
              <w:szCs w:val="21"/>
            </w:rPr>
            <w:tag w:val="_PLD_bb07270ad4df4c0f94d4e0af019ab46c"/>
            <w:id w:val="1823383206"/>
          </w:sdtPr>
          <w:sdtContent>
            <w:tc>
              <w:tcPr>
                <w:tcW w:w="1994" w:type="pct"/>
                <w:gridSpan w:val="3"/>
              </w:tcPr>
              <w:p>
                <w:pPr>
                  <w:jc w:val="center"/>
                  <w:rPr>
                    <w:szCs w:val="21"/>
                  </w:rPr>
                </w:pPr>
                <w:r>
                  <w:rPr>
                    <w:rFonts w:hint="eastAsia"/>
                    <w:szCs w:val="21"/>
                  </w:rPr>
                  <w:t>期末余额</w:t>
                </w:r>
              </w:p>
            </w:tc>
          </w:sdtContent>
        </w:sdt>
        <w:sdt>
          <w:sdtPr>
            <w:rPr>
              <w:szCs w:val="21"/>
            </w:rPr>
            <w:tag w:val="_PLD_7a3b43a9fc7d404ca5a79aa8f44f7452"/>
            <w:id w:val="-1698920838"/>
          </w:sdtPr>
          <w:sdtContent>
            <w:tc>
              <w:tcPr>
                <w:tcW w:w="1919" w:type="pct"/>
                <w:gridSpan w:val="3"/>
              </w:tcPr>
              <w:p>
                <w:pPr>
                  <w:jc w:val="center"/>
                  <w:rPr>
                    <w:szCs w:val="21"/>
                  </w:rPr>
                </w:pPr>
                <w:r>
                  <w:rPr>
                    <w:rFonts w:hint="eastAsia"/>
                    <w:szCs w:val="21"/>
                  </w:rPr>
                  <w:t>期初余额</w:t>
                </w:r>
              </w:p>
            </w:tc>
          </w:sdtContent>
        </w:sdt>
      </w:tr>
      <w:tr>
        <w:trPr>
          <w:jc w:val="center"/>
        </w:trPr>
        <w:tc>
          <w:tcPr>
            <w:tcW w:w="1088" w:type="pct"/>
            <w:vMerge/>
            <w:shd w:val="clear" w:color="auto" w:fill="auto"/>
            <w:vAlign w:val="center"/>
          </w:tcPr>
          <w:p>
            <w:pPr>
              <w:jc w:val="center"/>
              <w:rPr>
                <w:szCs w:val="21"/>
              </w:rPr>
            </w:pPr>
          </w:p>
        </w:tc>
        <w:tc>
          <w:tcPr>
            <w:tcW w:w="679" w:type="pct"/>
          </w:tcPr>
          <w:sdt>
            <w:sdtPr>
              <w:rPr>
                <w:szCs w:val="21"/>
              </w:rPr>
              <w:tag w:val="_PLD_eaca5bccdac9417999d4d9af7ad1eefe"/>
              <w:id w:val="1289088439"/>
            </w:sdtPr>
            <w:sdtContent>
              <w:p>
                <w:pPr>
                  <w:jc w:val="center"/>
                  <w:rPr>
                    <w:szCs w:val="21"/>
                  </w:rPr>
                </w:pPr>
                <w:r>
                  <w:rPr>
                    <w:rFonts w:hint="eastAsia"/>
                    <w:szCs w:val="21"/>
                  </w:rPr>
                  <w:t>账面余额</w:t>
                </w:r>
              </w:p>
            </w:sdtContent>
          </w:sdt>
        </w:tc>
        <w:tc>
          <w:tcPr>
            <w:tcW w:w="635" w:type="pct"/>
          </w:tcPr>
          <w:sdt>
            <w:sdtPr>
              <w:rPr>
                <w:szCs w:val="21"/>
              </w:rPr>
              <w:tag w:val="_PLD_b913601a6f0c496ba876b57f7e93b40e"/>
              <w:id w:val="-200323808"/>
            </w:sdtPr>
            <w:sdtContent>
              <w:p>
                <w:pPr>
                  <w:jc w:val="center"/>
                  <w:rPr>
                    <w:szCs w:val="21"/>
                  </w:rPr>
                </w:pPr>
                <w:r>
                  <w:rPr>
                    <w:szCs w:val="21"/>
                  </w:rPr>
                  <w:t>减值准备</w:t>
                </w:r>
              </w:p>
            </w:sdtContent>
          </w:sdt>
        </w:tc>
        <w:tc>
          <w:tcPr>
            <w:tcW w:w="679" w:type="pct"/>
            <w:shd w:val="clear" w:color="auto" w:fill="auto"/>
            <w:vAlign w:val="center"/>
          </w:tcPr>
          <w:sdt>
            <w:sdtPr>
              <w:rPr>
                <w:szCs w:val="21"/>
              </w:rPr>
              <w:tag w:val="_PLD_22318356783c413ba8286ddb8d1cda63"/>
              <w:id w:val="533001428"/>
            </w:sdtPr>
            <w:sdtContent>
              <w:p>
                <w:pPr>
                  <w:jc w:val="center"/>
                  <w:rPr>
                    <w:szCs w:val="21"/>
                  </w:rPr>
                </w:pPr>
                <w:r>
                  <w:rPr>
                    <w:szCs w:val="21"/>
                  </w:rPr>
                  <w:t>账面价值</w:t>
                </w:r>
              </w:p>
            </w:sdtContent>
          </w:sdt>
        </w:tc>
        <w:tc>
          <w:tcPr>
            <w:tcW w:w="679" w:type="pct"/>
          </w:tcPr>
          <w:sdt>
            <w:sdtPr>
              <w:rPr>
                <w:szCs w:val="21"/>
              </w:rPr>
              <w:tag w:val="_PLD_0c6f94cdfaf1457fa98b2252d3b39131"/>
              <w:id w:val="-624853647"/>
            </w:sdtPr>
            <w:sdtContent>
              <w:p>
                <w:pPr>
                  <w:jc w:val="center"/>
                  <w:rPr>
                    <w:szCs w:val="21"/>
                  </w:rPr>
                </w:pPr>
                <w:r>
                  <w:rPr>
                    <w:szCs w:val="21"/>
                  </w:rPr>
                  <w:t>账面余额</w:t>
                </w:r>
              </w:p>
            </w:sdtContent>
          </w:sdt>
        </w:tc>
        <w:tc>
          <w:tcPr>
            <w:tcW w:w="560" w:type="pct"/>
          </w:tcPr>
          <w:sdt>
            <w:sdtPr>
              <w:rPr>
                <w:szCs w:val="21"/>
              </w:rPr>
              <w:tag w:val="_PLD_9d7969af67514b9e93b62156119189b9"/>
              <w:id w:val="-1523312210"/>
            </w:sdtPr>
            <w:sdtContent>
              <w:p>
                <w:pPr>
                  <w:jc w:val="center"/>
                  <w:rPr>
                    <w:szCs w:val="21"/>
                  </w:rPr>
                </w:pPr>
                <w:r>
                  <w:rPr>
                    <w:szCs w:val="21"/>
                  </w:rPr>
                  <w:t>减值准备</w:t>
                </w:r>
              </w:p>
            </w:sdtContent>
          </w:sdt>
        </w:tc>
        <w:tc>
          <w:tcPr>
            <w:tcW w:w="679" w:type="pct"/>
            <w:shd w:val="clear" w:color="auto" w:fill="auto"/>
            <w:vAlign w:val="center"/>
          </w:tcPr>
          <w:sdt>
            <w:sdtPr>
              <w:rPr>
                <w:szCs w:val="21"/>
              </w:rPr>
              <w:tag w:val="_PLD_9c8736640ddf4dc897f3c30fb690ab09"/>
              <w:id w:val="1802265089"/>
            </w:sdtPr>
            <w:sdtContent>
              <w:p>
                <w:pPr>
                  <w:jc w:val="center"/>
                  <w:rPr>
                    <w:szCs w:val="21"/>
                  </w:rPr>
                </w:pPr>
                <w:r>
                  <w:rPr>
                    <w:szCs w:val="21"/>
                  </w:rPr>
                  <w:t>账面价值</w:t>
                </w:r>
              </w:p>
            </w:sdtContent>
          </w:sdt>
        </w:tc>
      </w:tr>
      <w:tr>
        <w:trPr>
          <w:jc w:val="center"/>
        </w:trPr>
        <w:tc>
          <w:tcPr>
            <w:tcW w:w="1088" w:type="pct"/>
            <w:shd w:val="clear" w:color="auto" w:fill="auto"/>
            <w:vAlign w:val="center"/>
          </w:tcPr>
          <w:p>
            <w:pPr>
              <w:spacing w:line="360" w:lineRule="exact"/>
              <w:rPr>
                <w:szCs w:val="21"/>
              </w:rPr>
            </w:pPr>
            <w:r>
              <w:rPr>
                <w:rFonts w:hint="eastAsia"/>
                <w:szCs w:val="21"/>
              </w:rPr>
              <w:t>探（采）矿权</w:t>
            </w:r>
          </w:p>
          <w:p>
            <w:pPr>
              <w:spacing w:line="360" w:lineRule="exact"/>
              <w:rPr>
                <w:szCs w:val="21"/>
              </w:rPr>
            </w:pPr>
          </w:p>
        </w:tc>
        <w:tc>
          <w:tcPr>
            <w:tcW w:w="679" w:type="pct"/>
            <w:vAlign w:val="center"/>
          </w:tcPr>
          <w:p>
            <w:pPr>
              <w:pStyle w:val="affffffffffffffffffffffffffffffffe"/>
              <w:jc w:val="right"/>
              <w:rPr>
                <w:szCs w:val="21"/>
              </w:rPr>
            </w:pPr>
            <w:r>
              <w:rPr>
                <w:szCs w:val="21"/>
              </w:rPr>
              <w:t>17,038,165</w:t>
            </w:r>
          </w:p>
        </w:tc>
        <w:tc>
          <w:tcPr>
            <w:tcW w:w="635"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17,038,165</w:t>
            </w:r>
          </w:p>
        </w:tc>
        <w:tc>
          <w:tcPr>
            <w:tcW w:w="679" w:type="pct"/>
            <w:vAlign w:val="center"/>
          </w:tcPr>
          <w:p>
            <w:pPr>
              <w:pStyle w:val="affffffffffffffffffffffffffffffffe"/>
              <w:jc w:val="right"/>
              <w:rPr>
                <w:szCs w:val="21"/>
              </w:rPr>
            </w:pPr>
            <w:r>
              <w:rPr>
                <w:szCs w:val="21"/>
              </w:rPr>
              <w:t>16,835,083</w:t>
            </w:r>
          </w:p>
        </w:tc>
        <w:tc>
          <w:tcPr>
            <w:tcW w:w="560"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16,835,083</w:t>
            </w:r>
          </w:p>
        </w:tc>
      </w:tr>
      <w:tr>
        <w:trPr>
          <w:jc w:val="center"/>
        </w:trPr>
        <w:tc>
          <w:tcPr>
            <w:tcW w:w="1088" w:type="pct"/>
            <w:shd w:val="clear" w:color="auto" w:fill="auto"/>
            <w:vAlign w:val="center"/>
          </w:tcPr>
          <w:p>
            <w:pPr>
              <w:spacing w:line="360" w:lineRule="exact"/>
              <w:rPr>
                <w:szCs w:val="21"/>
              </w:rPr>
            </w:pPr>
            <w:r>
              <w:rPr>
                <w:rFonts w:hint="eastAsia"/>
                <w:szCs w:val="21"/>
              </w:rPr>
              <w:t>发放贷款及垫款</w:t>
            </w:r>
          </w:p>
        </w:tc>
        <w:tc>
          <w:tcPr>
            <w:tcW w:w="679" w:type="pct"/>
            <w:vAlign w:val="center"/>
          </w:tcPr>
          <w:p>
            <w:pPr>
              <w:pStyle w:val="affffffffffffffffffffffffffffffffe"/>
              <w:jc w:val="right"/>
              <w:rPr>
                <w:szCs w:val="21"/>
              </w:rPr>
            </w:pPr>
            <w:r>
              <w:rPr>
                <w:szCs w:val="21"/>
              </w:rPr>
              <w:t>3,511,250</w:t>
            </w:r>
          </w:p>
        </w:tc>
        <w:tc>
          <w:tcPr>
            <w:tcW w:w="635" w:type="pct"/>
            <w:vAlign w:val="center"/>
          </w:tcPr>
          <w:p>
            <w:pPr>
              <w:pStyle w:val="affffffffffffffffffffffffffffffffe"/>
              <w:jc w:val="right"/>
              <w:rPr>
                <w:szCs w:val="21"/>
              </w:rPr>
            </w:pPr>
            <w:r>
              <w:rPr>
                <w:szCs w:val="21"/>
              </w:rPr>
              <w:t>152,975</w:t>
            </w:r>
          </w:p>
        </w:tc>
        <w:tc>
          <w:tcPr>
            <w:tcW w:w="679" w:type="pct"/>
            <w:shd w:val="clear" w:color="auto" w:fill="auto"/>
            <w:vAlign w:val="center"/>
          </w:tcPr>
          <w:p>
            <w:pPr>
              <w:pStyle w:val="affffffffffffffffffffffffffffffffe"/>
              <w:jc w:val="right"/>
              <w:rPr>
                <w:szCs w:val="21"/>
              </w:rPr>
            </w:pPr>
            <w:r>
              <w:rPr>
                <w:szCs w:val="21"/>
              </w:rPr>
              <w:t>3,358,275</w:t>
            </w:r>
          </w:p>
        </w:tc>
        <w:tc>
          <w:tcPr>
            <w:tcW w:w="679" w:type="pct"/>
            <w:vAlign w:val="center"/>
          </w:tcPr>
          <w:p>
            <w:pPr>
              <w:pStyle w:val="affffffffffffffffffffffffffffffffe"/>
              <w:jc w:val="right"/>
              <w:rPr>
                <w:szCs w:val="21"/>
              </w:rPr>
            </w:pPr>
            <w:r>
              <w:rPr>
                <w:szCs w:val="21"/>
              </w:rPr>
              <w:t>1,760,000</w:t>
            </w:r>
          </w:p>
        </w:tc>
        <w:tc>
          <w:tcPr>
            <w:tcW w:w="560" w:type="pct"/>
            <w:vAlign w:val="center"/>
          </w:tcPr>
          <w:p>
            <w:pPr>
              <w:pStyle w:val="affffffffffffffffffffffffffffffffe"/>
              <w:jc w:val="right"/>
              <w:rPr>
                <w:szCs w:val="21"/>
              </w:rPr>
            </w:pPr>
            <w:r>
              <w:rPr>
                <w:szCs w:val="21"/>
              </w:rPr>
              <w:t>44,000</w:t>
            </w:r>
          </w:p>
        </w:tc>
        <w:tc>
          <w:tcPr>
            <w:tcW w:w="679" w:type="pct"/>
            <w:shd w:val="clear" w:color="auto" w:fill="auto"/>
            <w:vAlign w:val="center"/>
          </w:tcPr>
          <w:p>
            <w:pPr>
              <w:pStyle w:val="affffffffffffffffffffffffffffffffe"/>
              <w:jc w:val="right"/>
              <w:rPr>
                <w:szCs w:val="21"/>
              </w:rPr>
            </w:pPr>
            <w:r>
              <w:rPr>
                <w:szCs w:val="21"/>
              </w:rPr>
              <w:t>1,716,000</w:t>
            </w:r>
          </w:p>
        </w:tc>
      </w:tr>
      <w:tr>
        <w:trPr>
          <w:jc w:val="center"/>
        </w:trPr>
        <w:tc>
          <w:tcPr>
            <w:tcW w:w="1088" w:type="pct"/>
            <w:shd w:val="clear" w:color="auto" w:fill="auto"/>
            <w:vAlign w:val="center"/>
          </w:tcPr>
          <w:p>
            <w:pPr>
              <w:spacing w:line="360" w:lineRule="exact"/>
              <w:rPr>
                <w:szCs w:val="21"/>
              </w:rPr>
            </w:pPr>
            <w:r>
              <w:rPr>
                <w:rFonts w:hint="eastAsia"/>
                <w:szCs w:val="21"/>
              </w:rPr>
              <w:t>预付设备、工程款</w:t>
            </w:r>
          </w:p>
        </w:tc>
        <w:tc>
          <w:tcPr>
            <w:tcW w:w="679" w:type="pct"/>
            <w:vAlign w:val="center"/>
          </w:tcPr>
          <w:p>
            <w:pPr>
              <w:pStyle w:val="affffffffffffffffffffffffffffffffe"/>
              <w:jc w:val="right"/>
              <w:rPr>
                <w:szCs w:val="21"/>
              </w:rPr>
            </w:pPr>
            <w:r>
              <w:rPr>
                <w:szCs w:val="21"/>
              </w:rPr>
              <w:t>1,283,007</w:t>
            </w:r>
          </w:p>
        </w:tc>
        <w:tc>
          <w:tcPr>
            <w:tcW w:w="635" w:type="pct"/>
            <w:vAlign w:val="center"/>
          </w:tcPr>
          <w:p>
            <w:pPr>
              <w:pStyle w:val="affffffffffffffffffffffffffffffffe"/>
              <w:jc w:val="right"/>
              <w:rPr>
                <w:szCs w:val="21"/>
              </w:rPr>
            </w:pPr>
            <w:r>
              <w:rPr>
                <w:szCs w:val="21"/>
              </w:rPr>
              <w:t>659</w:t>
            </w:r>
          </w:p>
        </w:tc>
        <w:tc>
          <w:tcPr>
            <w:tcW w:w="679" w:type="pct"/>
            <w:shd w:val="clear" w:color="auto" w:fill="auto"/>
            <w:vAlign w:val="center"/>
          </w:tcPr>
          <w:p>
            <w:pPr>
              <w:pStyle w:val="affffffffffffffffffffffffffffffffe"/>
              <w:jc w:val="right"/>
              <w:rPr>
                <w:szCs w:val="21"/>
              </w:rPr>
            </w:pPr>
            <w:r>
              <w:rPr>
                <w:szCs w:val="21"/>
              </w:rPr>
              <w:t>1,282,348</w:t>
            </w:r>
          </w:p>
        </w:tc>
        <w:tc>
          <w:tcPr>
            <w:tcW w:w="679" w:type="pct"/>
            <w:vAlign w:val="center"/>
          </w:tcPr>
          <w:p>
            <w:pPr>
              <w:pStyle w:val="affffffffffffffffffffffffffffffffe"/>
              <w:jc w:val="right"/>
              <w:rPr>
                <w:szCs w:val="21"/>
              </w:rPr>
            </w:pPr>
            <w:r>
              <w:rPr>
                <w:szCs w:val="21"/>
              </w:rPr>
              <w:t>1,199,964</w:t>
            </w:r>
          </w:p>
        </w:tc>
        <w:tc>
          <w:tcPr>
            <w:tcW w:w="560"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1,199,964</w:t>
            </w:r>
          </w:p>
        </w:tc>
      </w:tr>
      <w:tr>
        <w:trPr>
          <w:jc w:val="center"/>
        </w:trPr>
        <w:tc>
          <w:tcPr>
            <w:tcW w:w="1088" w:type="pct"/>
            <w:shd w:val="clear" w:color="auto" w:fill="auto"/>
            <w:vAlign w:val="center"/>
          </w:tcPr>
          <w:p>
            <w:pPr>
              <w:spacing w:line="360" w:lineRule="exact"/>
              <w:rPr>
                <w:szCs w:val="21"/>
              </w:rPr>
            </w:pPr>
            <w:r>
              <w:rPr>
                <w:rFonts w:hint="eastAsia"/>
                <w:szCs w:val="21"/>
              </w:rPr>
              <w:t>保理款</w:t>
            </w:r>
          </w:p>
        </w:tc>
        <w:tc>
          <w:tcPr>
            <w:tcW w:w="679" w:type="pct"/>
            <w:vAlign w:val="center"/>
          </w:tcPr>
          <w:p>
            <w:pPr>
              <w:pStyle w:val="affffffffffffffffffffffffffffffffe"/>
              <w:jc w:val="right"/>
              <w:rPr>
                <w:szCs w:val="21"/>
              </w:rPr>
            </w:pPr>
            <w:r>
              <w:rPr>
                <w:szCs w:val="21"/>
              </w:rPr>
              <w:t>1,765,940</w:t>
            </w:r>
          </w:p>
        </w:tc>
        <w:tc>
          <w:tcPr>
            <w:tcW w:w="635" w:type="pct"/>
            <w:vAlign w:val="center"/>
          </w:tcPr>
          <w:p>
            <w:pPr>
              <w:pStyle w:val="affffffffffffffffffffffffffffffffe"/>
              <w:jc w:val="right"/>
              <w:rPr>
                <w:szCs w:val="21"/>
              </w:rPr>
            </w:pPr>
            <w:r>
              <w:rPr>
                <w:szCs w:val="21"/>
              </w:rPr>
              <w:t>31,603</w:t>
            </w:r>
          </w:p>
        </w:tc>
        <w:tc>
          <w:tcPr>
            <w:tcW w:w="679" w:type="pct"/>
            <w:shd w:val="clear" w:color="auto" w:fill="auto"/>
            <w:vAlign w:val="center"/>
          </w:tcPr>
          <w:p>
            <w:pPr>
              <w:pStyle w:val="affffffffffffffffffffffffffffffffe"/>
              <w:jc w:val="right"/>
              <w:rPr>
                <w:szCs w:val="21"/>
              </w:rPr>
            </w:pPr>
            <w:r>
              <w:rPr>
                <w:szCs w:val="21"/>
              </w:rPr>
              <w:t>1,734,337</w:t>
            </w:r>
          </w:p>
        </w:tc>
        <w:tc>
          <w:tcPr>
            <w:tcW w:w="679" w:type="pct"/>
            <w:vAlign w:val="center"/>
          </w:tcPr>
          <w:p>
            <w:pPr>
              <w:pStyle w:val="affffffffffffffffffffffffffffffffe"/>
              <w:jc w:val="right"/>
              <w:rPr>
                <w:szCs w:val="21"/>
              </w:rPr>
            </w:pPr>
            <w:r>
              <w:rPr>
                <w:szCs w:val="21"/>
              </w:rPr>
              <w:t>993,850</w:t>
            </w:r>
          </w:p>
        </w:tc>
        <w:tc>
          <w:tcPr>
            <w:tcW w:w="560" w:type="pct"/>
            <w:vAlign w:val="center"/>
          </w:tcPr>
          <w:p>
            <w:pPr>
              <w:pStyle w:val="affffffffffffffffffffffffffffffffe"/>
              <w:jc w:val="right"/>
              <w:rPr>
                <w:szCs w:val="21"/>
              </w:rPr>
            </w:pPr>
            <w:r>
              <w:rPr>
                <w:szCs w:val="21"/>
              </w:rPr>
              <w:t>9,939</w:t>
            </w:r>
          </w:p>
        </w:tc>
        <w:tc>
          <w:tcPr>
            <w:tcW w:w="679" w:type="pct"/>
            <w:shd w:val="clear" w:color="auto" w:fill="auto"/>
            <w:vAlign w:val="center"/>
          </w:tcPr>
          <w:p>
            <w:pPr>
              <w:pStyle w:val="affffffffffffffffffffffffffffffffe"/>
              <w:jc w:val="right"/>
              <w:rPr>
                <w:szCs w:val="21"/>
              </w:rPr>
            </w:pPr>
            <w:r>
              <w:rPr>
                <w:szCs w:val="21"/>
              </w:rPr>
              <w:t>983,911</w:t>
            </w:r>
          </w:p>
        </w:tc>
      </w:tr>
      <w:tr>
        <w:trPr>
          <w:jc w:val="center"/>
        </w:trPr>
        <w:tc>
          <w:tcPr>
            <w:tcW w:w="1088" w:type="pct"/>
            <w:shd w:val="clear" w:color="auto" w:fill="auto"/>
            <w:vAlign w:val="center"/>
          </w:tcPr>
          <w:p>
            <w:pPr>
              <w:spacing w:line="360" w:lineRule="exact"/>
              <w:rPr>
                <w:szCs w:val="21"/>
              </w:rPr>
            </w:pPr>
            <w:r>
              <w:rPr>
                <w:rFonts w:hint="eastAsia"/>
                <w:szCs w:val="21"/>
              </w:rPr>
              <w:lastRenderedPageBreak/>
              <w:t>长期服务假基金会补偿金</w:t>
            </w:r>
          </w:p>
        </w:tc>
        <w:tc>
          <w:tcPr>
            <w:tcW w:w="679" w:type="pct"/>
            <w:vAlign w:val="center"/>
          </w:tcPr>
          <w:p>
            <w:pPr>
              <w:pStyle w:val="affffffffffffffffffffffffffffffffe"/>
              <w:jc w:val="right"/>
              <w:rPr>
                <w:szCs w:val="21"/>
              </w:rPr>
            </w:pPr>
            <w:r>
              <w:rPr>
                <w:szCs w:val="21"/>
              </w:rPr>
              <w:t>401,365</w:t>
            </w:r>
          </w:p>
        </w:tc>
        <w:tc>
          <w:tcPr>
            <w:tcW w:w="635"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401,365</w:t>
            </w:r>
          </w:p>
        </w:tc>
        <w:tc>
          <w:tcPr>
            <w:tcW w:w="679" w:type="pct"/>
            <w:vAlign w:val="center"/>
          </w:tcPr>
          <w:p>
            <w:pPr>
              <w:pStyle w:val="affffffffffffffffffffffffffffffffe"/>
              <w:jc w:val="right"/>
              <w:rPr>
                <w:szCs w:val="21"/>
              </w:rPr>
            </w:pPr>
            <w:r>
              <w:rPr>
                <w:szCs w:val="21"/>
              </w:rPr>
              <w:t>420,930</w:t>
            </w:r>
          </w:p>
        </w:tc>
        <w:tc>
          <w:tcPr>
            <w:tcW w:w="560"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420,930</w:t>
            </w:r>
          </w:p>
        </w:tc>
      </w:tr>
      <w:tr>
        <w:trPr>
          <w:jc w:val="center"/>
        </w:trPr>
        <w:tc>
          <w:tcPr>
            <w:tcW w:w="1088" w:type="pct"/>
            <w:shd w:val="clear" w:color="auto" w:fill="auto"/>
            <w:vAlign w:val="center"/>
          </w:tcPr>
          <w:p>
            <w:pPr>
              <w:spacing w:line="360" w:lineRule="exact"/>
              <w:rPr>
                <w:szCs w:val="21"/>
              </w:rPr>
            </w:pPr>
            <w:r>
              <w:rPr>
                <w:rFonts w:hint="eastAsia"/>
                <w:szCs w:val="21"/>
              </w:rPr>
              <w:t>产能置换款</w:t>
            </w:r>
          </w:p>
        </w:tc>
        <w:tc>
          <w:tcPr>
            <w:tcW w:w="679" w:type="pct"/>
            <w:vAlign w:val="center"/>
          </w:tcPr>
          <w:p>
            <w:pPr>
              <w:pStyle w:val="affffffffffffffffffffffffffffffffe"/>
              <w:jc w:val="right"/>
              <w:rPr>
                <w:szCs w:val="21"/>
              </w:rPr>
            </w:pPr>
            <w:r>
              <w:rPr>
                <w:szCs w:val="21"/>
              </w:rPr>
              <w:t>77,398</w:t>
            </w:r>
          </w:p>
        </w:tc>
        <w:tc>
          <w:tcPr>
            <w:tcW w:w="635"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77,398</w:t>
            </w:r>
          </w:p>
        </w:tc>
        <w:tc>
          <w:tcPr>
            <w:tcW w:w="679" w:type="pct"/>
            <w:vAlign w:val="center"/>
          </w:tcPr>
          <w:p>
            <w:pPr>
              <w:pStyle w:val="affffffffffffffffffffffffffffffffe"/>
              <w:jc w:val="right"/>
              <w:rPr>
                <w:szCs w:val="21"/>
              </w:rPr>
            </w:pPr>
            <w:r>
              <w:rPr>
                <w:szCs w:val="21"/>
              </w:rPr>
              <w:t>77,398</w:t>
            </w:r>
          </w:p>
        </w:tc>
        <w:tc>
          <w:tcPr>
            <w:tcW w:w="560" w:type="pct"/>
            <w:vAlign w:val="center"/>
          </w:tcPr>
          <w:p>
            <w:pPr>
              <w:pStyle w:val="affffffffffffffffffffffffffffffffe"/>
              <w:jc w:val="right"/>
              <w:rPr>
                <w:szCs w:val="21"/>
              </w:rPr>
            </w:pPr>
          </w:p>
        </w:tc>
        <w:tc>
          <w:tcPr>
            <w:tcW w:w="679" w:type="pct"/>
            <w:shd w:val="clear" w:color="auto" w:fill="auto"/>
            <w:vAlign w:val="center"/>
          </w:tcPr>
          <w:p>
            <w:pPr>
              <w:jc w:val="right"/>
              <w:rPr>
                <w:szCs w:val="21"/>
              </w:rPr>
            </w:pPr>
            <w:r>
              <w:rPr>
                <w:szCs w:val="21"/>
              </w:rPr>
              <w:t>77,398</w:t>
            </w:r>
          </w:p>
        </w:tc>
      </w:tr>
      <w:tr>
        <w:trPr>
          <w:jc w:val="center"/>
        </w:trPr>
        <w:tc>
          <w:tcPr>
            <w:tcW w:w="1088" w:type="pct"/>
            <w:shd w:val="clear" w:color="auto" w:fill="auto"/>
            <w:vAlign w:val="center"/>
          </w:tcPr>
          <w:p>
            <w:pPr>
              <w:spacing w:line="360" w:lineRule="exact"/>
              <w:rPr>
                <w:szCs w:val="21"/>
              </w:rPr>
            </w:pPr>
            <w:r>
              <w:rPr>
                <w:rFonts w:hint="eastAsia"/>
                <w:szCs w:val="21"/>
              </w:rPr>
              <w:t>其他</w:t>
            </w:r>
          </w:p>
        </w:tc>
        <w:tc>
          <w:tcPr>
            <w:tcW w:w="679" w:type="pct"/>
            <w:vAlign w:val="center"/>
          </w:tcPr>
          <w:p>
            <w:pPr>
              <w:pStyle w:val="affffffffffffffffffffffffffffffffe"/>
              <w:jc w:val="right"/>
              <w:rPr>
                <w:szCs w:val="21"/>
              </w:rPr>
            </w:pPr>
            <w:r>
              <w:rPr>
                <w:szCs w:val="21"/>
              </w:rPr>
              <w:t>1,072,856</w:t>
            </w:r>
          </w:p>
        </w:tc>
        <w:tc>
          <w:tcPr>
            <w:tcW w:w="635" w:type="pct"/>
            <w:vAlign w:val="center"/>
          </w:tcPr>
          <w:p>
            <w:pPr>
              <w:pStyle w:val="affffffffffffffffffffffffffffffffe"/>
              <w:jc w:val="right"/>
              <w:rPr>
                <w:szCs w:val="21"/>
              </w:rPr>
            </w:pPr>
            <w:r>
              <w:rPr>
                <w:szCs w:val="21"/>
              </w:rPr>
              <w:t>19,339</w:t>
            </w:r>
          </w:p>
        </w:tc>
        <w:tc>
          <w:tcPr>
            <w:tcW w:w="679" w:type="pct"/>
            <w:shd w:val="clear" w:color="auto" w:fill="auto"/>
            <w:vAlign w:val="center"/>
          </w:tcPr>
          <w:p>
            <w:pPr>
              <w:pStyle w:val="affffffffffffffffffffffffffffffffe"/>
              <w:jc w:val="right"/>
              <w:rPr>
                <w:szCs w:val="21"/>
              </w:rPr>
            </w:pPr>
            <w:r>
              <w:rPr>
                <w:szCs w:val="21"/>
              </w:rPr>
              <w:t>1,053,517</w:t>
            </w:r>
          </w:p>
        </w:tc>
        <w:tc>
          <w:tcPr>
            <w:tcW w:w="679" w:type="pct"/>
            <w:vAlign w:val="center"/>
          </w:tcPr>
          <w:p>
            <w:pPr>
              <w:pStyle w:val="affffffffffffffffffffffffffffffffe"/>
              <w:jc w:val="right"/>
              <w:rPr>
                <w:szCs w:val="21"/>
              </w:rPr>
            </w:pPr>
            <w:r>
              <w:rPr>
                <w:szCs w:val="21"/>
              </w:rPr>
              <w:t>1,071,684</w:t>
            </w:r>
          </w:p>
        </w:tc>
        <w:tc>
          <w:tcPr>
            <w:tcW w:w="560" w:type="pct"/>
            <w:vAlign w:val="center"/>
          </w:tcPr>
          <w:p>
            <w:pPr>
              <w:pStyle w:val="affffffffffffffffffffffffffffffffe"/>
              <w:jc w:val="right"/>
              <w:rPr>
                <w:szCs w:val="21"/>
              </w:rPr>
            </w:pPr>
            <w:r>
              <w:rPr>
                <w:szCs w:val="21"/>
              </w:rPr>
              <w:t>56,731</w:t>
            </w:r>
          </w:p>
        </w:tc>
        <w:tc>
          <w:tcPr>
            <w:tcW w:w="679" w:type="pct"/>
            <w:shd w:val="clear" w:color="auto" w:fill="auto"/>
            <w:vAlign w:val="center"/>
          </w:tcPr>
          <w:p>
            <w:pPr>
              <w:pStyle w:val="affffffffffffffffffffffffffffffffe"/>
              <w:jc w:val="right"/>
              <w:rPr>
                <w:szCs w:val="21"/>
              </w:rPr>
            </w:pPr>
            <w:r>
              <w:rPr>
                <w:szCs w:val="21"/>
              </w:rPr>
              <w:t>1,014,953</w:t>
            </w:r>
          </w:p>
        </w:tc>
      </w:tr>
      <w:tr>
        <w:trPr>
          <w:jc w:val="center"/>
        </w:trPr>
        <w:tc>
          <w:tcPr>
            <w:tcW w:w="1088" w:type="pct"/>
            <w:shd w:val="clear" w:color="auto" w:fill="auto"/>
            <w:vAlign w:val="center"/>
          </w:tcPr>
          <w:p>
            <w:pPr>
              <w:jc w:val="center"/>
              <w:rPr>
                <w:szCs w:val="21"/>
              </w:rPr>
            </w:pPr>
            <w:r>
              <w:rPr>
                <w:rFonts w:hint="eastAsia"/>
                <w:szCs w:val="21"/>
              </w:rPr>
              <w:t>合计</w:t>
            </w:r>
          </w:p>
        </w:tc>
        <w:tc>
          <w:tcPr>
            <w:tcW w:w="679" w:type="pct"/>
            <w:vAlign w:val="center"/>
          </w:tcPr>
          <w:p>
            <w:pPr>
              <w:jc w:val="right"/>
              <w:rPr>
                <w:szCs w:val="21"/>
              </w:rPr>
            </w:pPr>
            <w:r>
              <w:rPr>
                <w:szCs w:val="21"/>
              </w:rPr>
              <w:t>25,149,981</w:t>
            </w:r>
          </w:p>
        </w:tc>
        <w:tc>
          <w:tcPr>
            <w:tcW w:w="635" w:type="pct"/>
            <w:vAlign w:val="center"/>
          </w:tcPr>
          <w:p>
            <w:pPr>
              <w:jc w:val="right"/>
              <w:rPr>
                <w:szCs w:val="21"/>
              </w:rPr>
            </w:pPr>
            <w:r>
              <w:rPr>
                <w:szCs w:val="21"/>
              </w:rPr>
              <w:t>204,576</w:t>
            </w:r>
          </w:p>
        </w:tc>
        <w:tc>
          <w:tcPr>
            <w:tcW w:w="679" w:type="pct"/>
            <w:shd w:val="clear" w:color="auto" w:fill="auto"/>
            <w:vAlign w:val="center"/>
          </w:tcPr>
          <w:p>
            <w:pPr>
              <w:jc w:val="right"/>
              <w:rPr>
                <w:szCs w:val="21"/>
              </w:rPr>
            </w:pPr>
            <w:r>
              <w:rPr>
                <w:szCs w:val="21"/>
              </w:rPr>
              <w:t>24,945,405</w:t>
            </w:r>
          </w:p>
        </w:tc>
        <w:tc>
          <w:tcPr>
            <w:tcW w:w="679" w:type="pct"/>
            <w:vAlign w:val="center"/>
          </w:tcPr>
          <w:p>
            <w:pPr>
              <w:jc w:val="right"/>
              <w:rPr>
                <w:szCs w:val="21"/>
              </w:rPr>
            </w:pPr>
            <w:r>
              <w:rPr>
                <w:szCs w:val="21"/>
              </w:rPr>
              <w:t>22,358,909</w:t>
            </w:r>
          </w:p>
        </w:tc>
        <w:tc>
          <w:tcPr>
            <w:tcW w:w="560" w:type="pct"/>
            <w:vAlign w:val="center"/>
          </w:tcPr>
          <w:p>
            <w:pPr>
              <w:jc w:val="right"/>
              <w:rPr>
                <w:szCs w:val="21"/>
              </w:rPr>
            </w:pPr>
            <w:r>
              <w:rPr>
                <w:szCs w:val="21"/>
              </w:rPr>
              <w:t>110,670</w:t>
            </w:r>
          </w:p>
        </w:tc>
        <w:tc>
          <w:tcPr>
            <w:tcW w:w="679" w:type="pct"/>
            <w:shd w:val="clear" w:color="auto" w:fill="auto"/>
            <w:vAlign w:val="center"/>
          </w:tcPr>
          <w:p>
            <w:pPr>
              <w:jc w:val="right"/>
              <w:rPr>
                <w:szCs w:val="21"/>
              </w:rPr>
            </w:pPr>
            <w:r>
              <w:rPr>
                <w:szCs w:val="21"/>
              </w:rPr>
              <w:t>22,248,239</w:t>
            </w:r>
          </w:p>
        </w:tc>
      </w:tr>
    </w:tbl>
    <w:p>
      <w:pPr>
        <w:pStyle w:val="affffffffffffffffffffffffffffffffe"/>
        <w:rPr>
          <w:szCs w:val="21"/>
        </w:rPr>
      </w:pPr>
    </w:p>
    <w:p>
      <w:pPr>
        <w:rPr>
          <w:szCs w:val="21"/>
        </w:rPr>
      </w:pPr>
      <w:r>
        <w:rPr>
          <w:rFonts w:hint="eastAsia"/>
          <w:szCs w:val="21"/>
        </w:rPr>
        <w:t>其他说明：</w:t>
      </w:r>
    </w:p>
    <w:sdt>
      <w:sdtPr>
        <w:rPr>
          <w:szCs w:val="21"/>
        </w:rPr>
        <w:alias w:val="其他长期资产的说明"/>
        <w:tag w:val="_GBC_d2d37b97b8df4ba1b7bcbf3e8c04d024"/>
        <w:id w:val="451830254"/>
        <w:placeholder>
          <w:docPart w:val="GBC22222222222222222222222222222"/>
        </w:placeholder>
      </w:sdtPr>
      <w:sdtContent>
        <w:p>
          <w:pPr>
            <w:ind w:firstLineChars="200" w:firstLine="420"/>
            <w:rPr>
              <w:szCs w:val="21"/>
            </w:rPr>
          </w:pPr>
          <w:r>
            <w:rPr>
              <w:rFonts w:hint="eastAsia"/>
              <w:szCs w:val="21"/>
            </w:rPr>
            <w:t>注：探</w:t>
          </w:r>
          <w:r>
            <w:rPr>
              <w:szCs w:val="21"/>
            </w:rPr>
            <w:t>(采)矿权主要系内蒙古准格尔煤田刘三圪旦煤矿、内蒙古自治区兴和县曹四天矿区钼矿和内蒙古自治区东胜煤田嘎鲁图煤矿等矿权</w:t>
          </w:r>
          <w:r>
            <w:rPr>
              <w:rFonts w:hint="eastAsia"/>
              <w:szCs w:val="21"/>
            </w:rPr>
            <w:t>价款。</w:t>
          </w:r>
        </w:p>
      </w:sdtContent>
    </w:sdt>
    <w:bookmarkEnd w:id="442" w:displacedByCustomXml="prev"/>
    <w:p>
      <w:pPr>
        <w:rPr>
          <w:szCs w:val="21"/>
        </w:rPr>
        <w:sectPr>
          <w:pgSz w:w="11906" w:h="16838"/>
          <w:pgMar w:top="1440" w:right="1797" w:bottom="1525" w:left="1276" w:header="856" w:footer="992" w:gutter="0"/>
          <w:cols w:space="425"/>
          <w:docGrid w:linePitch="312"/>
        </w:sectPr>
      </w:pPr>
    </w:p>
    <w:p>
      <w:pPr>
        <w:rPr>
          <w:szCs w:val="21"/>
        </w:rPr>
      </w:pPr>
    </w:p>
    <w:p>
      <w:pPr>
        <w:pStyle w:val="affffffffffffffffff6"/>
        <w:numPr>
          <w:ilvl w:val="0"/>
          <w:numId w:val="103"/>
        </w:numPr>
        <w:tabs>
          <w:tab w:val="left" w:pos="504"/>
        </w:tabs>
        <w:rPr>
          <w:rFonts w:ascii="宋体" w:hAnsi="宋体" w:cs="宋体"/>
          <w:color w:val="000000" w:themeColor="text1"/>
          <w:kern w:val="0"/>
          <w:szCs w:val="21"/>
        </w:rPr>
      </w:pPr>
      <w:bookmarkStart w:id="443" w:name="_Hlk182485605"/>
      <w:r>
        <w:rPr>
          <w:rFonts w:ascii="宋体" w:hAnsi="宋体" w:cs="宋体" w:hint="eastAsia"/>
          <w:color w:val="000000" w:themeColor="text1"/>
          <w:kern w:val="0"/>
          <w:szCs w:val="21"/>
        </w:rPr>
        <w:t>所有权或</w:t>
      </w:r>
      <w:r>
        <w:rPr>
          <w:rFonts w:hint="eastAsia"/>
          <w:szCs w:val="21"/>
        </w:rPr>
        <w:t>使用权</w:t>
      </w:r>
      <w:r>
        <w:rPr>
          <w:rFonts w:ascii="宋体" w:hAnsi="宋体" w:cs="宋体" w:hint="eastAsia"/>
          <w:color w:val="000000" w:themeColor="text1"/>
          <w:kern w:val="0"/>
          <w:szCs w:val="21"/>
        </w:rPr>
        <w:t>受限资产</w:t>
      </w:r>
    </w:p>
    <w:sdt>
      <w:sdtPr>
        <w:rPr>
          <w:color w:val="000000" w:themeColor="text1"/>
        </w:rPr>
        <w:alias w:val="是否适用：所有权或使用权受到限制的资产[双击切换]"/>
        <w:tag w:val="_GBC_f1f6d80d559a42ada65c7a06e1485986"/>
        <w:id w:val="137635471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pStyle w:val="affffffffffffffffffffffffffffffffff4"/>
        <w:ind w:firstLineChars="0" w:firstLine="0"/>
        <w:jc w:val="right"/>
        <w:rPr>
          <w:rFonts w:ascii="宋体" w:hAnsi="宋体"/>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228754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千元</w:t>
          </w:r>
        </w:sdtContent>
      </w:sdt>
      <w:r>
        <w:rPr>
          <w:rFonts w:ascii="宋体" w:hAnsi="宋体" w:hint="eastAsia"/>
          <w:color w:val="000000" w:themeColor="text1"/>
          <w:szCs w:val="21"/>
        </w:rPr>
        <w:t xml:space="preserve">  币种：</w:t>
      </w:r>
      <w:sdt>
        <w:sdtPr>
          <w:rPr>
            <w:rFonts w:ascii="宋体" w:hAnsi="宋体" w:hint="eastAsia"/>
            <w:color w:val="000000" w:themeColor="text1"/>
            <w:szCs w:val="21"/>
          </w:rPr>
          <w:alias w:val="币种：财务附注：所有权或使用权受到限制的资产"/>
          <w:tag w:val="_GBC_3384ecfbee774a528f8956ac7bda492a"/>
          <w:id w:val="-19352856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g46"/>
        <w:tblW w:w="14879" w:type="dxa"/>
        <w:jc w:val="center"/>
        <w:tblInd w:w="0" w:type="dxa"/>
        <w:tblLook w:val="04A0" w:firstRow="1" w:lastRow="0" w:firstColumn="1" w:lastColumn="0" w:noHBand="0" w:noVBand="1"/>
      </w:tblPr>
      <w:tblGrid>
        <w:gridCol w:w="1985"/>
        <w:gridCol w:w="1134"/>
        <w:gridCol w:w="1134"/>
        <w:gridCol w:w="1559"/>
        <w:gridCol w:w="2127"/>
        <w:gridCol w:w="1134"/>
        <w:gridCol w:w="2126"/>
        <w:gridCol w:w="1559"/>
        <w:gridCol w:w="2121"/>
      </w:tblGrid>
      <w:tr>
        <w:trPr>
          <w:jc w:val="center"/>
        </w:trPr>
        <w:sdt>
          <w:sdtPr>
            <w:rPr>
              <w:szCs w:val="21"/>
            </w:rPr>
            <w:tag w:val="_PLD_85915b25a498409faaeec94754cc91ce"/>
            <w:id w:val="-1996641256"/>
          </w:sdtPr>
          <w:sdtContent>
            <w:tc>
              <w:tcPr>
                <w:tcW w:w="1985" w:type="dxa"/>
                <w:vMerge w:val="restart"/>
                <w:vAlign w:val="center"/>
              </w:tcPr>
              <w:p>
                <w:pPr>
                  <w:jc w:val="center"/>
                  <w:rPr>
                    <w:color w:val="000000" w:themeColor="text1"/>
                    <w:szCs w:val="21"/>
                  </w:rPr>
                </w:pPr>
                <w:r>
                  <w:rPr>
                    <w:rFonts w:hint="eastAsia"/>
                    <w:color w:val="000000" w:themeColor="text1"/>
                    <w:szCs w:val="21"/>
                  </w:rPr>
                  <w:t>项目</w:t>
                </w:r>
              </w:p>
            </w:tc>
          </w:sdtContent>
        </w:sdt>
        <w:sdt>
          <w:sdtPr>
            <w:rPr>
              <w:szCs w:val="21"/>
            </w:rPr>
            <w:tag w:val="_PLD_bcba7b22c1f8467fb1ed1a4a9e7f7dae"/>
            <w:id w:val="1973327271"/>
          </w:sdtPr>
          <w:sdtContent>
            <w:tc>
              <w:tcPr>
                <w:tcW w:w="5954" w:type="dxa"/>
                <w:gridSpan w:val="4"/>
                <w:vAlign w:val="center"/>
              </w:tcPr>
              <w:p>
                <w:pPr>
                  <w:jc w:val="center"/>
                  <w:rPr>
                    <w:color w:val="000000" w:themeColor="text1"/>
                    <w:szCs w:val="21"/>
                  </w:rPr>
                </w:pPr>
                <w:r>
                  <w:rPr>
                    <w:rFonts w:hint="eastAsia"/>
                    <w:color w:val="000000" w:themeColor="text1"/>
                    <w:szCs w:val="21"/>
                  </w:rPr>
                  <w:t>期末</w:t>
                </w:r>
              </w:p>
            </w:tc>
          </w:sdtContent>
        </w:sdt>
        <w:sdt>
          <w:sdtPr>
            <w:rPr>
              <w:szCs w:val="21"/>
            </w:rPr>
            <w:tag w:val="_PLD_e062301463624f04b097cb249cdb774e"/>
            <w:id w:val="-1911216735"/>
          </w:sdtPr>
          <w:sdtContent>
            <w:tc>
              <w:tcPr>
                <w:tcW w:w="6940" w:type="dxa"/>
                <w:gridSpan w:val="4"/>
                <w:vAlign w:val="center"/>
              </w:tcPr>
              <w:p>
                <w:pPr>
                  <w:jc w:val="center"/>
                  <w:rPr>
                    <w:color w:val="000000" w:themeColor="text1"/>
                    <w:szCs w:val="21"/>
                  </w:rPr>
                </w:pPr>
                <w:r>
                  <w:rPr>
                    <w:rFonts w:hint="eastAsia"/>
                    <w:color w:val="000000" w:themeColor="text1"/>
                    <w:szCs w:val="21"/>
                  </w:rPr>
                  <w:t>期初</w:t>
                </w:r>
              </w:p>
            </w:tc>
          </w:sdtContent>
        </w:sdt>
      </w:tr>
      <w:tr>
        <w:trPr>
          <w:trHeight w:val="70"/>
          <w:jc w:val="center"/>
        </w:trPr>
        <w:tc>
          <w:tcPr>
            <w:tcW w:w="1985" w:type="dxa"/>
            <w:vMerge/>
          </w:tcPr>
          <w:p>
            <w:pPr>
              <w:rPr>
                <w:color w:val="000000" w:themeColor="text1"/>
                <w:szCs w:val="21"/>
              </w:rPr>
            </w:pPr>
          </w:p>
        </w:tc>
        <w:tc>
          <w:tcPr>
            <w:tcW w:w="1134" w:type="dxa"/>
            <w:vAlign w:val="center"/>
          </w:tcPr>
          <w:p>
            <w:pPr>
              <w:jc w:val="center"/>
              <w:rPr>
                <w:b/>
                <w:bCs/>
                <w:color w:val="000000"/>
                <w:szCs w:val="21"/>
              </w:rPr>
            </w:pPr>
            <w:r>
              <w:rPr>
                <w:rFonts w:hint="eastAsia"/>
                <w:b/>
                <w:bCs/>
                <w:color w:val="000000"/>
                <w:szCs w:val="21"/>
              </w:rPr>
              <w:t>账面余额</w:t>
            </w:r>
          </w:p>
        </w:tc>
        <w:tc>
          <w:tcPr>
            <w:tcW w:w="1134" w:type="dxa"/>
            <w:vAlign w:val="center"/>
          </w:tcPr>
          <w:p>
            <w:pPr>
              <w:jc w:val="center"/>
              <w:rPr>
                <w:b/>
                <w:bCs/>
                <w:color w:val="000000"/>
                <w:szCs w:val="21"/>
              </w:rPr>
            </w:pPr>
            <w:r>
              <w:rPr>
                <w:rFonts w:hint="eastAsia"/>
                <w:b/>
                <w:bCs/>
                <w:color w:val="000000"/>
                <w:szCs w:val="21"/>
              </w:rPr>
              <w:t>账面价值</w:t>
            </w:r>
          </w:p>
        </w:tc>
        <w:tc>
          <w:tcPr>
            <w:tcW w:w="1559" w:type="dxa"/>
            <w:vAlign w:val="center"/>
          </w:tcPr>
          <w:p>
            <w:pPr>
              <w:jc w:val="center"/>
              <w:rPr>
                <w:b/>
                <w:bCs/>
                <w:color w:val="000000"/>
                <w:szCs w:val="21"/>
              </w:rPr>
            </w:pPr>
            <w:r>
              <w:rPr>
                <w:rFonts w:hint="eastAsia"/>
                <w:b/>
                <w:bCs/>
                <w:color w:val="000000"/>
                <w:szCs w:val="21"/>
              </w:rPr>
              <w:t>受限类型</w:t>
            </w:r>
          </w:p>
        </w:tc>
        <w:tc>
          <w:tcPr>
            <w:tcW w:w="2127" w:type="dxa"/>
            <w:vAlign w:val="center"/>
          </w:tcPr>
          <w:p>
            <w:pPr>
              <w:jc w:val="center"/>
              <w:rPr>
                <w:b/>
                <w:bCs/>
                <w:color w:val="000000"/>
                <w:szCs w:val="21"/>
              </w:rPr>
            </w:pPr>
            <w:r>
              <w:rPr>
                <w:rFonts w:hint="eastAsia"/>
                <w:b/>
                <w:bCs/>
                <w:color w:val="000000"/>
                <w:szCs w:val="21"/>
              </w:rPr>
              <w:t>受限情况</w:t>
            </w:r>
          </w:p>
        </w:tc>
        <w:tc>
          <w:tcPr>
            <w:tcW w:w="1134" w:type="dxa"/>
            <w:vAlign w:val="center"/>
          </w:tcPr>
          <w:p>
            <w:pPr>
              <w:jc w:val="center"/>
              <w:rPr>
                <w:b/>
                <w:bCs/>
                <w:color w:val="000000"/>
                <w:szCs w:val="21"/>
              </w:rPr>
            </w:pPr>
            <w:r>
              <w:rPr>
                <w:rFonts w:hint="eastAsia"/>
                <w:b/>
                <w:bCs/>
                <w:color w:val="000000"/>
                <w:szCs w:val="21"/>
              </w:rPr>
              <w:t>账面余额</w:t>
            </w:r>
          </w:p>
        </w:tc>
        <w:tc>
          <w:tcPr>
            <w:tcW w:w="2126" w:type="dxa"/>
            <w:vAlign w:val="center"/>
          </w:tcPr>
          <w:p>
            <w:pPr>
              <w:jc w:val="center"/>
              <w:rPr>
                <w:b/>
                <w:bCs/>
                <w:color w:val="000000"/>
                <w:szCs w:val="21"/>
              </w:rPr>
            </w:pPr>
            <w:r>
              <w:rPr>
                <w:rFonts w:hint="eastAsia"/>
                <w:b/>
                <w:bCs/>
                <w:color w:val="000000"/>
                <w:szCs w:val="21"/>
              </w:rPr>
              <w:t>账面价值</w:t>
            </w:r>
          </w:p>
        </w:tc>
        <w:tc>
          <w:tcPr>
            <w:tcW w:w="1559" w:type="dxa"/>
            <w:vAlign w:val="center"/>
          </w:tcPr>
          <w:p>
            <w:pPr>
              <w:jc w:val="center"/>
              <w:rPr>
                <w:b/>
                <w:bCs/>
                <w:color w:val="000000"/>
                <w:szCs w:val="21"/>
              </w:rPr>
            </w:pPr>
            <w:r>
              <w:rPr>
                <w:rFonts w:hint="eastAsia"/>
                <w:b/>
                <w:bCs/>
                <w:color w:val="000000"/>
                <w:szCs w:val="21"/>
              </w:rPr>
              <w:t>受限</w:t>
            </w:r>
          </w:p>
          <w:p>
            <w:pPr>
              <w:jc w:val="center"/>
              <w:rPr>
                <w:b/>
                <w:bCs/>
                <w:color w:val="000000"/>
                <w:szCs w:val="21"/>
              </w:rPr>
            </w:pPr>
            <w:r>
              <w:rPr>
                <w:rFonts w:hint="eastAsia"/>
                <w:b/>
                <w:bCs/>
                <w:color w:val="000000"/>
                <w:szCs w:val="21"/>
              </w:rPr>
              <w:t>类型</w:t>
            </w:r>
          </w:p>
        </w:tc>
        <w:tc>
          <w:tcPr>
            <w:tcW w:w="2121" w:type="dxa"/>
            <w:vAlign w:val="center"/>
          </w:tcPr>
          <w:p>
            <w:pPr>
              <w:jc w:val="center"/>
              <w:rPr>
                <w:b/>
                <w:bCs/>
                <w:color w:val="000000"/>
                <w:szCs w:val="21"/>
              </w:rPr>
            </w:pPr>
            <w:r>
              <w:rPr>
                <w:rFonts w:hint="eastAsia"/>
                <w:b/>
                <w:bCs/>
                <w:color w:val="000000"/>
                <w:szCs w:val="21"/>
              </w:rPr>
              <w:t>受限情况</w:t>
            </w:r>
          </w:p>
        </w:tc>
      </w:tr>
      <w:tr>
        <w:trPr>
          <w:jc w:val="center"/>
        </w:trPr>
        <w:tc>
          <w:tcPr>
            <w:tcW w:w="1985" w:type="dxa"/>
            <w:vAlign w:val="center"/>
          </w:tcPr>
          <w:p>
            <w:pPr>
              <w:jc w:val="left"/>
              <w:rPr>
                <w:color w:val="000000"/>
                <w:szCs w:val="21"/>
              </w:rPr>
            </w:pPr>
            <w:r>
              <w:rPr>
                <w:rFonts w:hint="eastAsia"/>
                <w:color w:val="000000"/>
                <w:szCs w:val="21"/>
              </w:rPr>
              <w:t>货币资金</w:t>
            </w:r>
          </w:p>
        </w:tc>
        <w:tc>
          <w:tcPr>
            <w:tcW w:w="1134" w:type="dxa"/>
            <w:vAlign w:val="center"/>
          </w:tcPr>
          <w:p>
            <w:pPr>
              <w:jc w:val="right"/>
              <w:rPr>
                <w:color w:val="000000"/>
                <w:szCs w:val="21"/>
              </w:rPr>
            </w:pPr>
            <w:r>
              <w:rPr>
                <w:szCs w:val="21"/>
              </w:rPr>
              <w:t>7,849,643</w:t>
            </w:r>
          </w:p>
        </w:tc>
        <w:tc>
          <w:tcPr>
            <w:tcW w:w="1134" w:type="dxa"/>
            <w:vAlign w:val="center"/>
          </w:tcPr>
          <w:p>
            <w:pPr>
              <w:jc w:val="right"/>
              <w:rPr>
                <w:color w:val="000000"/>
                <w:szCs w:val="21"/>
              </w:rPr>
            </w:pPr>
            <w:r>
              <w:rPr>
                <w:szCs w:val="21"/>
              </w:rPr>
              <w:t>7,849,643</w:t>
            </w:r>
          </w:p>
        </w:tc>
        <w:tc>
          <w:tcPr>
            <w:tcW w:w="1559" w:type="dxa"/>
            <w:vAlign w:val="center"/>
          </w:tcPr>
          <w:p>
            <w:pPr>
              <w:jc w:val="center"/>
              <w:rPr>
                <w:color w:val="000000"/>
                <w:szCs w:val="21"/>
              </w:rPr>
            </w:pPr>
            <w:r>
              <w:rPr>
                <w:szCs w:val="21"/>
              </w:rPr>
              <w:t>其他</w:t>
            </w:r>
          </w:p>
        </w:tc>
        <w:tc>
          <w:tcPr>
            <w:tcW w:w="2127" w:type="dxa"/>
            <w:vAlign w:val="center"/>
          </w:tcPr>
          <w:p>
            <w:pPr>
              <w:rPr>
                <w:color w:val="000000"/>
                <w:szCs w:val="21"/>
              </w:rPr>
            </w:pPr>
            <w:r>
              <w:rPr>
                <w:rFonts w:hint="eastAsia"/>
                <w:szCs w:val="21"/>
              </w:rPr>
              <w:t>附注七、（一）</w:t>
            </w:r>
          </w:p>
        </w:tc>
        <w:tc>
          <w:tcPr>
            <w:tcW w:w="1134" w:type="dxa"/>
            <w:vAlign w:val="center"/>
          </w:tcPr>
          <w:p>
            <w:pPr>
              <w:jc w:val="right"/>
              <w:rPr>
                <w:color w:val="000000"/>
                <w:szCs w:val="21"/>
              </w:rPr>
            </w:pPr>
            <w:r>
              <w:rPr>
                <w:szCs w:val="21"/>
              </w:rPr>
              <w:t>7,338,937</w:t>
            </w:r>
          </w:p>
        </w:tc>
        <w:tc>
          <w:tcPr>
            <w:tcW w:w="2126" w:type="dxa"/>
            <w:vAlign w:val="center"/>
          </w:tcPr>
          <w:p>
            <w:pPr>
              <w:jc w:val="right"/>
              <w:rPr>
                <w:color w:val="000000"/>
                <w:szCs w:val="21"/>
              </w:rPr>
            </w:pPr>
            <w:r>
              <w:rPr>
                <w:szCs w:val="21"/>
              </w:rPr>
              <w:t>7,338,937</w:t>
            </w:r>
          </w:p>
        </w:tc>
        <w:tc>
          <w:tcPr>
            <w:tcW w:w="1559" w:type="dxa"/>
            <w:vAlign w:val="center"/>
          </w:tcPr>
          <w:p>
            <w:pPr>
              <w:jc w:val="center"/>
              <w:rPr>
                <w:color w:val="000000"/>
                <w:szCs w:val="21"/>
              </w:rPr>
            </w:pPr>
            <w:r>
              <w:rPr>
                <w:szCs w:val="21"/>
              </w:rPr>
              <w:t>其他</w:t>
            </w:r>
          </w:p>
        </w:tc>
        <w:tc>
          <w:tcPr>
            <w:tcW w:w="2121" w:type="dxa"/>
            <w:vAlign w:val="center"/>
          </w:tcPr>
          <w:p>
            <w:pPr>
              <w:rPr>
                <w:color w:val="000000"/>
                <w:szCs w:val="21"/>
              </w:rPr>
            </w:pPr>
            <w:r>
              <w:rPr>
                <w:rFonts w:hint="eastAsia"/>
                <w:szCs w:val="21"/>
              </w:rPr>
              <w:t>附注七、（一）</w:t>
            </w:r>
          </w:p>
        </w:tc>
      </w:tr>
      <w:tr>
        <w:trPr>
          <w:jc w:val="center"/>
        </w:trPr>
        <w:tc>
          <w:tcPr>
            <w:tcW w:w="1985" w:type="dxa"/>
            <w:vAlign w:val="center"/>
          </w:tcPr>
          <w:p>
            <w:pPr>
              <w:jc w:val="left"/>
              <w:rPr>
                <w:color w:val="000000"/>
                <w:szCs w:val="21"/>
              </w:rPr>
            </w:pPr>
            <w:r>
              <w:rPr>
                <w:rFonts w:hint="eastAsia"/>
                <w:color w:val="000000"/>
                <w:szCs w:val="21"/>
              </w:rPr>
              <w:t>应收票据</w:t>
            </w:r>
          </w:p>
        </w:tc>
        <w:tc>
          <w:tcPr>
            <w:tcW w:w="1134" w:type="dxa"/>
            <w:vAlign w:val="center"/>
          </w:tcPr>
          <w:p>
            <w:pPr>
              <w:jc w:val="right"/>
              <w:rPr>
                <w:color w:val="000000"/>
                <w:szCs w:val="21"/>
              </w:rPr>
            </w:pPr>
            <w:r>
              <w:rPr>
                <w:szCs w:val="21"/>
              </w:rPr>
              <w:t>44,111</w:t>
            </w:r>
          </w:p>
        </w:tc>
        <w:tc>
          <w:tcPr>
            <w:tcW w:w="1134" w:type="dxa"/>
            <w:vAlign w:val="center"/>
          </w:tcPr>
          <w:p>
            <w:pPr>
              <w:jc w:val="right"/>
              <w:rPr>
                <w:color w:val="000000"/>
                <w:szCs w:val="21"/>
              </w:rPr>
            </w:pPr>
            <w:r>
              <w:rPr>
                <w:szCs w:val="21"/>
              </w:rPr>
              <w:t>44,111</w:t>
            </w:r>
          </w:p>
        </w:tc>
        <w:tc>
          <w:tcPr>
            <w:tcW w:w="1559" w:type="dxa"/>
            <w:vAlign w:val="center"/>
          </w:tcPr>
          <w:p>
            <w:pPr>
              <w:jc w:val="center"/>
              <w:rPr>
                <w:color w:val="000000"/>
                <w:szCs w:val="21"/>
              </w:rPr>
            </w:pPr>
            <w:r>
              <w:rPr>
                <w:szCs w:val="21"/>
              </w:rPr>
              <w:t>质押</w:t>
            </w:r>
          </w:p>
        </w:tc>
        <w:tc>
          <w:tcPr>
            <w:tcW w:w="2127" w:type="dxa"/>
            <w:vAlign w:val="center"/>
          </w:tcPr>
          <w:p>
            <w:pPr>
              <w:rPr>
                <w:color w:val="000000"/>
                <w:szCs w:val="21"/>
              </w:rPr>
            </w:pPr>
            <w:r>
              <w:rPr>
                <w:rFonts w:hint="eastAsia"/>
                <w:szCs w:val="21"/>
              </w:rPr>
              <w:t>附注七、（三）</w:t>
            </w:r>
          </w:p>
        </w:tc>
        <w:tc>
          <w:tcPr>
            <w:tcW w:w="1134" w:type="dxa"/>
            <w:vAlign w:val="center"/>
          </w:tcPr>
          <w:p>
            <w:pPr>
              <w:jc w:val="right"/>
              <w:rPr>
                <w:color w:val="000000"/>
                <w:szCs w:val="21"/>
              </w:rPr>
            </w:pPr>
            <w:r>
              <w:rPr>
                <w:szCs w:val="21"/>
              </w:rPr>
              <w:t>8,000</w:t>
            </w:r>
          </w:p>
        </w:tc>
        <w:tc>
          <w:tcPr>
            <w:tcW w:w="2126" w:type="dxa"/>
            <w:vAlign w:val="center"/>
          </w:tcPr>
          <w:p>
            <w:pPr>
              <w:jc w:val="right"/>
              <w:rPr>
                <w:color w:val="000000"/>
                <w:szCs w:val="21"/>
              </w:rPr>
            </w:pPr>
            <w:r>
              <w:rPr>
                <w:szCs w:val="21"/>
              </w:rPr>
              <w:t>8,000</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附注七、（三）</w:t>
            </w:r>
          </w:p>
        </w:tc>
      </w:tr>
      <w:tr>
        <w:trPr>
          <w:jc w:val="center"/>
        </w:trPr>
        <w:tc>
          <w:tcPr>
            <w:tcW w:w="1985" w:type="dxa"/>
            <w:vAlign w:val="center"/>
          </w:tcPr>
          <w:p>
            <w:pPr>
              <w:jc w:val="left"/>
              <w:rPr>
                <w:color w:val="000000"/>
                <w:szCs w:val="21"/>
              </w:rPr>
            </w:pPr>
            <w:r>
              <w:rPr>
                <w:rFonts w:hint="eastAsia"/>
                <w:color w:val="000000"/>
                <w:szCs w:val="21"/>
              </w:rPr>
              <w:t>固定资产</w:t>
            </w:r>
          </w:p>
        </w:tc>
        <w:tc>
          <w:tcPr>
            <w:tcW w:w="1134" w:type="dxa"/>
            <w:vAlign w:val="center"/>
          </w:tcPr>
          <w:p>
            <w:pPr>
              <w:jc w:val="right"/>
              <w:rPr>
                <w:color w:val="000000"/>
                <w:szCs w:val="21"/>
              </w:rPr>
            </w:pPr>
            <w:r>
              <w:rPr>
                <w:szCs w:val="21"/>
              </w:rPr>
              <w:t>3,243,466</w:t>
            </w:r>
          </w:p>
        </w:tc>
        <w:tc>
          <w:tcPr>
            <w:tcW w:w="1134" w:type="dxa"/>
            <w:vAlign w:val="center"/>
          </w:tcPr>
          <w:p>
            <w:pPr>
              <w:jc w:val="right"/>
              <w:rPr>
                <w:color w:val="000000"/>
                <w:szCs w:val="21"/>
              </w:rPr>
            </w:pPr>
            <w:r>
              <w:rPr>
                <w:szCs w:val="21"/>
              </w:rPr>
              <w:t>3,234,820</w:t>
            </w:r>
          </w:p>
        </w:tc>
        <w:tc>
          <w:tcPr>
            <w:tcW w:w="1559" w:type="dxa"/>
            <w:vAlign w:val="center"/>
          </w:tcPr>
          <w:p>
            <w:pPr>
              <w:jc w:val="center"/>
              <w:rPr>
                <w:color w:val="000000"/>
                <w:szCs w:val="21"/>
              </w:rPr>
            </w:pPr>
            <w:r>
              <w:rPr>
                <w:rFonts w:hint="eastAsia"/>
                <w:szCs w:val="21"/>
              </w:rPr>
              <w:t>其他</w:t>
            </w:r>
          </w:p>
        </w:tc>
        <w:tc>
          <w:tcPr>
            <w:tcW w:w="2127" w:type="dxa"/>
            <w:vAlign w:val="center"/>
          </w:tcPr>
          <w:p>
            <w:pPr>
              <w:rPr>
                <w:color w:val="000000"/>
                <w:szCs w:val="21"/>
              </w:rPr>
            </w:pPr>
            <w:r>
              <w:rPr>
                <w:rFonts w:hint="eastAsia"/>
                <w:szCs w:val="21"/>
              </w:rPr>
              <w:t>附注七、（二十一）及附注七、（三十二）</w:t>
            </w:r>
          </w:p>
        </w:tc>
        <w:tc>
          <w:tcPr>
            <w:tcW w:w="1134" w:type="dxa"/>
            <w:vAlign w:val="center"/>
          </w:tcPr>
          <w:p>
            <w:pPr>
              <w:jc w:val="right"/>
              <w:rPr>
                <w:color w:val="000000"/>
                <w:szCs w:val="21"/>
              </w:rPr>
            </w:pPr>
            <w:r>
              <w:rPr>
                <w:szCs w:val="21"/>
              </w:rPr>
              <w:t>3,436,997</w:t>
            </w:r>
          </w:p>
        </w:tc>
        <w:tc>
          <w:tcPr>
            <w:tcW w:w="2126" w:type="dxa"/>
            <w:vAlign w:val="center"/>
          </w:tcPr>
          <w:p>
            <w:pPr>
              <w:jc w:val="right"/>
              <w:rPr>
                <w:color w:val="000000"/>
                <w:szCs w:val="21"/>
              </w:rPr>
            </w:pPr>
            <w:r>
              <w:rPr>
                <w:szCs w:val="21"/>
              </w:rPr>
              <w:t>3,436,600</w:t>
            </w:r>
          </w:p>
        </w:tc>
        <w:tc>
          <w:tcPr>
            <w:tcW w:w="1559" w:type="dxa"/>
            <w:vAlign w:val="center"/>
          </w:tcPr>
          <w:p>
            <w:pPr>
              <w:jc w:val="center"/>
              <w:rPr>
                <w:color w:val="000000"/>
                <w:szCs w:val="21"/>
              </w:rPr>
            </w:pPr>
            <w:r>
              <w:rPr>
                <w:rFonts w:hint="eastAsia"/>
                <w:color w:val="000000"/>
                <w:szCs w:val="21"/>
              </w:rPr>
              <w:t>其他</w:t>
            </w:r>
          </w:p>
        </w:tc>
        <w:tc>
          <w:tcPr>
            <w:tcW w:w="2121" w:type="dxa"/>
            <w:vAlign w:val="center"/>
          </w:tcPr>
          <w:p>
            <w:pPr>
              <w:rPr>
                <w:color w:val="000000"/>
                <w:szCs w:val="21"/>
              </w:rPr>
            </w:pPr>
            <w:r>
              <w:rPr>
                <w:rFonts w:hint="eastAsia"/>
                <w:szCs w:val="21"/>
              </w:rPr>
              <w:t>附注七、（二十一）</w:t>
            </w:r>
          </w:p>
        </w:tc>
      </w:tr>
      <w:tr>
        <w:trPr>
          <w:jc w:val="center"/>
        </w:trPr>
        <w:tc>
          <w:tcPr>
            <w:tcW w:w="1985" w:type="dxa"/>
            <w:vAlign w:val="center"/>
          </w:tcPr>
          <w:p>
            <w:pPr>
              <w:jc w:val="left"/>
              <w:rPr>
                <w:color w:val="000000"/>
                <w:szCs w:val="21"/>
              </w:rPr>
            </w:pPr>
            <w:r>
              <w:rPr>
                <w:rFonts w:hint="eastAsia"/>
                <w:color w:val="000000"/>
                <w:szCs w:val="21"/>
              </w:rPr>
              <w:t>无形资产</w:t>
            </w:r>
          </w:p>
        </w:tc>
        <w:tc>
          <w:tcPr>
            <w:tcW w:w="1134" w:type="dxa"/>
            <w:vAlign w:val="center"/>
          </w:tcPr>
          <w:p>
            <w:pPr>
              <w:jc w:val="right"/>
              <w:rPr>
                <w:color w:val="000000"/>
                <w:szCs w:val="21"/>
              </w:rPr>
            </w:pPr>
            <w:r>
              <w:rPr>
                <w:szCs w:val="21"/>
              </w:rPr>
              <w:t>14,484</w:t>
            </w:r>
          </w:p>
        </w:tc>
        <w:tc>
          <w:tcPr>
            <w:tcW w:w="1134" w:type="dxa"/>
            <w:vAlign w:val="center"/>
          </w:tcPr>
          <w:p>
            <w:pPr>
              <w:jc w:val="right"/>
              <w:rPr>
                <w:color w:val="000000"/>
                <w:szCs w:val="21"/>
              </w:rPr>
            </w:pPr>
            <w:r>
              <w:rPr>
                <w:szCs w:val="21"/>
              </w:rPr>
              <w:t>12,070</w:t>
            </w:r>
          </w:p>
        </w:tc>
        <w:tc>
          <w:tcPr>
            <w:tcW w:w="1559" w:type="dxa"/>
            <w:vAlign w:val="center"/>
          </w:tcPr>
          <w:p>
            <w:pPr>
              <w:jc w:val="center"/>
              <w:rPr>
                <w:color w:val="000000"/>
                <w:szCs w:val="21"/>
              </w:rPr>
            </w:pPr>
            <w:r>
              <w:rPr>
                <w:szCs w:val="21"/>
              </w:rPr>
              <w:t>抵押</w:t>
            </w:r>
          </w:p>
        </w:tc>
        <w:tc>
          <w:tcPr>
            <w:tcW w:w="2127" w:type="dxa"/>
            <w:vAlign w:val="center"/>
          </w:tcPr>
          <w:p>
            <w:pPr>
              <w:rPr>
                <w:color w:val="000000"/>
                <w:szCs w:val="21"/>
              </w:rPr>
            </w:pPr>
            <w:r>
              <w:rPr>
                <w:szCs w:val="21"/>
              </w:rPr>
              <w:t>附注</w:t>
            </w:r>
            <w:r>
              <w:rPr>
                <w:rFonts w:hint="eastAsia"/>
                <w:szCs w:val="21"/>
              </w:rPr>
              <w:t>七</w:t>
            </w:r>
            <w:r>
              <w:rPr>
                <w:szCs w:val="21"/>
              </w:rPr>
              <w:t>、（二十</w:t>
            </w:r>
            <w:r>
              <w:rPr>
                <w:rFonts w:hint="eastAsia"/>
                <w:szCs w:val="21"/>
              </w:rPr>
              <w:t>六</w:t>
            </w:r>
            <w:r>
              <w:rPr>
                <w:szCs w:val="21"/>
              </w:rPr>
              <w:t>）</w:t>
            </w:r>
          </w:p>
        </w:tc>
        <w:tc>
          <w:tcPr>
            <w:tcW w:w="1134" w:type="dxa"/>
            <w:vAlign w:val="center"/>
          </w:tcPr>
          <w:p>
            <w:pPr>
              <w:jc w:val="right"/>
              <w:rPr>
                <w:color w:val="000000"/>
                <w:szCs w:val="21"/>
              </w:rPr>
            </w:pPr>
            <w:r>
              <w:rPr>
                <w:szCs w:val="21"/>
              </w:rPr>
              <w:t>5,339</w:t>
            </w:r>
          </w:p>
        </w:tc>
        <w:tc>
          <w:tcPr>
            <w:tcW w:w="2126" w:type="dxa"/>
            <w:vAlign w:val="center"/>
          </w:tcPr>
          <w:p>
            <w:pPr>
              <w:jc w:val="right"/>
              <w:rPr>
                <w:color w:val="000000"/>
                <w:szCs w:val="21"/>
              </w:rPr>
            </w:pPr>
            <w:r>
              <w:rPr>
                <w:szCs w:val="21"/>
              </w:rPr>
              <w:t>4,102</w:t>
            </w:r>
          </w:p>
        </w:tc>
        <w:tc>
          <w:tcPr>
            <w:tcW w:w="1559" w:type="dxa"/>
            <w:vAlign w:val="center"/>
          </w:tcPr>
          <w:p>
            <w:pPr>
              <w:jc w:val="center"/>
              <w:rPr>
                <w:color w:val="000000"/>
                <w:szCs w:val="21"/>
              </w:rPr>
            </w:pPr>
            <w:r>
              <w:rPr>
                <w:szCs w:val="21"/>
              </w:rPr>
              <w:t>其他</w:t>
            </w:r>
          </w:p>
        </w:tc>
        <w:tc>
          <w:tcPr>
            <w:tcW w:w="2121" w:type="dxa"/>
            <w:vAlign w:val="center"/>
          </w:tcPr>
          <w:p>
            <w:pPr>
              <w:rPr>
                <w:color w:val="000000"/>
                <w:szCs w:val="21"/>
              </w:rPr>
            </w:pPr>
            <w:r>
              <w:rPr>
                <w:szCs w:val="21"/>
              </w:rPr>
              <w:t>诉讼冻结</w:t>
            </w:r>
          </w:p>
        </w:tc>
      </w:tr>
      <w:tr>
        <w:trPr>
          <w:jc w:val="center"/>
        </w:trPr>
        <w:tc>
          <w:tcPr>
            <w:tcW w:w="1985" w:type="dxa"/>
            <w:vAlign w:val="center"/>
          </w:tcPr>
          <w:p>
            <w:pPr>
              <w:jc w:val="left"/>
              <w:rPr>
                <w:color w:val="000000"/>
                <w:szCs w:val="21"/>
              </w:rPr>
            </w:pPr>
            <w:r>
              <w:rPr>
                <w:rFonts w:hint="eastAsia"/>
                <w:color w:val="000000"/>
                <w:szCs w:val="21"/>
              </w:rPr>
              <w:t>应收款项融资</w:t>
            </w:r>
          </w:p>
        </w:tc>
        <w:tc>
          <w:tcPr>
            <w:tcW w:w="1134" w:type="dxa"/>
            <w:vAlign w:val="center"/>
          </w:tcPr>
          <w:p>
            <w:pPr>
              <w:jc w:val="right"/>
              <w:rPr>
                <w:color w:val="000000"/>
                <w:szCs w:val="21"/>
              </w:rPr>
            </w:pPr>
            <w:r>
              <w:rPr>
                <w:szCs w:val="21"/>
              </w:rPr>
              <w:t>1,450,491</w:t>
            </w:r>
          </w:p>
        </w:tc>
        <w:tc>
          <w:tcPr>
            <w:tcW w:w="1134" w:type="dxa"/>
            <w:vAlign w:val="center"/>
          </w:tcPr>
          <w:p>
            <w:pPr>
              <w:jc w:val="right"/>
              <w:rPr>
                <w:color w:val="000000"/>
                <w:szCs w:val="21"/>
              </w:rPr>
            </w:pPr>
            <w:r>
              <w:rPr>
                <w:szCs w:val="21"/>
              </w:rPr>
              <w:t>1,450,491</w:t>
            </w:r>
          </w:p>
        </w:tc>
        <w:tc>
          <w:tcPr>
            <w:tcW w:w="1559" w:type="dxa"/>
            <w:vAlign w:val="center"/>
          </w:tcPr>
          <w:p>
            <w:pPr>
              <w:jc w:val="center"/>
              <w:rPr>
                <w:color w:val="000000"/>
                <w:szCs w:val="21"/>
              </w:rPr>
            </w:pPr>
            <w:r>
              <w:rPr>
                <w:szCs w:val="21"/>
              </w:rPr>
              <w:t>质押</w:t>
            </w:r>
          </w:p>
        </w:tc>
        <w:tc>
          <w:tcPr>
            <w:tcW w:w="2127" w:type="dxa"/>
            <w:vAlign w:val="center"/>
          </w:tcPr>
          <w:p>
            <w:pPr>
              <w:rPr>
                <w:color w:val="000000"/>
                <w:szCs w:val="21"/>
              </w:rPr>
            </w:pPr>
            <w:r>
              <w:rPr>
                <w:rFonts w:hint="eastAsia"/>
                <w:szCs w:val="21"/>
              </w:rPr>
              <w:t>附注七、（七）</w:t>
            </w:r>
          </w:p>
        </w:tc>
        <w:tc>
          <w:tcPr>
            <w:tcW w:w="1134" w:type="dxa"/>
            <w:vAlign w:val="center"/>
          </w:tcPr>
          <w:p>
            <w:pPr>
              <w:jc w:val="right"/>
              <w:rPr>
                <w:color w:val="000000"/>
                <w:szCs w:val="21"/>
              </w:rPr>
            </w:pPr>
            <w:r>
              <w:rPr>
                <w:szCs w:val="21"/>
              </w:rPr>
              <w:t>1,594,647</w:t>
            </w:r>
          </w:p>
        </w:tc>
        <w:tc>
          <w:tcPr>
            <w:tcW w:w="2126" w:type="dxa"/>
            <w:vAlign w:val="center"/>
          </w:tcPr>
          <w:p>
            <w:pPr>
              <w:jc w:val="right"/>
              <w:rPr>
                <w:color w:val="000000"/>
                <w:szCs w:val="21"/>
              </w:rPr>
            </w:pPr>
            <w:r>
              <w:rPr>
                <w:szCs w:val="21"/>
              </w:rPr>
              <w:t>1,594,647</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附注七、（七）</w:t>
            </w:r>
          </w:p>
        </w:tc>
      </w:tr>
      <w:tr>
        <w:trPr>
          <w:jc w:val="center"/>
        </w:trPr>
        <w:tc>
          <w:tcPr>
            <w:tcW w:w="1985" w:type="dxa"/>
            <w:tcBorders>
              <w:bottom w:val="single" w:sz="4" w:space="0" w:color="auto"/>
            </w:tcBorders>
            <w:vAlign w:val="center"/>
          </w:tcPr>
          <w:p>
            <w:pPr>
              <w:jc w:val="left"/>
              <w:rPr>
                <w:color w:val="000000"/>
                <w:szCs w:val="21"/>
              </w:rPr>
            </w:pPr>
            <w:r>
              <w:rPr>
                <w:rFonts w:hint="eastAsia"/>
                <w:color w:val="000000"/>
                <w:szCs w:val="21"/>
              </w:rPr>
              <w:t>长期应收款</w:t>
            </w:r>
          </w:p>
        </w:tc>
        <w:tc>
          <w:tcPr>
            <w:tcW w:w="1134" w:type="dxa"/>
            <w:vAlign w:val="center"/>
          </w:tcPr>
          <w:p>
            <w:pPr>
              <w:jc w:val="right"/>
              <w:rPr>
                <w:color w:val="000000"/>
                <w:szCs w:val="21"/>
              </w:rPr>
            </w:pPr>
            <w:r>
              <w:rPr>
                <w:szCs w:val="21"/>
              </w:rPr>
              <w:t>4,617,572</w:t>
            </w:r>
          </w:p>
        </w:tc>
        <w:tc>
          <w:tcPr>
            <w:tcW w:w="1134" w:type="dxa"/>
            <w:vAlign w:val="center"/>
          </w:tcPr>
          <w:p>
            <w:pPr>
              <w:jc w:val="right"/>
              <w:rPr>
                <w:color w:val="000000"/>
                <w:szCs w:val="21"/>
              </w:rPr>
            </w:pPr>
            <w:r>
              <w:rPr>
                <w:szCs w:val="21"/>
              </w:rPr>
              <w:t>4,617,572</w:t>
            </w:r>
          </w:p>
        </w:tc>
        <w:tc>
          <w:tcPr>
            <w:tcW w:w="1559" w:type="dxa"/>
            <w:vAlign w:val="center"/>
          </w:tcPr>
          <w:p>
            <w:pPr>
              <w:jc w:val="center"/>
              <w:rPr>
                <w:color w:val="000000"/>
                <w:szCs w:val="21"/>
              </w:rPr>
            </w:pPr>
            <w:r>
              <w:rPr>
                <w:szCs w:val="21"/>
              </w:rPr>
              <w:t>质押</w:t>
            </w:r>
          </w:p>
        </w:tc>
        <w:tc>
          <w:tcPr>
            <w:tcW w:w="2127" w:type="dxa"/>
            <w:vAlign w:val="center"/>
          </w:tcPr>
          <w:p>
            <w:pPr>
              <w:rPr>
                <w:color w:val="000000"/>
                <w:szCs w:val="21"/>
              </w:rPr>
            </w:pPr>
            <w:r>
              <w:rPr>
                <w:rFonts w:hint="eastAsia"/>
                <w:szCs w:val="21"/>
              </w:rPr>
              <w:t>附注七、（四十五）</w:t>
            </w:r>
          </w:p>
        </w:tc>
        <w:tc>
          <w:tcPr>
            <w:tcW w:w="1134" w:type="dxa"/>
            <w:vAlign w:val="center"/>
          </w:tcPr>
          <w:p>
            <w:pPr>
              <w:jc w:val="right"/>
              <w:rPr>
                <w:color w:val="000000"/>
                <w:szCs w:val="21"/>
              </w:rPr>
            </w:pPr>
            <w:r>
              <w:rPr>
                <w:szCs w:val="21"/>
              </w:rPr>
              <w:t>4,110,912</w:t>
            </w:r>
          </w:p>
        </w:tc>
        <w:tc>
          <w:tcPr>
            <w:tcW w:w="2126" w:type="dxa"/>
            <w:vAlign w:val="center"/>
          </w:tcPr>
          <w:p>
            <w:pPr>
              <w:jc w:val="right"/>
              <w:rPr>
                <w:color w:val="000000"/>
                <w:szCs w:val="21"/>
              </w:rPr>
            </w:pPr>
            <w:r>
              <w:rPr>
                <w:szCs w:val="21"/>
              </w:rPr>
              <w:t>4,110,912</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附注七、（四十五）</w:t>
            </w:r>
          </w:p>
        </w:tc>
      </w:tr>
      <w:tr>
        <w:trPr>
          <w:jc w:val="center"/>
        </w:trPr>
        <w:tc>
          <w:tcPr>
            <w:tcW w:w="1985" w:type="dxa"/>
            <w:tcBorders>
              <w:bottom w:val="single" w:sz="4" w:space="0" w:color="auto"/>
            </w:tcBorders>
            <w:vAlign w:val="center"/>
          </w:tcPr>
          <w:p>
            <w:pPr>
              <w:jc w:val="left"/>
              <w:rPr>
                <w:color w:val="000000"/>
                <w:szCs w:val="21"/>
              </w:rPr>
            </w:pPr>
            <w:r>
              <w:rPr>
                <w:rFonts w:hint="eastAsia"/>
                <w:color w:val="000000"/>
                <w:szCs w:val="21"/>
              </w:rPr>
              <w:t>长期股权投资</w:t>
            </w:r>
          </w:p>
        </w:tc>
        <w:tc>
          <w:tcPr>
            <w:tcW w:w="1134" w:type="dxa"/>
            <w:vAlign w:val="center"/>
          </w:tcPr>
          <w:p>
            <w:pPr>
              <w:jc w:val="right"/>
              <w:rPr>
                <w:color w:val="000000"/>
                <w:szCs w:val="21"/>
              </w:rPr>
            </w:pPr>
            <w:r>
              <w:rPr>
                <w:szCs w:val="21"/>
              </w:rPr>
              <w:t>6,442,055</w:t>
            </w:r>
          </w:p>
        </w:tc>
        <w:tc>
          <w:tcPr>
            <w:tcW w:w="1134" w:type="dxa"/>
            <w:vAlign w:val="center"/>
          </w:tcPr>
          <w:p>
            <w:pPr>
              <w:jc w:val="right"/>
              <w:rPr>
                <w:color w:val="000000"/>
                <w:szCs w:val="21"/>
              </w:rPr>
            </w:pPr>
            <w:r>
              <w:rPr>
                <w:szCs w:val="21"/>
              </w:rPr>
              <w:t>6,442,055</w:t>
            </w:r>
          </w:p>
        </w:tc>
        <w:tc>
          <w:tcPr>
            <w:tcW w:w="1559" w:type="dxa"/>
            <w:vAlign w:val="center"/>
          </w:tcPr>
          <w:p>
            <w:pPr>
              <w:jc w:val="center"/>
              <w:rPr>
                <w:color w:val="000000"/>
                <w:szCs w:val="21"/>
              </w:rPr>
            </w:pPr>
            <w:r>
              <w:rPr>
                <w:szCs w:val="21"/>
              </w:rPr>
              <w:t>质押</w:t>
            </w:r>
          </w:p>
        </w:tc>
        <w:tc>
          <w:tcPr>
            <w:tcW w:w="2127" w:type="dxa"/>
            <w:vAlign w:val="center"/>
          </w:tcPr>
          <w:p>
            <w:pPr>
              <w:rPr>
                <w:color w:val="000000"/>
                <w:szCs w:val="21"/>
              </w:rPr>
            </w:pPr>
            <w:r>
              <w:rPr>
                <w:rFonts w:hint="eastAsia"/>
                <w:szCs w:val="21"/>
              </w:rPr>
              <w:t>附注七、（四十五）</w:t>
            </w:r>
          </w:p>
        </w:tc>
        <w:tc>
          <w:tcPr>
            <w:tcW w:w="1134" w:type="dxa"/>
            <w:vAlign w:val="center"/>
          </w:tcPr>
          <w:p>
            <w:pPr>
              <w:jc w:val="right"/>
              <w:rPr>
                <w:color w:val="000000"/>
                <w:szCs w:val="21"/>
              </w:rPr>
            </w:pPr>
            <w:r>
              <w:rPr>
                <w:szCs w:val="21"/>
              </w:rPr>
              <w:t>5,838,706</w:t>
            </w:r>
          </w:p>
        </w:tc>
        <w:tc>
          <w:tcPr>
            <w:tcW w:w="2126" w:type="dxa"/>
            <w:vAlign w:val="center"/>
          </w:tcPr>
          <w:p>
            <w:pPr>
              <w:jc w:val="right"/>
              <w:rPr>
                <w:color w:val="000000"/>
                <w:szCs w:val="21"/>
              </w:rPr>
            </w:pPr>
            <w:r>
              <w:rPr>
                <w:szCs w:val="21"/>
              </w:rPr>
              <w:t>5,838,706</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附注七、（四十五）</w:t>
            </w:r>
          </w:p>
        </w:tc>
      </w:tr>
      <w:tr>
        <w:trPr>
          <w:jc w:val="center"/>
        </w:trPr>
        <w:tc>
          <w:tcPr>
            <w:tcW w:w="1985" w:type="dxa"/>
            <w:vAlign w:val="center"/>
          </w:tcPr>
          <w:p>
            <w:pPr>
              <w:jc w:val="left"/>
              <w:rPr>
                <w:color w:val="000000"/>
                <w:szCs w:val="21"/>
              </w:rPr>
            </w:pPr>
            <w:r>
              <w:rPr>
                <w:rFonts w:hint="eastAsia"/>
                <w:color w:val="000000"/>
                <w:szCs w:val="21"/>
              </w:rPr>
              <w:t>对陕西未来能源的股权质押</w:t>
            </w:r>
          </w:p>
        </w:tc>
        <w:tc>
          <w:tcPr>
            <w:tcW w:w="1134" w:type="dxa"/>
            <w:vAlign w:val="center"/>
          </w:tcPr>
          <w:p>
            <w:pPr>
              <w:jc w:val="right"/>
              <w:rPr>
                <w:color w:val="000000"/>
                <w:szCs w:val="21"/>
              </w:rPr>
            </w:pPr>
            <w:r>
              <w:rPr>
                <w:szCs w:val="21"/>
              </w:rPr>
              <w:t>4,714,110</w:t>
            </w:r>
          </w:p>
        </w:tc>
        <w:tc>
          <w:tcPr>
            <w:tcW w:w="1134" w:type="dxa"/>
            <w:vAlign w:val="center"/>
          </w:tcPr>
          <w:p>
            <w:pPr>
              <w:jc w:val="right"/>
              <w:rPr>
                <w:color w:val="000000"/>
                <w:szCs w:val="21"/>
              </w:rPr>
            </w:pPr>
            <w:r>
              <w:rPr>
                <w:szCs w:val="21"/>
              </w:rPr>
              <w:t>4,714,110</w:t>
            </w:r>
          </w:p>
        </w:tc>
        <w:tc>
          <w:tcPr>
            <w:tcW w:w="1559" w:type="dxa"/>
            <w:vAlign w:val="center"/>
          </w:tcPr>
          <w:p>
            <w:pPr>
              <w:jc w:val="center"/>
              <w:rPr>
                <w:color w:val="000000"/>
                <w:szCs w:val="21"/>
              </w:rPr>
            </w:pPr>
            <w:r>
              <w:rPr>
                <w:szCs w:val="21"/>
              </w:rPr>
              <w:t>质押</w:t>
            </w:r>
          </w:p>
        </w:tc>
        <w:tc>
          <w:tcPr>
            <w:tcW w:w="2127" w:type="dxa"/>
            <w:vAlign w:val="center"/>
          </w:tcPr>
          <w:p>
            <w:pPr>
              <w:rPr>
                <w:color w:val="000000"/>
                <w:szCs w:val="21"/>
              </w:rPr>
            </w:pPr>
            <w:r>
              <w:rPr>
                <w:rFonts w:hint="eastAsia"/>
                <w:szCs w:val="21"/>
              </w:rPr>
              <w:t>附注七、（四十五）</w:t>
            </w:r>
          </w:p>
        </w:tc>
        <w:tc>
          <w:tcPr>
            <w:tcW w:w="1134" w:type="dxa"/>
            <w:vAlign w:val="center"/>
          </w:tcPr>
          <w:p>
            <w:pPr>
              <w:jc w:val="right"/>
              <w:rPr>
                <w:color w:val="000000"/>
                <w:szCs w:val="21"/>
              </w:rPr>
            </w:pPr>
            <w:r>
              <w:rPr>
                <w:szCs w:val="21"/>
              </w:rPr>
              <w:t>4,714,110</w:t>
            </w:r>
          </w:p>
        </w:tc>
        <w:tc>
          <w:tcPr>
            <w:tcW w:w="2126" w:type="dxa"/>
            <w:vAlign w:val="center"/>
          </w:tcPr>
          <w:p>
            <w:pPr>
              <w:jc w:val="right"/>
              <w:rPr>
                <w:color w:val="000000"/>
                <w:szCs w:val="21"/>
              </w:rPr>
            </w:pPr>
            <w:r>
              <w:rPr>
                <w:szCs w:val="21"/>
              </w:rPr>
              <w:t>4,714,110</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附注七、（四十五）</w:t>
            </w:r>
          </w:p>
        </w:tc>
      </w:tr>
      <w:tr>
        <w:trPr>
          <w:jc w:val="center"/>
        </w:trPr>
        <w:tc>
          <w:tcPr>
            <w:tcW w:w="1985" w:type="dxa"/>
            <w:vAlign w:val="center"/>
          </w:tcPr>
          <w:p>
            <w:pPr>
              <w:jc w:val="left"/>
              <w:rPr>
                <w:color w:val="000000"/>
                <w:szCs w:val="21"/>
              </w:rPr>
            </w:pPr>
            <w:r>
              <w:rPr>
                <w:rFonts w:hint="eastAsia"/>
                <w:color w:val="000000"/>
                <w:szCs w:val="21"/>
              </w:rPr>
              <w:t>普力马煤矿总资产</w:t>
            </w:r>
          </w:p>
        </w:tc>
        <w:tc>
          <w:tcPr>
            <w:tcW w:w="1134" w:type="dxa"/>
            <w:vAlign w:val="center"/>
          </w:tcPr>
          <w:p>
            <w:pPr>
              <w:jc w:val="right"/>
              <w:rPr>
                <w:color w:val="000000"/>
                <w:szCs w:val="21"/>
              </w:rPr>
            </w:pPr>
            <w:r>
              <w:rPr>
                <w:szCs w:val="21"/>
              </w:rPr>
              <w:t>1,204,462</w:t>
            </w:r>
          </w:p>
        </w:tc>
        <w:tc>
          <w:tcPr>
            <w:tcW w:w="1134" w:type="dxa"/>
            <w:vAlign w:val="center"/>
          </w:tcPr>
          <w:p>
            <w:pPr>
              <w:jc w:val="right"/>
              <w:rPr>
                <w:color w:val="000000"/>
                <w:szCs w:val="21"/>
              </w:rPr>
            </w:pPr>
            <w:r>
              <w:rPr>
                <w:szCs w:val="21"/>
              </w:rPr>
              <w:t>1,204,462</w:t>
            </w:r>
          </w:p>
        </w:tc>
        <w:tc>
          <w:tcPr>
            <w:tcW w:w="1559" w:type="dxa"/>
            <w:vAlign w:val="center"/>
          </w:tcPr>
          <w:p>
            <w:pPr>
              <w:jc w:val="center"/>
              <w:rPr>
                <w:color w:val="000000"/>
                <w:szCs w:val="21"/>
              </w:rPr>
            </w:pPr>
            <w:r>
              <w:rPr>
                <w:szCs w:val="21"/>
              </w:rPr>
              <w:t>抵押</w:t>
            </w:r>
          </w:p>
        </w:tc>
        <w:tc>
          <w:tcPr>
            <w:tcW w:w="2127" w:type="dxa"/>
            <w:vAlign w:val="center"/>
          </w:tcPr>
          <w:p>
            <w:pPr>
              <w:rPr>
                <w:color w:val="000000"/>
                <w:szCs w:val="21"/>
              </w:rPr>
            </w:pPr>
            <w:r>
              <w:rPr>
                <w:rFonts w:hint="eastAsia"/>
                <w:szCs w:val="21"/>
              </w:rPr>
              <w:t>附注七、（四十五）</w:t>
            </w:r>
          </w:p>
        </w:tc>
        <w:tc>
          <w:tcPr>
            <w:tcW w:w="1134" w:type="dxa"/>
            <w:vAlign w:val="center"/>
          </w:tcPr>
          <w:p>
            <w:pPr>
              <w:jc w:val="right"/>
              <w:rPr>
                <w:color w:val="000000"/>
                <w:szCs w:val="21"/>
              </w:rPr>
            </w:pPr>
            <w:r>
              <w:rPr>
                <w:szCs w:val="21"/>
              </w:rPr>
              <w:t>9,435,276</w:t>
            </w:r>
          </w:p>
        </w:tc>
        <w:tc>
          <w:tcPr>
            <w:tcW w:w="2126" w:type="dxa"/>
            <w:vAlign w:val="center"/>
          </w:tcPr>
          <w:p>
            <w:pPr>
              <w:jc w:val="right"/>
              <w:rPr>
                <w:color w:val="000000"/>
                <w:szCs w:val="21"/>
              </w:rPr>
            </w:pPr>
            <w:r>
              <w:rPr>
                <w:szCs w:val="21"/>
              </w:rPr>
              <w:t>9,435,276</w:t>
            </w:r>
          </w:p>
        </w:tc>
        <w:tc>
          <w:tcPr>
            <w:tcW w:w="1559" w:type="dxa"/>
            <w:vAlign w:val="center"/>
          </w:tcPr>
          <w:p>
            <w:pPr>
              <w:jc w:val="center"/>
              <w:rPr>
                <w:color w:val="000000"/>
                <w:szCs w:val="21"/>
              </w:rPr>
            </w:pPr>
            <w:r>
              <w:rPr>
                <w:szCs w:val="21"/>
              </w:rPr>
              <w:t>抵押</w:t>
            </w:r>
          </w:p>
        </w:tc>
        <w:tc>
          <w:tcPr>
            <w:tcW w:w="2121" w:type="dxa"/>
            <w:vAlign w:val="center"/>
          </w:tcPr>
          <w:p>
            <w:pPr>
              <w:rPr>
                <w:color w:val="000000"/>
                <w:szCs w:val="21"/>
              </w:rPr>
            </w:pPr>
            <w:r>
              <w:rPr>
                <w:rFonts w:hint="eastAsia"/>
                <w:szCs w:val="21"/>
              </w:rPr>
              <w:t>附注七、（四十五）</w:t>
            </w:r>
          </w:p>
        </w:tc>
      </w:tr>
      <w:tr>
        <w:trPr>
          <w:jc w:val="center"/>
        </w:trPr>
        <w:tc>
          <w:tcPr>
            <w:tcW w:w="1985" w:type="dxa"/>
            <w:vAlign w:val="center"/>
          </w:tcPr>
          <w:p>
            <w:pPr>
              <w:jc w:val="left"/>
              <w:rPr>
                <w:color w:val="000000"/>
                <w:szCs w:val="21"/>
              </w:rPr>
            </w:pPr>
            <w:r>
              <w:rPr>
                <w:rFonts w:hint="eastAsia"/>
                <w:color w:val="000000"/>
                <w:szCs w:val="21"/>
              </w:rPr>
              <w:t>兖煤澳大利亚有限公司净资产</w:t>
            </w:r>
          </w:p>
        </w:tc>
        <w:tc>
          <w:tcPr>
            <w:tcW w:w="1134" w:type="dxa"/>
            <w:vAlign w:val="center"/>
          </w:tcPr>
          <w:p>
            <w:pPr>
              <w:jc w:val="right"/>
              <w:rPr>
                <w:color w:val="000000"/>
                <w:szCs w:val="21"/>
              </w:rPr>
            </w:pPr>
          </w:p>
        </w:tc>
        <w:tc>
          <w:tcPr>
            <w:tcW w:w="1134" w:type="dxa"/>
            <w:vAlign w:val="center"/>
          </w:tcPr>
          <w:p>
            <w:pPr>
              <w:jc w:val="right"/>
              <w:rPr>
                <w:color w:val="000000"/>
                <w:szCs w:val="21"/>
              </w:rPr>
            </w:pPr>
          </w:p>
        </w:tc>
        <w:tc>
          <w:tcPr>
            <w:tcW w:w="1559" w:type="dxa"/>
            <w:vAlign w:val="center"/>
          </w:tcPr>
          <w:p>
            <w:pPr>
              <w:jc w:val="center"/>
              <w:rPr>
                <w:color w:val="000000"/>
                <w:szCs w:val="21"/>
              </w:rPr>
            </w:pPr>
          </w:p>
        </w:tc>
        <w:tc>
          <w:tcPr>
            <w:tcW w:w="2127" w:type="dxa"/>
            <w:vAlign w:val="center"/>
          </w:tcPr>
          <w:p>
            <w:pPr>
              <w:jc w:val="center"/>
              <w:rPr>
                <w:color w:val="000000"/>
                <w:szCs w:val="21"/>
              </w:rPr>
            </w:pPr>
          </w:p>
        </w:tc>
        <w:tc>
          <w:tcPr>
            <w:tcW w:w="1134" w:type="dxa"/>
            <w:vAlign w:val="center"/>
          </w:tcPr>
          <w:p>
            <w:pPr>
              <w:jc w:val="right"/>
              <w:rPr>
                <w:color w:val="000000"/>
                <w:szCs w:val="21"/>
              </w:rPr>
            </w:pPr>
            <w:r>
              <w:rPr>
                <w:szCs w:val="21"/>
              </w:rPr>
              <w:t>8,859,636</w:t>
            </w:r>
          </w:p>
        </w:tc>
        <w:tc>
          <w:tcPr>
            <w:tcW w:w="2126" w:type="dxa"/>
            <w:vAlign w:val="center"/>
          </w:tcPr>
          <w:p>
            <w:pPr>
              <w:jc w:val="right"/>
              <w:rPr>
                <w:color w:val="000000"/>
                <w:szCs w:val="21"/>
              </w:rPr>
            </w:pPr>
            <w:r>
              <w:rPr>
                <w:szCs w:val="21"/>
              </w:rPr>
              <w:t>8,859,636</w:t>
            </w:r>
          </w:p>
        </w:tc>
        <w:tc>
          <w:tcPr>
            <w:tcW w:w="1559" w:type="dxa"/>
            <w:vAlign w:val="center"/>
          </w:tcPr>
          <w:p>
            <w:pPr>
              <w:jc w:val="center"/>
              <w:rPr>
                <w:color w:val="000000"/>
                <w:szCs w:val="21"/>
              </w:rPr>
            </w:pPr>
            <w:r>
              <w:rPr>
                <w:szCs w:val="21"/>
              </w:rPr>
              <w:t>质押</w:t>
            </w:r>
          </w:p>
        </w:tc>
        <w:tc>
          <w:tcPr>
            <w:tcW w:w="2121" w:type="dxa"/>
            <w:vAlign w:val="center"/>
          </w:tcPr>
          <w:p>
            <w:pPr>
              <w:rPr>
                <w:color w:val="000000"/>
                <w:szCs w:val="21"/>
              </w:rPr>
            </w:pPr>
            <w:r>
              <w:rPr>
                <w:rFonts w:hint="eastAsia"/>
                <w:szCs w:val="21"/>
              </w:rPr>
              <w:t>附注七、（四十五）</w:t>
            </w:r>
          </w:p>
        </w:tc>
      </w:tr>
      <w:tr>
        <w:trPr>
          <w:jc w:val="center"/>
        </w:trPr>
        <w:tc>
          <w:tcPr>
            <w:tcW w:w="1985" w:type="dxa"/>
            <w:vAlign w:val="center"/>
          </w:tcPr>
          <w:p>
            <w:pPr>
              <w:jc w:val="left"/>
              <w:rPr>
                <w:color w:val="000000"/>
                <w:szCs w:val="21"/>
              </w:rPr>
            </w:pPr>
            <w:r>
              <w:rPr>
                <w:rFonts w:hint="eastAsia"/>
                <w:color w:val="000000"/>
                <w:szCs w:val="21"/>
              </w:rPr>
              <w:t>兖煤澳大利亚资源有限公司与联合煤炭工业有限公司总资产</w:t>
            </w:r>
          </w:p>
        </w:tc>
        <w:tc>
          <w:tcPr>
            <w:tcW w:w="1134" w:type="dxa"/>
            <w:vAlign w:val="center"/>
          </w:tcPr>
          <w:p>
            <w:pPr>
              <w:jc w:val="right"/>
              <w:rPr>
                <w:color w:val="000000"/>
                <w:szCs w:val="21"/>
              </w:rPr>
            </w:pPr>
            <w:r>
              <w:rPr>
                <w:szCs w:val="21"/>
              </w:rPr>
              <w:t>51,479,329</w:t>
            </w:r>
          </w:p>
        </w:tc>
        <w:tc>
          <w:tcPr>
            <w:tcW w:w="1134" w:type="dxa"/>
            <w:vAlign w:val="center"/>
          </w:tcPr>
          <w:p>
            <w:pPr>
              <w:jc w:val="right"/>
              <w:rPr>
                <w:color w:val="000000"/>
                <w:szCs w:val="21"/>
              </w:rPr>
            </w:pPr>
            <w:r>
              <w:rPr>
                <w:szCs w:val="21"/>
              </w:rPr>
              <w:t>51,479,329</w:t>
            </w:r>
          </w:p>
        </w:tc>
        <w:tc>
          <w:tcPr>
            <w:tcW w:w="1559" w:type="dxa"/>
            <w:vAlign w:val="center"/>
          </w:tcPr>
          <w:p>
            <w:pPr>
              <w:jc w:val="center"/>
              <w:rPr>
                <w:color w:val="000000"/>
                <w:szCs w:val="21"/>
              </w:rPr>
            </w:pPr>
            <w:r>
              <w:rPr>
                <w:szCs w:val="21"/>
              </w:rPr>
              <w:t>抵押</w:t>
            </w:r>
          </w:p>
        </w:tc>
        <w:tc>
          <w:tcPr>
            <w:tcW w:w="2127" w:type="dxa"/>
            <w:vAlign w:val="center"/>
          </w:tcPr>
          <w:p>
            <w:pPr>
              <w:jc w:val="center"/>
              <w:rPr>
                <w:color w:val="000000"/>
                <w:szCs w:val="21"/>
              </w:rPr>
            </w:pPr>
            <w:r>
              <w:rPr>
                <w:szCs w:val="21"/>
              </w:rPr>
              <w:t>授信额度的抵押</w:t>
            </w:r>
          </w:p>
        </w:tc>
        <w:tc>
          <w:tcPr>
            <w:tcW w:w="1134" w:type="dxa"/>
            <w:vAlign w:val="center"/>
          </w:tcPr>
          <w:p>
            <w:pPr>
              <w:jc w:val="right"/>
              <w:rPr>
                <w:color w:val="000000"/>
                <w:szCs w:val="21"/>
              </w:rPr>
            </w:pPr>
            <w:r>
              <w:rPr>
                <w:szCs w:val="21"/>
              </w:rPr>
              <w:t>52,380,353</w:t>
            </w:r>
          </w:p>
        </w:tc>
        <w:tc>
          <w:tcPr>
            <w:tcW w:w="2126" w:type="dxa"/>
            <w:vAlign w:val="center"/>
          </w:tcPr>
          <w:p>
            <w:pPr>
              <w:jc w:val="right"/>
              <w:rPr>
                <w:color w:val="000000"/>
                <w:szCs w:val="21"/>
              </w:rPr>
            </w:pPr>
            <w:r>
              <w:rPr>
                <w:szCs w:val="21"/>
              </w:rPr>
              <w:t>52,380,353</w:t>
            </w:r>
          </w:p>
        </w:tc>
        <w:tc>
          <w:tcPr>
            <w:tcW w:w="1559" w:type="dxa"/>
            <w:vAlign w:val="center"/>
          </w:tcPr>
          <w:p>
            <w:pPr>
              <w:jc w:val="center"/>
              <w:rPr>
                <w:color w:val="000000"/>
                <w:szCs w:val="21"/>
              </w:rPr>
            </w:pPr>
            <w:r>
              <w:rPr>
                <w:szCs w:val="21"/>
              </w:rPr>
              <w:t>抵押</w:t>
            </w:r>
          </w:p>
        </w:tc>
        <w:tc>
          <w:tcPr>
            <w:tcW w:w="2121" w:type="dxa"/>
            <w:vAlign w:val="center"/>
          </w:tcPr>
          <w:p>
            <w:pPr>
              <w:jc w:val="center"/>
              <w:rPr>
                <w:color w:val="000000"/>
                <w:szCs w:val="21"/>
              </w:rPr>
            </w:pPr>
            <w:r>
              <w:rPr>
                <w:szCs w:val="21"/>
              </w:rPr>
              <w:t>授信额度的抵押</w:t>
            </w:r>
          </w:p>
        </w:tc>
      </w:tr>
      <w:tr>
        <w:trPr>
          <w:jc w:val="center"/>
        </w:trPr>
        <w:tc>
          <w:tcPr>
            <w:tcW w:w="1985" w:type="dxa"/>
          </w:tcPr>
          <w:p>
            <w:pPr>
              <w:jc w:val="center"/>
              <w:rPr>
                <w:color w:val="000000" w:themeColor="text1"/>
                <w:szCs w:val="21"/>
              </w:rPr>
            </w:pPr>
            <w:r>
              <w:rPr>
                <w:color w:val="000000" w:themeColor="text1"/>
                <w:szCs w:val="21"/>
              </w:rPr>
              <w:t>合计</w:t>
            </w:r>
          </w:p>
        </w:tc>
        <w:tc>
          <w:tcPr>
            <w:tcW w:w="1134" w:type="dxa"/>
          </w:tcPr>
          <w:p>
            <w:pPr>
              <w:jc w:val="right"/>
              <w:rPr>
                <w:szCs w:val="21"/>
              </w:rPr>
            </w:pPr>
            <w:r>
              <w:rPr>
                <w:szCs w:val="21"/>
              </w:rPr>
              <w:t>81,059,723</w:t>
            </w:r>
          </w:p>
        </w:tc>
        <w:tc>
          <w:tcPr>
            <w:tcW w:w="1134" w:type="dxa"/>
          </w:tcPr>
          <w:p>
            <w:pPr>
              <w:jc w:val="right"/>
              <w:rPr>
                <w:szCs w:val="21"/>
              </w:rPr>
            </w:pPr>
            <w:r>
              <w:rPr>
                <w:szCs w:val="21"/>
              </w:rPr>
              <w:t>81,048,663</w:t>
            </w:r>
          </w:p>
        </w:tc>
        <w:tc>
          <w:tcPr>
            <w:tcW w:w="1559" w:type="dxa"/>
          </w:tcPr>
          <w:p>
            <w:pPr>
              <w:jc w:val="center"/>
              <w:rPr>
                <w:color w:val="000000" w:themeColor="text1"/>
                <w:szCs w:val="21"/>
              </w:rPr>
            </w:pPr>
            <w:r>
              <w:rPr>
                <w:color w:val="000000" w:themeColor="text1"/>
                <w:szCs w:val="21"/>
              </w:rPr>
              <w:t>/</w:t>
            </w:r>
          </w:p>
        </w:tc>
        <w:tc>
          <w:tcPr>
            <w:tcW w:w="2127" w:type="dxa"/>
          </w:tcPr>
          <w:p>
            <w:pPr>
              <w:jc w:val="center"/>
              <w:rPr>
                <w:color w:val="000000" w:themeColor="text1"/>
                <w:szCs w:val="21"/>
              </w:rPr>
            </w:pPr>
            <w:r>
              <w:rPr>
                <w:color w:val="000000" w:themeColor="text1"/>
                <w:szCs w:val="21"/>
              </w:rPr>
              <w:t>/</w:t>
            </w:r>
          </w:p>
        </w:tc>
        <w:tc>
          <w:tcPr>
            <w:tcW w:w="1134" w:type="dxa"/>
          </w:tcPr>
          <w:p>
            <w:pPr>
              <w:jc w:val="right"/>
              <w:rPr>
                <w:szCs w:val="21"/>
              </w:rPr>
            </w:pPr>
            <w:r>
              <w:rPr>
                <w:szCs w:val="21"/>
              </w:rPr>
              <w:t>97,722,913</w:t>
            </w:r>
          </w:p>
        </w:tc>
        <w:tc>
          <w:tcPr>
            <w:tcW w:w="2126" w:type="dxa"/>
          </w:tcPr>
          <w:p>
            <w:pPr>
              <w:jc w:val="right"/>
              <w:rPr>
                <w:szCs w:val="21"/>
              </w:rPr>
            </w:pPr>
            <w:r>
              <w:rPr>
                <w:szCs w:val="21"/>
              </w:rPr>
              <w:t>97,721,279</w:t>
            </w:r>
          </w:p>
        </w:tc>
        <w:tc>
          <w:tcPr>
            <w:tcW w:w="1559" w:type="dxa"/>
          </w:tcPr>
          <w:p>
            <w:pPr>
              <w:jc w:val="center"/>
              <w:rPr>
                <w:color w:val="000000" w:themeColor="text1"/>
                <w:szCs w:val="21"/>
              </w:rPr>
            </w:pPr>
            <w:r>
              <w:rPr>
                <w:color w:val="000000" w:themeColor="text1"/>
                <w:szCs w:val="21"/>
              </w:rPr>
              <w:t>/</w:t>
            </w:r>
          </w:p>
        </w:tc>
        <w:tc>
          <w:tcPr>
            <w:tcW w:w="2121" w:type="dxa"/>
          </w:tcPr>
          <w:p>
            <w:pPr>
              <w:jc w:val="center"/>
              <w:rPr>
                <w:color w:val="000000" w:themeColor="text1"/>
                <w:szCs w:val="21"/>
              </w:rPr>
            </w:pPr>
            <w:r>
              <w:rPr>
                <w:color w:val="000000" w:themeColor="text1"/>
                <w:szCs w:val="21"/>
              </w:rPr>
              <w:t>/</w:t>
            </w:r>
          </w:p>
        </w:tc>
      </w:tr>
    </w:tbl>
    <w:p>
      <w:pPr>
        <w:rPr>
          <w:color w:val="000000" w:themeColor="text1"/>
        </w:rPr>
      </w:pPr>
    </w:p>
    <w:p>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cb6598cbee3c4c8881c3583f4da2f049"/>
        <w:id w:val="-604953280"/>
        <w:placeholder>
          <w:docPart w:val="GBC22222222222222222222222222222"/>
        </w:placeholder>
      </w:sdtPr>
      <w:sdtContent>
        <w:p>
          <w:pPr>
            <w:rPr>
              <w:color w:val="000000" w:themeColor="text1"/>
            </w:rPr>
          </w:pPr>
          <w:r>
            <w:rPr>
              <w:color w:val="000000" w:themeColor="text1"/>
            </w:rPr>
            <w:t>-</w:t>
          </w:r>
        </w:p>
      </w:sdtContent>
    </w:sdt>
    <w:bookmarkEnd w:id="443"/>
    <w:p>
      <w:pPr>
        <w:rPr>
          <w:szCs w:val="21"/>
        </w:rPr>
        <w:sectPr>
          <w:pgSz w:w="16838" w:h="11906" w:orient="landscape"/>
          <w:pgMar w:top="1276" w:right="1440" w:bottom="1797" w:left="1525" w:header="856" w:footer="992" w:gutter="0"/>
          <w:cols w:space="425"/>
          <w:docGrid w:linePitch="312"/>
        </w:sectPr>
      </w:pPr>
    </w:p>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短期借款</w:t>
      </w:r>
    </w:p>
    <w:p>
      <w:pPr>
        <w:pStyle w:val="afffffffffffffffffffffffffffffffff1"/>
        <w:numPr>
          <w:ilvl w:val="0"/>
          <w:numId w:val="118"/>
        </w:numPr>
        <w:ind w:left="426" w:hanging="426"/>
      </w:pPr>
      <w:r>
        <w:rPr>
          <w:rFonts w:hint="eastAsia"/>
        </w:rPr>
        <w:t>短期借款分类</w:t>
      </w:r>
    </w:p>
    <w:sdt>
      <w:sdtPr>
        <w:alias w:val="是否适用：短期借款分类[双击切换]"/>
        <w:tag w:val="_GBC_d7624f1054024527b72d59c4122e81cb"/>
        <w:id w:val="171785035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借款分类"/>
          <w:tag w:val="_GBC_8d30fbb8785645499f9234dccd6e5b81"/>
          <w:id w:val="9897565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短期借款分类"/>
          <w:tag w:val="_GBC_f7294c19819e4515b1d98b3d42f8d07c"/>
          <w:id w:val="-20974703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847"/>
        <w:gridCol w:w="2980"/>
        <w:gridCol w:w="2996"/>
      </w:tblGrid>
      <w:tr>
        <w:trPr>
          <w:cantSplit/>
        </w:trPr>
        <w:sdt>
          <w:sdtPr>
            <w:rPr>
              <w:szCs w:val="21"/>
            </w:rPr>
            <w:tag w:val="_PLD_7d518e78e06f4dc9b46aae7b6b47fd01"/>
            <w:id w:val="-441446525"/>
          </w:sdtPr>
          <w:sdtContent>
            <w:tc>
              <w:tcPr>
                <w:tcW w:w="1613"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rPr>
              <w:szCs w:val="21"/>
            </w:rPr>
            <w:tag w:val="_PLD_cda187315847461e8ed854d1807d3b14"/>
            <w:id w:val="1687326332"/>
          </w:sdtPr>
          <w:sdtContent>
            <w:tc>
              <w:tcPr>
                <w:tcW w:w="1689" w:type="pct"/>
                <w:vAlign w:val="center"/>
              </w:tcPr>
              <w:p>
                <w:pPr>
                  <w:jc w:val="center"/>
                  <w:rPr>
                    <w:color w:val="000000" w:themeColor="text1"/>
                    <w:szCs w:val="21"/>
                  </w:rPr>
                </w:pPr>
                <w:r>
                  <w:rPr>
                    <w:rFonts w:hint="eastAsia"/>
                    <w:color w:val="000000" w:themeColor="text1"/>
                    <w:szCs w:val="21"/>
                  </w:rPr>
                  <w:t>期末余额</w:t>
                </w:r>
              </w:p>
            </w:tc>
          </w:sdtContent>
        </w:sdt>
        <w:sdt>
          <w:sdtPr>
            <w:rPr>
              <w:szCs w:val="21"/>
            </w:rPr>
            <w:tag w:val="_PLD_805e4b849be14c0ab0ca7f324971119b"/>
            <w:id w:val="-2075261905"/>
          </w:sdtPr>
          <w:sdtContent>
            <w:tc>
              <w:tcPr>
                <w:tcW w:w="1698" w:type="pct"/>
                <w:vAlign w:val="center"/>
              </w:tcPr>
              <w:p>
                <w:pPr>
                  <w:jc w:val="center"/>
                  <w:rPr>
                    <w:color w:val="000000" w:themeColor="text1"/>
                    <w:szCs w:val="21"/>
                  </w:rPr>
                </w:pPr>
                <w:r>
                  <w:rPr>
                    <w:rFonts w:hint="eastAsia"/>
                    <w:color w:val="000000" w:themeColor="text1"/>
                    <w:szCs w:val="21"/>
                  </w:rPr>
                  <w:t>期初余额</w:t>
                </w:r>
              </w:p>
            </w:tc>
          </w:sdtContent>
        </w:sdt>
      </w:tr>
      <w:tr>
        <w:trPr>
          <w:cantSplit/>
        </w:trPr>
        <w:tc>
          <w:tcPr>
            <w:tcW w:w="1613" w:type="pct"/>
            <w:shd w:val="clear" w:color="auto" w:fill="auto"/>
            <w:vAlign w:val="center"/>
          </w:tcPr>
          <w:p>
            <w:pPr>
              <w:spacing w:line="360" w:lineRule="exact"/>
              <w:rPr>
                <w:szCs w:val="21"/>
              </w:rPr>
            </w:pPr>
            <w:r>
              <w:rPr>
                <w:rFonts w:hint="eastAsia"/>
                <w:szCs w:val="21"/>
              </w:rPr>
              <w:t>信用借款</w:t>
            </w:r>
          </w:p>
        </w:tc>
        <w:tc>
          <w:tcPr>
            <w:tcW w:w="1689" w:type="pct"/>
            <w:shd w:val="clear" w:color="auto" w:fill="auto"/>
            <w:vAlign w:val="center"/>
          </w:tcPr>
          <w:p>
            <w:pPr>
              <w:pStyle w:val="affffffffffffffffffffffffffffffffe"/>
              <w:jc w:val="right"/>
              <w:rPr>
                <w:szCs w:val="21"/>
              </w:rPr>
            </w:pPr>
            <w:r>
              <w:rPr>
                <w:szCs w:val="21"/>
              </w:rPr>
              <w:t>7,438,493</w:t>
            </w:r>
          </w:p>
        </w:tc>
        <w:tc>
          <w:tcPr>
            <w:tcW w:w="1698" w:type="pct"/>
            <w:shd w:val="clear" w:color="auto" w:fill="auto"/>
            <w:vAlign w:val="center"/>
          </w:tcPr>
          <w:p>
            <w:pPr>
              <w:pStyle w:val="affffffffffffffffffffffffffffffffe"/>
              <w:jc w:val="right"/>
              <w:rPr>
                <w:szCs w:val="21"/>
              </w:rPr>
            </w:pPr>
            <w:r>
              <w:rPr>
                <w:szCs w:val="21"/>
              </w:rPr>
              <w:t>3,415,247</w:t>
            </w:r>
          </w:p>
        </w:tc>
      </w:tr>
      <w:tr>
        <w:trPr>
          <w:cantSplit/>
        </w:trPr>
        <w:tc>
          <w:tcPr>
            <w:tcW w:w="1613" w:type="pct"/>
            <w:shd w:val="clear" w:color="auto" w:fill="auto"/>
            <w:vAlign w:val="center"/>
          </w:tcPr>
          <w:p>
            <w:pPr>
              <w:spacing w:line="360" w:lineRule="exact"/>
              <w:rPr>
                <w:szCs w:val="21"/>
              </w:rPr>
            </w:pPr>
            <w:r>
              <w:rPr>
                <w:rFonts w:hint="eastAsia"/>
                <w:szCs w:val="21"/>
              </w:rPr>
              <w:t>保证借款（注2）</w:t>
            </w:r>
          </w:p>
        </w:tc>
        <w:tc>
          <w:tcPr>
            <w:tcW w:w="1689" w:type="pct"/>
            <w:shd w:val="clear" w:color="auto" w:fill="auto"/>
            <w:vAlign w:val="center"/>
          </w:tcPr>
          <w:p>
            <w:pPr>
              <w:pStyle w:val="affffffffffffffffffffffffffffffffe"/>
              <w:jc w:val="right"/>
              <w:rPr>
                <w:szCs w:val="21"/>
              </w:rPr>
            </w:pPr>
            <w:r>
              <w:rPr>
                <w:szCs w:val="21"/>
              </w:rPr>
              <w:t>220,000</w:t>
            </w:r>
          </w:p>
        </w:tc>
        <w:tc>
          <w:tcPr>
            <w:tcW w:w="1698" w:type="pct"/>
            <w:shd w:val="clear" w:color="auto" w:fill="auto"/>
            <w:vAlign w:val="center"/>
          </w:tcPr>
          <w:p>
            <w:pPr>
              <w:pStyle w:val="affffffffffffffffffffffffffffffffe"/>
              <w:jc w:val="right"/>
              <w:rPr>
                <w:szCs w:val="21"/>
              </w:rPr>
            </w:pPr>
            <w:r>
              <w:rPr>
                <w:szCs w:val="21"/>
              </w:rPr>
              <w:t>665,449</w:t>
            </w:r>
          </w:p>
        </w:tc>
      </w:tr>
      <w:tr>
        <w:trPr>
          <w:cantSplit/>
        </w:trPr>
        <w:tc>
          <w:tcPr>
            <w:tcW w:w="1613" w:type="pct"/>
            <w:shd w:val="clear" w:color="auto" w:fill="auto"/>
            <w:vAlign w:val="center"/>
          </w:tcPr>
          <w:p>
            <w:pPr>
              <w:spacing w:line="360" w:lineRule="exact"/>
              <w:rPr>
                <w:szCs w:val="21"/>
              </w:rPr>
            </w:pPr>
            <w:r>
              <w:rPr>
                <w:rFonts w:hint="eastAsia"/>
                <w:szCs w:val="21"/>
              </w:rPr>
              <w:t>抵押借款</w:t>
            </w:r>
          </w:p>
        </w:tc>
        <w:tc>
          <w:tcPr>
            <w:tcW w:w="1689" w:type="pct"/>
            <w:shd w:val="clear" w:color="auto" w:fill="auto"/>
            <w:vAlign w:val="center"/>
          </w:tcPr>
          <w:p>
            <w:pPr>
              <w:pStyle w:val="affffffffffffffffffffffffffffffffe"/>
              <w:jc w:val="right"/>
              <w:rPr>
                <w:szCs w:val="21"/>
              </w:rPr>
            </w:pPr>
            <w:r>
              <w:rPr>
                <w:szCs w:val="21"/>
              </w:rPr>
              <w:t>26,000</w:t>
            </w:r>
          </w:p>
        </w:tc>
        <w:tc>
          <w:tcPr>
            <w:tcW w:w="1698" w:type="pct"/>
            <w:shd w:val="clear" w:color="auto" w:fill="auto"/>
            <w:vAlign w:val="center"/>
          </w:tcPr>
          <w:p>
            <w:pPr>
              <w:pStyle w:val="affffffffffffffffffffffffffffffffe"/>
              <w:jc w:val="right"/>
              <w:rPr>
                <w:szCs w:val="21"/>
              </w:rPr>
            </w:pPr>
          </w:p>
        </w:tc>
      </w:tr>
      <w:tr>
        <w:trPr>
          <w:cantSplit/>
          <w:trHeight w:val="237"/>
        </w:trPr>
        <w:tc>
          <w:tcPr>
            <w:tcW w:w="1613" w:type="pct"/>
            <w:shd w:val="clear" w:color="auto" w:fill="auto"/>
            <w:vAlign w:val="center"/>
          </w:tcPr>
          <w:p>
            <w:pPr>
              <w:spacing w:line="360" w:lineRule="exact"/>
              <w:rPr>
                <w:szCs w:val="21"/>
              </w:rPr>
            </w:pPr>
            <w:r>
              <w:rPr>
                <w:rFonts w:hint="eastAsia"/>
                <w:szCs w:val="21"/>
              </w:rPr>
              <w:t>应付利息</w:t>
            </w:r>
          </w:p>
        </w:tc>
        <w:tc>
          <w:tcPr>
            <w:tcW w:w="1689" w:type="pct"/>
            <w:shd w:val="clear" w:color="auto" w:fill="auto"/>
            <w:vAlign w:val="center"/>
          </w:tcPr>
          <w:p>
            <w:pPr>
              <w:jc w:val="right"/>
              <w:rPr>
                <w:szCs w:val="21"/>
              </w:rPr>
            </w:pPr>
            <w:r>
              <w:rPr>
                <w:szCs w:val="21"/>
              </w:rPr>
              <w:t>8,599</w:t>
            </w:r>
          </w:p>
        </w:tc>
        <w:tc>
          <w:tcPr>
            <w:tcW w:w="1698" w:type="pct"/>
            <w:shd w:val="clear" w:color="auto" w:fill="auto"/>
            <w:vAlign w:val="center"/>
          </w:tcPr>
          <w:p>
            <w:pPr>
              <w:pStyle w:val="affffffffffffffffffffffffffffffffe"/>
              <w:jc w:val="right"/>
              <w:rPr>
                <w:szCs w:val="21"/>
              </w:rPr>
            </w:pPr>
            <w:r>
              <w:rPr>
                <w:szCs w:val="21"/>
              </w:rPr>
              <w:t>3,603</w:t>
            </w:r>
          </w:p>
        </w:tc>
      </w:tr>
      <w:tr>
        <w:trPr>
          <w:cantSplit/>
        </w:trPr>
        <w:tc>
          <w:tcPr>
            <w:tcW w:w="1613"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9" w:type="pct"/>
            <w:vAlign w:val="center"/>
          </w:tcPr>
          <w:p>
            <w:pPr>
              <w:autoSpaceDE w:val="0"/>
              <w:autoSpaceDN w:val="0"/>
              <w:adjustRightInd w:val="0"/>
              <w:snapToGrid w:val="0"/>
              <w:spacing w:line="240" w:lineRule="atLeast"/>
              <w:ind w:right="180"/>
              <w:jc w:val="right"/>
              <w:rPr>
                <w:szCs w:val="21"/>
              </w:rPr>
            </w:pPr>
            <w:r>
              <w:rPr>
                <w:szCs w:val="21"/>
              </w:rPr>
              <w:t>7,693,092</w:t>
            </w:r>
          </w:p>
        </w:tc>
        <w:tc>
          <w:tcPr>
            <w:tcW w:w="1698" w:type="pct"/>
            <w:vAlign w:val="center"/>
          </w:tcPr>
          <w:p>
            <w:pPr>
              <w:autoSpaceDE w:val="0"/>
              <w:autoSpaceDN w:val="0"/>
              <w:adjustRightInd w:val="0"/>
              <w:snapToGrid w:val="0"/>
              <w:spacing w:line="240" w:lineRule="atLeast"/>
              <w:ind w:right="180"/>
              <w:jc w:val="right"/>
              <w:rPr>
                <w:szCs w:val="21"/>
              </w:rPr>
            </w:pPr>
            <w:r>
              <w:rPr>
                <w:szCs w:val="21"/>
              </w:rPr>
              <w:t>4,084,299</w:t>
            </w:r>
          </w:p>
        </w:tc>
      </w:tr>
    </w:tbl>
    <w:p>
      <w:pPr>
        <w:snapToGrid w:val="0"/>
        <w:spacing w:line="240" w:lineRule="atLeast"/>
        <w:rPr>
          <w:color w:val="000000" w:themeColor="text1"/>
          <w:szCs w:val="21"/>
        </w:rPr>
      </w:pPr>
      <w:r>
        <w:rPr>
          <w:rFonts w:hint="eastAsia"/>
          <w:color w:val="000000" w:themeColor="text1"/>
          <w:szCs w:val="21"/>
        </w:rPr>
        <w:t>短期借款分类的说明：</w:t>
      </w:r>
    </w:p>
    <w:sdt>
      <w:sdtPr>
        <w:rPr>
          <w:rFonts w:hAnsi="宋体" w:cs="宋体"/>
          <w:kern w:val="0"/>
          <w:szCs w:val="21"/>
          <w14:ligatures w14:val="none"/>
        </w:rPr>
        <w:alias w:val="短期借款分类的说明"/>
        <w:tag w:val="_GBC_39c88fc069c44763b7ed661bff072142"/>
        <w:id w:val="-682821885"/>
        <w:placeholder>
          <w:docPart w:val="GBC22222222222222222222222222222"/>
        </w:placeholder>
      </w:sdtPr>
      <w:sdtContent>
        <w:p>
          <w:pPr>
            <w:pStyle w:val="afffffffffffffffff9"/>
            <w:spacing w:after="120"/>
          </w:pPr>
          <w:r>
            <w:rPr>
              <w:rFonts w:hint="eastAsia"/>
            </w:rPr>
            <w:t>注1：短期借款中人民币借款利率在2.20%至4.15%之间。</w:t>
          </w:r>
        </w:p>
        <w:p>
          <w:pPr>
            <w:pStyle w:val="afffffffffffffffff9"/>
            <w:spacing w:after="120"/>
          </w:pPr>
          <w:r>
            <w:rPr>
              <w:rFonts w:hint="eastAsia"/>
            </w:rPr>
            <w:t>注2：短期借款中的保证借款由2家公司提供担保，其中：20,000千元由东铭实业集团有限公司提供担保；200,000千元由浙江省能源集团有限公司提供担保。</w:t>
          </w:r>
        </w:p>
        <w:p>
          <w:pPr>
            <w:pStyle w:val="afffffffffffffffff9"/>
            <w:spacing w:after="120"/>
          </w:pPr>
          <w:r>
            <w:rPr>
              <w:rFonts w:hint="eastAsia"/>
            </w:rPr>
            <w:t>注3：抵押借款26,000千元的抵押物为卡松科技润滑材料项目的房屋所有权，账面价值为61,08</w:t>
          </w:r>
          <w:r>
            <w:t>4</w:t>
          </w:r>
          <w:r>
            <w:rPr>
              <w:rFonts w:hint="eastAsia"/>
            </w:rPr>
            <w:t>千元；及土地使用权，账面价值为12,070千元。</w:t>
          </w:r>
        </w:p>
        <w:p>
          <w:pPr>
            <w:snapToGrid w:val="0"/>
            <w:spacing w:line="240" w:lineRule="atLeast"/>
            <w:rPr>
              <w:szCs w:val="21"/>
            </w:rPr>
          </w:pPr>
        </w:p>
      </w:sdtContent>
    </w:sdt>
    <w:p>
      <w:pPr>
        <w:pStyle w:val="afffffffffffffffffffffffffffffffff1"/>
        <w:numPr>
          <w:ilvl w:val="0"/>
          <w:numId w:val="118"/>
        </w:numPr>
        <w:ind w:left="426" w:hanging="426"/>
      </w:pPr>
      <w:r>
        <w:rPr>
          <w:rFonts w:hint="eastAsia"/>
        </w:rPr>
        <w:t>已逾期未偿还的短期借款情况</w:t>
      </w:r>
    </w:p>
    <w:sdt>
      <w:sdtPr>
        <w:alias w:val="是否适用：已逾期未偿还的短期借款情况[双击切换]"/>
        <w:tag w:val="_GBC_b92057263cbf4b81a96df7b9d664c576"/>
        <w:id w:val="-153696060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t>其中重要的已逾期未偿还的短期借款情况如下：</w:t>
      </w:r>
    </w:p>
    <w:sdt>
      <w:sdtPr>
        <w:alias w:val="是否适用：其中重要的已逾期未偿还的短期借款情况[双击切换]"/>
        <w:tag w:val="_GBC_7c9437a678604c0382802a3e97f4d126"/>
        <w:id w:val="-139481503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其他说明：</w:t>
      </w:r>
    </w:p>
    <w:sdt>
      <w:sdtPr>
        <w:rPr>
          <w:szCs w:val="21"/>
        </w:rPr>
        <w:alias w:val="是否适用：短期借款的说明[双击切换]"/>
        <w:tag w:val="_GBC_c52256f82238457bbb4708bc99652730"/>
        <w:id w:val="302278322"/>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6"/>
        <w:numPr>
          <w:ilvl w:val="0"/>
          <w:numId w:val="103"/>
        </w:numPr>
        <w:tabs>
          <w:tab w:val="left" w:pos="504"/>
        </w:tabs>
        <w:rPr>
          <w:szCs w:val="21"/>
        </w:rPr>
      </w:pPr>
      <w:bookmarkStart w:id="444" w:name="_Hlk533670147"/>
      <w:bookmarkStart w:id="445" w:name="_Hlk533422954"/>
      <w:r>
        <w:rPr>
          <w:rFonts w:hint="eastAsia"/>
          <w:szCs w:val="21"/>
        </w:rPr>
        <w:t>交易性金融负债</w:t>
      </w:r>
    </w:p>
    <w:sdt>
      <w:sdtPr>
        <w:rPr>
          <w:szCs w:val="21"/>
        </w:rPr>
        <w:alias w:val="是否适用：交易性金融负债[双击切换]"/>
        <w:tag w:val="_GBC_c7e98597070f45a4a30160e35e818445"/>
        <w:id w:val="61503154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e"/>
      </w:pPr>
      <w:r>
        <w:rPr>
          <w:rFonts w:hint="eastAsia"/>
        </w:rPr>
        <w:t>其他</w:t>
      </w:r>
      <w:r>
        <w:t>说明</w:t>
      </w:r>
      <w:r>
        <w:rPr>
          <w:rFonts w:hint="eastAsia"/>
        </w:rPr>
        <w:t>：</w:t>
      </w:r>
    </w:p>
    <w:sdt>
      <w:sdtPr>
        <w:rPr>
          <w:szCs w:val="21"/>
        </w:rPr>
        <w:alias w:val="是否适用：交易性金融负债的说明[双击切换]"/>
        <w:tag w:val="_GBC_995f4c24d1994336b676a94c12f11d69"/>
        <w:id w:val="154378700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444"/>
    <w:bookmarkEnd w:id="445"/>
    <w:p>
      <w:pPr>
        <w:pStyle w:val="affffffffffffffffff6"/>
        <w:numPr>
          <w:ilvl w:val="0"/>
          <w:numId w:val="103"/>
        </w:numPr>
        <w:tabs>
          <w:tab w:val="left" w:pos="504"/>
        </w:tabs>
        <w:rPr>
          <w:szCs w:val="21"/>
        </w:rPr>
      </w:pPr>
      <w:r>
        <w:rPr>
          <w:rFonts w:hint="eastAsia"/>
          <w:szCs w:val="21"/>
        </w:rPr>
        <w:t>衍生</w:t>
      </w:r>
      <w:r>
        <w:rPr>
          <w:rFonts w:hint="eastAsia"/>
        </w:rPr>
        <w:t>金融</w:t>
      </w:r>
      <w:r>
        <w:rPr>
          <w:rFonts w:hint="eastAsia"/>
          <w:szCs w:val="21"/>
        </w:rPr>
        <w:t>负债</w:t>
      </w:r>
    </w:p>
    <w:p>
      <w:pPr>
        <w:rPr>
          <w:szCs w:val="21"/>
        </w:rPr>
      </w:pPr>
      <w:sdt>
        <w:sdtPr>
          <w:rPr>
            <w:szCs w:val="21"/>
          </w:rPr>
          <w:alias w:val="是否适用：衍生金融负债[双击切换]"/>
          <w:tag w:val="_GBC_9a70de9cca174edeb1bce62f4a47d15c"/>
          <w:id w:val="1592962978"/>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p>
    <w:p>
      <w:pPr>
        <w:rPr>
          <w:szCs w:val="21"/>
        </w:rPr>
      </w:pPr>
    </w:p>
    <w:p>
      <w:pPr>
        <w:pStyle w:val="affffffffffffffffff6"/>
        <w:numPr>
          <w:ilvl w:val="0"/>
          <w:numId w:val="103"/>
        </w:numPr>
        <w:tabs>
          <w:tab w:val="left" w:pos="504"/>
        </w:tabs>
        <w:rPr>
          <w:szCs w:val="21"/>
        </w:rPr>
      </w:pPr>
      <w:r>
        <w:rPr>
          <w:rFonts w:hint="eastAsia"/>
        </w:rPr>
        <w:t>应付票据</w:t>
      </w:r>
    </w:p>
    <w:p>
      <w:pPr>
        <w:pStyle w:val="afffffffffffffffffffffffffffffffff1"/>
        <w:numPr>
          <w:ilvl w:val="0"/>
          <w:numId w:val="119"/>
        </w:numPr>
        <w:ind w:left="426" w:hanging="426"/>
      </w:pPr>
      <w:r>
        <w:rPr>
          <w:rFonts w:hint="eastAsia"/>
        </w:rPr>
        <w:t>应付票据列示</w:t>
      </w:r>
    </w:p>
    <w:sdt>
      <w:sdtPr>
        <w:alias w:val="是否适用：应付票据[双击切换]"/>
        <w:tag w:val="_GBC_c0116f9cd6f34dcfa483a1f112dac85a"/>
        <w:id w:val="869886827"/>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bookmarkStart w:id="446" w:name="_Hlk24103817"/>
      <w:r>
        <w:rPr>
          <w:rFonts w:hint="eastAsia"/>
        </w:rPr>
        <w:t>单位：</w:t>
      </w:r>
      <w:sdt>
        <w:sdtPr>
          <w:rPr>
            <w:rFonts w:hint="eastAsia"/>
          </w:rPr>
          <w:alias w:val="单位：财务附注：应付票据"/>
          <w:tag w:val="_GBC_15d55f1cad24473fb8cfaa98468213e2"/>
          <w:id w:val="784936347"/>
          <w:placeholder>
            <w:docPart w:val="GBC22222222222222222222222222222"/>
          </w:placeholder>
          <w:dataBinding w:prefixMappings="xmlns:clcid-ci-ar='clcid-ci-ar'" w:xpath="/*/clcid-ci-ar:DanWeiCaiWuFuZhuYingFuPiaoJu[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应付票据"/>
          <w:tag w:val="_GBC_db171c7622f3432ab2c9c6ae31a7aba7"/>
          <w:id w:val="-4394482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2"/>
        <w:gridCol w:w="3312"/>
        <w:gridCol w:w="3219"/>
      </w:tblGrid>
      <w:tr>
        <w:trPr>
          <w:cantSplit/>
        </w:trPr>
        <w:sdt>
          <w:sdtPr>
            <w:tag w:val="_PLD_73e624e5fe424f71bbf918594e2a1c9a"/>
            <w:id w:val="-1624218344"/>
          </w:sdtPr>
          <w:sdtContent>
            <w:tc>
              <w:tcPr>
                <w:tcW w:w="1299" w:type="pct"/>
                <w:vAlign w:val="center"/>
              </w:tcPr>
              <w:p>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306546851"/>
          </w:sdtPr>
          <w:sdtContent>
            <w:tc>
              <w:tcPr>
                <w:tcW w:w="1877" w:type="pct"/>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486135355"/>
          </w:sdtPr>
          <w:sdtContent>
            <w:tc>
              <w:tcPr>
                <w:tcW w:w="1824" w:type="pct"/>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Pr>
        <w:tc>
          <w:tcPr>
            <w:tcW w:w="1299" w:type="pct"/>
            <w:shd w:val="clear" w:color="auto" w:fill="auto"/>
          </w:tcPr>
          <w:p>
            <w:pPr>
              <w:autoSpaceDE w:val="0"/>
              <w:autoSpaceDN w:val="0"/>
              <w:adjustRightInd w:val="0"/>
              <w:snapToGrid w:val="0"/>
              <w:spacing w:line="240" w:lineRule="atLeast"/>
              <w:rPr>
                <w:szCs w:val="21"/>
              </w:rPr>
            </w:pPr>
            <w:r>
              <w:rPr>
                <w:rFonts w:hint="eastAsia"/>
                <w:szCs w:val="21"/>
              </w:rPr>
              <w:t>商业承兑汇票</w:t>
            </w:r>
          </w:p>
        </w:tc>
        <w:tc>
          <w:tcPr>
            <w:tcW w:w="1877" w:type="pct"/>
            <w:shd w:val="clear" w:color="auto" w:fill="auto"/>
            <w:vAlign w:val="center"/>
          </w:tcPr>
          <w:p>
            <w:pPr>
              <w:pStyle w:val="affffffffffffffffffffffffffffffffe"/>
              <w:jc w:val="right"/>
            </w:pPr>
            <w:r>
              <w:t>9,709,321</w:t>
            </w:r>
          </w:p>
        </w:tc>
        <w:tc>
          <w:tcPr>
            <w:tcW w:w="1824" w:type="pct"/>
            <w:shd w:val="clear" w:color="auto" w:fill="auto"/>
            <w:vAlign w:val="center"/>
          </w:tcPr>
          <w:p>
            <w:pPr>
              <w:pStyle w:val="affffffffffffffffffffffffffffffffe"/>
              <w:jc w:val="right"/>
            </w:pPr>
            <w:r>
              <w:t>10,629,752</w:t>
            </w:r>
          </w:p>
        </w:tc>
      </w:tr>
      <w:tr>
        <w:trPr>
          <w:cantSplit/>
        </w:trPr>
        <w:tc>
          <w:tcPr>
            <w:tcW w:w="1299" w:type="pct"/>
            <w:shd w:val="clear" w:color="auto" w:fill="auto"/>
          </w:tcPr>
          <w:p>
            <w:pPr>
              <w:autoSpaceDE w:val="0"/>
              <w:autoSpaceDN w:val="0"/>
              <w:adjustRightInd w:val="0"/>
              <w:snapToGrid w:val="0"/>
              <w:spacing w:line="240" w:lineRule="atLeast"/>
              <w:rPr>
                <w:szCs w:val="21"/>
              </w:rPr>
            </w:pPr>
            <w:r>
              <w:rPr>
                <w:rFonts w:hint="eastAsia"/>
                <w:szCs w:val="21"/>
              </w:rPr>
              <w:t>银行承兑汇票</w:t>
            </w:r>
          </w:p>
        </w:tc>
        <w:tc>
          <w:tcPr>
            <w:tcW w:w="1877" w:type="pct"/>
            <w:shd w:val="clear" w:color="auto" w:fill="auto"/>
            <w:vAlign w:val="center"/>
          </w:tcPr>
          <w:p>
            <w:pPr>
              <w:pStyle w:val="affffffffffffffffffffffffffffffffe"/>
              <w:jc w:val="right"/>
            </w:pPr>
            <w:r>
              <w:t>1,196,833</w:t>
            </w:r>
          </w:p>
        </w:tc>
        <w:tc>
          <w:tcPr>
            <w:tcW w:w="1824" w:type="pct"/>
            <w:shd w:val="clear" w:color="auto" w:fill="auto"/>
            <w:vAlign w:val="center"/>
          </w:tcPr>
          <w:p>
            <w:pPr>
              <w:pStyle w:val="affffffffffffffffffffffffffffffffe"/>
              <w:jc w:val="right"/>
            </w:pPr>
            <w:r>
              <w:t>754,950</w:t>
            </w:r>
          </w:p>
        </w:tc>
      </w:tr>
      <w:tr>
        <w:trPr>
          <w:cantSplit/>
        </w:trPr>
        <w:tc>
          <w:tcPr>
            <w:tcW w:w="1299" w:type="pct"/>
            <w:shd w:val="clear" w:color="auto" w:fill="auto"/>
            <w:vAlign w:val="center"/>
          </w:tcPr>
          <w:p>
            <w:pPr>
              <w:spacing w:line="360" w:lineRule="exact"/>
              <w:rPr>
                <w:sz w:val="18"/>
                <w:szCs w:val="18"/>
              </w:rPr>
            </w:pPr>
            <w:r>
              <w:rPr>
                <w:rFonts w:hint="eastAsia"/>
                <w:sz w:val="18"/>
                <w:szCs w:val="18"/>
              </w:rPr>
              <w:t>信用证</w:t>
            </w:r>
          </w:p>
        </w:tc>
        <w:tc>
          <w:tcPr>
            <w:tcW w:w="1877" w:type="pct"/>
            <w:shd w:val="clear" w:color="auto" w:fill="auto"/>
            <w:vAlign w:val="center"/>
          </w:tcPr>
          <w:p>
            <w:pPr>
              <w:pStyle w:val="affffffffffffffffffffffffffffffffe"/>
              <w:jc w:val="right"/>
            </w:pPr>
            <w:r>
              <w:t>1,021,492</w:t>
            </w:r>
          </w:p>
        </w:tc>
        <w:tc>
          <w:tcPr>
            <w:tcW w:w="1824" w:type="pct"/>
            <w:shd w:val="clear" w:color="auto" w:fill="auto"/>
            <w:vAlign w:val="center"/>
          </w:tcPr>
          <w:p>
            <w:pPr>
              <w:pStyle w:val="affffffffffffffffffffffffffffffffe"/>
              <w:jc w:val="right"/>
            </w:pPr>
            <w:r>
              <w:t>502,522</w:t>
            </w:r>
          </w:p>
        </w:tc>
      </w:tr>
      <w:tr>
        <w:trPr>
          <w:cantSplit/>
        </w:trPr>
        <w:tc>
          <w:tcPr>
            <w:tcW w:w="1299" w:type="pct"/>
            <w:vAlign w:val="center"/>
          </w:tcPr>
          <w:p>
            <w:pPr>
              <w:autoSpaceDE w:val="0"/>
              <w:autoSpaceDN w:val="0"/>
              <w:adjustRightInd w:val="0"/>
              <w:snapToGrid w:val="0"/>
              <w:spacing w:line="240" w:lineRule="atLeast"/>
              <w:jc w:val="center"/>
              <w:rPr>
                <w:szCs w:val="21"/>
              </w:rPr>
            </w:pPr>
            <w:r>
              <w:rPr>
                <w:rFonts w:hint="eastAsia"/>
                <w:szCs w:val="21"/>
              </w:rPr>
              <w:t>合计</w:t>
            </w:r>
          </w:p>
        </w:tc>
        <w:tc>
          <w:tcPr>
            <w:tcW w:w="1877" w:type="pct"/>
            <w:vAlign w:val="center"/>
          </w:tcPr>
          <w:p>
            <w:pPr>
              <w:jc w:val="right"/>
              <w:rPr>
                <w:szCs w:val="21"/>
              </w:rPr>
            </w:pPr>
            <w:r>
              <w:rPr>
                <w:szCs w:val="21"/>
              </w:rPr>
              <w:t>11,927,646</w:t>
            </w:r>
          </w:p>
        </w:tc>
        <w:tc>
          <w:tcPr>
            <w:tcW w:w="1824" w:type="pct"/>
            <w:vAlign w:val="center"/>
          </w:tcPr>
          <w:p>
            <w:pPr>
              <w:jc w:val="right"/>
              <w:rPr>
                <w:szCs w:val="21"/>
              </w:rPr>
            </w:pPr>
            <w:r>
              <w:rPr>
                <w:szCs w:val="21"/>
              </w:rPr>
              <w:t>11,887,224</w:t>
            </w:r>
          </w:p>
        </w:tc>
      </w:tr>
    </w:tbl>
    <w:p>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88211889"/>
          <w:placeholder>
            <w:docPart w:val="GBC22222222222222222222222222222"/>
          </w:placeholder>
        </w:sdtPr>
        <w:sdtContent>
          <w:r>
            <w:rPr>
              <w:szCs w:val="21"/>
            </w:rPr>
            <w:t>-</w:t>
          </w:r>
        </w:sdtContent>
      </w:sdt>
      <w:r>
        <w:rPr>
          <w:rFonts w:hint="eastAsia"/>
          <w:szCs w:val="21"/>
        </w:rPr>
        <w:t xml:space="preserve"> </w:t>
      </w:r>
      <w:sdt>
        <w:sdtPr>
          <w:rPr>
            <w:rFonts w:hint="eastAsia"/>
            <w:szCs w:val="21"/>
          </w:rPr>
          <w:alias w:val="单位：财务附注：应付票据"/>
          <w:tag w:val="_GBC_f1610b1fed6e494b87377ce35347d10d"/>
          <w:id w:val="539557931"/>
          <w:placeholder>
            <w:docPart w:val="GBC22222222222222222222222222222"/>
          </w:placeholder>
          <w:dataBinding w:prefixMappings="xmlns:clcid-ci-ar='clcid-ci-ar'" w:xpath="/*/clcid-ci-ar:DanWeiCaiWuFuZhuYingFuPiaoJu[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。到期未付的原因是</w:t>
      </w:r>
      <w:sdt>
        <w:sdtPr>
          <w:rPr>
            <w:rFonts w:hint="eastAsia"/>
            <w:szCs w:val="21"/>
          </w:rPr>
          <w:alias w:val="应付票据到期未付的原因"/>
          <w:tag w:val="_GBC_7f73cbd02b7f4388af4ef7afbedd1152"/>
          <w:id w:val="-1190979351"/>
          <w:placeholder>
            <w:docPart w:val="GBC22222222222222222222222222222"/>
          </w:placeholder>
        </w:sdtPr>
        <w:sdtContent>
          <w:r>
            <w:rPr>
              <w:szCs w:val="21"/>
            </w:rPr>
            <w:t>-</w:t>
          </w:r>
        </w:sdtContent>
      </w:sdt>
    </w:p>
    <w:bookmarkEnd w:id="446"/>
    <w:p>
      <w:pPr>
        <w:rPr>
          <w:szCs w:val="21"/>
        </w:rPr>
      </w:pPr>
    </w:p>
    <w:p>
      <w:pPr>
        <w:pStyle w:val="affffffffffffffffff6"/>
        <w:numPr>
          <w:ilvl w:val="0"/>
          <w:numId w:val="103"/>
        </w:numPr>
        <w:tabs>
          <w:tab w:val="left" w:pos="504"/>
        </w:tabs>
      </w:pPr>
      <w:r>
        <w:rPr>
          <w:rFonts w:hint="eastAsia"/>
        </w:rPr>
        <w:t>应付账款</w:t>
      </w:r>
    </w:p>
    <w:p>
      <w:pPr>
        <w:pStyle w:val="affffffffffffffffff7"/>
        <w:numPr>
          <w:ilvl w:val="0"/>
          <w:numId w:val="175"/>
        </w:numPr>
        <w:ind w:left="426" w:hanging="426"/>
      </w:pPr>
      <w:r>
        <w:rPr>
          <w:rFonts w:hint="eastAsia"/>
        </w:rPr>
        <w:t>应付账款列示</w:t>
      </w:r>
    </w:p>
    <w:sdt>
      <w:sdtPr>
        <w:alias w:val="是否适用：应付账款列示[双击切换]"/>
        <w:tag w:val="_GBC_dfb190a9e762454c9f89eb6be64b6eae"/>
        <w:id w:val="-245966039"/>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账款情况"/>
          <w:tag w:val="_GBC_c14fe17937b74139aa7e100941fb21e9"/>
          <w:id w:val="247939196"/>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应付账款情况"/>
          <w:tag w:val="_GBC_946604b552a44d368399e078594b3226"/>
          <w:id w:val="97256809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1"/>
        <w:gridCol w:w="2795"/>
        <w:gridCol w:w="3257"/>
      </w:tblGrid>
      <w:tr>
        <w:sdt>
          <w:sdtPr>
            <w:rPr>
              <w:szCs w:val="21"/>
            </w:rPr>
            <w:tag w:val="_PLD_8270d78e97cf4a1cb18154c5c5dafe58"/>
            <w:id w:val="565388057"/>
          </w:sdtPr>
          <w:sdtContent>
            <w:tc>
              <w:tcPr>
                <w:tcW w:w="1570" w:type="pct"/>
                <w:shd w:val="clear" w:color="auto" w:fill="auto"/>
              </w:tcPr>
              <w:p>
                <w:pPr>
                  <w:jc w:val="center"/>
                  <w:rPr>
                    <w:szCs w:val="21"/>
                  </w:rPr>
                </w:pPr>
                <w:r>
                  <w:rPr>
                    <w:rFonts w:hint="eastAsia"/>
                    <w:szCs w:val="21"/>
                  </w:rPr>
                  <w:t>项目</w:t>
                </w:r>
              </w:p>
            </w:tc>
          </w:sdtContent>
        </w:sdt>
        <w:sdt>
          <w:sdtPr>
            <w:rPr>
              <w:szCs w:val="21"/>
            </w:rPr>
            <w:tag w:val="_PLD_56127cd5754c44aaacae0a1320139a7a"/>
            <w:id w:val="-788896078"/>
          </w:sdtPr>
          <w:sdtContent>
            <w:tc>
              <w:tcPr>
                <w:tcW w:w="1584" w:type="pct"/>
                <w:shd w:val="clear" w:color="auto" w:fill="auto"/>
              </w:tcPr>
              <w:p>
                <w:pPr>
                  <w:jc w:val="center"/>
                  <w:rPr>
                    <w:szCs w:val="21"/>
                  </w:rPr>
                </w:pPr>
                <w:r>
                  <w:rPr>
                    <w:rFonts w:hint="eastAsia"/>
                    <w:szCs w:val="21"/>
                  </w:rPr>
                  <w:t>期末余额</w:t>
                </w:r>
              </w:p>
            </w:tc>
          </w:sdtContent>
        </w:sdt>
        <w:sdt>
          <w:sdtPr>
            <w:rPr>
              <w:szCs w:val="21"/>
            </w:rPr>
            <w:tag w:val="_PLD_27c6d2ca479446539fe00ab23ee1dc13"/>
            <w:id w:val="353468904"/>
          </w:sdtPr>
          <w:sdtContent>
            <w:tc>
              <w:tcPr>
                <w:tcW w:w="1846" w:type="pct"/>
                <w:shd w:val="clear" w:color="auto" w:fill="auto"/>
              </w:tcPr>
              <w:p>
                <w:pPr>
                  <w:jc w:val="center"/>
                  <w:rPr>
                    <w:szCs w:val="21"/>
                  </w:rPr>
                </w:pPr>
                <w:r>
                  <w:rPr>
                    <w:rFonts w:hint="eastAsia"/>
                    <w:szCs w:val="21"/>
                  </w:rPr>
                  <w:t>期初余额</w:t>
                </w:r>
              </w:p>
            </w:tc>
          </w:sdtContent>
        </w:sdt>
      </w:tr>
      <w:tr>
        <w:tc>
          <w:tcPr>
            <w:tcW w:w="1570" w:type="pct"/>
            <w:shd w:val="clear" w:color="auto" w:fill="auto"/>
            <w:vAlign w:val="center"/>
          </w:tcPr>
          <w:p>
            <w:pPr>
              <w:spacing w:line="360" w:lineRule="exact"/>
              <w:jc w:val="center"/>
              <w:rPr>
                <w:szCs w:val="21"/>
              </w:rPr>
            </w:pPr>
            <w:r>
              <w:rPr>
                <w:rFonts w:hint="eastAsia"/>
                <w:szCs w:val="21"/>
              </w:rPr>
              <w:t>合计</w:t>
            </w:r>
          </w:p>
        </w:tc>
        <w:tc>
          <w:tcPr>
            <w:tcW w:w="1584" w:type="pct"/>
            <w:shd w:val="clear" w:color="auto" w:fill="auto"/>
            <w:vAlign w:val="center"/>
          </w:tcPr>
          <w:p>
            <w:pPr>
              <w:jc w:val="right"/>
              <w:rPr>
                <w:szCs w:val="21"/>
              </w:rPr>
            </w:pPr>
            <w:r>
              <w:rPr>
                <w:szCs w:val="21"/>
              </w:rPr>
              <w:t>20,394,796</w:t>
            </w:r>
          </w:p>
        </w:tc>
        <w:tc>
          <w:tcPr>
            <w:tcW w:w="1846" w:type="pct"/>
            <w:shd w:val="clear" w:color="auto" w:fill="auto"/>
            <w:vAlign w:val="center"/>
          </w:tcPr>
          <w:p>
            <w:pPr>
              <w:jc w:val="right"/>
              <w:rPr>
                <w:szCs w:val="21"/>
              </w:rPr>
            </w:pPr>
            <w:r>
              <w:rPr>
                <w:szCs w:val="21"/>
              </w:rPr>
              <w:t>19,567,560</w:t>
            </w:r>
          </w:p>
        </w:tc>
      </w:tr>
      <w:tr>
        <w:tc>
          <w:tcPr>
            <w:tcW w:w="1570" w:type="pct"/>
            <w:shd w:val="clear" w:color="auto" w:fill="auto"/>
            <w:vAlign w:val="center"/>
          </w:tcPr>
          <w:p>
            <w:pPr>
              <w:spacing w:line="360" w:lineRule="exact"/>
              <w:rPr>
                <w:szCs w:val="21"/>
              </w:rPr>
            </w:pPr>
            <w:r>
              <w:rPr>
                <w:rFonts w:hint="eastAsia"/>
                <w:szCs w:val="21"/>
              </w:rPr>
              <w:t>其中：</w:t>
            </w:r>
            <w:r>
              <w:rPr>
                <w:szCs w:val="21"/>
              </w:rPr>
              <w:t>1年以上</w:t>
            </w:r>
          </w:p>
        </w:tc>
        <w:tc>
          <w:tcPr>
            <w:tcW w:w="1584" w:type="pct"/>
            <w:shd w:val="clear" w:color="auto" w:fill="auto"/>
            <w:vAlign w:val="center"/>
          </w:tcPr>
          <w:p>
            <w:pPr>
              <w:spacing w:line="360" w:lineRule="exact"/>
              <w:jc w:val="right"/>
              <w:rPr>
                <w:szCs w:val="21"/>
              </w:rPr>
            </w:pPr>
            <w:r>
              <w:rPr>
                <w:szCs w:val="21"/>
              </w:rPr>
              <w:t>4,224,324</w:t>
            </w:r>
          </w:p>
        </w:tc>
        <w:tc>
          <w:tcPr>
            <w:tcW w:w="1846" w:type="pct"/>
            <w:shd w:val="clear" w:color="auto" w:fill="auto"/>
            <w:vAlign w:val="center"/>
          </w:tcPr>
          <w:p>
            <w:pPr>
              <w:spacing w:line="360" w:lineRule="exact"/>
              <w:jc w:val="right"/>
              <w:rPr>
                <w:szCs w:val="21"/>
              </w:rPr>
            </w:pPr>
            <w:r>
              <w:rPr>
                <w:szCs w:val="21"/>
              </w:rPr>
              <w:t>3,849,275</w:t>
            </w:r>
          </w:p>
        </w:tc>
      </w:tr>
    </w:tbl>
    <w:p>
      <w:pPr>
        <w:pStyle w:val="affffffffffffffffff3"/>
      </w:pPr>
    </w:p>
    <w:p>
      <w:pPr>
        <w:pStyle w:val="affffffffffffffffffffffffffffffffe"/>
      </w:pPr>
    </w:p>
    <w:p>
      <w:pPr>
        <w:pStyle w:val="afffffffffffffffffffffffffffffffff1"/>
        <w:numPr>
          <w:ilvl w:val="0"/>
          <w:numId w:val="175"/>
        </w:numPr>
        <w:ind w:left="426" w:hanging="426"/>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23444581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522526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重要的账龄超过1年的应付账款"/>
          <w:tag w:val="_GBC_e8618ecbab754a8a9213d0e97303efbc"/>
          <w:id w:val="-13610392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1"/>
        <w:gridCol w:w="2756"/>
        <w:gridCol w:w="2866"/>
      </w:tblGrid>
      <w:tr>
        <w:sdt>
          <w:sdtPr>
            <w:tag w:val="_PLD_fdad43e863d14167af7eeaf4873d2a72"/>
            <w:id w:val="1192037851"/>
          </w:sdtPr>
          <w:sdtContent>
            <w:tc>
              <w:tcPr>
                <w:tcW w:w="1814" w:type="pct"/>
                <w:shd w:val="clear" w:color="auto" w:fill="auto"/>
                <w:vAlign w:val="center"/>
              </w:tcPr>
              <w:p>
                <w:pPr>
                  <w:jc w:val="center"/>
                  <w:rPr>
                    <w:szCs w:val="21"/>
                  </w:rPr>
                </w:pPr>
                <w:r>
                  <w:rPr>
                    <w:rFonts w:hint="eastAsia"/>
                    <w:szCs w:val="21"/>
                  </w:rPr>
                  <w:t>项目</w:t>
                </w:r>
              </w:p>
            </w:tc>
          </w:sdtContent>
        </w:sdt>
        <w:sdt>
          <w:sdtPr>
            <w:tag w:val="_PLD_cd3e87440a294e4685cb5994a6fce19b"/>
            <w:id w:val="-512533098"/>
          </w:sdtPr>
          <w:sdtContent>
            <w:tc>
              <w:tcPr>
                <w:tcW w:w="1562" w:type="pct"/>
                <w:shd w:val="clear" w:color="auto" w:fill="auto"/>
                <w:vAlign w:val="center"/>
              </w:tcPr>
              <w:p>
                <w:pPr>
                  <w:jc w:val="center"/>
                  <w:rPr>
                    <w:szCs w:val="21"/>
                  </w:rPr>
                </w:pPr>
                <w:r>
                  <w:rPr>
                    <w:rFonts w:hint="eastAsia"/>
                    <w:szCs w:val="21"/>
                  </w:rPr>
                  <w:t>期末余额</w:t>
                </w:r>
              </w:p>
            </w:tc>
          </w:sdtContent>
        </w:sdt>
        <w:sdt>
          <w:sdtPr>
            <w:tag w:val="_PLD_3948dc08dbd84dbd875d1bd042c28c03"/>
            <w:id w:val="-1695303496"/>
          </w:sdtPr>
          <w:sdtContent>
            <w:tc>
              <w:tcPr>
                <w:tcW w:w="1624" w:type="pct"/>
                <w:shd w:val="clear" w:color="auto" w:fill="auto"/>
                <w:vAlign w:val="center"/>
              </w:tcPr>
              <w:p>
                <w:pPr>
                  <w:jc w:val="center"/>
                  <w:rPr>
                    <w:szCs w:val="21"/>
                  </w:rPr>
                </w:pPr>
                <w:r>
                  <w:rPr>
                    <w:rFonts w:hint="eastAsia"/>
                    <w:szCs w:val="21"/>
                  </w:rPr>
                  <w:t>未偿还或结转的原因</w:t>
                </w:r>
              </w:p>
            </w:tc>
          </w:sdtContent>
        </w:sdt>
      </w:tr>
      <w:tr>
        <w:tc>
          <w:tcPr>
            <w:tcW w:w="1814" w:type="pct"/>
            <w:tcBorders>
              <w:bottom w:val="single" w:sz="4" w:space="0" w:color="auto"/>
            </w:tcBorders>
            <w:shd w:val="clear" w:color="auto" w:fill="auto"/>
          </w:tcPr>
          <w:p>
            <w:pPr>
              <w:rPr>
                <w:szCs w:val="21"/>
              </w:rPr>
            </w:pPr>
            <w:r>
              <w:rPr>
                <w:rFonts w:hint="eastAsia"/>
                <w:szCs w:val="21"/>
              </w:rPr>
              <w:t>公司</w:t>
            </w:r>
            <w:r>
              <w:rPr>
                <w:szCs w:val="21"/>
              </w:rPr>
              <w:t>1</w:t>
            </w:r>
          </w:p>
        </w:tc>
        <w:tc>
          <w:tcPr>
            <w:tcW w:w="1562" w:type="pct"/>
            <w:shd w:val="clear" w:color="auto" w:fill="auto"/>
            <w:vAlign w:val="center"/>
          </w:tcPr>
          <w:p>
            <w:pPr>
              <w:pStyle w:val="affffffffffffffffffffffffffffffffe"/>
              <w:jc w:val="right"/>
            </w:pPr>
            <w:r>
              <w:t>1,718,426</w:t>
            </w:r>
          </w:p>
        </w:tc>
        <w:tc>
          <w:tcPr>
            <w:tcW w:w="1624" w:type="pct"/>
            <w:shd w:val="clear" w:color="auto" w:fill="auto"/>
            <w:vAlign w:val="center"/>
          </w:tcPr>
          <w:p>
            <w:pPr>
              <w:pStyle w:val="affffffffffffffffffffffffffffffffe"/>
            </w:pPr>
            <w:r>
              <w:t>尚未结算</w:t>
            </w:r>
          </w:p>
        </w:tc>
      </w:tr>
      <w:tr>
        <w:tc>
          <w:tcPr>
            <w:tcW w:w="1814" w:type="pct"/>
            <w:tcBorders>
              <w:bottom w:val="single" w:sz="4" w:space="0" w:color="auto"/>
            </w:tcBorders>
            <w:shd w:val="clear" w:color="auto" w:fill="auto"/>
          </w:tcPr>
          <w:p>
            <w:pPr>
              <w:rPr>
                <w:szCs w:val="21"/>
              </w:rPr>
            </w:pPr>
            <w:r>
              <w:rPr>
                <w:rFonts w:hint="eastAsia"/>
                <w:szCs w:val="21"/>
              </w:rPr>
              <w:t>公司2</w:t>
            </w:r>
          </w:p>
        </w:tc>
        <w:tc>
          <w:tcPr>
            <w:tcW w:w="1562" w:type="pct"/>
            <w:shd w:val="clear" w:color="auto" w:fill="auto"/>
            <w:vAlign w:val="center"/>
          </w:tcPr>
          <w:p>
            <w:pPr>
              <w:pStyle w:val="affffffffffffffffffffffffffffffffe"/>
              <w:jc w:val="right"/>
            </w:pPr>
            <w:r>
              <w:t>546,722</w:t>
            </w:r>
          </w:p>
        </w:tc>
        <w:tc>
          <w:tcPr>
            <w:tcW w:w="1624" w:type="pct"/>
            <w:shd w:val="clear" w:color="auto" w:fill="auto"/>
            <w:vAlign w:val="center"/>
          </w:tcPr>
          <w:p>
            <w:pPr>
              <w:pStyle w:val="affffffffffffffffffffffffffffffffe"/>
            </w:pPr>
            <w:r>
              <w:t>尚未结算</w:t>
            </w:r>
          </w:p>
        </w:tc>
      </w:tr>
      <w:tr>
        <w:tc>
          <w:tcPr>
            <w:tcW w:w="1814" w:type="pct"/>
            <w:tcBorders>
              <w:bottom w:val="single" w:sz="4" w:space="0" w:color="auto"/>
            </w:tcBorders>
            <w:shd w:val="clear" w:color="auto" w:fill="auto"/>
          </w:tcPr>
          <w:p>
            <w:pPr>
              <w:rPr>
                <w:szCs w:val="21"/>
              </w:rPr>
            </w:pPr>
            <w:r>
              <w:rPr>
                <w:rFonts w:hint="eastAsia"/>
                <w:szCs w:val="21"/>
              </w:rPr>
              <w:t>公司3</w:t>
            </w:r>
          </w:p>
        </w:tc>
        <w:tc>
          <w:tcPr>
            <w:tcW w:w="1562" w:type="pct"/>
            <w:shd w:val="clear" w:color="auto" w:fill="auto"/>
            <w:vAlign w:val="center"/>
          </w:tcPr>
          <w:p>
            <w:pPr>
              <w:pStyle w:val="affffffffffffffffffffffffffffffffe"/>
              <w:jc w:val="right"/>
            </w:pPr>
            <w:r>
              <w:t>274,522</w:t>
            </w:r>
          </w:p>
        </w:tc>
        <w:tc>
          <w:tcPr>
            <w:tcW w:w="1624" w:type="pct"/>
            <w:shd w:val="clear" w:color="auto" w:fill="auto"/>
            <w:vAlign w:val="center"/>
          </w:tcPr>
          <w:p>
            <w:pPr>
              <w:pStyle w:val="affffffffffffffffffffffffffffffffe"/>
            </w:pPr>
            <w:r>
              <w:t>尚未结算</w:t>
            </w:r>
          </w:p>
        </w:tc>
      </w:tr>
      <w:tr>
        <w:tc>
          <w:tcPr>
            <w:tcW w:w="1814" w:type="pct"/>
            <w:tcBorders>
              <w:bottom w:val="single" w:sz="4" w:space="0" w:color="auto"/>
            </w:tcBorders>
            <w:shd w:val="clear" w:color="auto" w:fill="auto"/>
          </w:tcPr>
          <w:p>
            <w:pPr>
              <w:rPr>
                <w:szCs w:val="21"/>
              </w:rPr>
            </w:pPr>
            <w:r>
              <w:rPr>
                <w:rFonts w:hint="eastAsia"/>
                <w:szCs w:val="21"/>
              </w:rPr>
              <w:t>公司</w:t>
            </w:r>
            <w:r>
              <w:rPr>
                <w:szCs w:val="21"/>
              </w:rPr>
              <w:t>4</w:t>
            </w:r>
          </w:p>
        </w:tc>
        <w:tc>
          <w:tcPr>
            <w:tcW w:w="1562" w:type="pct"/>
            <w:shd w:val="clear" w:color="auto" w:fill="auto"/>
            <w:vAlign w:val="center"/>
          </w:tcPr>
          <w:p>
            <w:pPr>
              <w:pStyle w:val="affffffffffffffffffffffffffffffffe"/>
              <w:jc w:val="right"/>
            </w:pPr>
            <w:r>
              <w:t>246,591</w:t>
            </w:r>
          </w:p>
        </w:tc>
        <w:tc>
          <w:tcPr>
            <w:tcW w:w="1624" w:type="pct"/>
            <w:shd w:val="clear" w:color="auto" w:fill="auto"/>
            <w:vAlign w:val="center"/>
          </w:tcPr>
          <w:p>
            <w:pPr>
              <w:pStyle w:val="affffffffffffffffffffffffffffffffe"/>
            </w:pPr>
            <w:r>
              <w:t>尚未结算</w:t>
            </w:r>
          </w:p>
        </w:tc>
      </w:tr>
      <w:tr>
        <w:tc>
          <w:tcPr>
            <w:tcW w:w="1814" w:type="pct"/>
            <w:tcBorders>
              <w:bottom w:val="single" w:sz="4" w:space="0" w:color="auto"/>
            </w:tcBorders>
            <w:shd w:val="clear" w:color="auto" w:fill="auto"/>
          </w:tcPr>
          <w:p>
            <w:pPr>
              <w:rPr>
                <w:szCs w:val="21"/>
              </w:rPr>
            </w:pPr>
            <w:r>
              <w:t>公司5</w:t>
            </w:r>
          </w:p>
        </w:tc>
        <w:tc>
          <w:tcPr>
            <w:tcW w:w="1562" w:type="pct"/>
            <w:shd w:val="clear" w:color="auto" w:fill="auto"/>
            <w:vAlign w:val="center"/>
          </w:tcPr>
          <w:p>
            <w:pPr>
              <w:pStyle w:val="affffffffffffffffffffffffffffffffe"/>
              <w:jc w:val="right"/>
            </w:pPr>
            <w:r>
              <w:t>229,031</w:t>
            </w:r>
          </w:p>
        </w:tc>
        <w:tc>
          <w:tcPr>
            <w:tcW w:w="1624" w:type="pct"/>
            <w:shd w:val="clear" w:color="auto" w:fill="auto"/>
            <w:vAlign w:val="center"/>
          </w:tcPr>
          <w:p>
            <w:pPr>
              <w:pStyle w:val="affffffffffffffffffffffffffffffffe"/>
            </w:pPr>
            <w:r>
              <w:t>尚未结算</w:t>
            </w:r>
          </w:p>
        </w:tc>
      </w:tr>
      <w:tr>
        <w:tc>
          <w:tcPr>
            <w:tcW w:w="1814" w:type="pct"/>
            <w:shd w:val="clear" w:color="auto" w:fill="auto"/>
            <w:vAlign w:val="center"/>
          </w:tcPr>
          <w:p>
            <w:pPr>
              <w:jc w:val="center"/>
              <w:rPr>
                <w:szCs w:val="21"/>
              </w:rPr>
            </w:pPr>
            <w:r>
              <w:rPr>
                <w:rFonts w:hint="eastAsia"/>
                <w:szCs w:val="21"/>
              </w:rPr>
              <w:t>合计</w:t>
            </w:r>
          </w:p>
        </w:tc>
        <w:tc>
          <w:tcPr>
            <w:tcW w:w="1562" w:type="pct"/>
            <w:shd w:val="clear" w:color="auto" w:fill="auto"/>
            <w:vAlign w:val="center"/>
          </w:tcPr>
          <w:p>
            <w:pPr>
              <w:jc w:val="right"/>
              <w:rPr>
                <w:szCs w:val="21"/>
              </w:rPr>
            </w:pPr>
            <w:r>
              <w:rPr>
                <w:szCs w:val="21"/>
              </w:rPr>
              <w:t>3,015,292</w:t>
            </w:r>
          </w:p>
        </w:tc>
        <w:tc>
          <w:tcPr>
            <w:tcW w:w="1624" w:type="pct"/>
            <w:shd w:val="clear" w:color="auto" w:fill="auto"/>
          </w:tcPr>
          <w:p>
            <w:pPr>
              <w:jc w:val="center"/>
              <w:rPr>
                <w:szCs w:val="21"/>
              </w:rPr>
            </w:pPr>
            <w:r>
              <w:rPr>
                <w:rFonts w:hint="eastAsia"/>
                <w:szCs w:val="21"/>
              </w:rPr>
              <w:t>/</w:t>
            </w:r>
          </w:p>
        </w:tc>
      </w:tr>
    </w:tbl>
    <w:p>
      <w:pPr>
        <w:pStyle w:val="affffffffffffffffffffffffffffffffe"/>
      </w:pPr>
    </w:p>
    <w:p>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805314173"/>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预收</w:t>
      </w:r>
      <w:r>
        <w:rPr>
          <w:rFonts w:hint="eastAsia"/>
        </w:rPr>
        <w:t>款项</w:t>
      </w:r>
    </w:p>
    <w:p>
      <w:pPr>
        <w:pStyle w:val="afffffffffffffffffffffffffffffffff1"/>
        <w:numPr>
          <w:ilvl w:val="0"/>
          <w:numId w:val="176"/>
        </w:numPr>
      </w:pPr>
      <w:r>
        <w:rPr>
          <w:rFonts w:hint="eastAsia"/>
        </w:rPr>
        <w:t>预收账款项列示</w:t>
      </w:r>
    </w:p>
    <w:sdt>
      <w:sdtPr>
        <w:alias w:val="是否适用：预收账款项列示[双击切换]"/>
        <w:tag w:val="_GBC_87fabe8d5b22400ca19233d7f82c54fc"/>
        <w:id w:val="-1058463469"/>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76"/>
        </w:numPr>
      </w:pPr>
      <w:r>
        <w:rPr>
          <w:rFonts w:hint="eastAsia"/>
        </w:rPr>
        <w:t>账龄超过</w:t>
      </w:r>
      <w:r>
        <w:t>1年的重要预收款项</w:t>
      </w:r>
    </w:p>
    <w:sdt>
      <w:sdtPr>
        <w:alias w:val="是否适用：账龄超过1年的重要预收款项[双击切换]"/>
        <w:tag w:val="_GBC_79146ea4ecd2426b824d2bcf21203a69"/>
        <w:id w:val="88684460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szCs w:val="21"/>
        </w:rPr>
      </w:pPr>
    </w:p>
    <w:p>
      <w:pPr>
        <w:pStyle w:val="afffffffffffffffffffffffffffffffff1"/>
        <w:numPr>
          <w:ilvl w:val="0"/>
          <w:numId w:val="176"/>
        </w:numPr>
        <w:ind w:left="450" w:hanging="450"/>
      </w:pPr>
      <w:r>
        <w:rPr>
          <w:rFonts w:hint="eastAsia"/>
        </w:rPr>
        <w:t>报告期内账面价值发生重大变动的金额和原因</w:t>
      </w:r>
    </w:p>
    <w:sdt>
      <w:sdtPr>
        <w:rPr>
          <w:szCs w:val="21"/>
        </w:rPr>
        <w:alias w:val="是否适用：预收款项账面价值发生重大变动的金额和原因?[双击切换]"/>
        <w:tag w:val="_GBC_080f20e9d1b64963a38dcdee1ed191a2"/>
        <w:id w:val="-7991570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imes New Roman"/>
          <w:szCs w:val="21"/>
        </w:rPr>
      </w:pPr>
    </w:p>
    <w:p>
      <w:pPr>
        <w:pStyle w:val="affffffffffffffffffffffffffffffffe"/>
      </w:pPr>
      <w:r>
        <w:rPr>
          <w:rFonts w:hint="eastAsia"/>
        </w:rPr>
        <w:t>其他说明：</w:t>
      </w:r>
    </w:p>
    <w:sdt>
      <w:sdtPr>
        <w:alias w:val="是否适用：预收账款的其他说明[双击切换]"/>
        <w:tag w:val="_GBC_c0e961ba454e4e2cb91293bde731349d"/>
        <w:id w:val="1199589200"/>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color w:val="000000" w:themeColor="text1"/>
          <w:kern w:val="2"/>
          <w:szCs w:val="21"/>
        </w:rPr>
      </w:pPr>
    </w:p>
    <w:p>
      <w:pPr>
        <w:pStyle w:val="affffffffffffffffff6"/>
        <w:numPr>
          <w:ilvl w:val="0"/>
          <w:numId w:val="103"/>
        </w:numPr>
        <w:tabs>
          <w:tab w:val="left" w:pos="504"/>
        </w:tabs>
        <w:rPr>
          <w:szCs w:val="21"/>
        </w:rPr>
      </w:pPr>
      <w:r>
        <w:rPr>
          <w:rFonts w:hint="eastAsia"/>
          <w:szCs w:val="21"/>
        </w:rPr>
        <w:lastRenderedPageBreak/>
        <w:t>合同负债</w:t>
      </w:r>
    </w:p>
    <w:p>
      <w:pPr>
        <w:pStyle w:val="affffffffffffffffff7"/>
        <w:numPr>
          <w:ilvl w:val="0"/>
          <w:numId w:val="120"/>
        </w:numPr>
      </w:pPr>
      <w:r>
        <w:rPr>
          <w:rFonts w:hint="eastAsia"/>
        </w:rPr>
        <w:t>合同负债情况</w:t>
      </w:r>
    </w:p>
    <w:sdt>
      <w:sdtPr>
        <w:alias w:val="是否适用：合同负债情况[双击切换]"/>
        <w:tag w:val="_GBC_257112066c884c67acfede3a1536844a"/>
        <w:id w:val="397025140"/>
      </w:sdtPr>
      <w:sdtContent>
        <w:p>
          <w:pPr>
            <w:pStyle w:val="affffffffffffffffff3"/>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29383042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合同负债情况"/>
          <w:tag w:val="_GBC_58f1908d1f4c48699237bf8c7f3604da"/>
          <w:id w:val="104295134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3002"/>
        <w:gridCol w:w="2996"/>
      </w:tblGrid>
      <w:tr>
        <w:sdt>
          <w:sdtPr>
            <w:tag w:val="_PLD_c331ae60cae44b02b2a16eccd02434b1"/>
            <w:id w:val="1588501603"/>
          </w:sdtPr>
          <w:sdtContent>
            <w:tc>
              <w:tcPr>
                <w:tcW w:w="1601" w:type="pct"/>
                <w:shd w:val="clear" w:color="auto" w:fill="auto"/>
              </w:tcPr>
              <w:p>
                <w:pPr>
                  <w:jc w:val="center"/>
                  <w:rPr>
                    <w:szCs w:val="21"/>
                  </w:rPr>
                </w:pPr>
                <w:r>
                  <w:rPr>
                    <w:rFonts w:hint="eastAsia"/>
                    <w:szCs w:val="21"/>
                  </w:rPr>
                  <w:t>项目</w:t>
                </w:r>
              </w:p>
            </w:tc>
          </w:sdtContent>
        </w:sdt>
        <w:sdt>
          <w:sdtPr>
            <w:tag w:val="_PLD_1619b2dd861a497cbc814256ed0e2957"/>
            <w:id w:val="-509208020"/>
          </w:sdtPr>
          <w:sdtContent>
            <w:tc>
              <w:tcPr>
                <w:tcW w:w="1701"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1603999486"/>
          </w:sdtPr>
          <w:sdtContent>
            <w:tc>
              <w:tcPr>
                <w:tcW w:w="16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c>
          <w:tcPr>
            <w:tcW w:w="1601" w:type="pct"/>
            <w:shd w:val="clear" w:color="auto" w:fill="auto"/>
            <w:vAlign w:val="center"/>
          </w:tcPr>
          <w:p>
            <w:pPr>
              <w:spacing w:line="360" w:lineRule="exact"/>
              <w:jc w:val="center"/>
              <w:rPr>
                <w:sz w:val="18"/>
                <w:szCs w:val="18"/>
                <w:u w:val="double"/>
              </w:rPr>
            </w:pPr>
            <w:r>
              <w:rPr>
                <w:rFonts w:hint="eastAsia"/>
                <w:sz w:val="18"/>
                <w:szCs w:val="18"/>
                <w:u w:val="double"/>
              </w:rPr>
              <w:t>合计</w:t>
            </w:r>
          </w:p>
        </w:tc>
        <w:tc>
          <w:tcPr>
            <w:tcW w:w="1701" w:type="pct"/>
            <w:shd w:val="clear" w:color="auto" w:fill="auto"/>
            <w:vAlign w:val="center"/>
          </w:tcPr>
          <w:p>
            <w:pPr>
              <w:spacing w:line="360" w:lineRule="exact"/>
              <w:jc w:val="right"/>
              <w:rPr>
                <w:sz w:val="18"/>
                <w:szCs w:val="18"/>
              </w:rPr>
            </w:pPr>
            <w:r>
              <w:rPr>
                <w:sz w:val="18"/>
                <w:szCs w:val="18"/>
              </w:rPr>
              <w:t>4,788,213</w:t>
            </w:r>
          </w:p>
        </w:tc>
        <w:tc>
          <w:tcPr>
            <w:tcW w:w="1698" w:type="pct"/>
            <w:shd w:val="clear" w:color="auto" w:fill="auto"/>
            <w:vAlign w:val="center"/>
          </w:tcPr>
          <w:p>
            <w:pPr>
              <w:spacing w:line="360" w:lineRule="exact"/>
              <w:jc w:val="right"/>
              <w:rPr>
                <w:sz w:val="18"/>
                <w:szCs w:val="18"/>
              </w:rPr>
            </w:pPr>
            <w:r>
              <w:rPr>
                <w:sz w:val="18"/>
                <w:szCs w:val="18"/>
              </w:rPr>
              <w:t>5,091,448</w:t>
            </w:r>
          </w:p>
        </w:tc>
      </w:tr>
      <w:tr>
        <w:tc>
          <w:tcPr>
            <w:tcW w:w="1601" w:type="pct"/>
            <w:shd w:val="clear" w:color="auto" w:fill="auto"/>
            <w:vAlign w:val="center"/>
          </w:tcPr>
          <w:p>
            <w:pPr>
              <w:spacing w:line="360" w:lineRule="exact"/>
              <w:rPr>
                <w:sz w:val="18"/>
                <w:szCs w:val="18"/>
              </w:rPr>
            </w:pPr>
            <w:r>
              <w:rPr>
                <w:rFonts w:hint="eastAsia"/>
                <w:sz w:val="18"/>
                <w:szCs w:val="18"/>
              </w:rPr>
              <w:t>其中：</w:t>
            </w:r>
            <w:r>
              <w:rPr>
                <w:sz w:val="18"/>
                <w:szCs w:val="18"/>
              </w:rPr>
              <w:t>1年以上</w:t>
            </w:r>
          </w:p>
        </w:tc>
        <w:tc>
          <w:tcPr>
            <w:tcW w:w="1701" w:type="pct"/>
            <w:shd w:val="clear" w:color="auto" w:fill="auto"/>
            <w:vAlign w:val="center"/>
          </w:tcPr>
          <w:p>
            <w:pPr>
              <w:spacing w:line="360" w:lineRule="exact"/>
              <w:jc w:val="right"/>
              <w:rPr>
                <w:sz w:val="18"/>
                <w:szCs w:val="18"/>
              </w:rPr>
            </w:pPr>
            <w:r>
              <w:rPr>
                <w:sz w:val="18"/>
                <w:szCs w:val="18"/>
              </w:rPr>
              <w:t>123,484</w:t>
            </w:r>
          </w:p>
        </w:tc>
        <w:tc>
          <w:tcPr>
            <w:tcW w:w="1698" w:type="pct"/>
            <w:shd w:val="clear" w:color="auto" w:fill="auto"/>
            <w:vAlign w:val="center"/>
          </w:tcPr>
          <w:p>
            <w:pPr>
              <w:spacing w:line="360" w:lineRule="exact"/>
              <w:jc w:val="right"/>
              <w:rPr>
                <w:sz w:val="18"/>
                <w:szCs w:val="18"/>
              </w:rPr>
            </w:pPr>
            <w:r>
              <w:rPr>
                <w:sz w:val="18"/>
                <w:szCs w:val="18"/>
              </w:rPr>
              <w:t>173,925</w:t>
            </w:r>
          </w:p>
        </w:tc>
      </w:tr>
    </w:tbl>
    <w:p>
      <w:pPr>
        <w:pStyle w:val="affffffffffffffffff3"/>
      </w:pPr>
    </w:p>
    <w:p>
      <w:pPr>
        <w:pStyle w:val="affffffffffffffffff3"/>
      </w:pPr>
    </w:p>
    <w:p>
      <w:pPr>
        <w:pStyle w:val="affffffffffffffffff3"/>
      </w:pPr>
    </w:p>
    <w:p>
      <w:pPr>
        <w:pStyle w:val="affffffffffffffffffffffffffffffffe"/>
      </w:pPr>
    </w:p>
    <w:p>
      <w:pPr>
        <w:pStyle w:val="afffffffffffffffffffffffffffffffff1"/>
        <w:numPr>
          <w:ilvl w:val="0"/>
          <w:numId w:val="120"/>
        </w:numPr>
        <w:ind w:left="450" w:hanging="450"/>
      </w:pPr>
      <w:r>
        <w:rPr>
          <w:rFonts w:hint="eastAsia"/>
        </w:rPr>
        <w:t>账龄超过</w:t>
      </w:r>
      <w:r>
        <w:t>1年的重要合同负债</w:t>
      </w:r>
    </w:p>
    <w:sdt>
      <w:sdtPr>
        <w:alias w:val="是否适用：账龄超过1年的重要合同负债明细[双击切换]"/>
        <w:tag w:val="_GBC_743f27908aba47b4a5755e98b31475ae"/>
        <w:id w:val="151310566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20"/>
        </w:numPr>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50124347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其他说明：</w:t>
      </w:r>
    </w:p>
    <w:sdt>
      <w:sdtPr>
        <w:rPr>
          <w:szCs w:val="21"/>
        </w:rPr>
        <w:alias w:val="是否适用：合同负债其他说明[双击切换]"/>
        <w:tag w:val="_GBC_1c99003b181f47ebb73e6452f4bfa446"/>
        <w:id w:val="-1851558798"/>
        <w:placeholder>
          <w:docPart w:val="GBC22222222222222222222222222222"/>
        </w:placeholder>
      </w:sdtPr>
      <w:sdtContent>
        <w:p>
          <w:pPr>
            <w:pStyle w:val="affffffffffffffffffffffffffffffffe"/>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6"/>
        <w:numPr>
          <w:ilvl w:val="0"/>
          <w:numId w:val="103"/>
        </w:numPr>
        <w:tabs>
          <w:tab w:val="left" w:pos="504"/>
        </w:tabs>
        <w:rPr>
          <w:rFonts w:ascii="宋体" w:hAnsi="宋体"/>
          <w:szCs w:val="21"/>
        </w:rPr>
      </w:pPr>
      <w:r>
        <w:rPr>
          <w:rFonts w:ascii="宋体" w:hAnsi="宋体" w:hint="eastAsia"/>
          <w:szCs w:val="21"/>
        </w:rPr>
        <w:t>应付职工薪酬</w:t>
      </w:r>
    </w:p>
    <w:p>
      <w:pPr>
        <w:pStyle w:val="afffffffffffffffffffffffffffffffff1"/>
        <w:numPr>
          <w:ilvl w:val="0"/>
          <w:numId w:val="177"/>
        </w:numPr>
      </w:pPr>
      <w:r>
        <w:rPr>
          <w:rFonts w:hint="eastAsia"/>
        </w:rPr>
        <w:t>应付职工薪酬列示</w:t>
      </w:r>
    </w:p>
    <w:sdt>
      <w:sdtPr>
        <w:alias w:val="是否适用：应付职工薪酬列示[双击切换]"/>
        <w:tag w:val="_GBC_215b41e091df4b2bbb2009fd3c8040b5"/>
        <w:id w:val="-2065634118"/>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384151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应付职工薪酬"/>
          <w:tag w:val="_GBC_64bcd9de14a14550b941cbdaf7bdc974"/>
          <w:id w:val="-15600947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332"/>
        <w:gridCol w:w="1329"/>
        <w:gridCol w:w="1332"/>
        <w:gridCol w:w="1339"/>
        <w:gridCol w:w="1338"/>
      </w:tblGrid>
      <w:tr>
        <w:sdt>
          <w:sdtPr>
            <w:tag w:val="_PLD_4761dc2d96c64c3fb5d407cdbec097a2"/>
            <w:id w:val="1885830842"/>
          </w:sdtPr>
          <w:sdtContent>
            <w:tc>
              <w:tcPr>
                <w:tcW w:w="1220" w:type="pct"/>
                <w:shd w:val="clear" w:color="auto" w:fill="auto"/>
                <w:vAlign w:val="center"/>
              </w:tcPr>
              <w:p>
                <w:pPr>
                  <w:jc w:val="center"/>
                </w:pPr>
                <w:r>
                  <w:rPr>
                    <w:rFonts w:hint="eastAsia"/>
                  </w:rPr>
                  <w:t>项目</w:t>
                </w:r>
              </w:p>
            </w:tc>
          </w:sdtContent>
        </w:sdt>
        <w:sdt>
          <w:sdtPr>
            <w:tag w:val="_PLD_f666739d3c0f4f9891bd8f4974d101ec"/>
            <w:id w:val="276755540"/>
          </w:sdtPr>
          <w:sdtContent>
            <w:tc>
              <w:tcPr>
                <w:tcW w:w="755" w:type="pct"/>
                <w:shd w:val="clear" w:color="auto" w:fill="auto"/>
                <w:vAlign w:val="center"/>
              </w:tcPr>
              <w:p>
                <w:pPr>
                  <w:jc w:val="center"/>
                </w:pPr>
                <w:r>
                  <w:rPr>
                    <w:rFonts w:hint="eastAsia"/>
                  </w:rPr>
                  <w:t>期初余额</w:t>
                </w:r>
              </w:p>
            </w:tc>
          </w:sdtContent>
        </w:sdt>
        <w:sdt>
          <w:sdtPr>
            <w:tag w:val="_PLD_cc701d3a5a44484d862c996437df1e7d"/>
            <w:id w:val="-1757732183"/>
          </w:sdtPr>
          <w:sdtContent>
            <w:tc>
              <w:tcPr>
                <w:tcW w:w="753" w:type="pct"/>
                <w:shd w:val="clear" w:color="auto" w:fill="auto"/>
                <w:vAlign w:val="center"/>
              </w:tcPr>
              <w:p>
                <w:pPr>
                  <w:jc w:val="center"/>
                </w:pPr>
                <w:r>
                  <w:rPr>
                    <w:rFonts w:hint="eastAsia"/>
                  </w:rPr>
                  <w:t>本期增加</w:t>
                </w:r>
              </w:p>
            </w:tc>
          </w:sdtContent>
        </w:sdt>
        <w:sdt>
          <w:sdtPr>
            <w:tag w:val="_PLD_0e8f833fca684ce592b0cba6d04c75ef"/>
            <w:id w:val="99000303"/>
          </w:sdtPr>
          <w:sdtContent>
            <w:tc>
              <w:tcPr>
                <w:tcW w:w="755" w:type="pct"/>
                <w:shd w:val="clear" w:color="auto" w:fill="auto"/>
                <w:vAlign w:val="center"/>
              </w:tcPr>
              <w:p>
                <w:pPr>
                  <w:jc w:val="center"/>
                </w:pPr>
                <w:r>
                  <w:rPr>
                    <w:rFonts w:hint="eastAsia"/>
                  </w:rPr>
                  <w:t>本期减少</w:t>
                </w:r>
              </w:p>
            </w:tc>
          </w:sdtContent>
        </w:sdt>
        <w:tc>
          <w:tcPr>
            <w:tcW w:w="759" w:type="pct"/>
          </w:tcPr>
          <w:p>
            <w:pPr>
              <w:jc w:val="center"/>
            </w:pPr>
            <w:r>
              <w:rPr>
                <w:rFonts w:hint="eastAsia"/>
              </w:rPr>
              <w:t>外币报表折算差额</w:t>
            </w:r>
          </w:p>
        </w:tc>
        <w:sdt>
          <w:sdtPr>
            <w:tag w:val="_PLD_c39a265e94994f0480d13abd59d3eb39"/>
            <w:id w:val="-175040397"/>
          </w:sdtPr>
          <w:sdtContent>
            <w:tc>
              <w:tcPr>
                <w:tcW w:w="758" w:type="pct"/>
                <w:shd w:val="clear" w:color="auto" w:fill="auto"/>
                <w:vAlign w:val="center"/>
              </w:tcPr>
              <w:p>
                <w:pPr>
                  <w:jc w:val="center"/>
                </w:pPr>
                <w:r>
                  <w:rPr>
                    <w:rFonts w:hint="eastAsia"/>
                  </w:rPr>
                  <w:t>期末余额</w:t>
                </w:r>
              </w:p>
            </w:tc>
          </w:sdtContent>
        </w:sdt>
      </w:tr>
      <w:tr>
        <w:tc>
          <w:tcPr>
            <w:tcW w:w="1220" w:type="pct"/>
            <w:shd w:val="clear" w:color="auto" w:fill="auto"/>
            <w:vAlign w:val="center"/>
          </w:tcPr>
          <w:p>
            <w:pPr>
              <w:spacing w:line="360" w:lineRule="exact"/>
              <w:rPr>
                <w:sz w:val="18"/>
                <w:szCs w:val="18"/>
              </w:rPr>
            </w:pPr>
            <w:r>
              <w:rPr>
                <w:rFonts w:hint="eastAsia"/>
                <w:sz w:val="18"/>
                <w:szCs w:val="18"/>
              </w:rPr>
              <w:t>一、短期薪酬</w:t>
            </w:r>
          </w:p>
        </w:tc>
        <w:tc>
          <w:tcPr>
            <w:tcW w:w="755" w:type="pct"/>
            <w:shd w:val="clear" w:color="auto" w:fill="auto"/>
            <w:vAlign w:val="center"/>
          </w:tcPr>
          <w:p>
            <w:pPr>
              <w:pStyle w:val="affffffffffffffffffffffffffffffffe"/>
              <w:jc w:val="right"/>
            </w:pPr>
            <w:r>
              <w:t>2,497,408</w:t>
            </w:r>
          </w:p>
        </w:tc>
        <w:tc>
          <w:tcPr>
            <w:tcW w:w="753" w:type="pct"/>
            <w:shd w:val="clear" w:color="auto" w:fill="auto"/>
            <w:vAlign w:val="center"/>
          </w:tcPr>
          <w:p>
            <w:pPr>
              <w:pStyle w:val="affffffffffffffffffffffffffffffffe"/>
              <w:jc w:val="right"/>
            </w:pPr>
            <w:r>
              <w:t>21,011,309</w:t>
            </w:r>
          </w:p>
        </w:tc>
        <w:tc>
          <w:tcPr>
            <w:tcW w:w="755" w:type="pct"/>
            <w:shd w:val="clear" w:color="auto" w:fill="auto"/>
            <w:vAlign w:val="center"/>
          </w:tcPr>
          <w:p>
            <w:pPr>
              <w:pStyle w:val="affffffffffffffffffffffffffffffffe"/>
              <w:jc w:val="right"/>
            </w:pPr>
            <w:r>
              <w:t>21,485,740</w:t>
            </w:r>
          </w:p>
        </w:tc>
        <w:tc>
          <w:tcPr>
            <w:tcW w:w="759" w:type="pct"/>
            <w:vAlign w:val="center"/>
          </w:tcPr>
          <w:p>
            <w:pPr>
              <w:pStyle w:val="affffffffffffffffffffffffffffffffe"/>
              <w:jc w:val="right"/>
            </w:pPr>
            <w:r>
              <w:t>-56,319</w:t>
            </w:r>
          </w:p>
        </w:tc>
        <w:tc>
          <w:tcPr>
            <w:tcW w:w="758" w:type="pct"/>
            <w:shd w:val="clear" w:color="auto" w:fill="auto"/>
            <w:vAlign w:val="center"/>
          </w:tcPr>
          <w:p>
            <w:pPr>
              <w:jc w:val="right"/>
            </w:pPr>
            <w:r>
              <w:t>1,966,658</w:t>
            </w:r>
          </w:p>
        </w:tc>
      </w:tr>
      <w:tr>
        <w:tc>
          <w:tcPr>
            <w:tcW w:w="1220" w:type="pct"/>
            <w:shd w:val="clear" w:color="auto" w:fill="auto"/>
            <w:vAlign w:val="center"/>
          </w:tcPr>
          <w:p>
            <w:pPr>
              <w:spacing w:line="360" w:lineRule="exact"/>
              <w:rPr>
                <w:sz w:val="18"/>
                <w:szCs w:val="18"/>
              </w:rPr>
            </w:pPr>
            <w:r>
              <w:rPr>
                <w:rFonts w:hint="eastAsia"/>
                <w:sz w:val="18"/>
                <w:szCs w:val="18"/>
              </w:rPr>
              <w:t>二、离职后福利中</w:t>
            </w:r>
            <w:r>
              <w:rPr>
                <w:sz w:val="18"/>
                <w:szCs w:val="18"/>
              </w:rPr>
              <w:t>-设定提存计划负债</w:t>
            </w:r>
          </w:p>
        </w:tc>
        <w:tc>
          <w:tcPr>
            <w:tcW w:w="755" w:type="pct"/>
            <w:shd w:val="clear" w:color="auto" w:fill="auto"/>
            <w:vAlign w:val="center"/>
          </w:tcPr>
          <w:p>
            <w:pPr>
              <w:pStyle w:val="affffffffffffffffffffffffffffffffe"/>
              <w:jc w:val="right"/>
            </w:pPr>
            <w:r>
              <w:t>55,885</w:t>
            </w:r>
          </w:p>
        </w:tc>
        <w:tc>
          <w:tcPr>
            <w:tcW w:w="753" w:type="pct"/>
            <w:shd w:val="clear" w:color="auto" w:fill="auto"/>
            <w:vAlign w:val="center"/>
          </w:tcPr>
          <w:p>
            <w:pPr>
              <w:pStyle w:val="affffffffffffffffffffffffffffffffe"/>
              <w:jc w:val="right"/>
            </w:pPr>
            <w:r>
              <w:t>2,769,690</w:t>
            </w:r>
          </w:p>
        </w:tc>
        <w:tc>
          <w:tcPr>
            <w:tcW w:w="755" w:type="pct"/>
            <w:shd w:val="clear" w:color="auto" w:fill="auto"/>
            <w:vAlign w:val="center"/>
          </w:tcPr>
          <w:p>
            <w:pPr>
              <w:pStyle w:val="affffffffffffffffffffffffffffffffe"/>
              <w:jc w:val="right"/>
            </w:pPr>
            <w:r>
              <w:t>2,769,680</w:t>
            </w:r>
          </w:p>
        </w:tc>
        <w:tc>
          <w:tcPr>
            <w:tcW w:w="759" w:type="pct"/>
            <w:vAlign w:val="center"/>
          </w:tcPr>
          <w:p>
            <w:pPr>
              <w:pStyle w:val="affffffffffffffffffffffffffffffffe"/>
              <w:jc w:val="right"/>
            </w:pPr>
          </w:p>
        </w:tc>
        <w:tc>
          <w:tcPr>
            <w:tcW w:w="758" w:type="pct"/>
            <w:shd w:val="clear" w:color="auto" w:fill="auto"/>
            <w:vAlign w:val="center"/>
          </w:tcPr>
          <w:p>
            <w:pPr>
              <w:jc w:val="right"/>
            </w:pPr>
            <w:r>
              <w:t>55,895</w:t>
            </w:r>
          </w:p>
        </w:tc>
      </w:tr>
      <w:tr>
        <w:tc>
          <w:tcPr>
            <w:tcW w:w="1220" w:type="pct"/>
            <w:shd w:val="clear" w:color="auto" w:fill="auto"/>
            <w:vAlign w:val="center"/>
          </w:tcPr>
          <w:p>
            <w:pPr>
              <w:spacing w:line="360" w:lineRule="exact"/>
              <w:rPr>
                <w:sz w:val="18"/>
                <w:szCs w:val="18"/>
              </w:rPr>
            </w:pPr>
            <w:r>
              <w:rPr>
                <w:rFonts w:hint="eastAsia"/>
                <w:sz w:val="18"/>
                <w:szCs w:val="18"/>
              </w:rPr>
              <w:t>三、辞退福利</w:t>
            </w:r>
          </w:p>
        </w:tc>
        <w:tc>
          <w:tcPr>
            <w:tcW w:w="755" w:type="pct"/>
            <w:shd w:val="clear" w:color="auto" w:fill="auto"/>
            <w:vAlign w:val="center"/>
          </w:tcPr>
          <w:p>
            <w:pPr>
              <w:jc w:val="right"/>
              <w:rPr>
                <w:rFonts w:ascii="Times New Roman" w:eastAsia="Times New Roman" w:hAnsi="Times New Roman" w:cs="Times New Roman"/>
                <w:sz w:val="20"/>
                <w:szCs w:val="20"/>
              </w:rPr>
            </w:pPr>
          </w:p>
        </w:tc>
        <w:tc>
          <w:tcPr>
            <w:tcW w:w="753" w:type="pct"/>
            <w:shd w:val="clear" w:color="auto" w:fill="auto"/>
            <w:vAlign w:val="center"/>
          </w:tcPr>
          <w:p>
            <w:pPr>
              <w:jc w:val="right"/>
              <w:rPr>
                <w:sz w:val="24"/>
              </w:rPr>
            </w:pPr>
            <w:r>
              <w:t>61,435</w:t>
            </w:r>
          </w:p>
        </w:tc>
        <w:tc>
          <w:tcPr>
            <w:tcW w:w="755" w:type="pct"/>
            <w:shd w:val="clear" w:color="auto" w:fill="auto"/>
            <w:vAlign w:val="center"/>
          </w:tcPr>
          <w:p>
            <w:pPr>
              <w:pStyle w:val="affffffffffffffffffffffffffffffffe"/>
              <w:jc w:val="right"/>
            </w:pPr>
            <w:r>
              <w:t>61,435</w:t>
            </w:r>
          </w:p>
        </w:tc>
        <w:tc>
          <w:tcPr>
            <w:tcW w:w="759" w:type="pct"/>
            <w:vAlign w:val="center"/>
          </w:tcPr>
          <w:p>
            <w:pPr>
              <w:pStyle w:val="affffffffffffffffffffffffffffffffe"/>
              <w:jc w:val="right"/>
            </w:pPr>
          </w:p>
        </w:tc>
        <w:tc>
          <w:tcPr>
            <w:tcW w:w="758" w:type="pct"/>
            <w:shd w:val="clear" w:color="auto" w:fill="auto"/>
            <w:vAlign w:val="center"/>
          </w:tcPr>
          <w:p>
            <w:pPr>
              <w:jc w:val="right"/>
            </w:pPr>
          </w:p>
        </w:tc>
      </w:tr>
      <w:tr>
        <w:tc>
          <w:tcPr>
            <w:tcW w:w="1220" w:type="pct"/>
            <w:shd w:val="clear" w:color="auto" w:fill="auto"/>
            <w:vAlign w:val="center"/>
          </w:tcPr>
          <w:p>
            <w:pPr>
              <w:spacing w:line="360" w:lineRule="exact"/>
              <w:rPr>
                <w:sz w:val="18"/>
                <w:szCs w:val="18"/>
              </w:rPr>
            </w:pPr>
            <w:r>
              <w:rPr>
                <w:rFonts w:hint="eastAsia"/>
                <w:sz w:val="18"/>
                <w:szCs w:val="18"/>
              </w:rPr>
              <w:t>四、一年内到期的其他福利</w:t>
            </w:r>
          </w:p>
        </w:tc>
        <w:tc>
          <w:tcPr>
            <w:tcW w:w="755" w:type="pct"/>
            <w:shd w:val="clear" w:color="auto" w:fill="auto"/>
            <w:vAlign w:val="center"/>
          </w:tcPr>
          <w:p>
            <w:pPr>
              <w:jc w:val="right"/>
              <w:rPr>
                <w:sz w:val="24"/>
              </w:rPr>
            </w:pPr>
            <w:r>
              <w:t>25,140</w:t>
            </w:r>
          </w:p>
        </w:tc>
        <w:tc>
          <w:tcPr>
            <w:tcW w:w="753" w:type="pct"/>
            <w:shd w:val="clear" w:color="auto" w:fill="auto"/>
            <w:vAlign w:val="center"/>
          </w:tcPr>
          <w:p>
            <w:pPr>
              <w:pStyle w:val="affffffffffffffffffffffffffffffffe"/>
              <w:jc w:val="right"/>
            </w:pPr>
          </w:p>
        </w:tc>
        <w:tc>
          <w:tcPr>
            <w:tcW w:w="755" w:type="pct"/>
            <w:shd w:val="clear" w:color="auto" w:fill="auto"/>
            <w:vAlign w:val="center"/>
          </w:tcPr>
          <w:p>
            <w:pPr>
              <w:jc w:val="right"/>
              <w:rPr>
                <w:sz w:val="24"/>
              </w:rPr>
            </w:pPr>
            <w:r>
              <w:t>25,140</w:t>
            </w:r>
          </w:p>
        </w:tc>
        <w:tc>
          <w:tcPr>
            <w:tcW w:w="759" w:type="pct"/>
            <w:vAlign w:val="center"/>
          </w:tcPr>
          <w:p>
            <w:pPr>
              <w:pStyle w:val="affffffffffffffffffffffffffffffffe"/>
              <w:jc w:val="right"/>
            </w:pPr>
          </w:p>
        </w:tc>
        <w:tc>
          <w:tcPr>
            <w:tcW w:w="758" w:type="pct"/>
            <w:shd w:val="clear" w:color="auto" w:fill="auto"/>
            <w:vAlign w:val="center"/>
          </w:tcPr>
          <w:p>
            <w:pPr>
              <w:jc w:val="right"/>
            </w:pPr>
          </w:p>
        </w:tc>
      </w:tr>
      <w:tr>
        <w:tc>
          <w:tcPr>
            <w:tcW w:w="1220" w:type="pct"/>
            <w:shd w:val="clear" w:color="auto" w:fill="auto"/>
            <w:vAlign w:val="center"/>
          </w:tcPr>
          <w:p>
            <w:pPr>
              <w:jc w:val="center"/>
            </w:pPr>
            <w:r>
              <w:rPr>
                <w:rFonts w:hint="eastAsia"/>
              </w:rPr>
              <w:t>合计</w:t>
            </w:r>
          </w:p>
        </w:tc>
        <w:tc>
          <w:tcPr>
            <w:tcW w:w="755" w:type="pct"/>
            <w:shd w:val="clear" w:color="auto" w:fill="auto"/>
            <w:vAlign w:val="center"/>
          </w:tcPr>
          <w:p>
            <w:pPr>
              <w:jc w:val="right"/>
            </w:pPr>
            <w:r>
              <w:t>2,578,433</w:t>
            </w:r>
          </w:p>
        </w:tc>
        <w:tc>
          <w:tcPr>
            <w:tcW w:w="753" w:type="pct"/>
            <w:shd w:val="clear" w:color="auto" w:fill="auto"/>
            <w:vAlign w:val="center"/>
          </w:tcPr>
          <w:p>
            <w:pPr>
              <w:jc w:val="right"/>
            </w:pPr>
            <w:r>
              <w:t>23,842,434</w:t>
            </w:r>
          </w:p>
        </w:tc>
        <w:tc>
          <w:tcPr>
            <w:tcW w:w="755" w:type="pct"/>
            <w:shd w:val="clear" w:color="auto" w:fill="auto"/>
            <w:vAlign w:val="center"/>
          </w:tcPr>
          <w:p>
            <w:pPr>
              <w:jc w:val="right"/>
            </w:pPr>
            <w:r>
              <w:t>24,341,995</w:t>
            </w:r>
          </w:p>
        </w:tc>
        <w:tc>
          <w:tcPr>
            <w:tcW w:w="759" w:type="pct"/>
            <w:vAlign w:val="center"/>
          </w:tcPr>
          <w:p>
            <w:pPr>
              <w:jc w:val="right"/>
            </w:pPr>
            <w:r>
              <w:t>-56,319</w:t>
            </w:r>
          </w:p>
        </w:tc>
        <w:tc>
          <w:tcPr>
            <w:tcW w:w="758" w:type="pct"/>
            <w:shd w:val="clear" w:color="auto" w:fill="auto"/>
            <w:vAlign w:val="center"/>
          </w:tcPr>
          <w:p>
            <w:pPr>
              <w:jc w:val="right"/>
            </w:pPr>
            <w:r>
              <w:t>2,022,553</w:t>
            </w:r>
          </w:p>
        </w:tc>
      </w:tr>
    </w:tbl>
    <w:p>
      <w:pPr>
        <w:pStyle w:val="affffffffffffffffffffffffffffffffe"/>
      </w:pPr>
    </w:p>
    <w:p>
      <w:pPr>
        <w:pStyle w:val="afffffffffffffffffffffffffffffffff1"/>
        <w:numPr>
          <w:ilvl w:val="0"/>
          <w:numId w:val="177"/>
        </w:numPr>
      </w:pPr>
      <w:r>
        <w:rPr>
          <w:rFonts w:hint="eastAsia"/>
        </w:rPr>
        <w:t>短期薪酬列示</w:t>
      </w:r>
    </w:p>
    <w:sdt>
      <w:sdtPr>
        <w:alias w:val="是否适用：短期薪酬列示[双击切换]"/>
        <w:tag w:val="_GBC_531fef0ef27e47ad98c1bb26abdf204f"/>
        <w:id w:val="108611491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薪酬"/>
          <w:tag w:val="_GBC_4710a4978b1b4a4bbcd5757aaf80b8d7"/>
          <w:id w:val="-13460075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短期薪酬"/>
          <w:tag w:val="_GBC_aa08b58287754c0d8fad97e31bacb9e4"/>
          <w:id w:val="13936168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2"/>
        <w:gridCol w:w="1334"/>
        <w:gridCol w:w="1318"/>
        <w:gridCol w:w="1331"/>
        <w:gridCol w:w="1339"/>
        <w:gridCol w:w="1339"/>
      </w:tblGrid>
      <w:tr>
        <w:sdt>
          <w:sdtPr>
            <w:tag w:val="_PLD_977153d49ca449b191bb833cd5f689b2"/>
            <w:id w:val="552361516"/>
          </w:sdtPr>
          <w:sdtContent>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项目</w:t>
                </w:r>
              </w:p>
            </w:tc>
          </w:sdtContent>
        </w:sdt>
        <w:sdt>
          <w:sdtPr>
            <w:tag w:val="_PLD_557c49ee2a4f40de99f948c76f4c3adc"/>
            <w:id w:val="39487855"/>
          </w:sdtPr>
          <w:sdtContent>
            <w:tc>
              <w:tcPr>
                <w:tcW w:w="756"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期初余额</w:t>
                </w:r>
              </w:p>
            </w:tc>
          </w:sdtContent>
        </w:sdt>
        <w:sdt>
          <w:sdtPr>
            <w:tag w:val="_PLD_98d1ab48f8084264aff0ef3a30e8ba71"/>
            <w:id w:val="-783498020"/>
          </w:sdtPr>
          <w:sdtContent>
            <w:tc>
              <w:tcPr>
                <w:tcW w:w="747" w:type="pct"/>
                <w:tcBorders>
                  <w:top w:val="single" w:sz="4" w:space="0" w:color="auto"/>
                  <w:left w:val="single" w:sz="4" w:space="0" w:color="auto"/>
                  <w:bottom w:val="single" w:sz="4" w:space="0" w:color="auto"/>
                  <w:right w:val="single" w:sz="4" w:space="0" w:color="auto"/>
                </w:tcBorders>
                <w:vAlign w:val="center"/>
              </w:tcPr>
              <w:p>
                <w:pPr>
                  <w:jc w:val="center"/>
                </w:pPr>
                <w:r>
                  <w:rPr>
                    <w:rFonts w:hint="eastAsia"/>
                  </w:rPr>
                  <w:t>本期增加</w:t>
                </w:r>
              </w:p>
            </w:tc>
          </w:sdtContent>
        </w:sdt>
        <w:sdt>
          <w:sdtPr>
            <w:tag w:val="_PLD_e35c4f26db444503b2f9a32896872169"/>
            <w:id w:val="-1828358343"/>
          </w:sdtPr>
          <w:sdtContent>
            <w:tc>
              <w:tcPr>
                <w:tcW w:w="754" w:type="pct"/>
                <w:tcBorders>
                  <w:top w:val="single" w:sz="4" w:space="0" w:color="auto"/>
                  <w:left w:val="single" w:sz="4" w:space="0" w:color="auto"/>
                  <w:bottom w:val="single" w:sz="4" w:space="0" w:color="auto"/>
                  <w:right w:val="single" w:sz="4" w:space="0" w:color="auto"/>
                </w:tcBorders>
                <w:vAlign w:val="center"/>
              </w:tcPr>
              <w:p>
                <w:pPr>
                  <w:jc w:val="center"/>
                </w:pPr>
                <w:r>
                  <w:t>本期减少</w:t>
                </w:r>
              </w:p>
            </w:tc>
          </w:sdtContent>
        </w:sdt>
        <w:tc>
          <w:tcPr>
            <w:tcW w:w="759" w:type="pct"/>
            <w:tcBorders>
              <w:top w:val="single" w:sz="4" w:space="0" w:color="auto"/>
              <w:left w:val="single" w:sz="4" w:space="0" w:color="auto"/>
              <w:bottom w:val="single" w:sz="4" w:space="0" w:color="auto"/>
              <w:right w:val="single" w:sz="4" w:space="0" w:color="auto"/>
            </w:tcBorders>
          </w:tcPr>
          <w:p>
            <w:pPr>
              <w:autoSpaceDE w:val="0"/>
              <w:autoSpaceDN w:val="0"/>
              <w:adjustRightInd w:val="0"/>
              <w:jc w:val="center"/>
            </w:pPr>
            <w:r>
              <w:rPr>
                <w:rFonts w:hint="eastAsia"/>
              </w:rPr>
              <w:t>外币报表折算差额</w:t>
            </w:r>
          </w:p>
        </w:tc>
        <w:sdt>
          <w:sdtPr>
            <w:tag w:val="_PLD_e67d191300ac43c2b1b07c1beddfe891"/>
            <w:id w:val="819696618"/>
          </w:sdtPr>
          <w:sdtContent>
            <w:tc>
              <w:tcPr>
                <w:tcW w:w="759"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期末余额</w:t>
                </w:r>
              </w:p>
            </w:tc>
          </w:sdtContent>
        </w:sdt>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一、工资、奖金、津贴和补贴</w:t>
            </w:r>
          </w:p>
        </w:tc>
        <w:tc>
          <w:tcPr>
            <w:tcW w:w="756"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1,022,350</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15,764,664</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15,808,931</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-20,583</w:t>
            </w: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957,500</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二、职工福利费</w:t>
            </w:r>
          </w:p>
        </w:tc>
        <w:tc>
          <w:tcPr>
            <w:tcW w:w="756"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101</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1,742,630</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1,742,709</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22</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lastRenderedPageBreak/>
              <w:t>三、社会保险费</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73,399</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1,127,805</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1,163,807</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37,397</w:t>
            </w:r>
          </w:p>
        </w:tc>
      </w:tr>
      <w:tr>
        <w:tc>
          <w:tcPr>
            <w:tcW w:w="1225" w:type="pct"/>
            <w:tcBorders>
              <w:top w:val="single" w:sz="4" w:space="0" w:color="auto"/>
              <w:left w:val="single" w:sz="4" w:space="0" w:color="auto"/>
              <w:bottom w:val="single" w:sz="4" w:space="0" w:color="auto"/>
              <w:right w:val="single" w:sz="4" w:space="0" w:color="auto"/>
            </w:tcBorders>
            <w:vAlign w:val="center"/>
          </w:tcPr>
          <w:p>
            <w:pPr>
              <w:rPr>
                <w:color w:val="008000"/>
                <w:szCs w:val="21"/>
              </w:rPr>
            </w:pPr>
            <w:r>
              <w:rPr>
                <w:rFonts w:hint="eastAsia"/>
                <w:szCs w:val="21"/>
              </w:rPr>
              <w:t>其中：</w:t>
            </w:r>
            <w:r>
              <w:rPr>
                <w:szCs w:val="21"/>
              </w:rPr>
              <w:t>医疗保险费</w:t>
            </w:r>
          </w:p>
        </w:tc>
        <w:tc>
          <w:tcPr>
            <w:tcW w:w="756"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56,805</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945,347</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976,106</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26,046</w:t>
            </w:r>
          </w:p>
        </w:tc>
      </w:tr>
      <w:tr>
        <w:tc>
          <w:tcPr>
            <w:tcW w:w="1225" w:type="pct"/>
            <w:tcBorders>
              <w:top w:val="single" w:sz="4" w:space="0" w:color="auto"/>
              <w:left w:val="single" w:sz="4" w:space="0" w:color="auto"/>
              <w:bottom w:val="single" w:sz="4" w:space="0" w:color="auto"/>
              <w:right w:val="single" w:sz="4" w:space="0" w:color="auto"/>
            </w:tcBorders>
            <w:vAlign w:val="center"/>
          </w:tcPr>
          <w:p>
            <w:pPr>
              <w:ind w:firstLineChars="300" w:firstLine="630"/>
              <w:rPr>
                <w:szCs w:val="21"/>
              </w:rPr>
            </w:pPr>
            <w:r>
              <w:rPr>
                <w:rFonts w:hint="eastAsia"/>
                <w:szCs w:val="21"/>
              </w:rPr>
              <w:t>工伤保险费</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15,580</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181,288</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186,530</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10,338</w:t>
            </w:r>
          </w:p>
        </w:tc>
      </w:tr>
      <w:tr>
        <w:tc>
          <w:tcPr>
            <w:tcW w:w="1225" w:type="pct"/>
            <w:tcBorders>
              <w:top w:val="single" w:sz="4" w:space="0" w:color="auto"/>
              <w:left w:val="single" w:sz="4" w:space="0" w:color="auto"/>
              <w:bottom w:val="single" w:sz="4" w:space="0" w:color="auto"/>
              <w:right w:val="single" w:sz="4" w:space="0" w:color="auto"/>
            </w:tcBorders>
            <w:vAlign w:val="center"/>
          </w:tcPr>
          <w:p>
            <w:pPr>
              <w:ind w:firstLineChars="300" w:firstLine="630"/>
              <w:rPr>
                <w:szCs w:val="21"/>
              </w:rPr>
            </w:pPr>
            <w:r>
              <w:rPr>
                <w:rFonts w:hint="eastAsia"/>
                <w:szCs w:val="21"/>
              </w:rPr>
              <w:t>生育保险费</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1,014</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1,170</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1,171</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1,013</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四、住房公积金</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46,004</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1,263,081</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1,257,840</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51,245</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五、工会经费和职工教育经费</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577,053</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194,480</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445,521</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326,012</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六、短期带薪缺勤</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 w:val="24"/>
              </w:rPr>
            </w:pPr>
            <w:r>
              <w:t>600,173</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918,649</w:t>
            </w:r>
          </w:p>
        </w:tc>
        <w:tc>
          <w:tcPr>
            <w:tcW w:w="75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1,009,240</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-35,736</w:t>
            </w: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473,846</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rPr>
                <w:szCs w:val="21"/>
              </w:rPr>
            </w:pPr>
            <w:r>
              <w:rPr>
                <w:rFonts w:hint="eastAsia"/>
                <w:szCs w:val="21"/>
              </w:rPr>
              <w:t>七、短期利润分享计划</w:t>
            </w:r>
          </w:p>
        </w:tc>
        <w:tc>
          <w:tcPr>
            <w:tcW w:w="756"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178,328</w:t>
            </w:r>
          </w:p>
        </w:tc>
        <w:tc>
          <w:tcPr>
            <w:tcW w:w="747"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4" w:type="pct"/>
            <w:tcBorders>
              <w:top w:val="single" w:sz="4" w:space="0" w:color="auto"/>
              <w:left w:val="single" w:sz="4" w:space="0" w:color="auto"/>
              <w:bottom w:val="single" w:sz="4" w:space="0" w:color="auto"/>
              <w:right w:val="single" w:sz="4" w:space="0" w:color="auto"/>
            </w:tcBorders>
            <w:vAlign w:val="center"/>
          </w:tcPr>
          <w:p>
            <w:pPr>
              <w:jc w:val="right"/>
              <w:rPr>
                <w:sz w:val="24"/>
              </w:rPr>
            </w:pPr>
            <w:r>
              <w:t>57,692</w:t>
            </w:r>
          </w:p>
        </w:tc>
        <w:tc>
          <w:tcPr>
            <w:tcW w:w="75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120,636</w:t>
            </w:r>
          </w:p>
        </w:tc>
      </w:tr>
      <w:tr>
        <w:tc>
          <w:tcPr>
            <w:tcW w:w="1225"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75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2,497,408</w:t>
            </w:r>
          </w:p>
        </w:tc>
        <w:tc>
          <w:tcPr>
            <w:tcW w:w="74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21,011,309</w:t>
            </w:r>
          </w:p>
        </w:tc>
        <w:tc>
          <w:tcPr>
            <w:tcW w:w="75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21,485,740</w:t>
            </w: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-56,319</w:t>
            </w:r>
          </w:p>
        </w:tc>
        <w:tc>
          <w:tcPr>
            <w:tcW w:w="75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1,966,658</w:t>
            </w:r>
          </w:p>
        </w:tc>
      </w:tr>
    </w:tbl>
    <w:p>
      <w:pPr>
        <w:rPr>
          <w:color w:val="000000" w:themeColor="text1"/>
          <w:szCs w:val="21"/>
        </w:rPr>
      </w:pPr>
    </w:p>
    <w:p>
      <w:pPr>
        <w:pStyle w:val="afffffffffffffffffffffffffffffffff1"/>
        <w:numPr>
          <w:ilvl w:val="0"/>
          <w:numId w:val="177"/>
        </w:numPr>
      </w:pPr>
      <w:r>
        <w:rPr>
          <w:rFonts w:hint="eastAsia"/>
        </w:rPr>
        <w:t>设定提存计划列示</w:t>
      </w:r>
    </w:p>
    <w:p>
      <w:pPr>
        <w:pStyle w:val="affffffffffffffffffffffffffffffffe"/>
      </w:pPr>
      <w:sdt>
        <w:sdtPr>
          <w:alias w:val="是否适用：设定提存计划列示[双击切换]"/>
          <w:tag w:val="_GBC_b10b1dbaca2d418ba8658bab8f732ec8"/>
          <w:id w:val="-770231060"/>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19031295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设定提存计划列示"/>
          <w:tag w:val="_GBC_e3e3da384da84c8f92edb23d37c13690"/>
          <w:id w:val="-544601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4"/>
        <w:gridCol w:w="1346"/>
        <w:gridCol w:w="1334"/>
        <w:gridCol w:w="1359"/>
        <w:gridCol w:w="1320"/>
        <w:gridCol w:w="1320"/>
      </w:tblGrid>
      <w:tr>
        <w:sdt>
          <w:sdtPr>
            <w:tag w:val="_PLD_5a05fd1b5f8842ba9ae6094f6792dfbe"/>
            <w:id w:val="-1944448224"/>
          </w:sdtPr>
          <w:sdtContent>
            <w:tc>
              <w:tcPr>
                <w:tcW w:w="1215" w:type="pct"/>
                <w:shd w:val="clear" w:color="auto" w:fill="auto"/>
                <w:vAlign w:val="center"/>
              </w:tcPr>
              <w:p>
                <w:pPr>
                  <w:jc w:val="center"/>
                </w:pPr>
                <w:r>
                  <w:rPr>
                    <w:rFonts w:hint="eastAsia"/>
                  </w:rPr>
                  <w:t>项目</w:t>
                </w:r>
              </w:p>
            </w:tc>
          </w:sdtContent>
        </w:sdt>
        <w:sdt>
          <w:sdtPr>
            <w:tag w:val="_PLD_fae7d76d85e4429d925f3d30ff27566f"/>
            <w:id w:val="270588028"/>
          </w:sdtPr>
          <w:sdtContent>
            <w:tc>
              <w:tcPr>
                <w:tcW w:w="763" w:type="pct"/>
                <w:shd w:val="clear" w:color="auto" w:fill="auto"/>
                <w:vAlign w:val="center"/>
              </w:tcPr>
              <w:p>
                <w:pPr>
                  <w:jc w:val="center"/>
                </w:pPr>
                <w:r>
                  <w:rPr>
                    <w:rFonts w:hint="eastAsia"/>
                  </w:rPr>
                  <w:t>期初余额</w:t>
                </w:r>
              </w:p>
            </w:tc>
          </w:sdtContent>
        </w:sdt>
        <w:sdt>
          <w:sdtPr>
            <w:tag w:val="_PLD_cd3c897871944aa0a1ea524d70e51704"/>
            <w:id w:val="1791247911"/>
          </w:sdtPr>
          <w:sdtContent>
            <w:tc>
              <w:tcPr>
                <w:tcW w:w="756" w:type="pct"/>
                <w:shd w:val="clear" w:color="auto" w:fill="auto"/>
                <w:vAlign w:val="center"/>
              </w:tcPr>
              <w:p>
                <w:pPr>
                  <w:jc w:val="center"/>
                </w:pPr>
                <w:r>
                  <w:rPr>
                    <w:rFonts w:hint="eastAsia"/>
                  </w:rPr>
                  <w:t>本期增加</w:t>
                </w:r>
              </w:p>
            </w:tc>
          </w:sdtContent>
        </w:sdt>
        <w:sdt>
          <w:sdtPr>
            <w:tag w:val="_PLD_5ef10b06a3d24730bad93c45f119182f"/>
            <w:id w:val="-1518913979"/>
          </w:sdtPr>
          <w:sdtContent>
            <w:tc>
              <w:tcPr>
                <w:tcW w:w="770" w:type="pct"/>
                <w:shd w:val="clear" w:color="auto" w:fill="auto"/>
                <w:vAlign w:val="center"/>
              </w:tcPr>
              <w:p>
                <w:pPr>
                  <w:jc w:val="center"/>
                </w:pPr>
                <w:r>
                  <w:rPr>
                    <w:rFonts w:hint="eastAsia"/>
                  </w:rPr>
                  <w:t>本期减少</w:t>
                </w:r>
              </w:p>
            </w:tc>
          </w:sdtContent>
        </w:sdt>
        <w:tc>
          <w:tcPr>
            <w:tcW w:w="748" w:type="pct"/>
          </w:tcPr>
          <w:p>
            <w:pPr>
              <w:pStyle w:val="affffffffffffffffffffffffffffffffe"/>
            </w:pPr>
            <w:r>
              <w:rPr>
                <w:rFonts w:hint="eastAsia"/>
              </w:rPr>
              <w:t>外币报表折算差额</w:t>
            </w:r>
          </w:p>
        </w:tc>
        <w:sdt>
          <w:sdtPr>
            <w:tag w:val="_PLD_13d5e5df016d4921aa56218755dfb8f4"/>
            <w:id w:val="1060449127"/>
          </w:sdtPr>
          <w:sdtContent>
            <w:tc>
              <w:tcPr>
                <w:tcW w:w="748" w:type="pct"/>
                <w:shd w:val="clear" w:color="auto" w:fill="auto"/>
                <w:vAlign w:val="center"/>
              </w:tcPr>
              <w:p>
                <w:pPr>
                  <w:jc w:val="center"/>
                </w:pPr>
                <w:r>
                  <w:rPr>
                    <w:rFonts w:hint="eastAsia"/>
                  </w:rPr>
                  <w:t>期末余额</w:t>
                </w:r>
              </w:p>
            </w:tc>
          </w:sdtContent>
        </w:sdt>
      </w:tr>
      <w:tr>
        <w:tc>
          <w:tcPr>
            <w:tcW w:w="1215" w:type="pct"/>
            <w:shd w:val="clear" w:color="auto" w:fill="auto"/>
          </w:tcPr>
          <w:p>
            <w:pPr>
              <w:pStyle w:val="affffffffffffffffffffffffffffffffe"/>
            </w:pPr>
            <w:r>
              <w:rPr>
                <w:rFonts w:hint="eastAsia"/>
              </w:rPr>
              <w:t>1、基本养老保险</w:t>
            </w:r>
          </w:p>
        </w:tc>
        <w:tc>
          <w:tcPr>
            <w:tcW w:w="763" w:type="pct"/>
            <w:shd w:val="clear" w:color="auto" w:fill="auto"/>
            <w:vAlign w:val="center"/>
          </w:tcPr>
          <w:p>
            <w:pPr>
              <w:pStyle w:val="affffffffffffffffffffffffffffffffe"/>
              <w:jc w:val="right"/>
            </w:pPr>
            <w:r>
              <w:t>41,130</w:t>
            </w:r>
          </w:p>
        </w:tc>
        <w:tc>
          <w:tcPr>
            <w:tcW w:w="756" w:type="pct"/>
            <w:shd w:val="clear" w:color="auto" w:fill="auto"/>
            <w:vAlign w:val="center"/>
          </w:tcPr>
          <w:p>
            <w:pPr>
              <w:pStyle w:val="affffffffffffffffffffffffffffffffe"/>
              <w:jc w:val="right"/>
            </w:pPr>
            <w:r>
              <w:t>1,762,346</w:t>
            </w:r>
          </w:p>
        </w:tc>
        <w:tc>
          <w:tcPr>
            <w:tcW w:w="770" w:type="pct"/>
            <w:shd w:val="clear" w:color="auto" w:fill="auto"/>
            <w:vAlign w:val="center"/>
          </w:tcPr>
          <w:p>
            <w:pPr>
              <w:pStyle w:val="affffffffffffffffffffffffffffffffe"/>
              <w:jc w:val="right"/>
            </w:pPr>
            <w:r>
              <w:t>1,760,798</w:t>
            </w:r>
          </w:p>
        </w:tc>
        <w:tc>
          <w:tcPr>
            <w:tcW w:w="748" w:type="pct"/>
            <w:vAlign w:val="center"/>
          </w:tcPr>
          <w:p>
            <w:pPr>
              <w:pStyle w:val="affffffffffffffffffffffffffffffffe"/>
              <w:jc w:val="right"/>
            </w:pPr>
          </w:p>
        </w:tc>
        <w:tc>
          <w:tcPr>
            <w:tcW w:w="748" w:type="pct"/>
            <w:shd w:val="clear" w:color="auto" w:fill="auto"/>
            <w:vAlign w:val="center"/>
          </w:tcPr>
          <w:p>
            <w:pPr>
              <w:jc w:val="right"/>
            </w:pPr>
            <w:r>
              <w:t>42,678</w:t>
            </w:r>
          </w:p>
        </w:tc>
      </w:tr>
      <w:tr>
        <w:tc>
          <w:tcPr>
            <w:tcW w:w="1215" w:type="pct"/>
            <w:shd w:val="clear" w:color="auto" w:fill="auto"/>
          </w:tcPr>
          <w:p>
            <w:pPr>
              <w:pStyle w:val="affffffffffffffffffffffffffffffffe"/>
            </w:pPr>
            <w:r>
              <w:rPr>
                <w:rFonts w:hint="eastAsia"/>
              </w:rPr>
              <w:t>2、失业保险费</w:t>
            </w:r>
          </w:p>
        </w:tc>
        <w:tc>
          <w:tcPr>
            <w:tcW w:w="763" w:type="pct"/>
            <w:shd w:val="clear" w:color="auto" w:fill="auto"/>
            <w:vAlign w:val="center"/>
          </w:tcPr>
          <w:p>
            <w:pPr>
              <w:jc w:val="right"/>
              <w:rPr>
                <w:sz w:val="24"/>
              </w:rPr>
            </w:pPr>
            <w:r>
              <w:t>6,578</w:t>
            </w:r>
          </w:p>
        </w:tc>
        <w:tc>
          <w:tcPr>
            <w:tcW w:w="756" w:type="pct"/>
            <w:shd w:val="clear" w:color="auto" w:fill="auto"/>
            <w:vAlign w:val="center"/>
          </w:tcPr>
          <w:p>
            <w:pPr>
              <w:pStyle w:val="affffffffffffffffffffffffffffffffe"/>
              <w:jc w:val="right"/>
            </w:pPr>
            <w:r>
              <w:t>932,705</w:t>
            </w:r>
          </w:p>
        </w:tc>
        <w:tc>
          <w:tcPr>
            <w:tcW w:w="770" w:type="pct"/>
            <w:shd w:val="clear" w:color="auto" w:fill="auto"/>
            <w:vAlign w:val="center"/>
          </w:tcPr>
          <w:p>
            <w:pPr>
              <w:pStyle w:val="affffffffffffffffffffffffffffffffe"/>
              <w:jc w:val="right"/>
            </w:pPr>
            <w:r>
              <w:t>932,002</w:t>
            </w:r>
          </w:p>
        </w:tc>
        <w:tc>
          <w:tcPr>
            <w:tcW w:w="748" w:type="pct"/>
            <w:vAlign w:val="center"/>
          </w:tcPr>
          <w:p>
            <w:pPr>
              <w:pStyle w:val="affffffffffffffffffffffffffffffffe"/>
              <w:jc w:val="right"/>
            </w:pPr>
          </w:p>
        </w:tc>
        <w:tc>
          <w:tcPr>
            <w:tcW w:w="748" w:type="pct"/>
            <w:shd w:val="clear" w:color="auto" w:fill="auto"/>
            <w:vAlign w:val="center"/>
          </w:tcPr>
          <w:p>
            <w:pPr>
              <w:jc w:val="right"/>
            </w:pPr>
            <w:r>
              <w:t>7,281</w:t>
            </w:r>
          </w:p>
        </w:tc>
      </w:tr>
      <w:tr>
        <w:tc>
          <w:tcPr>
            <w:tcW w:w="1215" w:type="pct"/>
            <w:shd w:val="clear" w:color="auto" w:fill="auto"/>
          </w:tcPr>
          <w:p>
            <w:pPr>
              <w:pStyle w:val="affffffffffffffffffffffffffffffffe"/>
            </w:pPr>
            <w:r>
              <w:rPr>
                <w:rFonts w:hint="eastAsia"/>
              </w:rPr>
              <w:t>3、企业年金缴费</w:t>
            </w:r>
          </w:p>
        </w:tc>
        <w:tc>
          <w:tcPr>
            <w:tcW w:w="763" w:type="pct"/>
            <w:shd w:val="clear" w:color="auto" w:fill="auto"/>
            <w:vAlign w:val="center"/>
          </w:tcPr>
          <w:p>
            <w:pPr>
              <w:jc w:val="right"/>
              <w:rPr>
                <w:sz w:val="24"/>
              </w:rPr>
            </w:pPr>
            <w:r>
              <w:t>8,177</w:t>
            </w:r>
          </w:p>
        </w:tc>
        <w:tc>
          <w:tcPr>
            <w:tcW w:w="756" w:type="pct"/>
            <w:shd w:val="clear" w:color="auto" w:fill="auto"/>
            <w:vAlign w:val="center"/>
          </w:tcPr>
          <w:p>
            <w:pPr>
              <w:pStyle w:val="affffffffffffffffffffffffffffffffe"/>
              <w:jc w:val="right"/>
            </w:pPr>
            <w:r>
              <w:t>74,639</w:t>
            </w:r>
          </w:p>
        </w:tc>
        <w:tc>
          <w:tcPr>
            <w:tcW w:w="770" w:type="pct"/>
            <w:shd w:val="clear" w:color="auto" w:fill="auto"/>
            <w:vAlign w:val="center"/>
          </w:tcPr>
          <w:p>
            <w:pPr>
              <w:pStyle w:val="affffffffffffffffffffffffffffffffe"/>
              <w:jc w:val="right"/>
            </w:pPr>
            <w:r>
              <w:t>76,880</w:t>
            </w:r>
          </w:p>
        </w:tc>
        <w:tc>
          <w:tcPr>
            <w:tcW w:w="748" w:type="pct"/>
            <w:vAlign w:val="center"/>
          </w:tcPr>
          <w:p>
            <w:pPr>
              <w:pStyle w:val="affffffffffffffffffffffffffffffffe"/>
              <w:jc w:val="right"/>
            </w:pPr>
          </w:p>
        </w:tc>
        <w:tc>
          <w:tcPr>
            <w:tcW w:w="748" w:type="pct"/>
            <w:shd w:val="clear" w:color="auto" w:fill="auto"/>
            <w:vAlign w:val="center"/>
          </w:tcPr>
          <w:p>
            <w:pPr>
              <w:jc w:val="right"/>
            </w:pPr>
            <w:r>
              <w:t>5,936</w:t>
            </w:r>
          </w:p>
        </w:tc>
      </w:tr>
      <w:tr>
        <w:tc>
          <w:tcPr>
            <w:tcW w:w="1215" w:type="pct"/>
            <w:shd w:val="clear" w:color="auto" w:fill="auto"/>
            <w:vAlign w:val="center"/>
          </w:tcPr>
          <w:p>
            <w:pPr>
              <w:jc w:val="center"/>
            </w:pPr>
            <w:r>
              <w:rPr>
                <w:rFonts w:hint="eastAsia"/>
              </w:rPr>
              <w:t>合计</w:t>
            </w:r>
          </w:p>
        </w:tc>
        <w:tc>
          <w:tcPr>
            <w:tcW w:w="763" w:type="pct"/>
            <w:shd w:val="clear" w:color="auto" w:fill="auto"/>
            <w:vAlign w:val="center"/>
          </w:tcPr>
          <w:p>
            <w:pPr>
              <w:jc w:val="right"/>
            </w:pPr>
            <w:r>
              <w:t>55,885</w:t>
            </w:r>
          </w:p>
        </w:tc>
        <w:tc>
          <w:tcPr>
            <w:tcW w:w="756" w:type="pct"/>
            <w:shd w:val="clear" w:color="auto" w:fill="auto"/>
            <w:vAlign w:val="center"/>
          </w:tcPr>
          <w:p>
            <w:pPr>
              <w:jc w:val="right"/>
            </w:pPr>
            <w:r>
              <w:t>2,769,690</w:t>
            </w:r>
          </w:p>
        </w:tc>
        <w:tc>
          <w:tcPr>
            <w:tcW w:w="770" w:type="pct"/>
            <w:shd w:val="clear" w:color="auto" w:fill="auto"/>
            <w:vAlign w:val="center"/>
          </w:tcPr>
          <w:p>
            <w:pPr>
              <w:jc w:val="right"/>
            </w:pPr>
            <w:r>
              <w:t>2,769,680</w:t>
            </w:r>
          </w:p>
        </w:tc>
        <w:tc>
          <w:tcPr>
            <w:tcW w:w="748" w:type="pct"/>
            <w:vAlign w:val="center"/>
          </w:tcPr>
          <w:p>
            <w:pPr>
              <w:jc w:val="right"/>
            </w:pPr>
          </w:p>
        </w:tc>
        <w:tc>
          <w:tcPr>
            <w:tcW w:w="748" w:type="pct"/>
            <w:shd w:val="clear" w:color="auto" w:fill="auto"/>
            <w:vAlign w:val="center"/>
          </w:tcPr>
          <w:p>
            <w:pPr>
              <w:jc w:val="right"/>
            </w:pPr>
            <w:r>
              <w:t>55,895</w:t>
            </w:r>
          </w:p>
        </w:tc>
      </w:tr>
    </w:tbl>
    <w:p>
      <w:pPr>
        <w:autoSpaceDE w:val="0"/>
        <w:autoSpaceDN w:val="0"/>
        <w:adjustRightInd w:val="0"/>
        <w:rPr>
          <w:szCs w:val="21"/>
        </w:rPr>
      </w:pPr>
    </w:p>
    <w:p>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878592859"/>
        <w:placeholder>
          <w:docPart w:val="GBC22222222222222222222222222222"/>
        </w:placeholder>
      </w:sdtPr>
      <w:sdtContent>
        <w:p>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应交税费</w:t>
      </w:r>
    </w:p>
    <w:sdt>
      <w:sdtPr>
        <w:alias w:val="是否适用：应交税费[双击切换]"/>
        <w:tag w:val="_GBC_2ed6216b8f4c4523a1de5c2628cc02a2"/>
        <w:id w:val="-173115248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交税费"/>
          <w:tag w:val="_GBC_9fe49c1b8a984180ae11c305f9fe5484"/>
          <w:id w:val="16968106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应交税费"/>
          <w:tag w:val="_GBC_aefdac676d8d4584b84883b8a3980e21"/>
          <w:id w:val="-1178266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6"/>
        <w:gridCol w:w="2931"/>
        <w:gridCol w:w="2936"/>
      </w:tblGrid>
      <w:tr>
        <w:trPr>
          <w:cantSplit/>
        </w:trPr>
        <w:sdt>
          <w:sdtPr>
            <w:tag w:val="_PLD_6c8ac0907441450eac644085301d6804"/>
            <w:id w:val="-1755963126"/>
          </w:sdtPr>
          <w:sdtContent>
            <w:tc>
              <w:tcPr>
                <w:tcW w:w="1675" w:type="pct"/>
                <w:vAlign w:val="center"/>
              </w:tcPr>
              <w:p>
                <w:pPr>
                  <w:ind w:right="105"/>
                  <w:jc w:val="center"/>
                  <w:rPr>
                    <w:szCs w:val="21"/>
                  </w:rPr>
                </w:pPr>
                <w:r>
                  <w:rPr>
                    <w:rFonts w:hint="eastAsia"/>
                    <w:szCs w:val="21"/>
                  </w:rPr>
                  <w:t>项目</w:t>
                </w:r>
              </w:p>
            </w:tc>
          </w:sdtContent>
        </w:sdt>
        <w:sdt>
          <w:sdtPr>
            <w:tag w:val="_PLD_8dab1e5e153c4b93a2d18673e1365591"/>
            <w:id w:val="-930821925"/>
          </w:sdtPr>
          <w:sdtContent>
            <w:tc>
              <w:tcPr>
                <w:tcW w:w="1661" w:type="pct"/>
                <w:vAlign w:val="center"/>
              </w:tcPr>
              <w:p>
                <w:pPr>
                  <w:jc w:val="center"/>
                  <w:rPr>
                    <w:szCs w:val="21"/>
                  </w:rPr>
                </w:pPr>
                <w:r>
                  <w:rPr>
                    <w:rFonts w:hint="eastAsia"/>
                    <w:szCs w:val="21"/>
                  </w:rPr>
                  <w:t>期末余额</w:t>
                </w:r>
              </w:p>
            </w:tc>
          </w:sdtContent>
        </w:sdt>
        <w:sdt>
          <w:sdtPr>
            <w:tag w:val="_PLD_9793c5ba001a43cb914658d949d3dcec"/>
            <w:id w:val="-536971820"/>
          </w:sdtPr>
          <w:sdtContent>
            <w:tc>
              <w:tcPr>
                <w:tcW w:w="1664" w:type="pct"/>
                <w:vAlign w:val="center"/>
              </w:tcPr>
              <w:p>
                <w:pPr>
                  <w:jc w:val="center"/>
                  <w:rPr>
                    <w:szCs w:val="21"/>
                  </w:rPr>
                </w:pPr>
                <w:r>
                  <w:rPr>
                    <w:rFonts w:hint="eastAsia"/>
                    <w:szCs w:val="21"/>
                  </w:rPr>
                  <w:t>期初余额</w:t>
                </w:r>
              </w:p>
            </w:tc>
          </w:sdtContent>
        </w:sdt>
      </w:tr>
      <w:tr>
        <w:trPr>
          <w:cantSplit/>
        </w:trPr>
        <w:tc>
          <w:tcPr>
            <w:tcW w:w="1675" w:type="pct"/>
            <w:shd w:val="clear" w:color="auto" w:fill="auto"/>
            <w:vAlign w:val="center"/>
          </w:tcPr>
          <w:p>
            <w:pPr>
              <w:rPr>
                <w:color w:val="000000"/>
                <w:sz w:val="18"/>
                <w:szCs w:val="22"/>
              </w:rPr>
            </w:pPr>
            <w:r>
              <w:rPr>
                <w:rFonts w:hint="eastAsia"/>
                <w:color w:val="000000"/>
                <w:sz w:val="18"/>
                <w:szCs w:val="22"/>
              </w:rPr>
              <w:t>企业所得税</w:t>
            </w:r>
          </w:p>
        </w:tc>
        <w:tc>
          <w:tcPr>
            <w:tcW w:w="1661" w:type="pct"/>
            <w:shd w:val="clear" w:color="auto" w:fill="auto"/>
            <w:vAlign w:val="center"/>
          </w:tcPr>
          <w:p>
            <w:pPr>
              <w:pStyle w:val="affffffffffffffffffffffffffffffffe"/>
              <w:jc w:val="right"/>
            </w:pPr>
            <w:r>
              <w:t>1,184,089</w:t>
            </w:r>
          </w:p>
        </w:tc>
        <w:tc>
          <w:tcPr>
            <w:tcW w:w="1664" w:type="pct"/>
            <w:shd w:val="clear" w:color="auto" w:fill="auto"/>
            <w:vAlign w:val="center"/>
          </w:tcPr>
          <w:p>
            <w:pPr>
              <w:pStyle w:val="affffffffffffffffffffffffffffffffe"/>
              <w:jc w:val="right"/>
            </w:pPr>
            <w:r>
              <w:t>2,613,952</w:t>
            </w:r>
          </w:p>
        </w:tc>
      </w:tr>
      <w:tr>
        <w:trPr>
          <w:cantSplit/>
        </w:trPr>
        <w:tc>
          <w:tcPr>
            <w:tcW w:w="1675" w:type="pct"/>
            <w:shd w:val="clear" w:color="auto" w:fill="auto"/>
            <w:vAlign w:val="center"/>
          </w:tcPr>
          <w:p>
            <w:pPr>
              <w:rPr>
                <w:color w:val="000000"/>
                <w:sz w:val="18"/>
                <w:szCs w:val="22"/>
              </w:rPr>
            </w:pPr>
            <w:r>
              <w:rPr>
                <w:rFonts w:hint="eastAsia"/>
                <w:color w:val="000000"/>
                <w:sz w:val="18"/>
                <w:szCs w:val="22"/>
              </w:rPr>
              <w:t>个人所得税</w:t>
            </w:r>
          </w:p>
        </w:tc>
        <w:tc>
          <w:tcPr>
            <w:tcW w:w="1661" w:type="pct"/>
            <w:shd w:val="clear" w:color="auto" w:fill="auto"/>
            <w:vAlign w:val="center"/>
          </w:tcPr>
          <w:p>
            <w:pPr>
              <w:pStyle w:val="affffffffffffffffffffffffffffffffe"/>
              <w:jc w:val="right"/>
            </w:pPr>
            <w:r>
              <w:t>113,480</w:t>
            </w:r>
          </w:p>
        </w:tc>
        <w:tc>
          <w:tcPr>
            <w:tcW w:w="1664" w:type="pct"/>
            <w:shd w:val="clear" w:color="auto" w:fill="auto"/>
            <w:vAlign w:val="center"/>
          </w:tcPr>
          <w:p>
            <w:pPr>
              <w:pStyle w:val="affffffffffffffffffffffffffffffffe"/>
              <w:jc w:val="right"/>
            </w:pPr>
            <w:r>
              <w:t>530,411</w:t>
            </w:r>
          </w:p>
        </w:tc>
      </w:tr>
      <w:tr>
        <w:trPr>
          <w:cantSplit/>
        </w:trPr>
        <w:tc>
          <w:tcPr>
            <w:tcW w:w="1675" w:type="pct"/>
            <w:shd w:val="clear" w:color="auto" w:fill="auto"/>
            <w:vAlign w:val="center"/>
          </w:tcPr>
          <w:p>
            <w:pPr>
              <w:rPr>
                <w:color w:val="000000"/>
                <w:sz w:val="18"/>
                <w:szCs w:val="22"/>
              </w:rPr>
            </w:pPr>
            <w:r>
              <w:rPr>
                <w:rFonts w:hint="eastAsia"/>
                <w:color w:val="000000"/>
                <w:sz w:val="18"/>
                <w:szCs w:val="22"/>
              </w:rPr>
              <w:t>资源税</w:t>
            </w:r>
          </w:p>
        </w:tc>
        <w:tc>
          <w:tcPr>
            <w:tcW w:w="1661" w:type="pct"/>
            <w:shd w:val="clear" w:color="auto" w:fill="auto"/>
            <w:vAlign w:val="center"/>
          </w:tcPr>
          <w:p>
            <w:pPr>
              <w:pStyle w:val="affffffffffffffffffffffffffffffffe"/>
              <w:jc w:val="right"/>
            </w:pPr>
            <w:r>
              <w:t>256,229</w:t>
            </w:r>
          </w:p>
        </w:tc>
        <w:tc>
          <w:tcPr>
            <w:tcW w:w="1664" w:type="pct"/>
            <w:shd w:val="clear" w:color="auto" w:fill="auto"/>
            <w:vAlign w:val="center"/>
          </w:tcPr>
          <w:p>
            <w:pPr>
              <w:pStyle w:val="affffffffffffffffffffffffffffffffe"/>
              <w:jc w:val="right"/>
            </w:pPr>
            <w:r>
              <w:t>301,737</w:t>
            </w:r>
          </w:p>
        </w:tc>
      </w:tr>
      <w:tr>
        <w:trPr>
          <w:cantSplit/>
        </w:trPr>
        <w:tc>
          <w:tcPr>
            <w:tcW w:w="1675" w:type="pct"/>
            <w:shd w:val="clear" w:color="auto" w:fill="auto"/>
            <w:vAlign w:val="center"/>
          </w:tcPr>
          <w:p>
            <w:pPr>
              <w:rPr>
                <w:color w:val="000000"/>
                <w:sz w:val="18"/>
                <w:szCs w:val="22"/>
              </w:rPr>
            </w:pPr>
            <w:r>
              <w:rPr>
                <w:rFonts w:hint="eastAsia"/>
                <w:color w:val="000000"/>
                <w:sz w:val="18"/>
                <w:szCs w:val="22"/>
              </w:rPr>
              <w:t>增值税</w:t>
            </w:r>
          </w:p>
        </w:tc>
        <w:tc>
          <w:tcPr>
            <w:tcW w:w="1661" w:type="pct"/>
            <w:shd w:val="clear" w:color="auto" w:fill="auto"/>
            <w:vAlign w:val="center"/>
          </w:tcPr>
          <w:p>
            <w:pPr>
              <w:pStyle w:val="affffffffffffffffffffffffffffffffe"/>
              <w:jc w:val="right"/>
            </w:pPr>
            <w:r>
              <w:t>349,795</w:t>
            </w:r>
          </w:p>
        </w:tc>
        <w:tc>
          <w:tcPr>
            <w:tcW w:w="1664" w:type="pct"/>
            <w:shd w:val="clear" w:color="auto" w:fill="auto"/>
            <w:vAlign w:val="center"/>
          </w:tcPr>
          <w:p>
            <w:pPr>
              <w:pStyle w:val="affffffffffffffffffffffffffffffffe"/>
              <w:jc w:val="right"/>
            </w:pPr>
            <w:r>
              <w:t>249,472</w:t>
            </w:r>
          </w:p>
        </w:tc>
      </w:tr>
      <w:tr>
        <w:trPr>
          <w:cantSplit/>
        </w:trPr>
        <w:tc>
          <w:tcPr>
            <w:tcW w:w="1675" w:type="pct"/>
            <w:shd w:val="clear" w:color="auto" w:fill="auto"/>
            <w:vAlign w:val="center"/>
          </w:tcPr>
          <w:p>
            <w:pPr>
              <w:rPr>
                <w:color w:val="000000"/>
                <w:sz w:val="18"/>
                <w:szCs w:val="22"/>
              </w:rPr>
            </w:pPr>
            <w:r>
              <w:rPr>
                <w:rFonts w:hint="eastAsia"/>
                <w:color w:val="000000"/>
                <w:sz w:val="18"/>
                <w:szCs w:val="22"/>
              </w:rPr>
              <w:t>消费税</w:t>
            </w:r>
          </w:p>
        </w:tc>
        <w:tc>
          <w:tcPr>
            <w:tcW w:w="1661" w:type="pct"/>
            <w:shd w:val="clear" w:color="auto" w:fill="auto"/>
            <w:vAlign w:val="center"/>
          </w:tcPr>
          <w:p>
            <w:pPr>
              <w:pStyle w:val="affffffffffffffffffffffffffffffffe"/>
              <w:jc w:val="right"/>
            </w:pPr>
            <w:r>
              <w:t>42,191</w:t>
            </w:r>
          </w:p>
        </w:tc>
        <w:tc>
          <w:tcPr>
            <w:tcW w:w="1664" w:type="pct"/>
            <w:shd w:val="clear" w:color="auto" w:fill="auto"/>
            <w:vAlign w:val="center"/>
          </w:tcPr>
          <w:p>
            <w:pPr>
              <w:pStyle w:val="affffffffffffffffffffffffffffffffe"/>
              <w:jc w:val="right"/>
            </w:pPr>
            <w:r>
              <w:t>47,611</w:t>
            </w:r>
          </w:p>
        </w:tc>
      </w:tr>
      <w:tr>
        <w:trPr>
          <w:cantSplit/>
        </w:trPr>
        <w:tc>
          <w:tcPr>
            <w:tcW w:w="1675" w:type="pct"/>
            <w:shd w:val="clear" w:color="auto" w:fill="auto"/>
            <w:vAlign w:val="center"/>
          </w:tcPr>
          <w:p>
            <w:pPr>
              <w:rPr>
                <w:color w:val="000000"/>
                <w:sz w:val="18"/>
                <w:szCs w:val="22"/>
              </w:rPr>
            </w:pPr>
            <w:r>
              <w:rPr>
                <w:rFonts w:hint="eastAsia"/>
                <w:color w:val="000000"/>
                <w:sz w:val="18"/>
                <w:szCs w:val="22"/>
              </w:rPr>
              <w:t>其他</w:t>
            </w:r>
          </w:p>
        </w:tc>
        <w:tc>
          <w:tcPr>
            <w:tcW w:w="1661" w:type="pct"/>
            <w:shd w:val="clear" w:color="auto" w:fill="auto"/>
            <w:vAlign w:val="center"/>
          </w:tcPr>
          <w:p>
            <w:pPr>
              <w:pStyle w:val="affffffffffffffffffffffffffffffffe"/>
              <w:jc w:val="right"/>
            </w:pPr>
            <w:r>
              <w:t>279,851</w:t>
            </w:r>
          </w:p>
        </w:tc>
        <w:tc>
          <w:tcPr>
            <w:tcW w:w="1664" w:type="pct"/>
            <w:shd w:val="clear" w:color="auto" w:fill="auto"/>
            <w:vAlign w:val="center"/>
          </w:tcPr>
          <w:p>
            <w:pPr>
              <w:pStyle w:val="affffffffffffffffffffffffffffffffe"/>
              <w:jc w:val="right"/>
            </w:pPr>
            <w:r>
              <w:t>307,276</w:t>
            </w:r>
          </w:p>
        </w:tc>
      </w:tr>
      <w:tr>
        <w:trPr>
          <w:cantSplit/>
        </w:trPr>
        <w:tc>
          <w:tcPr>
            <w:tcW w:w="1675" w:type="pct"/>
            <w:vAlign w:val="center"/>
          </w:tcPr>
          <w:p>
            <w:pPr>
              <w:ind w:right="105"/>
              <w:jc w:val="center"/>
              <w:rPr>
                <w:szCs w:val="21"/>
              </w:rPr>
            </w:pPr>
            <w:r>
              <w:rPr>
                <w:rFonts w:hint="eastAsia"/>
                <w:szCs w:val="21"/>
              </w:rPr>
              <w:t>合计</w:t>
            </w:r>
          </w:p>
        </w:tc>
        <w:tc>
          <w:tcPr>
            <w:tcW w:w="1661" w:type="pct"/>
            <w:vAlign w:val="center"/>
          </w:tcPr>
          <w:p>
            <w:pPr>
              <w:ind w:right="73"/>
              <w:jc w:val="right"/>
              <w:rPr>
                <w:szCs w:val="21"/>
              </w:rPr>
            </w:pPr>
            <w:r>
              <w:rPr>
                <w:szCs w:val="21"/>
              </w:rPr>
              <w:t>2,225,635</w:t>
            </w:r>
          </w:p>
        </w:tc>
        <w:tc>
          <w:tcPr>
            <w:tcW w:w="1664" w:type="pct"/>
            <w:vAlign w:val="center"/>
          </w:tcPr>
          <w:p>
            <w:pPr>
              <w:jc w:val="right"/>
              <w:rPr>
                <w:szCs w:val="21"/>
              </w:rPr>
            </w:pPr>
            <w:r>
              <w:rPr>
                <w:szCs w:val="21"/>
              </w:rPr>
              <w:t>4,050,459</w:t>
            </w:r>
          </w:p>
        </w:tc>
      </w:tr>
    </w:tbl>
    <w:p>
      <w:pPr>
        <w:rPr>
          <w:szCs w:val="21"/>
        </w:rPr>
      </w:pPr>
      <w:r>
        <w:rPr>
          <w:rFonts w:hint="eastAsia"/>
          <w:szCs w:val="21"/>
        </w:rPr>
        <w:t>其他说明：</w:t>
      </w:r>
    </w:p>
    <w:sdt>
      <w:sdtPr>
        <w:rPr>
          <w:szCs w:val="21"/>
        </w:rPr>
        <w:alias w:val="应交税金的说明"/>
        <w:tag w:val="_GBC_e365cc8f407645ca84ccf91263d3cc28"/>
        <w:id w:val="-1739167358"/>
        <w:placeholder>
          <w:docPart w:val="GBC22222222222222222222222222222"/>
        </w:placeholder>
      </w:sdtPr>
      <w:sdtContent>
        <w:p>
          <w:pPr>
            <w:rPr>
              <w:szCs w:val="21"/>
            </w:rPr>
          </w:pPr>
          <w:r>
            <w:rPr>
              <w:szCs w:val="21"/>
            </w:rPr>
            <w:t>-</w:t>
          </w:r>
        </w:p>
      </w:sdtContent>
    </w:sdt>
    <w:p>
      <w:pPr>
        <w:rPr>
          <w:szCs w:val="21"/>
        </w:rPr>
      </w:pPr>
    </w:p>
    <w:p>
      <w:pPr>
        <w:pStyle w:val="affffffffffffffffff6"/>
        <w:numPr>
          <w:ilvl w:val="0"/>
          <w:numId w:val="103"/>
        </w:numPr>
        <w:tabs>
          <w:tab w:val="left" w:pos="504"/>
        </w:tabs>
        <w:rPr>
          <w:szCs w:val="21"/>
        </w:rPr>
      </w:pPr>
      <w:r>
        <w:rPr>
          <w:rFonts w:hint="eastAsia"/>
          <w:szCs w:val="21"/>
        </w:rPr>
        <w:t>其他应付款</w:t>
      </w:r>
    </w:p>
    <w:p>
      <w:pPr>
        <w:pStyle w:val="afffffffffffffffffffffffffffffffff1"/>
        <w:numPr>
          <w:ilvl w:val="0"/>
          <w:numId w:val="178"/>
        </w:numPr>
      </w:pPr>
      <w:bookmarkStart w:id="447" w:name="_Hlk532910042"/>
      <w:r>
        <w:rPr>
          <w:rFonts w:hint="eastAsia"/>
        </w:rPr>
        <w:t>项目列示</w:t>
      </w:r>
    </w:p>
    <w:sdt>
      <w:sdtPr>
        <w:alias w:val="是否适用：其他应付款分类列示[双击切换]"/>
        <w:tag w:val="_GBC_66f20e30acfe43c3b4edf860d086ad10"/>
        <w:id w:val="-2448826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付款分类列示"/>
          <w:tag w:val="_GBC_1d2c755c7a60470390b86f677f589d52"/>
          <w:id w:val="-6372730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其他应付款分类列示"/>
          <w:tag w:val="_GBC_54becc5fdf374134a56007701ad1c4e0"/>
          <w:id w:val="13960132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5"/>
        <w:gridCol w:w="2792"/>
        <w:gridCol w:w="2806"/>
      </w:tblGrid>
      <w:tr>
        <w:sdt>
          <w:sdtPr>
            <w:tag w:val="_PLD_5b32323c48c441e4832da1fe28654990"/>
            <w:id w:val="-402904640"/>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136998198"/>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963dd0fff1a644319fa667127e37c635"/>
            <w:id w:val="306670329"/>
          </w:sdtPr>
          <w:sdtContent>
            <w:tc>
              <w:tcPr>
                <w:tcW w:w="1590" w:type="pct"/>
                <w:shd w:val="clear" w:color="auto" w:fill="auto"/>
                <w:vAlign w:val="center"/>
              </w:tcPr>
              <w:p>
                <w:pPr>
                  <w:jc w:val="center"/>
                  <w:rPr>
                    <w:szCs w:val="21"/>
                  </w:rPr>
                </w:pPr>
                <w:r>
                  <w:rPr>
                    <w:rFonts w:hint="eastAsia"/>
                    <w:szCs w:val="21"/>
                  </w:rPr>
                  <w:t>期初余额</w:t>
                </w:r>
              </w:p>
            </w:tc>
          </w:sdtContent>
        </w:sdt>
      </w:tr>
      <w:tr>
        <w:tc>
          <w:tcPr>
            <w:tcW w:w="1828" w:type="pct"/>
            <w:shd w:val="clear" w:color="auto" w:fill="auto"/>
            <w:vAlign w:val="center"/>
          </w:tcPr>
          <w:p>
            <w:pPr>
              <w:spacing w:line="360" w:lineRule="exact"/>
              <w:rPr>
                <w:sz w:val="18"/>
                <w:szCs w:val="18"/>
              </w:rPr>
            </w:pPr>
            <w:r>
              <w:rPr>
                <w:rFonts w:hint="eastAsia"/>
                <w:sz w:val="18"/>
                <w:szCs w:val="18"/>
              </w:rPr>
              <w:t>应付股利</w:t>
            </w:r>
          </w:p>
        </w:tc>
        <w:tc>
          <w:tcPr>
            <w:tcW w:w="1582" w:type="pct"/>
            <w:shd w:val="clear" w:color="auto" w:fill="auto"/>
            <w:vAlign w:val="center"/>
          </w:tcPr>
          <w:p>
            <w:pPr>
              <w:pStyle w:val="affffffffffffffffffffffffffffffffe"/>
              <w:jc w:val="right"/>
            </w:pPr>
            <w:r>
              <w:t>3,169,768</w:t>
            </w:r>
          </w:p>
        </w:tc>
        <w:tc>
          <w:tcPr>
            <w:tcW w:w="1590" w:type="pct"/>
            <w:shd w:val="clear" w:color="auto" w:fill="auto"/>
            <w:vAlign w:val="center"/>
          </w:tcPr>
          <w:p>
            <w:pPr>
              <w:pStyle w:val="affffffffffffffffffffffffffffffffe"/>
              <w:jc w:val="right"/>
            </w:pPr>
            <w:r>
              <w:t>2,931,471</w:t>
            </w:r>
          </w:p>
        </w:tc>
      </w:tr>
      <w:tr>
        <w:tc>
          <w:tcPr>
            <w:tcW w:w="1828" w:type="pct"/>
            <w:shd w:val="clear" w:color="auto" w:fill="auto"/>
            <w:vAlign w:val="center"/>
          </w:tcPr>
          <w:p>
            <w:pPr>
              <w:spacing w:line="360" w:lineRule="exact"/>
              <w:rPr>
                <w:sz w:val="18"/>
                <w:szCs w:val="18"/>
              </w:rPr>
            </w:pPr>
            <w:r>
              <w:rPr>
                <w:rFonts w:hint="eastAsia"/>
                <w:sz w:val="18"/>
                <w:szCs w:val="18"/>
              </w:rPr>
              <w:t>其他应付款</w:t>
            </w:r>
          </w:p>
        </w:tc>
        <w:tc>
          <w:tcPr>
            <w:tcW w:w="1582" w:type="pct"/>
            <w:shd w:val="clear" w:color="auto" w:fill="auto"/>
            <w:vAlign w:val="center"/>
          </w:tcPr>
          <w:p>
            <w:pPr>
              <w:pStyle w:val="affffffffffffffffffffffffffffffffe"/>
              <w:jc w:val="right"/>
            </w:pPr>
            <w:r>
              <w:t>31,566,931</w:t>
            </w:r>
          </w:p>
        </w:tc>
        <w:tc>
          <w:tcPr>
            <w:tcW w:w="1590" w:type="pct"/>
            <w:shd w:val="clear" w:color="auto" w:fill="auto"/>
            <w:vAlign w:val="center"/>
          </w:tcPr>
          <w:p>
            <w:pPr>
              <w:pStyle w:val="affffffffffffffffffffffffffffffffe"/>
              <w:jc w:val="right"/>
            </w:pPr>
            <w:r>
              <w:t>50,456,059</w:t>
            </w:r>
          </w:p>
        </w:tc>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lastRenderedPageBreak/>
              <w:t>合计</w:t>
            </w:r>
          </w:p>
        </w:tc>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right"/>
              <w:rPr>
                <w:szCs w:val="21"/>
              </w:rPr>
            </w:pPr>
            <w:r>
              <w:rPr>
                <w:szCs w:val="21"/>
              </w:rPr>
              <w:t>34,736,699</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szCs w:val="21"/>
              </w:rPr>
            </w:pPr>
            <w:r>
              <w:rPr>
                <w:szCs w:val="21"/>
              </w:rPr>
              <w:t>53,387,530</w:t>
            </w:r>
          </w:p>
        </w:tc>
      </w:tr>
    </w:tbl>
    <w:p>
      <w:pPr>
        <w:pStyle w:val="affffffffffffffffffffffffffffffffe"/>
      </w:pPr>
    </w:p>
    <w:p>
      <w:pPr>
        <w:rPr>
          <w:szCs w:val="21"/>
        </w:rPr>
      </w:pPr>
      <w:bookmarkStart w:id="448" w:name="_Hlk155097683"/>
      <w:r>
        <w:rPr>
          <w:rFonts w:hint="eastAsia"/>
          <w:szCs w:val="21"/>
        </w:rPr>
        <w:t>其他说明：</w:t>
      </w:r>
    </w:p>
    <w:sdt>
      <w:sdtPr>
        <w:rPr>
          <w:szCs w:val="21"/>
        </w:rPr>
        <w:alias w:val="是否适用：其他应付款分类列示其他说明[双击切换]"/>
        <w:tag w:val="_GBC_9cfb2316deee44a8a3605ab376f15408"/>
        <w:id w:val="1001774743"/>
        <w:placeholder>
          <w:docPart w:val="GBC22222222222222222222222222222"/>
        </w:placeholder>
      </w:sdtPr>
      <w:sdtContent>
        <w:p>
          <w:pPr>
            <w:pStyle w:val="affffffffffffffffffffffffffffffffe"/>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0"/>
          <w:numId w:val="178"/>
        </w:numPr>
        <w:rPr>
          <w:rFonts w:ascii="宋体" w:eastAsia="宋体" w:hAnsi="宋体" w:cs="宋体"/>
          <w:kern w:val="0"/>
          <w:szCs w:val="24"/>
        </w:rPr>
      </w:pPr>
      <w:r>
        <w:rPr>
          <w:rFonts w:ascii="宋体" w:eastAsia="宋体" w:hAnsi="宋体" w:cs="宋体" w:hint="eastAsia"/>
          <w:kern w:val="0"/>
          <w:szCs w:val="24"/>
        </w:rPr>
        <w:t>应付利息</w:t>
      </w:r>
    </w:p>
    <w:p>
      <w:pPr>
        <w:pStyle w:val="affffffffffffffffffffffffffffffffe"/>
      </w:pPr>
      <w:r>
        <w:rPr>
          <w:rFonts w:hint="eastAsia"/>
        </w:rPr>
        <w:t>分类列示</w:t>
      </w:r>
    </w:p>
    <w:sdt>
      <w:sdtPr>
        <w:alias w:val="是否适用：应付利息[双击切换]"/>
        <w:tag w:val="_GBC_563016e83d32408f90ee8ae140b7dccd"/>
        <w:id w:val="-130708726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逾期的重要应付利息：</w:t>
      </w:r>
    </w:p>
    <w:sdt>
      <w:sdtPr>
        <w:rPr>
          <w:szCs w:val="21"/>
        </w:rPr>
        <w:alias w:val="是否适用：重要的已逾期未支付的利息情况[双击切换]"/>
        <w:tag w:val="_GBC_e97342df449a4b51897b93180a76915c"/>
        <w:id w:val="22758698"/>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pacing w:before="60" w:after="60"/>
        <w:rPr>
          <w:szCs w:val="21"/>
        </w:rPr>
      </w:pPr>
      <w:r>
        <w:rPr>
          <w:rFonts w:hint="eastAsia"/>
          <w:szCs w:val="21"/>
        </w:rPr>
        <w:t>其他说明：</w:t>
      </w:r>
    </w:p>
    <w:sdt>
      <w:sdtPr>
        <w:rPr>
          <w:szCs w:val="21"/>
        </w:rPr>
        <w:alias w:val="是否适用：应付利息说明[双击切换]"/>
        <w:tag w:val="_GBC_8e7eb675343843e89996290865d02478"/>
        <w:id w:val="-1239855259"/>
        <w:placeholder>
          <w:docPart w:val="GBC22222222222222222222222222222"/>
        </w:placeholder>
      </w:sdt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78"/>
        </w:numPr>
        <w:rPr>
          <w:rFonts w:ascii="宋体" w:eastAsia="宋体" w:hAnsi="宋体" w:cs="宋体"/>
          <w:kern w:val="0"/>
          <w:szCs w:val="24"/>
        </w:rPr>
      </w:pPr>
      <w:r>
        <w:rPr>
          <w:rFonts w:ascii="宋体" w:eastAsia="宋体" w:hAnsi="宋体" w:cs="宋体" w:hint="eastAsia"/>
          <w:kern w:val="0"/>
          <w:szCs w:val="24"/>
        </w:rPr>
        <w:t>应付股利</w:t>
      </w:r>
    </w:p>
    <w:p>
      <w:pPr>
        <w:pStyle w:val="affffffffffffffffffffffffffffffffe"/>
      </w:pPr>
      <w:r>
        <w:rPr>
          <w:rFonts w:hint="eastAsia"/>
        </w:rPr>
        <w:t>分类列示</w:t>
      </w:r>
    </w:p>
    <w:sdt>
      <w:sdtPr>
        <w:alias w:val="是否适用：应付股利[双击切换]"/>
        <w:tag w:val="_GBC_b5ae3881f6d849679d4053b7e1707366"/>
        <w:id w:val="98651595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股利"/>
          <w:tag w:val="_GBC_746e24ac62424d15a96488b86eb826bf"/>
          <w:id w:val="-8158022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应付股利"/>
          <w:tag w:val="_GBC_c18d5382c5f94daeb6547452b4d37f05"/>
          <w:id w:val="-17073982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835"/>
        <w:gridCol w:w="2993"/>
        <w:gridCol w:w="2995"/>
      </w:tblGrid>
      <w:tr>
        <w:trPr>
          <w:cantSplit/>
        </w:trPr>
        <w:sdt>
          <w:sdtPr>
            <w:tag w:val="_PLD_88e24e44527e4710873d9194ba96a0df"/>
            <w:id w:val="1549570319"/>
          </w:sdtPr>
          <w:sdtContent>
            <w:tc>
              <w:tcPr>
                <w:tcW w:w="1607" w:type="pct"/>
                <w:vAlign w:val="center"/>
              </w:tcPr>
              <w:p>
                <w:pPr>
                  <w:ind w:right="105"/>
                  <w:jc w:val="center"/>
                  <w:rPr>
                    <w:szCs w:val="21"/>
                  </w:rPr>
                </w:pPr>
                <w:r>
                  <w:rPr>
                    <w:rFonts w:hint="eastAsia"/>
                    <w:szCs w:val="21"/>
                  </w:rPr>
                  <w:t>项目</w:t>
                </w:r>
              </w:p>
            </w:tc>
          </w:sdtContent>
        </w:sdt>
        <w:sdt>
          <w:sdtPr>
            <w:tag w:val="_PLD_af903224d39d4058972c7eba8a903356"/>
            <w:id w:val="1500545168"/>
          </w:sdtPr>
          <w:sdtContent>
            <w:tc>
              <w:tcPr>
                <w:tcW w:w="1696" w:type="pct"/>
                <w:vAlign w:val="center"/>
              </w:tcPr>
              <w:p>
                <w:pPr>
                  <w:jc w:val="center"/>
                  <w:rPr>
                    <w:szCs w:val="21"/>
                  </w:rPr>
                </w:pPr>
                <w:r>
                  <w:rPr>
                    <w:rFonts w:hint="eastAsia"/>
                    <w:szCs w:val="21"/>
                  </w:rPr>
                  <w:t>期末余额</w:t>
                </w:r>
              </w:p>
            </w:tc>
          </w:sdtContent>
        </w:sdt>
        <w:sdt>
          <w:sdtPr>
            <w:tag w:val="_PLD_11459cf9081a4b309da14403cad71071"/>
            <w:id w:val="1892695394"/>
          </w:sdtPr>
          <w:sdtContent>
            <w:tc>
              <w:tcPr>
                <w:tcW w:w="1697" w:type="pct"/>
                <w:vAlign w:val="center"/>
              </w:tcPr>
              <w:p>
                <w:pPr>
                  <w:jc w:val="center"/>
                  <w:rPr>
                    <w:szCs w:val="21"/>
                  </w:rPr>
                </w:pPr>
                <w:r>
                  <w:rPr>
                    <w:rFonts w:hint="eastAsia"/>
                    <w:szCs w:val="21"/>
                  </w:rPr>
                  <w:t>期初余额</w:t>
                </w:r>
              </w:p>
            </w:tc>
          </w:sdtContent>
        </w:sdt>
      </w:tr>
      <w:tr>
        <w:trPr>
          <w:cantSplit/>
        </w:trPr>
        <w:tc>
          <w:tcPr>
            <w:tcW w:w="1607" w:type="pct"/>
            <w:vAlign w:val="center"/>
          </w:tcPr>
          <w:p>
            <w:pPr>
              <w:ind w:right="105"/>
              <w:rPr>
                <w:szCs w:val="21"/>
              </w:rPr>
            </w:pPr>
            <w:r>
              <w:rPr>
                <w:rFonts w:hint="eastAsia"/>
                <w:szCs w:val="21"/>
              </w:rPr>
              <w:t>普通股股利</w:t>
            </w:r>
          </w:p>
        </w:tc>
        <w:tc>
          <w:tcPr>
            <w:tcW w:w="1696" w:type="pct"/>
            <w:vAlign w:val="center"/>
          </w:tcPr>
          <w:p>
            <w:pPr>
              <w:pStyle w:val="affffffffffffffffffffffffffffffffe"/>
              <w:jc w:val="right"/>
            </w:pPr>
            <w:r>
              <w:t>3,169,768</w:t>
            </w:r>
          </w:p>
        </w:tc>
        <w:tc>
          <w:tcPr>
            <w:tcW w:w="1697" w:type="pct"/>
            <w:vAlign w:val="center"/>
          </w:tcPr>
          <w:p>
            <w:pPr>
              <w:pStyle w:val="affffffffffffffffffffffffffffffffe"/>
              <w:jc w:val="right"/>
            </w:pPr>
            <w:r>
              <w:t>2,931,471</w:t>
            </w:r>
          </w:p>
        </w:tc>
      </w:tr>
      <w:tr>
        <w:trPr>
          <w:cantSplit/>
        </w:trPr>
        <w:tc>
          <w:tcPr>
            <w:tcW w:w="1607" w:type="pct"/>
            <w:vAlign w:val="center"/>
          </w:tcPr>
          <w:p>
            <w:pPr>
              <w:ind w:right="105"/>
              <w:jc w:val="center"/>
              <w:rPr>
                <w:color w:val="000000" w:themeColor="text1"/>
                <w:szCs w:val="21"/>
              </w:rPr>
            </w:pPr>
            <w:r>
              <w:rPr>
                <w:rFonts w:hint="eastAsia"/>
                <w:color w:val="000000" w:themeColor="text1"/>
                <w:szCs w:val="21"/>
              </w:rPr>
              <w:t>合计</w:t>
            </w:r>
          </w:p>
        </w:tc>
        <w:tc>
          <w:tcPr>
            <w:tcW w:w="1696" w:type="pct"/>
            <w:vAlign w:val="center"/>
          </w:tcPr>
          <w:p>
            <w:pPr>
              <w:pStyle w:val="affffffffffffffffffffffffffffffffe"/>
              <w:jc w:val="right"/>
            </w:pPr>
            <w:r>
              <w:t>3,169,768</w:t>
            </w:r>
          </w:p>
        </w:tc>
        <w:tc>
          <w:tcPr>
            <w:tcW w:w="1697" w:type="pct"/>
            <w:vAlign w:val="center"/>
          </w:tcPr>
          <w:p>
            <w:pPr>
              <w:pStyle w:val="affffffffffffffffffffffffffffffffe"/>
              <w:jc w:val="right"/>
            </w:pPr>
            <w:r>
              <w:t>2,931,471</w:t>
            </w:r>
          </w:p>
        </w:tc>
      </w:tr>
    </w:tbl>
    <w:p>
      <w:pPr>
        <w:snapToGrid w:val="0"/>
        <w:rPr>
          <w:szCs w:val="21"/>
        </w:rPr>
      </w:pPr>
      <w:r>
        <w:rPr>
          <w:rFonts w:hint="eastAsia"/>
          <w:szCs w:val="21"/>
        </w:rPr>
        <w:t>其他说明，包括重要的超过</w:t>
      </w:r>
      <w:r>
        <w:rPr>
          <w:szCs w:val="21"/>
        </w:rPr>
        <w:t>1年未支付的应付股利，应披露未支付原因：</w:t>
      </w:r>
    </w:p>
    <w:p>
      <w:pPr>
        <w:snapToGrid w:val="0"/>
        <w:rPr>
          <w:szCs w:val="21"/>
        </w:rPr>
      </w:pPr>
      <w:sdt>
        <w:sdtPr>
          <w:rPr>
            <w:szCs w:val="21"/>
          </w:rPr>
          <w:alias w:val="应付股利的说明"/>
          <w:tag w:val="_GBC_9ce4b2e8b2314e3ab29de5513773410c"/>
          <w:id w:val="874040785"/>
          <w:placeholder>
            <w:docPart w:val="GBC22222222222222222222222222222"/>
          </w:placeholder>
        </w:sdtPr>
        <w:sdtContent>
          <w:r>
            <w:rPr>
              <w:szCs w:val="21"/>
            </w:rPr>
            <w:t>-</w:t>
          </w:r>
        </w:sdtContent>
      </w:sdt>
    </w:p>
    <w:p>
      <w:pPr>
        <w:snapToGrid w:val="0"/>
        <w:rPr>
          <w:szCs w:val="21"/>
        </w:rPr>
      </w:pPr>
    </w:p>
    <w:p>
      <w:pPr>
        <w:pStyle w:val="afffffffffffffffffffffffffffffffff1"/>
        <w:numPr>
          <w:ilvl w:val="0"/>
          <w:numId w:val="178"/>
        </w:numPr>
        <w:rPr>
          <w:rFonts w:ascii="宋体" w:eastAsia="宋体" w:hAnsi="宋体" w:cs="宋体"/>
          <w:kern w:val="0"/>
          <w:szCs w:val="24"/>
        </w:rPr>
      </w:pPr>
      <w:r>
        <w:rPr>
          <w:rFonts w:ascii="宋体" w:eastAsia="宋体" w:hAnsi="宋体" w:cs="宋体" w:hint="eastAsia"/>
          <w:kern w:val="0"/>
          <w:szCs w:val="24"/>
        </w:rPr>
        <w:t>其他应付款</w:t>
      </w:r>
    </w:p>
    <w:p>
      <w:pPr>
        <w:pStyle w:val="affffffffffffffffffffffffffffffffe"/>
      </w:pPr>
      <w:r>
        <w:rPr>
          <w:rFonts w:hint="eastAsia"/>
        </w:rPr>
        <w:t>按款项性质列示其他应付款</w:t>
      </w:r>
    </w:p>
    <w:sdt>
      <w:sdtPr>
        <w:alias w:val="是否适用：按款项性质列示其他应付款[双击切换]"/>
        <w:tag w:val="_GBC_57fbe084a94a43569e8618c84187e188"/>
        <w:id w:val="100440124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应付款情况"/>
          <w:tag w:val="_GBC_d726e1428c6749b29d7f0a192835a738"/>
          <w:id w:val="-18271200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其他应付款情况"/>
          <w:tag w:val="_GBC_d6d5ce55cea54bfdb348f465f935498d"/>
          <w:id w:val="-6841369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0"/>
        <w:gridCol w:w="2924"/>
        <w:gridCol w:w="3049"/>
      </w:tblGrid>
      <w:tr>
        <w:sdt>
          <w:sdtPr>
            <w:tag w:val="_PLD_93c8bd274adc4f10996e441415613a6a"/>
            <w:id w:val="2073852979"/>
          </w:sdtPr>
          <w:sdtContent>
            <w:tc>
              <w:tcPr>
                <w:tcW w:w="1615" w:type="pct"/>
                <w:shd w:val="clear" w:color="auto" w:fill="auto"/>
              </w:tcPr>
              <w:p>
                <w:pPr>
                  <w:jc w:val="center"/>
                  <w:rPr>
                    <w:szCs w:val="21"/>
                  </w:rPr>
                </w:pPr>
                <w:r>
                  <w:rPr>
                    <w:rFonts w:hint="eastAsia"/>
                    <w:szCs w:val="21"/>
                  </w:rPr>
                  <w:t>项目</w:t>
                </w:r>
              </w:p>
            </w:tc>
          </w:sdtContent>
        </w:sdt>
        <w:sdt>
          <w:sdtPr>
            <w:tag w:val="_PLD_a5c3f7ebd9dd4870a971a7b858fb9f49"/>
            <w:id w:val="-310246986"/>
          </w:sdtPr>
          <w:sdtContent>
            <w:tc>
              <w:tcPr>
                <w:tcW w:w="1657" w:type="pct"/>
                <w:shd w:val="clear" w:color="auto" w:fill="auto"/>
              </w:tcPr>
              <w:p>
                <w:pPr>
                  <w:jc w:val="center"/>
                  <w:rPr>
                    <w:szCs w:val="21"/>
                  </w:rPr>
                </w:pPr>
                <w:r>
                  <w:rPr>
                    <w:rFonts w:hint="eastAsia"/>
                    <w:szCs w:val="21"/>
                  </w:rPr>
                  <w:t>期末余额</w:t>
                </w:r>
              </w:p>
            </w:tc>
          </w:sdtContent>
        </w:sdt>
        <w:sdt>
          <w:sdtPr>
            <w:tag w:val="_PLD_f8823e49aba34d32b07cafa41f32e166"/>
            <w:id w:val="-541517431"/>
          </w:sdtPr>
          <w:sdtContent>
            <w:tc>
              <w:tcPr>
                <w:tcW w:w="1728" w:type="pct"/>
                <w:shd w:val="clear" w:color="auto" w:fill="auto"/>
              </w:tcPr>
              <w:p>
                <w:pPr>
                  <w:jc w:val="center"/>
                  <w:rPr>
                    <w:szCs w:val="21"/>
                  </w:rPr>
                </w:pPr>
                <w:r>
                  <w:rPr>
                    <w:rFonts w:hint="eastAsia"/>
                    <w:szCs w:val="21"/>
                  </w:rPr>
                  <w:t>期初余额</w:t>
                </w:r>
              </w:p>
            </w:tc>
          </w:sdtContent>
        </w:sdt>
      </w:tr>
      <w:tr>
        <w:tc>
          <w:tcPr>
            <w:tcW w:w="1615" w:type="pct"/>
            <w:shd w:val="clear" w:color="auto" w:fill="auto"/>
          </w:tcPr>
          <w:p>
            <w:pPr>
              <w:rPr>
                <w:szCs w:val="21"/>
              </w:rPr>
            </w:pPr>
            <w:r>
              <w:t>吸收存款</w:t>
            </w:r>
          </w:p>
        </w:tc>
        <w:tc>
          <w:tcPr>
            <w:tcW w:w="1657" w:type="pct"/>
            <w:shd w:val="clear" w:color="auto" w:fill="auto"/>
          </w:tcPr>
          <w:p>
            <w:pPr>
              <w:jc w:val="right"/>
              <w:rPr>
                <w:szCs w:val="21"/>
              </w:rPr>
            </w:pPr>
            <w:r>
              <w:t>23,359,248</w:t>
            </w:r>
          </w:p>
        </w:tc>
        <w:tc>
          <w:tcPr>
            <w:tcW w:w="1728" w:type="pct"/>
            <w:shd w:val="clear" w:color="auto" w:fill="auto"/>
          </w:tcPr>
          <w:p>
            <w:pPr>
              <w:jc w:val="right"/>
              <w:rPr>
                <w:szCs w:val="21"/>
              </w:rPr>
            </w:pPr>
            <w:r>
              <w:t>26,373,026</w:t>
            </w:r>
          </w:p>
        </w:tc>
      </w:tr>
      <w:tr>
        <w:tc>
          <w:tcPr>
            <w:tcW w:w="1615" w:type="pct"/>
            <w:shd w:val="clear" w:color="auto" w:fill="auto"/>
          </w:tcPr>
          <w:p>
            <w:pPr>
              <w:rPr>
                <w:szCs w:val="21"/>
              </w:rPr>
            </w:pPr>
            <w:r>
              <w:t>应付投资款</w:t>
            </w:r>
          </w:p>
        </w:tc>
        <w:tc>
          <w:tcPr>
            <w:tcW w:w="1657" w:type="pct"/>
            <w:shd w:val="clear" w:color="auto" w:fill="auto"/>
          </w:tcPr>
          <w:p>
            <w:pPr>
              <w:jc w:val="right"/>
              <w:rPr>
                <w:szCs w:val="21"/>
              </w:rPr>
            </w:pPr>
            <w:r>
              <w:t>832,623</w:t>
            </w:r>
          </w:p>
        </w:tc>
        <w:tc>
          <w:tcPr>
            <w:tcW w:w="1728" w:type="pct"/>
            <w:shd w:val="clear" w:color="auto" w:fill="auto"/>
          </w:tcPr>
          <w:p>
            <w:pPr>
              <w:jc w:val="right"/>
              <w:rPr>
                <w:szCs w:val="21"/>
              </w:rPr>
            </w:pPr>
            <w:r>
              <w:t>11,496,645</w:t>
            </w:r>
          </w:p>
        </w:tc>
      </w:tr>
      <w:tr>
        <w:tc>
          <w:tcPr>
            <w:tcW w:w="1615" w:type="pct"/>
            <w:shd w:val="clear" w:color="auto" w:fill="auto"/>
          </w:tcPr>
          <w:p>
            <w:pPr>
              <w:rPr>
                <w:szCs w:val="21"/>
              </w:rPr>
            </w:pPr>
            <w:r>
              <w:t>往来款</w:t>
            </w:r>
          </w:p>
        </w:tc>
        <w:tc>
          <w:tcPr>
            <w:tcW w:w="1657" w:type="pct"/>
            <w:shd w:val="clear" w:color="auto" w:fill="auto"/>
          </w:tcPr>
          <w:p>
            <w:pPr>
              <w:jc w:val="right"/>
              <w:rPr>
                <w:szCs w:val="21"/>
              </w:rPr>
            </w:pPr>
            <w:r>
              <w:t>4,163,253</w:t>
            </w:r>
          </w:p>
        </w:tc>
        <w:tc>
          <w:tcPr>
            <w:tcW w:w="1728" w:type="pct"/>
            <w:shd w:val="clear" w:color="auto" w:fill="auto"/>
          </w:tcPr>
          <w:p>
            <w:pPr>
              <w:jc w:val="right"/>
              <w:rPr>
                <w:szCs w:val="21"/>
              </w:rPr>
            </w:pPr>
            <w:r>
              <w:t>5,499,408</w:t>
            </w:r>
          </w:p>
        </w:tc>
      </w:tr>
      <w:tr>
        <w:tc>
          <w:tcPr>
            <w:tcW w:w="1615" w:type="pct"/>
            <w:shd w:val="clear" w:color="auto" w:fill="auto"/>
          </w:tcPr>
          <w:p>
            <w:pPr>
              <w:rPr>
                <w:szCs w:val="21"/>
              </w:rPr>
            </w:pPr>
            <w:r>
              <w:t>应付探矿权款</w:t>
            </w:r>
          </w:p>
        </w:tc>
        <w:tc>
          <w:tcPr>
            <w:tcW w:w="1657" w:type="pct"/>
            <w:shd w:val="clear" w:color="auto" w:fill="auto"/>
          </w:tcPr>
          <w:p>
            <w:pPr>
              <w:jc w:val="right"/>
              <w:rPr>
                <w:szCs w:val="21"/>
              </w:rPr>
            </w:pPr>
          </w:p>
        </w:tc>
        <w:tc>
          <w:tcPr>
            <w:tcW w:w="1728" w:type="pct"/>
            <w:shd w:val="clear" w:color="auto" w:fill="auto"/>
          </w:tcPr>
          <w:p>
            <w:pPr>
              <w:jc w:val="right"/>
              <w:rPr>
                <w:szCs w:val="21"/>
              </w:rPr>
            </w:pPr>
            <w:r>
              <w:t>3,716,710</w:t>
            </w:r>
          </w:p>
        </w:tc>
      </w:tr>
      <w:tr>
        <w:tc>
          <w:tcPr>
            <w:tcW w:w="1615" w:type="pct"/>
            <w:shd w:val="clear" w:color="auto" w:fill="auto"/>
          </w:tcPr>
          <w:p>
            <w:pPr>
              <w:rPr>
                <w:szCs w:val="21"/>
              </w:rPr>
            </w:pPr>
            <w:r>
              <w:t>矿业权出让收益</w:t>
            </w:r>
          </w:p>
        </w:tc>
        <w:tc>
          <w:tcPr>
            <w:tcW w:w="1657" w:type="pct"/>
            <w:shd w:val="clear" w:color="auto" w:fill="auto"/>
          </w:tcPr>
          <w:p>
            <w:pPr>
              <w:jc w:val="right"/>
              <w:rPr>
                <w:szCs w:val="21"/>
              </w:rPr>
            </w:pPr>
            <w:r>
              <w:t>1,705,716</w:t>
            </w:r>
          </w:p>
        </w:tc>
        <w:tc>
          <w:tcPr>
            <w:tcW w:w="1728" w:type="pct"/>
            <w:shd w:val="clear" w:color="auto" w:fill="auto"/>
          </w:tcPr>
          <w:p>
            <w:pPr>
              <w:jc w:val="right"/>
              <w:rPr>
                <w:szCs w:val="21"/>
              </w:rPr>
            </w:pPr>
            <w:r>
              <w:t>1,520,189</w:t>
            </w:r>
          </w:p>
        </w:tc>
      </w:tr>
      <w:tr>
        <w:tc>
          <w:tcPr>
            <w:tcW w:w="1615" w:type="pct"/>
            <w:shd w:val="clear" w:color="auto" w:fill="auto"/>
          </w:tcPr>
          <w:p>
            <w:pPr>
              <w:rPr>
                <w:szCs w:val="21"/>
              </w:rPr>
            </w:pPr>
            <w:r>
              <w:t>押金保证金</w:t>
            </w:r>
          </w:p>
        </w:tc>
        <w:tc>
          <w:tcPr>
            <w:tcW w:w="1657" w:type="pct"/>
            <w:shd w:val="clear" w:color="auto" w:fill="auto"/>
          </w:tcPr>
          <w:p>
            <w:pPr>
              <w:jc w:val="right"/>
              <w:rPr>
                <w:szCs w:val="21"/>
              </w:rPr>
            </w:pPr>
            <w:r>
              <w:t>913,849</w:t>
            </w:r>
          </w:p>
        </w:tc>
        <w:tc>
          <w:tcPr>
            <w:tcW w:w="1728" w:type="pct"/>
            <w:shd w:val="clear" w:color="auto" w:fill="auto"/>
          </w:tcPr>
          <w:p>
            <w:pPr>
              <w:jc w:val="right"/>
              <w:rPr>
                <w:szCs w:val="21"/>
              </w:rPr>
            </w:pPr>
            <w:r>
              <w:t>686,958</w:t>
            </w:r>
          </w:p>
        </w:tc>
      </w:tr>
      <w:tr>
        <w:tc>
          <w:tcPr>
            <w:tcW w:w="1615" w:type="pct"/>
            <w:shd w:val="clear" w:color="auto" w:fill="auto"/>
          </w:tcPr>
          <w:p>
            <w:pPr>
              <w:rPr>
                <w:szCs w:val="21"/>
              </w:rPr>
            </w:pPr>
            <w:r>
              <w:t>应付代扣款</w:t>
            </w:r>
          </w:p>
        </w:tc>
        <w:tc>
          <w:tcPr>
            <w:tcW w:w="1657" w:type="pct"/>
            <w:shd w:val="clear" w:color="auto" w:fill="auto"/>
          </w:tcPr>
          <w:p>
            <w:pPr>
              <w:jc w:val="right"/>
              <w:rPr>
                <w:szCs w:val="21"/>
              </w:rPr>
            </w:pPr>
            <w:r>
              <w:t>146,717</w:t>
            </w:r>
          </w:p>
        </w:tc>
        <w:tc>
          <w:tcPr>
            <w:tcW w:w="1728" w:type="pct"/>
            <w:shd w:val="clear" w:color="auto" w:fill="auto"/>
          </w:tcPr>
          <w:p>
            <w:pPr>
              <w:jc w:val="right"/>
              <w:rPr>
                <w:szCs w:val="21"/>
              </w:rPr>
            </w:pPr>
            <w:r>
              <w:t>571,727</w:t>
            </w:r>
          </w:p>
        </w:tc>
      </w:tr>
      <w:tr>
        <w:tc>
          <w:tcPr>
            <w:tcW w:w="1615" w:type="pct"/>
            <w:shd w:val="clear" w:color="auto" w:fill="auto"/>
          </w:tcPr>
          <w:p>
            <w:pPr>
              <w:rPr>
                <w:szCs w:val="21"/>
              </w:rPr>
            </w:pPr>
            <w:r>
              <w:t>限制性股票回购义务</w:t>
            </w:r>
          </w:p>
        </w:tc>
        <w:tc>
          <w:tcPr>
            <w:tcW w:w="1657" w:type="pct"/>
            <w:shd w:val="clear" w:color="auto" w:fill="auto"/>
          </w:tcPr>
          <w:p>
            <w:pPr>
              <w:jc w:val="right"/>
              <w:rPr>
                <w:szCs w:val="21"/>
              </w:rPr>
            </w:pPr>
            <w:r>
              <w:t>112,417</w:t>
            </w:r>
          </w:p>
        </w:tc>
        <w:tc>
          <w:tcPr>
            <w:tcW w:w="1728" w:type="pct"/>
            <w:shd w:val="clear" w:color="auto" w:fill="auto"/>
          </w:tcPr>
          <w:p>
            <w:pPr>
              <w:jc w:val="right"/>
              <w:rPr>
                <w:szCs w:val="21"/>
              </w:rPr>
            </w:pPr>
            <w:r>
              <w:t>324,980</w:t>
            </w:r>
          </w:p>
        </w:tc>
      </w:tr>
      <w:tr>
        <w:tc>
          <w:tcPr>
            <w:tcW w:w="1615" w:type="pct"/>
            <w:shd w:val="clear" w:color="auto" w:fill="auto"/>
          </w:tcPr>
          <w:p>
            <w:pPr>
              <w:rPr>
                <w:szCs w:val="21"/>
              </w:rPr>
            </w:pPr>
            <w:r>
              <w:t>工程款</w:t>
            </w:r>
          </w:p>
        </w:tc>
        <w:tc>
          <w:tcPr>
            <w:tcW w:w="1657" w:type="pct"/>
            <w:shd w:val="clear" w:color="auto" w:fill="auto"/>
          </w:tcPr>
          <w:p>
            <w:pPr>
              <w:jc w:val="right"/>
              <w:rPr>
                <w:szCs w:val="21"/>
              </w:rPr>
            </w:pPr>
            <w:r>
              <w:t>78,352</w:t>
            </w:r>
          </w:p>
        </w:tc>
        <w:tc>
          <w:tcPr>
            <w:tcW w:w="1728" w:type="pct"/>
            <w:shd w:val="clear" w:color="auto" w:fill="auto"/>
          </w:tcPr>
          <w:p>
            <w:pPr>
              <w:jc w:val="right"/>
              <w:rPr>
                <w:szCs w:val="21"/>
              </w:rPr>
            </w:pPr>
            <w:r>
              <w:t>81,028</w:t>
            </w:r>
          </w:p>
        </w:tc>
      </w:tr>
      <w:tr>
        <w:tc>
          <w:tcPr>
            <w:tcW w:w="1615" w:type="pct"/>
            <w:shd w:val="clear" w:color="auto" w:fill="auto"/>
          </w:tcPr>
          <w:p>
            <w:pPr>
              <w:rPr>
                <w:szCs w:val="21"/>
              </w:rPr>
            </w:pPr>
            <w:r>
              <w:t>其他</w:t>
            </w:r>
          </w:p>
        </w:tc>
        <w:tc>
          <w:tcPr>
            <w:tcW w:w="1657" w:type="pct"/>
            <w:shd w:val="clear" w:color="auto" w:fill="auto"/>
          </w:tcPr>
          <w:p>
            <w:pPr>
              <w:jc w:val="right"/>
              <w:rPr>
                <w:szCs w:val="21"/>
              </w:rPr>
            </w:pPr>
            <w:r>
              <w:t>254,756</w:t>
            </w:r>
          </w:p>
        </w:tc>
        <w:tc>
          <w:tcPr>
            <w:tcW w:w="1728" w:type="pct"/>
            <w:shd w:val="clear" w:color="auto" w:fill="auto"/>
          </w:tcPr>
          <w:p>
            <w:pPr>
              <w:jc w:val="right"/>
              <w:rPr>
                <w:szCs w:val="21"/>
              </w:rPr>
            </w:pPr>
            <w:r>
              <w:t>185,388</w:t>
            </w:r>
          </w:p>
        </w:tc>
      </w:tr>
      <w:tr>
        <w:tc>
          <w:tcPr>
            <w:tcW w:w="1615" w:type="pct"/>
            <w:shd w:val="clear" w:color="auto" w:fill="auto"/>
          </w:tcPr>
          <w:p>
            <w:pPr>
              <w:jc w:val="center"/>
              <w:rPr>
                <w:color w:val="000000" w:themeColor="text1"/>
                <w:szCs w:val="21"/>
              </w:rPr>
            </w:pPr>
            <w:r>
              <w:rPr>
                <w:rFonts w:hint="eastAsia"/>
                <w:color w:val="000000" w:themeColor="text1"/>
                <w:szCs w:val="21"/>
              </w:rPr>
              <w:t>合计</w:t>
            </w:r>
          </w:p>
        </w:tc>
        <w:tc>
          <w:tcPr>
            <w:tcW w:w="1657" w:type="pct"/>
            <w:shd w:val="clear" w:color="auto" w:fill="auto"/>
          </w:tcPr>
          <w:p>
            <w:pPr>
              <w:jc w:val="right"/>
              <w:rPr>
                <w:szCs w:val="21"/>
              </w:rPr>
            </w:pPr>
            <w:r>
              <w:rPr>
                <w:szCs w:val="21"/>
              </w:rPr>
              <w:t>31,566,931</w:t>
            </w:r>
          </w:p>
        </w:tc>
        <w:tc>
          <w:tcPr>
            <w:tcW w:w="1728" w:type="pct"/>
            <w:shd w:val="clear" w:color="auto" w:fill="auto"/>
          </w:tcPr>
          <w:p>
            <w:pPr>
              <w:jc w:val="right"/>
              <w:rPr>
                <w:szCs w:val="21"/>
              </w:rPr>
            </w:pPr>
            <w:r>
              <w:rPr>
                <w:szCs w:val="21"/>
              </w:rPr>
              <w:t>50,456,059</w:t>
            </w:r>
          </w:p>
        </w:tc>
      </w:tr>
    </w:tbl>
    <w:p>
      <w:pPr>
        <w:pStyle w:val="affffffffffffffffffffffffffffffffe"/>
      </w:pPr>
    </w:p>
    <w:p>
      <w:r>
        <w:br w:type="page"/>
      </w:r>
    </w:p>
    <w:p>
      <w:pPr>
        <w:pStyle w:val="affffffffffffffffffffffffffffffffe"/>
      </w:pPr>
    </w:p>
    <w:p>
      <w:pPr>
        <w:pStyle w:val="affffffffffffffffffffffffffffffffe"/>
      </w:pPr>
      <w:r>
        <w:rPr>
          <w:rFonts w:hint="eastAsia"/>
        </w:rPr>
        <w:t>账龄超过</w:t>
      </w:r>
      <w:r>
        <w:t>1年</w:t>
      </w:r>
      <w:r>
        <w:rPr>
          <w:rFonts w:hint="eastAsia"/>
        </w:rPr>
        <w:t>或逾期</w:t>
      </w:r>
      <w:r>
        <w:t>的重要其他应付款</w:t>
      </w:r>
    </w:p>
    <w:p>
      <w:pPr>
        <w:pStyle w:val="affffffffffffffffffffffffffffffffe"/>
      </w:pPr>
      <w:sdt>
        <w:sdtPr>
          <w:alias w:val="是否适用：账龄超过1年的重要其他应付款[双击切换]"/>
          <w:tag w:val="_GBC_fcaee62c74504c20ba2aca131c060029"/>
          <w:id w:val="-320359310"/>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e21231b7e5484676830a99cc2a6d76a0"/>
          <w:id w:val="-3502564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账龄超过1年的重要其他应付款"/>
          <w:tag w:val="_GBC_5e3f99162ac34319b05e54b554619653"/>
          <w:id w:val="-10375044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6"/>
        <w:gridCol w:w="2952"/>
        <w:gridCol w:w="3035"/>
      </w:tblGrid>
      <w:tr>
        <w:trPr>
          <w:trHeight w:val="269"/>
        </w:trPr>
        <w:sdt>
          <w:sdtPr>
            <w:tag w:val="_PLD_14d2af0850664c16b8395770ef822d33"/>
            <w:id w:val="-50929083"/>
          </w:sdtPr>
          <w:sdtContent>
            <w:tc>
              <w:tcPr>
                <w:tcW w:w="1607" w:type="pct"/>
                <w:shd w:val="clear" w:color="auto" w:fill="auto"/>
                <w:vAlign w:val="center"/>
              </w:tcPr>
              <w:p>
                <w:pPr>
                  <w:jc w:val="center"/>
                  <w:rPr>
                    <w:szCs w:val="21"/>
                  </w:rPr>
                </w:pPr>
                <w:r>
                  <w:rPr>
                    <w:rFonts w:hint="eastAsia"/>
                    <w:szCs w:val="21"/>
                  </w:rPr>
                  <w:t>项目</w:t>
                </w:r>
              </w:p>
            </w:tc>
          </w:sdtContent>
        </w:sdt>
        <w:sdt>
          <w:sdtPr>
            <w:tag w:val="_PLD_c469b5a44aaf475d9fd5270a942f9c4a"/>
            <w:id w:val="-750660575"/>
          </w:sdtPr>
          <w:sdtContent>
            <w:tc>
              <w:tcPr>
                <w:tcW w:w="1673" w:type="pct"/>
                <w:shd w:val="clear" w:color="auto" w:fill="auto"/>
                <w:vAlign w:val="center"/>
              </w:tcPr>
              <w:p>
                <w:pPr>
                  <w:jc w:val="center"/>
                  <w:rPr>
                    <w:szCs w:val="21"/>
                  </w:rPr>
                </w:pPr>
                <w:r>
                  <w:rPr>
                    <w:rFonts w:hint="eastAsia"/>
                    <w:szCs w:val="21"/>
                  </w:rPr>
                  <w:t>期末余额</w:t>
                </w:r>
              </w:p>
            </w:tc>
          </w:sdtContent>
        </w:sdt>
        <w:sdt>
          <w:sdtPr>
            <w:tag w:val="_PLD_94367c3bf4fa488b95d154694ccf77ca"/>
            <w:id w:val="1743608103"/>
          </w:sdtPr>
          <w:sdtContent>
            <w:tc>
              <w:tcPr>
                <w:tcW w:w="1720" w:type="pct"/>
                <w:shd w:val="clear" w:color="auto" w:fill="auto"/>
                <w:vAlign w:val="center"/>
              </w:tcPr>
              <w:p>
                <w:pPr>
                  <w:jc w:val="center"/>
                  <w:rPr>
                    <w:szCs w:val="21"/>
                  </w:rPr>
                </w:pPr>
                <w:r>
                  <w:rPr>
                    <w:rFonts w:hint="eastAsia"/>
                    <w:szCs w:val="21"/>
                  </w:rPr>
                  <w:t>未偿还或结转的原因</w:t>
                </w:r>
              </w:p>
            </w:tc>
          </w:sdtContent>
        </w:sdt>
      </w:tr>
      <w:tr>
        <w:tc>
          <w:tcPr>
            <w:tcW w:w="1607" w:type="pct"/>
            <w:tcBorders>
              <w:bottom w:val="single" w:sz="4" w:space="0" w:color="auto"/>
            </w:tcBorders>
            <w:shd w:val="clear" w:color="auto" w:fill="auto"/>
          </w:tcPr>
          <w:p>
            <w:pPr>
              <w:rPr>
                <w:szCs w:val="21"/>
              </w:rPr>
            </w:pPr>
            <w:r>
              <w:rPr>
                <w:rFonts w:hint="eastAsia"/>
                <w:szCs w:val="21"/>
              </w:rPr>
              <w:t>公司1</w:t>
            </w:r>
          </w:p>
        </w:tc>
        <w:tc>
          <w:tcPr>
            <w:tcW w:w="1673" w:type="pct"/>
            <w:shd w:val="clear" w:color="auto" w:fill="auto"/>
            <w:vAlign w:val="center"/>
          </w:tcPr>
          <w:p>
            <w:pPr>
              <w:pStyle w:val="affffffffffffffffffffffffffffffffe"/>
              <w:jc w:val="right"/>
            </w:pPr>
            <w:r>
              <w:t>4,621,062</w:t>
            </w:r>
          </w:p>
        </w:tc>
        <w:tc>
          <w:tcPr>
            <w:tcW w:w="1720" w:type="pct"/>
            <w:shd w:val="clear" w:color="auto" w:fill="auto"/>
            <w:vAlign w:val="center"/>
          </w:tcPr>
          <w:p>
            <w:pPr>
              <w:pStyle w:val="affffffffffffffffffffffffffffffffe"/>
              <w:jc w:val="right"/>
            </w:pPr>
            <w:r>
              <w:t>未到结算期</w:t>
            </w:r>
          </w:p>
        </w:tc>
      </w:tr>
      <w:tr>
        <w:tc>
          <w:tcPr>
            <w:tcW w:w="1607" w:type="pct"/>
            <w:tcBorders>
              <w:bottom w:val="single" w:sz="4" w:space="0" w:color="auto"/>
            </w:tcBorders>
            <w:shd w:val="clear" w:color="auto" w:fill="auto"/>
          </w:tcPr>
          <w:p>
            <w:pPr>
              <w:rPr>
                <w:szCs w:val="21"/>
              </w:rPr>
            </w:pPr>
            <w:r>
              <w:rPr>
                <w:rFonts w:hint="eastAsia"/>
                <w:szCs w:val="21"/>
              </w:rPr>
              <w:t>公司2</w:t>
            </w:r>
          </w:p>
        </w:tc>
        <w:tc>
          <w:tcPr>
            <w:tcW w:w="1673" w:type="pct"/>
            <w:shd w:val="clear" w:color="auto" w:fill="auto"/>
            <w:vAlign w:val="center"/>
          </w:tcPr>
          <w:p>
            <w:pPr>
              <w:pStyle w:val="affffffffffffffffffffffffffffffffe"/>
              <w:jc w:val="right"/>
            </w:pPr>
            <w:r>
              <w:t>4,524,937</w:t>
            </w:r>
          </w:p>
        </w:tc>
        <w:tc>
          <w:tcPr>
            <w:tcW w:w="1720" w:type="pct"/>
            <w:shd w:val="clear" w:color="auto" w:fill="auto"/>
            <w:vAlign w:val="center"/>
          </w:tcPr>
          <w:p>
            <w:pPr>
              <w:pStyle w:val="affffffffffffffffffffffffffffffffe"/>
              <w:jc w:val="right"/>
            </w:pPr>
            <w:r>
              <w:t>未到结算期</w:t>
            </w:r>
          </w:p>
        </w:tc>
      </w:tr>
      <w:tr>
        <w:tc>
          <w:tcPr>
            <w:tcW w:w="1607" w:type="pct"/>
            <w:tcBorders>
              <w:bottom w:val="single" w:sz="4" w:space="0" w:color="auto"/>
            </w:tcBorders>
            <w:shd w:val="clear" w:color="auto" w:fill="auto"/>
          </w:tcPr>
          <w:p>
            <w:pPr>
              <w:rPr>
                <w:szCs w:val="21"/>
              </w:rPr>
            </w:pPr>
            <w:r>
              <w:rPr>
                <w:rFonts w:hint="eastAsia"/>
                <w:szCs w:val="21"/>
              </w:rPr>
              <w:t>公司3</w:t>
            </w:r>
          </w:p>
        </w:tc>
        <w:tc>
          <w:tcPr>
            <w:tcW w:w="1673" w:type="pct"/>
            <w:shd w:val="clear" w:color="auto" w:fill="auto"/>
            <w:vAlign w:val="center"/>
          </w:tcPr>
          <w:p>
            <w:pPr>
              <w:pStyle w:val="affffffffffffffffffffffffffffffffe"/>
              <w:jc w:val="right"/>
            </w:pPr>
            <w:r>
              <w:t>1,994,494</w:t>
            </w:r>
          </w:p>
        </w:tc>
        <w:tc>
          <w:tcPr>
            <w:tcW w:w="1720" w:type="pct"/>
            <w:shd w:val="clear" w:color="auto" w:fill="auto"/>
            <w:vAlign w:val="center"/>
          </w:tcPr>
          <w:p>
            <w:pPr>
              <w:pStyle w:val="affffffffffffffffffffffffffffffffe"/>
              <w:jc w:val="right"/>
            </w:pPr>
            <w:r>
              <w:t>未到结算期</w:t>
            </w:r>
          </w:p>
        </w:tc>
      </w:tr>
      <w:tr>
        <w:tc>
          <w:tcPr>
            <w:tcW w:w="1607" w:type="pct"/>
            <w:tcBorders>
              <w:bottom w:val="single" w:sz="4" w:space="0" w:color="auto"/>
            </w:tcBorders>
            <w:shd w:val="clear" w:color="auto" w:fill="auto"/>
          </w:tcPr>
          <w:p>
            <w:pPr>
              <w:rPr>
                <w:szCs w:val="21"/>
              </w:rPr>
            </w:pPr>
            <w:r>
              <w:rPr>
                <w:rFonts w:hint="eastAsia"/>
                <w:szCs w:val="21"/>
              </w:rPr>
              <w:t>公司4</w:t>
            </w:r>
          </w:p>
        </w:tc>
        <w:tc>
          <w:tcPr>
            <w:tcW w:w="1673" w:type="pct"/>
            <w:shd w:val="clear" w:color="auto" w:fill="auto"/>
            <w:vAlign w:val="center"/>
          </w:tcPr>
          <w:p>
            <w:pPr>
              <w:jc w:val="right"/>
              <w:rPr>
                <w:szCs w:val="21"/>
              </w:rPr>
            </w:pPr>
            <w:r>
              <w:rPr>
                <w:szCs w:val="21"/>
              </w:rPr>
              <w:t>1,168,895</w:t>
            </w:r>
          </w:p>
        </w:tc>
        <w:tc>
          <w:tcPr>
            <w:tcW w:w="1720" w:type="pct"/>
            <w:shd w:val="clear" w:color="auto" w:fill="auto"/>
            <w:vAlign w:val="center"/>
          </w:tcPr>
          <w:p>
            <w:pPr>
              <w:jc w:val="right"/>
              <w:rPr>
                <w:szCs w:val="21"/>
              </w:rPr>
            </w:pPr>
            <w:r>
              <w:rPr>
                <w:rFonts w:hint="eastAsia"/>
                <w:szCs w:val="21"/>
              </w:rPr>
              <w:t>未到结算期</w:t>
            </w:r>
          </w:p>
        </w:tc>
      </w:tr>
      <w:tr>
        <w:tc>
          <w:tcPr>
            <w:tcW w:w="1607" w:type="pct"/>
            <w:shd w:val="clear" w:color="auto" w:fill="auto"/>
            <w:vAlign w:val="center"/>
          </w:tcPr>
          <w:p>
            <w:pPr>
              <w:jc w:val="center"/>
              <w:rPr>
                <w:szCs w:val="21"/>
              </w:rPr>
            </w:pPr>
            <w:r>
              <w:rPr>
                <w:rFonts w:hint="eastAsia"/>
                <w:szCs w:val="21"/>
              </w:rPr>
              <w:t>合计</w:t>
            </w:r>
          </w:p>
        </w:tc>
        <w:tc>
          <w:tcPr>
            <w:tcW w:w="1673" w:type="pct"/>
            <w:shd w:val="clear" w:color="auto" w:fill="auto"/>
            <w:vAlign w:val="center"/>
          </w:tcPr>
          <w:p>
            <w:pPr>
              <w:jc w:val="both"/>
              <w:rPr>
                <w:szCs w:val="21"/>
              </w:rPr>
            </w:pPr>
            <w:r>
              <w:rPr>
                <w:szCs w:val="21"/>
              </w:rPr>
              <w:t>12,309,388</w:t>
            </w:r>
          </w:p>
        </w:tc>
        <w:tc>
          <w:tcPr>
            <w:tcW w:w="1720" w:type="pct"/>
            <w:shd w:val="clear" w:color="auto" w:fill="auto"/>
          </w:tcPr>
          <w:p>
            <w:pPr>
              <w:jc w:val="center"/>
              <w:rPr>
                <w:szCs w:val="21"/>
              </w:rPr>
            </w:pPr>
            <w:r>
              <w:rPr>
                <w:rFonts w:hint="eastAsia"/>
                <w:szCs w:val="21"/>
              </w:rPr>
              <w:t>/</w:t>
            </w:r>
          </w:p>
        </w:tc>
      </w:tr>
    </w:tbl>
    <w:p>
      <w:pPr>
        <w:pStyle w:val="affffffffffffffffffffffffffffffffe"/>
      </w:pPr>
    </w:p>
    <w:p>
      <w:pPr>
        <w:pStyle w:val="affffffffffffffffffffffffffffffffe"/>
      </w:pPr>
      <w:r>
        <w:rPr>
          <w:rFonts w:hint="eastAsia"/>
        </w:rPr>
        <w:t>其他说明：</w:t>
      </w:r>
    </w:p>
    <w:sdt>
      <w:sdtPr>
        <w:alias w:val="是否适用：其他应付款的其他说明[双击切换]"/>
        <w:tag w:val="_GBC_b02a256e4ac940019e9d9179cb6dc349"/>
        <w:id w:val="-2087604359"/>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bookmarkEnd w:id="447"/>
    <w:bookmarkEnd w:id="448"/>
    <w:p>
      <w:pPr>
        <w:pStyle w:val="affffffffffffffffff6"/>
        <w:numPr>
          <w:ilvl w:val="0"/>
          <w:numId w:val="103"/>
        </w:numPr>
        <w:tabs>
          <w:tab w:val="left" w:pos="504"/>
        </w:tabs>
        <w:rPr>
          <w:szCs w:val="21"/>
        </w:rPr>
      </w:pPr>
      <w:r>
        <w:rPr>
          <w:rFonts w:ascii="宋体" w:hAnsi="宋体" w:hint="eastAsia"/>
          <w:szCs w:val="21"/>
        </w:rPr>
        <w:t>持有</w:t>
      </w:r>
      <w:r>
        <w:rPr>
          <w:rFonts w:hint="eastAsia"/>
          <w:szCs w:val="21"/>
        </w:rPr>
        <w:t>待售负债</w:t>
      </w:r>
    </w:p>
    <w:sdt>
      <w:sdtPr>
        <w:alias w:val="是否适用：划分为持有待售的负债[双击切换]"/>
        <w:tag w:val="_GBC_4ea9b2c6d4024d74b39e491f80a07798"/>
        <w:id w:val="395550357"/>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p>
    <w:p>
      <w:pPr>
        <w:pStyle w:val="affffffffffffffffff6"/>
        <w:numPr>
          <w:ilvl w:val="0"/>
          <w:numId w:val="103"/>
        </w:numPr>
        <w:tabs>
          <w:tab w:val="left" w:pos="504"/>
        </w:tabs>
        <w:rPr>
          <w:rFonts w:ascii="宋体" w:hAnsi="宋体"/>
          <w:szCs w:val="21"/>
        </w:rPr>
      </w:pPr>
      <w:bookmarkStart w:id="449" w:name="_Hlk24104125"/>
      <w:r>
        <w:rPr>
          <w:rFonts w:ascii="宋体" w:hAnsi="宋体" w:hint="eastAsia"/>
          <w:szCs w:val="21"/>
        </w:rPr>
        <w:t>1年内</w:t>
      </w:r>
      <w:r>
        <w:rPr>
          <w:rFonts w:hint="eastAsia"/>
          <w:szCs w:val="21"/>
        </w:rPr>
        <w:t>到期</w:t>
      </w:r>
      <w:r>
        <w:rPr>
          <w:rFonts w:ascii="宋体" w:hAnsi="宋体" w:hint="eastAsia"/>
          <w:szCs w:val="21"/>
        </w:rPr>
        <w:t>的非流动负债</w:t>
      </w:r>
    </w:p>
    <w:sdt>
      <w:sdtPr>
        <w:alias w:val="是否适用：1年内到期的非流动负债[双击切换]"/>
        <w:tag w:val="_GBC_bf40c7464345405f8470856436e2c6a3"/>
        <w:id w:val="54610340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1年内到期的非流动负债情况"/>
          <w:tag w:val="_GBC_fc5bef9f043c4967ab706b443fc31d3c"/>
          <w:id w:val="266823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1年内到期的非流动负债情况"/>
          <w:tag w:val="_GBC_fbd4d32585d945468e7aeae52abddc6f"/>
          <w:id w:val="-4229558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2961"/>
        <w:gridCol w:w="3026"/>
      </w:tblGrid>
      <w:tr>
        <w:sdt>
          <w:sdtPr>
            <w:tag w:val="_PLD_e20bf58d6f134f4caedbea03f8659c14"/>
            <w:id w:val="-302007661"/>
          </w:sdtPr>
          <w:sdtContent>
            <w:tc>
              <w:tcPr>
                <w:tcW w:w="1607" w:type="pct"/>
                <w:shd w:val="clear" w:color="auto" w:fill="auto"/>
              </w:tcPr>
              <w:p>
                <w:pPr>
                  <w:jc w:val="center"/>
                  <w:rPr>
                    <w:szCs w:val="21"/>
                  </w:rPr>
                </w:pPr>
                <w:r>
                  <w:rPr>
                    <w:rFonts w:hint="eastAsia"/>
                    <w:szCs w:val="21"/>
                  </w:rPr>
                  <w:t>项目</w:t>
                </w:r>
              </w:p>
            </w:tc>
          </w:sdtContent>
        </w:sdt>
        <w:sdt>
          <w:sdtPr>
            <w:tag w:val="_PLD_dad829d6a45646668218857399318d20"/>
            <w:id w:val="70790349"/>
          </w:sdtPr>
          <w:sdtContent>
            <w:tc>
              <w:tcPr>
                <w:tcW w:w="1678" w:type="pct"/>
                <w:shd w:val="clear" w:color="auto" w:fill="auto"/>
              </w:tcPr>
              <w:p>
                <w:pPr>
                  <w:jc w:val="center"/>
                  <w:rPr>
                    <w:szCs w:val="21"/>
                  </w:rPr>
                </w:pPr>
                <w:r>
                  <w:rPr>
                    <w:rFonts w:hint="eastAsia"/>
                    <w:szCs w:val="21"/>
                  </w:rPr>
                  <w:t>期末余额</w:t>
                </w:r>
              </w:p>
            </w:tc>
          </w:sdtContent>
        </w:sdt>
        <w:sdt>
          <w:sdtPr>
            <w:tag w:val="_PLD_9d1d036ddf0544b2b2ddd1dc5633a114"/>
            <w:id w:val="-3513351"/>
          </w:sdtPr>
          <w:sdtContent>
            <w:tc>
              <w:tcPr>
                <w:tcW w:w="1715" w:type="pct"/>
                <w:shd w:val="clear" w:color="auto" w:fill="auto"/>
              </w:tcPr>
              <w:p>
                <w:pPr>
                  <w:jc w:val="center"/>
                  <w:rPr>
                    <w:szCs w:val="21"/>
                  </w:rPr>
                </w:pPr>
                <w:r>
                  <w:rPr>
                    <w:rFonts w:hint="eastAsia"/>
                    <w:szCs w:val="21"/>
                  </w:rPr>
                  <w:t>期初余额</w:t>
                </w:r>
              </w:p>
            </w:tc>
          </w:sdtContent>
        </w:sdt>
      </w:tr>
      <w:tr>
        <w:tc>
          <w:tcPr>
            <w:tcW w:w="1607" w:type="pct"/>
            <w:shd w:val="clear" w:color="auto" w:fill="auto"/>
            <w:vAlign w:val="center"/>
          </w:tcPr>
          <w:p>
            <w:pPr>
              <w:spacing w:line="360" w:lineRule="exact"/>
              <w:rPr>
                <w:szCs w:val="21"/>
              </w:rPr>
            </w:pPr>
            <w:r>
              <w:rPr>
                <w:rFonts w:hint="eastAsia"/>
                <w:szCs w:val="21"/>
              </w:rPr>
              <w:t>一年内到期的应付债券</w:t>
            </w:r>
          </w:p>
        </w:tc>
        <w:tc>
          <w:tcPr>
            <w:tcW w:w="1678" w:type="pct"/>
            <w:shd w:val="clear" w:color="auto" w:fill="auto"/>
            <w:vAlign w:val="center"/>
          </w:tcPr>
          <w:p>
            <w:pPr>
              <w:spacing w:line="360" w:lineRule="exact"/>
              <w:jc w:val="right"/>
              <w:rPr>
                <w:szCs w:val="21"/>
              </w:rPr>
            </w:pPr>
            <w:r>
              <w:rPr>
                <w:szCs w:val="21"/>
              </w:rPr>
              <w:t>11,660,503</w:t>
            </w:r>
          </w:p>
        </w:tc>
        <w:tc>
          <w:tcPr>
            <w:tcW w:w="1715" w:type="pct"/>
            <w:shd w:val="clear" w:color="auto" w:fill="auto"/>
            <w:vAlign w:val="center"/>
          </w:tcPr>
          <w:p>
            <w:pPr>
              <w:spacing w:line="360" w:lineRule="exact"/>
              <w:jc w:val="right"/>
              <w:rPr>
                <w:szCs w:val="21"/>
              </w:rPr>
            </w:pPr>
            <w:r>
              <w:rPr>
                <w:szCs w:val="21"/>
              </w:rPr>
              <w:t>10,796,410</w:t>
            </w:r>
          </w:p>
        </w:tc>
      </w:tr>
      <w:tr>
        <w:tc>
          <w:tcPr>
            <w:tcW w:w="1607" w:type="pct"/>
            <w:shd w:val="clear" w:color="auto" w:fill="auto"/>
            <w:vAlign w:val="center"/>
          </w:tcPr>
          <w:p>
            <w:pPr>
              <w:spacing w:line="360" w:lineRule="exact"/>
              <w:rPr>
                <w:szCs w:val="21"/>
              </w:rPr>
            </w:pPr>
            <w:r>
              <w:rPr>
                <w:rFonts w:hint="eastAsia"/>
                <w:szCs w:val="21"/>
              </w:rPr>
              <w:t>一年内到期的长期借款（注）</w:t>
            </w:r>
          </w:p>
        </w:tc>
        <w:tc>
          <w:tcPr>
            <w:tcW w:w="1678" w:type="pct"/>
            <w:shd w:val="clear" w:color="auto" w:fill="auto"/>
            <w:vAlign w:val="center"/>
          </w:tcPr>
          <w:p>
            <w:pPr>
              <w:spacing w:line="360" w:lineRule="exact"/>
              <w:jc w:val="right"/>
              <w:rPr>
                <w:szCs w:val="21"/>
              </w:rPr>
            </w:pPr>
            <w:r>
              <w:rPr>
                <w:szCs w:val="21"/>
              </w:rPr>
              <w:t>18,904,902</w:t>
            </w:r>
          </w:p>
        </w:tc>
        <w:tc>
          <w:tcPr>
            <w:tcW w:w="1715" w:type="pct"/>
            <w:shd w:val="clear" w:color="auto" w:fill="auto"/>
            <w:vAlign w:val="center"/>
          </w:tcPr>
          <w:p>
            <w:pPr>
              <w:spacing w:line="360" w:lineRule="exact"/>
              <w:jc w:val="right"/>
              <w:rPr>
                <w:szCs w:val="21"/>
              </w:rPr>
            </w:pPr>
            <w:r>
              <w:rPr>
                <w:szCs w:val="21"/>
              </w:rPr>
              <w:t>7,972,489</w:t>
            </w:r>
          </w:p>
        </w:tc>
      </w:tr>
      <w:tr>
        <w:tc>
          <w:tcPr>
            <w:tcW w:w="1607" w:type="pct"/>
            <w:shd w:val="clear" w:color="auto" w:fill="auto"/>
            <w:vAlign w:val="center"/>
          </w:tcPr>
          <w:p>
            <w:pPr>
              <w:spacing w:line="360" w:lineRule="exact"/>
              <w:rPr>
                <w:szCs w:val="21"/>
              </w:rPr>
            </w:pPr>
            <w:r>
              <w:rPr>
                <w:rFonts w:hint="eastAsia"/>
                <w:szCs w:val="21"/>
              </w:rPr>
              <w:t>一年内到期的长期应付款</w:t>
            </w:r>
          </w:p>
        </w:tc>
        <w:tc>
          <w:tcPr>
            <w:tcW w:w="1678" w:type="pct"/>
            <w:shd w:val="clear" w:color="auto" w:fill="auto"/>
            <w:vAlign w:val="center"/>
          </w:tcPr>
          <w:p>
            <w:pPr>
              <w:spacing w:line="360" w:lineRule="exact"/>
              <w:jc w:val="right"/>
              <w:rPr>
                <w:szCs w:val="21"/>
              </w:rPr>
            </w:pPr>
            <w:r>
              <w:rPr>
                <w:szCs w:val="21"/>
              </w:rPr>
              <w:t>85,667</w:t>
            </w:r>
          </w:p>
        </w:tc>
        <w:tc>
          <w:tcPr>
            <w:tcW w:w="1715" w:type="pct"/>
            <w:shd w:val="clear" w:color="auto" w:fill="auto"/>
            <w:vAlign w:val="center"/>
          </w:tcPr>
          <w:p>
            <w:pPr>
              <w:spacing w:line="360" w:lineRule="exact"/>
              <w:jc w:val="right"/>
              <w:rPr>
                <w:szCs w:val="21"/>
              </w:rPr>
            </w:pPr>
            <w:r>
              <w:rPr>
                <w:szCs w:val="21"/>
              </w:rPr>
              <w:t>1,267,850</w:t>
            </w:r>
          </w:p>
        </w:tc>
      </w:tr>
      <w:tr>
        <w:tc>
          <w:tcPr>
            <w:tcW w:w="1607" w:type="pct"/>
            <w:shd w:val="clear" w:color="auto" w:fill="auto"/>
            <w:vAlign w:val="center"/>
          </w:tcPr>
          <w:p>
            <w:pPr>
              <w:spacing w:line="360" w:lineRule="exact"/>
              <w:rPr>
                <w:szCs w:val="21"/>
              </w:rPr>
            </w:pPr>
            <w:r>
              <w:rPr>
                <w:rFonts w:hint="eastAsia"/>
                <w:szCs w:val="21"/>
              </w:rPr>
              <w:t>一年内到期的长期应付职工薪酬</w:t>
            </w:r>
          </w:p>
        </w:tc>
        <w:tc>
          <w:tcPr>
            <w:tcW w:w="1678" w:type="pct"/>
            <w:shd w:val="clear" w:color="auto" w:fill="auto"/>
            <w:vAlign w:val="center"/>
          </w:tcPr>
          <w:p>
            <w:pPr>
              <w:spacing w:line="360" w:lineRule="exact"/>
              <w:jc w:val="right"/>
              <w:rPr>
                <w:szCs w:val="21"/>
              </w:rPr>
            </w:pPr>
            <w:r>
              <w:rPr>
                <w:szCs w:val="21"/>
              </w:rPr>
              <w:t>430,731</w:t>
            </w:r>
          </w:p>
        </w:tc>
        <w:tc>
          <w:tcPr>
            <w:tcW w:w="1715" w:type="pct"/>
            <w:shd w:val="clear" w:color="auto" w:fill="auto"/>
            <w:vAlign w:val="center"/>
          </w:tcPr>
          <w:p>
            <w:pPr>
              <w:spacing w:line="360" w:lineRule="exact"/>
              <w:jc w:val="right"/>
              <w:rPr>
                <w:szCs w:val="21"/>
              </w:rPr>
            </w:pPr>
            <w:r>
              <w:rPr>
                <w:szCs w:val="21"/>
              </w:rPr>
              <w:t>409,490</w:t>
            </w:r>
          </w:p>
        </w:tc>
      </w:tr>
      <w:tr>
        <w:tc>
          <w:tcPr>
            <w:tcW w:w="1607" w:type="pct"/>
            <w:shd w:val="clear" w:color="auto" w:fill="auto"/>
            <w:vAlign w:val="center"/>
          </w:tcPr>
          <w:p>
            <w:pPr>
              <w:spacing w:line="360" w:lineRule="exact"/>
              <w:rPr>
                <w:szCs w:val="21"/>
              </w:rPr>
            </w:pPr>
            <w:r>
              <w:rPr>
                <w:rFonts w:hint="eastAsia"/>
                <w:szCs w:val="21"/>
              </w:rPr>
              <w:t>一年内到期的预计负债</w:t>
            </w:r>
          </w:p>
        </w:tc>
        <w:tc>
          <w:tcPr>
            <w:tcW w:w="1678" w:type="pct"/>
            <w:shd w:val="clear" w:color="auto" w:fill="auto"/>
            <w:vAlign w:val="center"/>
          </w:tcPr>
          <w:p>
            <w:pPr>
              <w:spacing w:line="360" w:lineRule="exact"/>
              <w:jc w:val="right"/>
              <w:rPr>
                <w:szCs w:val="21"/>
              </w:rPr>
            </w:pPr>
            <w:r>
              <w:rPr>
                <w:szCs w:val="21"/>
              </w:rPr>
              <w:t>529,188</w:t>
            </w:r>
          </w:p>
        </w:tc>
        <w:tc>
          <w:tcPr>
            <w:tcW w:w="1715" w:type="pct"/>
            <w:shd w:val="clear" w:color="auto" w:fill="auto"/>
            <w:vAlign w:val="center"/>
          </w:tcPr>
          <w:p>
            <w:pPr>
              <w:spacing w:line="360" w:lineRule="exact"/>
              <w:jc w:val="right"/>
              <w:rPr>
                <w:szCs w:val="21"/>
              </w:rPr>
            </w:pPr>
            <w:r>
              <w:rPr>
                <w:szCs w:val="21"/>
              </w:rPr>
              <w:t>200,964</w:t>
            </w:r>
          </w:p>
        </w:tc>
      </w:tr>
      <w:tr>
        <w:tc>
          <w:tcPr>
            <w:tcW w:w="1607" w:type="pct"/>
            <w:shd w:val="clear" w:color="auto" w:fill="auto"/>
            <w:vAlign w:val="center"/>
          </w:tcPr>
          <w:p>
            <w:pPr>
              <w:spacing w:line="360" w:lineRule="exact"/>
              <w:rPr>
                <w:szCs w:val="21"/>
              </w:rPr>
            </w:pPr>
            <w:r>
              <w:rPr>
                <w:rFonts w:hint="eastAsia"/>
                <w:szCs w:val="21"/>
              </w:rPr>
              <w:t>一年内到期的租赁负债</w:t>
            </w:r>
          </w:p>
        </w:tc>
        <w:tc>
          <w:tcPr>
            <w:tcW w:w="1678" w:type="pct"/>
            <w:shd w:val="clear" w:color="auto" w:fill="auto"/>
            <w:vAlign w:val="center"/>
          </w:tcPr>
          <w:p>
            <w:pPr>
              <w:spacing w:line="360" w:lineRule="exact"/>
              <w:jc w:val="right"/>
              <w:rPr>
                <w:szCs w:val="21"/>
              </w:rPr>
            </w:pPr>
            <w:r>
              <w:rPr>
                <w:szCs w:val="21"/>
              </w:rPr>
              <w:t>226,851</w:t>
            </w:r>
          </w:p>
        </w:tc>
        <w:tc>
          <w:tcPr>
            <w:tcW w:w="1715" w:type="pct"/>
            <w:shd w:val="clear" w:color="auto" w:fill="auto"/>
            <w:vAlign w:val="center"/>
          </w:tcPr>
          <w:p>
            <w:pPr>
              <w:spacing w:line="360" w:lineRule="exact"/>
              <w:jc w:val="right"/>
              <w:rPr>
                <w:szCs w:val="21"/>
              </w:rPr>
            </w:pPr>
            <w:r>
              <w:rPr>
                <w:szCs w:val="21"/>
              </w:rPr>
              <w:t>158,511</w:t>
            </w:r>
          </w:p>
        </w:tc>
      </w:tr>
      <w:tr>
        <w:tc>
          <w:tcPr>
            <w:tcW w:w="1607" w:type="pct"/>
            <w:shd w:val="clear" w:color="auto" w:fill="auto"/>
          </w:tcPr>
          <w:p>
            <w:pPr>
              <w:jc w:val="center"/>
              <w:rPr>
                <w:szCs w:val="21"/>
              </w:rPr>
            </w:pPr>
            <w:r>
              <w:rPr>
                <w:rFonts w:hint="eastAsia"/>
                <w:szCs w:val="21"/>
              </w:rPr>
              <w:t>合计</w:t>
            </w:r>
          </w:p>
        </w:tc>
        <w:tc>
          <w:tcPr>
            <w:tcW w:w="1678" w:type="pct"/>
            <w:shd w:val="clear" w:color="auto" w:fill="auto"/>
          </w:tcPr>
          <w:p>
            <w:pPr>
              <w:jc w:val="right"/>
              <w:rPr>
                <w:szCs w:val="21"/>
              </w:rPr>
            </w:pPr>
            <w:r>
              <w:rPr>
                <w:szCs w:val="21"/>
              </w:rPr>
              <w:t>31,837,842</w:t>
            </w:r>
          </w:p>
        </w:tc>
        <w:tc>
          <w:tcPr>
            <w:tcW w:w="1715" w:type="pct"/>
            <w:shd w:val="clear" w:color="auto" w:fill="auto"/>
          </w:tcPr>
          <w:p>
            <w:pPr>
              <w:jc w:val="right"/>
              <w:rPr>
                <w:szCs w:val="21"/>
              </w:rPr>
            </w:pPr>
            <w:r>
              <w:rPr>
                <w:szCs w:val="21"/>
              </w:rPr>
              <w:t>20,805,714</w:t>
            </w:r>
          </w:p>
        </w:tc>
      </w:tr>
    </w:tbl>
    <w:p>
      <w:pPr>
        <w:spacing w:before="60" w:after="60"/>
        <w:rPr>
          <w:szCs w:val="21"/>
        </w:rPr>
      </w:pPr>
      <w:r>
        <w:rPr>
          <w:rFonts w:hint="eastAsia"/>
          <w:szCs w:val="21"/>
        </w:rPr>
        <w:t>其他说明：</w:t>
      </w:r>
    </w:p>
    <w:sdt>
      <w:sdtPr>
        <w:rPr>
          <w:szCs w:val="21"/>
        </w:rPr>
        <w:alias w:val="1年内到期的非流动负债说明"/>
        <w:tag w:val="_GBC_8d20cbb6880f4895b7051ae6dee973ca"/>
        <w:id w:val="-1610194809"/>
        <w:placeholder>
          <w:docPart w:val="GBC22222222222222222222222222222"/>
        </w:placeholder>
      </w:sdtPr>
      <w:sdtContent>
        <w:p>
          <w:pPr>
            <w:spacing w:line="360" w:lineRule="exact"/>
            <w:ind w:leftChars="85" w:left="178" w:firstLineChars="200" w:firstLine="420"/>
            <w:rPr>
              <w:szCs w:val="21"/>
            </w:rPr>
          </w:pPr>
          <w:r>
            <w:rPr>
              <w:rFonts w:hint="eastAsia"/>
              <w:szCs w:val="21"/>
            </w:rPr>
            <w:t>注：一年内到期的长期借款明细：</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EcxSqdP8A0BNshM6sN0A|0|desc|||0|1"/>
          </w:tblPr>
          <w:tblGrid>
            <w:gridCol w:w="2859"/>
            <w:gridCol w:w="2860"/>
            <w:gridCol w:w="2860"/>
          </w:tblGrid>
          <w:tr>
            <w:trPr>
              <w:trHeight w:val="397"/>
              <w:tblHeader/>
              <w:jc w:val="center"/>
            </w:trPr>
            <w:tc>
              <w:tcPr>
                <w:tcW w:w="2859" w:type="dxa"/>
                <w:shd w:val="clear" w:color="auto" w:fill="auto"/>
                <w:vAlign w:val="center"/>
              </w:tcPr>
              <w:p>
                <w:pPr>
                  <w:jc w:val="center"/>
                  <w:rPr>
                    <w:b/>
                    <w:bCs/>
                    <w:color w:val="000000"/>
                    <w:szCs w:val="21"/>
                  </w:rPr>
                </w:pPr>
                <w:r>
                  <w:rPr>
                    <w:rFonts w:hint="eastAsia"/>
                    <w:b/>
                    <w:bCs/>
                    <w:color w:val="000000"/>
                    <w:szCs w:val="21"/>
                  </w:rPr>
                  <w:t>项目</w:t>
                </w:r>
              </w:p>
            </w:tc>
            <w:tc>
              <w:tcPr>
                <w:tcW w:w="2860" w:type="dxa"/>
                <w:shd w:val="clear" w:color="auto" w:fill="auto"/>
                <w:vAlign w:val="center"/>
              </w:tcPr>
              <w:p>
                <w:pPr>
                  <w:jc w:val="center"/>
                  <w:rPr>
                    <w:b/>
                    <w:bCs/>
                    <w:color w:val="000000"/>
                    <w:szCs w:val="21"/>
                  </w:rPr>
                </w:pPr>
                <w:r>
                  <w:rPr>
                    <w:rFonts w:hint="eastAsia"/>
                    <w:b/>
                    <w:bCs/>
                    <w:color w:val="000000"/>
                    <w:szCs w:val="21"/>
                  </w:rPr>
                  <w:t>期末余额</w:t>
                </w:r>
              </w:p>
            </w:tc>
            <w:tc>
              <w:tcPr>
                <w:tcW w:w="2860" w:type="dxa"/>
                <w:shd w:val="clear" w:color="auto" w:fill="auto"/>
                <w:vAlign w:val="center"/>
              </w:tcPr>
              <w:p>
                <w:pPr>
                  <w:jc w:val="center"/>
                  <w:rPr>
                    <w:b/>
                    <w:bCs/>
                    <w:color w:val="000000"/>
                    <w:szCs w:val="21"/>
                  </w:rPr>
                </w:pPr>
                <w:r>
                  <w:rPr>
                    <w:rFonts w:hint="eastAsia"/>
                    <w:b/>
                    <w:bCs/>
                    <w:color w:val="000000"/>
                    <w:szCs w:val="21"/>
                  </w:rPr>
                  <w:t>期初余额</w:t>
                </w:r>
              </w:p>
            </w:tc>
          </w:tr>
          <w:tr>
            <w:trPr>
              <w:trHeight w:val="397"/>
              <w:jc w:val="center"/>
            </w:trPr>
            <w:tc>
              <w:tcPr>
                <w:tcW w:w="2859" w:type="dxa"/>
                <w:shd w:val="clear" w:color="auto" w:fill="auto"/>
                <w:noWrap/>
                <w:vAlign w:val="center"/>
              </w:tcPr>
              <w:p>
                <w:pPr>
                  <w:rPr>
                    <w:color w:val="000000"/>
                    <w:szCs w:val="21"/>
                  </w:rPr>
                </w:pPr>
                <w:r>
                  <w:rPr>
                    <w:rFonts w:hint="eastAsia"/>
                    <w:color w:val="000000"/>
                    <w:szCs w:val="21"/>
                  </w:rPr>
                  <w:t>保证借款</w:t>
                </w:r>
              </w:p>
            </w:tc>
            <w:tc>
              <w:tcPr>
                <w:tcW w:w="2860" w:type="dxa"/>
                <w:shd w:val="clear" w:color="auto" w:fill="auto"/>
                <w:vAlign w:val="center"/>
              </w:tcPr>
              <w:p>
                <w:pPr>
                  <w:jc w:val="right"/>
                  <w:rPr>
                    <w:color w:val="000000"/>
                    <w:szCs w:val="21"/>
                  </w:rPr>
                </w:pPr>
                <w:r>
                  <w:rPr>
                    <w:rFonts w:hint="eastAsia"/>
                    <w:color w:val="000000"/>
                    <w:szCs w:val="21"/>
                  </w:rPr>
                  <w:t>1,403,057</w:t>
                </w:r>
              </w:p>
            </w:tc>
            <w:tc>
              <w:tcPr>
                <w:tcW w:w="2860" w:type="dxa"/>
                <w:shd w:val="clear" w:color="auto" w:fill="auto"/>
                <w:vAlign w:val="center"/>
              </w:tcPr>
              <w:p>
                <w:pPr>
                  <w:jc w:val="right"/>
                  <w:rPr>
                    <w:color w:val="000000"/>
                    <w:szCs w:val="21"/>
                  </w:rPr>
                </w:pPr>
                <w:r>
                  <w:rPr>
                    <w:rFonts w:hint="eastAsia"/>
                    <w:color w:val="000000"/>
                    <w:szCs w:val="21"/>
                  </w:rPr>
                  <w:t>3,800,610</w:t>
                </w:r>
              </w:p>
            </w:tc>
          </w:tr>
          <w:tr>
            <w:trPr>
              <w:trHeight w:val="397"/>
              <w:jc w:val="center"/>
            </w:trPr>
            <w:tc>
              <w:tcPr>
                <w:tcW w:w="2859" w:type="dxa"/>
                <w:shd w:val="clear" w:color="auto" w:fill="auto"/>
                <w:noWrap/>
                <w:vAlign w:val="center"/>
              </w:tcPr>
              <w:p>
                <w:pPr>
                  <w:rPr>
                    <w:color w:val="000000"/>
                    <w:szCs w:val="21"/>
                  </w:rPr>
                </w:pPr>
                <w:r>
                  <w:rPr>
                    <w:rFonts w:hint="eastAsia"/>
                    <w:color w:val="000000"/>
                    <w:szCs w:val="21"/>
                  </w:rPr>
                  <w:t>抵押借款</w:t>
                </w:r>
              </w:p>
            </w:tc>
            <w:tc>
              <w:tcPr>
                <w:tcW w:w="2860" w:type="dxa"/>
                <w:shd w:val="clear" w:color="auto" w:fill="auto"/>
                <w:vAlign w:val="center"/>
              </w:tcPr>
              <w:p>
                <w:pPr>
                  <w:jc w:val="right"/>
                  <w:rPr>
                    <w:color w:val="000000"/>
                    <w:szCs w:val="21"/>
                  </w:rPr>
                </w:pPr>
              </w:p>
            </w:tc>
            <w:tc>
              <w:tcPr>
                <w:tcW w:w="2860" w:type="dxa"/>
                <w:shd w:val="clear" w:color="auto" w:fill="auto"/>
                <w:vAlign w:val="center"/>
              </w:tcPr>
              <w:p>
                <w:pPr>
                  <w:jc w:val="right"/>
                  <w:rPr>
                    <w:color w:val="000000"/>
                    <w:szCs w:val="21"/>
                  </w:rPr>
                </w:pPr>
                <w:r>
                  <w:rPr>
                    <w:rFonts w:hint="eastAsia"/>
                    <w:color w:val="000000"/>
                    <w:szCs w:val="21"/>
                  </w:rPr>
                  <w:t>2,663,049</w:t>
                </w:r>
              </w:p>
            </w:tc>
          </w:tr>
          <w:tr>
            <w:trPr>
              <w:trHeight w:val="397"/>
              <w:jc w:val="center"/>
            </w:trPr>
            <w:tc>
              <w:tcPr>
                <w:tcW w:w="2859" w:type="dxa"/>
                <w:shd w:val="clear" w:color="auto" w:fill="auto"/>
                <w:noWrap/>
                <w:vAlign w:val="center"/>
              </w:tcPr>
              <w:p>
                <w:pPr>
                  <w:rPr>
                    <w:color w:val="000000"/>
                    <w:szCs w:val="21"/>
                  </w:rPr>
                </w:pPr>
                <w:r>
                  <w:rPr>
                    <w:rFonts w:hint="eastAsia"/>
                    <w:color w:val="000000"/>
                    <w:szCs w:val="21"/>
                  </w:rPr>
                  <w:t>信用借款</w:t>
                </w:r>
              </w:p>
            </w:tc>
            <w:tc>
              <w:tcPr>
                <w:tcW w:w="2860" w:type="dxa"/>
                <w:shd w:val="clear" w:color="auto" w:fill="auto"/>
                <w:vAlign w:val="center"/>
              </w:tcPr>
              <w:p>
                <w:pPr>
                  <w:jc w:val="right"/>
                  <w:rPr>
                    <w:color w:val="000000"/>
                    <w:szCs w:val="21"/>
                  </w:rPr>
                </w:pPr>
                <w:r>
                  <w:rPr>
                    <w:rFonts w:hint="eastAsia"/>
                    <w:color w:val="000000"/>
                    <w:szCs w:val="21"/>
                  </w:rPr>
                  <w:t>15,447,516</w:t>
                </w:r>
              </w:p>
            </w:tc>
            <w:tc>
              <w:tcPr>
                <w:tcW w:w="2860" w:type="dxa"/>
                <w:shd w:val="clear" w:color="auto" w:fill="auto"/>
                <w:vAlign w:val="center"/>
              </w:tcPr>
              <w:p>
                <w:pPr>
                  <w:jc w:val="right"/>
                  <w:rPr>
                    <w:color w:val="000000"/>
                    <w:szCs w:val="21"/>
                  </w:rPr>
                </w:pPr>
                <w:r>
                  <w:rPr>
                    <w:rFonts w:hint="eastAsia"/>
                    <w:color w:val="000000"/>
                    <w:szCs w:val="21"/>
                  </w:rPr>
                  <w:t>1,499,450</w:t>
                </w:r>
              </w:p>
            </w:tc>
          </w:tr>
          <w:tr>
            <w:trPr>
              <w:trHeight w:val="397"/>
              <w:jc w:val="center"/>
            </w:trPr>
            <w:tc>
              <w:tcPr>
                <w:tcW w:w="2859" w:type="dxa"/>
                <w:shd w:val="clear" w:color="auto" w:fill="auto"/>
                <w:noWrap/>
                <w:vAlign w:val="center"/>
              </w:tcPr>
              <w:p>
                <w:pPr>
                  <w:rPr>
                    <w:color w:val="000000"/>
                    <w:szCs w:val="21"/>
                  </w:rPr>
                </w:pPr>
                <w:r>
                  <w:rPr>
                    <w:rFonts w:hint="eastAsia"/>
                    <w:color w:val="000000"/>
                    <w:szCs w:val="21"/>
                  </w:rPr>
                  <w:t>质押借款</w:t>
                </w:r>
              </w:p>
            </w:tc>
            <w:tc>
              <w:tcPr>
                <w:tcW w:w="2860" w:type="dxa"/>
                <w:shd w:val="clear" w:color="auto" w:fill="auto"/>
                <w:vAlign w:val="center"/>
              </w:tcPr>
              <w:p>
                <w:pPr>
                  <w:jc w:val="right"/>
                  <w:rPr>
                    <w:color w:val="000000"/>
                    <w:szCs w:val="21"/>
                  </w:rPr>
                </w:pPr>
                <w:r>
                  <w:rPr>
                    <w:rFonts w:hint="eastAsia"/>
                    <w:color w:val="000000"/>
                    <w:szCs w:val="21"/>
                  </w:rPr>
                  <w:t>2,054,329</w:t>
                </w:r>
              </w:p>
            </w:tc>
            <w:tc>
              <w:tcPr>
                <w:tcW w:w="2860" w:type="dxa"/>
                <w:shd w:val="clear" w:color="auto" w:fill="auto"/>
                <w:vAlign w:val="center"/>
              </w:tcPr>
              <w:p>
                <w:pPr>
                  <w:jc w:val="right"/>
                  <w:rPr>
                    <w:color w:val="000000"/>
                    <w:szCs w:val="21"/>
                  </w:rPr>
                </w:pPr>
              </w:p>
            </w:tc>
          </w:tr>
          <w:tr>
            <w:trPr>
              <w:trHeight w:val="397"/>
              <w:jc w:val="center"/>
            </w:trPr>
            <w:tc>
              <w:tcPr>
                <w:tcW w:w="2859" w:type="dxa"/>
                <w:shd w:val="clear" w:color="auto" w:fill="auto"/>
                <w:noWrap/>
                <w:vAlign w:val="center"/>
              </w:tcPr>
              <w:p>
                <w:pPr>
                  <w:rPr>
                    <w:color w:val="000000"/>
                    <w:szCs w:val="21"/>
                  </w:rPr>
                </w:pPr>
                <w:r>
                  <w:rPr>
                    <w:rFonts w:hint="eastAsia"/>
                    <w:color w:val="000000"/>
                    <w:szCs w:val="21"/>
                  </w:rPr>
                  <w:t>应付利息</w:t>
                </w:r>
              </w:p>
            </w:tc>
            <w:tc>
              <w:tcPr>
                <w:tcW w:w="2860" w:type="dxa"/>
                <w:shd w:val="clear" w:color="auto" w:fill="auto"/>
                <w:vAlign w:val="center"/>
              </w:tcPr>
              <w:p>
                <w:pPr>
                  <w:jc w:val="right"/>
                  <w:rPr>
                    <w:color w:val="000000"/>
                    <w:szCs w:val="21"/>
                  </w:rPr>
                </w:pPr>
              </w:p>
            </w:tc>
            <w:tc>
              <w:tcPr>
                <w:tcW w:w="2860" w:type="dxa"/>
                <w:shd w:val="clear" w:color="auto" w:fill="auto"/>
                <w:vAlign w:val="center"/>
              </w:tcPr>
              <w:p>
                <w:pPr>
                  <w:jc w:val="right"/>
                  <w:rPr>
                    <w:color w:val="000000"/>
                    <w:szCs w:val="21"/>
                  </w:rPr>
                </w:pPr>
                <w:r>
                  <w:rPr>
                    <w:rFonts w:hint="eastAsia"/>
                    <w:color w:val="000000"/>
                    <w:szCs w:val="21"/>
                  </w:rPr>
                  <w:t>9,380</w:t>
                </w:r>
              </w:p>
            </w:tc>
          </w:tr>
          <w:tr>
            <w:trPr>
              <w:trHeight w:val="397"/>
              <w:jc w:val="center"/>
            </w:trPr>
            <w:tc>
              <w:tcPr>
                <w:tcW w:w="2859" w:type="dxa"/>
                <w:shd w:val="clear" w:color="auto" w:fill="auto"/>
                <w:vAlign w:val="center"/>
              </w:tcPr>
              <w:p>
                <w:pPr>
                  <w:jc w:val="center"/>
                  <w:rPr>
                    <w:color w:val="000000"/>
                    <w:szCs w:val="21"/>
                  </w:rPr>
                </w:pPr>
                <w:r>
                  <w:rPr>
                    <w:rFonts w:hint="eastAsia"/>
                    <w:color w:val="000000"/>
                    <w:szCs w:val="21"/>
                  </w:rPr>
                  <w:t>合计</w:t>
                </w:r>
              </w:p>
            </w:tc>
            <w:tc>
              <w:tcPr>
                <w:tcW w:w="2860" w:type="dxa"/>
                <w:shd w:val="clear" w:color="auto" w:fill="auto"/>
                <w:vAlign w:val="center"/>
              </w:tcPr>
              <w:p>
                <w:pPr>
                  <w:jc w:val="right"/>
                  <w:rPr>
                    <w:color w:val="000000"/>
                    <w:szCs w:val="21"/>
                  </w:rPr>
                </w:pPr>
                <w:r>
                  <w:rPr>
                    <w:color w:val="000000"/>
                    <w:szCs w:val="21"/>
                  </w:rPr>
                  <w:t>18,904,902</w:t>
                </w:r>
              </w:p>
            </w:tc>
            <w:tc>
              <w:tcPr>
                <w:tcW w:w="2860" w:type="dxa"/>
                <w:shd w:val="clear" w:color="auto" w:fill="auto"/>
                <w:vAlign w:val="center"/>
              </w:tcPr>
              <w:p>
                <w:pPr>
                  <w:jc w:val="right"/>
                  <w:rPr>
                    <w:color w:val="000000"/>
                    <w:szCs w:val="21"/>
                  </w:rPr>
                </w:pPr>
                <w:r>
                  <w:rPr>
                    <w:rFonts w:hint="eastAsia"/>
                    <w:color w:val="000000"/>
                    <w:szCs w:val="21"/>
                  </w:rPr>
                  <w:t>7,972,489</w:t>
                </w:r>
              </w:p>
            </w:tc>
          </w:tr>
        </w:tbl>
        <w:p>
          <w:pPr>
            <w:autoSpaceDE w:val="0"/>
            <w:autoSpaceDN w:val="0"/>
            <w:adjustRightInd w:val="0"/>
            <w:spacing w:afterLines="50" w:after="120" w:line="360" w:lineRule="exact"/>
            <w:ind w:firstLine="420"/>
            <w:rPr>
              <w:szCs w:val="21"/>
            </w:rPr>
          </w:pPr>
        </w:p>
        <w:p>
          <w:pPr>
            <w:autoSpaceDE w:val="0"/>
            <w:autoSpaceDN w:val="0"/>
            <w:adjustRightInd w:val="0"/>
            <w:spacing w:afterLines="50" w:after="120" w:line="360" w:lineRule="exact"/>
            <w:ind w:firstLine="420"/>
            <w:rPr>
              <w:szCs w:val="21"/>
            </w:rPr>
          </w:pPr>
          <w:r>
            <w:rPr>
              <w:rFonts w:hint="eastAsia"/>
              <w:szCs w:val="21"/>
            </w:rPr>
            <w:lastRenderedPageBreak/>
            <w:t>一年内到期的长期借款中人民币借款利率在2.38%至4.98%之间，外币美元借款利率为3个月libor+1.8%。一年内到期的长期借款中美元借款余额为</w:t>
          </w:r>
          <w:r>
            <w:rPr>
              <w:szCs w:val="21"/>
            </w:rPr>
            <w:t>100</w:t>
          </w:r>
          <w:r>
            <w:rPr>
              <w:rFonts w:hint="eastAsia"/>
              <w:szCs w:val="21"/>
            </w:rPr>
            <w:t>,0</w:t>
          </w:r>
          <w:r>
            <w:rPr>
              <w:szCs w:val="21"/>
            </w:rPr>
            <w:t>00</w:t>
          </w:r>
          <w:r>
            <w:rPr>
              <w:rFonts w:hint="eastAsia"/>
              <w:szCs w:val="21"/>
            </w:rPr>
            <w:t>千元，折合人民币</w:t>
          </w:r>
          <w:r>
            <w:rPr>
              <w:szCs w:val="21"/>
            </w:rPr>
            <w:t>718</w:t>
          </w:r>
          <w:r>
            <w:rPr>
              <w:rFonts w:hint="eastAsia"/>
              <w:szCs w:val="21"/>
            </w:rPr>
            <w:t>,8</w:t>
          </w:r>
          <w:r>
            <w:rPr>
              <w:szCs w:val="21"/>
            </w:rPr>
            <w:t>40</w:t>
          </w:r>
          <w:r>
            <w:rPr>
              <w:rFonts w:hint="eastAsia"/>
              <w:szCs w:val="21"/>
            </w:rPr>
            <w:t>千元。</w:t>
          </w:r>
        </w:p>
        <w:p>
          <w:pPr>
            <w:autoSpaceDE w:val="0"/>
            <w:autoSpaceDN w:val="0"/>
            <w:adjustRightInd w:val="0"/>
            <w:spacing w:afterLines="50" w:after="120" w:line="360" w:lineRule="exact"/>
            <w:ind w:firstLine="420"/>
            <w:rPr>
              <w:szCs w:val="21"/>
            </w:rPr>
          </w:pPr>
          <w:r>
            <w:rPr>
              <w:rFonts w:hint="eastAsia"/>
              <w:szCs w:val="21"/>
            </w:rPr>
            <w:t>一年内到期的保证借款由7家公司提供担保，其中：264,217千元由山东能源集团有限公司和陕西延长石油(集团)有限公司共同提供担保；20,000千元由鄂尔多斯市锋威光电有限公司提供担保，40,000千元由山东能源鲁西矿业有限公司提供担保；210,000千元由山东能源临沂矿业集团与临沂矿业集团菏泽煤电的小股东共同担保；150,000千元为兖州煤业有限公司担保；其余全部由本公司提供担保。</w:t>
          </w:r>
        </w:p>
        <w:p>
          <w:pPr>
            <w:autoSpaceDE w:val="0"/>
            <w:autoSpaceDN w:val="0"/>
            <w:adjustRightInd w:val="0"/>
            <w:spacing w:afterLines="50" w:after="120" w:line="360" w:lineRule="exact"/>
            <w:ind w:firstLine="420"/>
            <w:rPr>
              <w:szCs w:val="21"/>
            </w:rPr>
          </w:pPr>
          <w:r>
            <w:rPr>
              <w:rFonts w:hint="eastAsia"/>
              <w:szCs w:val="21"/>
            </w:rPr>
            <w:t>一年内到期的质押借款具体情况详见本附注“（七、（四十五））长期借款”。</w:t>
          </w:r>
        </w:p>
        <w:p>
          <w:pPr>
            <w:rPr>
              <w:szCs w:val="21"/>
            </w:rPr>
          </w:pPr>
        </w:p>
      </w:sdtContent>
    </w:sdt>
    <w:bookmarkEnd w:id="449"/>
    <w:p>
      <w:pPr>
        <w:pStyle w:val="affffffffffffffffff6"/>
        <w:numPr>
          <w:ilvl w:val="0"/>
          <w:numId w:val="103"/>
        </w:numPr>
        <w:tabs>
          <w:tab w:val="left" w:pos="504"/>
        </w:tabs>
        <w:rPr>
          <w:rFonts w:ascii="宋体" w:hAnsi="宋体"/>
          <w:szCs w:val="21"/>
        </w:rPr>
      </w:pPr>
      <w:r>
        <w:rPr>
          <w:rFonts w:ascii="宋体" w:hAnsi="宋体" w:hint="eastAsia"/>
          <w:szCs w:val="21"/>
        </w:rPr>
        <w:t>其他</w:t>
      </w:r>
      <w:r>
        <w:rPr>
          <w:rFonts w:hint="eastAsia"/>
          <w:szCs w:val="21"/>
        </w:rPr>
        <w:t>流动</w:t>
      </w:r>
      <w:r>
        <w:rPr>
          <w:rFonts w:ascii="宋体" w:hAnsi="宋体" w:hint="eastAsia"/>
          <w:szCs w:val="21"/>
        </w:rPr>
        <w:t>负债</w:t>
      </w:r>
    </w:p>
    <w:p>
      <w:pPr>
        <w:rPr>
          <w:szCs w:val="21"/>
        </w:rPr>
      </w:pPr>
      <w:bookmarkStart w:id="450" w:name="_Hlk533670262"/>
      <w:r>
        <w:rPr>
          <w:rFonts w:hint="eastAsia"/>
          <w:szCs w:val="21"/>
        </w:rPr>
        <w:t>其他流动负债情况</w:t>
      </w:r>
    </w:p>
    <w:sdt>
      <w:sdtPr>
        <w:rPr>
          <w:rFonts w:hint="eastAsia"/>
          <w:szCs w:val="21"/>
        </w:rPr>
        <w:alias w:val="是否适用：其他流动负债情况 [双击切换]"/>
        <w:tag w:val="_GBC_a84ebf5eebf04d4ab9f07c3da85115c2"/>
        <w:id w:val="209389346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其他流动负债"/>
          <w:tag w:val="_GBC_1a3ea80bd2b9426ead4537785c82d01e"/>
          <w:id w:val="-1398049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其他流动负债"/>
          <w:tag w:val="_GBC_c39ac2b60b0f44cbbd7534c211405631"/>
          <w:id w:val="-15491339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2"/>
        <w:gridCol w:w="3040"/>
        <w:gridCol w:w="3051"/>
      </w:tblGrid>
      <w:tr>
        <w:trPr>
          <w:jc w:val="center"/>
        </w:trPr>
        <w:bookmarkStart w:id="451" w:name="_Hlk533423091" w:displacedByCustomXml="next"/>
        <w:sdt>
          <w:sdtPr>
            <w:rPr>
              <w:szCs w:val="21"/>
            </w:rPr>
            <w:tag w:val="_PLD_96b7e8e5e688449c87d23adc1b63439f"/>
            <w:id w:val="-2073264982"/>
          </w:sdtPr>
          <w:sdtContent>
            <w:tc>
              <w:tcPr>
                <w:tcW w:w="1548" w:type="pct"/>
                <w:tcBorders>
                  <w:top w:val="single" w:sz="4" w:space="0" w:color="auto"/>
                  <w:left w:val="single" w:sz="4" w:space="0" w:color="auto"/>
                  <w:bottom w:val="single" w:sz="4" w:space="0" w:color="auto"/>
                  <w:right w:val="single" w:sz="4" w:space="0" w:color="auto"/>
                </w:tcBorders>
                <w:vAlign w:val="bottom"/>
              </w:tcPr>
              <w:p>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sdtContent>
        </w:sdt>
        <w:sdt>
          <w:sdtPr>
            <w:rPr>
              <w:szCs w:val="21"/>
            </w:rPr>
            <w:tag w:val="_PLD_741229e75da644bb809ec002cfe06423"/>
            <w:id w:val="-717200060"/>
          </w:sdtPr>
          <w:sdtContent>
            <w:tc>
              <w:tcPr>
                <w:tcW w:w="1723" w:type="pct"/>
                <w:tcBorders>
                  <w:top w:val="single" w:sz="4" w:space="0" w:color="auto"/>
                  <w:left w:val="single" w:sz="4" w:space="0" w:color="auto"/>
                  <w:bottom w:val="single" w:sz="4" w:space="0" w:color="auto"/>
                  <w:right w:val="single" w:sz="4" w:space="0" w:color="auto"/>
                </w:tcBorders>
              </w:tcPr>
              <w:p>
                <w:pPr>
                  <w:adjustRightInd w:val="0"/>
                  <w:snapToGrid w:val="0"/>
                  <w:jc w:val="center"/>
                  <w:rPr>
                    <w:szCs w:val="21"/>
                  </w:rPr>
                </w:pPr>
                <w:r>
                  <w:rPr>
                    <w:rFonts w:hint="eastAsia"/>
                    <w:szCs w:val="21"/>
                  </w:rPr>
                  <w:t>期末余额</w:t>
                </w:r>
              </w:p>
            </w:tc>
          </w:sdtContent>
        </w:sdt>
        <w:sdt>
          <w:sdtPr>
            <w:rPr>
              <w:szCs w:val="21"/>
            </w:rPr>
            <w:tag w:val="_PLD_426d25a331b04af9b2ec53d6a7e168d4"/>
            <w:id w:val="1226649361"/>
          </w:sdtPr>
          <w:sdtContent>
            <w:tc>
              <w:tcPr>
                <w:tcW w:w="1729" w:type="pct"/>
                <w:tcBorders>
                  <w:top w:val="single" w:sz="4" w:space="0" w:color="auto"/>
                  <w:left w:val="single" w:sz="4" w:space="0" w:color="auto"/>
                  <w:bottom w:val="single" w:sz="4" w:space="0" w:color="auto"/>
                  <w:right w:val="single" w:sz="4" w:space="0" w:color="auto"/>
                </w:tcBorders>
              </w:tcPr>
              <w:p>
                <w:pPr>
                  <w:adjustRightInd w:val="0"/>
                  <w:snapToGrid w:val="0"/>
                  <w:jc w:val="center"/>
                  <w:rPr>
                    <w:szCs w:val="21"/>
                  </w:rPr>
                </w:pPr>
                <w:r>
                  <w:rPr>
                    <w:rFonts w:hint="eastAsia"/>
                    <w:szCs w:val="21"/>
                  </w:rPr>
                  <w:t>期初余额</w:t>
                </w:r>
              </w:p>
            </w:tc>
          </w:sdtContent>
        </w:sdt>
      </w:tr>
      <w:tr>
        <w:trPr>
          <w:jc w:val="center"/>
        </w:trPr>
        <w:tc>
          <w:tcPr>
            <w:tcW w:w="154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待转销项税金</w:t>
            </w:r>
          </w:p>
        </w:tc>
        <w:tc>
          <w:tcPr>
            <w:tcW w:w="172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589,071</w:t>
            </w:r>
          </w:p>
        </w:tc>
        <w:tc>
          <w:tcPr>
            <w:tcW w:w="172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645,434</w:t>
            </w:r>
          </w:p>
        </w:tc>
      </w:tr>
      <w:tr>
        <w:trPr>
          <w:jc w:val="center"/>
        </w:trPr>
        <w:tc>
          <w:tcPr>
            <w:tcW w:w="154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未终止确认的应收票据</w:t>
            </w:r>
          </w:p>
        </w:tc>
        <w:tc>
          <w:tcPr>
            <w:tcW w:w="172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337,377</w:t>
            </w:r>
          </w:p>
        </w:tc>
        <w:tc>
          <w:tcPr>
            <w:tcW w:w="172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391,702</w:t>
            </w:r>
          </w:p>
        </w:tc>
      </w:tr>
      <w:tr>
        <w:trPr>
          <w:jc w:val="center"/>
        </w:trPr>
        <w:tc>
          <w:tcPr>
            <w:tcW w:w="154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土地塌陷、复原、重整及环保费</w:t>
            </w:r>
          </w:p>
        </w:tc>
        <w:tc>
          <w:tcPr>
            <w:tcW w:w="172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110,961</w:t>
            </w:r>
          </w:p>
        </w:tc>
        <w:tc>
          <w:tcPr>
            <w:tcW w:w="172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101,326</w:t>
            </w:r>
          </w:p>
        </w:tc>
      </w:tr>
      <w:tr>
        <w:trPr>
          <w:jc w:val="center"/>
        </w:trPr>
        <w:tc>
          <w:tcPr>
            <w:tcW w:w="1548" w:type="pct"/>
            <w:tcBorders>
              <w:top w:val="single" w:sz="4" w:space="0" w:color="auto"/>
              <w:left w:val="single" w:sz="4" w:space="0" w:color="auto"/>
              <w:bottom w:val="single" w:sz="4" w:space="0" w:color="auto"/>
              <w:right w:val="single" w:sz="4" w:space="0" w:color="auto"/>
            </w:tcBorders>
          </w:tcPr>
          <w:p>
            <w:pPr>
              <w:jc w:val="center"/>
              <w:rPr>
                <w:szCs w:val="21"/>
              </w:rPr>
            </w:pPr>
            <w:r>
              <w:rPr>
                <w:rFonts w:hint="eastAsia"/>
                <w:szCs w:val="21"/>
              </w:rPr>
              <w:t>合计</w:t>
            </w:r>
          </w:p>
        </w:tc>
        <w:tc>
          <w:tcPr>
            <w:tcW w:w="1723"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1,037,409</w:t>
            </w:r>
          </w:p>
        </w:tc>
        <w:tc>
          <w:tcPr>
            <w:tcW w:w="1729"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1,138,462</w:t>
            </w:r>
          </w:p>
        </w:tc>
      </w:tr>
    </w:tbl>
    <w:p>
      <w:pPr>
        <w:rPr>
          <w:color w:val="000000" w:themeColor="text1"/>
          <w:szCs w:val="21"/>
        </w:rPr>
      </w:pPr>
    </w:p>
    <w:bookmarkEnd w:id="450"/>
    <w:bookmarkEnd w:id="451"/>
    <w:p>
      <w:pPr>
        <w:rPr>
          <w:szCs w:val="21"/>
        </w:rPr>
        <w:sectPr>
          <w:pgSz w:w="11906" w:h="16838"/>
          <w:pgMar w:top="1440" w:right="1797" w:bottom="1525" w:left="1276" w:header="856" w:footer="992" w:gutter="0"/>
          <w:cols w:space="425"/>
          <w:docGrid w:linePitch="312"/>
        </w:sectPr>
      </w:pPr>
    </w:p>
    <w:p>
      <w:pPr>
        <w:rPr>
          <w:szCs w:val="21"/>
        </w:rPr>
      </w:pPr>
    </w:p>
    <w:p>
      <w:pPr>
        <w:pStyle w:val="affffffffffffffffffffffffffffffffe"/>
      </w:pPr>
      <w:r>
        <w:rPr>
          <w:rFonts w:hint="eastAsia"/>
        </w:rPr>
        <w:t>短期</w:t>
      </w:r>
      <w:r>
        <w:t>应付债券的增减变动</w:t>
      </w:r>
      <w:r>
        <w:rPr>
          <w:rFonts w:hint="eastAsia"/>
        </w:rPr>
        <w:t>：</w:t>
      </w:r>
    </w:p>
    <w:sdt>
      <w:sdtPr>
        <w:alias w:val="是否适用：短期应付债券的增减变动[双击切换]"/>
        <w:tag w:val="_GBC_9702365af41547e6b7eeb62225fd79a4"/>
        <w:id w:val="-23239030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963618353"/>
        <w:placeholder>
          <w:docPart w:val="GBC22222222222222222222222222222"/>
        </w:placeholder>
      </w:sdt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sectPr>
          <w:pgSz w:w="11906" w:h="16838"/>
          <w:pgMar w:top="1440" w:right="1797" w:bottom="1525" w:left="1276" w:header="856" w:footer="992" w:gutter="0"/>
          <w:cols w:space="425"/>
          <w:docGrid w:linePitch="312"/>
        </w:sectPr>
      </w:pPr>
    </w:p>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长期</w:t>
      </w:r>
      <w:r>
        <w:rPr>
          <w:rFonts w:hint="eastAsia"/>
          <w:szCs w:val="21"/>
        </w:rPr>
        <w:t>借款</w:t>
      </w:r>
    </w:p>
    <w:p>
      <w:pPr>
        <w:pStyle w:val="afffffffffffffffffffffffffffffffff1"/>
        <w:numPr>
          <w:ilvl w:val="3"/>
          <w:numId w:val="179"/>
        </w:numPr>
      </w:pPr>
      <w:r>
        <w:rPr>
          <w:rFonts w:hint="eastAsia"/>
        </w:rPr>
        <w:t>长期借款分类</w:t>
      </w:r>
    </w:p>
    <w:sdt>
      <w:sdtPr>
        <w:alias w:val="是否适用：长期借款分类[双击切换]"/>
        <w:tag w:val="_GBC_f97d0882083646ed86769469b3ee8875"/>
        <w:id w:val="-2749549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借款分类"/>
          <w:tag w:val="_GBC_1469e55f5b66428a857f07acaf1e4ae0"/>
          <w:id w:val="-149787696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长期借款分类"/>
          <w:tag w:val="_GBC_02e1603886284ce797acd755be7f672a"/>
          <w:id w:val="-13312886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5"/>
        <w:gridCol w:w="2975"/>
        <w:gridCol w:w="2873"/>
      </w:tblGrid>
      <w:tr>
        <w:trPr>
          <w:cantSplit/>
        </w:trPr>
        <w:sdt>
          <w:sdtPr>
            <w:rPr>
              <w:szCs w:val="21"/>
            </w:rPr>
            <w:tag w:val="_PLD_4e1b60888e3248369c96087fd1f19eed"/>
            <w:id w:val="1573312754"/>
          </w:sdtPr>
          <w:sdtContent>
            <w:tc>
              <w:tcPr>
                <w:tcW w:w="1686" w:type="pct"/>
              </w:tcPr>
              <w:p>
                <w:pPr>
                  <w:autoSpaceDE w:val="0"/>
                  <w:autoSpaceDN w:val="0"/>
                  <w:adjustRightInd w:val="0"/>
                  <w:snapToGrid w:val="0"/>
                  <w:jc w:val="center"/>
                  <w:rPr>
                    <w:szCs w:val="21"/>
                  </w:rPr>
                </w:pPr>
                <w:r>
                  <w:rPr>
                    <w:rFonts w:hint="eastAsia"/>
                    <w:szCs w:val="21"/>
                  </w:rPr>
                  <w:t>项目</w:t>
                </w:r>
              </w:p>
            </w:tc>
          </w:sdtContent>
        </w:sdt>
        <w:sdt>
          <w:sdtPr>
            <w:rPr>
              <w:szCs w:val="21"/>
            </w:rPr>
            <w:tag w:val="_PLD_5eb33a0c1cde49ff9ed499493463ec46"/>
            <w:id w:val="528460463"/>
          </w:sdtPr>
          <w:sdtContent>
            <w:tc>
              <w:tcPr>
                <w:tcW w:w="1686" w:type="pct"/>
              </w:tcPr>
              <w:p>
                <w:pPr>
                  <w:jc w:val="center"/>
                  <w:rPr>
                    <w:szCs w:val="21"/>
                  </w:rPr>
                </w:pPr>
                <w:r>
                  <w:rPr>
                    <w:rFonts w:hint="eastAsia"/>
                    <w:szCs w:val="21"/>
                  </w:rPr>
                  <w:t>期末余额</w:t>
                </w:r>
              </w:p>
            </w:tc>
          </w:sdtContent>
        </w:sdt>
        <w:sdt>
          <w:sdtPr>
            <w:rPr>
              <w:szCs w:val="21"/>
            </w:rPr>
            <w:tag w:val="_PLD_9b129c446a5847edb58141b866ffac5d"/>
            <w:id w:val="1540161112"/>
          </w:sdtPr>
          <w:sdtContent>
            <w:tc>
              <w:tcPr>
                <w:tcW w:w="1628" w:type="pct"/>
              </w:tcPr>
              <w:p>
                <w:pPr>
                  <w:jc w:val="center"/>
                  <w:rPr>
                    <w:szCs w:val="21"/>
                  </w:rPr>
                </w:pPr>
                <w:r>
                  <w:rPr>
                    <w:rFonts w:hint="eastAsia"/>
                    <w:szCs w:val="21"/>
                  </w:rPr>
                  <w:t>期初余额</w:t>
                </w:r>
              </w:p>
            </w:tc>
          </w:sdtContent>
        </w:sdt>
      </w:tr>
      <w:tr>
        <w:trPr>
          <w:cantSplit/>
        </w:trPr>
        <w:tc>
          <w:tcPr>
            <w:tcW w:w="1686" w:type="pct"/>
            <w:shd w:val="clear" w:color="auto" w:fill="auto"/>
            <w:vAlign w:val="center"/>
          </w:tcPr>
          <w:p>
            <w:pPr>
              <w:spacing w:line="360" w:lineRule="exact"/>
              <w:rPr>
                <w:szCs w:val="21"/>
              </w:rPr>
            </w:pPr>
            <w:r>
              <w:rPr>
                <w:rFonts w:hint="eastAsia"/>
                <w:szCs w:val="21"/>
              </w:rPr>
              <w:t>信用借款</w:t>
            </w:r>
          </w:p>
        </w:tc>
        <w:tc>
          <w:tcPr>
            <w:tcW w:w="1686" w:type="pct"/>
            <w:shd w:val="clear" w:color="auto" w:fill="auto"/>
            <w:vAlign w:val="center"/>
          </w:tcPr>
          <w:p>
            <w:pPr>
              <w:spacing w:line="360" w:lineRule="exact"/>
              <w:jc w:val="right"/>
              <w:rPr>
                <w:szCs w:val="21"/>
              </w:rPr>
            </w:pPr>
            <w:r>
              <w:rPr>
                <w:szCs w:val="21"/>
              </w:rPr>
              <w:t>41,689,687</w:t>
            </w:r>
          </w:p>
        </w:tc>
        <w:tc>
          <w:tcPr>
            <w:tcW w:w="1628" w:type="pct"/>
            <w:shd w:val="clear" w:color="auto" w:fill="auto"/>
            <w:vAlign w:val="center"/>
          </w:tcPr>
          <w:p>
            <w:pPr>
              <w:spacing w:line="360" w:lineRule="exact"/>
              <w:jc w:val="right"/>
              <w:rPr>
                <w:szCs w:val="21"/>
              </w:rPr>
            </w:pPr>
            <w:r>
              <w:rPr>
                <w:szCs w:val="21"/>
              </w:rPr>
              <w:t>40,912,685</w:t>
            </w:r>
          </w:p>
        </w:tc>
      </w:tr>
      <w:tr>
        <w:trPr>
          <w:cantSplit/>
        </w:trPr>
        <w:tc>
          <w:tcPr>
            <w:tcW w:w="1686" w:type="pct"/>
            <w:shd w:val="clear" w:color="auto" w:fill="auto"/>
            <w:vAlign w:val="center"/>
          </w:tcPr>
          <w:p>
            <w:pPr>
              <w:spacing w:line="360" w:lineRule="exact"/>
              <w:rPr>
                <w:szCs w:val="21"/>
              </w:rPr>
            </w:pPr>
            <w:r>
              <w:rPr>
                <w:rFonts w:hint="eastAsia"/>
                <w:szCs w:val="21"/>
              </w:rPr>
              <w:t>保证借款（注2）</w:t>
            </w:r>
          </w:p>
        </w:tc>
        <w:tc>
          <w:tcPr>
            <w:tcW w:w="1686" w:type="pct"/>
            <w:shd w:val="clear" w:color="auto" w:fill="auto"/>
            <w:vAlign w:val="center"/>
          </w:tcPr>
          <w:p>
            <w:pPr>
              <w:spacing w:line="360" w:lineRule="exact"/>
              <w:jc w:val="right"/>
              <w:rPr>
                <w:szCs w:val="21"/>
              </w:rPr>
            </w:pPr>
            <w:r>
              <w:rPr>
                <w:szCs w:val="21"/>
              </w:rPr>
              <w:t>8,138,750</w:t>
            </w:r>
          </w:p>
        </w:tc>
        <w:tc>
          <w:tcPr>
            <w:tcW w:w="1628" w:type="pct"/>
            <w:shd w:val="clear" w:color="auto" w:fill="auto"/>
            <w:vAlign w:val="center"/>
          </w:tcPr>
          <w:p>
            <w:pPr>
              <w:spacing w:line="360" w:lineRule="exact"/>
              <w:jc w:val="right"/>
              <w:rPr>
                <w:szCs w:val="21"/>
              </w:rPr>
            </w:pPr>
            <w:r>
              <w:rPr>
                <w:szCs w:val="21"/>
              </w:rPr>
              <w:t>11,049,770</w:t>
            </w:r>
          </w:p>
        </w:tc>
      </w:tr>
      <w:tr>
        <w:trPr>
          <w:cantSplit/>
        </w:trPr>
        <w:tc>
          <w:tcPr>
            <w:tcW w:w="1686" w:type="pct"/>
            <w:shd w:val="clear" w:color="auto" w:fill="auto"/>
            <w:vAlign w:val="center"/>
          </w:tcPr>
          <w:p>
            <w:pPr>
              <w:spacing w:line="360" w:lineRule="exact"/>
              <w:rPr>
                <w:szCs w:val="21"/>
              </w:rPr>
            </w:pPr>
            <w:r>
              <w:rPr>
                <w:rFonts w:hint="eastAsia"/>
                <w:szCs w:val="21"/>
              </w:rPr>
              <w:t>质押借款（注3）</w:t>
            </w:r>
          </w:p>
        </w:tc>
        <w:tc>
          <w:tcPr>
            <w:tcW w:w="1686" w:type="pct"/>
            <w:shd w:val="clear" w:color="auto" w:fill="auto"/>
            <w:vAlign w:val="center"/>
          </w:tcPr>
          <w:p>
            <w:pPr>
              <w:spacing w:line="360" w:lineRule="exact"/>
              <w:jc w:val="right"/>
              <w:rPr>
                <w:szCs w:val="21"/>
              </w:rPr>
            </w:pPr>
            <w:r>
              <w:rPr>
                <w:szCs w:val="21"/>
              </w:rPr>
              <w:t>5,150,216</w:t>
            </w:r>
          </w:p>
        </w:tc>
        <w:tc>
          <w:tcPr>
            <w:tcW w:w="1628" w:type="pct"/>
            <w:shd w:val="clear" w:color="auto" w:fill="auto"/>
            <w:vAlign w:val="center"/>
          </w:tcPr>
          <w:p>
            <w:pPr>
              <w:spacing w:line="360" w:lineRule="exact"/>
              <w:jc w:val="right"/>
              <w:rPr>
                <w:szCs w:val="21"/>
              </w:rPr>
            </w:pPr>
            <w:r>
              <w:rPr>
                <w:szCs w:val="21"/>
              </w:rPr>
              <w:t>6,395,868</w:t>
            </w:r>
          </w:p>
        </w:tc>
      </w:tr>
      <w:tr>
        <w:trPr>
          <w:cantSplit/>
        </w:trPr>
        <w:tc>
          <w:tcPr>
            <w:tcW w:w="1686" w:type="pct"/>
            <w:shd w:val="clear" w:color="auto" w:fill="auto"/>
            <w:vAlign w:val="center"/>
          </w:tcPr>
          <w:p>
            <w:pPr>
              <w:spacing w:line="360" w:lineRule="exact"/>
              <w:rPr>
                <w:szCs w:val="21"/>
              </w:rPr>
            </w:pPr>
            <w:r>
              <w:rPr>
                <w:rFonts w:hint="eastAsia"/>
                <w:szCs w:val="21"/>
              </w:rPr>
              <w:t>抵押借款（注4）</w:t>
            </w:r>
          </w:p>
        </w:tc>
        <w:tc>
          <w:tcPr>
            <w:tcW w:w="1686" w:type="pct"/>
            <w:shd w:val="clear" w:color="auto" w:fill="auto"/>
            <w:vAlign w:val="center"/>
          </w:tcPr>
          <w:p>
            <w:pPr>
              <w:spacing w:line="360" w:lineRule="exact"/>
              <w:jc w:val="right"/>
              <w:rPr>
                <w:szCs w:val="21"/>
              </w:rPr>
            </w:pPr>
            <w:r>
              <w:rPr>
                <w:szCs w:val="21"/>
              </w:rPr>
              <w:t>718,840</w:t>
            </w:r>
          </w:p>
        </w:tc>
        <w:tc>
          <w:tcPr>
            <w:tcW w:w="1628" w:type="pct"/>
            <w:shd w:val="clear" w:color="auto" w:fill="auto"/>
            <w:vAlign w:val="center"/>
          </w:tcPr>
          <w:p>
            <w:pPr>
              <w:spacing w:line="360" w:lineRule="exact"/>
              <w:jc w:val="right"/>
              <w:rPr>
                <w:szCs w:val="21"/>
              </w:rPr>
            </w:pPr>
            <w:r>
              <w:rPr>
                <w:szCs w:val="21"/>
              </w:rPr>
              <w:t>2,994,526</w:t>
            </w:r>
          </w:p>
        </w:tc>
      </w:tr>
      <w:tr>
        <w:trPr>
          <w:cantSplit/>
        </w:trPr>
        <w:tc>
          <w:tcPr>
            <w:tcW w:w="1686" w:type="pct"/>
            <w:vAlign w:val="center"/>
          </w:tcPr>
          <w:p>
            <w:pPr>
              <w:spacing w:line="360" w:lineRule="exact"/>
              <w:rPr>
                <w:szCs w:val="21"/>
              </w:rPr>
            </w:pPr>
            <w:r>
              <w:rPr>
                <w:rFonts w:hint="eastAsia"/>
                <w:szCs w:val="21"/>
              </w:rPr>
              <w:t>应付利息</w:t>
            </w:r>
          </w:p>
        </w:tc>
        <w:tc>
          <w:tcPr>
            <w:tcW w:w="1686" w:type="pct"/>
            <w:vAlign w:val="center"/>
          </w:tcPr>
          <w:p>
            <w:pPr>
              <w:spacing w:line="360" w:lineRule="exact"/>
              <w:jc w:val="right"/>
              <w:rPr>
                <w:szCs w:val="21"/>
              </w:rPr>
            </w:pPr>
            <w:r>
              <w:rPr>
                <w:szCs w:val="21"/>
              </w:rPr>
              <w:t>2,230</w:t>
            </w:r>
          </w:p>
        </w:tc>
        <w:tc>
          <w:tcPr>
            <w:tcW w:w="1628" w:type="pct"/>
            <w:vAlign w:val="center"/>
          </w:tcPr>
          <w:p>
            <w:pPr>
              <w:spacing w:line="360" w:lineRule="exact"/>
              <w:jc w:val="right"/>
              <w:rPr>
                <w:szCs w:val="21"/>
              </w:rPr>
            </w:pPr>
            <w:r>
              <w:rPr>
                <w:szCs w:val="21"/>
              </w:rPr>
              <w:t>2,371</w:t>
            </w:r>
          </w:p>
        </w:tc>
      </w:tr>
      <w:tr>
        <w:trPr>
          <w:cantSplit/>
        </w:trPr>
        <w:tc>
          <w:tcPr>
            <w:tcW w:w="1686" w:type="pct"/>
            <w:vAlign w:val="center"/>
          </w:tcPr>
          <w:p>
            <w:pPr>
              <w:autoSpaceDE w:val="0"/>
              <w:autoSpaceDN w:val="0"/>
              <w:adjustRightInd w:val="0"/>
              <w:snapToGrid w:val="0"/>
              <w:jc w:val="center"/>
              <w:rPr>
                <w:szCs w:val="21"/>
              </w:rPr>
            </w:pPr>
            <w:r>
              <w:rPr>
                <w:rFonts w:hint="eastAsia"/>
                <w:szCs w:val="21"/>
              </w:rPr>
              <w:t>合计</w:t>
            </w:r>
          </w:p>
        </w:tc>
        <w:tc>
          <w:tcPr>
            <w:tcW w:w="1686" w:type="pct"/>
          </w:tcPr>
          <w:p>
            <w:pPr>
              <w:autoSpaceDE w:val="0"/>
              <w:autoSpaceDN w:val="0"/>
              <w:adjustRightInd w:val="0"/>
              <w:snapToGrid w:val="0"/>
              <w:ind w:right="180"/>
              <w:jc w:val="right"/>
              <w:rPr>
                <w:szCs w:val="21"/>
              </w:rPr>
            </w:pPr>
            <w:r>
              <w:rPr>
                <w:szCs w:val="21"/>
              </w:rPr>
              <w:t>55,699,723</w:t>
            </w:r>
          </w:p>
        </w:tc>
        <w:tc>
          <w:tcPr>
            <w:tcW w:w="1628" w:type="pct"/>
          </w:tcPr>
          <w:p>
            <w:pPr>
              <w:jc w:val="right"/>
              <w:rPr>
                <w:szCs w:val="21"/>
              </w:rPr>
            </w:pPr>
            <w:r>
              <w:rPr>
                <w:szCs w:val="21"/>
              </w:rPr>
              <w:t>61,355,220</w:t>
            </w:r>
          </w:p>
        </w:tc>
      </w:tr>
    </w:tbl>
    <w:p>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244884442"/>
        <w:placeholder>
          <w:docPart w:val="GBC22222222222222222222222222222"/>
        </w:placeholder>
      </w:sdtPr>
      <w:sdtContent>
        <w:p>
          <w:pPr>
            <w:spacing w:afterLines="50" w:after="120" w:line="360" w:lineRule="exact"/>
            <w:ind w:firstLine="420"/>
            <w:rPr>
              <w:rFonts w:asciiTheme="minorEastAsia" w:hAnsiTheme="minorEastAsia"/>
            </w:rPr>
          </w:pPr>
          <w:r>
            <w:rPr>
              <w:rFonts w:asciiTheme="minorEastAsia" w:hAnsiTheme="minorEastAsia" w:hint="eastAsia"/>
            </w:rPr>
            <w:t>注</w:t>
          </w:r>
          <w:r>
            <w:rPr>
              <w:rFonts w:asciiTheme="minorEastAsia" w:hAnsiTheme="minorEastAsia"/>
            </w:rPr>
            <w:t>1：长期借款中人民币借款利率在2.38%至4.98%之间，外币澳元借款利率为8.70%；澳元借款余额为33,299千元，折合人民币157,400千元。</w:t>
          </w:r>
          <w:r>
            <w:rPr>
              <w:rFonts w:asciiTheme="minorEastAsia" w:eastAsiaTheme="minorEastAsia" w:hAnsiTheme="minorEastAsia" w:hint="eastAsia"/>
            </w:rPr>
            <w:t>外币美元借款利率为3个月Libor+1.8%-6.2%之间;美元借款余额为100,000千元，折合人民币718,840千元。</w:t>
          </w:r>
        </w:p>
        <w:p>
          <w:pPr>
            <w:spacing w:afterLines="50" w:after="120" w:line="360" w:lineRule="exact"/>
            <w:ind w:firstLine="420"/>
            <w:rPr>
              <w:rFonts w:asciiTheme="minorEastAsia" w:hAnsiTheme="minorEastAsia"/>
            </w:rPr>
          </w:pPr>
          <w:r>
            <w:rPr>
              <w:rFonts w:asciiTheme="minorEastAsia" w:hAnsiTheme="minorEastAsia" w:hint="eastAsia"/>
            </w:rPr>
            <w:t>注</w:t>
          </w:r>
          <w:r>
            <w:rPr>
              <w:rFonts w:asciiTheme="minorEastAsia" w:hAnsiTheme="minorEastAsia"/>
            </w:rPr>
            <w:t>2：保证借款共计</w:t>
          </w:r>
          <w:r>
            <w:rPr>
              <w:rFonts w:asciiTheme="minorEastAsia" w:eastAsiaTheme="minorEastAsia" w:hAnsiTheme="minorEastAsia"/>
            </w:rPr>
            <w:t>9,541,807</w:t>
          </w:r>
          <w:r>
            <w:rPr>
              <w:rFonts w:asciiTheme="minorEastAsia" w:hAnsiTheme="minorEastAsia" w:hint="eastAsia"/>
            </w:rPr>
            <w:t>千元，包括一年以内到期的保证借款</w:t>
          </w:r>
          <w:r>
            <w:rPr>
              <w:rFonts w:asciiTheme="minorEastAsia" w:hAnsiTheme="minorEastAsia"/>
            </w:rPr>
            <w:t>1,</w:t>
          </w:r>
          <w:r>
            <w:rPr>
              <w:rFonts w:asciiTheme="minorEastAsia" w:eastAsiaTheme="minorEastAsia" w:hAnsiTheme="minorEastAsia" w:hint="eastAsia"/>
            </w:rPr>
            <w:t>403,057</w:t>
          </w:r>
          <w:r>
            <w:rPr>
              <w:rFonts w:asciiTheme="minorEastAsia" w:hAnsiTheme="minorEastAsia" w:hint="eastAsia"/>
            </w:rPr>
            <w:t>千元</w:t>
          </w:r>
          <w:r>
            <w:rPr>
              <w:rFonts w:asciiTheme="minorEastAsia" w:hAnsiTheme="minorEastAsia"/>
            </w:rPr>
            <w:t>,由10家公司提供担保，其中：1,649,200千元由山东能源集团有限公司和陕西延长石油（集团）有限公司共同提供担保；138,000千元由山东能源鲁西矿业有限公司提供担保；</w:t>
          </w:r>
          <w:r>
            <w:rPr>
              <w:rFonts w:asciiTheme="minorEastAsia" w:eastAsiaTheme="minorEastAsia" w:hAnsiTheme="minorEastAsia"/>
            </w:rPr>
            <w:t>4,227</w:t>
          </w:r>
          <w:r>
            <w:rPr>
              <w:rFonts w:asciiTheme="minorEastAsia" w:hAnsiTheme="minorEastAsia"/>
            </w:rPr>
            <w:t>,500</w:t>
          </w:r>
          <w:r>
            <w:rPr>
              <w:rFonts w:asciiTheme="minorEastAsia" w:eastAsiaTheme="minorEastAsia" w:hAnsiTheme="minorEastAsia" w:hint="eastAsia"/>
            </w:rPr>
            <w:t>千</w:t>
          </w:r>
          <w:r>
            <w:rPr>
              <w:rFonts w:asciiTheme="minorEastAsia" w:hAnsiTheme="minorEastAsia" w:hint="eastAsia"/>
            </w:rPr>
            <w:t>元由新汶矿业集团有限责任公司提供担保；</w:t>
          </w:r>
          <w:r>
            <w:rPr>
              <w:rFonts w:asciiTheme="minorEastAsia" w:hAnsiTheme="minorEastAsia"/>
            </w:rPr>
            <w:t>270,000千元由兖矿新疆能化有限公司提供担保；459,050千元由鄂尔多斯市锋威光电有限公司提供担保，360,000千元由</w:t>
          </w:r>
          <w:r>
            <w:rPr>
              <w:rFonts w:asciiTheme="minorEastAsia" w:eastAsiaTheme="minorEastAsia" w:hAnsiTheme="minorEastAsia" w:hint="eastAsia"/>
            </w:rPr>
            <w:t>临沂矿业集团有限责任公司</w:t>
          </w:r>
          <w:r>
            <w:rPr>
              <w:rFonts w:asciiTheme="minorEastAsia" w:hAnsiTheme="minorEastAsia" w:hint="eastAsia"/>
            </w:rPr>
            <w:t>跟</w:t>
          </w:r>
          <w:r>
            <w:rPr>
              <w:rFonts w:asciiTheme="minorEastAsia" w:eastAsiaTheme="minorEastAsia" w:hAnsiTheme="minorEastAsia" w:hint="eastAsia"/>
            </w:rPr>
            <w:t>临沂矿业集团</w:t>
          </w:r>
          <w:r>
            <w:rPr>
              <w:rFonts w:asciiTheme="minorEastAsia" w:hAnsiTheme="minorEastAsia" w:hint="eastAsia"/>
            </w:rPr>
            <w:t>菏泽煤电</w:t>
          </w:r>
          <w:r>
            <w:rPr>
              <w:rFonts w:asciiTheme="minorEastAsia" w:eastAsiaTheme="minorEastAsia" w:hAnsiTheme="minorEastAsia" w:hint="eastAsia"/>
            </w:rPr>
            <w:t>有限公司</w:t>
          </w:r>
          <w:r>
            <w:rPr>
              <w:rFonts w:asciiTheme="minorEastAsia" w:hAnsiTheme="minorEastAsia" w:hint="eastAsia"/>
            </w:rPr>
            <w:t>的小股东共同担保</w:t>
          </w:r>
          <w:r>
            <w:rPr>
              <w:rFonts w:asciiTheme="minorEastAsia" w:hAnsiTheme="minorEastAsia"/>
            </w:rPr>
            <w:t>,其余全部由</w:t>
          </w:r>
          <w:r>
            <w:rPr>
              <w:rFonts w:asciiTheme="minorEastAsia" w:eastAsiaTheme="minorEastAsia" w:hAnsiTheme="minorEastAsia" w:hint="eastAsia"/>
            </w:rPr>
            <w:t>本公司</w:t>
          </w:r>
          <w:r>
            <w:rPr>
              <w:rFonts w:asciiTheme="minorEastAsia" w:hAnsiTheme="minorEastAsia" w:hint="eastAsia"/>
            </w:rPr>
            <w:t>提供担保。</w:t>
          </w:r>
        </w:p>
        <w:p>
          <w:pPr>
            <w:spacing w:afterLines="50" w:after="120" w:line="360" w:lineRule="exact"/>
            <w:ind w:firstLine="420"/>
            <w:rPr>
              <w:rFonts w:asciiTheme="minorEastAsia" w:eastAsiaTheme="minorEastAsia" w:hAnsiTheme="minorEastAsia"/>
            </w:rPr>
          </w:pPr>
          <w:r>
            <w:rPr>
              <w:rFonts w:asciiTheme="minorEastAsia" w:hAnsiTheme="minorEastAsia" w:hint="eastAsia"/>
            </w:rPr>
            <w:t>注</w:t>
          </w:r>
          <w:r>
            <w:rPr>
              <w:rFonts w:asciiTheme="minorEastAsia" w:hAnsiTheme="minorEastAsia"/>
            </w:rPr>
            <w:t>3：质押借款共计7,</w:t>
          </w:r>
          <w:r>
            <w:rPr>
              <w:rFonts w:asciiTheme="minorEastAsia" w:eastAsiaTheme="minorEastAsia" w:hAnsiTheme="minorEastAsia" w:hint="eastAsia"/>
            </w:rPr>
            <w:t>204,545</w:t>
          </w:r>
          <w:r>
            <w:rPr>
              <w:rFonts w:asciiTheme="minorEastAsia" w:hAnsiTheme="minorEastAsia" w:hint="eastAsia"/>
            </w:rPr>
            <w:t>千元，包括一年以内到期的质押借款</w:t>
          </w:r>
          <w:r>
            <w:rPr>
              <w:rFonts w:asciiTheme="minorEastAsia" w:eastAsiaTheme="minorEastAsia" w:hAnsiTheme="minorEastAsia" w:hint="eastAsia"/>
            </w:rPr>
            <w:t>2,054,329</w:t>
          </w:r>
          <w:r>
            <w:rPr>
              <w:rFonts w:asciiTheme="minorEastAsia" w:hAnsiTheme="minorEastAsia" w:hint="eastAsia"/>
            </w:rPr>
            <w:t>千元，其中：</w:t>
          </w:r>
          <w:r>
            <w:rPr>
              <w:rFonts w:asciiTheme="minorEastAsia" w:hAnsiTheme="minorEastAsia"/>
            </w:rPr>
            <w:t>3,245,000千元的质押物为</w:t>
          </w:r>
          <w:r>
            <w:rPr>
              <w:rFonts w:asciiTheme="minorEastAsia" w:eastAsiaTheme="minorEastAsia" w:hAnsiTheme="minorEastAsia" w:hint="eastAsia"/>
            </w:rPr>
            <w:t>本公司</w:t>
          </w:r>
          <w:r>
            <w:rPr>
              <w:rFonts w:asciiTheme="minorEastAsia" w:hAnsiTheme="minorEastAsia" w:hint="eastAsia"/>
            </w:rPr>
            <w:t>对陕西未来能源化工有限公司的股权</w:t>
          </w:r>
          <w:r>
            <w:rPr>
              <w:rFonts w:asciiTheme="minorEastAsia" w:hAnsiTheme="minorEastAsia"/>
            </w:rPr>
            <w:t>146,448万股，账面价值为4,714,110千元；3,</w:t>
          </w:r>
          <w:r>
            <w:rPr>
              <w:rFonts w:asciiTheme="minorEastAsia" w:eastAsiaTheme="minorEastAsia" w:hAnsiTheme="minorEastAsia" w:hint="eastAsia"/>
            </w:rPr>
            <w:t>802,144</w:t>
          </w:r>
          <w:r>
            <w:rPr>
              <w:rFonts w:asciiTheme="minorEastAsia" w:hAnsiTheme="minorEastAsia" w:hint="eastAsia"/>
            </w:rPr>
            <w:t>千元的质押物为</w:t>
          </w:r>
          <w:r>
            <w:rPr>
              <w:rFonts w:asciiTheme="minorEastAsia" w:eastAsiaTheme="minorEastAsia" w:hAnsiTheme="minorEastAsia" w:hint="eastAsia"/>
            </w:rPr>
            <w:t>本公司</w:t>
          </w:r>
          <w:r>
            <w:rPr>
              <w:rFonts w:asciiTheme="minorEastAsia" w:hAnsiTheme="minorEastAsia" w:hint="eastAsia"/>
            </w:rPr>
            <w:t>之子公司兖矿融资租赁有限公司质押在借款银行应收租金债权</w:t>
          </w:r>
          <w:r>
            <w:rPr>
              <w:rFonts w:asciiTheme="minorEastAsia" w:hAnsiTheme="minorEastAsia"/>
            </w:rPr>
            <w:t>4,617,572千元；</w:t>
          </w:r>
          <w:r>
            <w:rPr>
              <w:rFonts w:asciiTheme="minorEastAsia" w:hAnsiTheme="minorEastAsia" w:hint="eastAsia"/>
            </w:rPr>
            <w:t>抵押借款</w:t>
          </w:r>
          <w:r>
            <w:rPr>
              <w:rFonts w:asciiTheme="minorEastAsia" w:hAnsiTheme="minorEastAsia"/>
            </w:rPr>
            <w:t>157,400千元的抵押物为</w:t>
          </w:r>
          <w:r>
            <w:rPr>
              <w:rFonts w:asciiTheme="minorEastAsia" w:eastAsiaTheme="minorEastAsia" w:hAnsiTheme="minorEastAsia" w:hint="eastAsia"/>
            </w:rPr>
            <w:t>本公司</w:t>
          </w:r>
          <w:r>
            <w:rPr>
              <w:rFonts w:asciiTheme="minorEastAsia" w:hAnsiTheme="minorEastAsia" w:hint="eastAsia"/>
            </w:rPr>
            <w:t>之子公司普力马煤炭有限公司总资产，截至</w:t>
          </w:r>
          <w:r>
            <w:rPr>
              <w:rFonts w:asciiTheme="minorEastAsia" w:hAnsiTheme="minorEastAsia"/>
            </w:rPr>
            <w:t>2024年12月31日总资产账面价值为1,204,462千元；</w:t>
          </w:r>
        </w:p>
        <w:p>
          <w:pPr>
            <w:spacing w:afterLines="50" w:after="120" w:line="360" w:lineRule="exact"/>
            <w:ind w:firstLine="420"/>
            <w:rPr>
              <w:rFonts w:asciiTheme="minorEastAsia" w:hAnsiTheme="minorEastAsia"/>
            </w:rPr>
          </w:pPr>
          <w:r>
            <w:rPr>
              <w:rFonts w:asciiTheme="minorEastAsia" w:eastAsiaTheme="minorEastAsia" w:hAnsiTheme="minorEastAsia" w:hint="eastAsia"/>
            </w:rPr>
            <w:t>注4：</w:t>
          </w:r>
          <w:r>
            <w:rPr>
              <w:rFonts w:asciiTheme="minorEastAsia" w:hAnsiTheme="minorEastAsia" w:hint="eastAsia"/>
            </w:rPr>
            <w:t>抵押借款</w:t>
          </w:r>
          <w:r>
            <w:rPr>
              <w:rFonts w:asciiTheme="minorEastAsia" w:hAnsiTheme="minorEastAsia"/>
            </w:rPr>
            <w:t>718,840千元的抵押物为</w:t>
          </w:r>
          <w:r>
            <w:rPr>
              <w:rFonts w:asciiTheme="minorEastAsia" w:eastAsiaTheme="minorEastAsia" w:hAnsiTheme="minorEastAsia" w:hint="eastAsia"/>
            </w:rPr>
            <w:t>本公司</w:t>
          </w:r>
          <w:r>
            <w:rPr>
              <w:rFonts w:asciiTheme="minorEastAsia" w:hAnsiTheme="minorEastAsia" w:hint="eastAsia"/>
            </w:rPr>
            <w:t>之子公司兖煤国际（控股）有限公司持有的</w:t>
          </w:r>
          <w:r>
            <w:rPr>
              <w:rFonts w:asciiTheme="minorEastAsia" w:hAnsiTheme="minorEastAsia"/>
            </w:rPr>
            <w:t>9.34亿股</w:t>
          </w:r>
          <w:r>
            <w:rPr>
              <w:rFonts w:asciiTheme="minorEastAsia" w:eastAsiaTheme="minorEastAsia" w:hAnsiTheme="minorEastAsia" w:hint="eastAsia"/>
            </w:rPr>
            <w:t>浙商银行股份有限公司</w:t>
          </w:r>
          <w:r>
            <w:rPr>
              <w:rFonts w:asciiTheme="minorEastAsia" w:hAnsiTheme="minorEastAsia" w:hint="eastAsia"/>
            </w:rPr>
            <w:t>股票，账面价值共计</w:t>
          </w:r>
          <w:r>
            <w:rPr>
              <w:rFonts w:asciiTheme="minorEastAsia" w:hAnsiTheme="minorEastAsia"/>
            </w:rPr>
            <w:t>6,</w:t>
          </w:r>
          <w:r>
            <w:rPr>
              <w:rFonts w:asciiTheme="minorEastAsia" w:eastAsiaTheme="minorEastAsia" w:hAnsiTheme="minorEastAsia" w:hint="eastAsia"/>
            </w:rPr>
            <w:t>442,055</w:t>
          </w:r>
          <w:r>
            <w:rPr>
              <w:rFonts w:asciiTheme="minorEastAsia" w:hAnsiTheme="minorEastAsia" w:hint="eastAsia"/>
            </w:rPr>
            <w:t>千元。</w:t>
          </w:r>
        </w:p>
        <w:p>
          <w:pPr>
            <w:snapToGrid w:val="0"/>
            <w:rPr>
              <w:rFonts w:cstheme="minorBidi"/>
              <w:color w:val="000000" w:themeColor="text1"/>
              <w:kern w:val="2"/>
              <w:szCs w:val="21"/>
            </w:rPr>
          </w:pPr>
        </w:p>
      </w:sdtContent>
    </w:sdt>
    <w:p>
      <w:pPr>
        <w:snapToGrid w:val="0"/>
        <w:rPr>
          <w:rFonts w:cstheme="minorBidi"/>
          <w:color w:val="000000" w:themeColor="text1"/>
          <w:kern w:val="2"/>
          <w:szCs w:val="21"/>
        </w:rPr>
      </w:pPr>
    </w:p>
    <w:p>
      <w:pPr>
        <w:snapToGrid w:val="0"/>
        <w:rPr>
          <w:color w:val="000000" w:themeColor="text1"/>
          <w:szCs w:val="21"/>
        </w:rPr>
      </w:pPr>
      <w:r>
        <w:rPr>
          <w:rFonts w:hint="eastAsia"/>
          <w:color w:val="000000" w:themeColor="text1"/>
          <w:szCs w:val="21"/>
        </w:rPr>
        <w:t>其他说明：</w:t>
      </w:r>
    </w:p>
    <w:sdt>
      <w:sdtPr>
        <w:rPr>
          <w:color w:val="000000" w:themeColor="text1"/>
          <w:szCs w:val="21"/>
        </w:rPr>
        <w:alias w:val="是否适用：长期借款的说明[双击切换]"/>
        <w:tag w:val="_GBC_81b19a673078421a910ba8721333fbbe"/>
        <w:id w:val="1995364894"/>
        <w:placeholder>
          <w:docPart w:val="GBC22222222222222222222222222222"/>
        </w:placeholder>
      </w:sdtPr>
      <w:sdtContent>
        <w:p>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p>
      <w:pPr>
        <w:rPr>
          <w:szCs w:val="21"/>
        </w:rPr>
      </w:pPr>
    </w:p>
    <w:p>
      <w:pPr>
        <w:rPr>
          <w:szCs w:val="21"/>
        </w:rPr>
      </w:pPr>
    </w:p>
    <w:p>
      <w:pPr>
        <w:rPr>
          <w:szCs w:val="21"/>
        </w:rPr>
      </w:pPr>
    </w:p>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lastRenderedPageBreak/>
        <w:t>应付债券</w:t>
      </w:r>
    </w:p>
    <w:p>
      <w:pPr>
        <w:pStyle w:val="afffffffffffffffffffffffffffffffff1"/>
        <w:numPr>
          <w:ilvl w:val="0"/>
          <w:numId w:val="121"/>
        </w:numPr>
        <w:ind w:left="426" w:hanging="426"/>
      </w:pPr>
      <w:r>
        <w:rPr>
          <w:rFonts w:hint="eastAsia"/>
        </w:rPr>
        <w:t>应付债券</w:t>
      </w:r>
    </w:p>
    <w:sdt>
      <w:sdtPr>
        <w:alias w:val="是否适用：应付债券[双击切换]"/>
        <w:tag w:val="_GBC_645b020b25af4284b8eff88f14f8c5c2"/>
        <w:id w:val="68232285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债券"/>
          <w:tag w:val="_GBC_57b3a408d4a84bb0a330d1831f7c6f29"/>
          <w:id w:val="20198869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应付债券"/>
          <w:tag w:val="_GBC_058298e5284a4aa58bf3ef0038f20732"/>
          <w:id w:val="768753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75"/>
        <w:gridCol w:w="2998"/>
        <w:gridCol w:w="2850"/>
      </w:tblGrid>
      <w:tr>
        <w:trPr>
          <w:cantSplit/>
          <w:trHeight w:val="252"/>
        </w:trPr>
        <w:sdt>
          <w:sdtPr>
            <w:tag w:val="_PLD_b1ab73cce61a4f81a37c70a551b42047"/>
            <w:id w:val="-1329438746"/>
          </w:sdtPr>
          <w:sdtContent>
            <w:tc>
              <w:tcPr>
                <w:tcW w:w="1686" w:type="pct"/>
                <w:shd w:val="clear" w:color="auto" w:fill="auto"/>
              </w:tcPr>
              <w:p>
                <w:pPr>
                  <w:jc w:val="center"/>
                </w:pPr>
                <w:r>
                  <w:rPr>
                    <w:rFonts w:hint="eastAsia"/>
                  </w:rPr>
                  <w:t>项目</w:t>
                </w:r>
              </w:p>
            </w:tc>
          </w:sdtContent>
        </w:sdt>
        <w:sdt>
          <w:sdtPr>
            <w:tag w:val="_PLD_3d8bcc7ecd3e4fd5ad328c296fbe1164"/>
            <w:id w:val="1361860909"/>
          </w:sdtPr>
          <w:sdtContent>
            <w:tc>
              <w:tcPr>
                <w:tcW w:w="1699" w:type="pct"/>
                <w:shd w:val="clear" w:color="auto" w:fill="auto"/>
              </w:tcPr>
              <w:p>
                <w:pPr>
                  <w:adjustRightInd w:val="0"/>
                  <w:snapToGrid w:val="0"/>
                  <w:ind w:leftChars="-2" w:left="-2" w:rightChars="9" w:right="19" w:hangingChars="1" w:hanging="2"/>
                  <w:jc w:val="center"/>
                  <w:rPr>
                    <w:b/>
                    <w:szCs w:val="21"/>
                  </w:rPr>
                </w:pPr>
                <w:r>
                  <w:rPr>
                    <w:rFonts w:hint="eastAsia"/>
                    <w:szCs w:val="21"/>
                  </w:rPr>
                  <w:t>期末余额</w:t>
                </w:r>
              </w:p>
            </w:tc>
          </w:sdtContent>
        </w:sdt>
        <w:sdt>
          <w:sdtPr>
            <w:tag w:val="_PLD_82ec823678804bd3ba2932976400cc89"/>
            <w:id w:val="1674371990"/>
          </w:sdtPr>
          <w:sdtContent>
            <w:tc>
              <w:tcPr>
                <w:tcW w:w="1615" w:type="pct"/>
                <w:shd w:val="clear" w:color="auto" w:fill="auto"/>
              </w:tcPr>
              <w:p>
                <w:pPr>
                  <w:adjustRightInd w:val="0"/>
                  <w:snapToGrid w:val="0"/>
                  <w:ind w:leftChars="-2" w:left="-2" w:rightChars="9" w:right="19" w:hangingChars="1" w:hanging="2"/>
                  <w:jc w:val="center"/>
                  <w:rPr>
                    <w:szCs w:val="21"/>
                  </w:rPr>
                </w:pPr>
                <w:r>
                  <w:rPr>
                    <w:rFonts w:hint="eastAsia"/>
                    <w:szCs w:val="21"/>
                  </w:rPr>
                  <w:t>期初余额</w:t>
                </w:r>
              </w:p>
            </w:tc>
          </w:sdtContent>
        </w:sdt>
      </w:tr>
      <w:tr>
        <w:trPr>
          <w:cantSplit/>
        </w:trPr>
        <w:tc>
          <w:tcPr>
            <w:tcW w:w="1686" w:type="pct"/>
            <w:shd w:val="clear" w:color="auto" w:fill="auto"/>
            <w:vAlign w:val="center"/>
          </w:tcPr>
          <w:p>
            <w:pPr>
              <w:spacing w:line="360" w:lineRule="exact"/>
              <w:rPr>
                <w:sz w:val="18"/>
                <w:szCs w:val="18"/>
              </w:rPr>
            </w:pPr>
            <w:r>
              <w:rPr>
                <w:rFonts w:hint="eastAsia"/>
                <w:sz w:val="18"/>
                <w:szCs w:val="18"/>
              </w:rPr>
              <w:t>应付债券</w:t>
            </w:r>
          </w:p>
        </w:tc>
        <w:tc>
          <w:tcPr>
            <w:tcW w:w="1699" w:type="pct"/>
            <w:shd w:val="clear" w:color="auto" w:fill="auto"/>
            <w:vAlign w:val="center"/>
          </w:tcPr>
          <w:p>
            <w:pPr>
              <w:spacing w:line="360" w:lineRule="exact"/>
              <w:jc w:val="right"/>
            </w:pPr>
            <w:r>
              <w:t>15,973,544</w:t>
            </w:r>
          </w:p>
        </w:tc>
        <w:tc>
          <w:tcPr>
            <w:tcW w:w="1615" w:type="pct"/>
            <w:shd w:val="clear" w:color="auto" w:fill="auto"/>
            <w:vAlign w:val="center"/>
          </w:tcPr>
          <w:p>
            <w:pPr>
              <w:spacing w:line="360" w:lineRule="exact"/>
              <w:jc w:val="right"/>
            </w:pPr>
            <w:r>
              <w:t>12,172,858</w:t>
            </w:r>
          </w:p>
        </w:tc>
      </w:tr>
      <w:tr>
        <w:trPr>
          <w:cantSplit/>
        </w:trPr>
        <w:tc>
          <w:tcPr>
            <w:tcW w:w="1686" w:type="pct"/>
            <w:shd w:val="clear" w:color="auto" w:fill="auto"/>
          </w:tcPr>
          <w:p>
            <w:pPr>
              <w:jc w:val="center"/>
            </w:pPr>
            <w:r>
              <w:rPr>
                <w:rFonts w:hint="eastAsia"/>
              </w:rPr>
              <w:t>合计</w:t>
            </w:r>
          </w:p>
        </w:tc>
        <w:tc>
          <w:tcPr>
            <w:tcW w:w="1699" w:type="pct"/>
            <w:shd w:val="clear" w:color="auto" w:fill="auto"/>
            <w:vAlign w:val="center"/>
          </w:tcPr>
          <w:p>
            <w:pPr>
              <w:pStyle w:val="affffffffffffffffffffffffffffffffe"/>
              <w:jc w:val="right"/>
            </w:pPr>
            <w:r>
              <w:t>15,973,544</w:t>
            </w:r>
          </w:p>
        </w:tc>
        <w:tc>
          <w:tcPr>
            <w:tcW w:w="1615" w:type="pct"/>
            <w:shd w:val="clear" w:color="auto" w:fill="auto"/>
            <w:vAlign w:val="center"/>
          </w:tcPr>
          <w:p>
            <w:pPr>
              <w:pStyle w:val="affffffffffffffffffffffffffffffffe"/>
              <w:jc w:val="right"/>
            </w:pPr>
            <w:r>
              <w:t>12,172,858</w:t>
            </w:r>
          </w:p>
        </w:tc>
      </w:tr>
    </w:tbl>
    <w:p>
      <w:pPr>
        <w:pStyle w:val="affffffffffffffffffffffffffffffffe"/>
      </w:pPr>
    </w:p>
    <w:p>
      <w:pPr>
        <w:pStyle w:val="affffffffffffffffffffffffffffffffe"/>
      </w:pPr>
    </w:p>
    <w:p>
      <w:pPr>
        <w:sectPr>
          <w:pgSz w:w="11906" w:h="16838"/>
          <w:pgMar w:top="1440" w:right="1797" w:bottom="1525" w:left="1276" w:header="856" w:footer="992" w:gutter="0"/>
          <w:cols w:space="425"/>
          <w:docGrid w:linePitch="312"/>
        </w:sectPr>
      </w:pPr>
    </w:p>
    <w:p>
      <w:pPr>
        <w:pStyle w:val="affffffffffffffffff7"/>
        <w:numPr>
          <w:ilvl w:val="0"/>
          <w:numId w:val="121"/>
        </w:numPr>
        <w:ind w:left="426" w:hanging="426"/>
      </w:pPr>
      <w:bookmarkStart w:id="452" w:name="OLE_LINK16"/>
      <w:bookmarkStart w:id="453" w:name="OLE_LINK18"/>
      <w:r>
        <w:lastRenderedPageBreak/>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469235077"/>
      </w:sdtPr>
      <w:sdtContent>
        <w:p>
          <w:pPr>
            <w:pStyle w:val="affffffffffffffffff3"/>
          </w:pPr>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应付债券的增减变动"/>
          <w:tag w:val="_GBC_221366b8136447aca9359e6115acb07a"/>
          <w:id w:val="-141176610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应付债券的增减变动"/>
          <w:tag w:val="_GBC_ab4475cd02fd49449e15ccf7e0fadc42"/>
          <w:id w:val="-187691716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419"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6"/>
        <w:gridCol w:w="1115"/>
        <w:gridCol w:w="742"/>
        <w:gridCol w:w="1490"/>
        <w:gridCol w:w="865"/>
        <w:gridCol w:w="1115"/>
        <w:gridCol w:w="1115"/>
        <w:gridCol w:w="1115"/>
        <w:gridCol w:w="865"/>
        <w:gridCol w:w="989"/>
        <w:gridCol w:w="1382"/>
        <w:gridCol w:w="1133"/>
        <w:gridCol w:w="1133"/>
        <w:gridCol w:w="850"/>
      </w:tblGrid>
      <w:tr>
        <w:trPr>
          <w:cantSplit/>
          <w:trHeight w:val="590"/>
        </w:trPr>
        <w:sdt>
          <w:sdtPr>
            <w:tag w:val="_PLD_e802e0473fe74b70b94a2bc1ff9e6120"/>
            <w:id w:val="2014648322"/>
          </w:sdtPr>
          <w:sdtContent>
            <w:tc>
              <w:tcPr>
                <w:tcW w:w="371" w:type="pct"/>
                <w:shd w:val="clear" w:color="auto" w:fill="auto"/>
                <w:vAlign w:val="center"/>
              </w:tcPr>
              <w:p>
                <w:pPr>
                  <w:jc w:val="center"/>
                </w:pPr>
                <w:r>
                  <w:rPr>
                    <w:rFonts w:hint="eastAsia"/>
                  </w:rPr>
                  <w:t>债券</w:t>
                </w:r>
              </w:p>
              <w:p>
                <w:pPr>
                  <w:jc w:val="center"/>
                </w:pPr>
                <w:r>
                  <w:rPr>
                    <w:rFonts w:hint="eastAsia"/>
                  </w:rPr>
                  <w:t>名称</w:t>
                </w:r>
              </w:p>
            </w:tc>
          </w:sdtContent>
        </w:sdt>
        <w:sdt>
          <w:sdtPr>
            <w:tag w:val="_PLD_3305820c0a7b4304abdad6fc20766aa3"/>
            <w:id w:val="-1831747645"/>
          </w:sdtPr>
          <w:sdtContent>
            <w:tc>
              <w:tcPr>
                <w:tcW w:w="371" w:type="pct"/>
                <w:shd w:val="clear" w:color="auto" w:fill="auto"/>
                <w:vAlign w:val="center"/>
              </w:tcPr>
              <w:p>
                <w:pPr>
                  <w:jc w:val="center"/>
                </w:pPr>
                <w:r>
                  <w:rPr>
                    <w:rFonts w:hint="eastAsia"/>
                  </w:rPr>
                  <w:t>面值（</w:t>
                </w:r>
                <w:sdt>
                  <w:sdtPr>
                    <w:rPr>
                      <w:rFonts w:hint="eastAsia"/>
                    </w:rPr>
                    <w:alias w:val="单位：应付债券面值"/>
                    <w:tag w:val="_GBC_db357e0250e543be9557b662713d7632"/>
                    <w:id w:val="1534380870"/>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w:t>
                </w:r>
              </w:p>
            </w:tc>
          </w:sdtContent>
        </w:sdt>
        <w:tc>
          <w:tcPr>
            <w:tcW w:w="247" w:type="pct"/>
            <w:vAlign w:val="center"/>
          </w:tcPr>
          <w:sdt>
            <w:sdtPr>
              <w:tag w:val="_PLD_cde8062fd35d4697ab79d366fd31de10"/>
              <w:id w:val="-86301758"/>
            </w:sdtPr>
            <w:sdtContent>
              <w:p>
                <w:pPr>
                  <w:jc w:val="center"/>
                </w:pPr>
                <w:r>
                  <w:rPr>
                    <w:rFonts w:hint="eastAsia"/>
                  </w:rPr>
                  <w:t>票面利率（%）</w:t>
                </w:r>
              </w:p>
            </w:sdtContent>
          </w:sdt>
        </w:tc>
        <w:sdt>
          <w:sdtPr>
            <w:tag w:val="_PLD_ee6ba2e107ad4013b8b8d3efeae50c26"/>
            <w:id w:val="357862895"/>
          </w:sdtPr>
          <w:sdtContent>
            <w:tc>
              <w:tcPr>
                <w:tcW w:w="496" w:type="pct"/>
                <w:shd w:val="clear" w:color="auto" w:fill="auto"/>
                <w:vAlign w:val="center"/>
              </w:tcPr>
              <w:p>
                <w:pPr>
                  <w:jc w:val="center"/>
                </w:pPr>
                <w:r>
                  <w:rPr>
                    <w:rFonts w:hint="eastAsia"/>
                  </w:rPr>
                  <w:t>发行</w:t>
                </w:r>
              </w:p>
              <w:p>
                <w:pPr>
                  <w:jc w:val="center"/>
                </w:pPr>
                <w:r>
                  <w:rPr>
                    <w:rFonts w:hint="eastAsia"/>
                  </w:rPr>
                  <w:t>日期</w:t>
                </w:r>
              </w:p>
            </w:tc>
          </w:sdtContent>
        </w:sdt>
        <w:sdt>
          <w:sdtPr>
            <w:tag w:val="_PLD_124bbea948a54d48a0375b121ca28abc"/>
            <w:id w:val="1992669755"/>
          </w:sdtPr>
          <w:sdtContent>
            <w:tc>
              <w:tcPr>
                <w:tcW w:w="288" w:type="pct"/>
                <w:shd w:val="clear" w:color="auto" w:fill="auto"/>
                <w:vAlign w:val="center"/>
              </w:tcPr>
              <w:p>
                <w:pPr>
                  <w:jc w:val="center"/>
                </w:pPr>
                <w:r>
                  <w:rPr>
                    <w:rFonts w:hint="eastAsia"/>
                  </w:rPr>
                  <w:t>债券</w:t>
                </w:r>
              </w:p>
              <w:p>
                <w:pPr>
                  <w:jc w:val="center"/>
                </w:pPr>
                <w:r>
                  <w:rPr>
                    <w:rFonts w:hint="eastAsia"/>
                  </w:rPr>
                  <w:t>期限</w:t>
                </w:r>
              </w:p>
            </w:tc>
          </w:sdtContent>
        </w:sdt>
        <w:sdt>
          <w:sdtPr>
            <w:tag w:val="_PLD_7049ab93920145468e81fe6c529385fb"/>
            <w:id w:val="-790520121"/>
          </w:sdtPr>
          <w:sdtContent>
            <w:tc>
              <w:tcPr>
                <w:tcW w:w="371" w:type="pct"/>
                <w:shd w:val="clear" w:color="auto" w:fill="auto"/>
                <w:vAlign w:val="center"/>
              </w:tcPr>
              <w:p>
                <w:pPr>
                  <w:jc w:val="center"/>
                </w:pPr>
                <w:r>
                  <w:rPr>
                    <w:rFonts w:hint="eastAsia"/>
                  </w:rPr>
                  <w:t>发行</w:t>
                </w:r>
              </w:p>
              <w:p>
                <w:pPr>
                  <w:jc w:val="center"/>
                </w:pPr>
                <w:r>
                  <w:rPr>
                    <w:rFonts w:hint="eastAsia"/>
                  </w:rPr>
                  <w:t>金额</w:t>
                </w:r>
              </w:p>
            </w:tc>
          </w:sdtContent>
        </w:sdt>
        <w:sdt>
          <w:sdtPr>
            <w:tag w:val="_PLD_38d9b1ec51834164a4568a000acee069"/>
            <w:id w:val="-1818019677"/>
          </w:sdtPr>
          <w:sdtContent>
            <w:tc>
              <w:tcPr>
                <w:tcW w:w="371" w:type="pct"/>
                <w:shd w:val="clear" w:color="auto" w:fill="auto"/>
                <w:vAlign w:val="center"/>
              </w:tcPr>
              <w:p>
                <w:pPr>
                  <w:jc w:val="center"/>
                </w:pPr>
                <w:r>
                  <w:rPr>
                    <w:rFonts w:hint="eastAsia"/>
                  </w:rPr>
                  <w:t>期初</w:t>
                </w:r>
              </w:p>
              <w:p>
                <w:pPr>
                  <w:jc w:val="center"/>
                </w:pPr>
                <w:r>
                  <w:rPr>
                    <w:rFonts w:hint="eastAsia"/>
                  </w:rPr>
                  <w:t>余额</w:t>
                </w:r>
              </w:p>
            </w:tc>
          </w:sdtContent>
        </w:sdt>
        <w:sdt>
          <w:sdtPr>
            <w:tag w:val="_PLD_631bbacf370944efab46658f1d2b4f3d"/>
            <w:id w:val="566534500"/>
          </w:sdtPr>
          <w:sdtContent>
            <w:tc>
              <w:tcPr>
                <w:tcW w:w="371" w:type="pct"/>
                <w:shd w:val="clear" w:color="auto" w:fill="auto"/>
                <w:vAlign w:val="center"/>
              </w:tcPr>
              <w:p>
                <w:pPr>
                  <w:jc w:val="center"/>
                </w:pPr>
                <w:r>
                  <w:rPr>
                    <w:rFonts w:hint="eastAsia"/>
                  </w:rPr>
                  <w:t>本期</w:t>
                </w:r>
              </w:p>
              <w:p>
                <w:pPr>
                  <w:jc w:val="center"/>
                </w:pPr>
                <w:r>
                  <w:rPr>
                    <w:rFonts w:hint="eastAsia"/>
                  </w:rPr>
                  <w:t>发行</w:t>
                </w:r>
              </w:p>
            </w:tc>
          </w:sdtContent>
        </w:sdt>
        <w:sdt>
          <w:sdtPr>
            <w:tag w:val="_PLD_46ecadb6d93742c196106f528dc587fb"/>
            <w:id w:val="-338159479"/>
          </w:sdtPr>
          <w:sdtContent>
            <w:tc>
              <w:tcPr>
                <w:tcW w:w="288" w:type="pct"/>
                <w:shd w:val="clear" w:color="auto" w:fill="auto"/>
                <w:vAlign w:val="center"/>
              </w:tcPr>
              <w:p>
                <w:pPr>
                  <w:jc w:val="center"/>
                </w:pPr>
                <w:r>
                  <w:rPr>
                    <w:rFonts w:hint="eastAsia"/>
                  </w:rPr>
                  <w:t>按面值计提利息</w:t>
                </w:r>
              </w:p>
            </w:tc>
          </w:sdtContent>
        </w:sdt>
        <w:sdt>
          <w:sdtPr>
            <w:tag w:val="_PLD_ae4bf5f0a7024d7494d06729dd783ba4"/>
            <w:id w:val="-1790345228"/>
          </w:sdtPr>
          <w:sdtContent>
            <w:tc>
              <w:tcPr>
                <w:tcW w:w="329" w:type="pct"/>
                <w:shd w:val="clear" w:color="auto" w:fill="auto"/>
                <w:vAlign w:val="center"/>
              </w:tcPr>
              <w:p>
                <w:pPr>
                  <w:jc w:val="center"/>
                </w:pPr>
                <w:r>
                  <w:rPr>
                    <w:rFonts w:hint="eastAsia"/>
                  </w:rPr>
                  <w:t>溢折价摊销</w:t>
                </w:r>
              </w:p>
            </w:tc>
          </w:sdtContent>
        </w:sdt>
        <w:sdt>
          <w:sdtPr>
            <w:tag w:val="_PLD_4b5846bfb9664157a5fbfb5219160105"/>
            <w:id w:val="422615498"/>
          </w:sdtPr>
          <w:sdtContent>
            <w:tc>
              <w:tcPr>
                <w:tcW w:w="460" w:type="pct"/>
                <w:shd w:val="clear" w:color="auto" w:fill="auto"/>
                <w:vAlign w:val="center"/>
              </w:tcPr>
              <w:p>
                <w:pPr>
                  <w:jc w:val="center"/>
                </w:pPr>
                <w:r>
                  <w:rPr>
                    <w:rFonts w:hint="eastAsia"/>
                  </w:rPr>
                  <w:t>本期</w:t>
                </w:r>
              </w:p>
              <w:p>
                <w:pPr>
                  <w:jc w:val="center"/>
                </w:pPr>
                <w:r>
                  <w:rPr>
                    <w:rFonts w:hint="eastAsia"/>
                  </w:rPr>
                  <w:t>偿还</w:t>
                </w:r>
              </w:p>
            </w:tc>
          </w:sdtContent>
        </w:sdt>
        <w:tc>
          <w:tcPr>
            <w:tcW w:w="377" w:type="pct"/>
            <w:shd w:val="clear" w:color="auto" w:fill="auto"/>
            <w:vAlign w:val="center"/>
          </w:tcPr>
          <w:p>
            <w:pPr>
              <w:jc w:val="center"/>
            </w:pPr>
            <w:r>
              <w:rPr>
                <w:rFonts w:hint="eastAsia"/>
              </w:rPr>
              <w:t>重分类</w:t>
            </w:r>
          </w:p>
          <w:p>
            <w:pPr>
              <w:jc w:val="center"/>
            </w:pPr>
          </w:p>
        </w:tc>
        <w:sdt>
          <w:sdtPr>
            <w:tag w:val="_PLD_a12b5b0e009f4c31a176550ce24d537b"/>
            <w:id w:val="1222948450"/>
          </w:sdtPr>
          <w:sdtContent>
            <w:tc>
              <w:tcPr>
                <w:tcW w:w="377" w:type="pct"/>
                <w:shd w:val="clear" w:color="auto" w:fill="auto"/>
                <w:vAlign w:val="center"/>
              </w:tcPr>
              <w:p>
                <w:pPr>
                  <w:jc w:val="center"/>
                </w:pPr>
                <w:r>
                  <w:rPr>
                    <w:rFonts w:hint="eastAsia"/>
                  </w:rPr>
                  <w:t>期末</w:t>
                </w:r>
              </w:p>
              <w:p>
                <w:pPr>
                  <w:jc w:val="center"/>
                </w:pPr>
                <w:r>
                  <w:rPr>
                    <w:rFonts w:hint="eastAsia"/>
                  </w:rPr>
                  <w:t>余额</w:t>
                </w:r>
              </w:p>
            </w:tc>
          </w:sdtContent>
        </w:sdt>
        <w:tc>
          <w:tcPr>
            <w:tcW w:w="283" w:type="pct"/>
            <w:vAlign w:val="center"/>
          </w:tcPr>
          <w:sdt>
            <w:sdtPr>
              <w:tag w:val="_PLD_fe946a005a854bd5b7b72ef369d885ff"/>
              <w:id w:val="582411655"/>
            </w:sdtPr>
            <w:sdtContent>
              <w:p>
                <w:pPr>
                  <w:jc w:val="center"/>
                </w:pPr>
                <w:r>
                  <w:rPr>
                    <w:rFonts w:hint="eastAsia"/>
                  </w:rPr>
                  <w:t>是否违约</w:t>
                </w:r>
              </w:p>
            </w:sdtContent>
          </w:sdt>
        </w:tc>
      </w:tr>
      <w:sdt>
        <w:sdtPr>
          <w:alias w:val="应付债券明细"/>
          <w:tag w:val="_TUP_483a6814da9c434391de215e945c94f6"/>
          <w:id w:val="-1119141844"/>
        </w:sdtPr>
        <w:sdtContent>
          <w:tr>
            <w:trPr>
              <w:cantSplit/>
              <w:trHeight w:val="266"/>
            </w:trPr>
            <w:tc>
              <w:tcPr>
                <w:tcW w:w="371" w:type="pct"/>
                <w:shd w:val="clear" w:color="auto" w:fill="auto"/>
                <w:vAlign w:val="center"/>
              </w:tcPr>
              <w:p>
                <w:pPr>
                  <w:pStyle w:val="afffffffffffff8"/>
                </w:pPr>
                <w:r>
                  <w:rPr>
                    <w:rFonts w:hint="eastAsia"/>
                  </w:rPr>
                  <w:t>20兖煤02</w:t>
                </w:r>
              </w:p>
            </w:tc>
            <w:tc>
              <w:tcPr>
                <w:tcW w:w="371" w:type="pct"/>
                <w:shd w:val="clear" w:color="auto" w:fill="auto"/>
                <w:vAlign w:val="center"/>
              </w:tcPr>
              <w:p>
                <w:pPr>
                  <w:jc w:val="right"/>
                </w:pPr>
                <w:r>
                  <w:rPr>
                    <w:rFonts w:hint="eastAsia"/>
                  </w:rPr>
                  <w:t>2,700,000</w:t>
                </w:r>
              </w:p>
            </w:tc>
            <w:tc>
              <w:tcPr>
                <w:tcW w:w="247" w:type="pct"/>
                <w:vAlign w:val="center"/>
              </w:tcPr>
              <w:p>
                <w:pPr>
                  <w:jc w:val="center"/>
                </w:pPr>
                <w:r>
                  <w:rPr>
                    <w:rFonts w:hint="eastAsia"/>
                  </w:rPr>
                  <w:t>3</w:t>
                </w:r>
              </w:p>
            </w:tc>
            <w:tc>
              <w:tcPr>
                <w:tcW w:w="496" w:type="pct"/>
                <w:shd w:val="clear" w:color="auto" w:fill="auto"/>
                <w:vAlign w:val="center"/>
              </w:tcPr>
              <w:p>
                <w:pPr>
                  <w:jc w:val="center"/>
                </w:pPr>
                <w:r>
                  <w:rPr>
                    <w:rFonts w:hint="eastAsia"/>
                  </w:rPr>
                  <w:t>2020-03-13</w:t>
                </w:r>
              </w:p>
            </w:tc>
            <w:tc>
              <w:tcPr>
                <w:tcW w:w="288" w:type="pct"/>
                <w:shd w:val="clear" w:color="auto" w:fill="auto"/>
                <w:vAlign w:val="center"/>
              </w:tcPr>
              <w:p>
                <w:pPr>
                  <w:pStyle w:val="afffffffffffff8"/>
                  <w:jc w:val="center"/>
                </w:pPr>
                <w:r>
                  <w:rPr>
                    <w:rFonts w:hint="eastAsia"/>
                  </w:rPr>
                  <w:t>5年</w:t>
                </w:r>
              </w:p>
            </w:tc>
            <w:tc>
              <w:tcPr>
                <w:tcW w:w="371" w:type="pct"/>
                <w:shd w:val="clear" w:color="auto" w:fill="auto"/>
                <w:vAlign w:val="center"/>
              </w:tcPr>
              <w:p>
                <w:pPr>
                  <w:jc w:val="right"/>
                </w:pPr>
                <w:r>
                  <w:rPr>
                    <w:rFonts w:hint="eastAsia"/>
                  </w:rPr>
                  <w:t>2,700,000</w:t>
                </w:r>
              </w:p>
            </w:tc>
            <w:tc>
              <w:tcPr>
                <w:tcW w:w="371" w:type="pct"/>
                <w:shd w:val="clear" w:color="auto" w:fill="auto"/>
                <w:vAlign w:val="center"/>
              </w:tcPr>
              <w:p>
                <w:pPr>
                  <w:jc w:val="right"/>
                </w:pPr>
                <w:r>
                  <w:rPr>
                    <w:rFonts w:hint="eastAsia"/>
                  </w:rPr>
                  <w:t>2,696,625</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93,896</w:t>
                </w:r>
              </w:p>
            </w:tc>
            <w:tc>
              <w:tcPr>
                <w:tcW w:w="329" w:type="pct"/>
                <w:shd w:val="clear" w:color="auto" w:fill="auto"/>
                <w:vAlign w:val="center"/>
              </w:tcPr>
              <w:p>
                <w:pPr>
                  <w:jc w:val="right"/>
                </w:pPr>
                <w:r>
                  <w:rPr>
                    <w:rFonts w:hint="eastAsia"/>
                  </w:rPr>
                  <w:t>2,700</w:t>
                </w:r>
              </w:p>
            </w:tc>
            <w:tc>
              <w:tcPr>
                <w:tcW w:w="460" w:type="pct"/>
                <w:shd w:val="clear" w:color="auto" w:fill="auto"/>
                <w:vAlign w:val="center"/>
              </w:tcPr>
              <w:p>
                <w:pPr>
                  <w:jc w:val="right"/>
                </w:pPr>
              </w:p>
            </w:tc>
            <w:sdt>
              <w:sdtPr>
                <w:alias w:val="重分类"/>
                <w:tag w:val="_GBC_6842457f34944926a593bf66e87a40fa"/>
                <w:id w:val="-875628687"/>
              </w:sdtPr>
              <w:sdtContent>
                <w:tc>
                  <w:tcPr>
                    <w:tcW w:w="377" w:type="pct"/>
                    <w:shd w:val="clear" w:color="auto" w:fill="auto"/>
                    <w:vAlign w:val="center"/>
                  </w:tcPr>
                  <w:p>
                    <w:pPr>
                      <w:jc w:val="right"/>
                    </w:pPr>
                    <w:r>
                      <w:t>2,699,325</w:t>
                    </w:r>
                  </w:p>
                </w:tc>
              </w:sdtContent>
            </w:sdt>
            <w:tc>
              <w:tcPr>
                <w:tcW w:w="377" w:type="pct"/>
                <w:shd w:val="clear" w:color="auto" w:fill="auto"/>
                <w:vAlign w:val="center"/>
              </w:tcPr>
              <w:p>
                <w:pPr>
                  <w:jc w:val="right"/>
                </w:pPr>
              </w:p>
            </w:tc>
            <w:sdt>
              <w:sdtPr>
                <w:alias w:val="应付债券是否违约"/>
                <w:tag w:val="_GBC_b29c4c8797c84a3fa108403ac6b6e6df"/>
                <w:id w:val="681248652"/>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100604831"/>
        </w:sdtPr>
        <w:sdtContent>
          <w:tr>
            <w:trPr>
              <w:cantSplit/>
              <w:trHeight w:val="266"/>
            </w:trPr>
            <w:tc>
              <w:tcPr>
                <w:tcW w:w="371" w:type="pct"/>
                <w:shd w:val="clear" w:color="auto" w:fill="auto"/>
                <w:vAlign w:val="center"/>
              </w:tcPr>
              <w:p>
                <w:pPr>
                  <w:pStyle w:val="afffffffffffff8"/>
                </w:pPr>
                <w:r>
                  <w:rPr>
                    <w:rFonts w:hint="eastAsia"/>
                  </w:rPr>
                  <w:t>20兖煤03</w:t>
                </w:r>
              </w:p>
            </w:tc>
            <w:tc>
              <w:tcPr>
                <w:tcW w:w="371" w:type="pct"/>
                <w:shd w:val="clear" w:color="auto" w:fill="auto"/>
                <w:vAlign w:val="center"/>
              </w:tcPr>
              <w:p>
                <w:pPr>
                  <w:jc w:val="right"/>
                </w:pPr>
                <w:r>
                  <w:rPr>
                    <w:rFonts w:hint="eastAsia"/>
                  </w:rPr>
                  <w:t>2,000,000</w:t>
                </w:r>
              </w:p>
            </w:tc>
            <w:tc>
              <w:tcPr>
                <w:tcW w:w="247" w:type="pct"/>
                <w:vAlign w:val="center"/>
              </w:tcPr>
              <w:p>
                <w:pPr>
                  <w:jc w:val="center"/>
                </w:pPr>
                <w:r>
                  <w:rPr>
                    <w:rFonts w:hint="eastAsia"/>
                  </w:rPr>
                  <w:t>4</w:t>
                </w:r>
              </w:p>
            </w:tc>
            <w:tc>
              <w:tcPr>
                <w:tcW w:w="496" w:type="pct"/>
                <w:shd w:val="clear" w:color="auto" w:fill="auto"/>
                <w:vAlign w:val="center"/>
              </w:tcPr>
              <w:p>
                <w:pPr>
                  <w:jc w:val="center"/>
                </w:pPr>
                <w:r>
                  <w:rPr>
                    <w:rFonts w:hint="eastAsia"/>
                  </w:rPr>
                  <w:t>2020-03-13</w:t>
                </w:r>
              </w:p>
            </w:tc>
            <w:tc>
              <w:tcPr>
                <w:tcW w:w="288" w:type="pct"/>
                <w:shd w:val="clear" w:color="auto" w:fill="auto"/>
                <w:vAlign w:val="center"/>
              </w:tcPr>
              <w:p>
                <w:pPr>
                  <w:pStyle w:val="afffffffffffff8"/>
                  <w:jc w:val="center"/>
                </w:pPr>
                <w:r>
                  <w:rPr>
                    <w:rFonts w:hint="eastAsia"/>
                  </w:rPr>
                  <w:t>10年</w:t>
                </w:r>
              </w:p>
            </w:tc>
            <w:tc>
              <w:tcPr>
                <w:tcW w:w="371" w:type="pct"/>
                <w:shd w:val="clear" w:color="auto" w:fill="auto"/>
                <w:vAlign w:val="center"/>
              </w:tcPr>
              <w:p>
                <w:pPr>
                  <w:jc w:val="right"/>
                </w:pPr>
                <w:r>
                  <w:rPr>
                    <w:rFonts w:hint="eastAsia"/>
                  </w:rPr>
                  <w:t>2,000,000</w:t>
                </w:r>
              </w:p>
            </w:tc>
            <w:tc>
              <w:tcPr>
                <w:tcW w:w="371" w:type="pct"/>
                <w:shd w:val="clear" w:color="auto" w:fill="auto"/>
                <w:vAlign w:val="center"/>
              </w:tcPr>
              <w:p>
                <w:pPr>
                  <w:jc w:val="right"/>
                </w:pPr>
                <w:r>
                  <w:rPr>
                    <w:rFonts w:hint="eastAsia"/>
                  </w:rPr>
                  <w:t>1,987,500</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86,992</w:t>
                </w:r>
              </w:p>
            </w:tc>
            <w:tc>
              <w:tcPr>
                <w:tcW w:w="329" w:type="pct"/>
                <w:shd w:val="clear" w:color="auto" w:fill="auto"/>
                <w:vAlign w:val="center"/>
              </w:tcPr>
              <w:p>
                <w:pPr>
                  <w:jc w:val="right"/>
                </w:pPr>
                <w:r>
                  <w:rPr>
                    <w:rFonts w:hint="eastAsia"/>
                  </w:rPr>
                  <w:t>2,000</w:t>
                </w:r>
              </w:p>
            </w:tc>
            <w:tc>
              <w:tcPr>
                <w:tcW w:w="460" w:type="pct"/>
                <w:shd w:val="clear" w:color="auto" w:fill="auto"/>
                <w:vAlign w:val="center"/>
              </w:tcPr>
              <w:p>
                <w:pPr>
                  <w:jc w:val="right"/>
                </w:pPr>
              </w:p>
            </w:tc>
            <w:sdt>
              <w:sdtPr>
                <w:alias w:val="重分类"/>
                <w:tag w:val="_GBC_6842457f34944926a593bf66e87a40fa"/>
                <w:id w:val="429161707"/>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1,989,500</w:t>
                </w:r>
              </w:p>
            </w:tc>
            <w:sdt>
              <w:sdtPr>
                <w:alias w:val="应付债券是否违约"/>
                <w:tag w:val="_GBC_b29c4c8797c84a3fa108403ac6b6e6df"/>
                <w:id w:val="-1668010461"/>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094287605"/>
        </w:sdtPr>
        <w:sdtContent>
          <w:tr>
            <w:trPr>
              <w:cantSplit/>
              <w:trHeight w:val="266"/>
            </w:trPr>
            <w:tc>
              <w:tcPr>
                <w:tcW w:w="371" w:type="pct"/>
                <w:shd w:val="clear" w:color="auto" w:fill="auto"/>
                <w:vAlign w:val="center"/>
              </w:tcPr>
              <w:p>
                <w:pPr>
                  <w:pStyle w:val="afffffffffffff8"/>
                </w:pPr>
                <w:r>
                  <w:rPr>
                    <w:rFonts w:hint="eastAsia"/>
                  </w:rPr>
                  <w:t>20兖煤05</w:t>
                </w:r>
              </w:p>
            </w:tc>
            <w:tc>
              <w:tcPr>
                <w:tcW w:w="371" w:type="pct"/>
                <w:shd w:val="clear" w:color="auto" w:fill="auto"/>
                <w:vAlign w:val="center"/>
              </w:tcPr>
              <w:p>
                <w:pPr>
                  <w:jc w:val="right"/>
                </w:pPr>
                <w:r>
                  <w:rPr>
                    <w:rFonts w:hint="eastAsia"/>
                  </w:rPr>
                  <w:t>1,500,000</w:t>
                </w:r>
              </w:p>
            </w:tc>
            <w:tc>
              <w:tcPr>
                <w:tcW w:w="247" w:type="pct"/>
                <w:vAlign w:val="center"/>
              </w:tcPr>
              <w:p>
                <w:pPr>
                  <w:jc w:val="center"/>
                </w:pPr>
                <w:r>
                  <w:rPr>
                    <w:rFonts w:hint="eastAsia"/>
                  </w:rPr>
                  <w:t>4</w:t>
                </w:r>
              </w:p>
            </w:tc>
            <w:tc>
              <w:tcPr>
                <w:tcW w:w="496" w:type="pct"/>
                <w:shd w:val="clear" w:color="auto" w:fill="auto"/>
                <w:vAlign w:val="center"/>
              </w:tcPr>
              <w:p>
                <w:pPr>
                  <w:jc w:val="center"/>
                </w:pPr>
                <w:r>
                  <w:rPr>
                    <w:rFonts w:hint="eastAsia"/>
                  </w:rPr>
                  <w:t>2020-10-26</w:t>
                </w:r>
              </w:p>
            </w:tc>
            <w:tc>
              <w:tcPr>
                <w:tcW w:w="288" w:type="pct"/>
                <w:shd w:val="clear" w:color="auto" w:fill="auto"/>
                <w:vAlign w:val="center"/>
              </w:tcPr>
              <w:p>
                <w:pPr>
                  <w:pStyle w:val="afffffffffffff8"/>
                  <w:jc w:val="center"/>
                </w:pPr>
                <w:r>
                  <w:rPr>
                    <w:rFonts w:hint="eastAsia"/>
                  </w:rPr>
                  <w:t>10年</w:t>
                </w:r>
              </w:p>
            </w:tc>
            <w:tc>
              <w:tcPr>
                <w:tcW w:w="371" w:type="pct"/>
                <w:shd w:val="clear" w:color="auto" w:fill="auto"/>
                <w:vAlign w:val="center"/>
              </w:tcPr>
              <w:p>
                <w:pPr>
                  <w:jc w:val="right"/>
                </w:pPr>
                <w:r>
                  <w:rPr>
                    <w:rFonts w:hint="eastAsia"/>
                  </w:rPr>
                  <w:t>1,500,000</w:t>
                </w:r>
              </w:p>
            </w:tc>
            <w:tc>
              <w:tcPr>
                <w:tcW w:w="371" w:type="pct"/>
                <w:shd w:val="clear" w:color="auto" w:fill="auto"/>
                <w:vAlign w:val="center"/>
              </w:tcPr>
              <w:p>
                <w:pPr>
                  <w:jc w:val="right"/>
                </w:pPr>
                <w:r>
                  <w:rPr>
                    <w:rFonts w:hint="eastAsia"/>
                  </w:rPr>
                  <w:t>1,498,400</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64,940</w:t>
                </w:r>
              </w:p>
            </w:tc>
            <w:tc>
              <w:tcPr>
                <w:tcW w:w="329" w:type="pct"/>
                <w:shd w:val="clear" w:color="auto" w:fill="auto"/>
                <w:vAlign w:val="center"/>
              </w:tcPr>
              <w:p>
                <w:pPr>
                  <w:jc w:val="right"/>
                </w:pPr>
                <w:r>
                  <w:rPr>
                    <w:rFonts w:hint="eastAsia"/>
                  </w:rPr>
                  <w:t>700</w:t>
                </w:r>
              </w:p>
            </w:tc>
            <w:tc>
              <w:tcPr>
                <w:tcW w:w="460" w:type="pct"/>
                <w:shd w:val="clear" w:color="auto" w:fill="auto"/>
                <w:vAlign w:val="center"/>
              </w:tcPr>
              <w:p>
                <w:pPr>
                  <w:jc w:val="right"/>
                </w:pPr>
              </w:p>
            </w:tc>
            <w:sdt>
              <w:sdtPr>
                <w:alias w:val="重分类"/>
                <w:tag w:val="_GBC_6842457f34944926a593bf66e87a40fa"/>
                <w:id w:val="1830089469"/>
              </w:sdtPr>
              <w:sdtContent>
                <w:tc>
                  <w:tcPr>
                    <w:tcW w:w="377" w:type="pct"/>
                    <w:shd w:val="clear" w:color="auto" w:fill="auto"/>
                    <w:vAlign w:val="center"/>
                  </w:tcPr>
                  <w:p>
                    <w:pPr>
                      <w:jc w:val="right"/>
                    </w:pPr>
                    <w:r>
                      <w:t>1,499,100</w:t>
                    </w:r>
                  </w:p>
                </w:tc>
              </w:sdtContent>
            </w:sdt>
            <w:tc>
              <w:tcPr>
                <w:tcW w:w="377" w:type="pct"/>
                <w:shd w:val="clear" w:color="auto" w:fill="auto"/>
                <w:vAlign w:val="center"/>
              </w:tcPr>
              <w:p>
                <w:pPr>
                  <w:jc w:val="right"/>
                </w:pPr>
              </w:p>
            </w:tc>
            <w:sdt>
              <w:sdtPr>
                <w:alias w:val="应付债券是否违约"/>
                <w:tag w:val="_GBC_b29c4c8797c84a3fa108403ac6b6e6df"/>
                <w:id w:val="1016652560"/>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980263480"/>
        </w:sdtPr>
        <w:sdtContent>
          <w:tr>
            <w:trPr>
              <w:cantSplit/>
              <w:trHeight w:val="266"/>
            </w:trPr>
            <w:tc>
              <w:tcPr>
                <w:tcW w:w="371" w:type="pct"/>
                <w:shd w:val="clear" w:color="auto" w:fill="auto"/>
                <w:vAlign w:val="center"/>
              </w:tcPr>
              <w:p>
                <w:pPr>
                  <w:pStyle w:val="afffffffffffff8"/>
                </w:pPr>
                <w:r>
                  <w:rPr>
                    <w:rFonts w:hint="eastAsia"/>
                  </w:rPr>
                  <w:t>21兖煤02</w:t>
                </w:r>
              </w:p>
            </w:tc>
            <w:tc>
              <w:tcPr>
                <w:tcW w:w="371" w:type="pct"/>
                <w:shd w:val="clear" w:color="auto" w:fill="auto"/>
                <w:vAlign w:val="center"/>
              </w:tcPr>
              <w:p>
                <w:pPr>
                  <w:jc w:val="right"/>
                </w:pPr>
                <w:r>
                  <w:rPr>
                    <w:rFonts w:hint="eastAsia"/>
                  </w:rPr>
                  <w:t>1,000,000</w:t>
                </w:r>
              </w:p>
            </w:tc>
            <w:tc>
              <w:tcPr>
                <w:tcW w:w="247" w:type="pct"/>
                <w:vAlign w:val="center"/>
              </w:tcPr>
              <w:p>
                <w:pPr>
                  <w:jc w:val="center"/>
                </w:pPr>
                <w:r>
                  <w:rPr>
                    <w:rFonts w:hint="eastAsia"/>
                  </w:rPr>
                  <w:t>4</w:t>
                </w:r>
              </w:p>
            </w:tc>
            <w:tc>
              <w:tcPr>
                <w:tcW w:w="496" w:type="pct"/>
                <w:shd w:val="clear" w:color="auto" w:fill="auto"/>
                <w:vAlign w:val="center"/>
              </w:tcPr>
              <w:p>
                <w:pPr>
                  <w:jc w:val="center"/>
                </w:pPr>
                <w:r>
                  <w:rPr>
                    <w:rFonts w:hint="eastAsia"/>
                  </w:rPr>
                  <w:t>2021-05-28</w:t>
                </w:r>
              </w:p>
            </w:tc>
            <w:tc>
              <w:tcPr>
                <w:tcW w:w="288" w:type="pct"/>
                <w:shd w:val="clear" w:color="auto" w:fill="auto"/>
                <w:vAlign w:val="center"/>
              </w:tcPr>
              <w:p>
                <w:pPr>
                  <w:pStyle w:val="afffffffffffff8"/>
                  <w:jc w:val="center"/>
                </w:pPr>
                <w:r>
                  <w:rPr>
                    <w:rFonts w:hint="eastAsia"/>
                  </w:rPr>
                  <w:t>5年</w:t>
                </w:r>
              </w:p>
            </w:tc>
            <w:tc>
              <w:tcPr>
                <w:tcW w:w="371" w:type="pct"/>
                <w:shd w:val="clear" w:color="auto" w:fill="auto"/>
                <w:vAlign w:val="center"/>
              </w:tcPr>
              <w:p>
                <w:pPr>
                  <w:jc w:val="right"/>
                </w:pPr>
                <w:r>
                  <w:rPr>
                    <w:rFonts w:hint="eastAsia"/>
                  </w:rPr>
                  <w:t>1,000,000</w:t>
                </w:r>
              </w:p>
            </w:tc>
            <w:tc>
              <w:tcPr>
                <w:tcW w:w="371" w:type="pct"/>
                <w:shd w:val="clear" w:color="auto" w:fill="auto"/>
                <w:vAlign w:val="center"/>
              </w:tcPr>
              <w:p>
                <w:pPr>
                  <w:jc w:val="right"/>
                </w:pPr>
                <w:r>
                  <w:rPr>
                    <w:rFonts w:hint="eastAsia"/>
                  </w:rPr>
                  <w:t>998,700</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41,874</w:t>
                </w:r>
              </w:p>
            </w:tc>
            <w:tc>
              <w:tcPr>
                <w:tcW w:w="329" w:type="pct"/>
                <w:shd w:val="clear" w:color="auto" w:fill="auto"/>
                <w:vAlign w:val="center"/>
              </w:tcPr>
              <w:p>
                <w:pPr>
                  <w:jc w:val="right"/>
                </w:pPr>
                <w:r>
                  <w:rPr>
                    <w:rFonts w:hint="eastAsia"/>
                  </w:rPr>
                  <w:t>633</w:t>
                </w:r>
              </w:p>
            </w:tc>
            <w:tc>
              <w:tcPr>
                <w:tcW w:w="460" w:type="pct"/>
                <w:shd w:val="clear" w:color="auto" w:fill="auto"/>
                <w:vAlign w:val="center"/>
              </w:tcPr>
              <w:p>
                <w:pPr>
                  <w:jc w:val="right"/>
                </w:pPr>
              </w:p>
            </w:tc>
            <w:sdt>
              <w:sdtPr>
                <w:alias w:val="重分类"/>
                <w:tag w:val="_GBC_6842457f34944926a593bf66e87a40fa"/>
                <w:id w:val="-1879856027"/>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999,333</w:t>
                </w:r>
              </w:p>
            </w:tc>
            <w:sdt>
              <w:sdtPr>
                <w:alias w:val="应付债券是否违约"/>
                <w:tag w:val="_GBC_b29c4c8797c84a3fa108403ac6b6e6df"/>
                <w:id w:val="-108203705"/>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871410487"/>
        </w:sdtPr>
        <w:sdtContent>
          <w:tr>
            <w:trPr>
              <w:cantSplit/>
              <w:trHeight w:val="266"/>
            </w:trPr>
            <w:tc>
              <w:tcPr>
                <w:tcW w:w="371" w:type="pct"/>
                <w:shd w:val="clear" w:color="auto" w:fill="auto"/>
                <w:vAlign w:val="center"/>
              </w:tcPr>
              <w:p>
                <w:pPr>
                  <w:pStyle w:val="afffffffffffff8"/>
                </w:pPr>
                <w:r>
                  <w:rPr>
                    <w:rFonts w:hint="eastAsia"/>
                  </w:rPr>
                  <w:t>23兖煤01</w:t>
                </w:r>
              </w:p>
            </w:tc>
            <w:tc>
              <w:tcPr>
                <w:tcW w:w="371" w:type="pct"/>
                <w:shd w:val="clear" w:color="auto" w:fill="auto"/>
                <w:vAlign w:val="center"/>
              </w:tcPr>
              <w:p>
                <w:pPr>
                  <w:jc w:val="right"/>
                </w:pPr>
                <w:r>
                  <w:rPr>
                    <w:rFonts w:hint="eastAsia"/>
                  </w:rPr>
                  <w:t>1,000,000</w:t>
                </w:r>
              </w:p>
            </w:tc>
            <w:tc>
              <w:tcPr>
                <w:tcW w:w="247" w:type="pct"/>
                <w:vAlign w:val="center"/>
              </w:tcPr>
              <w:p>
                <w:pPr>
                  <w:jc w:val="center"/>
                </w:pPr>
                <w:r>
                  <w:rPr>
                    <w:rFonts w:hint="eastAsia"/>
                  </w:rPr>
                  <w:t>3</w:t>
                </w:r>
              </w:p>
            </w:tc>
            <w:tc>
              <w:tcPr>
                <w:tcW w:w="496" w:type="pct"/>
                <w:shd w:val="clear" w:color="auto" w:fill="auto"/>
                <w:vAlign w:val="center"/>
              </w:tcPr>
              <w:p>
                <w:pPr>
                  <w:jc w:val="center"/>
                </w:pPr>
                <w:r>
                  <w:rPr>
                    <w:rFonts w:hint="eastAsia"/>
                  </w:rPr>
                  <w:t>2023-05-31</w:t>
                </w:r>
              </w:p>
            </w:tc>
            <w:tc>
              <w:tcPr>
                <w:tcW w:w="288" w:type="pct"/>
                <w:shd w:val="clear" w:color="auto" w:fill="auto"/>
                <w:vAlign w:val="center"/>
              </w:tcPr>
              <w:p>
                <w:pPr>
                  <w:pStyle w:val="afffffffffffff8"/>
                  <w:jc w:val="center"/>
                </w:pPr>
                <w:r>
                  <w:rPr>
                    <w:rFonts w:hint="eastAsia"/>
                  </w:rPr>
                  <w:t>5年</w:t>
                </w:r>
              </w:p>
            </w:tc>
            <w:tc>
              <w:tcPr>
                <w:tcW w:w="371" w:type="pct"/>
                <w:shd w:val="clear" w:color="auto" w:fill="auto"/>
                <w:vAlign w:val="center"/>
              </w:tcPr>
              <w:p>
                <w:pPr>
                  <w:jc w:val="right"/>
                </w:pPr>
                <w:r>
                  <w:rPr>
                    <w:rFonts w:hint="eastAsia"/>
                  </w:rPr>
                  <w:t>1,000,000</w:t>
                </w:r>
              </w:p>
            </w:tc>
            <w:tc>
              <w:tcPr>
                <w:tcW w:w="371" w:type="pct"/>
                <w:shd w:val="clear" w:color="auto" w:fill="auto"/>
                <w:vAlign w:val="center"/>
              </w:tcPr>
              <w:p>
                <w:pPr>
                  <w:jc w:val="right"/>
                </w:pPr>
                <w:r>
                  <w:rPr>
                    <w:rFonts w:hint="eastAsia"/>
                  </w:rPr>
                  <w:t>999,133</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33,864</w:t>
                </w:r>
              </w:p>
            </w:tc>
            <w:tc>
              <w:tcPr>
                <w:tcW w:w="329" w:type="pct"/>
                <w:shd w:val="clear" w:color="auto" w:fill="auto"/>
                <w:vAlign w:val="center"/>
              </w:tcPr>
              <w:p>
                <w:pPr>
                  <w:jc w:val="right"/>
                </w:pPr>
                <w:r>
                  <w:rPr>
                    <w:rFonts w:hint="eastAsia"/>
                  </w:rPr>
                  <w:t>200</w:t>
                </w:r>
              </w:p>
            </w:tc>
            <w:tc>
              <w:tcPr>
                <w:tcW w:w="460" w:type="pct"/>
                <w:shd w:val="clear" w:color="auto" w:fill="auto"/>
                <w:vAlign w:val="center"/>
              </w:tcPr>
              <w:p>
                <w:pPr>
                  <w:jc w:val="right"/>
                </w:pPr>
              </w:p>
            </w:tc>
            <w:sdt>
              <w:sdtPr>
                <w:alias w:val="重分类"/>
                <w:tag w:val="_GBC_6842457f34944926a593bf66e87a40fa"/>
                <w:id w:val="-252522872"/>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999,333</w:t>
                </w:r>
              </w:p>
            </w:tc>
            <w:sdt>
              <w:sdtPr>
                <w:alias w:val="应付债券是否违约"/>
                <w:tag w:val="_GBC_b29c4c8797c84a3fa108403ac6b6e6df"/>
                <w:id w:val="-1624150340"/>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985702353"/>
        </w:sdtPr>
        <w:sdtContent>
          <w:tr>
            <w:trPr>
              <w:cantSplit/>
              <w:trHeight w:val="266"/>
            </w:trPr>
            <w:tc>
              <w:tcPr>
                <w:tcW w:w="371" w:type="pct"/>
                <w:shd w:val="clear" w:color="auto" w:fill="auto"/>
                <w:vAlign w:val="center"/>
              </w:tcPr>
              <w:p>
                <w:pPr>
                  <w:pStyle w:val="afffffffffffff8"/>
                </w:pPr>
                <w:r>
                  <w:rPr>
                    <w:rFonts w:hint="eastAsia"/>
                  </w:rPr>
                  <w:t>23兖煤02</w:t>
                </w:r>
              </w:p>
            </w:tc>
            <w:tc>
              <w:tcPr>
                <w:tcW w:w="371" w:type="pct"/>
                <w:shd w:val="clear" w:color="auto" w:fill="auto"/>
                <w:vAlign w:val="center"/>
              </w:tcPr>
              <w:p>
                <w:pPr>
                  <w:jc w:val="right"/>
                </w:pPr>
                <w:r>
                  <w:rPr>
                    <w:rFonts w:hint="eastAsia"/>
                  </w:rPr>
                  <w:t>2,000,000</w:t>
                </w:r>
              </w:p>
            </w:tc>
            <w:tc>
              <w:tcPr>
                <w:tcW w:w="247" w:type="pct"/>
                <w:vAlign w:val="center"/>
              </w:tcPr>
              <w:p>
                <w:pPr>
                  <w:jc w:val="center"/>
                </w:pPr>
                <w:r>
                  <w:rPr>
                    <w:rFonts w:hint="eastAsia"/>
                  </w:rPr>
                  <w:t>4</w:t>
                </w:r>
              </w:p>
            </w:tc>
            <w:tc>
              <w:tcPr>
                <w:tcW w:w="496" w:type="pct"/>
                <w:shd w:val="clear" w:color="auto" w:fill="auto"/>
                <w:vAlign w:val="center"/>
              </w:tcPr>
              <w:p>
                <w:pPr>
                  <w:jc w:val="center"/>
                </w:pPr>
                <w:r>
                  <w:rPr>
                    <w:rFonts w:hint="eastAsia"/>
                  </w:rPr>
                  <w:t>2023-05-31</w:t>
                </w:r>
              </w:p>
            </w:tc>
            <w:tc>
              <w:tcPr>
                <w:tcW w:w="288" w:type="pct"/>
                <w:shd w:val="clear" w:color="auto" w:fill="auto"/>
                <w:vAlign w:val="center"/>
              </w:tcPr>
              <w:p>
                <w:pPr>
                  <w:pStyle w:val="afffffffffffff8"/>
                  <w:jc w:val="center"/>
                </w:pPr>
                <w:r>
                  <w:rPr>
                    <w:rFonts w:hint="eastAsia"/>
                  </w:rPr>
                  <w:t>10年</w:t>
                </w:r>
              </w:p>
            </w:tc>
            <w:tc>
              <w:tcPr>
                <w:tcW w:w="371" w:type="pct"/>
                <w:shd w:val="clear" w:color="auto" w:fill="auto"/>
                <w:vAlign w:val="center"/>
              </w:tcPr>
              <w:p>
                <w:pPr>
                  <w:jc w:val="right"/>
                </w:pPr>
                <w:r>
                  <w:rPr>
                    <w:rFonts w:hint="eastAsia"/>
                  </w:rPr>
                  <w:t>2,000,000</w:t>
                </w:r>
              </w:p>
            </w:tc>
            <w:tc>
              <w:tcPr>
                <w:tcW w:w="371" w:type="pct"/>
                <w:shd w:val="clear" w:color="auto" w:fill="auto"/>
                <w:vAlign w:val="center"/>
              </w:tcPr>
              <w:p>
                <w:pPr>
                  <w:jc w:val="right"/>
                </w:pPr>
                <w:r>
                  <w:rPr>
                    <w:rFonts w:hint="eastAsia"/>
                  </w:rPr>
                  <w:t>1,996,267</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77,056</w:t>
                </w:r>
              </w:p>
            </w:tc>
            <w:tc>
              <w:tcPr>
                <w:tcW w:w="329" w:type="pct"/>
                <w:shd w:val="clear" w:color="auto" w:fill="auto"/>
                <w:vAlign w:val="center"/>
              </w:tcPr>
              <w:p>
                <w:pPr>
                  <w:jc w:val="right"/>
                </w:pPr>
                <w:r>
                  <w:rPr>
                    <w:rFonts w:hint="eastAsia"/>
                  </w:rPr>
                  <w:t>400</w:t>
                </w:r>
              </w:p>
            </w:tc>
            <w:tc>
              <w:tcPr>
                <w:tcW w:w="460" w:type="pct"/>
                <w:shd w:val="clear" w:color="auto" w:fill="auto"/>
                <w:vAlign w:val="center"/>
              </w:tcPr>
              <w:p>
                <w:pPr>
                  <w:jc w:val="right"/>
                </w:pPr>
              </w:p>
            </w:tc>
            <w:sdt>
              <w:sdtPr>
                <w:alias w:val="重分类"/>
                <w:tag w:val="_GBC_6842457f34944926a593bf66e87a40fa"/>
                <w:id w:val="245153382"/>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1,996,667</w:t>
                </w:r>
              </w:p>
            </w:tc>
            <w:sdt>
              <w:sdtPr>
                <w:alias w:val="应付债券是否违约"/>
                <w:tag w:val="_GBC_b29c4c8797c84a3fa108403ac6b6e6df"/>
                <w:id w:val="2023364058"/>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900658063"/>
        </w:sdtPr>
        <w:sdtContent>
          <w:tr>
            <w:trPr>
              <w:cantSplit/>
              <w:trHeight w:val="266"/>
            </w:trPr>
            <w:tc>
              <w:tcPr>
                <w:tcW w:w="371" w:type="pct"/>
                <w:shd w:val="clear" w:color="auto" w:fill="auto"/>
                <w:vAlign w:val="center"/>
              </w:tcPr>
              <w:p>
                <w:pPr>
                  <w:pStyle w:val="afffffffffffff8"/>
                </w:pPr>
                <w:r>
                  <w:rPr>
                    <w:rFonts w:hint="eastAsia"/>
                  </w:rPr>
                  <w:t>23兖煤04</w:t>
                </w:r>
              </w:p>
            </w:tc>
            <w:tc>
              <w:tcPr>
                <w:tcW w:w="371" w:type="pct"/>
                <w:shd w:val="clear" w:color="auto" w:fill="auto"/>
                <w:vAlign w:val="center"/>
              </w:tcPr>
              <w:p>
                <w:pPr>
                  <w:jc w:val="right"/>
                </w:pPr>
                <w:r>
                  <w:rPr>
                    <w:rFonts w:hint="eastAsia"/>
                  </w:rPr>
                  <w:t>2,000,000</w:t>
                </w:r>
              </w:p>
            </w:tc>
            <w:tc>
              <w:tcPr>
                <w:tcW w:w="247" w:type="pct"/>
                <w:vAlign w:val="center"/>
              </w:tcPr>
              <w:p>
                <w:pPr>
                  <w:jc w:val="center"/>
                </w:pPr>
                <w:r>
                  <w:rPr>
                    <w:rFonts w:hint="eastAsia"/>
                  </w:rPr>
                  <w:t>4</w:t>
                </w:r>
              </w:p>
            </w:tc>
            <w:tc>
              <w:tcPr>
                <w:tcW w:w="496" w:type="pct"/>
                <w:shd w:val="clear" w:color="auto" w:fill="auto"/>
                <w:vAlign w:val="center"/>
              </w:tcPr>
              <w:p>
                <w:pPr>
                  <w:jc w:val="center"/>
                </w:pPr>
                <w:r>
                  <w:rPr>
                    <w:rFonts w:hint="eastAsia"/>
                  </w:rPr>
                  <w:t>2023-06-21</w:t>
                </w:r>
              </w:p>
            </w:tc>
            <w:tc>
              <w:tcPr>
                <w:tcW w:w="288" w:type="pct"/>
                <w:shd w:val="clear" w:color="auto" w:fill="auto"/>
                <w:vAlign w:val="center"/>
              </w:tcPr>
              <w:p>
                <w:pPr>
                  <w:pStyle w:val="afffffffffffff8"/>
                  <w:jc w:val="center"/>
                </w:pPr>
                <w:r>
                  <w:rPr>
                    <w:rFonts w:hint="eastAsia"/>
                  </w:rPr>
                  <w:t>10年</w:t>
                </w:r>
              </w:p>
            </w:tc>
            <w:tc>
              <w:tcPr>
                <w:tcW w:w="371" w:type="pct"/>
                <w:shd w:val="clear" w:color="auto" w:fill="auto"/>
                <w:vAlign w:val="center"/>
              </w:tcPr>
              <w:p>
                <w:pPr>
                  <w:jc w:val="right"/>
                </w:pPr>
                <w:r>
                  <w:rPr>
                    <w:rFonts w:hint="eastAsia"/>
                  </w:rPr>
                  <w:t>2,000,000</w:t>
                </w:r>
              </w:p>
            </w:tc>
            <w:tc>
              <w:tcPr>
                <w:tcW w:w="371" w:type="pct"/>
                <w:shd w:val="clear" w:color="auto" w:fill="auto"/>
                <w:vAlign w:val="center"/>
              </w:tcPr>
              <w:p>
                <w:pPr>
                  <w:jc w:val="right"/>
                </w:pPr>
                <w:r>
                  <w:rPr>
                    <w:rFonts w:hint="eastAsia"/>
                  </w:rPr>
                  <w:t>1,996,233</w:t>
                </w:r>
              </w:p>
            </w:tc>
            <w:tc>
              <w:tcPr>
                <w:tcW w:w="371" w:type="pct"/>
                <w:shd w:val="clear" w:color="auto" w:fill="auto"/>
                <w:vAlign w:val="center"/>
              </w:tcPr>
              <w:p>
                <w:pPr>
                  <w:jc w:val="right"/>
                </w:pPr>
              </w:p>
            </w:tc>
            <w:tc>
              <w:tcPr>
                <w:tcW w:w="288" w:type="pct"/>
                <w:shd w:val="clear" w:color="auto" w:fill="auto"/>
                <w:vAlign w:val="center"/>
              </w:tcPr>
              <w:p>
                <w:pPr>
                  <w:jc w:val="right"/>
                </w:pPr>
                <w:r>
                  <w:rPr>
                    <w:rFonts w:hint="eastAsia"/>
                  </w:rPr>
                  <w:t>76,042</w:t>
                </w:r>
              </w:p>
            </w:tc>
            <w:tc>
              <w:tcPr>
                <w:tcW w:w="329" w:type="pct"/>
                <w:shd w:val="clear" w:color="auto" w:fill="auto"/>
                <w:vAlign w:val="center"/>
              </w:tcPr>
              <w:p>
                <w:pPr>
                  <w:jc w:val="right"/>
                </w:pPr>
                <w:r>
                  <w:rPr>
                    <w:rFonts w:hint="eastAsia"/>
                  </w:rPr>
                  <w:t>400</w:t>
                </w:r>
              </w:p>
            </w:tc>
            <w:tc>
              <w:tcPr>
                <w:tcW w:w="460" w:type="pct"/>
                <w:shd w:val="clear" w:color="auto" w:fill="auto"/>
                <w:vAlign w:val="center"/>
              </w:tcPr>
              <w:p>
                <w:pPr>
                  <w:jc w:val="right"/>
                </w:pPr>
              </w:p>
            </w:tc>
            <w:sdt>
              <w:sdtPr>
                <w:alias w:val="重分类"/>
                <w:tag w:val="_GBC_6842457f34944926a593bf66e87a40fa"/>
                <w:id w:val="1001474494"/>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1,996,633</w:t>
                </w:r>
              </w:p>
            </w:tc>
            <w:sdt>
              <w:sdtPr>
                <w:alias w:val="应付债券是否违约"/>
                <w:tag w:val="_GBC_b29c4c8797c84a3fa108403ac6b6e6df"/>
                <w:id w:val="-1439912430"/>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63400024"/>
        </w:sdtPr>
        <w:sdtContent>
          <w:tr>
            <w:trPr>
              <w:cantSplit/>
              <w:trHeight w:val="266"/>
            </w:trPr>
            <w:tc>
              <w:tcPr>
                <w:tcW w:w="371" w:type="pct"/>
                <w:shd w:val="clear" w:color="auto" w:fill="auto"/>
                <w:vAlign w:val="center"/>
              </w:tcPr>
              <w:p>
                <w:pPr>
                  <w:pStyle w:val="afffffffffffff8"/>
                </w:pPr>
                <w:r>
                  <w:rPr>
                    <w:rFonts w:hint="eastAsia"/>
                  </w:rPr>
                  <w:t>24兖矿K1</w:t>
                </w:r>
              </w:p>
            </w:tc>
            <w:tc>
              <w:tcPr>
                <w:tcW w:w="371" w:type="pct"/>
                <w:shd w:val="clear" w:color="auto" w:fill="auto"/>
                <w:vAlign w:val="center"/>
              </w:tcPr>
              <w:p>
                <w:pPr>
                  <w:jc w:val="right"/>
                </w:pPr>
                <w:r>
                  <w:rPr>
                    <w:rFonts w:hint="eastAsia"/>
                  </w:rPr>
                  <w:t>3,000,000</w:t>
                </w:r>
              </w:p>
            </w:tc>
            <w:tc>
              <w:tcPr>
                <w:tcW w:w="247" w:type="pct"/>
                <w:vAlign w:val="center"/>
              </w:tcPr>
              <w:p>
                <w:pPr>
                  <w:jc w:val="center"/>
                </w:pPr>
                <w:r>
                  <w:rPr>
                    <w:rFonts w:hint="eastAsia"/>
                  </w:rPr>
                  <w:t>3</w:t>
                </w:r>
              </w:p>
            </w:tc>
            <w:tc>
              <w:tcPr>
                <w:tcW w:w="496" w:type="pct"/>
                <w:shd w:val="clear" w:color="auto" w:fill="auto"/>
                <w:vAlign w:val="center"/>
              </w:tcPr>
              <w:p>
                <w:pPr>
                  <w:jc w:val="center"/>
                </w:pPr>
                <w:r>
                  <w:rPr>
                    <w:rFonts w:hint="eastAsia"/>
                  </w:rPr>
                  <w:t>2024-03-14</w:t>
                </w:r>
              </w:p>
            </w:tc>
            <w:tc>
              <w:tcPr>
                <w:tcW w:w="288" w:type="pct"/>
                <w:shd w:val="clear" w:color="auto" w:fill="auto"/>
                <w:vAlign w:val="center"/>
              </w:tcPr>
              <w:p>
                <w:pPr>
                  <w:pStyle w:val="afffffffffffff8"/>
                  <w:jc w:val="center"/>
                </w:pPr>
                <w:r>
                  <w:rPr>
                    <w:rFonts w:hint="eastAsia"/>
                  </w:rPr>
                  <w:t>10年</w:t>
                </w:r>
              </w:p>
            </w:tc>
            <w:tc>
              <w:tcPr>
                <w:tcW w:w="371" w:type="pct"/>
                <w:shd w:val="clear" w:color="auto" w:fill="auto"/>
                <w:vAlign w:val="center"/>
              </w:tcPr>
              <w:p>
                <w:pPr>
                  <w:jc w:val="right"/>
                </w:pPr>
                <w:r>
                  <w:rPr>
                    <w:rFonts w:hint="eastAsia"/>
                  </w:rPr>
                  <w:t>3,000,000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2,994,000</w:t>
                </w:r>
              </w:p>
            </w:tc>
            <w:tc>
              <w:tcPr>
                <w:tcW w:w="288" w:type="pct"/>
                <w:shd w:val="clear" w:color="auto" w:fill="auto"/>
                <w:vAlign w:val="center"/>
              </w:tcPr>
              <w:p>
                <w:pPr>
                  <w:jc w:val="right"/>
                </w:pPr>
                <w:r>
                  <w:rPr>
                    <w:rFonts w:hint="eastAsia"/>
                  </w:rPr>
                  <w:t>73,478</w:t>
                </w:r>
              </w:p>
            </w:tc>
            <w:tc>
              <w:tcPr>
                <w:tcW w:w="329" w:type="pct"/>
                <w:shd w:val="clear" w:color="auto" w:fill="auto"/>
                <w:vAlign w:val="center"/>
              </w:tcPr>
              <w:p>
                <w:pPr>
                  <w:jc w:val="right"/>
                </w:pPr>
                <w:r>
                  <w:rPr>
                    <w:rFonts w:hint="eastAsia"/>
                  </w:rPr>
                  <w:t>500</w:t>
                </w:r>
              </w:p>
            </w:tc>
            <w:tc>
              <w:tcPr>
                <w:tcW w:w="460" w:type="pct"/>
                <w:shd w:val="clear" w:color="auto" w:fill="auto"/>
                <w:vAlign w:val="center"/>
              </w:tcPr>
              <w:p>
                <w:pPr>
                  <w:jc w:val="right"/>
                </w:pPr>
              </w:p>
            </w:tc>
            <w:sdt>
              <w:sdtPr>
                <w:alias w:val="重分类"/>
                <w:tag w:val="_GBC_6842457f34944926a593bf66e87a40fa"/>
                <w:id w:val="729819716"/>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2,994,500</w:t>
                </w:r>
              </w:p>
            </w:tc>
            <w:sdt>
              <w:sdtPr>
                <w:alias w:val="应付债券是否违约"/>
                <w:tag w:val="_GBC_b29c4c8797c84a3fa108403ac6b6e6df"/>
                <w:id w:val="1586497486"/>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266526557"/>
        </w:sdtPr>
        <w:sdtContent>
          <w:tr>
            <w:trPr>
              <w:cantSplit/>
              <w:trHeight w:val="266"/>
            </w:trPr>
            <w:tc>
              <w:tcPr>
                <w:tcW w:w="371" w:type="pct"/>
                <w:shd w:val="clear" w:color="auto" w:fill="auto"/>
                <w:vAlign w:val="center"/>
              </w:tcPr>
              <w:p>
                <w:pPr>
                  <w:pStyle w:val="afffffffffffff8"/>
                </w:pPr>
                <w:r>
                  <w:rPr>
                    <w:rFonts w:hint="eastAsia"/>
                  </w:rPr>
                  <w:t>24兖矿K3</w:t>
                </w:r>
              </w:p>
            </w:tc>
            <w:tc>
              <w:tcPr>
                <w:tcW w:w="371" w:type="pct"/>
                <w:shd w:val="clear" w:color="auto" w:fill="auto"/>
                <w:vAlign w:val="center"/>
              </w:tcPr>
              <w:p>
                <w:pPr>
                  <w:jc w:val="right"/>
                </w:pPr>
                <w:r>
                  <w:rPr>
                    <w:rFonts w:hint="eastAsia"/>
                  </w:rPr>
                  <w:t>3,000,000</w:t>
                </w:r>
              </w:p>
            </w:tc>
            <w:tc>
              <w:tcPr>
                <w:tcW w:w="247" w:type="pct"/>
                <w:vAlign w:val="center"/>
              </w:tcPr>
              <w:p>
                <w:pPr>
                  <w:jc w:val="center"/>
                </w:pPr>
                <w:r>
                  <w:rPr>
                    <w:rFonts w:hint="eastAsia"/>
                  </w:rPr>
                  <w:t>2</w:t>
                </w:r>
              </w:p>
            </w:tc>
            <w:tc>
              <w:tcPr>
                <w:tcW w:w="496" w:type="pct"/>
                <w:shd w:val="clear" w:color="auto" w:fill="auto"/>
                <w:vAlign w:val="center"/>
              </w:tcPr>
              <w:p>
                <w:pPr>
                  <w:jc w:val="center"/>
                </w:pPr>
                <w:r>
                  <w:rPr>
                    <w:rFonts w:hint="eastAsia"/>
                  </w:rPr>
                  <w:t>2024-08-05</w:t>
                </w:r>
              </w:p>
            </w:tc>
            <w:tc>
              <w:tcPr>
                <w:tcW w:w="288" w:type="pct"/>
                <w:shd w:val="clear" w:color="auto" w:fill="auto"/>
                <w:vAlign w:val="center"/>
              </w:tcPr>
              <w:p>
                <w:pPr>
                  <w:pStyle w:val="afffffffffffff8"/>
                  <w:jc w:val="center"/>
                </w:pPr>
                <w:r>
                  <w:rPr>
                    <w:rFonts w:hint="eastAsia"/>
                  </w:rPr>
                  <w:t>3年</w:t>
                </w:r>
              </w:p>
            </w:tc>
            <w:tc>
              <w:tcPr>
                <w:tcW w:w="371" w:type="pct"/>
                <w:shd w:val="clear" w:color="auto" w:fill="auto"/>
                <w:vAlign w:val="center"/>
              </w:tcPr>
              <w:p>
                <w:pPr>
                  <w:jc w:val="right"/>
                </w:pPr>
                <w:r>
                  <w:rPr>
                    <w:rFonts w:hint="eastAsia"/>
                  </w:rPr>
                  <w:t>3,000,000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2,998,333</w:t>
                </w:r>
              </w:p>
            </w:tc>
            <w:tc>
              <w:tcPr>
                <w:tcW w:w="288" w:type="pct"/>
                <w:shd w:val="clear" w:color="auto" w:fill="auto"/>
                <w:vAlign w:val="center"/>
              </w:tcPr>
              <w:p>
                <w:pPr>
                  <w:jc w:val="right"/>
                </w:pPr>
                <w:r>
                  <w:rPr>
                    <w:rFonts w:hint="eastAsia"/>
                  </w:rPr>
                  <w:t>25,283</w:t>
                </w:r>
              </w:p>
            </w:tc>
            <w:tc>
              <w:tcPr>
                <w:tcW w:w="329" w:type="pct"/>
                <w:shd w:val="clear" w:color="auto" w:fill="auto"/>
                <w:vAlign w:val="center"/>
              </w:tcPr>
              <w:p>
                <w:pPr>
                  <w:jc w:val="right"/>
                </w:pPr>
                <w:r>
                  <w:rPr>
                    <w:rFonts w:hint="eastAsia"/>
                  </w:rPr>
                  <w:t>233</w:t>
                </w:r>
              </w:p>
            </w:tc>
            <w:tc>
              <w:tcPr>
                <w:tcW w:w="460" w:type="pct"/>
                <w:shd w:val="clear" w:color="auto" w:fill="auto"/>
                <w:vAlign w:val="center"/>
              </w:tcPr>
              <w:p>
                <w:pPr>
                  <w:jc w:val="right"/>
                </w:pPr>
              </w:p>
            </w:tc>
            <w:sdt>
              <w:sdtPr>
                <w:alias w:val="重分类"/>
                <w:tag w:val="_GBC_6842457f34944926a593bf66e87a40fa"/>
                <w:id w:val="-1654915228"/>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2,998,566</w:t>
                </w:r>
              </w:p>
            </w:tc>
            <w:sdt>
              <w:sdtPr>
                <w:alias w:val="应付债券是否违约"/>
                <w:tag w:val="_GBC_b29c4c8797c84a3fa108403ac6b6e6df"/>
                <w:id w:val="-1459793763"/>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219351515"/>
        </w:sdtPr>
        <w:sdtContent>
          <w:tr>
            <w:trPr>
              <w:cantSplit/>
              <w:trHeight w:val="266"/>
            </w:trPr>
            <w:tc>
              <w:tcPr>
                <w:tcW w:w="371" w:type="pct"/>
                <w:shd w:val="clear" w:color="auto" w:fill="auto"/>
                <w:vAlign w:val="center"/>
              </w:tcPr>
              <w:p>
                <w:pPr>
                  <w:pStyle w:val="afffffffffffff8"/>
                </w:pPr>
                <w:r>
                  <w:rPr>
                    <w:rFonts w:hint="eastAsia"/>
                  </w:rPr>
                  <w:t>24兖矿K4</w:t>
                </w:r>
              </w:p>
            </w:tc>
            <w:tc>
              <w:tcPr>
                <w:tcW w:w="371" w:type="pct"/>
                <w:shd w:val="clear" w:color="auto" w:fill="auto"/>
                <w:vAlign w:val="center"/>
              </w:tcPr>
              <w:p>
                <w:pPr>
                  <w:jc w:val="right"/>
                </w:pPr>
                <w:r>
                  <w:rPr>
                    <w:rFonts w:hint="eastAsia"/>
                  </w:rPr>
                  <w:t>3,000,000</w:t>
                </w:r>
              </w:p>
            </w:tc>
            <w:tc>
              <w:tcPr>
                <w:tcW w:w="247" w:type="pct"/>
                <w:vAlign w:val="center"/>
              </w:tcPr>
              <w:p>
                <w:pPr>
                  <w:jc w:val="center"/>
                </w:pPr>
                <w:r>
                  <w:rPr>
                    <w:rFonts w:hint="eastAsia"/>
                  </w:rPr>
                  <w:t>2</w:t>
                </w:r>
              </w:p>
            </w:tc>
            <w:tc>
              <w:tcPr>
                <w:tcW w:w="496" w:type="pct"/>
                <w:shd w:val="clear" w:color="auto" w:fill="auto"/>
                <w:vAlign w:val="center"/>
              </w:tcPr>
              <w:p>
                <w:pPr>
                  <w:jc w:val="center"/>
                </w:pPr>
                <w:r>
                  <w:rPr>
                    <w:rFonts w:hint="eastAsia"/>
                  </w:rPr>
                  <w:t>2024-09-18</w:t>
                </w:r>
              </w:p>
            </w:tc>
            <w:tc>
              <w:tcPr>
                <w:tcW w:w="288" w:type="pct"/>
                <w:shd w:val="clear" w:color="auto" w:fill="auto"/>
                <w:vAlign w:val="center"/>
              </w:tcPr>
              <w:p>
                <w:pPr>
                  <w:pStyle w:val="afffffffffffff8"/>
                  <w:jc w:val="center"/>
                </w:pPr>
                <w:r>
                  <w:rPr>
                    <w:rFonts w:hint="eastAsia"/>
                  </w:rPr>
                  <w:t>3年</w:t>
                </w:r>
              </w:p>
            </w:tc>
            <w:tc>
              <w:tcPr>
                <w:tcW w:w="371" w:type="pct"/>
                <w:shd w:val="clear" w:color="auto" w:fill="auto"/>
                <w:vAlign w:val="center"/>
              </w:tcPr>
              <w:p>
                <w:pPr>
                  <w:jc w:val="right"/>
                </w:pPr>
                <w:r>
                  <w:rPr>
                    <w:rFonts w:hint="eastAsia"/>
                  </w:rPr>
                  <w:t>3,000,000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1,998,889</w:t>
                </w:r>
              </w:p>
            </w:tc>
            <w:tc>
              <w:tcPr>
                <w:tcW w:w="288" w:type="pct"/>
                <w:shd w:val="clear" w:color="auto" w:fill="auto"/>
                <w:vAlign w:val="center"/>
              </w:tcPr>
              <w:p>
                <w:pPr>
                  <w:jc w:val="right"/>
                </w:pPr>
                <w:r>
                  <w:rPr>
                    <w:rFonts w:hint="eastAsia"/>
                  </w:rPr>
                  <w:t>12,422</w:t>
                </w:r>
              </w:p>
            </w:tc>
            <w:tc>
              <w:tcPr>
                <w:tcW w:w="329" w:type="pct"/>
                <w:shd w:val="clear" w:color="auto" w:fill="auto"/>
                <w:vAlign w:val="center"/>
              </w:tcPr>
              <w:p>
                <w:pPr>
                  <w:jc w:val="right"/>
                </w:pPr>
                <w:r>
                  <w:rPr>
                    <w:rFonts w:hint="eastAsia"/>
                  </w:rPr>
                  <w:t>123</w:t>
                </w:r>
              </w:p>
            </w:tc>
            <w:tc>
              <w:tcPr>
                <w:tcW w:w="460" w:type="pct"/>
                <w:shd w:val="clear" w:color="auto" w:fill="auto"/>
                <w:vAlign w:val="center"/>
              </w:tcPr>
              <w:p>
                <w:pPr>
                  <w:jc w:val="right"/>
                </w:pPr>
              </w:p>
            </w:tc>
            <w:sdt>
              <w:sdtPr>
                <w:alias w:val="重分类"/>
                <w:tag w:val="_GBC_6842457f34944926a593bf66e87a40fa"/>
                <w:id w:val="195051218"/>
              </w:sdtPr>
              <w:sdtContent>
                <w:tc>
                  <w:tcPr>
                    <w:tcW w:w="377" w:type="pct"/>
                    <w:shd w:val="clear" w:color="auto" w:fill="auto"/>
                    <w:vAlign w:val="center"/>
                  </w:tcPr>
                  <w:p>
                    <w:pPr>
                      <w:jc w:val="right"/>
                    </w:pPr>
                    <w:r>
                      <w:t> </w:t>
                    </w:r>
                  </w:p>
                </w:tc>
              </w:sdtContent>
            </w:sdt>
            <w:tc>
              <w:tcPr>
                <w:tcW w:w="377" w:type="pct"/>
                <w:shd w:val="clear" w:color="auto" w:fill="auto"/>
                <w:vAlign w:val="center"/>
              </w:tcPr>
              <w:p>
                <w:pPr>
                  <w:jc w:val="right"/>
                </w:pPr>
                <w:r>
                  <w:rPr>
                    <w:rFonts w:hint="eastAsia"/>
                  </w:rPr>
                  <w:t>1,999,012</w:t>
                </w:r>
              </w:p>
            </w:tc>
            <w:sdt>
              <w:sdtPr>
                <w:alias w:val="应付债券是否违约"/>
                <w:tag w:val="_GBC_b29c4c8797c84a3fa108403ac6b6e6df"/>
                <w:id w:val="-198323972"/>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549684104"/>
        </w:sdtPr>
        <w:sdtContent>
          <w:tr>
            <w:trPr>
              <w:cantSplit/>
              <w:trHeight w:val="266"/>
            </w:trPr>
            <w:tc>
              <w:tcPr>
                <w:tcW w:w="371" w:type="pct"/>
                <w:shd w:val="clear" w:color="auto" w:fill="auto"/>
                <w:vAlign w:val="center"/>
              </w:tcPr>
              <w:p>
                <w:pPr>
                  <w:pStyle w:val="afffffffffffff8"/>
                </w:pPr>
                <w:r>
                  <w:rPr>
                    <w:rFonts w:hint="eastAsia"/>
                  </w:rPr>
                  <w:t>24兖矿能源SCP001</w:t>
                </w:r>
              </w:p>
            </w:tc>
            <w:tc>
              <w:tcPr>
                <w:tcW w:w="371" w:type="pct"/>
                <w:shd w:val="clear" w:color="auto" w:fill="auto"/>
                <w:vAlign w:val="center"/>
              </w:tcPr>
              <w:p>
                <w:pPr>
                  <w:jc w:val="right"/>
                </w:pPr>
                <w:r>
                  <w:rPr>
                    <w:rFonts w:hint="eastAsia"/>
                  </w:rPr>
                  <w:t>2,000,000</w:t>
                </w:r>
              </w:p>
            </w:tc>
            <w:tc>
              <w:tcPr>
                <w:tcW w:w="247" w:type="pct"/>
                <w:vAlign w:val="center"/>
              </w:tcPr>
              <w:p>
                <w:pPr>
                  <w:jc w:val="center"/>
                </w:pPr>
                <w:r>
                  <w:rPr>
                    <w:rFonts w:hint="eastAsia"/>
                  </w:rPr>
                  <w:t>2</w:t>
                </w:r>
              </w:p>
            </w:tc>
            <w:tc>
              <w:tcPr>
                <w:tcW w:w="496" w:type="pct"/>
                <w:shd w:val="clear" w:color="auto" w:fill="auto"/>
                <w:vAlign w:val="center"/>
              </w:tcPr>
              <w:p>
                <w:pPr>
                  <w:jc w:val="center"/>
                </w:pPr>
                <w:r>
                  <w:rPr>
                    <w:rFonts w:hint="eastAsia"/>
                  </w:rPr>
                  <w:t>2024-07-02</w:t>
                </w:r>
              </w:p>
            </w:tc>
            <w:tc>
              <w:tcPr>
                <w:tcW w:w="288" w:type="pct"/>
                <w:shd w:val="clear" w:color="auto" w:fill="auto"/>
                <w:vAlign w:val="center"/>
              </w:tcPr>
              <w:p>
                <w:pPr>
                  <w:pStyle w:val="afffffffffffff8"/>
                  <w:jc w:val="center"/>
                </w:pPr>
                <w:r>
                  <w:rPr>
                    <w:rFonts w:hint="eastAsia"/>
                  </w:rPr>
                  <w:t>6个月</w:t>
                </w:r>
              </w:p>
            </w:tc>
            <w:tc>
              <w:tcPr>
                <w:tcW w:w="371" w:type="pct"/>
                <w:shd w:val="clear" w:color="auto" w:fill="auto"/>
                <w:vAlign w:val="center"/>
              </w:tcPr>
              <w:p>
                <w:pPr>
                  <w:jc w:val="right"/>
                </w:pPr>
                <w:r>
                  <w:rPr>
                    <w:rFonts w:hint="eastAsia"/>
                  </w:rPr>
                  <w:t>2,000,000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2,999,849</w:t>
                </w:r>
              </w:p>
            </w:tc>
            <w:tc>
              <w:tcPr>
                <w:tcW w:w="288" w:type="pct"/>
                <w:shd w:val="clear" w:color="auto" w:fill="auto"/>
                <w:vAlign w:val="center"/>
              </w:tcPr>
              <w:p>
                <w:pPr>
                  <w:jc w:val="right"/>
                </w:pPr>
                <w:r>
                  <w:rPr>
                    <w:rFonts w:hint="eastAsia"/>
                  </w:rPr>
                  <w:t>23,463</w:t>
                </w:r>
              </w:p>
            </w:tc>
            <w:tc>
              <w:tcPr>
                <w:tcW w:w="329" w:type="pct"/>
                <w:shd w:val="clear" w:color="auto" w:fill="auto"/>
                <w:vAlign w:val="center"/>
              </w:tcPr>
              <w:p>
                <w:pPr>
                  <w:jc w:val="right"/>
                </w:pPr>
                <w:r>
                  <w:rPr>
                    <w:rFonts w:hint="eastAsia"/>
                  </w:rPr>
                  <w:t>151</w:t>
                </w:r>
              </w:p>
            </w:tc>
            <w:tc>
              <w:tcPr>
                <w:tcW w:w="460" w:type="pct"/>
                <w:shd w:val="clear" w:color="auto" w:fill="auto"/>
                <w:vAlign w:val="center"/>
              </w:tcPr>
              <w:p>
                <w:pPr>
                  <w:jc w:val="right"/>
                </w:pPr>
                <w:r>
                  <w:rPr>
                    <w:rFonts w:hint="eastAsia"/>
                  </w:rPr>
                  <w:t>3,000,000</w:t>
                </w:r>
              </w:p>
            </w:tc>
            <w:sdt>
              <w:sdtPr>
                <w:alias w:val="重分类"/>
                <w:tag w:val="_GBC_6842457f34944926a593bf66e87a40fa"/>
                <w:id w:val="-854348667"/>
              </w:sdtPr>
              <w:sdtContent>
                <w:tc>
                  <w:tcPr>
                    <w:tcW w:w="377" w:type="pct"/>
                    <w:shd w:val="clear" w:color="auto" w:fill="auto"/>
                    <w:vAlign w:val="center"/>
                  </w:tcPr>
                  <w:p>
                    <w:pPr>
                      <w:jc w:val="right"/>
                    </w:pPr>
                    <w:r>
                      <w:rPr>
                        <w:rFonts w:hint="eastAsia"/>
                      </w:rPr>
                      <w:t> </w:t>
                    </w:r>
                  </w:p>
                </w:tc>
              </w:sdtContent>
            </w:sdt>
            <w:tc>
              <w:tcPr>
                <w:tcW w:w="377" w:type="pct"/>
                <w:shd w:val="clear" w:color="auto" w:fill="auto"/>
                <w:vAlign w:val="center"/>
              </w:tcPr>
              <w:p>
                <w:pPr>
                  <w:jc w:val="right"/>
                </w:pPr>
              </w:p>
            </w:tc>
            <w:sdt>
              <w:sdtPr>
                <w:alias w:val="应付债券是否违约"/>
                <w:tag w:val="_GBC_b29c4c8797c84a3fa108403ac6b6e6df"/>
                <w:id w:val="-1126541517"/>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1844003079"/>
        </w:sdtPr>
        <w:sdtContent>
          <w:tr>
            <w:trPr>
              <w:cantSplit/>
              <w:trHeight w:val="266"/>
            </w:trPr>
            <w:tc>
              <w:tcPr>
                <w:tcW w:w="371" w:type="pct"/>
                <w:shd w:val="clear" w:color="auto" w:fill="auto"/>
                <w:vAlign w:val="center"/>
              </w:tcPr>
              <w:p>
                <w:pPr>
                  <w:pStyle w:val="afffffffffffff8"/>
                </w:pPr>
                <w:r>
                  <w:rPr>
                    <w:rFonts w:hint="eastAsia"/>
                  </w:rPr>
                  <w:t>24兖矿能源SCP002</w:t>
                </w:r>
              </w:p>
            </w:tc>
            <w:tc>
              <w:tcPr>
                <w:tcW w:w="371" w:type="pct"/>
                <w:shd w:val="clear" w:color="auto" w:fill="auto"/>
                <w:vAlign w:val="center"/>
              </w:tcPr>
              <w:p>
                <w:pPr>
                  <w:jc w:val="right"/>
                </w:pPr>
                <w:r>
                  <w:rPr>
                    <w:rFonts w:hint="eastAsia"/>
                  </w:rPr>
                  <w:t>3,000,000</w:t>
                </w:r>
              </w:p>
            </w:tc>
            <w:tc>
              <w:tcPr>
                <w:tcW w:w="247" w:type="pct"/>
                <w:vAlign w:val="center"/>
              </w:tcPr>
              <w:p>
                <w:pPr>
                  <w:jc w:val="center"/>
                </w:pPr>
                <w:r>
                  <w:rPr>
                    <w:rFonts w:hint="eastAsia"/>
                  </w:rPr>
                  <w:t>2</w:t>
                </w:r>
              </w:p>
            </w:tc>
            <w:tc>
              <w:tcPr>
                <w:tcW w:w="496" w:type="pct"/>
                <w:shd w:val="clear" w:color="auto" w:fill="auto"/>
                <w:vAlign w:val="center"/>
              </w:tcPr>
              <w:p>
                <w:pPr>
                  <w:jc w:val="center"/>
                </w:pPr>
                <w:r>
                  <w:rPr>
                    <w:rFonts w:hint="eastAsia"/>
                  </w:rPr>
                  <w:t>2024-11-15</w:t>
                </w:r>
              </w:p>
            </w:tc>
            <w:tc>
              <w:tcPr>
                <w:tcW w:w="288" w:type="pct"/>
                <w:shd w:val="clear" w:color="auto" w:fill="auto"/>
                <w:vAlign w:val="center"/>
              </w:tcPr>
              <w:p>
                <w:pPr>
                  <w:pStyle w:val="afffffffffffff8"/>
                  <w:jc w:val="center"/>
                </w:pPr>
                <w:r>
                  <w:rPr>
                    <w:rFonts w:hint="eastAsia"/>
                  </w:rPr>
                  <w:t>9个月</w:t>
                </w:r>
              </w:p>
            </w:tc>
            <w:tc>
              <w:tcPr>
                <w:tcW w:w="371" w:type="pct"/>
                <w:shd w:val="clear" w:color="auto" w:fill="auto"/>
                <w:vAlign w:val="center"/>
              </w:tcPr>
              <w:p>
                <w:pPr>
                  <w:jc w:val="right"/>
                </w:pPr>
                <w:r>
                  <w:rPr>
                    <w:rFonts w:hint="eastAsia"/>
                  </w:rPr>
                  <w:t>3,000,000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2,999,775</w:t>
                </w:r>
              </w:p>
            </w:tc>
            <w:tc>
              <w:tcPr>
                <w:tcW w:w="288" w:type="pct"/>
                <w:shd w:val="clear" w:color="auto" w:fill="auto"/>
                <w:vAlign w:val="center"/>
              </w:tcPr>
              <w:p>
                <w:pPr>
                  <w:jc w:val="right"/>
                </w:pPr>
                <w:r>
                  <w:rPr>
                    <w:rFonts w:hint="eastAsia"/>
                  </w:rPr>
                  <w:t>7,743</w:t>
                </w:r>
              </w:p>
            </w:tc>
            <w:tc>
              <w:tcPr>
                <w:tcW w:w="329" w:type="pct"/>
                <w:shd w:val="clear" w:color="auto" w:fill="auto"/>
                <w:vAlign w:val="center"/>
              </w:tcPr>
              <w:p>
                <w:pPr>
                  <w:jc w:val="right"/>
                </w:pPr>
                <w:r>
                  <w:rPr>
                    <w:rFonts w:hint="eastAsia"/>
                  </w:rPr>
                  <w:t>50</w:t>
                </w:r>
              </w:p>
            </w:tc>
            <w:tc>
              <w:tcPr>
                <w:tcW w:w="460" w:type="pct"/>
                <w:shd w:val="clear" w:color="auto" w:fill="auto"/>
                <w:vAlign w:val="center"/>
              </w:tcPr>
              <w:p>
                <w:pPr>
                  <w:jc w:val="right"/>
                </w:pPr>
              </w:p>
            </w:tc>
            <w:sdt>
              <w:sdtPr>
                <w:alias w:val="重分类"/>
                <w:tag w:val="_GBC_6842457f34944926a593bf66e87a40fa"/>
                <w:id w:val="1431624480"/>
              </w:sdtPr>
              <w:sdtContent>
                <w:tc>
                  <w:tcPr>
                    <w:tcW w:w="377" w:type="pct"/>
                    <w:shd w:val="clear" w:color="auto" w:fill="auto"/>
                    <w:vAlign w:val="center"/>
                  </w:tcPr>
                  <w:p>
                    <w:pPr>
                      <w:jc w:val="right"/>
                    </w:pPr>
                    <w:r>
                      <w:t>2,999,825</w:t>
                    </w:r>
                  </w:p>
                </w:tc>
              </w:sdtContent>
            </w:sdt>
            <w:tc>
              <w:tcPr>
                <w:tcW w:w="377" w:type="pct"/>
                <w:shd w:val="clear" w:color="auto" w:fill="auto"/>
                <w:vAlign w:val="center"/>
              </w:tcPr>
              <w:p>
                <w:pPr>
                  <w:jc w:val="right"/>
                </w:pPr>
              </w:p>
            </w:tc>
            <w:sdt>
              <w:sdtPr>
                <w:alias w:val="应付债券是否违约"/>
                <w:tag w:val="_GBC_b29c4c8797c84a3fa108403ac6b6e6df"/>
                <w:id w:val="-2003651647"/>
                <w:comboBox>
                  <w:listItem w:displayText="是" w:value="是"/>
                  <w:listItem w:displayText="否" w:value="否"/>
                </w:comboBox>
              </w:sdtPr>
              <w:sdtContent>
                <w:tc>
                  <w:tcPr>
                    <w:tcW w:w="283" w:type="pct"/>
                    <w:vAlign w:val="center"/>
                  </w:tcPr>
                  <w:p>
                    <w:pPr>
                      <w:jc w:val="center"/>
                    </w:pPr>
                    <w:r>
                      <w:t>否</w:t>
                    </w:r>
                  </w:p>
                </w:tc>
              </w:sdtContent>
            </w:sdt>
          </w:tr>
        </w:sdtContent>
      </w:sdt>
      <w:sdt>
        <w:sdtPr>
          <w:alias w:val="应付债券明细"/>
          <w:tag w:val="_TUP_483a6814da9c434391de215e945c94f6"/>
          <w:id w:val="-2144956783"/>
        </w:sdtPr>
        <w:sdtContent>
          <w:tr>
            <w:trPr>
              <w:cantSplit/>
              <w:trHeight w:val="266"/>
            </w:trPr>
            <w:tc>
              <w:tcPr>
                <w:tcW w:w="371" w:type="pct"/>
                <w:shd w:val="clear" w:color="auto" w:fill="auto"/>
                <w:vAlign w:val="center"/>
              </w:tcPr>
              <w:p>
                <w:pPr>
                  <w:pStyle w:val="afffffffffffff8"/>
                </w:pPr>
                <w:r>
                  <w:rPr>
                    <w:rFonts w:hint="eastAsia"/>
                  </w:rPr>
                  <w:t>24兖矿能源SCP003</w:t>
                </w:r>
              </w:p>
            </w:tc>
            <w:tc>
              <w:tcPr>
                <w:tcW w:w="371" w:type="pct"/>
                <w:shd w:val="clear" w:color="auto" w:fill="auto"/>
                <w:vAlign w:val="center"/>
              </w:tcPr>
              <w:p>
                <w:pPr>
                  <w:jc w:val="right"/>
                </w:pPr>
                <w:r>
                  <w:rPr>
                    <w:rFonts w:hint="eastAsia"/>
                  </w:rPr>
                  <w:t>3,000,000</w:t>
                </w:r>
              </w:p>
            </w:tc>
            <w:tc>
              <w:tcPr>
                <w:tcW w:w="247" w:type="pct"/>
                <w:vAlign w:val="center"/>
              </w:tcPr>
              <w:p>
                <w:pPr>
                  <w:jc w:val="center"/>
                </w:pPr>
                <w:r>
                  <w:rPr>
                    <w:rFonts w:hint="eastAsia"/>
                  </w:rPr>
                  <w:t>2</w:t>
                </w:r>
              </w:p>
            </w:tc>
            <w:tc>
              <w:tcPr>
                <w:tcW w:w="496" w:type="pct"/>
                <w:shd w:val="clear" w:color="auto" w:fill="auto"/>
                <w:vAlign w:val="center"/>
              </w:tcPr>
              <w:p>
                <w:pPr>
                  <w:jc w:val="center"/>
                </w:pPr>
                <w:r>
                  <w:rPr>
                    <w:rFonts w:hint="eastAsia"/>
                  </w:rPr>
                  <w:t>2024-12-27</w:t>
                </w:r>
              </w:p>
            </w:tc>
            <w:tc>
              <w:tcPr>
                <w:tcW w:w="288" w:type="pct"/>
                <w:shd w:val="clear" w:color="auto" w:fill="auto"/>
                <w:vAlign w:val="center"/>
              </w:tcPr>
              <w:p>
                <w:pPr>
                  <w:pStyle w:val="afffffffffffff8"/>
                  <w:jc w:val="center"/>
                </w:pPr>
                <w:r>
                  <w:rPr>
                    <w:rFonts w:hint="eastAsia"/>
                  </w:rPr>
                  <w:t>9个月</w:t>
                </w:r>
              </w:p>
            </w:tc>
            <w:tc>
              <w:tcPr>
                <w:tcW w:w="371" w:type="pct"/>
                <w:shd w:val="clear" w:color="auto" w:fill="auto"/>
                <w:vAlign w:val="center"/>
              </w:tcPr>
              <w:p>
                <w:pPr>
                  <w:jc w:val="right"/>
                </w:pPr>
                <w:r>
                  <w:rPr>
                    <w:rFonts w:hint="eastAsia"/>
                  </w:rPr>
                  <w:t>3,000,000</w:t>
                </w:r>
              </w:p>
            </w:tc>
            <w:tc>
              <w:tcPr>
                <w:tcW w:w="371" w:type="pct"/>
                <w:shd w:val="clear" w:color="auto" w:fill="auto"/>
                <w:vAlign w:val="center"/>
              </w:tcPr>
              <w:p>
                <w:pPr>
                  <w:jc w:val="right"/>
                </w:pPr>
              </w:p>
            </w:tc>
            <w:tc>
              <w:tcPr>
                <w:tcW w:w="371" w:type="pct"/>
                <w:shd w:val="clear" w:color="auto" w:fill="auto"/>
                <w:vAlign w:val="center"/>
              </w:tcPr>
              <w:p>
                <w:pPr>
                  <w:jc w:val="right"/>
                </w:pPr>
                <w:r>
                  <w:rPr>
                    <w:rFonts w:hint="eastAsia"/>
                  </w:rPr>
                  <w:t>1,999,703</w:t>
                </w:r>
              </w:p>
            </w:tc>
            <w:tc>
              <w:tcPr>
                <w:tcW w:w="288" w:type="pct"/>
                <w:shd w:val="clear" w:color="auto" w:fill="auto"/>
                <w:vAlign w:val="center"/>
              </w:tcPr>
              <w:p>
                <w:pPr>
                  <w:jc w:val="right"/>
                </w:pPr>
                <w:r>
                  <w:rPr>
                    <w:rFonts w:hint="eastAsia"/>
                  </w:rPr>
                  <w:t>486</w:t>
                </w:r>
              </w:p>
            </w:tc>
            <w:tc>
              <w:tcPr>
                <w:tcW w:w="329" w:type="pct"/>
                <w:shd w:val="clear" w:color="auto" w:fill="auto"/>
                <w:vAlign w:val="center"/>
              </w:tcPr>
              <w:p>
                <w:pPr>
                  <w:jc w:val="right"/>
                </w:pPr>
                <w:r>
                  <w:rPr>
                    <w:rFonts w:hint="eastAsia"/>
                  </w:rPr>
                  <w:t>33</w:t>
                </w:r>
              </w:p>
            </w:tc>
            <w:tc>
              <w:tcPr>
                <w:tcW w:w="460" w:type="pct"/>
                <w:shd w:val="clear" w:color="auto" w:fill="auto"/>
                <w:vAlign w:val="center"/>
              </w:tcPr>
              <w:p>
                <w:pPr>
                  <w:jc w:val="right"/>
                </w:pPr>
              </w:p>
            </w:tc>
            <w:sdt>
              <w:sdtPr>
                <w:alias w:val="重分类"/>
                <w:tag w:val="_GBC_6842457f34944926a593bf66e87a40fa"/>
                <w:id w:val="-818264629"/>
              </w:sdtPr>
              <w:sdtContent>
                <w:tc>
                  <w:tcPr>
                    <w:tcW w:w="377" w:type="pct"/>
                    <w:shd w:val="clear" w:color="auto" w:fill="auto"/>
                    <w:vAlign w:val="center"/>
                  </w:tcPr>
                  <w:p>
                    <w:pPr>
                      <w:jc w:val="right"/>
                    </w:pPr>
                    <w:r>
                      <w:t>1,999,736</w:t>
                    </w:r>
                  </w:p>
                </w:tc>
              </w:sdtContent>
            </w:sdt>
            <w:tc>
              <w:tcPr>
                <w:tcW w:w="377" w:type="pct"/>
                <w:shd w:val="clear" w:color="auto" w:fill="auto"/>
                <w:vAlign w:val="center"/>
              </w:tcPr>
              <w:p>
                <w:pPr>
                  <w:jc w:val="right"/>
                </w:pPr>
              </w:p>
            </w:tc>
            <w:sdt>
              <w:sdtPr>
                <w:alias w:val="应付债券是否违约"/>
                <w:tag w:val="_GBC_b29c4c8797c84a3fa108403ac6b6e6df"/>
                <w:id w:val="1661497606"/>
                <w:comboBox>
                  <w:listItem w:displayText="是" w:value="是"/>
                  <w:listItem w:displayText="否" w:value="否"/>
                </w:comboBox>
              </w:sdtPr>
              <w:sdtContent>
                <w:tc>
                  <w:tcPr>
                    <w:tcW w:w="283" w:type="pct"/>
                    <w:vAlign w:val="center"/>
                  </w:tcPr>
                  <w:p>
                    <w:pPr>
                      <w:jc w:val="center"/>
                    </w:pPr>
                    <w:r>
                      <w:t>否</w:t>
                    </w:r>
                  </w:p>
                </w:tc>
              </w:sdtContent>
            </w:sdt>
          </w:tr>
        </w:sdtContent>
      </w:sdt>
      <w:tr>
        <w:trPr>
          <w:cantSplit/>
          <w:trHeight w:val="266"/>
        </w:trPr>
        <w:sdt>
          <w:sdtPr>
            <w:tag w:val="_PLD_41192c0475024a44a2c97d36651ee82d"/>
            <w:id w:val="-1612276345"/>
          </w:sdtPr>
          <w:sdtContent>
            <w:tc>
              <w:tcPr>
                <w:tcW w:w="371" w:type="pct"/>
                <w:shd w:val="clear" w:color="auto" w:fill="auto"/>
              </w:tcPr>
              <w:p>
                <w:pPr>
                  <w:jc w:val="center"/>
                </w:pPr>
                <w:r>
                  <w:rPr>
                    <w:rFonts w:hint="eastAsia"/>
                  </w:rPr>
                  <w:t>合计</w:t>
                </w:r>
              </w:p>
            </w:tc>
          </w:sdtContent>
        </w:sdt>
        <w:tc>
          <w:tcPr>
            <w:tcW w:w="371" w:type="pct"/>
            <w:shd w:val="clear" w:color="auto" w:fill="auto"/>
          </w:tcPr>
          <w:p>
            <w:pPr>
              <w:jc w:val="center"/>
            </w:pPr>
            <w:r>
              <w:rPr>
                <w:rFonts w:hint="eastAsia"/>
              </w:rPr>
              <w:t>/</w:t>
            </w:r>
          </w:p>
        </w:tc>
        <w:tc>
          <w:tcPr>
            <w:tcW w:w="247" w:type="pct"/>
            <w:vAlign w:val="center"/>
          </w:tcPr>
          <w:p>
            <w:pPr>
              <w:jc w:val="center"/>
            </w:pPr>
            <w:r>
              <w:t>/</w:t>
            </w:r>
          </w:p>
        </w:tc>
        <w:tc>
          <w:tcPr>
            <w:tcW w:w="496" w:type="pct"/>
            <w:shd w:val="clear" w:color="auto" w:fill="auto"/>
            <w:vAlign w:val="center"/>
          </w:tcPr>
          <w:p>
            <w:pPr>
              <w:jc w:val="center"/>
            </w:pPr>
            <w:r>
              <w:rPr>
                <w:rFonts w:hint="eastAsia"/>
              </w:rPr>
              <w:t>/</w:t>
            </w:r>
          </w:p>
        </w:tc>
        <w:tc>
          <w:tcPr>
            <w:tcW w:w="288" w:type="pct"/>
            <w:shd w:val="clear" w:color="auto" w:fill="auto"/>
            <w:vAlign w:val="center"/>
          </w:tcPr>
          <w:p>
            <w:pPr>
              <w:jc w:val="center"/>
            </w:pPr>
            <w:r>
              <w:rPr>
                <w:rFonts w:hint="eastAsia"/>
              </w:rPr>
              <w:t>/</w:t>
            </w:r>
          </w:p>
        </w:tc>
        <w:tc>
          <w:tcPr>
            <w:tcW w:w="371" w:type="pct"/>
            <w:shd w:val="clear" w:color="auto" w:fill="auto"/>
            <w:vAlign w:val="center"/>
          </w:tcPr>
          <w:p>
            <w:pPr>
              <w:jc w:val="right"/>
            </w:pPr>
            <w:r>
              <w:rPr>
                <w:rFonts w:hint="eastAsia"/>
              </w:rPr>
              <w:t>29,200,000</w:t>
            </w:r>
          </w:p>
        </w:tc>
        <w:tc>
          <w:tcPr>
            <w:tcW w:w="371" w:type="pct"/>
            <w:shd w:val="clear" w:color="auto" w:fill="auto"/>
            <w:vAlign w:val="center"/>
          </w:tcPr>
          <w:p>
            <w:pPr>
              <w:jc w:val="right"/>
            </w:pPr>
            <w:r>
              <w:rPr>
                <w:rFonts w:hint="eastAsia"/>
              </w:rPr>
              <w:t>12,172,858</w:t>
            </w:r>
          </w:p>
        </w:tc>
        <w:tc>
          <w:tcPr>
            <w:tcW w:w="371" w:type="pct"/>
            <w:shd w:val="clear" w:color="auto" w:fill="auto"/>
            <w:vAlign w:val="center"/>
          </w:tcPr>
          <w:p>
            <w:pPr>
              <w:jc w:val="right"/>
            </w:pPr>
            <w:r>
              <w:rPr>
                <w:rFonts w:hint="eastAsia"/>
              </w:rPr>
              <w:t>15,990,549</w:t>
            </w:r>
          </w:p>
        </w:tc>
        <w:tc>
          <w:tcPr>
            <w:tcW w:w="288" w:type="pct"/>
            <w:shd w:val="clear" w:color="auto" w:fill="auto"/>
            <w:vAlign w:val="center"/>
          </w:tcPr>
          <w:p>
            <w:pPr>
              <w:jc w:val="right"/>
            </w:pPr>
            <w:r>
              <w:rPr>
                <w:rFonts w:hint="eastAsia"/>
              </w:rPr>
              <w:t>617,539</w:t>
            </w:r>
          </w:p>
        </w:tc>
        <w:tc>
          <w:tcPr>
            <w:tcW w:w="329" w:type="pct"/>
            <w:shd w:val="clear" w:color="auto" w:fill="auto"/>
            <w:vAlign w:val="center"/>
          </w:tcPr>
          <w:p>
            <w:pPr>
              <w:jc w:val="right"/>
            </w:pPr>
            <w:r>
              <w:rPr>
                <w:rFonts w:hint="eastAsia"/>
              </w:rPr>
              <w:t>8,123</w:t>
            </w:r>
          </w:p>
        </w:tc>
        <w:tc>
          <w:tcPr>
            <w:tcW w:w="460" w:type="pct"/>
            <w:shd w:val="clear" w:color="auto" w:fill="auto"/>
            <w:vAlign w:val="center"/>
          </w:tcPr>
          <w:p>
            <w:pPr>
              <w:jc w:val="right"/>
            </w:pPr>
            <w:r>
              <w:rPr>
                <w:rFonts w:hint="eastAsia"/>
              </w:rPr>
              <w:t>3,000,000</w:t>
            </w:r>
          </w:p>
        </w:tc>
        <w:tc>
          <w:tcPr>
            <w:tcW w:w="377" w:type="pct"/>
            <w:shd w:val="clear" w:color="auto" w:fill="auto"/>
            <w:vAlign w:val="center"/>
          </w:tcPr>
          <w:p>
            <w:pPr>
              <w:jc w:val="right"/>
            </w:pPr>
            <w:r>
              <w:t>9,197,986</w:t>
            </w:r>
          </w:p>
        </w:tc>
        <w:tc>
          <w:tcPr>
            <w:tcW w:w="377" w:type="pct"/>
            <w:shd w:val="clear" w:color="auto" w:fill="auto"/>
            <w:vAlign w:val="center"/>
          </w:tcPr>
          <w:p>
            <w:pPr>
              <w:jc w:val="right"/>
            </w:pPr>
            <w:r>
              <w:rPr>
                <w:rFonts w:hint="eastAsia"/>
              </w:rPr>
              <w:t>15,973,544</w:t>
            </w:r>
          </w:p>
        </w:tc>
        <w:tc>
          <w:tcPr>
            <w:tcW w:w="283" w:type="pct"/>
            <w:vAlign w:val="center"/>
          </w:tcPr>
          <w:p>
            <w:pPr>
              <w:jc w:val="right"/>
            </w:pPr>
            <w:r>
              <w:rPr>
                <w:rFonts w:hint="eastAsia"/>
              </w:rPr>
              <w:t>/</w:t>
            </w:r>
          </w:p>
        </w:tc>
      </w:tr>
    </w:tbl>
    <w:p>
      <w:pPr>
        <w:pStyle w:val="affffffffffffffffffffffffffffffffe"/>
      </w:pPr>
    </w:p>
    <w:p>
      <w:pPr>
        <w:pStyle w:val="afffffffffffffffffffffffffffffffff1"/>
        <w:numPr>
          <w:ilvl w:val="0"/>
          <w:numId w:val="121"/>
        </w:numPr>
        <w:ind w:left="426" w:hanging="426"/>
      </w:pPr>
      <w:r>
        <w:rPr>
          <w:rFonts w:hint="eastAsia"/>
        </w:rPr>
        <w:t>可</w:t>
      </w:r>
      <w:r>
        <w:rPr>
          <w:rFonts w:ascii="宋体" w:hAnsi="宋体" w:hint="eastAsia"/>
        </w:rPr>
        <w:t>转换公司债</w:t>
      </w:r>
      <w:r>
        <w:rPr>
          <w:rFonts w:hint="eastAsia"/>
        </w:rPr>
        <w:t>券的说明</w:t>
      </w:r>
    </w:p>
    <w:sdt>
      <w:sdtPr>
        <w:rPr>
          <w:rFonts w:hint="eastAsia"/>
          <w:szCs w:val="21"/>
        </w:rPr>
        <w:alias w:val="是否适用：可转换公司债券的转股条件、转股时间说明[双击切换]"/>
        <w:tag w:val="_GBC_2b6cb515ba4c417781662a31ccbd84e3"/>
        <w:id w:val="-1710944369"/>
        <w:placeholder>
          <w:docPart w:val="GBC22222222222222222222222222222"/>
        </w:placeholder>
      </w:sdt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rPr>
          <w:szCs w:val="21"/>
        </w:rPr>
      </w:pPr>
    </w:p>
    <w:p>
      <w:pPr>
        <w:spacing w:before="60" w:after="60"/>
        <w:rPr>
          <w:szCs w:val="21"/>
        </w:rPr>
      </w:pPr>
      <w:r>
        <w:rPr>
          <w:rFonts w:hint="eastAsia"/>
          <w:szCs w:val="21"/>
        </w:rPr>
        <w:t>转股权会计处理及判断依据</w:t>
      </w:r>
    </w:p>
    <w:sdt>
      <w:sdtPr>
        <w:rPr>
          <w:szCs w:val="21"/>
        </w:rPr>
        <w:alias w:val="是否适用：转股权会计处理及判断依据[双击切换]"/>
        <w:tag w:val="_GBC_8ec57a1730b24863aa91d9cece86f4d1"/>
        <w:id w:val="592982297"/>
        <w:placeholder>
          <w:docPart w:val="GBC22222222222222222222222222222"/>
        </w:placeholder>
      </w:sdtPr>
      <w:sdtContent>
        <w:p>
          <w:pPr>
            <w:spacing w:before="60" w:after="6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0"/>
          <w:numId w:val="121"/>
        </w:numPr>
        <w:tabs>
          <w:tab w:val="left" w:pos="672"/>
        </w:tabs>
        <w:rPr>
          <w:rFonts w:ascii="宋体" w:hAnsi="宋体"/>
          <w:color w:val="000000" w:themeColor="text1"/>
          <w:szCs w:val="21"/>
        </w:rPr>
      </w:pPr>
      <w:bookmarkStart w:id="454" w:name="_Hlk184976397"/>
      <w:bookmarkEnd w:id="452"/>
      <w:bookmarkEnd w:id="453"/>
      <w:r>
        <w:rPr>
          <w:rFonts w:ascii="宋体" w:hAnsi="宋体" w:hint="eastAsia"/>
          <w:color w:val="000000" w:themeColor="text1"/>
          <w:szCs w:val="21"/>
        </w:rPr>
        <w:t>划分为金融负债的其他金融工具说明</w:t>
      </w:r>
    </w:p>
    <w:p>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318105997"/>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1944339619"/>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p>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2126038195"/>
        <w:placeholder>
          <w:docPart w:val="GBC22222222222222222222222222222"/>
        </w:placeholder>
      </w:sdtPr>
      <w:sdtContent>
        <w:p>
          <w:pPr>
            <w:spacing w:before="60" w:after="60"/>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sectPr>
          <w:pgSz w:w="16838" w:h="11906" w:orient="landscape"/>
          <w:pgMar w:top="1276" w:right="1440" w:bottom="1797" w:left="1525" w:header="856" w:footer="992" w:gutter="0"/>
          <w:cols w:space="425"/>
          <w:docGrid w:linePitch="312"/>
        </w:sectPr>
      </w:pPr>
    </w:p>
    <w:p>
      <w:pPr>
        <w:rPr>
          <w:color w:val="000000" w:themeColor="text1"/>
        </w:rPr>
      </w:pPr>
    </w:p>
    <w:bookmarkEnd w:id="454"/>
    <w:p>
      <w:pPr>
        <w:spacing w:before="60" w:after="60"/>
        <w:rPr>
          <w:szCs w:val="21"/>
        </w:rPr>
      </w:pPr>
      <w:r>
        <w:rPr>
          <w:rFonts w:hint="eastAsia"/>
          <w:szCs w:val="21"/>
        </w:rPr>
        <w:t>其他说明：</w:t>
      </w:r>
    </w:p>
    <w:sdt>
      <w:sdtPr>
        <w:rPr>
          <w:szCs w:val="21"/>
        </w:rPr>
        <w:alias w:val="是否适用：应付债券的其他说明[双击切换]"/>
        <w:tag w:val="_GBC_2068e4e6d2994d6f8cfa9ecc26b171d4"/>
        <w:id w:val="1584328034"/>
        <w:placeholder>
          <w:docPart w:val="GBC22222222222222222222222222222"/>
        </w:placeholder>
      </w:sdt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sectPr>
          <w:pgSz w:w="11906" w:h="16838"/>
          <w:pgMar w:top="1440" w:right="1797" w:bottom="1525" w:left="1276" w:header="856" w:footer="992" w:gutter="0"/>
          <w:cols w:space="425"/>
          <w:docGrid w:linePitch="312"/>
        </w:sectPr>
      </w:pPr>
    </w:p>
    <w:p>
      <w:pPr>
        <w:rPr>
          <w:szCs w:val="21"/>
        </w:rPr>
      </w:pPr>
    </w:p>
    <w:p>
      <w:pPr>
        <w:pStyle w:val="affffffffffffffffff6"/>
        <w:numPr>
          <w:ilvl w:val="0"/>
          <w:numId w:val="103"/>
        </w:numPr>
        <w:tabs>
          <w:tab w:val="left" w:pos="504"/>
        </w:tabs>
        <w:rPr>
          <w:szCs w:val="21"/>
        </w:rPr>
      </w:pPr>
      <w:bookmarkStart w:id="455" w:name="_Hlk24026742"/>
      <w:r>
        <w:rPr>
          <w:rFonts w:hint="eastAsia"/>
          <w:szCs w:val="21"/>
        </w:rPr>
        <w:t>租赁</w:t>
      </w:r>
      <w:r>
        <w:rPr>
          <w:rFonts w:ascii="宋体" w:hAnsi="宋体" w:hint="eastAsia"/>
          <w:szCs w:val="21"/>
        </w:rPr>
        <w:t>负债</w:t>
      </w:r>
    </w:p>
    <w:sdt>
      <w:sdtPr>
        <w:rPr>
          <w:szCs w:val="21"/>
        </w:rPr>
        <w:alias w:val="是否适用：租赁负债[双击切换]"/>
        <w:tag w:val="_GBC_abf9a23b0ddc4b63b6f39d768c084973"/>
        <w:id w:val="104424873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租赁负债"/>
          <w:tag w:val="_GBC_33e504b2a4a34d41946083d1a309022f"/>
          <w:id w:val="-83699328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租赁负债"/>
          <w:tag w:val="_GBC_90ebb9825c5740c794669c2bf1475590"/>
          <w:id w:val="-67356720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5"/>
        <w:gridCol w:w="2766"/>
        <w:gridCol w:w="2768"/>
      </w:tblGrid>
      <w:tr>
        <w:trPr>
          <w:cantSplit/>
          <w:trHeight w:val="307"/>
        </w:trPr>
        <w:sdt>
          <w:sdtPr>
            <w:tag w:val="_PLD_a05982b715d74082b7e01db9e1e265ef"/>
            <w:id w:val="-799990534"/>
          </w:sdtPr>
          <w:sdtContent>
            <w:tc>
              <w:tcPr>
                <w:tcW w:w="1771" w:type="pct"/>
                <w:shd w:val="clear" w:color="auto" w:fill="auto"/>
                <w:vAlign w:val="center"/>
              </w:tcPr>
              <w:p>
                <w:pPr>
                  <w:jc w:val="center"/>
                  <w:rPr>
                    <w:szCs w:val="21"/>
                  </w:rPr>
                </w:pPr>
                <w:r>
                  <w:rPr>
                    <w:rFonts w:hint="eastAsia"/>
                    <w:szCs w:val="21"/>
                  </w:rPr>
                  <w:t>项目</w:t>
                </w:r>
              </w:p>
            </w:tc>
          </w:sdtContent>
        </w:sdt>
        <w:sdt>
          <w:sdtPr>
            <w:tag w:val="_PLD_84a0d8719b674f50bfcfc1c6ed86fed6"/>
            <w:id w:val="51907571"/>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d601589800f8414abb18e7477e7b41d6"/>
            <w:id w:val="-1193154584"/>
          </w:sdtPr>
          <w:sdtContent>
            <w:tc>
              <w:tcPr>
                <w:tcW w:w="1615" w:type="pct"/>
                <w:shd w:val="clear" w:color="auto" w:fill="auto"/>
                <w:vAlign w:val="center"/>
              </w:tcPr>
              <w:p>
                <w:pPr>
                  <w:jc w:val="center"/>
                  <w:rPr>
                    <w:szCs w:val="21"/>
                  </w:rPr>
                </w:pPr>
                <w:r>
                  <w:rPr>
                    <w:rFonts w:hint="eastAsia"/>
                    <w:szCs w:val="21"/>
                  </w:rPr>
                  <w:t>期初余额</w:t>
                </w:r>
              </w:p>
            </w:tc>
          </w:sdtContent>
        </w:sdt>
      </w:tr>
      <w:tr>
        <w:trPr>
          <w:cantSplit/>
          <w:trHeight w:val="186"/>
        </w:trPr>
        <w:tc>
          <w:tcPr>
            <w:tcW w:w="1771" w:type="pct"/>
            <w:vAlign w:val="center"/>
          </w:tcPr>
          <w:p>
            <w:pPr>
              <w:spacing w:line="360" w:lineRule="exact"/>
              <w:rPr>
                <w:szCs w:val="21"/>
              </w:rPr>
            </w:pPr>
            <w:r>
              <w:rPr>
                <w:rFonts w:hint="eastAsia"/>
                <w:szCs w:val="21"/>
              </w:rPr>
              <w:t>经营租赁</w:t>
            </w:r>
          </w:p>
        </w:tc>
        <w:tc>
          <w:tcPr>
            <w:tcW w:w="1614" w:type="pct"/>
            <w:vAlign w:val="center"/>
          </w:tcPr>
          <w:p>
            <w:pPr>
              <w:jc w:val="right"/>
              <w:rPr>
                <w:szCs w:val="21"/>
              </w:rPr>
            </w:pPr>
            <w:r>
              <w:rPr>
                <w:szCs w:val="21"/>
              </w:rPr>
              <w:t>22,038</w:t>
            </w:r>
          </w:p>
        </w:tc>
        <w:tc>
          <w:tcPr>
            <w:tcW w:w="1615" w:type="pct"/>
            <w:vAlign w:val="center"/>
          </w:tcPr>
          <w:p>
            <w:pPr>
              <w:jc w:val="right"/>
              <w:rPr>
                <w:szCs w:val="21"/>
              </w:rPr>
            </w:pPr>
            <w:r>
              <w:rPr>
                <w:szCs w:val="21"/>
              </w:rPr>
              <w:t>219,946</w:t>
            </w:r>
          </w:p>
        </w:tc>
      </w:tr>
      <w:tr>
        <w:trPr>
          <w:cantSplit/>
          <w:trHeight w:val="186"/>
        </w:trPr>
        <w:tc>
          <w:tcPr>
            <w:tcW w:w="1771" w:type="pct"/>
            <w:vAlign w:val="center"/>
          </w:tcPr>
          <w:p>
            <w:pPr>
              <w:spacing w:line="360" w:lineRule="exact"/>
              <w:rPr>
                <w:szCs w:val="21"/>
              </w:rPr>
            </w:pPr>
            <w:r>
              <w:rPr>
                <w:rFonts w:hint="eastAsia"/>
                <w:szCs w:val="21"/>
              </w:rPr>
              <w:t>融资租赁</w:t>
            </w:r>
          </w:p>
        </w:tc>
        <w:tc>
          <w:tcPr>
            <w:tcW w:w="1614" w:type="pct"/>
            <w:vAlign w:val="center"/>
          </w:tcPr>
          <w:p>
            <w:pPr>
              <w:jc w:val="right"/>
              <w:rPr>
                <w:szCs w:val="21"/>
              </w:rPr>
            </w:pPr>
            <w:r>
              <w:rPr>
                <w:szCs w:val="21"/>
              </w:rPr>
              <w:t>279,206</w:t>
            </w:r>
          </w:p>
        </w:tc>
        <w:tc>
          <w:tcPr>
            <w:tcW w:w="1615" w:type="pct"/>
            <w:vAlign w:val="center"/>
          </w:tcPr>
          <w:p>
            <w:pPr>
              <w:jc w:val="right"/>
              <w:rPr>
                <w:szCs w:val="21"/>
              </w:rPr>
            </w:pPr>
            <w:r>
              <w:rPr>
                <w:szCs w:val="21"/>
              </w:rPr>
              <w:t>107,072</w:t>
            </w:r>
          </w:p>
        </w:tc>
      </w:tr>
      <w:tr>
        <w:trPr>
          <w:cantSplit/>
          <w:trHeight w:val="186"/>
        </w:trPr>
        <w:tc>
          <w:tcPr>
            <w:tcW w:w="1771" w:type="pct"/>
          </w:tcPr>
          <w:p>
            <w:pPr>
              <w:jc w:val="center"/>
              <w:rPr>
                <w:szCs w:val="21"/>
              </w:rPr>
            </w:pPr>
            <w:r>
              <w:rPr>
                <w:rFonts w:hint="eastAsia"/>
                <w:szCs w:val="21"/>
              </w:rPr>
              <w:t>合计</w:t>
            </w:r>
          </w:p>
        </w:tc>
        <w:tc>
          <w:tcPr>
            <w:tcW w:w="1614" w:type="pct"/>
          </w:tcPr>
          <w:p>
            <w:pPr>
              <w:jc w:val="right"/>
              <w:rPr>
                <w:szCs w:val="21"/>
              </w:rPr>
            </w:pPr>
            <w:r>
              <w:rPr>
                <w:szCs w:val="21"/>
              </w:rPr>
              <w:t>301,244</w:t>
            </w:r>
          </w:p>
        </w:tc>
        <w:tc>
          <w:tcPr>
            <w:tcW w:w="1615" w:type="pct"/>
          </w:tcPr>
          <w:p>
            <w:pPr>
              <w:jc w:val="right"/>
              <w:rPr>
                <w:szCs w:val="21"/>
              </w:rPr>
            </w:pPr>
            <w:r>
              <w:rPr>
                <w:szCs w:val="21"/>
              </w:rPr>
              <w:t>327,018</w:t>
            </w:r>
          </w:p>
        </w:tc>
      </w:tr>
    </w:tbl>
    <w:p>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187647329"/>
        <w:placeholder>
          <w:docPart w:val="GBC22222222222222222222222222222"/>
        </w:placeholder>
      </w:sdtPr>
      <w:sdtContent>
        <w:p>
          <w:pPr>
            <w:rPr>
              <w:szCs w:val="21"/>
            </w:rPr>
          </w:pPr>
          <w:r>
            <w:t>-</w:t>
          </w:r>
        </w:p>
      </w:sdtContent>
    </w:sdt>
    <w:bookmarkEnd w:id="455"/>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长期</w:t>
      </w:r>
      <w:r>
        <w:rPr>
          <w:rFonts w:hint="eastAsia"/>
          <w:szCs w:val="21"/>
        </w:rPr>
        <w:t>应付</w:t>
      </w:r>
      <w:r>
        <w:rPr>
          <w:rFonts w:ascii="宋体" w:hAnsi="宋体" w:hint="eastAsia"/>
          <w:szCs w:val="21"/>
        </w:rPr>
        <w:t>款</w:t>
      </w:r>
    </w:p>
    <w:p>
      <w:pPr>
        <w:pStyle w:val="afffffffffffffffffffffffffffffffff1"/>
        <w:numPr>
          <w:ilvl w:val="0"/>
          <w:numId w:val="122"/>
        </w:numPr>
      </w:pPr>
      <w:bookmarkStart w:id="456" w:name="_Hlk532911038"/>
      <w:r>
        <w:rPr>
          <w:rFonts w:hint="eastAsia"/>
        </w:rPr>
        <w:t>项目列示</w:t>
      </w:r>
    </w:p>
    <w:sdt>
      <w:sdtPr>
        <w:alias w:val="是否适用：长期应付款分类列示[双击切换]"/>
        <w:tag w:val="_GBC_90d4a9bd673140ef9c99898da48d1614"/>
        <w:id w:val="-13325502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长期应付款分类列示"/>
          <w:tag w:val="_GBC_6f1c5753ac2941b597e1d984d66c55a3"/>
          <w:id w:val="4285563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长期应付款分类列示"/>
          <w:tag w:val="_GBC_8f45b0164513461a90709633a96141c4"/>
          <w:id w:val="-8912653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3"/>
        <w:gridCol w:w="2711"/>
        <w:gridCol w:w="2725"/>
      </w:tblGrid>
      <w:tr>
        <w:sdt>
          <w:sdtPr>
            <w:tag w:val="_PLD_2038af4a07e447f88ceb8aedfaa7f12b"/>
            <w:id w:val="-415330084"/>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179881681"/>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2fa2691f59be4fb398c9e37e50109f5a"/>
            <w:id w:val="-1483455513"/>
          </w:sdtPr>
          <w:sdtContent>
            <w:tc>
              <w:tcPr>
                <w:tcW w:w="1590" w:type="pct"/>
                <w:shd w:val="clear" w:color="auto" w:fill="auto"/>
                <w:vAlign w:val="center"/>
              </w:tcPr>
              <w:p>
                <w:pPr>
                  <w:jc w:val="center"/>
                  <w:rPr>
                    <w:szCs w:val="21"/>
                  </w:rPr>
                </w:pPr>
                <w:r>
                  <w:rPr>
                    <w:rFonts w:hint="eastAsia"/>
                    <w:szCs w:val="21"/>
                  </w:rPr>
                  <w:t>期初余额</w:t>
                </w:r>
              </w:p>
            </w:tc>
          </w:sdtContent>
        </w:sdt>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长期应付款</w:t>
            </w:r>
          </w:p>
        </w:tc>
        <w:tc>
          <w:tcPr>
            <w:tcW w:w="1582" w:type="pct"/>
            <w:shd w:val="clear" w:color="auto" w:fill="auto"/>
            <w:vAlign w:val="center"/>
          </w:tcPr>
          <w:p>
            <w:pPr>
              <w:jc w:val="right"/>
            </w:pPr>
            <w:r>
              <w:t>8,019,140</w:t>
            </w:r>
          </w:p>
        </w:tc>
        <w:tc>
          <w:tcPr>
            <w:tcW w:w="1590" w:type="pct"/>
            <w:shd w:val="clear" w:color="auto" w:fill="auto"/>
            <w:vAlign w:val="center"/>
          </w:tcPr>
          <w:p>
            <w:pPr>
              <w:jc w:val="right"/>
            </w:pPr>
            <w:r>
              <w:t>9,279,757</w:t>
            </w:r>
          </w:p>
        </w:tc>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专项应付款</w:t>
            </w:r>
          </w:p>
        </w:tc>
        <w:tc>
          <w:tcPr>
            <w:tcW w:w="1582" w:type="pct"/>
            <w:shd w:val="clear" w:color="auto" w:fill="auto"/>
            <w:vAlign w:val="center"/>
          </w:tcPr>
          <w:p>
            <w:pPr>
              <w:jc w:val="right"/>
            </w:pPr>
            <w:r>
              <w:t>13,381</w:t>
            </w:r>
          </w:p>
        </w:tc>
        <w:tc>
          <w:tcPr>
            <w:tcW w:w="1590" w:type="pct"/>
            <w:shd w:val="clear" w:color="auto" w:fill="auto"/>
            <w:vAlign w:val="center"/>
          </w:tcPr>
          <w:p>
            <w:pPr>
              <w:jc w:val="right"/>
            </w:pPr>
            <w:r>
              <w:t>16,157</w:t>
            </w:r>
          </w:p>
        </w:tc>
      </w:tr>
      <w:tr>
        <w:tc>
          <w:tcPr>
            <w:tcW w:w="1828" w:type="pct"/>
            <w:shd w:val="clear" w:color="auto" w:fill="auto"/>
          </w:tcPr>
          <w:p>
            <w:pPr>
              <w:tabs>
                <w:tab w:val="right" w:pos="3690"/>
                <w:tab w:val="right" w:pos="5130"/>
                <w:tab w:val="right" w:pos="6030"/>
                <w:tab w:val="right" w:pos="7650"/>
                <w:tab w:val="right" w:pos="9270"/>
              </w:tabs>
              <w:adjustRightInd w:val="0"/>
              <w:snapToGrid w:val="0"/>
              <w:rPr>
                <w:szCs w:val="21"/>
              </w:rPr>
            </w:pPr>
            <w:r>
              <w:rPr>
                <w:rFonts w:hint="eastAsia"/>
                <w:szCs w:val="21"/>
              </w:rPr>
              <w:t>合计</w:t>
            </w:r>
          </w:p>
        </w:tc>
        <w:tc>
          <w:tcPr>
            <w:tcW w:w="1582" w:type="pct"/>
            <w:shd w:val="clear" w:color="auto" w:fill="auto"/>
            <w:vAlign w:val="center"/>
          </w:tcPr>
          <w:p>
            <w:pPr>
              <w:tabs>
                <w:tab w:val="right" w:pos="3690"/>
                <w:tab w:val="right" w:pos="5130"/>
                <w:tab w:val="right" w:pos="6030"/>
                <w:tab w:val="right" w:pos="7650"/>
                <w:tab w:val="right" w:pos="9270"/>
              </w:tabs>
              <w:adjustRightInd w:val="0"/>
              <w:snapToGrid w:val="0"/>
              <w:jc w:val="right"/>
              <w:rPr>
                <w:szCs w:val="21"/>
              </w:rPr>
            </w:pPr>
            <w:r>
              <w:rPr>
                <w:szCs w:val="21"/>
              </w:rPr>
              <w:t>8,032,521</w:t>
            </w:r>
          </w:p>
        </w:tc>
        <w:tc>
          <w:tcPr>
            <w:tcW w:w="1590" w:type="pct"/>
            <w:shd w:val="clear" w:color="auto" w:fill="auto"/>
            <w:vAlign w:val="center"/>
          </w:tcPr>
          <w:p>
            <w:pPr>
              <w:tabs>
                <w:tab w:val="right" w:pos="3690"/>
                <w:tab w:val="right" w:pos="5130"/>
                <w:tab w:val="right" w:pos="6030"/>
                <w:tab w:val="right" w:pos="7650"/>
                <w:tab w:val="right" w:pos="9270"/>
              </w:tabs>
              <w:adjustRightInd w:val="0"/>
              <w:snapToGrid w:val="0"/>
              <w:jc w:val="right"/>
              <w:rPr>
                <w:szCs w:val="21"/>
              </w:rPr>
            </w:pPr>
            <w:r>
              <w:rPr>
                <w:szCs w:val="21"/>
              </w:rPr>
              <w:t>9,295,914</w:t>
            </w:r>
          </w:p>
        </w:tc>
      </w:tr>
    </w:tbl>
    <w:p>
      <w:pPr>
        <w:pStyle w:val="affffffffffffffffffffffffffffffffe"/>
      </w:pPr>
    </w:p>
    <w:p>
      <w:pPr>
        <w:rPr>
          <w:szCs w:val="21"/>
        </w:rPr>
      </w:pPr>
      <w:bookmarkStart w:id="457" w:name="_Hlk532911057"/>
      <w:bookmarkEnd w:id="456"/>
      <w:r>
        <w:rPr>
          <w:rFonts w:hint="eastAsia"/>
          <w:szCs w:val="21"/>
        </w:rPr>
        <w:t>其他说明：</w:t>
      </w:r>
    </w:p>
    <w:sdt>
      <w:sdtPr>
        <w:rPr>
          <w:szCs w:val="21"/>
        </w:rPr>
        <w:alias w:val="是否适用：长期应付款分类列示其他说明[双击切换]"/>
        <w:tag w:val="_GBC_e7daa7f55cea4e3d835be6ee6457b35d"/>
        <w:id w:val="92830873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457"/>
    <w:p>
      <w:pPr>
        <w:pStyle w:val="afffffffffffffffffffffffffffffffff1"/>
        <w:numPr>
          <w:ilvl w:val="0"/>
          <w:numId w:val="122"/>
        </w:numPr>
      </w:pPr>
      <w:r>
        <w:rPr>
          <w:rFonts w:hint="eastAsia"/>
        </w:rPr>
        <w:t>长期应付款</w:t>
      </w:r>
    </w:p>
    <w:p>
      <w:pPr>
        <w:pStyle w:val="afffffffffffffffffffffffffffffffff2"/>
        <w:numPr>
          <w:ilvl w:val="0"/>
          <w:numId w:val="123"/>
        </w:numPr>
        <w:ind w:leftChars="0"/>
      </w:pPr>
      <w:r>
        <w:rPr>
          <w:rFonts w:hint="eastAsia"/>
        </w:rPr>
        <w:t>按款项性质列示长期应付款</w:t>
      </w:r>
    </w:p>
    <w:sdt>
      <w:sdtPr>
        <w:alias w:val="是否适用：按款项性质列示长期应付款[双击切换]"/>
        <w:tag w:val="_GBC_6a4cca7cce5341018cd4836f32746cd9"/>
        <w:id w:val="-21135393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应付款"/>
          <w:tag w:val="_GBC_ddf7b9d28f164198ac6c2f6a82b47d41"/>
          <w:id w:val="-814021468"/>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长期应付款"/>
          <w:tag w:val="_GBC_f93228408d4f48699309d8ab4da673ba"/>
          <w:id w:val="164885455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035"/>
        <w:gridCol w:w="2766"/>
        <w:gridCol w:w="2768"/>
      </w:tblGrid>
      <w:tr>
        <w:trPr>
          <w:cantSplit/>
          <w:trHeight w:val="307"/>
        </w:trPr>
        <w:sdt>
          <w:sdtPr>
            <w:tag w:val="_PLD_80697eb0741143188d1783ddd81c2db2"/>
            <w:id w:val="1214233255"/>
          </w:sdtPr>
          <w:sdtContent>
            <w:tc>
              <w:tcPr>
                <w:tcW w:w="1771" w:type="pct"/>
                <w:shd w:val="clear" w:color="auto" w:fill="auto"/>
                <w:vAlign w:val="center"/>
              </w:tcPr>
              <w:p>
                <w:pPr>
                  <w:jc w:val="center"/>
                  <w:rPr>
                    <w:szCs w:val="21"/>
                  </w:rPr>
                </w:pPr>
                <w:r>
                  <w:rPr>
                    <w:rFonts w:hint="eastAsia"/>
                    <w:szCs w:val="21"/>
                  </w:rPr>
                  <w:t>项目</w:t>
                </w:r>
              </w:p>
            </w:tc>
          </w:sdtContent>
        </w:sdt>
        <w:sdt>
          <w:sdtPr>
            <w:tag w:val="_PLD_b45e38f9b06048e18bf5d20429299b7b"/>
            <w:id w:val="71329285"/>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361897af892e4de98bc2cf056e2b512c"/>
            <w:id w:val="692586211"/>
          </w:sdtPr>
          <w:sdtContent>
            <w:tc>
              <w:tcPr>
                <w:tcW w:w="1615" w:type="pct"/>
                <w:shd w:val="clear" w:color="auto" w:fill="auto"/>
                <w:vAlign w:val="center"/>
              </w:tcPr>
              <w:p>
                <w:pPr>
                  <w:jc w:val="center"/>
                  <w:rPr>
                    <w:szCs w:val="21"/>
                  </w:rPr>
                </w:pPr>
                <w:r>
                  <w:rPr>
                    <w:rFonts w:hint="eastAsia"/>
                    <w:szCs w:val="21"/>
                  </w:rPr>
                  <w:t>期初余额</w:t>
                </w:r>
              </w:p>
            </w:tc>
          </w:sdtContent>
        </w:sdt>
      </w:tr>
      <w:tr>
        <w:trPr>
          <w:cantSplit/>
          <w:trHeight w:val="186"/>
        </w:trPr>
        <w:tc>
          <w:tcPr>
            <w:tcW w:w="1771" w:type="pct"/>
          </w:tcPr>
          <w:p>
            <w:pPr>
              <w:rPr>
                <w:szCs w:val="21"/>
              </w:rPr>
            </w:pPr>
            <w:r>
              <w:t>采矿权购置款</w:t>
            </w:r>
          </w:p>
        </w:tc>
        <w:tc>
          <w:tcPr>
            <w:tcW w:w="1614" w:type="pct"/>
          </w:tcPr>
          <w:p>
            <w:pPr>
              <w:jc w:val="right"/>
              <w:rPr>
                <w:szCs w:val="21"/>
              </w:rPr>
            </w:pPr>
            <w:r>
              <w:t>4,446,344</w:t>
            </w:r>
          </w:p>
        </w:tc>
        <w:tc>
          <w:tcPr>
            <w:tcW w:w="1615" w:type="pct"/>
          </w:tcPr>
          <w:p>
            <w:pPr>
              <w:jc w:val="right"/>
              <w:rPr>
                <w:szCs w:val="21"/>
              </w:rPr>
            </w:pPr>
            <w:r>
              <w:t>4,733,863</w:t>
            </w:r>
          </w:p>
        </w:tc>
      </w:tr>
      <w:tr>
        <w:trPr>
          <w:cantSplit/>
          <w:trHeight w:val="186"/>
        </w:trPr>
        <w:tc>
          <w:tcPr>
            <w:tcW w:w="1771" w:type="pct"/>
          </w:tcPr>
          <w:p>
            <w:pPr>
              <w:rPr>
                <w:szCs w:val="21"/>
              </w:rPr>
            </w:pPr>
            <w:r>
              <w:t>售后回租款（注）</w:t>
            </w:r>
          </w:p>
        </w:tc>
        <w:tc>
          <w:tcPr>
            <w:tcW w:w="1614" w:type="pct"/>
          </w:tcPr>
          <w:p>
            <w:pPr>
              <w:jc w:val="right"/>
              <w:rPr>
                <w:szCs w:val="21"/>
              </w:rPr>
            </w:pPr>
            <w:r>
              <w:t>1,400,207</w:t>
            </w:r>
          </w:p>
        </w:tc>
        <w:tc>
          <w:tcPr>
            <w:tcW w:w="1615" w:type="pct"/>
          </w:tcPr>
          <w:p>
            <w:pPr>
              <w:jc w:val="right"/>
              <w:rPr>
                <w:szCs w:val="21"/>
              </w:rPr>
            </w:pPr>
            <w:r>
              <w:t>2,554,212</w:t>
            </w:r>
          </w:p>
        </w:tc>
      </w:tr>
      <w:tr>
        <w:trPr>
          <w:cantSplit/>
          <w:trHeight w:val="186"/>
        </w:trPr>
        <w:tc>
          <w:tcPr>
            <w:tcW w:w="1771" w:type="pct"/>
          </w:tcPr>
          <w:p>
            <w:pPr>
              <w:rPr>
                <w:szCs w:val="21"/>
              </w:rPr>
            </w:pPr>
            <w:r>
              <w:t>政府专项债券</w:t>
            </w:r>
          </w:p>
        </w:tc>
        <w:tc>
          <w:tcPr>
            <w:tcW w:w="1614" w:type="pct"/>
          </w:tcPr>
          <w:p>
            <w:pPr>
              <w:jc w:val="right"/>
              <w:rPr>
                <w:szCs w:val="21"/>
              </w:rPr>
            </w:pPr>
            <w:r>
              <w:t>2,041,902</w:t>
            </w:r>
          </w:p>
        </w:tc>
        <w:tc>
          <w:tcPr>
            <w:tcW w:w="1615" w:type="pct"/>
          </w:tcPr>
          <w:p>
            <w:pPr>
              <w:jc w:val="right"/>
              <w:rPr>
                <w:szCs w:val="21"/>
              </w:rPr>
            </w:pPr>
            <w:r>
              <w:t>1,749,214</w:t>
            </w:r>
          </w:p>
        </w:tc>
      </w:tr>
      <w:tr>
        <w:trPr>
          <w:cantSplit/>
          <w:trHeight w:val="186"/>
        </w:trPr>
        <w:tc>
          <w:tcPr>
            <w:tcW w:w="1771" w:type="pct"/>
          </w:tcPr>
          <w:p>
            <w:pPr>
              <w:rPr>
                <w:szCs w:val="21"/>
              </w:rPr>
            </w:pPr>
            <w:r>
              <w:t>关联方借款</w:t>
            </w:r>
          </w:p>
        </w:tc>
        <w:tc>
          <w:tcPr>
            <w:tcW w:w="1614" w:type="pct"/>
          </w:tcPr>
          <w:p>
            <w:pPr>
              <w:jc w:val="right"/>
              <w:rPr>
                <w:szCs w:val="21"/>
              </w:rPr>
            </w:pPr>
            <w:r>
              <w:t>108,186</w:t>
            </w:r>
          </w:p>
        </w:tc>
        <w:tc>
          <w:tcPr>
            <w:tcW w:w="1615" w:type="pct"/>
          </w:tcPr>
          <w:p>
            <w:pPr>
              <w:jc w:val="right"/>
              <w:rPr>
                <w:szCs w:val="21"/>
              </w:rPr>
            </w:pPr>
            <w:r>
              <w:t>185,300</w:t>
            </w:r>
          </w:p>
        </w:tc>
      </w:tr>
      <w:tr>
        <w:trPr>
          <w:cantSplit/>
          <w:trHeight w:val="186"/>
        </w:trPr>
        <w:tc>
          <w:tcPr>
            <w:tcW w:w="1771" w:type="pct"/>
          </w:tcPr>
          <w:p>
            <w:pPr>
              <w:rPr>
                <w:szCs w:val="21"/>
              </w:rPr>
            </w:pPr>
            <w:r>
              <w:t>其他</w:t>
            </w:r>
          </w:p>
        </w:tc>
        <w:tc>
          <w:tcPr>
            <w:tcW w:w="1614" w:type="pct"/>
          </w:tcPr>
          <w:p>
            <w:pPr>
              <w:jc w:val="right"/>
              <w:rPr>
                <w:szCs w:val="21"/>
              </w:rPr>
            </w:pPr>
            <w:r>
              <w:t>22,501</w:t>
            </w:r>
          </w:p>
        </w:tc>
        <w:tc>
          <w:tcPr>
            <w:tcW w:w="1615" w:type="pct"/>
          </w:tcPr>
          <w:p>
            <w:pPr>
              <w:jc w:val="right"/>
              <w:rPr>
                <w:szCs w:val="21"/>
              </w:rPr>
            </w:pPr>
            <w:r>
              <w:t>57,168</w:t>
            </w:r>
          </w:p>
        </w:tc>
      </w:tr>
      <w:tr>
        <w:trPr>
          <w:cantSplit/>
          <w:trHeight w:val="186"/>
        </w:trPr>
        <w:tc>
          <w:tcPr>
            <w:tcW w:w="1771" w:type="pct"/>
          </w:tcPr>
          <w:p>
            <w:pPr>
              <w:rPr>
                <w:szCs w:val="21"/>
              </w:rPr>
            </w:pPr>
            <w:r>
              <w:rPr>
                <w:rFonts w:hint="eastAsia"/>
                <w:szCs w:val="21"/>
              </w:rPr>
              <w:t>合计</w:t>
            </w:r>
          </w:p>
        </w:tc>
        <w:tc>
          <w:tcPr>
            <w:tcW w:w="1614" w:type="pct"/>
          </w:tcPr>
          <w:p>
            <w:pPr>
              <w:jc w:val="right"/>
              <w:rPr>
                <w:szCs w:val="21"/>
              </w:rPr>
            </w:pPr>
            <w:r>
              <w:rPr>
                <w:szCs w:val="21"/>
              </w:rPr>
              <w:t>8,019,140</w:t>
            </w:r>
          </w:p>
        </w:tc>
        <w:tc>
          <w:tcPr>
            <w:tcW w:w="1615" w:type="pct"/>
          </w:tcPr>
          <w:p>
            <w:pPr>
              <w:jc w:val="right"/>
              <w:rPr>
                <w:szCs w:val="21"/>
              </w:rPr>
            </w:pPr>
            <w:r>
              <w:rPr>
                <w:szCs w:val="21"/>
              </w:rPr>
              <w:t>9,279,757</w:t>
            </w:r>
          </w:p>
        </w:tc>
      </w:tr>
    </w:tbl>
    <w:p>
      <w:pPr>
        <w:pStyle w:val="affffffffffffffffffffffffffffffffe"/>
      </w:pPr>
    </w:p>
    <w:p>
      <w:pPr>
        <w:snapToGrid w:val="0"/>
        <w:spacing w:before="60" w:after="60" w:line="240" w:lineRule="atLeast"/>
        <w:rPr>
          <w:szCs w:val="21"/>
        </w:rPr>
      </w:pPr>
      <w:r>
        <w:rPr>
          <w:rFonts w:hint="eastAsia"/>
          <w:szCs w:val="21"/>
        </w:rPr>
        <w:t>其他说明：</w:t>
      </w:r>
    </w:p>
    <w:sdt>
      <w:sdtPr>
        <w:rPr>
          <w:szCs w:val="21"/>
        </w:rPr>
        <w:alias w:val="长期应付款的说明"/>
        <w:tag w:val="_GBC_1e1004e075cc4ec6b1e314219a582067"/>
        <w:id w:val="1913499104"/>
      </w:sdtPr>
      <w:sdtContent>
        <w:p>
          <w:pPr>
            <w:tabs>
              <w:tab w:val="left" w:pos="567"/>
              <w:tab w:val="left" w:pos="1100"/>
              <w:tab w:val="left" w:pos="1287"/>
            </w:tabs>
            <w:spacing w:beforeLines="50" w:before="156" w:afterLines="50" w:after="156" w:line="360" w:lineRule="exact"/>
            <w:ind w:firstLineChars="200" w:firstLine="420"/>
          </w:pPr>
          <w:r>
            <w:rPr>
              <w:rFonts w:hint="eastAsia"/>
            </w:rPr>
            <w:t>注:截至202</w:t>
          </w:r>
          <w:r>
            <w:t>4</w:t>
          </w:r>
          <w:r>
            <w:rPr>
              <w:rFonts w:hint="eastAsia"/>
            </w:rPr>
            <w:t>年12月31日，该售后回租业务抵押的固定资产账面价值</w:t>
          </w:r>
          <w:r>
            <w:t>3,173,736</w:t>
          </w:r>
          <w:r>
            <w:rPr>
              <w:rFonts w:hint="eastAsia"/>
            </w:rPr>
            <w:t>千元</w:t>
          </w:r>
        </w:p>
      </w:sdtContent>
    </w:sdt>
    <w:p>
      <w:pPr>
        <w:snapToGrid w:val="0"/>
        <w:spacing w:line="240" w:lineRule="atLeast"/>
        <w:rPr>
          <w:szCs w:val="21"/>
        </w:rPr>
      </w:pPr>
    </w:p>
    <w:p>
      <w:pPr>
        <w:snapToGrid w:val="0"/>
        <w:spacing w:line="240" w:lineRule="atLeast"/>
        <w:rPr>
          <w:rFonts w:cstheme="minorBidi"/>
          <w:szCs w:val="21"/>
        </w:rPr>
      </w:pPr>
    </w:p>
    <w:p>
      <w:pPr>
        <w:pStyle w:val="afffffffffffffffffffffffffffffffff1"/>
        <w:numPr>
          <w:ilvl w:val="0"/>
          <w:numId w:val="122"/>
        </w:numPr>
      </w:pPr>
      <w:r>
        <w:rPr>
          <w:rFonts w:hint="eastAsia"/>
        </w:rPr>
        <w:lastRenderedPageBreak/>
        <w:t>专项应付款</w:t>
      </w:r>
    </w:p>
    <w:p>
      <w:pPr>
        <w:pStyle w:val="afffffffffffffffffffffffffffffffff2"/>
        <w:numPr>
          <w:ilvl w:val="0"/>
          <w:numId w:val="124"/>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61028244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专项应付款"/>
          <w:tag w:val="_GBC_17da351113a84d468019127602052875"/>
          <w:id w:val="13778170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专项应付款"/>
          <w:tag w:val="_GBC_d724de50ed974f2a952a318759be09a1"/>
          <w:id w:val="5164236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393"/>
        <w:gridCol w:w="1393"/>
        <w:gridCol w:w="1357"/>
        <w:gridCol w:w="1421"/>
        <w:gridCol w:w="1409"/>
        <w:gridCol w:w="1596"/>
      </w:tblGrid>
      <w:tr>
        <w:trPr>
          <w:cantSplit/>
        </w:trPr>
        <w:sdt>
          <w:sdtPr>
            <w:tag w:val="_PLD_a53ee673c4a94254bd1789424c6ff3d7"/>
            <w:id w:val="646479132"/>
          </w:sdtPr>
          <w:sdtContent>
            <w:tc>
              <w:tcPr>
                <w:tcW w:w="813" w:type="pct"/>
                <w:vAlign w:val="center"/>
              </w:tcPr>
              <w:p>
                <w:pPr>
                  <w:ind w:right="105"/>
                  <w:jc w:val="center"/>
                  <w:rPr>
                    <w:szCs w:val="21"/>
                  </w:rPr>
                </w:pPr>
                <w:r>
                  <w:rPr>
                    <w:rFonts w:hint="eastAsia"/>
                    <w:szCs w:val="21"/>
                  </w:rPr>
                  <w:t>项目</w:t>
                </w:r>
              </w:p>
            </w:tc>
          </w:sdtContent>
        </w:sdt>
        <w:sdt>
          <w:sdtPr>
            <w:tag w:val="_PLD_a2bded2bd4b64db99375c871cadc7bfe"/>
            <w:id w:val="-152148091"/>
          </w:sdtPr>
          <w:sdtContent>
            <w:tc>
              <w:tcPr>
                <w:tcW w:w="813" w:type="pct"/>
              </w:tcPr>
              <w:p>
                <w:pPr>
                  <w:jc w:val="center"/>
                  <w:rPr>
                    <w:szCs w:val="21"/>
                  </w:rPr>
                </w:pPr>
                <w:r>
                  <w:rPr>
                    <w:rFonts w:hint="eastAsia"/>
                    <w:szCs w:val="21"/>
                  </w:rPr>
                  <w:t>期初余额</w:t>
                </w:r>
              </w:p>
            </w:tc>
          </w:sdtContent>
        </w:sdt>
        <w:sdt>
          <w:sdtPr>
            <w:tag w:val="_PLD_38d8ecb0074145e2a543b0f0e8520f81"/>
            <w:id w:val="-1220675897"/>
          </w:sdtPr>
          <w:sdtContent>
            <w:tc>
              <w:tcPr>
                <w:tcW w:w="792" w:type="pct"/>
                <w:shd w:val="clear" w:color="auto" w:fill="auto"/>
              </w:tcPr>
              <w:p>
                <w:pPr>
                  <w:jc w:val="center"/>
                  <w:rPr>
                    <w:szCs w:val="21"/>
                  </w:rPr>
                </w:pPr>
                <w:r>
                  <w:rPr>
                    <w:rFonts w:hint="eastAsia"/>
                    <w:szCs w:val="21"/>
                  </w:rPr>
                  <w:t>本期增加</w:t>
                </w:r>
              </w:p>
            </w:tc>
          </w:sdtContent>
        </w:sdt>
        <w:sdt>
          <w:sdtPr>
            <w:tag w:val="_PLD_b5e01b5460594423805476f202eecf1c"/>
            <w:id w:val="-1662299559"/>
          </w:sdtPr>
          <w:sdtContent>
            <w:tc>
              <w:tcPr>
                <w:tcW w:w="829" w:type="pct"/>
                <w:shd w:val="clear" w:color="auto" w:fill="auto"/>
              </w:tcPr>
              <w:p>
                <w:pPr>
                  <w:jc w:val="center"/>
                  <w:rPr>
                    <w:szCs w:val="21"/>
                  </w:rPr>
                </w:pPr>
                <w:r>
                  <w:rPr>
                    <w:rFonts w:hint="eastAsia"/>
                    <w:szCs w:val="21"/>
                  </w:rPr>
                  <w:t>本期减少</w:t>
                </w:r>
              </w:p>
            </w:tc>
          </w:sdtContent>
        </w:sdt>
        <w:sdt>
          <w:sdtPr>
            <w:tag w:val="_PLD_f5bb3951cab74130adf727fbe35ac9d4"/>
            <w:id w:val="-2056617626"/>
          </w:sdtPr>
          <w:sdtContent>
            <w:tc>
              <w:tcPr>
                <w:tcW w:w="822" w:type="pct"/>
              </w:tcPr>
              <w:p>
                <w:pPr>
                  <w:jc w:val="center"/>
                  <w:rPr>
                    <w:szCs w:val="21"/>
                  </w:rPr>
                </w:pPr>
                <w:r>
                  <w:rPr>
                    <w:rFonts w:hint="eastAsia"/>
                    <w:szCs w:val="21"/>
                  </w:rPr>
                  <w:t>期末余额</w:t>
                </w:r>
              </w:p>
            </w:tc>
          </w:sdtContent>
        </w:sdt>
        <w:sdt>
          <w:sdtPr>
            <w:tag w:val="_PLD_1bb67b7225804d0fb21b0788ddc7b7d2"/>
            <w:id w:val="2099436325"/>
          </w:sdtPr>
          <w:sdtContent>
            <w:tc>
              <w:tcPr>
                <w:tcW w:w="931" w:type="pct"/>
                <w:shd w:val="clear" w:color="auto" w:fill="auto"/>
              </w:tcPr>
              <w:p>
                <w:pPr>
                  <w:jc w:val="center"/>
                  <w:rPr>
                    <w:szCs w:val="21"/>
                  </w:rPr>
                </w:pPr>
                <w:r>
                  <w:rPr>
                    <w:rFonts w:hint="eastAsia"/>
                    <w:szCs w:val="21"/>
                  </w:rPr>
                  <w:t>形成原因</w:t>
                </w:r>
              </w:p>
            </w:tc>
          </w:sdtContent>
        </w:sdt>
      </w:tr>
      <w:tr>
        <w:trPr>
          <w:cantSplit/>
        </w:trPr>
        <w:tc>
          <w:tcPr>
            <w:tcW w:w="813" w:type="pct"/>
          </w:tcPr>
          <w:p>
            <w:pPr>
              <w:ind w:right="105"/>
              <w:rPr>
                <w:szCs w:val="21"/>
              </w:rPr>
            </w:pPr>
            <w:r>
              <w:t>北宿煤矿关闭专项资金</w:t>
            </w:r>
          </w:p>
        </w:tc>
        <w:tc>
          <w:tcPr>
            <w:tcW w:w="813" w:type="pct"/>
          </w:tcPr>
          <w:p>
            <w:pPr>
              <w:ind w:right="73"/>
              <w:jc w:val="right"/>
              <w:rPr>
                <w:szCs w:val="21"/>
              </w:rPr>
            </w:pPr>
            <w:r>
              <w:t>15,175</w:t>
            </w:r>
          </w:p>
        </w:tc>
        <w:tc>
          <w:tcPr>
            <w:tcW w:w="792" w:type="pct"/>
            <w:shd w:val="clear" w:color="auto" w:fill="auto"/>
          </w:tcPr>
          <w:p>
            <w:pPr>
              <w:jc w:val="right"/>
              <w:rPr>
                <w:szCs w:val="21"/>
              </w:rPr>
            </w:pPr>
          </w:p>
        </w:tc>
        <w:tc>
          <w:tcPr>
            <w:tcW w:w="829" w:type="pct"/>
            <w:shd w:val="clear" w:color="auto" w:fill="auto"/>
          </w:tcPr>
          <w:p>
            <w:pPr>
              <w:jc w:val="right"/>
              <w:rPr>
                <w:szCs w:val="21"/>
              </w:rPr>
            </w:pPr>
            <w:r>
              <w:t>2,196</w:t>
            </w:r>
          </w:p>
        </w:tc>
        <w:tc>
          <w:tcPr>
            <w:tcW w:w="822" w:type="pct"/>
          </w:tcPr>
          <w:p>
            <w:pPr>
              <w:ind w:right="73"/>
              <w:jc w:val="right"/>
              <w:rPr>
                <w:szCs w:val="21"/>
              </w:rPr>
            </w:pPr>
            <w:r>
              <w:t>12,979</w:t>
            </w:r>
          </w:p>
        </w:tc>
        <w:tc>
          <w:tcPr>
            <w:tcW w:w="931" w:type="pct"/>
            <w:shd w:val="clear" w:color="auto" w:fill="auto"/>
          </w:tcPr>
          <w:p>
            <w:pPr>
              <w:rPr>
                <w:szCs w:val="21"/>
              </w:rPr>
            </w:pPr>
            <w:r>
              <w:t>煤矿关闭</w:t>
            </w:r>
          </w:p>
        </w:tc>
      </w:tr>
      <w:tr>
        <w:trPr>
          <w:cantSplit/>
        </w:trPr>
        <w:tc>
          <w:tcPr>
            <w:tcW w:w="813" w:type="pct"/>
          </w:tcPr>
          <w:p>
            <w:pPr>
              <w:ind w:right="105"/>
              <w:rPr>
                <w:szCs w:val="21"/>
              </w:rPr>
            </w:pPr>
            <w:r>
              <w:t>科技计划项目经费</w:t>
            </w:r>
          </w:p>
        </w:tc>
        <w:tc>
          <w:tcPr>
            <w:tcW w:w="813" w:type="pct"/>
          </w:tcPr>
          <w:p>
            <w:pPr>
              <w:ind w:right="73"/>
              <w:jc w:val="right"/>
              <w:rPr>
                <w:szCs w:val="21"/>
              </w:rPr>
            </w:pPr>
            <w:r>
              <w:t>982</w:t>
            </w:r>
          </w:p>
        </w:tc>
        <w:tc>
          <w:tcPr>
            <w:tcW w:w="792" w:type="pct"/>
            <w:shd w:val="clear" w:color="auto" w:fill="auto"/>
          </w:tcPr>
          <w:p>
            <w:pPr>
              <w:jc w:val="right"/>
              <w:rPr>
                <w:szCs w:val="21"/>
              </w:rPr>
            </w:pPr>
          </w:p>
        </w:tc>
        <w:tc>
          <w:tcPr>
            <w:tcW w:w="829" w:type="pct"/>
            <w:shd w:val="clear" w:color="auto" w:fill="auto"/>
          </w:tcPr>
          <w:p>
            <w:pPr>
              <w:jc w:val="right"/>
              <w:rPr>
                <w:szCs w:val="21"/>
              </w:rPr>
            </w:pPr>
            <w:r>
              <w:t>580</w:t>
            </w:r>
          </w:p>
        </w:tc>
        <w:tc>
          <w:tcPr>
            <w:tcW w:w="822" w:type="pct"/>
          </w:tcPr>
          <w:p>
            <w:pPr>
              <w:ind w:right="73"/>
              <w:jc w:val="right"/>
              <w:rPr>
                <w:szCs w:val="21"/>
              </w:rPr>
            </w:pPr>
            <w:r>
              <w:t>402</w:t>
            </w:r>
          </w:p>
        </w:tc>
        <w:tc>
          <w:tcPr>
            <w:tcW w:w="931" w:type="pct"/>
            <w:shd w:val="clear" w:color="auto" w:fill="auto"/>
          </w:tcPr>
          <w:p>
            <w:pPr>
              <w:rPr>
                <w:szCs w:val="21"/>
              </w:rPr>
            </w:pPr>
            <w:r>
              <w:t>专项研发</w:t>
            </w:r>
          </w:p>
        </w:tc>
      </w:tr>
      <w:tr>
        <w:trPr>
          <w:cantSplit/>
        </w:trPr>
        <w:tc>
          <w:tcPr>
            <w:tcW w:w="813" w:type="pct"/>
            <w:vAlign w:val="center"/>
          </w:tcPr>
          <w:p>
            <w:pPr>
              <w:ind w:right="105"/>
              <w:jc w:val="center"/>
              <w:rPr>
                <w:color w:val="000000" w:themeColor="text1"/>
                <w:szCs w:val="21"/>
              </w:rPr>
            </w:pPr>
            <w:r>
              <w:rPr>
                <w:rFonts w:hint="eastAsia"/>
                <w:color w:val="000000" w:themeColor="text1"/>
                <w:szCs w:val="21"/>
              </w:rPr>
              <w:t>合计</w:t>
            </w:r>
          </w:p>
        </w:tc>
        <w:tc>
          <w:tcPr>
            <w:tcW w:w="813" w:type="pct"/>
          </w:tcPr>
          <w:p>
            <w:pPr>
              <w:ind w:right="73"/>
              <w:jc w:val="right"/>
              <w:rPr>
                <w:szCs w:val="21"/>
              </w:rPr>
            </w:pPr>
            <w:r>
              <w:rPr>
                <w:szCs w:val="21"/>
              </w:rPr>
              <w:t>16,157</w:t>
            </w:r>
          </w:p>
        </w:tc>
        <w:tc>
          <w:tcPr>
            <w:tcW w:w="792" w:type="pct"/>
            <w:shd w:val="clear" w:color="auto" w:fill="auto"/>
          </w:tcPr>
          <w:p>
            <w:pPr>
              <w:jc w:val="right"/>
              <w:rPr>
                <w:szCs w:val="21"/>
              </w:rPr>
            </w:pPr>
          </w:p>
        </w:tc>
        <w:tc>
          <w:tcPr>
            <w:tcW w:w="829" w:type="pct"/>
            <w:shd w:val="clear" w:color="auto" w:fill="auto"/>
          </w:tcPr>
          <w:p>
            <w:pPr>
              <w:jc w:val="right"/>
              <w:rPr>
                <w:szCs w:val="21"/>
              </w:rPr>
            </w:pPr>
            <w:r>
              <w:rPr>
                <w:szCs w:val="21"/>
              </w:rPr>
              <w:t>2,776</w:t>
            </w:r>
          </w:p>
        </w:tc>
        <w:tc>
          <w:tcPr>
            <w:tcW w:w="822" w:type="pct"/>
          </w:tcPr>
          <w:p>
            <w:pPr>
              <w:ind w:right="73"/>
              <w:jc w:val="right"/>
              <w:rPr>
                <w:szCs w:val="21"/>
              </w:rPr>
            </w:pPr>
            <w:r>
              <w:rPr>
                <w:szCs w:val="21"/>
              </w:rPr>
              <w:t>13,381</w:t>
            </w:r>
          </w:p>
        </w:tc>
        <w:tc>
          <w:tcPr>
            <w:tcW w:w="931" w:type="pct"/>
            <w:shd w:val="clear" w:color="auto" w:fill="auto"/>
          </w:tcPr>
          <w:p>
            <w:pPr>
              <w:jc w:val="center"/>
              <w:rPr>
                <w:color w:val="000000" w:themeColor="text1"/>
                <w:szCs w:val="21"/>
              </w:rPr>
            </w:pPr>
            <w:r>
              <w:rPr>
                <w:color w:val="000000" w:themeColor="text1"/>
                <w:szCs w:val="21"/>
              </w:rPr>
              <w:t>/</w:t>
            </w:r>
          </w:p>
        </w:tc>
      </w:tr>
    </w:tbl>
    <w:p>
      <w:pPr>
        <w:pStyle w:val="affffffffffffffffffffffffffffffffe"/>
      </w:pPr>
    </w:p>
    <w:p>
      <w:pPr>
        <w:snapToGrid w:val="0"/>
        <w:spacing w:before="60" w:after="60"/>
        <w:rPr>
          <w:szCs w:val="21"/>
        </w:rPr>
      </w:pPr>
      <w:r>
        <w:rPr>
          <w:rFonts w:hint="eastAsia"/>
          <w:szCs w:val="21"/>
        </w:rPr>
        <w:t>其他说明：</w:t>
      </w:r>
    </w:p>
    <w:sdt>
      <w:sdtPr>
        <w:rPr>
          <w:szCs w:val="21"/>
        </w:rPr>
        <w:alias w:val="专项应付款的说明"/>
        <w:tag w:val="_GBC_954a6f7cb5ff48de9193ddbb478f6007"/>
        <w:id w:val="-1967184627"/>
        <w:placeholder>
          <w:docPart w:val="GBC22222222222222222222222222222"/>
        </w:placeholder>
      </w:sdtPr>
      <w:sdtContent>
        <w:p>
          <w:pPr>
            <w:snapToGrid w:val="0"/>
            <w:rPr>
              <w:szCs w:val="21"/>
            </w:rPr>
          </w:pPr>
          <w:r>
            <w:rPr>
              <w:szCs w:val="21"/>
            </w:rPr>
            <w:t>-</w:t>
          </w:r>
        </w:p>
      </w:sdtContent>
    </w:sdt>
    <w:p>
      <w:pPr>
        <w:snapToGrid w:val="0"/>
        <w:rPr>
          <w:szCs w:val="21"/>
        </w:rPr>
      </w:pPr>
    </w:p>
    <w:p>
      <w:pPr>
        <w:pStyle w:val="affffffffffffffffff6"/>
        <w:numPr>
          <w:ilvl w:val="0"/>
          <w:numId w:val="103"/>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100844065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1"/>
        <w:numPr>
          <w:ilvl w:val="0"/>
          <w:numId w:val="125"/>
        </w:numPr>
        <w:ind w:left="426" w:hanging="426"/>
      </w:pPr>
      <w:r>
        <w:rPr>
          <w:rFonts w:hint="eastAsia"/>
        </w:rPr>
        <w:t>长期应付职工薪酬表</w:t>
      </w:r>
    </w:p>
    <w:sdt>
      <w:sdtPr>
        <w:alias w:val="是否适用：长期应付职工薪酬表[双击切换]"/>
        <w:tag w:val="_GBC_b44de9fd198c4a3499852d2770fe541b"/>
        <w:id w:val="-70725144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长期应付职工薪酬"/>
          <w:tag w:val="_GBC_494e432bb7b842a4b2966c2a30e46b7c"/>
          <w:id w:val="648023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长期应付职工薪酬"/>
          <w:tag w:val="_GBC_02ec6d6e408949a7aba93c9538df7dad"/>
          <w:id w:val="13764282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2492"/>
        <w:gridCol w:w="2617"/>
      </w:tblGrid>
      <w:tr>
        <w:sdt>
          <w:sdtPr>
            <w:tag w:val="_PLD_87f8419ee43a44a3851aeb0ae20db3b3"/>
            <w:id w:val="1900466803"/>
          </w:sdtPr>
          <w:sdtContent>
            <w:tc>
              <w:tcPr>
                <w:tcW w:w="2019" w:type="pct"/>
                <w:shd w:val="clear" w:color="auto" w:fill="auto"/>
                <w:vAlign w:val="center"/>
              </w:tcPr>
              <w:p>
                <w:pPr>
                  <w:jc w:val="center"/>
                </w:pPr>
                <w:r>
                  <w:rPr>
                    <w:rFonts w:hint="eastAsia"/>
                  </w:rPr>
                  <w:t>项目</w:t>
                </w:r>
              </w:p>
            </w:tc>
          </w:sdtContent>
        </w:sdt>
        <w:sdt>
          <w:sdtPr>
            <w:tag w:val="_PLD_dc953e100cbb4806858d7d10436872c1"/>
            <w:id w:val="-585068216"/>
          </w:sdtPr>
          <w:sdtContent>
            <w:tc>
              <w:tcPr>
                <w:tcW w:w="1454" w:type="pct"/>
                <w:shd w:val="clear" w:color="auto" w:fill="auto"/>
                <w:vAlign w:val="center"/>
              </w:tcPr>
              <w:p>
                <w:pPr>
                  <w:jc w:val="center"/>
                </w:pPr>
                <w:r>
                  <w:rPr>
                    <w:rFonts w:hint="eastAsia"/>
                  </w:rPr>
                  <w:t>期末余额</w:t>
                </w:r>
              </w:p>
            </w:tc>
          </w:sdtContent>
        </w:sdt>
        <w:sdt>
          <w:sdtPr>
            <w:tag w:val="_PLD_28d4785454ea4bd99f4433899ff434f8"/>
            <w:id w:val="-998657392"/>
          </w:sdtPr>
          <w:sdtContent>
            <w:tc>
              <w:tcPr>
                <w:tcW w:w="1527" w:type="pct"/>
                <w:shd w:val="clear" w:color="auto" w:fill="auto"/>
                <w:vAlign w:val="center"/>
              </w:tcPr>
              <w:p>
                <w:pPr>
                  <w:jc w:val="center"/>
                </w:pPr>
                <w:r>
                  <w:rPr>
                    <w:rFonts w:hint="eastAsia"/>
                  </w:rPr>
                  <w:t>期初余额</w:t>
                </w:r>
              </w:p>
            </w:tc>
          </w:sdtContent>
        </w:sdt>
      </w:tr>
      <w:tr>
        <w:tc>
          <w:tcPr>
            <w:tcW w:w="2019" w:type="pct"/>
            <w:shd w:val="clear" w:color="auto" w:fill="auto"/>
            <w:vAlign w:val="center"/>
          </w:tcPr>
          <w:p>
            <w:pPr>
              <w:pStyle w:val="affffffffffffffffffffffffffffffffe"/>
            </w:pPr>
            <w:r>
              <w:rPr>
                <w:rFonts w:hint="eastAsia"/>
              </w:rPr>
              <w:t>一、离职后福利-设定受益计划净负债</w:t>
            </w:r>
          </w:p>
        </w:tc>
        <w:tc>
          <w:tcPr>
            <w:tcW w:w="1454" w:type="pct"/>
            <w:shd w:val="clear" w:color="auto" w:fill="auto"/>
            <w:vAlign w:val="center"/>
          </w:tcPr>
          <w:p>
            <w:pPr>
              <w:jc w:val="right"/>
            </w:pPr>
            <w:r>
              <w:t>5,002,070</w:t>
            </w:r>
          </w:p>
        </w:tc>
        <w:tc>
          <w:tcPr>
            <w:tcW w:w="1527" w:type="pct"/>
            <w:shd w:val="clear" w:color="auto" w:fill="auto"/>
            <w:vAlign w:val="center"/>
          </w:tcPr>
          <w:p>
            <w:pPr>
              <w:jc w:val="right"/>
            </w:pPr>
            <w:r>
              <w:t>5,253,767</w:t>
            </w:r>
          </w:p>
        </w:tc>
      </w:tr>
      <w:tr>
        <w:tc>
          <w:tcPr>
            <w:tcW w:w="2019" w:type="pct"/>
            <w:shd w:val="clear" w:color="auto" w:fill="auto"/>
            <w:vAlign w:val="center"/>
          </w:tcPr>
          <w:p>
            <w:pPr>
              <w:pStyle w:val="affffffffffffffffffffffffffffffffe"/>
            </w:pPr>
            <w:r>
              <w:rPr>
                <w:rFonts w:hint="eastAsia"/>
              </w:rPr>
              <w:t>二、辞退福利</w:t>
            </w:r>
          </w:p>
        </w:tc>
        <w:tc>
          <w:tcPr>
            <w:tcW w:w="1454" w:type="pct"/>
            <w:shd w:val="clear" w:color="auto" w:fill="auto"/>
            <w:vAlign w:val="center"/>
          </w:tcPr>
          <w:p>
            <w:pPr>
              <w:jc w:val="right"/>
            </w:pPr>
            <w:r>
              <w:t>558,243</w:t>
            </w:r>
          </w:p>
        </w:tc>
        <w:tc>
          <w:tcPr>
            <w:tcW w:w="1527" w:type="pct"/>
            <w:shd w:val="clear" w:color="auto" w:fill="auto"/>
            <w:vAlign w:val="center"/>
          </w:tcPr>
          <w:p>
            <w:pPr>
              <w:jc w:val="right"/>
            </w:pPr>
            <w:r>
              <w:t>507,872</w:t>
            </w:r>
          </w:p>
        </w:tc>
      </w:tr>
      <w:tr>
        <w:tc>
          <w:tcPr>
            <w:tcW w:w="2019" w:type="pct"/>
            <w:shd w:val="clear" w:color="auto" w:fill="auto"/>
            <w:vAlign w:val="center"/>
          </w:tcPr>
          <w:p>
            <w:pPr>
              <w:pStyle w:val="affffffffffffffffffffffffffffffffe"/>
            </w:pPr>
            <w:r>
              <w:rPr>
                <w:rFonts w:hint="eastAsia"/>
              </w:rPr>
              <w:t>三、其他长期福利</w:t>
            </w:r>
          </w:p>
        </w:tc>
        <w:tc>
          <w:tcPr>
            <w:tcW w:w="1454" w:type="pct"/>
            <w:shd w:val="clear" w:color="auto" w:fill="auto"/>
            <w:vAlign w:val="center"/>
          </w:tcPr>
          <w:p>
            <w:pPr>
              <w:jc w:val="right"/>
            </w:pPr>
            <w:r>
              <w:t>99,152</w:t>
            </w:r>
          </w:p>
        </w:tc>
        <w:tc>
          <w:tcPr>
            <w:tcW w:w="1527" w:type="pct"/>
            <w:shd w:val="clear" w:color="auto" w:fill="auto"/>
            <w:vAlign w:val="center"/>
          </w:tcPr>
          <w:p>
            <w:pPr>
              <w:jc w:val="right"/>
            </w:pPr>
            <w:r>
              <w:t>118,999</w:t>
            </w:r>
          </w:p>
        </w:tc>
      </w:tr>
      <w:tr>
        <w:tc>
          <w:tcPr>
            <w:tcW w:w="2019" w:type="pct"/>
            <w:shd w:val="clear" w:color="auto" w:fill="auto"/>
            <w:vAlign w:val="center"/>
          </w:tcPr>
          <w:p>
            <w:pPr>
              <w:jc w:val="center"/>
            </w:pPr>
            <w:r>
              <w:rPr>
                <w:rFonts w:hint="eastAsia"/>
              </w:rPr>
              <w:t>合计</w:t>
            </w:r>
          </w:p>
        </w:tc>
        <w:tc>
          <w:tcPr>
            <w:tcW w:w="1454" w:type="pct"/>
            <w:shd w:val="clear" w:color="auto" w:fill="auto"/>
            <w:vAlign w:val="center"/>
          </w:tcPr>
          <w:p>
            <w:pPr>
              <w:jc w:val="right"/>
            </w:pPr>
            <w:r>
              <w:t>5,659,465</w:t>
            </w:r>
          </w:p>
        </w:tc>
        <w:tc>
          <w:tcPr>
            <w:tcW w:w="1527" w:type="pct"/>
            <w:shd w:val="clear" w:color="auto" w:fill="auto"/>
            <w:vAlign w:val="center"/>
          </w:tcPr>
          <w:p>
            <w:pPr>
              <w:jc w:val="right"/>
            </w:pPr>
            <w:r>
              <w:t>5,880,638</w:t>
            </w:r>
          </w:p>
        </w:tc>
      </w:tr>
    </w:tbl>
    <w:p>
      <w:pPr>
        <w:pStyle w:val="afffffffffffffffffffffffffffffffffffffff2"/>
      </w:pPr>
      <w:r>
        <w:rPr>
          <w:rFonts w:hint="eastAsia"/>
        </w:rPr>
        <w:t>注:长期服务假以截至本报告期末由职工提供的服务预期未来付款的现值计量并考虑未来的工资和薪金水平，员工离职和服务期限。在资产负债表日，使用市场收益率对估计未来现金流出量进行折现。根据澳大利亚Coal:Mining:Industry:(LongService·Leave·Funding)</w:t>
      </w:r>
      <w:r>
        <w:t>.Act.</w:t>
      </w:r>
      <w:r>
        <w:rPr>
          <w:rFonts w:hint="eastAsia"/>
        </w:rPr>
        <w:t>1992煤炭行业(长期服务年假基金)法规1992.规定，若雇员长期被雇佣，雇员将获得除年假以外的长期服务假期(带薪)。每月应根据职工薪酬水平向Coal·Mining*Industry(Long·Service·Leave·Funding)Corporation(以下简称Coal·Mining·Industry·Corporation)存入长期服务假资金，待向员工支付长期服务假福利后，可以从Coal·Mining·Industry·Corporation·得到部分补偿，因此将此款项确认为其他流动资产、其他非流动资产。在资产负债表日，若长期服务假的支付义务未来发生，则将长期服务假确认为应付职工薪酬、长期应付职工薪酬。</w:t>
      </w:r>
    </w:p>
    <w:p>
      <w:pPr>
        <w:pStyle w:val="affffffffffffffffffffffffffffffffe"/>
      </w:pPr>
    </w:p>
    <w:p>
      <w:pPr>
        <w:pStyle w:val="afffffffffffffffffffffffffffffffff1"/>
        <w:numPr>
          <w:ilvl w:val="0"/>
          <w:numId w:val="125"/>
        </w:numPr>
        <w:ind w:left="426" w:hanging="426"/>
      </w:pPr>
      <w:r>
        <w:rPr>
          <w:rFonts w:hint="eastAsia"/>
        </w:rPr>
        <w:t>设定受益计划变动情况</w:t>
      </w:r>
    </w:p>
    <w:p>
      <w:pPr>
        <w:rPr>
          <w:szCs w:val="21"/>
        </w:rPr>
      </w:pPr>
      <w:r>
        <w:rPr>
          <w:rFonts w:hint="eastAsia"/>
          <w:szCs w:val="21"/>
        </w:rPr>
        <w:t>设定受益计划义务现值：</w:t>
      </w:r>
    </w:p>
    <w:sdt>
      <w:sdtPr>
        <w:alias w:val="是否适用：设定受益计划义务现值[双击切换]"/>
        <w:tag w:val="_GBC_898bbd8ee5bb4ad698965551469ae3fb"/>
        <w:id w:val="-176059634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lastRenderedPageBreak/>
        <w:t>单位：</w:t>
      </w:r>
      <w:sdt>
        <w:sdtPr>
          <w:rPr>
            <w:rFonts w:hint="eastAsia"/>
          </w:rPr>
          <w:alias w:val="单位：财务附注：设定受益计划义务现值"/>
          <w:tag w:val="_GBC_d87db3237cee4a5a822494fe218bb633"/>
          <w:id w:val="137543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设定受益计划义务现值"/>
          <w:tag w:val="_GBC_99e1a1c974464745933602a4864f5ee3"/>
          <w:id w:val="3121520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6"/>
        <w:gridCol w:w="2637"/>
        <w:gridCol w:w="2633"/>
      </w:tblGrid>
      <w:tr>
        <w:sdt>
          <w:sdtPr>
            <w:rPr>
              <w:szCs w:val="21"/>
            </w:rPr>
            <w:tag w:val="_PLD_3dee25d75b904d5fa25c2c52ba200ae2"/>
            <w:id w:val="-1729530402"/>
          </w:sdtPr>
          <w:sdtContent>
            <w:tc>
              <w:tcPr>
                <w:tcW w:w="1924" w:type="pct"/>
                <w:tcBorders>
                  <w:left w:val="single" w:sz="6" w:space="0" w:color="auto"/>
                  <w:bottom w:val="single" w:sz="6" w:space="0" w:color="auto"/>
                  <w:right w:val="single" w:sz="6" w:space="0" w:color="auto"/>
                </w:tcBorders>
                <w:shd w:val="clear" w:color="auto" w:fill="auto"/>
                <w:vAlign w:val="center"/>
                <w:hideMark/>
              </w:tcPr>
              <w:p>
                <w:pPr>
                  <w:jc w:val="center"/>
                  <w:rPr>
                    <w:szCs w:val="21"/>
                  </w:rPr>
                </w:pPr>
                <w:r>
                  <w:rPr>
                    <w:rFonts w:hint="eastAsia"/>
                    <w:szCs w:val="21"/>
                  </w:rPr>
                  <w:t>项目</w:t>
                </w:r>
              </w:p>
            </w:tc>
          </w:sdtContent>
        </w:sdt>
        <w:sdt>
          <w:sdtPr>
            <w:rPr>
              <w:szCs w:val="21"/>
            </w:rPr>
            <w:tag w:val="_PLD_a95376567d1a4834b376e3089b85f864"/>
            <w:id w:val="685177865"/>
          </w:sdtPr>
          <w:sdtContent>
            <w:tc>
              <w:tcPr>
                <w:tcW w:w="1539" w:type="pct"/>
                <w:tcBorders>
                  <w:top w:val="single" w:sz="6" w:space="0" w:color="auto"/>
                  <w:left w:val="single" w:sz="6" w:space="0" w:color="auto"/>
                  <w:bottom w:val="single" w:sz="4" w:space="0" w:color="auto"/>
                  <w:right w:val="single" w:sz="4" w:space="0" w:color="auto"/>
                </w:tcBorders>
                <w:shd w:val="clear" w:color="auto" w:fill="auto"/>
                <w:vAlign w:val="center"/>
                <w:hideMark/>
              </w:tcPr>
              <w:p>
                <w:pPr>
                  <w:jc w:val="center"/>
                  <w:rPr>
                    <w:szCs w:val="21"/>
                  </w:rPr>
                </w:pPr>
                <w:r>
                  <w:rPr>
                    <w:rFonts w:hint="eastAsia"/>
                    <w:szCs w:val="21"/>
                  </w:rPr>
                  <w:t>本期发生额</w:t>
                </w:r>
              </w:p>
            </w:tc>
          </w:sdtContent>
        </w:sdt>
        <w:sdt>
          <w:sdtPr>
            <w:rPr>
              <w:szCs w:val="21"/>
            </w:rPr>
            <w:tag w:val="_PLD_86c4cd0f85c94b3197fb39dcde827282"/>
            <w:id w:val="1295558775"/>
          </w:sdtPr>
          <w:sdtContent>
            <w:tc>
              <w:tcPr>
                <w:tcW w:w="1537" w:type="pct"/>
                <w:tcBorders>
                  <w:top w:val="single" w:sz="6" w:space="0" w:color="auto"/>
                  <w:left w:val="single" w:sz="6" w:space="0" w:color="auto"/>
                  <w:bottom w:val="single" w:sz="4" w:space="0" w:color="auto"/>
                  <w:right w:val="single" w:sz="4" w:space="0" w:color="auto"/>
                </w:tcBorders>
                <w:shd w:val="clear" w:color="auto" w:fill="auto"/>
                <w:vAlign w:val="center"/>
                <w:hideMark/>
              </w:tcPr>
              <w:p>
                <w:pPr>
                  <w:jc w:val="center"/>
                  <w:rPr>
                    <w:szCs w:val="21"/>
                  </w:rPr>
                </w:pPr>
                <w:r>
                  <w:rPr>
                    <w:rFonts w:hint="eastAsia"/>
                    <w:szCs w:val="21"/>
                  </w:rPr>
                  <w:t>上期发生额</w:t>
                </w:r>
              </w:p>
            </w:tc>
          </w:sdtContent>
        </w:sdt>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pPr>
              <w:pStyle w:val="affffffffffffffffffffffffffffffffe"/>
              <w:rPr>
                <w:szCs w:val="21"/>
              </w:rPr>
            </w:pPr>
            <w:r>
              <w:rPr>
                <w:rFonts w:hint="eastAsia"/>
                <w:szCs w:val="21"/>
              </w:rPr>
              <w:t>一、期初余额</w:t>
            </w:r>
          </w:p>
        </w:tc>
        <w:tc>
          <w:tcPr>
            <w:tcW w:w="1539" w:type="pct"/>
            <w:tcBorders>
              <w:top w:val="single" w:sz="6"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5,782,256</w:t>
            </w:r>
          </w:p>
        </w:tc>
        <w:tc>
          <w:tcPr>
            <w:tcW w:w="1537" w:type="pct"/>
            <w:tcBorders>
              <w:top w:val="single" w:sz="6"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5,927,270</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rFonts w:hint="eastAsia"/>
                <w:szCs w:val="21"/>
              </w:rPr>
              <w:t>二、计入当期损益的设定受益成本</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46,598</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28,292</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szCs w:val="21"/>
              </w:rPr>
              <w:t>1.</w:t>
            </w:r>
            <w:r>
              <w:rPr>
                <w:rFonts w:hint="eastAsia"/>
                <w:szCs w:val="21"/>
              </w:rPr>
              <w:t>利息净额</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8,049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20,592</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szCs w:val="21"/>
              </w:rPr>
              <w:t>2.</w:t>
            </w:r>
            <w:r>
              <w:rPr>
                <w:rFonts w:hint="eastAsia"/>
                <w:szCs w:val="21"/>
              </w:rPr>
              <w:t>结算利得（损失以“－”表示）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38,549</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7,700</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rFonts w:hint="eastAsia"/>
                <w:szCs w:val="21"/>
              </w:rPr>
              <w:t>三、计入其他综合收益的设定收益成本</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173,170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324,750</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pPr>
              <w:pStyle w:val="affffffffffffffffffffffffffffffffe"/>
              <w:rPr>
                <w:szCs w:val="21"/>
              </w:rPr>
            </w:pPr>
            <w:r>
              <w:rPr>
                <w:rFonts w:hint="eastAsia"/>
                <w:szCs w:val="21"/>
              </w:rPr>
              <w:t>1</w:t>
            </w:r>
            <w:r>
              <w:rPr>
                <w:szCs w:val="21"/>
              </w:rPr>
              <w:t>.</w:t>
            </w:r>
            <w:r>
              <w:rPr>
                <w:rFonts w:hint="eastAsia"/>
                <w:szCs w:val="21"/>
              </w:rPr>
              <w:t>利息净额</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112,792</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151,030</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szCs w:val="21"/>
              </w:rPr>
              <w:t>2.</w:t>
            </w:r>
            <w:r>
              <w:rPr>
                <w:rFonts w:hint="eastAsia"/>
                <w:szCs w:val="21"/>
              </w:rPr>
              <w:t>精算利得（损失以“－”表示）</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60,378</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173,720</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rFonts w:hint="eastAsia"/>
                <w:szCs w:val="21"/>
              </w:rPr>
              <w:t>四、其他变动</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-470,071</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-498,056</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szCs w:val="21"/>
              </w:rPr>
              <w:t>1.</w:t>
            </w:r>
            <w:r>
              <w:rPr>
                <w:rFonts w:hint="eastAsia"/>
                <w:szCs w:val="21"/>
              </w:rPr>
              <w:t>已支付的福利</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-487,711</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-498,056</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pPr>
              <w:pStyle w:val="affffffffffffffffffffffffffffffffe"/>
              <w:rPr>
                <w:szCs w:val="21"/>
              </w:rPr>
            </w:pPr>
            <w:r>
              <w:rPr>
                <w:rFonts w:hint="eastAsia"/>
                <w:szCs w:val="21"/>
              </w:rPr>
              <w:t>2</w:t>
            </w:r>
            <w:r>
              <w:rPr>
                <w:szCs w:val="21"/>
              </w:rPr>
              <w:t>.</w:t>
            </w:r>
            <w:r>
              <w:rPr>
                <w:rFonts w:hint="eastAsia"/>
                <w:szCs w:val="21"/>
              </w:rPr>
              <w:t>其他</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17,640</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spacing w:line="360" w:lineRule="exact"/>
              <w:jc w:val="right"/>
              <w:rPr>
                <w:szCs w:val="21"/>
              </w:rPr>
            </w:pP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hideMark/>
          </w:tcPr>
          <w:p>
            <w:pPr>
              <w:pStyle w:val="affffffffffffffffffffffffffffffffe"/>
              <w:rPr>
                <w:szCs w:val="21"/>
              </w:rPr>
            </w:pPr>
            <w:r>
              <w:rPr>
                <w:rFonts w:hint="eastAsia"/>
                <w:szCs w:val="21"/>
              </w:rPr>
              <w:t>五、期末余额</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jc w:val="right"/>
              <w:rPr>
                <w:szCs w:val="21"/>
              </w:rPr>
            </w:pPr>
            <w:r>
              <w:rPr>
                <w:szCs w:val="21"/>
              </w:rPr>
              <w:t>5,531,953</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jc w:val="right"/>
              <w:rPr>
                <w:szCs w:val="21"/>
              </w:rPr>
            </w:pPr>
            <w:r>
              <w:rPr>
                <w:szCs w:val="21"/>
              </w:rPr>
              <w:t>5,782,256</w:t>
            </w:r>
          </w:p>
        </w:tc>
      </w:tr>
      <w:tr>
        <w:tc>
          <w:tcPr>
            <w:tcW w:w="1924" w:type="pct"/>
            <w:tcBorders>
              <w:top w:val="single" w:sz="6" w:space="0" w:color="auto"/>
              <w:left w:val="single" w:sz="6" w:space="0" w:color="auto"/>
              <w:bottom w:val="single" w:sz="6" w:space="0" w:color="auto"/>
              <w:right w:val="single" w:sz="6" w:space="0" w:color="auto"/>
            </w:tcBorders>
            <w:shd w:val="clear" w:color="auto" w:fill="auto"/>
            <w:vAlign w:val="center"/>
          </w:tcPr>
          <w:p>
            <w:pPr>
              <w:pStyle w:val="affffffffffffffffffffffffffffffffe"/>
              <w:rPr>
                <w:szCs w:val="21"/>
              </w:rPr>
            </w:pPr>
            <w:r>
              <w:rPr>
                <w:rFonts w:hint="eastAsia"/>
                <w:szCs w:val="21"/>
              </w:rPr>
              <w:t>其中：一年内到期的长期应付职工薪酬</w:t>
            </w:r>
          </w:p>
        </w:tc>
        <w:tc>
          <w:tcPr>
            <w:tcW w:w="1539" w:type="pct"/>
            <w:tcBorders>
              <w:top w:val="single" w:sz="4" w:space="0" w:color="auto"/>
              <w:left w:val="single" w:sz="6" w:space="0" w:color="auto"/>
              <w:bottom w:val="single" w:sz="4" w:space="0" w:color="auto"/>
              <w:right w:val="single" w:sz="4" w:space="0" w:color="auto"/>
            </w:tcBorders>
            <w:shd w:val="clear" w:color="auto" w:fill="auto"/>
            <w:vAlign w:val="center"/>
          </w:tcPr>
          <w:p>
            <w:pPr>
              <w:jc w:val="right"/>
              <w:rPr>
                <w:szCs w:val="21"/>
              </w:rPr>
            </w:pPr>
            <w:r>
              <w:rPr>
                <w:szCs w:val="21"/>
              </w:rPr>
              <w:t>430,731</w:t>
            </w:r>
          </w:p>
        </w:tc>
        <w:tc>
          <w:tcPr>
            <w:tcW w:w="1537" w:type="pct"/>
            <w:tcBorders>
              <w:top w:val="single" w:sz="4" w:space="0" w:color="auto"/>
              <w:left w:val="single" w:sz="6" w:space="0" w:color="auto"/>
              <w:bottom w:val="single" w:sz="4" w:space="0" w:color="auto"/>
              <w:right w:val="single" w:sz="4" w:space="0" w:color="auto"/>
            </w:tcBorders>
            <w:shd w:val="clear" w:color="auto" w:fill="auto"/>
            <w:vAlign w:val="center"/>
          </w:tcPr>
          <w:p>
            <w:pPr>
              <w:jc w:val="right"/>
              <w:rPr>
                <w:szCs w:val="21"/>
              </w:rPr>
            </w:pPr>
            <w:r>
              <w:rPr>
                <w:szCs w:val="21"/>
              </w:rPr>
              <w:t>409,490</w:t>
            </w:r>
          </w:p>
        </w:tc>
      </w:tr>
    </w:tbl>
    <w:p>
      <w:pPr>
        <w:pStyle w:val="affffffffffffffffffffffffffffffffe"/>
      </w:pPr>
    </w:p>
    <w:p>
      <w:pPr>
        <w:rPr>
          <w:szCs w:val="21"/>
        </w:rPr>
      </w:pPr>
      <w:r>
        <w:rPr>
          <w:rFonts w:hint="eastAsia"/>
          <w:szCs w:val="21"/>
        </w:rPr>
        <w:t>计划资产：</w:t>
      </w:r>
    </w:p>
    <w:p>
      <w:pPr>
        <w:pStyle w:val="affffffffffffffffffffffffffffffffe"/>
      </w:pPr>
      <w:sdt>
        <w:sdtPr>
          <w:rPr>
            <w:rFonts w:hint="eastAsia"/>
          </w:rPr>
          <w:alias w:val="是否适用：设定受益计划变动情况_计划资产[双击切换]"/>
          <w:tag w:val="_GBC_da74e4a7bfc84e888afc38ffa6096a31"/>
          <w:id w:val="874130546"/>
          <w:placeholder>
            <w:docPart w:val="GBC22222222222222222222222222222"/>
          </w:placeholder>
        </w:sdt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p>
      <w:pPr>
        <w:pStyle w:val="affffffffffffffffffffffffffffffffe"/>
      </w:pPr>
    </w:p>
    <w:p>
      <w:pPr>
        <w:pStyle w:val="affffffffffffffffffffffffffffffffe"/>
      </w:pPr>
      <w:r>
        <w:rPr>
          <w:rFonts w:hint="eastAsia"/>
        </w:rPr>
        <w:t>设定受益计划净负债（净资产）</w:t>
      </w:r>
    </w:p>
    <w:sdt>
      <w:sdtPr>
        <w:alias w:val="是否适用：设定受益计划变动情况_设定受益计划净负债[双击切换]"/>
        <w:tag w:val="_GBC_4ef7ea9e6dc7431c9365dcd01da99b90"/>
        <w:id w:val="189546845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设定受益计划的内容及与之相关风险、对公司未来现金流量、时间和不确定性的影响说明：</w:t>
      </w:r>
    </w:p>
    <w:sdt>
      <w:sdtPr>
        <w:rPr>
          <w:szCs w:val="21"/>
        </w:rPr>
        <w:alias w:val="是否适用：设定受益计划的内容及与之相关风险、对公司未来现金流量、时间和不确定性的影响说明[双击切换]"/>
        <w:tag w:val="_GBC_4c44a3ab962f4a27836276afcc8a7570"/>
        <w:id w:val="73327715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设定受益计划重大精算假设及敏感性分析结果说明</w:t>
      </w:r>
    </w:p>
    <w:sdt>
      <w:sdtPr>
        <w:rPr>
          <w:szCs w:val="21"/>
        </w:rPr>
        <w:alias w:val="是否适用：设定受益计划重大精算假设及敏感性分析结果说明[双击切换]"/>
        <w:tag w:val="_GBC_24dfbea0996e4d8cbbe60d6820df50a2"/>
        <w:id w:val="-592160641"/>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其他说明：</w:t>
      </w:r>
    </w:p>
    <w:sdt>
      <w:sdtPr>
        <w:rPr>
          <w:szCs w:val="21"/>
        </w:rPr>
        <w:alias w:val="是否适用：长期应付职工薪酬的其他说明[双击切换]"/>
        <w:tag w:val="_GBC_4c32051ec1ee486180dafb68d556d339"/>
        <w:id w:val="126371803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6"/>
        <w:numPr>
          <w:ilvl w:val="0"/>
          <w:numId w:val="103"/>
        </w:numPr>
        <w:tabs>
          <w:tab w:val="left" w:pos="504"/>
        </w:tabs>
        <w:rPr>
          <w:rFonts w:ascii="宋体" w:hAnsi="宋体"/>
          <w:szCs w:val="21"/>
        </w:rPr>
      </w:pPr>
      <w:bookmarkStart w:id="458" w:name="_Hlk533670325"/>
      <w:r>
        <w:rPr>
          <w:rFonts w:ascii="宋体" w:hAnsi="宋体" w:hint="eastAsia"/>
          <w:szCs w:val="21"/>
        </w:rPr>
        <w:t>预计负债</w:t>
      </w:r>
    </w:p>
    <w:sdt>
      <w:sdtPr>
        <w:alias w:val="是否适用：预计负债[双击切换]"/>
        <w:tag w:val="_GBC_d57ab9083835465c9b1fdeb5ed46b3ce"/>
        <w:id w:val="117891919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预计负债"/>
          <w:tag w:val="_GBC_579154bdef014b44aba03cac00df126c"/>
          <w:id w:val="5372401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预计负债"/>
          <w:tag w:val="_GBC_1129ab1db6684ceb91f0593c32b5d268"/>
          <w:id w:val="-16536721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43"/>
        <w:gridCol w:w="2142"/>
        <w:gridCol w:w="2142"/>
        <w:gridCol w:w="2142"/>
      </w:tblGrid>
      <w:tr>
        <w:trPr>
          <w:cantSplit/>
        </w:trPr>
        <w:sdt>
          <w:sdtPr>
            <w:rPr>
              <w:szCs w:val="21"/>
            </w:rPr>
            <w:tag w:val="_PLD_afddd1066e934e598ead7a6e38343c21"/>
            <w:id w:val="-1648663926"/>
          </w:sdtPr>
          <w:sdtContent>
            <w:tc>
              <w:tcPr>
                <w:tcW w:w="1250" w:type="pct"/>
                <w:vAlign w:val="center"/>
              </w:tcPr>
              <w:p>
                <w:pPr>
                  <w:ind w:right="105"/>
                  <w:jc w:val="center"/>
                  <w:rPr>
                    <w:szCs w:val="21"/>
                  </w:rPr>
                </w:pPr>
                <w:r>
                  <w:rPr>
                    <w:rFonts w:hint="eastAsia"/>
                    <w:szCs w:val="21"/>
                  </w:rPr>
                  <w:t>项目</w:t>
                </w:r>
              </w:p>
            </w:tc>
          </w:sdtContent>
        </w:sdt>
        <w:sdt>
          <w:sdtPr>
            <w:rPr>
              <w:szCs w:val="21"/>
            </w:rPr>
            <w:tag w:val="_PLD_34e5a75912204ec1a95f806f18cf2748"/>
            <w:id w:val="-1592617914"/>
          </w:sdtPr>
          <w:sdtContent>
            <w:tc>
              <w:tcPr>
                <w:tcW w:w="1250" w:type="pct"/>
              </w:tcPr>
              <w:p>
                <w:pPr>
                  <w:jc w:val="center"/>
                  <w:rPr>
                    <w:szCs w:val="21"/>
                  </w:rPr>
                </w:pPr>
                <w:r>
                  <w:rPr>
                    <w:rFonts w:hint="eastAsia"/>
                    <w:szCs w:val="21"/>
                  </w:rPr>
                  <w:t>期末余额</w:t>
                </w:r>
              </w:p>
            </w:tc>
          </w:sdtContent>
        </w:sdt>
        <w:sdt>
          <w:sdtPr>
            <w:rPr>
              <w:szCs w:val="21"/>
            </w:rPr>
            <w:tag w:val="_PLD_d493e26e1fb643299cea253bb9f43ca1"/>
            <w:id w:val="-1677265803"/>
          </w:sdtPr>
          <w:sdtContent>
            <w:tc>
              <w:tcPr>
                <w:tcW w:w="1250" w:type="pct"/>
              </w:tcPr>
              <w:p>
                <w:pPr>
                  <w:jc w:val="center"/>
                  <w:rPr>
                    <w:szCs w:val="21"/>
                  </w:rPr>
                </w:pPr>
                <w:r>
                  <w:rPr>
                    <w:rFonts w:hint="eastAsia"/>
                    <w:szCs w:val="21"/>
                  </w:rPr>
                  <w:t>期初余额</w:t>
                </w:r>
              </w:p>
            </w:tc>
          </w:sdtContent>
        </w:sdt>
        <w:sdt>
          <w:sdtPr>
            <w:rPr>
              <w:szCs w:val="21"/>
            </w:rPr>
            <w:tag w:val="_PLD_4ab9627b71924167a2397cf4a5d9e546"/>
            <w:id w:val="-1520927948"/>
          </w:sdtPr>
          <w:sdtContent>
            <w:tc>
              <w:tcPr>
                <w:tcW w:w="1250" w:type="pct"/>
              </w:tcPr>
              <w:p>
                <w:pPr>
                  <w:jc w:val="center"/>
                  <w:rPr>
                    <w:szCs w:val="21"/>
                  </w:rPr>
                </w:pPr>
                <w:r>
                  <w:rPr>
                    <w:rFonts w:hint="eastAsia"/>
                    <w:szCs w:val="21"/>
                  </w:rPr>
                  <w:t>形成原因</w:t>
                </w:r>
              </w:p>
            </w:tc>
          </w:sdtContent>
        </w:sdt>
      </w:tr>
      <w:tr>
        <w:trPr>
          <w:cantSplit/>
        </w:trPr>
        <w:tc>
          <w:tcPr>
            <w:tcW w:w="1250" w:type="pct"/>
            <w:shd w:val="clear" w:color="auto" w:fill="auto"/>
            <w:vAlign w:val="center"/>
          </w:tcPr>
          <w:p>
            <w:pPr>
              <w:spacing w:line="360" w:lineRule="exact"/>
              <w:rPr>
                <w:szCs w:val="21"/>
              </w:rPr>
            </w:pPr>
            <w:r>
              <w:rPr>
                <w:rFonts w:hint="eastAsia"/>
                <w:szCs w:val="21"/>
              </w:rPr>
              <w:t>复垦</w:t>
            </w:r>
            <w:r>
              <w:rPr>
                <w:szCs w:val="21"/>
              </w:rPr>
              <w:t>/复原及环境恢复</w:t>
            </w:r>
          </w:p>
        </w:tc>
        <w:tc>
          <w:tcPr>
            <w:tcW w:w="1250" w:type="pct"/>
            <w:vAlign w:val="center"/>
          </w:tcPr>
          <w:p>
            <w:pPr>
              <w:spacing w:line="360" w:lineRule="exact"/>
              <w:jc w:val="right"/>
              <w:rPr>
                <w:szCs w:val="21"/>
              </w:rPr>
            </w:pPr>
            <w:r>
              <w:rPr>
                <w:szCs w:val="21"/>
              </w:rPr>
              <w:t>12,667,165</w:t>
            </w:r>
          </w:p>
        </w:tc>
        <w:tc>
          <w:tcPr>
            <w:tcW w:w="1250" w:type="pct"/>
            <w:vAlign w:val="center"/>
          </w:tcPr>
          <w:p>
            <w:pPr>
              <w:spacing w:line="360" w:lineRule="exact"/>
              <w:jc w:val="right"/>
              <w:rPr>
                <w:szCs w:val="21"/>
              </w:rPr>
            </w:pPr>
            <w:r>
              <w:rPr>
                <w:szCs w:val="21"/>
              </w:rPr>
              <w:t>13,469,622</w:t>
            </w:r>
          </w:p>
        </w:tc>
        <w:tc>
          <w:tcPr>
            <w:tcW w:w="1250" w:type="pct"/>
            <w:vAlign w:val="center"/>
          </w:tcPr>
          <w:p>
            <w:pPr>
              <w:spacing w:line="360" w:lineRule="exact"/>
              <w:rPr>
                <w:szCs w:val="21"/>
              </w:rPr>
            </w:pPr>
          </w:p>
        </w:tc>
      </w:tr>
      <w:tr>
        <w:trPr>
          <w:cantSplit/>
        </w:trPr>
        <w:tc>
          <w:tcPr>
            <w:tcW w:w="1250" w:type="pct"/>
            <w:shd w:val="clear" w:color="auto" w:fill="auto"/>
            <w:vAlign w:val="center"/>
          </w:tcPr>
          <w:p>
            <w:pPr>
              <w:spacing w:line="360" w:lineRule="exact"/>
              <w:rPr>
                <w:szCs w:val="21"/>
              </w:rPr>
            </w:pPr>
            <w:r>
              <w:rPr>
                <w:rFonts w:hint="eastAsia"/>
                <w:szCs w:val="21"/>
              </w:rPr>
              <w:lastRenderedPageBreak/>
              <w:t>亏损合同（注</w:t>
            </w:r>
            <w:r>
              <w:rPr>
                <w:szCs w:val="21"/>
              </w:rPr>
              <w:t>1）</w:t>
            </w:r>
          </w:p>
        </w:tc>
        <w:tc>
          <w:tcPr>
            <w:tcW w:w="1250" w:type="pct"/>
            <w:vAlign w:val="center"/>
          </w:tcPr>
          <w:p>
            <w:pPr>
              <w:spacing w:line="360" w:lineRule="exact"/>
              <w:jc w:val="right"/>
              <w:rPr>
                <w:szCs w:val="21"/>
              </w:rPr>
            </w:pPr>
            <w:r>
              <w:rPr>
                <w:szCs w:val="21"/>
              </w:rPr>
              <w:t>78,729</w:t>
            </w:r>
          </w:p>
        </w:tc>
        <w:tc>
          <w:tcPr>
            <w:tcW w:w="1250" w:type="pct"/>
            <w:vAlign w:val="center"/>
          </w:tcPr>
          <w:p>
            <w:pPr>
              <w:spacing w:line="360" w:lineRule="exact"/>
              <w:jc w:val="right"/>
              <w:rPr>
                <w:szCs w:val="21"/>
              </w:rPr>
            </w:pPr>
            <w:r>
              <w:rPr>
                <w:szCs w:val="21"/>
              </w:rPr>
              <w:t>109,121</w:t>
            </w:r>
          </w:p>
        </w:tc>
        <w:tc>
          <w:tcPr>
            <w:tcW w:w="1250" w:type="pct"/>
            <w:vAlign w:val="center"/>
          </w:tcPr>
          <w:p>
            <w:pPr>
              <w:spacing w:line="360" w:lineRule="exact"/>
              <w:rPr>
                <w:szCs w:val="21"/>
              </w:rPr>
            </w:pPr>
          </w:p>
        </w:tc>
      </w:tr>
      <w:tr>
        <w:trPr>
          <w:cantSplit/>
        </w:trPr>
        <w:tc>
          <w:tcPr>
            <w:tcW w:w="1250" w:type="pct"/>
            <w:shd w:val="clear" w:color="auto" w:fill="auto"/>
            <w:vAlign w:val="center"/>
          </w:tcPr>
          <w:p>
            <w:pPr>
              <w:spacing w:line="360" w:lineRule="exact"/>
              <w:rPr>
                <w:szCs w:val="21"/>
              </w:rPr>
            </w:pPr>
            <w:r>
              <w:rPr>
                <w:rFonts w:hint="eastAsia"/>
                <w:szCs w:val="21"/>
              </w:rPr>
              <w:t>照付不议负债</w:t>
            </w:r>
          </w:p>
        </w:tc>
        <w:tc>
          <w:tcPr>
            <w:tcW w:w="1250" w:type="pct"/>
            <w:vAlign w:val="center"/>
          </w:tcPr>
          <w:p>
            <w:pPr>
              <w:spacing w:line="360" w:lineRule="exact"/>
              <w:jc w:val="right"/>
              <w:rPr>
                <w:szCs w:val="21"/>
              </w:rPr>
            </w:pPr>
          </w:p>
        </w:tc>
        <w:tc>
          <w:tcPr>
            <w:tcW w:w="1250" w:type="pct"/>
            <w:vAlign w:val="center"/>
          </w:tcPr>
          <w:p>
            <w:pPr>
              <w:spacing w:line="360" w:lineRule="exact"/>
              <w:jc w:val="right"/>
              <w:rPr>
                <w:szCs w:val="21"/>
              </w:rPr>
            </w:pPr>
            <w:r>
              <w:rPr>
                <w:szCs w:val="21"/>
              </w:rPr>
              <w:t>10,541</w:t>
            </w:r>
          </w:p>
        </w:tc>
        <w:tc>
          <w:tcPr>
            <w:tcW w:w="1250" w:type="pct"/>
            <w:vAlign w:val="center"/>
          </w:tcPr>
          <w:p>
            <w:pPr>
              <w:spacing w:line="360" w:lineRule="exact"/>
              <w:rPr>
                <w:szCs w:val="21"/>
              </w:rPr>
            </w:pPr>
          </w:p>
        </w:tc>
      </w:tr>
      <w:tr>
        <w:trPr>
          <w:cantSplit/>
        </w:trPr>
        <w:tc>
          <w:tcPr>
            <w:tcW w:w="1250" w:type="pct"/>
            <w:shd w:val="clear" w:color="auto" w:fill="auto"/>
            <w:vAlign w:val="center"/>
          </w:tcPr>
          <w:p>
            <w:pPr>
              <w:spacing w:line="360" w:lineRule="exact"/>
              <w:rPr>
                <w:szCs w:val="21"/>
              </w:rPr>
            </w:pPr>
            <w:r>
              <w:rPr>
                <w:rFonts w:hint="eastAsia"/>
                <w:szCs w:val="21"/>
              </w:rPr>
              <w:t>其他</w:t>
            </w:r>
          </w:p>
        </w:tc>
        <w:tc>
          <w:tcPr>
            <w:tcW w:w="1250" w:type="pct"/>
            <w:vAlign w:val="center"/>
          </w:tcPr>
          <w:p>
            <w:pPr>
              <w:spacing w:line="360" w:lineRule="exact"/>
              <w:jc w:val="right"/>
              <w:rPr>
                <w:szCs w:val="21"/>
              </w:rPr>
            </w:pPr>
            <w:r>
              <w:rPr>
                <w:szCs w:val="21"/>
              </w:rPr>
              <w:t>85,044</w:t>
            </w:r>
          </w:p>
        </w:tc>
        <w:tc>
          <w:tcPr>
            <w:tcW w:w="1250" w:type="pct"/>
            <w:vAlign w:val="center"/>
          </w:tcPr>
          <w:p>
            <w:pPr>
              <w:spacing w:line="360" w:lineRule="exact"/>
              <w:jc w:val="right"/>
              <w:rPr>
                <w:szCs w:val="21"/>
              </w:rPr>
            </w:pPr>
            <w:r>
              <w:rPr>
                <w:szCs w:val="21"/>
              </w:rPr>
              <w:t>101,274</w:t>
            </w:r>
          </w:p>
        </w:tc>
        <w:tc>
          <w:tcPr>
            <w:tcW w:w="1250" w:type="pct"/>
            <w:vAlign w:val="center"/>
          </w:tcPr>
          <w:p>
            <w:pPr>
              <w:spacing w:line="360" w:lineRule="exact"/>
              <w:rPr>
                <w:szCs w:val="21"/>
              </w:rPr>
            </w:pPr>
          </w:p>
        </w:tc>
      </w:tr>
      <w:tr>
        <w:trPr>
          <w:cantSplit/>
        </w:trPr>
        <w:tc>
          <w:tcPr>
            <w:tcW w:w="1250" w:type="pct"/>
            <w:vAlign w:val="center"/>
          </w:tcPr>
          <w:p>
            <w:pPr>
              <w:ind w:right="105"/>
              <w:jc w:val="center"/>
              <w:rPr>
                <w:szCs w:val="21"/>
              </w:rPr>
            </w:pPr>
            <w:r>
              <w:rPr>
                <w:rFonts w:hint="eastAsia"/>
                <w:szCs w:val="21"/>
              </w:rPr>
              <w:t>合计</w:t>
            </w:r>
          </w:p>
        </w:tc>
        <w:tc>
          <w:tcPr>
            <w:tcW w:w="1250" w:type="pct"/>
            <w:vAlign w:val="center"/>
          </w:tcPr>
          <w:p>
            <w:pPr>
              <w:jc w:val="right"/>
              <w:rPr>
                <w:szCs w:val="21"/>
              </w:rPr>
            </w:pPr>
            <w:r>
              <w:rPr>
                <w:szCs w:val="21"/>
              </w:rPr>
              <w:t>12,830,938</w:t>
            </w:r>
          </w:p>
        </w:tc>
        <w:tc>
          <w:tcPr>
            <w:tcW w:w="1250" w:type="pct"/>
          </w:tcPr>
          <w:p>
            <w:pPr>
              <w:jc w:val="right"/>
              <w:rPr>
                <w:szCs w:val="21"/>
              </w:rPr>
            </w:pPr>
            <w:r>
              <w:rPr>
                <w:szCs w:val="21"/>
              </w:rPr>
              <w:t>13,690,558</w:t>
            </w:r>
          </w:p>
        </w:tc>
        <w:tc>
          <w:tcPr>
            <w:tcW w:w="1250" w:type="pct"/>
          </w:tcPr>
          <w:p>
            <w:pPr>
              <w:jc w:val="center"/>
              <w:rPr>
                <w:color w:val="000000" w:themeColor="text1"/>
                <w:szCs w:val="21"/>
              </w:rPr>
            </w:pPr>
            <w:r>
              <w:rPr>
                <w:rFonts w:hint="eastAsia"/>
                <w:color w:val="000000" w:themeColor="text1"/>
                <w:szCs w:val="21"/>
              </w:rPr>
              <w:t>/</w:t>
            </w:r>
          </w:p>
        </w:tc>
      </w:tr>
    </w:tbl>
    <w:p>
      <w:pPr>
        <w:pStyle w:val="affffffffffffffffffffffffffffffffe"/>
      </w:pPr>
    </w:p>
    <w:p>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556464328"/>
        <w:placeholder>
          <w:docPart w:val="GBC22222222222222222222222222222"/>
        </w:placeholder>
      </w:sdtPr>
      <w:sdtContent>
        <w:p>
          <w:pPr>
            <w:spacing w:afterLines="50" w:after="156" w:line="360" w:lineRule="exact"/>
            <w:ind w:firstLine="420"/>
            <w:rPr>
              <w:color w:val="000000" w:themeColor="text1"/>
            </w:rPr>
          </w:pPr>
          <w:r>
            <w:rPr>
              <w:rFonts w:hint="eastAsia"/>
              <w:color w:val="000000" w:themeColor="text1"/>
            </w:rPr>
            <w:t>注1：本集团之子公司联合煤炭工业有限公司与第三方签订的煤炭供应和运输协议，该合同价格低于市场价格，为亏损合同，故就该合同价格与市场价格之间的差异折现确认预计负债。</w:t>
          </w:r>
        </w:p>
      </w:sdtContent>
    </w:sdt>
    <w:bookmarkEnd w:id="458"/>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递延收益</w:t>
      </w:r>
    </w:p>
    <w:p>
      <w:pPr>
        <w:pStyle w:val="affffffffffffffffffffffffffffffffff4"/>
        <w:ind w:firstLineChars="0" w:firstLine="0"/>
        <w:jc w:val="left"/>
        <w:rPr>
          <w:rFonts w:ascii="宋体" w:hAnsi="宋体" w:cs="宋体"/>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755863051"/>
        <w:placeholder>
          <w:docPart w:val="GBC22222222222222222222222222222"/>
        </w:placeholder>
      </w:sdtPr>
      <w:sdtContent>
        <w:p>
          <w:pPr>
            <w:pStyle w:val="affffffffffffffffffffffffffffffffff4"/>
            <w:ind w:firstLineChars="0" w:firstLine="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affffffffffffffffffffffffffffffffff4"/>
        <w:ind w:firstLineChars="0" w:firstLine="0"/>
        <w:jc w:val="left"/>
      </w:pPr>
    </w:p>
    <w:p>
      <w:pPr>
        <w:spacing w:before="60" w:after="60"/>
        <w:rPr>
          <w:szCs w:val="21"/>
        </w:rPr>
      </w:pPr>
      <w:bookmarkStart w:id="459" w:name="_Hlk532902543"/>
      <w:bookmarkStart w:id="460" w:name="_Hlk532902569"/>
      <w:bookmarkStart w:id="461" w:name="OLE_LINK85"/>
      <w:bookmarkStart w:id="462" w:name="OLE_LINK84"/>
      <w:bookmarkEnd w:id="459"/>
      <w:bookmarkEnd w:id="460"/>
      <w:r>
        <w:rPr>
          <w:rFonts w:hint="eastAsia"/>
          <w:szCs w:val="21"/>
        </w:rPr>
        <w:t>其他说明：</w:t>
      </w:r>
    </w:p>
    <w:sdt>
      <w:sdtPr>
        <w:rPr>
          <w:szCs w:val="21"/>
        </w:rPr>
        <w:alias w:val="是否适用：递延收益的其他说明[双击切换]"/>
        <w:tag w:val="_GBC_0c28db54a76349869056f2b92b5d9400"/>
        <w:id w:val="-1954006599"/>
        <w:placeholder>
          <w:docPart w:val="GBC22222222222222222222222222222"/>
        </w:placeholder>
      </w:sdt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61"/>
    <w:bookmarkEnd w:id="462"/>
    <w:p>
      <w:pPr>
        <w:snapToGrid w:val="0"/>
        <w:spacing w:line="240" w:lineRule="atLeast"/>
        <w:rPr>
          <w:szCs w:val="21"/>
        </w:rPr>
      </w:pPr>
    </w:p>
    <w:p>
      <w:pPr>
        <w:pStyle w:val="affffffffffffffffff6"/>
        <w:numPr>
          <w:ilvl w:val="0"/>
          <w:numId w:val="103"/>
        </w:numPr>
        <w:tabs>
          <w:tab w:val="left" w:pos="504"/>
        </w:tabs>
        <w:rPr>
          <w:rFonts w:ascii="宋体" w:hAnsi="宋体"/>
          <w:szCs w:val="21"/>
        </w:rPr>
      </w:pPr>
      <w:bookmarkStart w:id="463" w:name="_Hlk533670383"/>
      <w:r>
        <w:rPr>
          <w:rFonts w:ascii="宋体" w:hAnsi="宋体" w:hint="eastAsia"/>
          <w:szCs w:val="21"/>
        </w:rPr>
        <w:t>其他非流动负债</w:t>
      </w:r>
    </w:p>
    <w:sdt>
      <w:sdtPr>
        <w:alias w:val="是否适用：其他非流动负债[双击切换]"/>
        <w:tag w:val="_GBC_05e5676f32624ce18727385761bd1a9a"/>
        <w:id w:val="-1096942966"/>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bookmarkEnd w:id="463"/>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股本</w:t>
      </w:r>
    </w:p>
    <w:sdt>
      <w:sdtPr>
        <w:alias w:val="是否适用：股本[双击切换]"/>
        <w:tag w:val="_GBC_a2069fb3657946ee9810a9154eb11422"/>
        <w:id w:val="-34917282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股本"/>
          <w:tag w:val="_GBC_e2cacf7f2d9f4ad78dce53a3e345569e"/>
          <w:id w:val="6966698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股本"/>
          <w:tag w:val="_GBC_a1c9c99744d0466d8ff5672b2b69076a"/>
          <w:id w:val="-16242940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789"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1276"/>
        <w:gridCol w:w="1000"/>
        <w:gridCol w:w="1407"/>
        <w:gridCol w:w="673"/>
        <w:gridCol w:w="939"/>
        <w:gridCol w:w="1510"/>
        <w:gridCol w:w="1274"/>
      </w:tblGrid>
      <w:tr>
        <w:trPr>
          <w:cantSplit/>
          <w:trHeight w:val="270"/>
        </w:trPr>
        <w:tc>
          <w:tcPr>
            <w:tcW w:w="929" w:type="pct"/>
            <w:vMerge w:val="restart"/>
            <w:tcBorders>
              <w:top w:val="single" w:sz="4" w:space="0" w:color="auto"/>
              <w:left w:val="single" w:sz="4" w:space="0" w:color="auto"/>
              <w:bottom w:val="single" w:sz="4" w:space="0" w:color="auto"/>
              <w:right w:val="single" w:sz="4" w:space="0" w:color="auto"/>
            </w:tcBorders>
          </w:tcPr>
          <w:p>
            <w:pPr>
              <w:jc w:val="center"/>
              <w:rPr>
                <w:szCs w:val="21"/>
              </w:rPr>
            </w:pPr>
          </w:p>
        </w:tc>
        <w:sdt>
          <w:sdtPr>
            <w:tag w:val="_PLD_fd63a619db16496bad52eeb145839158"/>
            <w:id w:val="-358893263"/>
          </w:sdtPr>
          <w:sdtContent>
            <w:tc>
              <w:tcPr>
                <w:tcW w:w="643"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期初余额</w:t>
                </w:r>
              </w:p>
            </w:tc>
          </w:sdtContent>
        </w:sdt>
        <w:sdt>
          <w:sdtPr>
            <w:tag w:val="_PLD_2cb33d9d8b0d47539581498c039e86aa"/>
            <w:id w:val="-74743239"/>
          </w:sdtPr>
          <w:sdtContent>
            <w:tc>
              <w:tcPr>
                <w:tcW w:w="2786" w:type="pct"/>
                <w:gridSpan w:val="5"/>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本次变动增减（+、-）</w:t>
                </w:r>
              </w:p>
            </w:tc>
          </w:sdtContent>
        </w:sdt>
        <w:sdt>
          <w:sdtPr>
            <w:tag w:val="_PLD_e579078cb28f47a09273701ab9e2e37a"/>
            <w:id w:val="573253664"/>
          </w:sdtPr>
          <w:sdtContent>
            <w:tc>
              <w:tcPr>
                <w:tcW w:w="642"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期末余额</w:t>
                </w:r>
              </w:p>
            </w:tc>
          </w:sdtContent>
        </w:sdt>
      </w:tr>
      <w:tr>
        <w:trPr>
          <w:cantSplit/>
          <w:trHeight w:val="312"/>
        </w:trPr>
        <w:tc>
          <w:tcPr>
            <w:tcW w:w="929" w:type="pct"/>
            <w:vMerge/>
            <w:tcBorders>
              <w:top w:val="single" w:sz="4" w:space="0" w:color="auto"/>
              <w:left w:val="single" w:sz="4" w:space="0" w:color="auto"/>
              <w:bottom w:val="single" w:sz="4" w:space="0" w:color="auto"/>
              <w:right w:val="single" w:sz="4" w:space="0" w:color="auto"/>
            </w:tcBorders>
          </w:tcPr>
          <w:p>
            <w:pPr>
              <w:rPr>
                <w:szCs w:val="21"/>
              </w:rPr>
            </w:pPr>
          </w:p>
        </w:tc>
        <w:tc>
          <w:tcPr>
            <w:tcW w:w="643" w:type="pct"/>
            <w:vMerge/>
            <w:tcBorders>
              <w:left w:val="single" w:sz="4" w:space="0" w:color="auto"/>
              <w:bottom w:val="single" w:sz="4" w:space="0" w:color="auto"/>
              <w:right w:val="single" w:sz="4" w:space="0" w:color="auto"/>
            </w:tcBorders>
          </w:tcPr>
          <w:p>
            <w:pPr>
              <w:ind w:leftChars="-119" w:left="-250" w:firstLineChars="119" w:firstLine="250"/>
              <w:rPr>
                <w:szCs w:val="21"/>
              </w:rPr>
            </w:pPr>
          </w:p>
        </w:tc>
        <w:sdt>
          <w:sdtPr>
            <w:tag w:val="_PLD_2f067dcfa40a4e2d896a383f16e2e483"/>
            <w:id w:val="-1746785341"/>
          </w:sdtPr>
          <w:sdtContent>
            <w:tc>
              <w:tcPr>
                <w:tcW w:w="504"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发行</w:t>
                </w:r>
              </w:p>
              <w:p>
                <w:pPr>
                  <w:jc w:val="center"/>
                  <w:rPr>
                    <w:szCs w:val="21"/>
                  </w:rPr>
                </w:pPr>
                <w:r>
                  <w:rPr>
                    <w:rFonts w:hint="eastAsia"/>
                    <w:szCs w:val="21"/>
                  </w:rPr>
                  <w:t>新股</w:t>
                </w:r>
              </w:p>
            </w:tc>
          </w:sdtContent>
        </w:sdt>
        <w:sdt>
          <w:sdtPr>
            <w:tag w:val="_PLD_afc58df66e0343a29873ec3c2270451e"/>
            <w:id w:val="873658607"/>
          </w:sdtPr>
          <w:sdtContent>
            <w:tc>
              <w:tcPr>
                <w:tcW w:w="709"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送股</w:t>
                </w:r>
              </w:p>
            </w:tc>
          </w:sdtContent>
        </w:sdt>
        <w:sdt>
          <w:sdtPr>
            <w:tag w:val="_PLD_31d618a387e243239ea8ee139a3a39da"/>
            <w:id w:val="1672452443"/>
          </w:sdtPr>
          <w:sdtContent>
            <w:tc>
              <w:tcPr>
                <w:tcW w:w="339"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公积金</w:t>
                </w:r>
              </w:p>
              <w:p>
                <w:pPr>
                  <w:jc w:val="center"/>
                  <w:rPr>
                    <w:szCs w:val="21"/>
                  </w:rPr>
                </w:pPr>
                <w:r>
                  <w:rPr>
                    <w:rFonts w:hint="eastAsia"/>
                    <w:szCs w:val="21"/>
                  </w:rPr>
                  <w:t>转股</w:t>
                </w:r>
              </w:p>
            </w:tc>
          </w:sdtContent>
        </w:sdt>
        <w:sdt>
          <w:sdtPr>
            <w:tag w:val="_PLD_12526084dedd4dc68d673c8a71c73862"/>
            <w:id w:val="-1496563468"/>
          </w:sdtPr>
          <w:sdtContent>
            <w:tc>
              <w:tcPr>
                <w:tcW w:w="47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其他</w:t>
                </w:r>
              </w:p>
            </w:tc>
          </w:sdtContent>
        </w:sdt>
        <w:sdt>
          <w:sdtPr>
            <w:tag w:val="_PLD_fe70bd23af2d4fd680087e555e574f82"/>
            <w:id w:val="657965701"/>
          </w:sdtPr>
          <w:sdtContent>
            <w:tc>
              <w:tcPr>
                <w:tcW w:w="760"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小计</w:t>
                </w:r>
              </w:p>
            </w:tc>
          </w:sdtContent>
        </w:sdt>
        <w:tc>
          <w:tcPr>
            <w:tcW w:w="642" w:type="pct"/>
            <w:vMerge/>
            <w:tcBorders>
              <w:left w:val="single" w:sz="4" w:space="0" w:color="auto"/>
              <w:bottom w:val="single" w:sz="4" w:space="0" w:color="auto"/>
              <w:right w:val="single" w:sz="4" w:space="0" w:color="auto"/>
            </w:tcBorders>
          </w:tcPr>
          <w:p>
            <w:pPr>
              <w:rPr>
                <w:szCs w:val="21"/>
              </w:rPr>
            </w:pP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有限售条件股份</w:t>
            </w:r>
          </w:p>
        </w:tc>
        <w:tc>
          <w:tcPr>
            <w:tcW w:w="643"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hAnsi="Times New Roman" w:cs="Times New Roman"/>
                <w:szCs w:val="20"/>
              </w:rPr>
            </w:pPr>
          </w:p>
        </w:tc>
        <w:tc>
          <w:tcPr>
            <w:tcW w:w="504"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64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境内自然人持股</w:t>
            </w:r>
          </w:p>
        </w:tc>
        <w:tc>
          <w:tcPr>
            <w:tcW w:w="643" w:type="pct"/>
            <w:tcBorders>
              <w:top w:val="single" w:sz="4" w:space="0" w:color="auto"/>
              <w:left w:val="single" w:sz="4" w:space="0" w:color="auto"/>
              <w:bottom w:val="single" w:sz="4" w:space="0" w:color="auto"/>
              <w:right w:val="single" w:sz="4" w:space="0" w:color="auto"/>
            </w:tcBorders>
            <w:vAlign w:val="center"/>
          </w:tcPr>
          <w:p>
            <w:pPr>
              <w:jc w:val="right"/>
              <w:rPr>
                <w:sz w:val="24"/>
              </w:rPr>
            </w:pPr>
            <w:r>
              <w:t>89,940</w:t>
            </w:r>
          </w:p>
        </w:tc>
        <w:tc>
          <w:tcPr>
            <w:tcW w:w="50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sz w:val="24"/>
              </w:rPr>
            </w:pPr>
            <w:r>
              <w:t>17,813</w:t>
            </w:r>
          </w:p>
        </w:tc>
        <w:tc>
          <w:tcPr>
            <w:tcW w:w="33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sz w:val="24"/>
              </w:rPr>
            </w:pPr>
            <w:r>
              <w:t>-30,565</w:t>
            </w:r>
          </w:p>
        </w:tc>
        <w:tc>
          <w:tcPr>
            <w:tcW w:w="7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-12,752</w:t>
            </w:r>
          </w:p>
        </w:tc>
        <w:tc>
          <w:tcPr>
            <w:tcW w:w="64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77,188</w:t>
            </w: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有限售条件股份合计</w:t>
            </w:r>
          </w:p>
        </w:tc>
        <w:tc>
          <w:tcPr>
            <w:tcW w:w="643"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89,940</w:t>
            </w:r>
          </w:p>
        </w:tc>
        <w:tc>
          <w:tcPr>
            <w:tcW w:w="50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sz w:val="24"/>
              </w:rPr>
            </w:pPr>
            <w:r>
              <w:t>17,813</w:t>
            </w:r>
          </w:p>
        </w:tc>
        <w:tc>
          <w:tcPr>
            <w:tcW w:w="33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sz w:val="24"/>
              </w:rPr>
            </w:pPr>
            <w:r>
              <w:t>-30,565</w:t>
            </w:r>
          </w:p>
        </w:tc>
        <w:tc>
          <w:tcPr>
            <w:tcW w:w="7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-12,752</w:t>
            </w:r>
          </w:p>
        </w:tc>
        <w:tc>
          <w:tcPr>
            <w:tcW w:w="64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77,188</w:t>
            </w: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无限售条件流通股份</w:t>
            </w:r>
          </w:p>
        </w:tc>
        <w:tc>
          <w:tcPr>
            <w:tcW w:w="643"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504"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339"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642"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人民币普通股</w:t>
            </w:r>
          </w:p>
        </w:tc>
        <w:tc>
          <w:tcPr>
            <w:tcW w:w="643" w:type="pct"/>
            <w:tcBorders>
              <w:top w:val="single" w:sz="4" w:space="0" w:color="auto"/>
              <w:left w:val="single" w:sz="4" w:space="0" w:color="auto"/>
              <w:bottom w:val="single" w:sz="4" w:space="0" w:color="auto"/>
              <w:right w:val="single" w:sz="4" w:space="0" w:color="auto"/>
            </w:tcBorders>
            <w:vAlign w:val="center"/>
          </w:tcPr>
          <w:p>
            <w:pPr>
              <w:jc w:val="right"/>
              <w:rPr>
                <w:sz w:val="24"/>
              </w:rPr>
            </w:pPr>
            <w:r>
              <w:t>4,499,431</w:t>
            </w:r>
          </w:p>
        </w:tc>
        <w:tc>
          <w:tcPr>
            <w:tcW w:w="50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sz w:val="24"/>
              </w:rPr>
            </w:pPr>
            <w:r>
              <w:t>1,358,578</w:t>
            </w:r>
          </w:p>
        </w:tc>
        <w:tc>
          <w:tcPr>
            <w:tcW w:w="33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sz w:val="24"/>
              </w:rPr>
            </w:pPr>
            <w:r>
              <w:t>29,163</w:t>
            </w:r>
          </w:p>
        </w:tc>
        <w:tc>
          <w:tcPr>
            <w:tcW w:w="7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1,387,741</w:t>
            </w:r>
          </w:p>
        </w:tc>
        <w:tc>
          <w:tcPr>
            <w:tcW w:w="64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5,887,172</w:t>
            </w: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境外上市外资股</w:t>
            </w:r>
          </w:p>
        </w:tc>
        <w:tc>
          <w:tcPr>
            <w:tcW w:w="643"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2,850,000</w:t>
            </w:r>
          </w:p>
        </w:tc>
        <w:tc>
          <w:tcPr>
            <w:tcW w:w="50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285,000</w:t>
            </w:r>
          </w:p>
        </w:tc>
        <w:tc>
          <w:tcPr>
            <w:tcW w:w="70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940,500</w:t>
            </w:r>
          </w:p>
        </w:tc>
        <w:tc>
          <w:tcPr>
            <w:tcW w:w="33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 w:val="20"/>
                <w:szCs w:val="20"/>
              </w:rPr>
            </w:pPr>
          </w:p>
        </w:tc>
        <w:tc>
          <w:tcPr>
            <w:tcW w:w="760" w:type="pct"/>
            <w:tcBorders>
              <w:top w:val="single" w:sz="4" w:space="0" w:color="auto"/>
              <w:left w:val="single" w:sz="4" w:space="0" w:color="auto"/>
              <w:bottom w:val="single" w:sz="4" w:space="0" w:color="auto"/>
              <w:right w:val="single" w:sz="4" w:space="0" w:color="auto"/>
            </w:tcBorders>
            <w:vAlign w:val="center"/>
          </w:tcPr>
          <w:p>
            <w:pPr>
              <w:jc w:val="right"/>
              <w:rPr>
                <w:sz w:val="24"/>
              </w:rPr>
            </w:pPr>
            <w:r>
              <w:t>1,225,500</w:t>
            </w:r>
          </w:p>
        </w:tc>
        <w:tc>
          <w:tcPr>
            <w:tcW w:w="64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4,075,500</w:t>
            </w: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t>无限售条件股份合计</w:t>
            </w:r>
          </w:p>
        </w:tc>
        <w:tc>
          <w:tcPr>
            <w:tcW w:w="643"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7,349,431</w:t>
            </w:r>
          </w:p>
        </w:tc>
        <w:tc>
          <w:tcPr>
            <w:tcW w:w="504"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285,000</w:t>
            </w:r>
          </w:p>
        </w:tc>
        <w:tc>
          <w:tcPr>
            <w:tcW w:w="70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2,299,078</w:t>
            </w:r>
          </w:p>
        </w:tc>
        <w:tc>
          <w:tcPr>
            <w:tcW w:w="339"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sz w:val="24"/>
              </w:rPr>
            </w:pPr>
            <w:r>
              <w:t>29,163</w:t>
            </w:r>
          </w:p>
        </w:tc>
        <w:tc>
          <w:tcPr>
            <w:tcW w:w="760"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2,613,241</w:t>
            </w:r>
          </w:p>
        </w:tc>
        <w:tc>
          <w:tcPr>
            <w:tcW w:w="64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jc w:val="right"/>
            </w:pPr>
            <w:r>
              <w:t>9,962,672</w:t>
            </w:r>
          </w:p>
        </w:tc>
      </w:tr>
      <w:tr>
        <w:trPr>
          <w:cantSplit/>
        </w:trPr>
        <w:tc>
          <w:tcPr>
            <w:tcW w:w="929"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股份总数</w:t>
            </w:r>
          </w:p>
        </w:tc>
        <w:tc>
          <w:tcPr>
            <w:tcW w:w="64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7,439,371</w:t>
            </w:r>
          </w:p>
        </w:tc>
        <w:tc>
          <w:tcPr>
            <w:tcW w:w="50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285,000</w:t>
            </w:r>
          </w:p>
        </w:tc>
        <w:tc>
          <w:tcPr>
            <w:tcW w:w="70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2,316,891</w:t>
            </w:r>
          </w:p>
        </w:tc>
        <w:tc>
          <w:tcPr>
            <w:tcW w:w="339" w:type="pct"/>
            <w:tcBorders>
              <w:top w:val="single" w:sz="4" w:space="0" w:color="auto"/>
              <w:left w:val="single" w:sz="4" w:space="0" w:color="auto"/>
              <w:bottom w:val="single" w:sz="4" w:space="0" w:color="auto"/>
              <w:right w:val="single" w:sz="4" w:space="0" w:color="auto"/>
            </w:tcBorders>
            <w:vAlign w:val="center"/>
          </w:tcPr>
          <w:p>
            <w:pPr>
              <w:jc w:val="right"/>
              <w:rPr>
                <w:szCs w:val="21"/>
              </w:rPr>
            </w:pPr>
          </w:p>
        </w:tc>
        <w:tc>
          <w:tcPr>
            <w:tcW w:w="47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-1,402</w:t>
            </w:r>
          </w:p>
        </w:tc>
        <w:tc>
          <w:tcPr>
            <w:tcW w:w="76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2,600,489</w:t>
            </w:r>
          </w:p>
        </w:tc>
        <w:tc>
          <w:tcPr>
            <w:tcW w:w="64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10,039,860</w:t>
            </w:r>
          </w:p>
        </w:tc>
      </w:tr>
    </w:tbl>
    <w:p>
      <w:pPr>
        <w:pStyle w:val="affffffffffffffffffffffffffffffffe"/>
      </w:pPr>
    </w:p>
    <w:p>
      <w:pPr>
        <w:spacing w:before="60" w:after="60"/>
        <w:rPr>
          <w:szCs w:val="21"/>
        </w:rPr>
      </w:pPr>
      <w:r>
        <w:rPr>
          <w:rFonts w:hint="eastAsia"/>
          <w:szCs w:val="21"/>
        </w:rPr>
        <w:t>其他说明：</w:t>
      </w:r>
    </w:p>
    <w:sdt>
      <w:sdtPr>
        <w:rPr>
          <w:szCs w:val="21"/>
        </w:rPr>
        <w:alias w:val="股本变动情况说明"/>
        <w:tag w:val="_GBC_6600e13aac194caa9cb58963beb3073e"/>
        <w:id w:val="-554617148"/>
        <w:placeholder>
          <w:docPart w:val="GBC22222222222222222222222222222"/>
        </w:placeholder>
      </w:sdtPr>
      <w:sdtContent>
        <w:p>
          <w:pPr>
            <w:spacing w:afterLines="50" w:after="156" w:line="360" w:lineRule="exact"/>
            <w:ind w:firstLine="420"/>
          </w:pPr>
          <w:r>
            <w:rPr>
              <w:rFonts w:hint="eastAsia"/>
            </w:rPr>
            <w:t>注1：2024年2月23日，公司第九届董事会第五次会议和第九届监事会第四次会议审议批准了《关于公司2021年A股限制性股票激励计划第一个解除限售期解除限售条件成就的议案》《关于回购注销部分激励对象限制性股票的议案》。鉴于本激励计划16名激励对象因职务调动等原因已不符合激励条件，2名激励对象绩效考核结果为“不合格”，4名激励对象绩效考核结果为“达标”，应对上述22名激励对象已获授但尚未解除限售的限制性股票1,402千股进行回购注销。同时本激励计划第一个解除限售期解除限售条件成就，同意对1,201名激励对象所对应的</w:t>
          </w:r>
          <w:r>
            <w:t>29,163</w:t>
          </w:r>
          <w:r>
            <w:rPr>
              <w:rFonts w:hint="eastAsia"/>
            </w:rPr>
            <w:t>千股限制性股票进行解除限售。</w:t>
          </w:r>
        </w:p>
        <w:p>
          <w:pPr>
            <w:spacing w:afterLines="50" w:after="156" w:line="360" w:lineRule="exact"/>
            <w:ind w:firstLine="420"/>
          </w:pPr>
          <w:r>
            <w:rPr>
              <w:rFonts w:hint="eastAsia"/>
            </w:rPr>
            <w:t>注2：兖矿能源集团股份有限公司（以下简称“兖矿能源”“公司”）于2024年6月4日发布《关于根据一般性授权发行H股的公告》（公告编号：临2024-036），公司拟向不少于6名专业、机构及/或其他投资者配售285,000千股H股股份。</w:t>
          </w:r>
        </w:p>
        <w:p>
          <w:pPr>
            <w:spacing w:afterLines="50" w:after="156" w:line="360" w:lineRule="exact"/>
            <w:ind w:firstLine="420"/>
          </w:pPr>
          <w:r>
            <w:rPr>
              <w:rFonts w:hint="eastAsia"/>
            </w:rPr>
            <w:t>注3：2024年3月28日公布的《兖矿能源集团股份有限公司2023年度利润分配方案公告》本次利润分配以方案实施前的公司总股本7,722,970千股为基数，向全体股东每股派发现金红利1.49元（含税），每股派送红股0.3股，共计派发现金红利11,507,225千元，派送红股231,689千股，本次分配后总股本为10,039,860千股。</w:t>
          </w:r>
        </w:p>
        <w:p>
          <w:pPr>
            <w:rPr>
              <w:szCs w:val="21"/>
            </w:rPr>
          </w:pPr>
        </w:p>
      </w:sdtContent>
    </w:sdt>
    <w:p>
      <w:pPr>
        <w:rPr>
          <w:szCs w:val="21"/>
        </w:rPr>
      </w:pPr>
    </w:p>
    <w:p>
      <w:pPr>
        <w:pStyle w:val="affffffffffffffffff6"/>
        <w:numPr>
          <w:ilvl w:val="0"/>
          <w:numId w:val="103"/>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w:t>
      </w:r>
      <w:r>
        <w:rPr>
          <w:rFonts w:ascii="宋体" w:hAnsi="宋体" w:hint="eastAsia"/>
          <w:b w:val="0"/>
          <w:szCs w:val="21"/>
        </w:rPr>
        <w:t>工具</w:t>
      </w:r>
    </w:p>
    <w:p>
      <w:pPr>
        <w:pStyle w:val="afffffffffffffffffffffffffffffffff1"/>
        <w:numPr>
          <w:ilvl w:val="0"/>
          <w:numId w:val="126"/>
        </w:numPr>
        <w:ind w:left="426" w:hanging="426"/>
        <w:rPr>
          <w:rFonts w:ascii="宋体" w:eastAsia="宋体" w:hAnsi="宋体" w:cs="宋体"/>
          <w:bCs w:val="0"/>
          <w:kern w:val="0"/>
          <w:szCs w:val="21"/>
        </w:rPr>
      </w:pPr>
      <w:r>
        <w:rPr>
          <w:rFonts w:ascii="宋体" w:eastAsia="宋体" w:hAnsi="宋体" w:cs="宋体" w:hint="eastAsia"/>
          <w:bCs w:val="0"/>
          <w:kern w:val="0"/>
          <w:szCs w:val="21"/>
        </w:rPr>
        <w:t>期末发行在外的优先股、永续债等其他金融工具基本情况</w:t>
      </w:r>
    </w:p>
    <w:sdt>
      <w:sdtPr>
        <w:rPr>
          <w:szCs w:val="21"/>
        </w:rPr>
        <w:alias w:val="是否适用：期末发行在外的优先股、永续债等其他金融工具基本情况[双击切换]"/>
        <w:tag w:val="_GBC_f7317c6562b94e9792fab1b748cf4eee"/>
        <w:id w:val="1012343707"/>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rPr>
          <w:szCs w:val="21"/>
        </w:rPr>
      </w:pPr>
    </w:p>
    <w:p>
      <w:pPr>
        <w:pStyle w:val="afffffffffffffffffffffffffffffffff1"/>
        <w:numPr>
          <w:ilvl w:val="0"/>
          <w:numId w:val="126"/>
        </w:numPr>
        <w:ind w:left="426" w:hanging="426"/>
        <w:rPr>
          <w:rFonts w:ascii="宋体" w:eastAsia="宋体" w:hAnsi="宋体" w:cs="宋体"/>
          <w:bCs w:val="0"/>
          <w:kern w:val="0"/>
          <w:szCs w:val="21"/>
        </w:rPr>
      </w:pPr>
      <w:bookmarkStart w:id="464" w:name="_Hlk89785156"/>
      <w:r>
        <w:rPr>
          <w:rFonts w:ascii="宋体" w:eastAsia="宋体" w:hAnsi="宋体" w:cs="宋体" w:hint="eastAsia"/>
          <w:bCs w:val="0"/>
          <w:kern w:val="0"/>
          <w:szCs w:val="21"/>
        </w:rPr>
        <w:t>期末发行在外的优先股、永续债等金融工具变动情况表</w:t>
      </w:r>
    </w:p>
    <w:sdt>
      <w:sdtPr>
        <w:rPr>
          <w:szCs w:val="21"/>
        </w:rPr>
        <w:alias w:val="是否适用：期末发行在外的优先股、永续债等金融工具变动情况表_其他权益工具[双击切换]"/>
        <w:tag w:val="_GBC_894eb45c6bf3473785ba1a45bf437264"/>
        <w:id w:val="1255401070"/>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期末发行在外的优先股、永续债等金融工具变动情况表"/>
          <w:tag w:val="_GBC_d2372fc5ff6d449398ab6e1c411fa976"/>
          <w:id w:val="-21215908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期末发行在外的优先股、永续债等金融工具变动情况表"/>
          <w:tag w:val="_GBC_66ee05b2a4d0475f9a4ec5517301dec9"/>
          <w:id w:val="-16460440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pPr w:leftFromText="180" w:rightFromText="180" w:vertAnchor="text" w:horzAnchor="margin" w:tblpX="-1139" w:tblpY="78"/>
        <w:tblW w:w="56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961"/>
        <w:gridCol w:w="1276"/>
        <w:gridCol w:w="1276"/>
        <w:gridCol w:w="1276"/>
        <w:gridCol w:w="1276"/>
        <w:gridCol w:w="1276"/>
        <w:gridCol w:w="1171"/>
        <w:gridCol w:w="1276"/>
        <w:gridCol w:w="1276"/>
      </w:tblGrid>
      <w:tr>
        <w:trPr>
          <w:trHeight w:val="340"/>
        </w:trPr>
        <w:bookmarkEnd w:id="464" w:displacedByCustomXml="next"/>
        <w:bookmarkStart w:id="465" w:name="_Hlk89785136" w:displacedByCustomXml="next"/>
        <w:sdt>
          <w:sdtPr>
            <w:rPr>
              <w:szCs w:val="21"/>
            </w:rPr>
            <w:tag w:val="_PLD_df628908b5094c73bf63d2bbbc0f369b"/>
            <w:id w:val="794954067"/>
          </w:sdtPr>
          <w:sdtContent>
            <w:tc>
              <w:tcPr>
                <w:tcW w:w="977" w:type="pct"/>
                <w:vMerge w:val="restart"/>
                <w:shd w:val="clear" w:color="auto" w:fill="auto"/>
                <w:vAlign w:val="center"/>
                <w:hideMark/>
              </w:tcPr>
              <w:p>
                <w:pPr>
                  <w:jc w:val="center"/>
                  <w:rPr>
                    <w:szCs w:val="21"/>
                  </w:rPr>
                </w:pPr>
                <w:r>
                  <w:rPr>
                    <w:rFonts w:hint="eastAsia"/>
                    <w:szCs w:val="21"/>
                  </w:rPr>
                  <w:t>发行在外的金融工具</w:t>
                </w:r>
              </w:p>
            </w:tc>
          </w:sdtContent>
        </w:sdt>
        <w:sdt>
          <w:sdtPr>
            <w:rPr>
              <w:szCs w:val="21"/>
            </w:rPr>
            <w:tag w:val="_PLD_fce65120208840efbe468c59d259be05"/>
            <w:id w:val="87979501"/>
          </w:sdtPr>
          <w:sdtContent>
            <w:tc>
              <w:tcPr>
                <w:tcW w:w="1016" w:type="pct"/>
                <w:gridSpan w:val="2"/>
                <w:shd w:val="clear" w:color="auto" w:fill="auto"/>
                <w:vAlign w:val="center"/>
                <w:hideMark/>
              </w:tcPr>
              <w:p>
                <w:pPr>
                  <w:jc w:val="center"/>
                  <w:rPr>
                    <w:szCs w:val="21"/>
                  </w:rPr>
                </w:pPr>
                <w:r>
                  <w:rPr>
                    <w:rFonts w:hint="eastAsia"/>
                    <w:szCs w:val="21"/>
                  </w:rPr>
                  <w:t>期初</w:t>
                </w:r>
              </w:p>
            </w:tc>
          </w:sdtContent>
        </w:sdt>
        <w:sdt>
          <w:sdtPr>
            <w:rPr>
              <w:szCs w:val="21"/>
            </w:rPr>
            <w:tag w:val="_PLD_18ce06e25fcb40258e1160c9b2b3e3ff"/>
            <w:id w:val="1505245173"/>
          </w:sdtPr>
          <w:sdtContent>
            <w:tc>
              <w:tcPr>
                <w:tcW w:w="1016" w:type="pct"/>
                <w:gridSpan w:val="2"/>
                <w:shd w:val="clear" w:color="auto" w:fill="auto"/>
                <w:vAlign w:val="center"/>
                <w:hideMark/>
              </w:tcPr>
              <w:p>
                <w:pPr>
                  <w:jc w:val="center"/>
                  <w:rPr>
                    <w:szCs w:val="21"/>
                  </w:rPr>
                </w:pPr>
                <w:r>
                  <w:rPr>
                    <w:rFonts w:hint="eastAsia"/>
                    <w:szCs w:val="21"/>
                  </w:rPr>
                  <w:t>本期增加</w:t>
                </w:r>
              </w:p>
            </w:tc>
          </w:sdtContent>
        </w:sdt>
        <w:sdt>
          <w:sdtPr>
            <w:rPr>
              <w:szCs w:val="21"/>
            </w:rPr>
            <w:tag w:val="_PLD_845d97dab9324a1b938b3698bf77ae08"/>
            <w:id w:val="103543130"/>
          </w:sdtPr>
          <w:sdtContent>
            <w:tc>
              <w:tcPr>
                <w:tcW w:w="977" w:type="pct"/>
                <w:gridSpan w:val="2"/>
                <w:shd w:val="clear" w:color="auto" w:fill="auto"/>
                <w:vAlign w:val="center"/>
                <w:hideMark/>
              </w:tcPr>
              <w:p>
                <w:pPr>
                  <w:jc w:val="center"/>
                  <w:rPr>
                    <w:szCs w:val="21"/>
                  </w:rPr>
                </w:pPr>
                <w:r>
                  <w:rPr>
                    <w:rFonts w:hint="eastAsia"/>
                    <w:szCs w:val="21"/>
                  </w:rPr>
                  <w:t>本期减少</w:t>
                </w:r>
              </w:p>
            </w:tc>
          </w:sdtContent>
        </w:sdt>
        <w:sdt>
          <w:sdtPr>
            <w:rPr>
              <w:szCs w:val="21"/>
            </w:rPr>
            <w:tag w:val="_PLD_c9583d25c4ef43689e2163e07818032b"/>
            <w:id w:val="1857223505"/>
          </w:sdtPr>
          <w:sdtContent>
            <w:tc>
              <w:tcPr>
                <w:tcW w:w="1016" w:type="pct"/>
                <w:gridSpan w:val="2"/>
                <w:shd w:val="clear" w:color="auto" w:fill="auto"/>
                <w:vAlign w:val="center"/>
                <w:hideMark/>
              </w:tcPr>
              <w:p>
                <w:pPr>
                  <w:jc w:val="center"/>
                  <w:rPr>
                    <w:szCs w:val="21"/>
                  </w:rPr>
                </w:pPr>
                <w:r>
                  <w:rPr>
                    <w:rFonts w:hint="eastAsia"/>
                    <w:szCs w:val="21"/>
                  </w:rPr>
                  <w:t>期末</w:t>
                </w:r>
              </w:p>
            </w:tc>
          </w:sdtContent>
        </w:sdt>
      </w:tr>
      <w:tr>
        <w:trPr>
          <w:trHeight w:val="340"/>
        </w:trPr>
        <w:tc>
          <w:tcPr>
            <w:tcW w:w="977" w:type="pct"/>
            <w:vMerge/>
            <w:shd w:val="clear" w:color="auto" w:fill="auto"/>
            <w:vAlign w:val="center"/>
            <w:hideMark/>
          </w:tcPr>
          <w:p>
            <w:pPr>
              <w:jc w:val="center"/>
              <w:rPr>
                <w:szCs w:val="21"/>
              </w:rPr>
            </w:pPr>
          </w:p>
        </w:tc>
        <w:sdt>
          <w:sdtPr>
            <w:rPr>
              <w:szCs w:val="21"/>
            </w:rPr>
            <w:tag w:val="_PLD_45e61464bc5d4bc892736d90fbe1c1f7"/>
            <w:id w:val="-1006203282"/>
          </w:sdtPr>
          <w:sdtContent>
            <w:tc>
              <w:tcPr>
                <w:tcW w:w="508" w:type="pct"/>
                <w:shd w:val="clear" w:color="auto" w:fill="auto"/>
                <w:vAlign w:val="center"/>
                <w:hideMark/>
              </w:tcPr>
              <w:p>
                <w:pPr>
                  <w:jc w:val="center"/>
                  <w:rPr>
                    <w:szCs w:val="21"/>
                  </w:rPr>
                </w:pPr>
                <w:r>
                  <w:rPr>
                    <w:rFonts w:hint="eastAsia"/>
                    <w:szCs w:val="21"/>
                  </w:rPr>
                  <w:t>数量</w:t>
                </w:r>
              </w:p>
            </w:tc>
          </w:sdtContent>
        </w:sdt>
        <w:sdt>
          <w:sdtPr>
            <w:rPr>
              <w:szCs w:val="21"/>
            </w:rPr>
            <w:tag w:val="_PLD_c4afaacc073244569b1b7834fc03b329"/>
            <w:id w:val="-2091762622"/>
          </w:sdtPr>
          <w:sdtContent>
            <w:tc>
              <w:tcPr>
                <w:tcW w:w="508" w:type="pct"/>
                <w:shd w:val="clear" w:color="auto" w:fill="auto"/>
                <w:vAlign w:val="center"/>
                <w:hideMark/>
              </w:tcPr>
              <w:p>
                <w:pPr>
                  <w:jc w:val="center"/>
                  <w:rPr>
                    <w:szCs w:val="21"/>
                  </w:rPr>
                </w:pPr>
                <w:r>
                  <w:rPr>
                    <w:rFonts w:hint="eastAsia"/>
                    <w:szCs w:val="21"/>
                  </w:rPr>
                  <w:t>账面价值</w:t>
                </w:r>
              </w:p>
            </w:tc>
          </w:sdtContent>
        </w:sdt>
        <w:sdt>
          <w:sdtPr>
            <w:rPr>
              <w:szCs w:val="21"/>
            </w:rPr>
            <w:tag w:val="_PLD_8e1cccc1cb5f4a25bc68efd1b62378b8"/>
            <w:id w:val="-148140963"/>
          </w:sdtPr>
          <w:sdtContent>
            <w:tc>
              <w:tcPr>
                <w:tcW w:w="508" w:type="pct"/>
                <w:shd w:val="clear" w:color="auto" w:fill="auto"/>
                <w:vAlign w:val="center"/>
                <w:hideMark/>
              </w:tcPr>
              <w:p>
                <w:pPr>
                  <w:jc w:val="center"/>
                  <w:rPr>
                    <w:szCs w:val="21"/>
                  </w:rPr>
                </w:pPr>
                <w:r>
                  <w:rPr>
                    <w:rFonts w:hint="eastAsia"/>
                    <w:szCs w:val="21"/>
                  </w:rPr>
                  <w:t>数量</w:t>
                </w:r>
              </w:p>
            </w:tc>
          </w:sdtContent>
        </w:sdt>
        <w:sdt>
          <w:sdtPr>
            <w:rPr>
              <w:szCs w:val="21"/>
            </w:rPr>
            <w:tag w:val="_PLD_ec5a25aac9f64725962e7a8df3cdbe3c"/>
            <w:id w:val="593359945"/>
          </w:sdtPr>
          <w:sdtContent>
            <w:tc>
              <w:tcPr>
                <w:tcW w:w="508" w:type="pct"/>
                <w:shd w:val="clear" w:color="auto" w:fill="auto"/>
                <w:vAlign w:val="center"/>
                <w:hideMark/>
              </w:tcPr>
              <w:p>
                <w:pPr>
                  <w:jc w:val="center"/>
                  <w:rPr>
                    <w:szCs w:val="21"/>
                  </w:rPr>
                </w:pPr>
                <w:r>
                  <w:rPr>
                    <w:rFonts w:hint="eastAsia"/>
                    <w:szCs w:val="21"/>
                  </w:rPr>
                  <w:t>账面价值</w:t>
                </w:r>
              </w:p>
            </w:tc>
          </w:sdtContent>
        </w:sdt>
        <w:sdt>
          <w:sdtPr>
            <w:rPr>
              <w:szCs w:val="21"/>
            </w:rPr>
            <w:tag w:val="_PLD_c73f641ea2f645108a8b82692fa23869"/>
            <w:id w:val="1016663"/>
          </w:sdtPr>
          <w:sdtContent>
            <w:tc>
              <w:tcPr>
                <w:tcW w:w="508" w:type="pct"/>
                <w:shd w:val="clear" w:color="auto" w:fill="auto"/>
                <w:vAlign w:val="center"/>
                <w:hideMark/>
              </w:tcPr>
              <w:p>
                <w:pPr>
                  <w:jc w:val="center"/>
                  <w:rPr>
                    <w:szCs w:val="21"/>
                  </w:rPr>
                </w:pPr>
                <w:r>
                  <w:rPr>
                    <w:rFonts w:hint="eastAsia"/>
                    <w:szCs w:val="21"/>
                  </w:rPr>
                  <w:t>数量</w:t>
                </w:r>
              </w:p>
            </w:tc>
          </w:sdtContent>
        </w:sdt>
        <w:sdt>
          <w:sdtPr>
            <w:rPr>
              <w:szCs w:val="21"/>
            </w:rPr>
            <w:tag w:val="_PLD_78b2601ce135482fad14bd4d88f9655e"/>
            <w:id w:val="266121220"/>
          </w:sdtPr>
          <w:sdtContent>
            <w:tc>
              <w:tcPr>
                <w:tcW w:w="469" w:type="pct"/>
                <w:shd w:val="clear" w:color="auto" w:fill="auto"/>
                <w:vAlign w:val="center"/>
                <w:hideMark/>
              </w:tcPr>
              <w:p>
                <w:pPr>
                  <w:jc w:val="center"/>
                  <w:rPr>
                    <w:szCs w:val="21"/>
                  </w:rPr>
                </w:pPr>
                <w:r>
                  <w:rPr>
                    <w:rFonts w:hint="eastAsia"/>
                    <w:szCs w:val="21"/>
                  </w:rPr>
                  <w:t>账面价值</w:t>
                </w:r>
              </w:p>
            </w:tc>
          </w:sdtContent>
        </w:sdt>
        <w:sdt>
          <w:sdtPr>
            <w:rPr>
              <w:szCs w:val="21"/>
            </w:rPr>
            <w:tag w:val="_PLD_9d6d43395400480f89a8592b018d121c"/>
            <w:id w:val="-199403354"/>
          </w:sdtPr>
          <w:sdtContent>
            <w:tc>
              <w:tcPr>
                <w:tcW w:w="508" w:type="pct"/>
                <w:shd w:val="clear" w:color="auto" w:fill="auto"/>
                <w:vAlign w:val="center"/>
                <w:hideMark/>
              </w:tcPr>
              <w:p>
                <w:pPr>
                  <w:jc w:val="center"/>
                  <w:rPr>
                    <w:szCs w:val="21"/>
                  </w:rPr>
                </w:pPr>
                <w:r>
                  <w:rPr>
                    <w:rFonts w:hint="eastAsia"/>
                    <w:szCs w:val="21"/>
                  </w:rPr>
                  <w:t>数量</w:t>
                </w:r>
              </w:p>
            </w:tc>
          </w:sdtContent>
        </w:sdt>
        <w:sdt>
          <w:sdtPr>
            <w:rPr>
              <w:szCs w:val="21"/>
            </w:rPr>
            <w:tag w:val="_PLD_a754aae4328d42e5bc9c79faf2a1547c"/>
            <w:id w:val="884300334"/>
          </w:sdtPr>
          <w:sdtContent>
            <w:tc>
              <w:tcPr>
                <w:tcW w:w="508" w:type="pct"/>
                <w:shd w:val="clear" w:color="auto" w:fill="auto"/>
                <w:vAlign w:val="center"/>
                <w:hideMark/>
              </w:tcPr>
              <w:p>
                <w:pPr>
                  <w:jc w:val="center"/>
                  <w:rPr>
                    <w:szCs w:val="21"/>
                  </w:rPr>
                </w:pPr>
                <w:r>
                  <w:rPr>
                    <w:rFonts w:hint="eastAsia"/>
                    <w:szCs w:val="21"/>
                  </w:rPr>
                  <w:t>账面价值</w:t>
                </w:r>
              </w:p>
            </w:tc>
          </w:sdtContent>
        </w:sdt>
      </w:tr>
      <w:tr>
        <w:trPr>
          <w:trHeight w:val="340"/>
        </w:trPr>
        <w:tc>
          <w:tcPr>
            <w:tcW w:w="977" w:type="pct"/>
            <w:shd w:val="clear" w:color="auto" w:fill="auto"/>
            <w:vAlign w:val="center"/>
          </w:tcPr>
          <w:p>
            <w:pPr>
              <w:pStyle w:val="affffffffffffffffffffffffffffffffe"/>
              <w:rPr>
                <w:szCs w:val="21"/>
              </w:rPr>
            </w:pPr>
            <w:r>
              <w:rPr>
                <w:szCs w:val="21"/>
              </w:rPr>
              <w:t>21兖煤Y2</w:t>
            </w:r>
          </w:p>
        </w:tc>
        <w:tc>
          <w:tcPr>
            <w:tcW w:w="508" w:type="pct"/>
            <w:shd w:val="clear" w:color="auto" w:fill="auto"/>
            <w:vAlign w:val="center"/>
          </w:tcPr>
          <w:p>
            <w:pPr>
              <w:jc w:val="right"/>
              <w:rPr>
                <w:szCs w:val="21"/>
              </w:rPr>
            </w:pPr>
            <w:r>
              <w:rPr>
                <w:szCs w:val="21"/>
              </w:rPr>
              <w:t>33,000,000</w:t>
            </w:r>
          </w:p>
        </w:tc>
        <w:tc>
          <w:tcPr>
            <w:tcW w:w="508" w:type="pct"/>
            <w:shd w:val="clear" w:color="auto" w:fill="auto"/>
            <w:vAlign w:val="center"/>
          </w:tcPr>
          <w:p>
            <w:pPr>
              <w:jc w:val="right"/>
              <w:rPr>
                <w:szCs w:val="21"/>
              </w:rPr>
            </w:pPr>
            <w:r>
              <w:rPr>
                <w:szCs w:val="21"/>
              </w:rPr>
              <w:t>3,293,070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33,000,000</w:t>
            </w:r>
          </w:p>
        </w:tc>
        <w:tc>
          <w:tcPr>
            <w:tcW w:w="469" w:type="pct"/>
            <w:shd w:val="clear" w:color="auto" w:fill="auto"/>
            <w:vAlign w:val="center"/>
          </w:tcPr>
          <w:p>
            <w:pPr>
              <w:jc w:val="right"/>
              <w:rPr>
                <w:szCs w:val="21"/>
              </w:rPr>
            </w:pPr>
            <w:r>
              <w:rPr>
                <w:szCs w:val="21"/>
              </w:rPr>
              <w:t>3,293,070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r>
      <w:tr>
        <w:trPr>
          <w:trHeight w:val="340"/>
        </w:trPr>
        <w:tc>
          <w:tcPr>
            <w:tcW w:w="977" w:type="pct"/>
            <w:shd w:val="clear" w:color="auto" w:fill="auto"/>
            <w:vAlign w:val="center"/>
          </w:tcPr>
          <w:p>
            <w:pPr>
              <w:pStyle w:val="affffffffffffffffffffffffffffffffe"/>
              <w:rPr>
                <w:szCs w:val="21"/>
              </w:rPr>
            </w:pPr>
            <w:r>
              <w:rPr>
                <w:szCs w:val="21"/>
              </w:rPr>
              <w:t>21兖煤Y4</w:t>
            </w:r>
          </w:p>
        </w:tc>
        <w:tc>
          <w:tcPr>
            <w:tcW w:w="508" w:type="pct"/>
            <w:shd w:val="clear" w:color="auto" w:fill="auto"/>
            <w:vAlign w:val="center"/>
          </w:tcPr>
          <w:p>
            <w:pPr>
              <w:jc w:val="right"/>
              <w:rPr>
                <w:szCs w:val="21"/>
              </w:rPr>
            </w:pPr>
            <w:r>
              <w:rPr>
                <w:szCs w:val="21"/>
              </w:rPr>
              <w:t>10,000,000</w:t>
            </w:r>
          </w:p>
        </w:tc>
        <w:tc>
          <w:tcPr>
            <w:tcW w:w="508" w:type="pct"/>
            <w:shd w:val="clear" w:color="auto" w:fill="auto"/>
            <w:vAlign w:val="center"/>
          </w:tcPr>
          <w:p>
            <w:pPr>
              <w:jc w:val="right"/>
              <w:rPr>
                <w:szCs w:val="21"/>
              </w:rPr>
            </w:pPr>
            <w:r>
              <w:rPr>
                <w:szCs w:val="21"/>
              </w:rPr>
              <w:t>998,200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10,000,000</w:t>
            </w:r>
          </w:p>
        </w:tc>
        <w:tc>
          <w:tcPr>
            <w:tcW w:w="469" w:type="pct"/>
            <w:shd w:val="clear" w:color="auto" w:fill="auto"/>
            <w:vAlign w:val="center"/>
          </w:tcPr>
          <w:p>
            <w:pPr>
              <w:jc w:val="right"/>
              <w:rPr>
                <w:szCs w:val="21"/>
              </w:rPr>
            </w:pPr>
            <w:r>
              <w:rPr>
                <w:szCs w:val="21"/>
              </w:rPr>
              <w:t>998,200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r>
      <w:tr>
        <w:trPr>
          <w:trHeight w:val="340"/>
        </w:trPr>
        <w:tc>
          <w:tcPr>
            <w:tcW w:w="977" w:type="pct"/>
            <w:shd w:val="clear" w:color="auto" w:fill="auto"/>
            <w:vAlign w:val="center"/>
          </w:tcPr>
          <w:p>
            <w:pPr>
              <w:pStyle w:val="affffffffffffffffffffffffffffffffe"/>
              <w:rPr>
                <w:szCs w:val="21"/>
              </w:rPr>
            </w:pPr>
            <w:r>
              <w:rPr>
                <w:szCs w:val="21"/>
              </w:rPr>
              <w:t>22兖矿能源MTN002</w:t>
            </w: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1,996,400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1,996,400</w:t>
            </w:r>
          </w:p>
        </w:tc>
      </w:tr>
      <w:tr>
        <w:trPr>
          <w:trHeight w:val="340"/>
        </w:trPr>
        <w:tc>
          <w:tcPr>
            <w:tcW w:w="977" w:type="pct"/>
            <w:shd w:val="clear" w:color="auto" w:fill="auto"/>
            <w:vAlign w:val="center"/>
          </w:tcPr>
          <w:p>
            <w:pPr>
              <w:pStyle w:val="affffffffffffffffffffffffffffffffe"/>
              <w:rPr>
                <w:szCs w:val="21"/>
              </w:rPr>
            </w:pPr>
            <w:r>
              <w:rPr>
                <w:szCs w:val="21"/>
              </w:rPr>
              <w:t>21兖州煤业MTN002</w:t>
            </w: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1,996,400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469" w:type="pct"/>
            <w:shd w:val="clear" w:color="auto" w:fill="auto"/>
            <w:vAlign w:val="center"/>
          </w:tcPr>
          <w:p>
            <w:pPr>
              <w:jc w:val="right"/>
              <w:rPr>
                <w:szCs w:val="21"/>
              </w:rPr>
            </w:pPr>
            <w:r>
              <w:rPr>
                <w:szCs w:val="21"/>
              </w:rPr>
              <w:t>1,996,400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r>
      <w:tr>
        <w:trPr>
          <w:trHeight w:val="340"/>
        </w:trPr>
        <w:tc>
          <w:tcPr>
            <w:tcW w:w="977" w:type="pct"/>
            <w:shd w:val="clear" w:color="auto" w:fill="auto"/>
            <w:vAlign w:val="center"/>
          </w:tcPr>
          <w:p>
            <w:pPr>
              <w:pStyle w:val="affffffffffffffffffffffffffffffffe"/>
              <w:rPr>
                <w:szCs w:val="21"/>
              </w:rPr>
            </w:pPr>
            <w:r>
              <w:rPr>
                <w:szCs w:val="21"/>
              </w:rPr>
              <w:lastRenderedPageBreak/>
              <w:t>22兖矿能源MTN001A</w:t>
            </w:r>
          </w:p>
        </w:tc>
        <w:tc>
          <w:tcPr>
            <w:tcW w:w="508" w:type="pct"/>
            <w:shd w:val="clear" w:color="auto" w:fill="auto"/>
            <w:vAlign w:val="center"/>
          </w:tcPr>
          <w:p>
            <w:pPr>
              <w:jc w:val="right"/>
              <w:rPr>
                <w:szCs w:val="21"/>
              </w:rPr>
            </w:pPr>
            <w:r>
              <w:rPr>
                <w:szCs w:val="21"/>
              </w:rPr>
              <w:t>25,000,000</w:t>
            </w:r>
          </w:p>
        </w:tc>
        <w:tc>
          <w:tcPr>
            <w:tcW w:w="508" w:type="pct"/>
            <w:shd w:val="clear" w:color="auto" w:fill="auto"/>
            <w:vAlign w:val="center"/>
          </w:tcPr>
          <w:p>
            <w:pPr>
              <w:jc w:val="right"/>
              <w:rPr>
                <w:szCs w:val="21"/>
              </w:rPr>
            </w:pPr>
            <w:r>
              <w:rPr>
                <w:szCs w:val="21"/>
              </w:rPr>
              <w:t>2,495,500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25,000,000</w:t>
            </w:r>
          </w:p>
        </w:tc>
        <w:tc>
          <w:tcPr>
            <w:tcW w:w="508" w:type="pct"/>
            <w:shd w:val="clear" w:color="auto" w:fill="auto"/>
            <w:vAlign w:val="center"/>
          </w:tcPr>
          <w:p>
            <w:pPr>
              <w:jc w:val="right"/>
              <w:rPr>
                <w:szCs w:val="21"/>
              </w:rPr>
            </w:pPr>
            <w:r>
              <w:rPr>
                <w:szCs w:val="21"/>
              </w:rPr>
              <w:t>2,495,500</w:t>
            </w:r>
          </w:p>
        </w:tc>
      </w:tr>
      <w:tr>
        <w:trPr>
          <w:trHeight w:val="340"/>
        </w:trPr>
        <w:tc>
          <w:tcPr>
            <w:tcW w:w="977" w:type="pct"/>
            <w:shd w:val="clear" w:color="auto" w:fill="auto"/>
            <w:vAlign w:val="center"/>
          </w:tcPr>
          <w:p>
            <w:pPr>
              <w:pStyle w:val="affffffffffffffffffffffffffffffffe"/>
              <w:rPr>
                <w:szCs w:val="21"/>
              </w:rPr>
            </w:pPr>
            <w:r>
              <w:rPr>
                <w:szCs w:val="21"/>
              </w:rPr>
              <w:t>22兖矿能源MTN001B</w:t>
            </w:r>
          </w:p>
        </w:tc>
        <w:tc>
          <w:tcPr>
            <w:tcW w:w="508" w:type="pct"/>
            <w:shd w:val="clear" w:color="auto" w:fill="auto"/>
            <w:vAlign w:val="center"/>
          </w:tcPr>
          <w:p>
            <w:pPr>
              <w:jc w:val="right"/>
              <w:rPr>
                <w:szCs w:val="21"/>
              </w:rPr>
            </w:pPr>
            <w:r>
              <w:rPr>
                <w:szCs w:val="21"/>
              </w:rPr>
              <w:t>5,000,000</w:t>
            </w:r>
          </w:p>
        </w:tc>
        <w:tc>
          <w:tcPr>
            <w:tcW w:w="508" w:type="pct"/>
            <w:shd w:val="clear" w:color="auto" w:fill="auto"/>
            <w:vAlign w:val="center"/>
          </w:tcPr>
          <w:p>
            <w:pPr>
              <w:jc w:val="right"/>
              <w:rPr>
                <w:szCs w:val="21"/>
              </w:rPr>
            </w:pPr>
            <w:r>
              <w:rPr>
                <w:szCs w:val="21"/>
              </w:rPr>
              <w:t>498,500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5,000,000</w:t>
            </w:r>
          </w:p>
        </w:tc>
        <w:tc>
          <w:tcPr>
            <w:tcW w:w="508" w:type="pct"/>
            <w:shd w:val="clear" w:color="auto" w:fill="auto"/>
            <w:vAlign w:val="center"/>
          </w:tcPr>
          <w:p>
            <w:pPr>
              <w:jc w:val="right"/>
              <w:rPr>
                <w:szCs w:val="21"/>
              </w:rPr>
            </w:pPr>
            <w:r>
              <w:rPr>
                <w:szCs w:val="21"/>
              </w:rPr>
              <w:t>498,500</w:t>
            </w:r>
          </w:p>
        </w:tc>
      </w:tr>
      <w:tr>
        <w:trPr>
          <w:trHeight w:val="340"/>
        </w:trPr>
        <w:tc>
          <w:tcPr>
            <w:tcW w:w="977" w:type="pct"/>
            <w:shd w:val="clear" w:color="auto" w:fill="auto"/>
            <w:vAlign w:val="center"/>
          </w:tcPr>
          <w:p>
            <w:pPr>
              <w:pStyle w:val="affffffffffffffffffffffffffffffffe"/>
              <w:rPr>
                <w:szCs w:val="21"/>
              </w:rPr>
            </w:pPr>
            <w:r>
              <w:rPr>
                <w:szCs w:val="21"/>
              </w:rPr>
              <w:t>23兖矿能源MTN001</w:t>
            </w: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1,999,200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1,999,200</w:t>
            </w:r>
          </w:p>
        </w:tc>
      </w:tr>
      <w:tr>
        <w:trPr>
          <w:trHeight w:val="340"/>
        </w:trPr>
        <w:tc>
          <w:tcPr>
            <w:tcW w:w="977" w:type="pct"/>
            <w:shd w:val="clear" w:color="auto" w:fill="auto"/>
            <w:vAlign w:val="center"/>
          </w:tcPr>
          <w:p>
            <w:pPr>
              <w:pStyle w:val="affffffffffffffffffffffffffffffffe"/>
              <w:rPr>
                <w:szCs w:val="21"/>
              </w:rPr>
            </w:pPr>
            <w:r>
              <w:rPr>
                <w:szCs w:val="21"/>
              </w:rPr>
              <w:t>23兖矿能源MTN002</w:t>
            </w: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2,998,800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2,998,800</w:t>
            </w:r>
          </w:p>
        </w:tc>
      </w:tr>
      <w:tr>
        <w:trPr>
          <w:trHeight w:val="340"/>
        </w:trPr>
        <w:tc>
          <w:tcPr>
            <w:tcW w:w="977" w:type="pct"/>
            <w:shd w:val="clear" w:color="auto" w:fill="auto"/>
            <w:vAlign w:val="center"/>
          </w:tcPr>
          <w:p>
            <w:pPr>
              <w:pStyle w:val="affffffffffffffffffffffffffffffffe"/>
              <w:rPr>
                <w:szCs w:val="21"/>
              </w:rPr>
            </w:pPr>
            <w:r>
              <w:rPr>
                <w:szCs w:val="21"/>
              </w:rPr>
              <w:t>24兖矿能源MTN001</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3,000,000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3,000,000</w:t>
            </w:r>
          </w:p>
        </w:tc>
      </w:tr>
      <w:tr>
        <w:trPr>
          <w:trHeight w:val="340"/>
        </w:trPr>
        <w:tc>
          <w:tcPr>
            <w:tcW w:w="977" w:type="pct"/>
            <w:shd w:val="clear" w:color="auto" w:fill="auto"/>
            <w:vAlign w:val="center"/>
          </w:tcPr>
          <w:p>
            <w:pPr>
              <w:pStyle w:val="affffffffffffffffffffffffffffffffe"/>
              <w:rPr>
                <w:szCs w:val="21"/>
              </w:rPr>
            </w:pPr>
            <w:r>
              <w:rPr>
                <w:szCs w:val="21"/>
              </w:rPr>
              <w:t>24兖矿能源KY01</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3,000,000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30,000,000</w:t>
            </w:r>
          </w:p>
        </w:tc>
        <w:tc>
          <w:tcPr>
            <w:tcW w:w="508" w:type="pct"/>
            <w:shd w:val="clear" w:color="auto" w:fill="auto"/>
            <w:vAlign w:val="center"/>
          </w:tcPr>
          <w:p>
            <w:pPr>
              <w:jc w:val="right"/>
              <w:rPr>
                <w:szCs w:val="21"/>
              </w:rPr>
            </w:pPr>
            <w:r>
              <w:rPr>
                <w:szCs w:val="21"/>
              </w:rPr>
              <w:t>3,000,000</w:t>
            </w:r>
          </w:p>
        </w:tc>
      </w:tr>
      <w:tr>
        <w:trPr>
          <w:trHeight w:val="340"/>
        </w:trPr>
        <w:tc>
          <w:tcPr>
            <w:tcW w:w="977" w:type="pct"/>
            <w:shd w:val="clear" w:color="auto" w:fill="auto"/>
            <w:vAlign w:val="center"/>
          </w:tcPr>
          <w:p>
            <w:pPr>
              <w:pStyle w:val="affffffffffffffffffffffffffffffffe"/>
              <w:rPr>
                <w:szCs w:val="21"/>
              </w:rPr>
            </w:pPr>
            <w:r>
              <w:rPr>
                <w:szCs w:val="21"/>
              </w:rPr>
              <w:t>24兖矿能源KY02</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2,000,000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2,000,000</w:t>
            </w:r>
          </w:p>
        </w:tc>
      </w:tr>
      <w:tr>
        <w:trPr>
          <w:trHeight w:val="340"/>
        </w:trPr>
        <w:tc>
          <w:tcPr>
            <w:tcW w:w="977" w:type="pct"/>
            <w:shd w:val="clear" w:color="auto" w:fill="auto"/>
            <w:vAlign w:val="center"/>
          </w:tcPr>
          <w:p>
            <w:pPr>
              <w:pStyle w:val="affffffffffffffffffffffffffffffffe"/>
              <w:rPr>
                <w:szCs w:val="21"/>
              </w:rPr>
            </w:pPr>
            <w:r>
              <w:rPr>
                <w:szCs w:val="21"/>
              </w:rPr>
              <w:t>24兖矿能源MTN002</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15,000,000</w:t>
            </w:r>
          </w:p>
        </w:tc>
        <w:tc>
          <w:tcPr>
            <w:tcW w:w="508" w:type="pct"/>
            <w:shd w:val="clear" w:color="auto" w:fill="auto"/>
            <w:vAlign w:val="center"/>
          </w:tcPr>
          <w:p>
            <w:pPr>
              <w:jc w:val="right"/>
              <w:rPr>
                <w:szCs w:val="21"/>
              </w:rPr>
            </w:pPr>
            <w:r>
              <w:rPr>
                <w:szCs w:val="21"/>
              </w:rPr>
              <w:t>1,500,000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15,000,000</w:t>
            </w:r>
          </w:p>
        </w:tc>
        <w:tc>
          <w:tcPr>
            <w:tcW w:w="508" w:type="pct"/>
            <w:shd w:val="clear" w:color="auto" w:fill="auto"/>
            <w:vAlign w:val="center"/>
          </w:tcPr>
          <w:p>
            <w:pPr>
              <w:jc w:val="right"/>
              <w:rPr>
                <w:szCs w:val="21"/>
              </w:rPr>
            </w:pPr>
            <w:r>
              <w:rPr>
                <w:szCs w:val="21"/>
              </w:rPr>
              <w:t>1,500,000</w:t>
            </w:r>
          </w:p>
        </w:tc>
      </w:tr>
      <w:tr>
        <w:trPr>
          <w:trHeight w:val="340"/>
        </w:trPr>
        <w:tc>
          <w:tcPr>
            <w:tcW w:w="977" w:type="pct"/>
            <w:shd w:val="clear" w:color="auto" w:fill="auto"/>
            <w:vAlign w:val="center"/>
          </w:tcPr>
          <w:p>
            <w:pPr>
              <w:pStyle w:val="affffffffffffffffffffffffffffffffe"/>
              <w:rPr>
                <w:szCs w:val="21"/>
              </w:rPr>
            </w:pPr>
            <w:r>
              <w:rPr>
                <w:szCs w:val="21"/>
              </w:rPr>
              <w:t>24兖矿能源MTNO03</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15,000,000</w:t>
            </w:r>
          </w:p>
        </w:tc>
        <w:tc>
          <w:tcPr>
            <w:tcW w:w="508" w:type="pct"/>
            <w:shd w:val="clear" w:color="auto" w:fill="auto"/>
            <w:vAlign w:val="center"/>
          </w:tcPr>
          <w:p>
            <w:pPr>
              <w:jc w:val="right"/>
              <w:rPr>
                <w:szCs w:val="21"/>
              </w:rPr>
            </w:pPr>
            <w:r>
              <w:rPr>
                <w:szCs w:val="21"/>
              </w:rPr>
              <w:t>1,500,000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15,000,000</w:t>
            </w:r>
          </w:p>
        </w:tc>
        <w:tc>
          <w:tcPr>
            <w:tcW w:w="508" w:type="pct"/>
            <w:shd w:val="clear" w:color="auto" w:fill="auto"/>
            <w:vAlign w:val="center"/>
          </w:tcPr>
          <w:p>
            <w:pPr>
              <w:jc w:val="right"/>
              <w:rPr>
                <w:szCs w:val="21"/>
              </w:rPr>
            </w:pPr>
            <w:r>
              <w:rPr>
                <w:szCs w:val="21"/>
              </w:rPr>
              <w:t>1,500,000</w:t>
            </w:r>
          </w:p>
        </w:tc>
      </w:tr>
      <w:tr>
        <w:trPr>
          <w:trHeight w:val="340"/>
        </w:trPr>
        <w:tc>
          <w:tcPr>
            <w:tcW w:w="977" w:type="pct"/>
            <w:shd w:val="clear" w:color="auto" w:fill="auto"/>
            <w:vAlign w:val="center"/>
          </w:tcPr>
          <w:p>
            <w:pPr>
              <w:pStyle w:val="affffffffffffffffffffffffffffffffe"/>
              <w:rPr>
                <w:szCs w:val="21"/>
              </w:rPr>
            </w:pPr>
            <w:r>
              <w:rPr>
                <w:szCs w:val="21"/>
              </w:rPr>
              <w:t>24兖矿能源MTNO04</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2,000,000</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20,000,000</w:t>
            </w:r>
          </w:p>
        </w:tc>
        <w:tc>
          <w:tcPr>
            <w:tcW w:w="508" w:type="pct"/>
            <w:shd w:val="clear" w:color="auto" w:fill="auto"/>
            <w:vAlign w:val="center"/>
          </w:tcPr>
          <w:p>
            <w:pPr>
              <w:jc w:val="right"/>
              <w:rPr>
                <w:szCs w:val="21"/>
              </w:rPr>
            </w:pPr>
            <w:r>
              <w:rPr>
                <w:szCs w:val="21"/>
              </w:rPr>
              <w:t>2,000,000</w:t>
            </w:r>
          </w:p>
        </w:tc>
      </w:tr>
      <w:tr>
        <w:trPr>
          <w:trHeight w:val="340"/>
        </w:trPr>
        <w:tc>
          <w:tcPr>
            <w:tcW w:w="977" w:type="pct"/>
            <w:shd w:val="clear" w:color="auto" w:fill="auto"/>
            <w:vAlign w:val="center"/>
          </w:tcPr>
          <w:p>
            <w:pPr>
              <w:pStyle w:val="affffffffffffffffffffffffffffffffe"/>
              <w:rPr>
                <w:szCs w:val="21"/>
              </w:rPr>
            </w:pPr>
            <w:r>
              <w:rPr>
                <w:szCs w:val="21"/>
              </w:rPr>
              <w:t>计提永续债利息</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265,707</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631,864</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r>
              <w:rPr>
                <w:szCs w:val="21"/>
              </w:rPr>
              <w:t>618,750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278,821</w:t>
            </w:r>
          </w:p>
        </w:tc>
      </w:tr>
      <w:tr>
        <w:trPr>
          <w:trHeight w:val="340"/>
        </w:trPr>
        <w:tc>
          <w:tcPr>
            <w:tcW w:w="977" w:type="pct"/>
            <w:shd w:val="clear" w:color="auto" w:fill="auto"/>
            <w:vAlign w:val="center"/>
            <w:hideMark/>
          </w:tcPr>
          <w:p>
            <w:pPr>
              <w:jc w:val="center"/>
              <w:rPr>
                <w:szCs w:val="21"/>
              </w:rPr>
            </w:pPr>
            <w:r>
              <w:rPr>
                <w:rFonts w:hint="eastAsia"/>
                <w:szCs w:val="21"/>
              </w:rPr>
              <w:t>合计</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16,541,777</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13,631,864</w:t>
            </w:r>
          </w:p>
        </w:tc>
        <w:tc>
          <w:tcPr>
            <w:tcW w:w="508" w:type="pct"/>
            <w:shd w:val="clear" w:color="auto" w:fill="auto"/>
            <w:vAlign w:val="center"/>
          </w:tcPr>
          <w:p>
            <w:pPr>
              <w:jc w:val="right"/>
              <w:rPr>
                <w:szCs w:val="21"/>
              </w:rPr>
            </w:pPr>
          </w:p>
        </w:tc>
        <w:tc>
          <w:tcPr>
            <w:tcW w:w="469" w:type="pct"/>
            <w:shd w:val="clear" w:color="auto" w:fill="auto"/>
            <w:vAlign w:val="center"/>
          </w:tcPr>
          <w:p>
            <w:pPr>
              <w:jc w:val="right"/>
              <w:rPr>
                <w:szCs w:val="21"/>
              </w:rPr>
            </w:pPr>
            <w:r>
              <w:rPr>
                <w:szCs w:val="21"/>
              </w:rPr>
              <w:t>6,906,420</w:t>
            </w:r>
          </w:p>
        </w:tc>
        <w:tc>
          <w:tcPr>
            <w:tcW w:w="508" w:type="pct"/>
            <w:shd w:val="clear" w:color="auto" w:fill="auto"/>
            <w:vAlign w:val="center"/>
          </w:tcPr>
          <w:p>
            <w:pPr>
              <w:jc w:val="right"/>
              <w:rPr>
                <w:szCs w:val="21"/>
              </w:rPr>
            </w:pPr>
          </w:p>
        </w:tc>
        <w:tc>
          <w:tcPr>
            <w:tcW w:w="508" w:type="pct"/>
            <w:shd w:val="clear" w:color="auto" w:fill="auto"/>
            <w:vAlign w:val="center"/>
          </w:tcPr>
          <w:p>
            <w:pPr>
              <w:jc w:val="right"/>
              <w:rPr>
                <w:szCs w:val="21"/>
              </w:rPr>
            </w:pPr>
            <w:r>
              <w:rPr>
                <w:szCs w:val="21"/>
              </w:rPr>
              <w:t>23,267,221</w:t>
            </w:r>
          </w:p>
        </w:tc>
      </w:tr>
    </w:tbl>
    <w:p>
      <w:pPr>
        <w:pStyle w:val="affffffffffffffffffffffffffffffffe"/>
        <w:rPr>
          <w:szCs w:val="21"/>
        </w:rPr>
      </w:pPr>
    </w:p>
    <w:p>
      <w:pPr>
        <w:rPr>
          <w:szCs w:val="21"/>
        </w:rPr>
      </w:pPr>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609512678"/>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465"/>
    <w:p>
      <w:pPr>
        <w:rPr>
          <w:szCs w:val="21"/>
        </w:rPr>
      </w:pPr>
    </w:p>
    <w:p>
      <w:pPr>
        <w:rPr>
          <w:szCs w:val="21"/>
        </w:rPr>
      </w:pPr>
      <w:bookmarkStart w:id="466" w:name="_Hlk89785124"/>
      <w:r>
        <w:rPr>
          <w:rFonts w:hint="eastAsia"/>
          <w:szCs w:val="21"/>
        </w:rPr>
        <w:t>其他说明：</w:t>
      </w:r>
    </w:p>
    <w:sdt>
      <w:sdtPr>
        <w:rPr>
          <w:szCs w:val="21"/>
        </w:rPr>
        <w:alias w:val="是否适用：其他权益工具的其他说明[双击切换]"/>
        <w:tag w:val="_GBC_af2e32ae9c704175a99ebad592dec5f2"/>
        <w:id w:val="-165336695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权益工具的其他说明"/>
        <w:tag w:val="_GBC_95c132dcbe164594a72f95ef17c3b3a2"/>
        <w:id w:val="-819733552"/>
        <w:placeholder>
          <w:docPart w:val="GBC22222222222222222222222222222"/>
        </w:placeholder>
      </w:sdtPr>
      <w:sdtContent>
        <w:p>
          <w:pPr>
            <w:spacing w:afterLines="50" w:after="156" w:line="360" w:lineRule="exact"/>
            <w:ind w:firstLineChars="200" w:firstLine="420"/>
            <w:rPr>
              <w:szCs w:val="21"/>
            </w:rPr>
          </w:pPr>
          <w:r>
            <w:rPr>
              <w:rFonts w:hint="eastAsia"/>
              <w:szCs w:val="21"/>
            </w:rPr>
            <w:t>注1：本集团于2021年6月21日发行2021年可续期公司债券品种二（债券简称：21兖煤Y2)，总金额为3,300,000千元，扣除发行费用，实际募集资金3,293,070千元，此工具无固定偿还期限。本集团于2024年6月24日兑付中信银行永续债（21兖煤Y2）本息。</w:t>
          </w:r>
        </w:p>
        <w:p>
          <w:pPr>
            <w:spacing w:afterLines="50" w:after="156" w:line="360" w:lineRule="exact"/>
            <w:ind w:firstLineChars="200" w:firstLine="420"/>
            <w:rPr>
              <w:szCs w:val="21"/>
            </w:rPr>
          </w:pPr>
          <w:r>
            <w:rPr>
              <w:rFonts w:hint="eastAsia"/>
              <w:szCs w:val="21"/>
            </w:rPr>
            <w:lastRenderedPageBreak/>
            <w:t>注2：本集团于2021年8月19日发行兖矿能源股份有限公司公开发行2021年可续期公司债券品种四（债券简称：21兖煤Y4)，总金额为1,000,000千元，扣除发行费用，实际募集资金998,200千元，此工具无固定偿还期限。本集团于2024年8月20日兑付中信银行永续债（21兖煤Y4）本息。</w:t>
          </w:r>
        </w:p>
        <w:p>
          <w:pPr>
            <w:spacing w:afterLines="50" w:after="156" w:line="360" w:lineRule="exact"/>
            <w:ind w:firstLineChars="200" w:firstLine="420"/>
            <w:rPr>
              <w:szCs w:val="21"/>
            </w:rPr>
          </w:pPr>
          <w:r>
            <w:rPr>
              <w:rFonts w:hint="eastAsia"/>
              <w:szCs w:val="21"/>
            </w:rPr>
            <w:t xml:space="preserve">注3：本集团于2022年6月8日发行兖矿能源集团股份有限公司2022年度第二期中期票据（债券简称：22兖矿能源MTN002），总金额为2,000,000千元，扣除发行费用，实际募集资金1,996,400千元，此工具无固定偿还期限。本集团本年按照3.30%的利率向债券购买人支付利息。 </w:t>
          </w:r>
        </w:p>
        <w:p>
          <w:pPr>
            <w:spacing w:afterLines="50" w:after="156" w:line="360" w:lineRule="exact"/>
            <w:ind w:firstLineChars="200" w:firstLine="420"/>
            <w:rPr>
              <w:szCs w:val="21"/>
            </w:rPr>
          </w:pPr>
          <w:r>
            <w:rPr>
              <w:rFonts w:hint="eastAsia"/>
              <w:szCs w:val="21"/>
            </w:rPr>
            <w:t>注4：本集团于2021年11月24日发行2021年度第二期中期票据，总金额为2,000,000千元人民币，扣除发行费用，实际募集资金1,996,400千元，此工具无固定偿还期限。本集团于2024年11月26日兑付招商银行永续债（21兖州煤业MTN002）本息。</w:t>
          </w:r>
        </w:p>
        <w:p>
          <w:pPr>
            <w:spacing w:afterLines="50" w:after="156" w:line="360" w:lineRule="exact"/>
            <w:ind w:firstLineChars="200" w:firstLine="420"/>
            <w:rPr>
              <w:szCs w:val="21"/>
            </w:rPr>
          </w:pPr>
          <w:r>
            <w:rPr>
              <w:rFonts w:hint="eastAsia"/>
              <w:szCs w:val="21"/>
            </w:rPr>
            <w:t xml:space="preserve">注5：本集团于2022年5月18日发行兖矿能源集团股份有限公司2022年度第一期中期票据（品种一）（债券简称：22兖矿能源MTN001A)，总金额为2,500,000千元，扣除发行费用，实际募集资2,495,500千元，此工具无固定偿还期限。本集团本年按照3.28％的利率向债券购买人支付利息。 </w:t>
          </w:r>
        </w:p>
        <w:p>
          <w:pPr>
            <w:spacing w:afterLines="50" w:after="156" w:line="360" w:lineRule="exact"/>
            <w:ind w:firstLineChars="200" w:firstLine="420"/>
            <w:rPr>
              <w:szCs w:val="21"/>
            </w:rPr>
          </w:pPr>
          <w:r>
            <w:rPr>
              <w:rFonts w:hint="eastAsia"/>
              <w:szCs w:val="21"/>
            </w:rPr>
            <w:t xml:space="preserve">注6：本集团2022年5月18日发行兖矿能源集团股份有限公司2022年度第一期中期票据（品种二）（债券简称：22兖矿能源MTN001B)，总金额为500,000千元，扣除发行费用，实际募集资金498,500千元，此工具无固定偿还期限。本集团本年按照3.71％的利率向债券购买人支付利息。 </w:t>
          </w:r>
        </w:p>
        <w:p>
          <w:pPr>
            <w:spacing w:afterLines="50" w:after="156" w:line="360" w:lineRule="exact"/>
            <w:ind w:firstLineChars="200" w:firstLine="420"/>
            <w:rPr>
              <w:szCs w:val="21"/>
            </w:rPr>
          </w:pPr>
          <w:r>
            <w:rPr>
              <w:rFonts w:hint="eastAsia"/>
              <w:szCs w:val="21"/>
            </w:rPr>
            <w:t xml:space="preserve">注7：本集团于2023年10月19日发行2023年度第一期中期票据（债券简称：23兖矿能源MTN001），总金额为2,000,000千元人民币，扣除发行费用，实际募集资金1,999,200千元，此工具无固定偿还期限。本集团本年按照3.40％的利率向债券购买人支付利息。 </w:t>
          </w:r>
        </w:p>
        <w:p>
          <w:pPr>
            <w:spacing w:afterLines="50" w:after="156" w:line="360" w:lineRule="exact"/>
            <w:ind w:firstLineChars="200" w:firstLine="420"/>
            <w:rPr>
              <w:szCs w:val="21"/>
            </w:rPr>
          </w:pPr>
          <w:r>
            <w:rPr>
              <w:rFonts w:hint="eastAsia"/>
              <w:szCs w:val="21"/>
            </w:rPr>
            <w:t>注8：本集团于2023年11月21日发行2023年度第二期中期票据（债券简称：23兖矿能源MTN002），总金额为3,000,000千元人民币，扣除发行费用，实际募集资金2,998,800千元，此工具无固定偿还期限。本集团本年按照3.16％的利率向债券购买人支付利息。</w:t>
          </w:r>
        </w:p>
        <w:p>
          <w:pPr>
            <w:spacing w:afterLines="50" w:after="156" w:line="360" w:lineRule="exact"/>
            <w:ind w:firstLineChars="200" w:firstLine="420"/>
            <w:rPr>
              <w:szCs w:val="21"/>
            </w:rPr>
          </w:pPr>
          <w:r>
            <w:rPr>
              <w:rFonts w:hint="eastAsia"/>
              <w:szCs w:val="21"/>
            </w:rPr>
            <w:t>注9：本集团于2024年2月2日发行2024年度第一期中期票据（科创票据）（债券简称：24兖矿能源MTN001），总金额30,000,000千元人民币，扣除发行费用，实际募集资金2,998,800千元，此工具无固定偿还期限。本集团本年按照2.85%的利率向债券购买人支付利息。</w:t>
          </w:r>
        </w:p>
        <w:p>
          <w:pPr>
            <w:spacing w:afterLines="50" w:after="156" w:line="360" w:lineRule="exact"/>
            <w:ind w:firstLineChars="200" w:firstLine="420"/>
            <w:rPr>
              <w:szCs w:val="21"/>
            </w:rPr>
          </w:pPr>
          <w:r>
            <w:rPr>
              <w:rFonts w:hint="eastAsia"/>
              <w:szCs w:val="21"/>
            </w:rPr>
            <w:t>注10：本集团于2024年6月18日发行科技创新可续期公司债券（第一期）（债券简称：24兖矿能源K</w:t>
          </w:r>
          <w:r>
            <w:rPr>
              <w:szCs w:val="21"/>
            </w:rPr>
            <w:t>Y</w:t>
          </w:r>
          <w:r>
            <w:rPr>
              <w:rFonts w:hint="eastAsia"/>
              <w:szCs w:val="21"/>
            </w:rPr>
            <w:t>01），总金额30,000,000千元人民币，扣除发行费用，实际募集资金</w:t>
          </w:r>
          <w:r>
            <w:rPr>
              <w:szCs w:val="21"/>
            </w:rPr>
            <w:t>29,994,996</w:t>
          </w:r>
          <w:r>
            <w:rPr>
              <w:rFonts w:hint="eastAsia"/>
              <w:szCs w:val="21"/>
            </w:rPr>
            <w:t>千元人民币，此工具无固定偿还期限。本集团本年按照2.28%的利率向债券购买人支付利息。</w:t>
          </w:r>
        </w:p>
        <w:p>
          <w:pPr>
            <w:spacing w:afterLines="50" w:after="156" w:line="360" w:lineRule="exact"/>
            <w:ind w:firstLineChars="200" w:firstLine="420"/>
            <w:rPr>
              <w:szCs w:val="21"/>
            </w:rPr>
          </w:pPr>
          <w:r>
            <w:rPr>
              <w:rFonts w:hint="eastAsia"/>
              <w:szCs w:val="21"/>
            </w:rPr>
            <w:lastRenderedPageBreak/>
            <w:t>注11：本集团于2024年7月25日发行科技创新可续期公司债券（第二期）（债券简称：24兖矿能源K</w:t>
          </w:r>
          <w:r>
            <w:rPr>
              <w:szCs w:val="21"/>
            </w:rPr>
            <w:t>Y</w:t>
          </w:r>
          <w:r>
            <w:rPr>
              <w:rFonts w:hint="eastAsia"/>
              <w:szCs w:val="21"/>
            </w:rPr>
            <w:t>02），总金额2,000,000千元人民币，扣除发行费用，实际募集资金</w:t>
          </w:r>
          <w:r>
            <w:rPr>
              <w:szCs w:val="21"/>
            </w:rPr>
            <w:t>1,998,889</w:t>
          </w:r>
          <w:r>
            <w:rPr>
              <w:rFonts w:hint="eastAsia"/>
              <w:szCs w:val="21"/>
            </w:rPr>
            <w:t>千元人民币，此工具无固定偿还期限。本集团本年按照2.17%的利率向债券购买人支付利息。</w:t>
          </w:r>
        </w:p>
        <w:p>
          <w:pPr>
            <w:spacing w:afterLines="50" w:after="156" w:line="360" w:lineRule="exact"/>
            <w:ind w:firstLineChars="200" w:firstLine="420"/>
            <w:rPr>
              <w:szCs w:val="21"/>
            </w:rPr>
          </w:pPr>
          <w:r>
            <w:rPr>
              <w:rFonts w:hint="eastAsia"/>
              <w:szCs w:val="21"/>
            </w:rPr>
            <w:t>注12：本集团于2024年10月30日发行2024年度第二期中期票据（科创票据）（债券简称：24兖矿能源MTN002），总金额1,500,000千元人民币，扣除发行费用，实际募集资金</w:t>
          </w:r>
          <w:r>
            <w:rPr>
              <w:szCs w:val="21"/>
            </w:rPr>
            <w:t>1,499,400</w:t>
          </w:r>
          <w:r>
            <w:rPr>
              <w:rFonts w:hint="eastAsia"/>
              <w:szCs w:val="21"/>
            </w:rPr>
            <w:t>千元人民币，此工具无固定偿还期限。本集团本年按照2.43%的利率向债券购买人支付利息。</w:t>
          </w:r>
        </w:p>
        <w:p>
          <w:pPr>
            <w:spacing w:afterLines="50" w:after="156" w:line="360" w:lineRule="exact"/>
            <w:ind w:firstLineChars="200" w:firstLine="420"/>
            <w:rPr>
              <w:szCs w:val="21"/>
            </w:rPr>
          </w:pPr>
          <w:r>
            <w:rPr>
              <w:rFonts w:hint="eastAsia"/>
              <w:szCs w:val="21"/>
            </w:rPr>
            <w:t>注13：本集团于2024年11月22日发行2024年度第三期中期票据（科创票据）（债券简称：24兖矿能源MTN003），总金额1,500,000千元人民币，扣除发行费用，实际募集资金</w:t>
          </w:r>
          <w:r>
            <w:rPr>
              <w:szCs w:val="21"/>
            </w:rPr>
            <w:t>1,499,400</w:t>
          </w:r>
          <w:r>
            <w:rPr>
              <w:rFonts w:hint="eastAsia"/>
              <w:szCs w:val="21"/>
            </w:rPr>
            <w:t>千元人民币，此工具无固定偿还期限。本集团本年按照2.26%的利率向债券购买人支付利息。</w:t>
          </w:r>
        </w:p>
        <w:p>
          <w:pPr>
            <w:spacing w:afterLines="50" w:after="156" w:line="360" w:lineRule="exact"/>
            <w:ind w:firstLineChars="200" w:firstLine="420"/>
            <w:rPr>
              <w:color w:val="0000FF"/>
              <w:szCs w:val="21"/>
            </w:rPr>
            <w:sectPr>
              <w:pgSz w:w="11907" w:h="16840"/>
              <w:pgMar w:top="1440" w:right="1531" w:bottom="1440" w:left="1797" w:header="851" w:footer="992" w:gutter="0"/>
              <w:cols w:space="425"/>
              <w:docGrid w:type="lines" w:linePitch="312"/>
            </w:sectPr>
          </w:pPr>
          <w:r>
            <w:rPr>
              <w:rFonts w:hint="eastAsia"/>
              <w:szCs w:val="21"/>
            </w:rPr>
            <w:t>注14：本集团于2024年12月11日发行2024年度第四期中期票据（债券简称：24兖矿能源MTN004），总金额2,000,000千元人民币，扣除发行费用，实际募集资金</w:t>
          </w:r>
          <w:r>
            <w:rPr>
              <w:szCs w:val="21"/>
            </w:rPr>
            <w:t>1,999,200</w:t>
          </w:r>
          <w:r>
            <w:rPr>
              <w:rFonts w:hint="eastAsia"/>
              <w:szCs w:val="21"/>
            </w:rPr>
            <w:t>千元人民币，此工具无固定偿还期限。本集团本年按照2.06%的利率向债券购买人支付利息</w:t>
          </w:r>
        </w:p>
        <w:p>
          <w:pPr>
            <w:rPr>
              <w:szCs w:val="21"/>
            </w:rPr>
          </w:pPr>
        </w:p>
      </w:sdtContent>
    </w:sdt>
    <w:bookmarkEnd w:id="466"/>
    <w:p>
      <w:pPr>
        <w:rPr>
          <w:szCs w:val="21"/>
        </w:rPr>
      </w:pPr>
    </w:p>
    <w:p>
      <w:pPr>
        <w:pStyle w:val="affffffffffffffffff6"/>
        <w:numPr>
          <w:ilvl w:val="0"/>
          <w:numId w:val="103"/>
        </w:numPr>
        <w:tabs>
          <w:tab w:val="left" w:pos="504"/>
        </w:tabs>
        <w:rPr>
          <w:rFonts w:ascii="宋体" w:hAnsi="宋体"/>
          <w:szCs w:val="21"/>
        </w:rPr>
      </w:pPr>
      <w:r>
        <w:rPr>
          <w:rFonts w:ascii="宋体" w:hAnsi="宋体" w:cs="宋体" w:hint="eastAsia"/>
          <w:bCs w:val="0"/>
          <w:kern w:val="0"/>
          <w:szCs w:val="21"/>
        </w:rPr>
        <w:t>资本</w:t>
      </w:r>
      <w:r>
        <w:rPr>
          <w:rFonts w:ascii="宋体" w:hAnsi="宋体" w:hint="eastAsia"/>
          <w:szCs w:val="21"/>
        </w:rPr>
        <w:t>公积</w:t>
      </w:r>
    </w:p>
    <w:sdt>
      <w:sdtPr>
        <w:rPr>
          <w:rFonts w:cs="Times New Roman"/>
          <w:b/>
          <w:bCs/>
          <w:kern w:val="2"/>
          <w:szCs w:val="21"/>
        </w:rPr>
        <w:alias w:val="是否适用：资本公积[双击切换]"/>
        <w:tag w:val="_GBC_58b0344d8757456787af32396840e233"/>
        <w:id w:val="371191578"/>
        <w:placeholder>
          <w:docPart w:val="GBC22222222222222222222222222222"/>
        </w:placeholder>
      </w:sdtPr>
      <w:sdtContent>
        <w:p>
          <w:pPr>
            <w:pStyle w:val="affffffffffffffffffffffffffffffffe"/>
            <w:rPr>
              <w:rFonts w:cs="Times New Roman"/>
              <w:b/>
              <w:bCs/>
              <w:kern w:val="2"/>
              <w:szCs w:val="21"/>
            </w:rPr>
          </w:pPr>
          <w:r>
            <w:rPr>
              <w:rFonts w:cs="Times New Roman"/>
              <w:b/>
              <w:bCs/>
              <w:kern w:val="2"/>
              <w:szCs w:val="21"/>
            </w:rPr>
            <w:fldChar w:fldCharType="begin"/>
          </w:r>
          <w:r>
            <w:rPr>
              <w:rFonts w:cs="Times New Roman"/>
              <w:b/>
              <w:bCs/>
              <w:kern w:val="2"/>
              <w:szCs w:val="21"/>
            </w:rPr>
            <w:instrText xml:space="preserve">MACROBUTTON  SnrToggleCheckbox √适用 </w:instrText>
          </w:r>
          <w:r>
            <w:rPr>
              <w:rFonts w:cs="Times New Roman"/>
              <w:b/>
              <w:bCs/>
              <w:kern w:val="2"/>
              <w:szCs w:val="21"/>
            </w:rPr>
            <w:fldChar w:fldCharType="end"/>
          </w:r>
          <w:r>
            <w:rPr>
              <w:rFonts w:cs="Times New Roman"/>
              <w:b/>
              <w:bCs/>
              <w:kern w:val="2"/>
              <w:szCs w:val="21"/>
            </w:rPr>
            <w:fldChar w:fldCharType="begin"/>
          </w:r>
          <w:r>
            <w:rPr>
              <w:rFonts w:cs="Times New Roman"/>
              <w:b/>
              <w:bCs/>
              <w:kern w:val="2"/>
              <w:szCs w:val="21"/>
            </w:rPr>
            <w:instrText xml:space="preserve"> MACROBUTTON  SnrToggleCheckbox □不适用 </w:instrText>
          </w:r>
          <w:r>
            <w:rPr>
              <w:rFonts w:cs="Times New Roman"/>
              <w:b/>
              <w:bCs/>
              <w:kern w:val="2"/>
              <w:szCs w:val="21"/>
            </w:rPr>
            <w:fldChar w:fldCharType="end"/>
          </w:r>
        </w:p>
      </w:sdtContent>
    </w:sdt>
    <w:p>
      <w:pPr>
        <w:jc w:val="right"/>
        <w:rPr>
          <w:rFonts w:cs="Times New Roman"/>
          <w:kern w:val="2"/>
          <w:szCs w:val="21"/>
        </w:rPr>
      </w:pPr>
      <w:r>
        <w:rPr>
          <w:rFonts w:cs="Times New Roman" w:hint="eastAsia"/>
          <w:kern w:val="2"/>
          <w:szCs w:val="21"/>
        </w:rPr>
        <w:t>单位：</w:t>
      </w:r>
      <w:sdt>
        <w:sdtPr>
          <w:rPr>
            <w:rFonts w:cs="Times New Roman" w:hint="eastAsia"/>
            <w:kern w:val="2"/>
            <w:szCs w:val="21"/>
          </w:rPr>
          <w:alias w:val="单位：财务附注：资本公积"/>
          <w:tag w:val="_GBC_1b11e7474fd44870ad976b16c25b20f4"/>
          <w:id w:val="78778608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Times New Roman" w:hint="eastAsia"/>
              <w:kern w:val="2"/>
              <w:szCs w:val="21"/>
            </w:rPr>
            <w:t>千元</w:t>
          </w:r>
        </w:sdtContent>
      </w:sdt>
      <w:r>
        <w:rPr>
          <w:rFonts w:cs="Times New Roman" w:hint="eastAsia"/>
          <w:kern w:val="2"/>
          <w:szCs w:val="21"/>
        </w:rPr>
        <w:t xml:space="preserve">  币种：</w:t>
      </w:r>
      <w:sdt>
        <w:sdtPr>
          <w:rPr>
            <w:rFonts w:cs="Times New Roman" w:hint="eastAsia"/>
            <w:kern w:val="2"/>
            <w:szCs w:val="21"/>
          </w:rPr>
          <w:alias w:val="币种：财务附注：资本公积"/>
          <w:tag w:val="_GBC_6c523a4f3a0744439ef148664a9f722b"/>
          <w:id w:val="-945237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Times New Roman" w:hint="eastAsia"/>
              <w:kern w:val="2"/>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3"/>
        <w:gridCol w:w="1773"/>
        <w:gridCol w:w="1807"/>
        <w:gridCol w:w="1791"/>
        <w:gridCol w:w="1789"/>
      </w:tblGrid>
      <w:tr>
        <w:sdt>
          <w:sdtPr>
            <w:rPr>
              <w:rFonts w:cs="Times New Roman"/>
              <w:kern w:val="2"/>
              <w:szCs w:val="21"/>
            </w:rPr>
            <w:tag w:val="_PLD_b4e0b77813064aeb83afd63c7bafbdab"/>
            <w:id w:val="1581337499"/>
          </w:sdtPr>
          <w:sdtContent>
            <w:tc>
              <w:tcPr>
                <w:tcW w:w="942"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项目</w:t>
                </w:r>
              </w:p>
            </w:tc>
          </w:sdtContent>
        </w:sdt>
        <w:sdt>
          <w:sdtPr>
            <w:rPr>
              <w:rFonts w:cs="Times New Roman"/>
              <w:kern w:val="2"/>
              <w:szCs w:val="21"/>
            </w:rPr>
            <w:tag w:val="_PLD_2e3387dfd4d8490ca15036edd55f5d7b"/>
            <w:id w:val="-635952364"/>
          </w:sdtPr>
          <w:sdtContent>
            <w:tc>
              <w:tcPr>
                <w:tcW w:w="1005"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期初余额</w:t>
                </w:r>
              </w:p>
            </w:tc>
          </w:sdtContent>
        </w:sdt>
        <w:sdt>
          <w:sdtPr>
            <w:rPr>
              <w:rFonts w:cs="Times New Roman"/>
              <w:kern w:val="2"/>
              <w:szCs w:val="21"/>
            </w:rPr>
            <w:tag w:val="_PLD_48beb7e26e4d4ae4b8c76cfd47809420"/>
            <w:id w:val="303595800"/>
          </w:sdtPr>
          <w:sdtContent>
            <w:tc>
              <w:tcPr>
                <w:tcW w:w="1024"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本期增加</w:t>
                </w:r>
              </w:p>
            </w:tc>
          </w:sdtContent>
        </w:sdt>
        <w:sdt>
          <w:sdtPr>
            <w:rPr>
              <w:rFonts w:cs="Times New Roman"/>
              <w:kern w:val="2"/>
              <w:szCs w:val="21"/>
            </w:rPr>
            <w:tag w:val="_PLD_146cd5e556074222b88edab30b505382"/>
            <w:id w:val="539861969"/>
          </w:sdtPr>
          <w:sdtContent>
            <w:tc>
              <w:tcPr>
                <w:tcW w:w="1015"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本期减少</w:t>
                </w:r>
              </w:p>
            </w:tc>
          </w:sdtContent>
        </w:sdt>
        <w:sdt>
          <w:sdtPr>
            <w:rPr>
              <w:rFonts w:cs="Times New Roman"/>
              <w:kern w:val="2"/>
              <w:szCs w:val="21"/>
            </w:rPr>
            <w:tag w:val="_PLD_ce18950b18064dc1ac40e20c98bf9dcb"/>
            <w:id w:val="-431275933"/>
          </w:sdtPr>
          <w:sdtContent>
            <w:tc>
              <w:tcPr>
                <w:tcW w:w="1014"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期末余额</w:t>
                </w:r>
              </w:p>
            </w:tc>
          </w:sdtContent>
        </w:sdt>
      </w:tr>
      <w:tr>
        <w:tc>
          <w:tcPr>
            <w:tcW w:w="942" w:type="pct"/>
            <w:shd w:val="clear" w:color="auto" w:fill="auto"/>
            <w:vAlign w:val="center"/>
          </w:tcPr>
          <w:p>
            <w:pPr>
              <w:spacing w:line="360" w:lineRule="exact"/>
              <w:rPr>
                <w:rFonts w:cs="Times New Roman"/>
                <w:kern w:val="2"/>
                <w:szCs w:val="21"/>
              </w:rPr>
            </w:pPr>
            <w:r>
              <w:rPr>
                <w:rFonts w:cs="Times New Roman" w:hint="eastAsia"/>
                <w:kern w:val="2"/>
                <w:szCs w:val="21"/>
              </w:rPr>
              <w:t>股本溢价</w:t>
            </w:r>
          </w:p>
        </w:tc>
        <w:tc>
          <w:tcPr>
            <w:tcW w:w="1005" w:type="pct"/>
            <w:shd w:val="clear" w:color="auto" w:fill="auto"/>
            <w:vAlign w:val="center"/>
          </w:tcPr>
          <w:p>
            <w:pPr>
              <w:spacing w:line="360" w:lineRule="exact"/>
              <w:jc w:val="right"/>
              <w:rPr>
                <w:rFonts w:cs="Times New Roman"/>
                <w:kern w:val="2"/>
                <w:szCs w:val="21"/>
              </w:rPr>
            </w:pPr>
            <w:r>
              <w:rPr>
                <w:rFonts w:cs="Times New Roman"/>
                <w:kern w:val="2"/>
                <w:szCs w:val="21"/>
              </w:rPr>
              <w:t>912,720</w:t>
            </w:r>
          </w:p>
        </w:tc>
        <w:tc>
          <w:tcPr>
            <w:tcW w:w="1024" w:type="pct"/>
            <w:shd w:val="clear" w:color="auto" w:fill="auto"/>
            <w:vAlign w:val="center"/>
          </w:tcPr>
          <w:p>
            <w:pPr>
              <w:spacing w:line="360" w:lineRule="exact"/>
              <w:jc w:val="right"/>
              <w:rPr>
                <w:rFonts w:cs="Times New Roman"/>
                <w:kern w:val="2"/>
                <w:szCs w:val="21"/>
              </w:rPr>
            </w:pPr>
            <w:r>
              <w:rPr>
                <w:rFonts w:cs="Times New Roman"/>
                <w:kern w:val="2"/>
                <w:szCs w:val="21"/>
              </w:rPr>
              <w:t>4,229,108</w:t>
            </w:r>
          </w:p>
        </w:tc>
        <w:tc>
          <w:tcPr>
            <w:tcW w:w="1015" w:type="pct"/>
            <w:shd w:val="clear" w:color="auto" w:fill="auto"/>
            <w:vAlign w:val="center"/>
          </w:tcPr>
          <w:p>
            <w:pPr>
              <w:spacing w:line="360" w:lineRule="exact"/>
              <w:jc w:val="right"/>
              <w:rPr>
                <w:rFonts w:cs="Times New Roman"/>
                <w:kern w:val="2"/>
                <w:szCs w:val="21"/>
              </w:rPr>
            </w:pPr>
            <w:r>
              <w:rPr>
                <w:rFonts w:cs="Times New Roman"/>
                <w:kern w:val="2"/>
                <w:szCs w:val="21"/>
              </w:rPr>
              <w:t>211,088</w:t>
            </w:r>
          </w:p>
        </w:tc>
        <w:tc>
          <w:tcPr>
            <w:tcW w:w="1014" w:type="pct"/>
            <w:shd w:val="clear" w:color="auto" w:fill="auto"/>
            <w:vAlign w:val="center"/>
          </w:tcPr>
          <w:p>
            <w:pPr>
              <w:spacing w:line="360" w:lineRule="exact"/>
              <w:jc w:val="right"/>
              <w:rPr>
                <w:rFonts w:cs="Times New Roman"/>
                <w:kern w:val="2"/>
                <w:szCs w:val="21"/>
              </w:rPr>
            </w:pPr>
            <w:r>
              <w:rPr>
                <w:rFonts w:cs="Times New Roman"/>
                <w:kern w:val="2"/>
                <w:szCs w:val="21"/>
              </w:rPr>
              <w:t>4,930,740</w:t>
            </w:r>
          </w:p>
        </w:tc>
      </w:tr>
      <w:tr>
        <w:tc>
          <w:tcPr>
            <w:tcW w:w="942" w:type="pct"/>
            <w:shd w:val="clear" w:color="auto" w:fill="auto"/>
            <w:vAlign w:val="center"/>
          </w:tcPr>
          <w:p>
            <w:pPr>
              <w:spacing w:line="360" w:lineRule="exact"/>
              <w:rPr>
                <w:rFonts w:cs="Times New Roman"/>
                <w:kern w:val="2"/>
                <w:szCs w:val="21"/>
              </w:rPr>
            </w:pPr>
            <w:r>
              <w:rPr>
                <w:rFonts w:cs="Times New Roman" w:hint="eastAsia"/>
                <w:kern w:val="2"/>
                <w:szCs w:val="21"/>
              </w:rPr>
              <w:t>其他资本公积</w:t>
            </w:r>
          </w:p>
        </w:tc>
        <w:tc>
          <w:tcPr>
            <w:tcW w:w="1005" w:type="pct"/>
            <w:shd w:val="clear" w:color="auto" w:fill="auto"/>
            <w:vAlign w:val="center"/>
          </w:tcPr>
          <w:p>
            <w:pPr>
              <w:spacing w:line="360" w:lineRule="exact"/>
              <w:jc w:val="right"/>
              <w:rPr>
                <w:rFonts w:cs="Times New Roman"/>
                <w:kern w:val="2"/>
                <w:szCs w:val="21"/>
              </w:rPr>
            </w:pPr>
            <w:r>
              <w:rPr>
                <w:rFonts w:cs="Times New Roman"/>
                <w:kern w:val="2"/>
                <w:szCs w:val="21"/>
              </w:rPr>
              <w:t>-945,603</w:t>
            </w:r>
          </w:p>
        </w:tc>
        <w:tc>
          <w:tcPr>
            <w:tcW w:w="1024" w:type="pct"/>
            <w:shd w:val="clear" w:color="auto" w:fill="auto"/>
            <w:vAlign w:val="center"/>
          </w:tcPr>
          <w:p>
            <w:pPr>
              <w:spacing w:line="360" w:lineRule="exact"/>
              <w:jc w:val="right"/>
              <w:rPr>
                <w:rFonts w:cs="Times New Roman"/>
                <w:kern w:val="2"/>
                <w:szCs w:val="21"/>
              </w:rPr>
            </w:pPr>
            <w:r>
              <w:rPr>
                <w:rFonts w:cs="Times New Roman"/>
                <w:kern w:val="2"/>
                <w:szCs w:val="21"/>
              </w:rPr>
              <w:t>211,546</w:t>
            </w:r>
          </w:p>
        </w:tc>
        <w:tc>
          <w:tcPr>
            <w:tcW w:w="1015" w:type="pct"/>
            <w:shd w:val="clear" w:color="auto" w:fill="auto"/>
            <w:vAlign w:val="center"/>
          </w:tcPr>
          <w:p>
            <w:pPr>
              <w:spacing w:line="360" w:lineRule="exact"/>
              <w:jc w:val="right"/>
              <w:rPr>
                <w:rFonts w:cs="Times New Roman"/>
                <w:kern w:val="2"/>
                <w:szCs w:val="21"/>
              </w:rPr>
            </w:pPr>
            <w:r>
              <w:rPr>
                <w:rFonts w:cs="Times New Roman"/>
                <w:kern w:val="2"/>
                <w:szCs w:val="21"/>
              </w:rPr>
              <w:t>65,984</w:t>
            </w:r>
          </w:p>
        </w:tc>
        <w:tc>
          <w:tcPr>
            <w:tcW w:w="1014" w:type="pct"/>
            <w:shd w:val="clear" w:color="auto" w:fill="auto"/>
            <w:vAlign w:val="center"/>
          </w:tcPr>
          <w:p>
            <w:pPr>
              <w:spacing w:line="360" w:lineRule="exact"/>
              <w:jc w:val="right"/>
              <w:rPr>
                <w:rFonts w:cs="Times New Roman"/>
                <w:kern w:val="2"/>
                <w:szCs w:val="21"/>
              </w:rPr>
            </w:pPr>
            <w:r>
              <w:rPr>
                <w:rFonts w:cs="Times New Roman"/>
                <w:kern w:val="2"/>
                <w:szCs w:val="21"/>
              </w:rPr>
              <w:t>-800,041</w:t>
            </w:r>
          </w:p>
        </w:tc>
      </w:tr>
      <w:tr>
        <w:tc>
          <w:tcPr>
            <w:tcW w:w="942" w:type="pct"/>
            <w:vAlign w:val="center"/>
          </w:tcPr>
          <w:p>
            <w:pPr>
              <w:autoSpaceDE w:val="0"/>
              <w:autoSpaceDN w:val="0"/>
              <w:adjustRightInd w:val="0"/>
              <w:snapToGrid w:val="0"/>
              <w:jc w:val="center"/>
              <w:rPr>
                <w:rFonts w:cs="Times New Roman"/>
                <w:kern w:val="2"/>
                <w:szCs w:val="21"/>
              </w:rPr>
            </w:pPr>
            <w:r>
              <w:rPr>
                <w:rFonts w:cs="Times New Roman" w:hint="eastAsia"/>
                <w:kern w:val="2"/>
                <w:szCs w:val="21"/>
              </w:rPr>
              <w:t>合计</w:t>
            </w:r>
          </w:p>
        </w:tc>
        <w:tc>
          <w:tcPr>
            <w:tcW w:w="1005" w:type="pct"/>
            <w:vAlign w:val="center"/>
          </w:tcPr>
          <w:p>
            <w:pPr>
              <w:autoSpaceDE w:val="0"/>
              <w:autoSpaceDN w:val="0"/>
              <w:adjustRightInd w:val="0"/>
              <w:snapToGrid w:val="0"/>
              <w:jc w:val="right"/>
              <w:rPr>
                <w:rFonts w:cs="Times New Roman"/>
                <w:kern w:val="2"/>
                <w:szCs w:val="21"/>
              </w:rPr>
            </w:pPr>
            <w:r>
              <w:rPr>
                <w:rFonts w:cs="Times New Roman"/>
                <w:kern w:val="2"/>
                <w:szCs w:val="21"/>
              </w:rPr>
              <w:t>-32,883</w:t>
            </w:r>
          </w:p>
        </w:tc>
        <w:tc>
          <w:tcPr>
            <w:tcW w:w="1024" w:type="pct"/>
            <w:vAlign w:val="center"/>
          </w:tcPr>
          <w:p>
            <w:pPr>
              <w:autoSpaceDE w:val="0"/>
              <w:autoSpaceDN w:val="0"/>
              <w:adjustRightInd w:val="0"/>
              <w:snapToGrid w:val="0"/>
              <w:jc w:val="right"/>
              <w:rPr>
                <w:rFonts w:cs="Times New Roman"/>
                <w:kern w:val="2"/>
                <w:szCs w:val="21"/>
              </w:rPr>
            </w:pPr>
            <w:r>
              <w:rPr>
                <w:rFonts w:cs="Times New Roman"/>
                <w:kern w:val="2"/>
                <w:szCs w:val="21"/>
              </w:rPr>
              <w:t>4,440,654</w:t>
            </w:r>
          </w:p>
        </w:tc>
        <w:tc>
          <w:tcPr>
            <w:tcW w:w="1015" w:type="pct"/>
            <w:vAlign w:val="center"/>
          </w:tcPr>
          <w:p>
            <w:pPr>
              <w:autoSpaceDE w:val="0"/>
              <w:autoSpaceDN w:val="0"/>
              <w:adjustRightInd w:val="0"/>
              <w:snapToGrid w:val="0"/>
              <w:jc w:val="right"/>
              <w:rPr>
                <w:rFonts w:cs="Times New Roman"/>
                <w:kern w:val="2"/>
                <w:szCs w:val="21"/>
              </w:rPr>
            </w:pPr>
            <w:r>
              <w:rPr>
                <w:rFonts w:cs="Times New Roman"/>
                <w:kern w:val="2"/>
                <w:szCs w:val="21"/>
              </w:rPr>
              <w:t>277,072</w:t>
            </w:r>
          </w:p>
        </w:tc>
        <w:tc>
          <w:tcPr>
            <w:tcW w:w="1014" w:type="pct"/>
            <w:vAlign w:val="center"/>
          </w:tcPr>
          <w:p>
            <w:pPr>
              <w:autoSpaceDE w:val="0"/>
              <w:autoSpaceDN w:val="0"/>
              <w:adjustRightInd w:val="0"/>
              <w:snapToGrid w:val="0"/>
              <w:jc w:val="right"/>
              <w:rPr>
                <w:rFonts w:cs="Times New Roman"/>
                <w:kern w:val="2"/>
                <w:szCs w:val="21"/>
              </w:rPr>
            </w:pPr>
            <w:r>
              <w:rPr>
                <w:rFonts w:cs="Times New Roman"/>
                <w:kern w:val="2"/>
                <w:szCs w:val="21"/>
              </w:rPr>
              <w:t>4,130,699</w:t>
            </w:r>
          </w:p>
        </w:tc>
      </w:tr>
    </w:tbl>
    <w:p>
      <w:pPr>
        <w:rPr>
          <w:rFonts w:cs="Times New Roman"/>
          <w:kern w:val="2"/>
          <w:szCs w:val="21"/>
        </w:rPr>
      </w:pPr>
      <w:r>
        <w:rPr>
          <w:rFonts w:cs="Times New Roman" w:hint="eastAsia"/>
          <w:kern w:val="2"/>
          <w:szCs w:val="21"/>
        </w:rPr>
        <w:t>其他说明，包括本期增减变动情况、变动原因说明：</w:t>
      </w:r>
    </w:p>
    <w:sdt>
      <w:sdtPr>
        <w:rPr>
          <w:rFonts w:cs="Times New Roman"/>
          <w:kern w:val="2"/>
          <w:szCs w:val="21"/>
        </w:rPr>
        <w:alias w:val="资本公积说明"/>
        <w:tag w:val="_GBC_bd957b69783b49af88b2c285825bd0fc"/>
        <w:id w:val="2038538081"/>
        <w:placeholder>
          <w:docPart w:val="GBC22222222222222222222222222222"/>
        </w:placeholder>
      </w:sdtPr>
      <w:sdtEndPr>
        <w:rPr>
          <w:b/>
          <w:bCs/>
        </w:rPr>
      </w:sdtEndPr>
      <w:sdtContent>
        <w:p>
          <w:pPr>
            <w:autoSpaceDE w:val="0"/>
            <w:autoSpaceDN w:val="0"/>
            <w:adjustRightInd w:val="0"/>
            <w:spacing w:afterLines="50" w:after="120" w:line="360" w:lineRule="exact"/>
            <w:ind w:firstLine="420"/>
            <w:rPr>
              <w:rFonts w:cs="Times New Roman"/>
              <w:kern w:val="2"/>
              <w:szCs w:val="21"/>
            </w:rPr>
          </w:pPr>
          <w:r>
            <w:rPr>
              <w:rFonts w:cs="Times New Roman" w:hint="eastAsia"/>
              <w:kern w:val="2"/>
              <w:szCs w:val="21"/>
            </w:rPr>
            <w:t>注1：资本公积股本溢价本期变动原因系 H 股增发股票确认发行溢价4,229,108千元；偿还永续债减少</w:t>
          </w:r>
          <w:r>
            <w:rPr>
              <w:rFonts w:cs="Times New Roman"/>
              <w:kern w:val="2"/>
              <w:szCs w:val="21"/>
            </w:rPr>
            <w:t>12,330</w:t>
          </w:r>
          <w:r>
            <w:rPr>
              <w:rFonts w:cs="Times New Roman" w:hint="eastAsia"/>
              <w:kern w:val="2"/>
              <w:szCs w:val="21"/>
            </w:rPr>
            <w:t>千元,发行永续债的承销费用冲减资本公积</w:t>
          </w:r>
          <w:r>
            <w:rPr>
              <w:rFonts w:cs="Times New Roman"/>
              <w:kern w:val="2"/>
              <w:szCs w:val="21"/>
            </w:rPr>
            <w:t>9,913</w:t>
          </w:r>
          <w:r>
            <w:rPr>
              <w:rFonts w:cs="Times New Roman" w:hint="eastAsia"/>
              <w:kern w:val="2"/>
              <w:szCs w:val="21"/>
            </w:rPr>
            <w:t>千元；母公司不满足条件限售股注销减少3,66</w:t>
          </w:r>
          <w:r>
            <w:rPr>
              <w:rFonts w:cs="Times New Roman"/>
              <w:kern w:val="2"/>
              <w:szCs w:val="21"/>
            </w:rPr>
            <w:t>2</w:t>
          </w:r>
          <w:r>
            <w:rPr>
              <w:rFonts w:cs="Times New Roman" w:hint="eastAsia"/>
              <w:kern w:val="2"/>
              <w:szCs w:val="21"/>
            </w:rPr>
            <w:t>千元，兖煤澳洲不满足条件的限售股注销减少</w:t>
          </w:r>
          <w:r>
            <w:rPr>
              <w:rFonts w:cs="Times New Roman"/>
              <w:kern w:val="2"/>
              <w:szCs w:val="21"/>
            </w:rPr>
            <w:t>49,881</w:t>
          </w:r>
          <w:r>
            <w:rPr>
              <w:rFonts w:cs="Times New Roman" w:hint="eastAsia"/>
              <w:kern w:val="2"/>
              <w:szCs w:val="21"/>
            </w:rPr>
            <w:t>元；同一控制下企业合并减少</w:t>
          </w:r>
          <w:r>
            <w:rPr>
              <w:rFonts w:cs="Times New Roman"/>
              <w:kern w:val="2"/>
              <w:szCs w:val="21"/>
            </w:rPr>
            <w:t>135,302</w:t>
          </w:r>
          <w:r>
            <w:rPr>
              <w:rFonts w:cs="Times New Roman" w:hint="eastAsia"/>
              <w:kern w:val="2"/>
              <w:szCs w:val="21"/>
            </w:rPr>
            <w:t>千元。</w:t>
          </w:r>
        </w:p>
        <w:p>
          <w:pPr>
            <w:autoSpaceDE w:val="0"/>
            <w:autoSpaceDN w:val="0"/>
            <w:adjustRightInd w:val="0"/>
            <w:spacing w:afterLines="50" w:after="120" w:line="360" w:lineRule="exact"/>
            <w:ind w:firstLine="420"/>
            <w:rPr>
              <w:rFonts w:cs="Times New Roman"/>
              <w:b/>
              <w:bCs/>
              <w:kern w:val="2"/>
              <w:szCs w:val="21"/>
            </w:rPr>
          </w:pPr>
          <w:r>
            <w:rPr>
              <w:rFonts w:cs="Times New Roman" w:hint="eastAsia"/>
              <w:kern w:val="2"/>
              <w:szCs w:val="21"/>
            </w:rPr>
            <w:t>注2：资本公积其他资本公积本期变动原因系母公司计提股权激励费用增加</w:t>
          </w:r>
          <w:r>
            <w:rPr>
              <w:rFonts w:cs="Times New Roman"/>
              <w:kern w:val="2"/>
              <w:szCs w:val="21"/>
            </w:rPr>
            <w:t>157,717</w:t>
          </w:r>
          <w:r>
            <w:rPr>
              <w:rFonts w:cs="Times New Roman" w:hint="eastAsia"/>
              <w:kern w:val="2"/>
              <w:szCs w:val="21"/>
            </w:rPr>
            <w:t>千元,因并购物泊科技带入股权激励部分增加资本公积542千元，兖煤澳洲计提股权激励归属于母公司的部分增加资本公积</w:t>
          </w:r>
          <w:r>
            <w:rPr>
              <w:rFonts w:cs="Times New Roman"/>
              <w:kern w:val="2"/>
              <w:szCs w:val="21"/>
            </w:rPr>
            <w:t>42,918</w:t>
          </w:r>
          <w:r>
            <w:rPr>
              <w:rFonts w:cs="Times New Roman" w:hint="eastAsia"/>
              <w:kern w:val="2"/>
              <w:szCs w:val="21"/>
            </w:rPr>
            <w:t>千元；联营企业权益变动增加</w:t>
          </w:r>
          <w:r>
            <w:rPr>
              <w:rFonts w:cs="Times New Roman"/>
              <w:kern w:val="2"/>
              <w:szCs w:val="21"/>
            </w:rPr>
            <w:t>10,369</w:t>
          </w:r>
          <w:r>
            <w:rPr>
              <w:rFonts w:cs="Times New Roman" w:hint="eastAsia"/>
              <w:kern w:val="2"/>
              <w:szCs w:val="21"/>
            </w:rPr>
            <w:t>千元，购买东平港少数股权减少资本公积</w:t>
          </w:r>
          <w:r>
            <w:rPr>
              <w:rFonts w:cs="Times New Roman"/>
              <w:kern w:val="2"/>
              <w:szCs w:val="21"/>
            </w:rPr>
            <w:t>65,984</w:t>
          </w:r>
          <w:r>
            <w:rPr>
              <w:rFonts w:cs="Times New Roman" w:hint="eastAsia"/>
              <w:kern w:val="2"/>
              <w:szCs w:val="21"/>
            </w:rPr>
            <w:t>千元。</w:t>
          </w:r>
        </w:p>
      </w:sdtContent>
    </w:sdt>
    <w:p>
      <w:pPr>
        <w:rPr>
          <w:rFonts w:cs="Times New Roman"/>
          <w:b/>
          <w:bCs/>
          <w:kern w:val="2"/>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库存股</w:t>
      </w:r>
    </w:p>
    <w:sdt>
      <w:sdtPr>
        <w:rPr>
          <w:rFonts w:cs="Times New Roman"/>
          <w:b/>
          <w:bCs/>
          <w:kern w:val="2"/>
          <w:szCs w:val="21"/>
        </w:rPr>
        <w:alias w:val="是否适用：库存股[双击切换]"/>
        <w:tag w:val="_GBC_8e4fbb6e216145d28e75f17bb16e2ed0"/>
        <w:id w:val="-1442293145"/>
        <w:placeholder>
          <w:docPart w:val="GBC22222222222222222222222222222"/>
        </w:placeholder>
      </w:sdtPr>
      <w:sdtContent>
        <w:p>
          <w:pPr>
            <w:pStyle w:val="affffffffffffffffffffffffffffffffe"/>
            <w:rPr>
              <w:rFonts w:cs="Times New Roman"/>
              <w:b/>
              <w:bCs/>
              <w:kern w:val="2"/>
              <w:szCs w:val="21"/>
            </w:rPr>
          </w:pPr>
          <w:r>
            <w:rPr>
              <w:rFonts w:cs="Times New Roman"/>
              <w:b/>
              <w:bCs/>
              <w:kern w:val="2"/>
              <w:szCs w:val="21"/>
            </w:rPr>
            <w:fldChar w:fldCharType="begin"/>
          </w:r>
          <w:r>
            <w:rPr>
              <w:rFonts w:cs="Times New Roman"/>
              <w:b/>
              <w:bCs/>
              <w:kern w:val="2"/>
              <w:szCs w:val="21"/>
            </w:rPr>
            <w:instrText xml:space="preserve">MACROBUTTON  SnrToggleCheckbox √适用 </w:instrText>
          </w:r>
          <w:r>
            <w:rPr>
              <w:rFonts w:cs="Times New Roman"/>
              <w:b/>
              <w:bCs/>
              <w:kern w:val="2"/>
              <w:szCs w:val="21"/>
            </w:rPr>
            <w:fldChar w:fldCharType="end"/>
          </w:r>
          <w:r>
            <w:rPr>
              <w:rFonts w:cs="Times New Roman"/>
              <w:b/>
              <w:bCs/>
              <w:kern w:val="2"/>
              <w:szCs w:val="21"/>
            </w:rPr>
            <w:fldChar w:fldCharType="begin"/>
          </w:r>
          <w:r>
            <w:rPr>
              <w:rFonts w:cs="Times New Roman"/>
              <w:b/>
              <w:bCs/>
              <w:kern w:val="2"/>
              <w:szCs w:val="21"/>
            </w:rPr>
            <w:instrText xml:space="preserve"> MACROBUTTON  SnrToggleCheckbox □不适用 </w:instrText>
          </w:r>
          <w:r>
            <w:rPr>
              <w:rFonts w:cs="Times New Roman"/>
              <w:b/>
              <w:bCs/>
              <w:kern w:val="2"/>
              <w:szCs w:val="21"/>
            </w:rPr>
            <w:fldChar w:fldCharType="end"/>
          </w:r>
        </w:p>
      </w:sdtContent>
    </w:sdt>
    <w:p>
      <w:pPr>
        <w:pStyle w:val="affffffffffffffffffffffffffffffffff4"/>
        <w:ind w:firstLineChars="0" w:firstLine="0"/>
        <w:jc w:val="right"/>
        <w:rPr>
          <w:rFonts w:ascii="宋体" w:hAnsi="宋体"/>
          <w:b/>
          <w:bCs/>
          <w:szCs w:val="21"/>
        </w:rPr>
      </w:pPr>
      <w:r>
        <w:rPr>
          <w:rFonts w:ascii="宋体" w:hAnsi="宋体" w:hint="eastAsia"/>
          <w:b/>
          <w:bCs/>
          <w:szCs w:val="21"/>
        </w:rPr>
        <w:t>单位：</w:t>
      </w:r>
      <w:sdt>
        <w:sdtPr>
          <w:rPr>
            <w:rFonts w:ascii="宋体" w:hAnsi="宋体" w:hint="eastAsia"/>
            <w:b/>
            <w:bCs/>
            <w:szCs w:val="21"/>
          </w:rPr>
          <w:alias w:val="单位：财务附注：库存股"/>
          <w:tag w:val="_GBC_1762a395ee414a4ab9d088576fc67b95"/>
          <w:id w:val="19542055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
              <w:bCs/>
              <w:szCs w:val="21"/>
            </w:rPr>
            <w:t>千元</w:t>
          </w:r>
        </w:sdtContent>
      </w:sdt>
      <w:r>
        <w:rPr>
          <w:rFonts w:ascii="宋体" w:hAnsi="宋体" w:hint="eastAsia"/>
          <w:b/>
          <w:bCs/>
          <w:szCs w:val="21"/>
        </w:rPr>
        <w:t xml:space="preserve">  币种：</w:t>
      </w:r>
      <w:sdt>
        <w:sdtPr>
          <w:rPr>
            <w:rFonts w:ascii="宋体" w:hAnsi="宋体" w:hint="eastAsia"/>
            <w:b/>
            <w:bCs/>
            <w:szCs w:val="21"/>
          </w:rPr>
          <w:alias w:val="币种：财务附注：库存股"/>
          <w:tag w:val="_GBC_aa9b77277b2f445fb00ee31519c400b8"/>
          <w:id w:val="-19025036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
              <w:bCs/>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61"/>
        <w:gridCol w:w="1789"/>
        <w:gridCol w:w="1802"/>
        <w:gridCol w:w="1803"/>
      </w:tblGrid>
      <w:tr>
        <w:sdt>
          <w:sdtPr>
            <w:rPr>
              <w:rFonts w:cs="Times New Roman"/>
              <w:b/>
              <w:bCs/>
              <w:kern w:val="2"/>
              <w:szCs w:val="21"/>
            </w:rPr>
            <w:tag w:val="_PLD_3bb42fd3c8c244e1ba361777cd8b061c"/>
            <w:id w:val="-1732224228"/>
          </w:sdtPr>
          <w:sdtContent>
            <w:tc>
              <w:tcPr>
                <w:tcW w:w="945" w:type="pct"/>
                <w:shd w:val="clear" w:color="auto" w:fill="auto"/>
                <w:vAlign w:val="center"/>
              </w:tcPr>
              <w:p>
                <w:pPr>
                  <w:jc w:val="center"/>
                  <w:rPr>
                    <w:rFonts w:cs="Times New Roman"/>
                    <w:b/>
                    <w:bCs/>
                    <w:kern w:val="2"/>
                    <w:szCs w:val="21"/>
                  </w:rPr>
                </w:pPr>
                <w:r>
                  <w:rPr>
                    <w:rFonts w:cs="Times New Roman" w:hint="eastAsia"/>
                    <w:b/>
                    <w:bCs/>
                    <w:kern w:val="2"/>
                    <w:szCs w:val="21"/>
                  </w:rPr>
                  <w:t>项目</w:t>
                </w:r>
              </w:p>
            </w:tc>
          </w:sdtContent>
        </w:sdt>
        <w:sdt>
          <w:sdtPr>
            <w:rPr>
              <w:rFonts w:cs="Times New Roman"/>
              <w:b/>
              <w:bCs/>
              <w:kern w:val="2"/>
              <w:szCs w:val="21"/>
            </w:rPr>
            <w:tag w:val="_PLD_dbccb5fb3e6647159adf418aaf7a819d"/>
            <w:id w:val="-1900272340"/>
          </w:sdtPr>
          <w:sdtContent>
            <w:tc>
              <w:tcPr>
                <w:tcW w:w="998" w:type="pct"/>
                <w:shd w:val="clear" w:color="auto" w:fill="auto"/>
                <w:vAlign w:val="center"/>
              </w:tcPr>
              <w:p>
                <w:pPr>
                  <w:jc w:val="center"/>
                  <w:rPr>
                    <w:rFonts w:cs="Times New Roman"/>
                    <w:b/>
                    <w:bCs/>
                    <w:kern w:val="2"/>
                    <w:szCs w:val="21"/>
                  </w:rPr>
                </w:pPr>
                <w:r>
                  <w:rPr>
                    <w:rFonts w:cs="Times New Roman" w:hint="eastAsia"/>
                    <w:b/>
                    <w:bCs/>
                    <w:kern w:val="2"/>
                    <w:szCs w:val="21"/>
                  </w:rPr>
                  <w:t>期初余额</w:t>
                </w:r>
              </w:p>
            </w:tc>
          </w:sdtContent>
        </w:sdt>
        <w:sdt>
          <w:sdtPr>
            <w:rPr>
              <w:rFonts w:cs="Times New Roman"/>
              <w:b/>
              <w:bCs/>
              <w:kern w:val="2"/>
              <w:szCs w:val="21"/>
            </w:rPr>
            <w:tag w:val="_PLD_efd45699d9ff4436b9e070adb8fb59ad"/>
            <w:id w:val="1305198465"/>
          </w:sdtPr>
          <w:sdtContent>
            <w:tc>
              <w:tcPr>
                <w:tcW w:w="1014" w:type="pct"/>
                <w:shd w:val="clear" w:color="auto" w:fill="auto"/>
                <w:vAlign w:val="center"/>
              </w:tcPr>
              <w:p>
                <w:pPr>
                  <w:jc w:val="center"/>
                  <w:rPr>
                    <w:rFonts w:cs="Times New Roman"/>
                    <w:b/>
                    <w:bCs/>
                    <w:kern w:val="2"/>
                    <w:szCs w:val="21"/>
                  </w:rPr>
                </w:pPr>
                <w:r>
                  <w:rPr>
                    <w:rFonts w:cs="Times New Roman" w:hint="eastAsia"/>
                    <w:b/>
                    <w:bCs/>
                    <w:kern w:val="2"/>
                    <w:szCs w:val="21"/>
                  </w:rPr>
                  <w:t>本期增加</w:t>
                </w:r>
              </w:p>
            </w:tc>
          </w:sdtContent>
        </w:sdt>
        <w:sdt>
          <w:sdtPr>
            <w:rPr>
              <w:rFonts w:cs="Times New Roman"/>
              <w:b/>
              <w:bCs/>
              <w:kern w:val="2"/>
              <w:szCs w:val="21"/>
            </w:rPr>
            <w:tag w:val="_PLD_98330c8585594c0b8f1ac93353a4e2bc"/>
            <w:id w:val="472339327"/>
          </w:sdtPr>
          <w:sdtContent>
            <w:tc>
              <w:tcPr>
                <w:tcW w:w="1021" w:type="pct"/>
                <w:shd w:val="clear" w:color="auto" w:fill="auto"/>
                <w:vAlign w:val="center"/>
              </w:tcPr>
              <w:p>
                <w:pPr>
                  <w:jc w:val="center"/>
                  <w:rPr>
                    <w:rFonts w:cs="Times New Roman"/>
                    <w:b/>
                    <w:bCs/>
                    <w:kern w:val="2"/>
                    <w:szCs w:val="21"/>
                  </w:rPr>
                </w:pPr>
                <w:r>
                  <w:rPr>
                    <w:rFonts w:cs="Times New Roman" w:hint="eastAsia"/>
                    <w:b/>
                    <w:bCs/>
                    <w:kern w:val="2"/>
                    <w:szCs w:val="21"/>
                  </w:rPr>
                  <w:t>本期减少</w:t>
                </w:r>
              </w:p>
            </w:tc>
          </w:sdtContent>
        </w:sdt>
        <w:sdt>
          <w:sdtPr>
            <w:rPr>
              <w:rFonts w:cs="Times New Roman"/>
              <w:b/>
              <w:bCs/>
              <w:kern w:val="2"/>
              <w:szCs w:val="21"/>
            </w:rPr>
            <w:tag w:val="_PLD_6d3e824a5a6f4f1fbc66e6ffabf43d1e"/>
            <w:id w:val="1970163860"/>
          </w:sdtPr>
          <w:sdtContent>
            <w:tc>
              <w:tcPr>
                <w:tcW w:w="1022" w:type="pct"/>
                <w:shd w:val="clear" w:color="auto" w:fill="auto"/>
                <w:vAlign w:val="center"/>
              </w:tcPr>
              <w:p>
                <w:pPr>
                  <w:jc w:val="center"/>
                  <w:rPr>
                    <w:rFonts w:cs="Times New Roman"/>
                    <w:b/>
                    <w:bCs/>
                    <w:kern w:val="2"/>
                    <w:szCs w:val="21"/>
                  </w:rPr>
                </w:pPr>
                <w:r>
                  <w:rPr>
                    <w:rFonts w:cs="Times New Roman" w:hint="eastAsia"/>
                    <w:b/>
                    <w:bCs/>
                    <w:kern w:val="2"/>
                    <w:szCs w:val="21"/>
                  </w:rPr>
                  <w:t>期末余额</w:t>
                </w:r>
              </w:p>
            </w:tc>
          </w:sdtContent>
        </w:sdt>
      </w:tr>
      <w:tr>
        <w:tc>
          <w:tcPr>
            <w:tcW w:w="945" w:type="pct"/>
            <w:shd w:val="clear" w:color="auto" w:fill="auto"/>
          </w:tcPr>
          <w:p>
            <w:pPr>
              <w:rPr>
                <w:rFonts w:cs="Times New Roman"/>
                <w:kern w:val="2"/>
                <w:szCs w:val="21"/>
              </w:rPr>
            </w:pPr>
            <w:r>
              <w:rPr>
                <w:rFonts w:cs="Times New Roman"/>
                <w:kern w:val="2"/>
                <w:szCs w:val="21"/>
              </w:rPr>
              <w:t>限制性股票</w:t>
            </w:r>
          </w:p>
        </w:tc>
        <w:tc>
          <w:tcPr>
            <w:tcW w:w="998" w:type="pct"/>
            <w:shd w:val="clear" w:color="auto" w:fill="auto"/>
          </w:tcPr>
          <w:p>
            <w:pPr>
              <w:jc w:val="right"/>
              <w:rPr>
                <w:rFonts w:cs="Times New Roman"/>
                <w:kern w:val="2"/>
                <w:szCs w:val="21"/>
              </w:rPr>
            </w:pPr>
            <w:r>
              <w:rPr>
                <w:rFonts w:cs="Times New Roman"/>
                <w:kern w:val="2"/>
                <w:szCs w:val="21"/>
              </w:rPr>
              <w:t>324,980</w:t>
            </w:r>
          </w:p>
        </w:tc>
        <w:tc>
          <w:tcPr>
            <w:tcW w:w="1014" w:type="pct"/>
            <w:shd w:val="clear" w:color="auto" w:fill="auto"/>
          </w:tcPr>
          <w:p>
            <w:pPr>
              <w:jc w:val="right"/>
              <w:rPr>
                <w:rFonts w:cs="Times New Roman"/>
                <w:kern w:val="2"/>
                <w:szCs w:val="21"/>
              </w:rPr>
            </w:pPr>
          </w:p>
        </w:tc>
        <w:tc>
          <w:tcPr>
            <w:tcW w:w="1021" w:type="pct"/>
            <w:shd w:val="clear" w:color="auto" w:fill="auto"/>
          </w:tcPr>
          <w:p>
            <w:pPr>
              <w:jc w:val="right"/>
              <w:rPr>
                <w:rFonts w:cs="Times New Roman"/>
                <w:kern w:val="2"/>
                <w:szCs w:val="21"/>
              </w:rPr>
            </w:pPr>
            <w:r>
              <w:rPr>
                <w:rFonts w:cs="Times New Roman"/>
                <w:kern w:val="2"/>
                <w:szCs w:val="21"/>
              </w:rPr>
              <w:t>212,563</w:t>
            </w:r>
          </w:p>
        </w:tc>
        <w:tc>
          <w:tcPr>
            <w:tcW w:w="1022" w:type="pct"/>
            <w:shd w:val="clear" w:color="auto" w:fill="auto"/>
          </w:tcPr>
          <w:p>
            <w:pPr>
              <w:jc w:val="right"/>
              <w:rPr>
                <w:rFonts w:cs="Times New Roman"/>
                <w:kern w:val="2"/>
                <w:szCs w:val="21"/>
              </w:rPr>
            </w:pPr>
            <w:r>
              <w:rPr>
                <w:rFonts w:cs="Times New Roman"/>
                <w:kern w:val="2"/>
                <w:szCs w:val="21"/>
              </w:rPr>
              <w:t>112,417</w:t>
            </w:r>
          </w:p>
        </w:tc>
      </w:tr>
      <w:tr>
        <w:tc>
          <w:tcPr>
            <w:tcW w:w="945" w:type="pct"/>
            <w:shd w:val="clear" w:color="auto" w:fill="auto"/>
            <w:vAlign w:val="center"/>
          </w:tcPr>
          <w:p>
            <w:pPr>
              <w:jc w:val="center"/>
              <w:rPr>
                <w:rFonts w:cs="Times New Roman"/>
                <w:kern w:val="2"/>
                <w:szCs w:val="21"/>
              </w:rPr>
            </w:pPr>
            <w:r>
              <w:rPr>
                <w:rFonts w:cs="Times New Roman" w:hint="eastAsia"/>
                <w:kern w:val="2"/>
                <w:szCs w:val="21"/>
              </w:rPr>
              <w:t>合计</w:t>
            </w:r>
          </w:p>
        </w:tc>
        <w:tc>
          <w:tcPr>
            <w:tcW w:w="998" w:type="pct"/>
            <w:shd w:val="clear" w:color="auto" w:fill="auto"/>
          </w:tcPr>
          <w:p>
            <w:pPr>
              <w:jc w:val="right"/>
              <w:rPr>
                <w:rFonts w:cs="Times New Roman"/>
                <w:kern w:val="2"/>
                <w:szCs w:val="21"/>
              </w:rPr>
            </w:pPr>
            <w:r>
              <w:rPr>
                <w:rFonts w:cs="Times New Roman"/>
                <w:kern w:val="2"/>
                <w:szCs w:val="21"/>
              </w:rPr>
              <w:t>324,980</w:t>
            </w:r>
          </w:p>
        </w:tc>
        <w:tc>
          <w:tcPr>
            <w:tcW w:w="1014" w:type="pct"/>
            <w:shd w:val="clear" w:color="auto" w:fill="auto"/>
          </w:tcPr>
          <w:p>
            <w:pPr>
              <w:jc w:val="right"/>
              <w:rPr>
                <w:rFonts w:cs="Times New Roman"/>
                <w:kern w:val="2"/>
                <w:szCs w:val="21"/>
              </w:rPr>
            </w:pPr>
          </w:p>
        </w:tc>
        <w:tc>
          <w:tcPr>
            <w:tcW w:w="1021" w:type="pct"/>
            <w:shd w:val="clear" w:color="auto" w:fill="auto"/>
          </w:tcPr>
          <w:p>
            <w:pPr>
              <w:jc w:val="right"/>
              <w:rPr>
                <w:rFonts w:cs="Times New Roman"/>
                <w:kern w:val="2"/>
                <w:szCs w:val="21"/>
              </w:rPr>
            </w:pPr>
            <w:r>
              <w:rPr>
                <w:rFonts w:cs="Times New Roman"/>
                <w:kern w:val="2"/>
                <w:szCs w:val="21"/>
              </w:rPr>
              <w:t>212,563</w:t>
            </w:r>
          </w:p>
        </w:tc>
        <w:tc>
          <w:tcPr>
            <w:tcW w:w="1022" w:type="pct"/>
            <w:shd w:val="clear" w:color="auto" w:fill="auto"/>
          </w:tcPr>
          <w:p>
            <w:pPr>
              <w:jc w:val="right"/>
              <w:rPr>
                <w:rFonts w:cs="Times New Roman"/>
                <w:kern w:val="2"/>
                <w:szCs w:val="21"/>
              </w:rPr>
            </w:pPr>
            <w:r>
              <w:rPr>
                <w:rFonts w:cs="Times New Roman"/>
                <w:kern w:val="2"/>
                <w:szCs w:val="21"/>
              </w:rPr>
              <w:t>112,417</w:t>
            </w:r>
          </w:p>
        </w:tc>
      </w:tr>
    </w:tbl>
    <w:p>
      <w:pPr>
        <w:pStyle w:val="affffffffffffffffffffffffffffffffe"/>
        <w:rPr>
          <w:rFonts w:cs="Times New Roman"/>
          <w:b/>
          <w:bCs/>
          <w:kern w:val="2"/>
          <w:szCs w:val="21"/>
        </w:rPr>
      </w:pPr>
    </w:p>
    <w:p>
      <w:pPr>
        <w:rPr>
          <w:rFonts w:cs="Times New Roman"/>
          <w:b/>
          <w:bCs/>
          <w:kern w:val="2"/>
          <w:szCs w:val="21"/>
        </w:rPr>
      </w:pPr>
      <w:r>
        <w:rPr>
          <w:rFonts w:cs="Times New Roman" w:hint="eastAsia"/>
          <w:b/>
          <w:bCs/>
          <w:kern w:val="2"/>
          <w:szCs w:val="21"/>
        </w:rPr>
        <w:t>其他说明，包括本期增减变动情况、变动原因说明：</w:t>
      </w:r>
    </w:p>
    <w:p>
      <w:pPr>
        <w:rPr>
          <w:rFonts w:cs="Times New Roman"/>
          <w:b/>
          <w:bCs/>
          <w:kern w:val="2"/>
          <w:szCs w:val="21"/>
        </w:rPr>
      </w:pPr>
      <w:sdt>
        <w:sdtPr>
          <w:rPr>
            <w:rFonts w:cs="Times New Roman"/>
            <w:b/>
            <w:bCs/>
            <w:kern w:val="2"/>
            <w:szCs w:val="21"/>
          </w:rPr>
          <w:alias w:val="库存股情况说明"/>
          <w:tag w:val="_GBC_42d286884eca4cfab482f6fcc10c0c0b"/>
          <w:id w:val="-1934510920"/>
          <w:placeholder>
            <w:docPart w:val="GBC22222222222222222222222222222"/>
          </w:placeholder>
        </w:sdtPr>
        <w:sdtContent>
          <w:r>
            <w:rPr>
              <w:rFonts w:cs="Times New Roman"/>
              <w:b/>
              <w:bCs/>
              <w:kern w:val="2"/>
              <w:szCs w:val="21"/>
            </w:rPr>
            <w:t>-</w:t>
          </w:r>
        </w:sdtContent>
      </w:sdt>
    </w:p>
    <w:p>
      <w:pPr>
        <w:rPr>
          <w:rFonts w:cs="Times New Roman"/>
          <w:b/>
          <w:bCs/>
          <w:kern w:val="2"/>
          <w:szCs w:val="21"/>
        </w:rPr>
      </w:pPr>
    </w:p>
    <w:p>
      <w:pPr>
        <w:pStyle w:val="affffffffffffffffff6"/>
        <w:numPr>
          <w:ilvl w:val="0"/>
          <w:numId w:val="103"/>
        </w:numPr>
        <w:tabs>
          <w:tab w:val="left" w:pos="504"/>
        </w:tabs>
        <w:rPr>
          <w:rFonts w:ascii="宋体" w:hAnsi="宋体"/>
          <w:szCs w:val="21"/>
        </w:rPr>
      </w:pPr>
      <w:bookmarkStart w:id="467" w:name="_Hlk10537776"/>
      <w:bookmarkStart w:id="468" w:name="_Hlk24027351"/>
      <w:bookmarkEnd w:id="467"/>
      <w:r>
        <w:rPr>
          <w:rFonts w:ascii="宋体" w:hAnsi="宋体" w:hint="eastAsia"/>
          <w:szCs w:val="21"/>
        </w:rPr>
        <w:t>其他综合收益</w:t>
      </w:r>
    </w:p>
    <w:sdt>
      <w:sdtPr>
        <w:alias w:val="是否适用：其他综合收益[双击切换]"/>
        <w:tag w:val="_GBC_60105f81909745c788232a2118ec8260"/>
        <w:id w:val="123767313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综合收益情况"/>
          <w:tag w:val="_GBC_e409bf7299734ac38578b7aeaafe4b22"/>
          <w:id w:val="-13429241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其他综合收益情况"/>
          <w:tag w:val="_GBC_27d655d96e764a21a47eae18f25945dc"/>
          <w:id w:val="17008221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90"/>
        <w:gridCol w:w="1162"/>
        <w:gridCol w:w="1162"/>
        <w:gridCol w:w="952"/>
        <w:gridCol w:w="635"/>
        <w:gridCol w:w="845"/>
        <w:gridCol w:w="1464"/>
        <w:gridCol w:w="1392"/>
        <w:gridCol w:w="1583"/>
      </w:tblGrid>
      <w:tr>
        <w:trPr>
          <w:trHeight w:val="215"/>
          <w:jc w:val="center"/>
        </w:trPr>
        <w:sdt>
          <w:sdtPr>
            <w:tag w:val="_PLD_b9ff3615ccfb4fb8b5b240bdfb50f58f"/>
            <w:id w:val="1307816032"/>
          </w:sdtPr>
          <w:sdtContent>
            <w:tc>
              <w:tcPr>
                <w:tcW w:w="615" w:type="pct"/>
                <w:vMerge w:val="restart"/>
                <w:shd w:val="clear" w:color="auto" w:fill="auto"/>
                <w:vAlign w:val="center"/>
              </w:tcPr>
              <w:p>
                <w:pPr>
                  <w:jc w:val="center"/>
                  <w:rPr>
                    <w:szCs w:val="21"/>
                  </w:rPr>
                </w:pPr>
                <w:r>
                  <w:rPr>
                    <w:rFonts w:hint="eastAsia"/>
                    <w:szCs w:val="21"/>
                  </w:rPr>
                  <w:t>项目</w:t>
                </w:r>
              </w:p>
            </w:tc>
          </w:sdtContent>
        </w:sdt>
        <w:sdt>
          <w:sdtPr>
            <w:tag w:val="_PLD_c452eb3cb7084e41ba725641dbad27ab"/>
            <w:id w:val="-1262761682"/>
          </w:sdtPr>
          <w:sdtContent>
            <w:tc>
              <w:tcPr>
                <w:tcW w:w="554" w:type="pct"/>
                <w:vMerge w:val="restart"/>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c4c67158aa744717a253a7b51b99ed00"/>
            <w:id w:val="1499694728"/>
          </w:sdtPr>
          <w:sdtContent>
            <w:tc>
              <w:tcPr>
                <w:tcW w:w="3075" w:type="pct"/>
                <w:gridSpan w:val="6"/>
                <w:shd w:val="clear" w:color="auto" w:fill="auto"/>
                <w:vAlign w:val="center"/>
              </w:tcPr>
              <w:p>
                <w:pPr>
                  <w:jc w:val="center"/>
                  <w:rPr>
                    <w:szCs w:val="21"/>
                  </w:rPr>
                </w:pPr>
                <w:r>
                  <w:rPr>
                    <w:rFonts w:hint="eastAsia"/>
                    <w:szCs w:val="21"/>
                  </w:rPr>
                  <w:t>本期发生金额</w:t>
                </w:r>
              </w:p>
            </w:tc>
          </w:sdtContent>
        </w:sdt>
        <w:sdt>
          <w:sdtPr>
            <w:tag w:val="_PLD_2fcdc30e089b48d0af01eff4e6c0c7ad"/>
            <w:id w:val="1549183212"/>
          </w:sdtPr>
          <w:sdtContent>
            <w:tc>
              <w:tcPr>
                <w:tcW w:w="756" w:type="pct"/>
                <w:vMerge w:val="restart"/>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tr>
      <w:tr>
        <w:trPr>
          <w:jc w:val="center"/>
        </w:trPr>
        <w:tc>
          <w:tcPr>
            <w:tcW w:w="615" w:type="pct"/>
            <w:vMerge/>
            <w:shd w:val="clear" w:color="auto" w:fill="auto"/>
            <w:vAlign w:val="center"/>
          </w:tcPr>
          <w:p>
            <w:pPr>
              <w:jc w:val="center"/>
              <w:rPr>
                <w:szCs w:val="21"/>
              </w:rPr>
            </w:pPr>
          </w:p>
        </w:tc>
        <w:tc>
          <w:tcPr>
            <w:tcW w:w="554" w:type="pct"/>
            <w:vMerge/>
            <w:shd w:val="clear" w:color="auto" w:fill="auto"/>
            <w:vAlign w:val="center"/>
          </w:tcPr>
          <w:p>
            <w:pPr>
              <w:jc w:val="center"/>
              <w:rPr>
                <w:szCs w:val="21"/>
              </w:rPr>
            </w:pPr>
          </w:p>
        </w:tc>
        <w:sdt>
          <w:sdtPr>
            <w:tag w:val="_PLD_08b0381418824e1685e4223515aed1f1"/>
            <w:id w:val="-1095932895"/>
          </w:sdtPr>
          <w:sdtContent>
            <w:tc>
              <w:tcPr>
                <w:tcW w:w="554" w:type="pct"/>
                <w:shd w:val="clear" w:color="auto" w:fill="auto"/>
                <w:vAlign w:val="center"/>
              </w:tcPr>
              <w:p>
                <w:pPr>
                  <w:jc w:val="center"/>
                  <w:rPr>
                    <w:szCs w:val="21"/>
                  </w:rPr>
                </w:pPr>
                <w:r>
                  <w:rPr>
                    <w:rFonts w:hint="eastAsia"/>
                    <w:szCs w:val="21"/>
                  </w:rPr>
                  <w:t>本期所得税前发生额</w:t>
                </w:r>
              </w:p>
            </w:tc>
          </w:sdtContent>
        </w:sdt>
        <w:sdt>
          <w:sdtPr>
            <w:tag w:val="_PLD_b9b4a9789ab94b46aa682fa396296a6f"/>
            <w:id w:val="-1626914292"/>
          </w:sdtPr>
          <w:sdtContent>
            <w:tc>
              <w:tcPr>
                <w:tcW w:w="454" w:type="pct"/>
                <w:shd w:val="clear" w:color="auto" w:fill="auto"/>
                <w:vAlign w:val="center"/>
              </w:tcPr>
              <w:p>
                <w:pPr>
                  <w:jc w:val="center"/>
                  <w:rPr>
                    <w:szCs w:val="21"/>
                  </w:rPr>
                </w:pPr>
                <w:r>
                  <w:rPr>
                    <w:rFonts w:hint="eastAsia"/>
                    <w:szCs w:val="21"/>
                  </w:rPr>
                  <w:t>减：前期计入其他综合收益当期转入损益</w:t>
                </w:r>
              </w:p>
            </w:tc>
          </w:sdtContent>
        </w:sdt>
        <w:tc>
          <w:tcPr>
            <w:tcW w:w="303" w:type="pct"/>
            <w:vAlign w:val="center"/>
          </w:tcPr>
          <w:sdt>
            <w:sdtPr>
              <w:tag w:val="_PLD_a38fa46c72bd4d5dbd427d2107ab58cc"/>
              <w:id w:val="716783083"/>
            </w:sdtPr>
            <w:sdtContent>
              <w:p>
                <w:pPr>
                  <w:jc w:val="center"/>
                </w:pPr>
                <w:r>
                  <w:rPr>
                    <w:rFonts w:hint="eastAsia"/>
                    <w:szCs w:val="21"/>
                  </w:rPr>
                  <w:t>减：前期计入其他综合收益当期转入留存收益</w:t>
                </w:r>
              </w:p>
            </w:sdtContent>
          </w:sdt>
        </w:tc>
        <w:sdt>
          <w:sdtPr>
            <w:tag w:val="_PLD_3aa0b45624ce4714ba49e23b657915b8"/>
            <w:id w:val="-1000887968"/>
          </w:sdtPr>
          <w:sdtContent>
            <w:tc>
              <w:tcPr>
                <w:tcW w:w="403" w:type="pct"/>
                <w:shd w:val="clear" w:color="auto" w:fill="auto"/>
                <w:vAlign w:val="center"/>
              </w:tcPr>
              <w:p>
                <w:pPr>
                  <w:jc w:val="center"/>
                  <w:rPr>
                    <w:szCs w:val="21"/>
                  </w:rPr>
                </w:pPr>
                <w:r>
                  <w:rPr>
                    <w:rFonts w:hint="eastAsia"/>
                    <w:szCs w:val="21"/>
                  </w:rPr>
                  <w:t>减：所得税费用</w:t>
                </w:r>
              </w:p>
            </w:tc>
          </w:sdtContent>
        </w:sdt>
        <w:sdt>
          <w:sdtPr>
            <w:tag w:val="_PLD_8b3cddc1172740f1a089204a9d0cbe76"/>
            <w:id w:val="721645195"/>
          </w:sdtPr>
          <w:sdtContent>
            <w:tc>
              <w:tcPr>
                <w:tcW w:w="698" w:type="pct"/>
                <w:shd w:val="clear" w:color="auto" w:fill="auto"/>
                <w:vAlign w:val="center"/>
              </w:tcPr>
              <w:p>
                <w:pPr>
                  <w:jc w:val="center"/>
                  <w:rPr>
                    <w:szCs w:val="21"/>
                  </w:rPr>
                </w:pPr>
                <w:r>
                  <w:rPr>
                    <w:rFonts w:hint="eastAsia"/>
                    <w:szCs w:val="21"/>
                  </w:rPr>
                  <w:t>税后归属于母公司</w:t>
                </w:r>
              </w:p>
            </w:tc>
          </w:sdtContent>
        </w:sdt>
        <w:sdt>
          <w:sdtPr>
            <w:tag w:val="_PLD_addbe2b10c3b49449f4532c4ee8679a0"/>
            <w:id w:val="653727803"/>
          </w:sdtPr>
          <w:sdtContent>
            <w:tc>
              <w:tcPr>
                <w:tcW w:w="664" w:type="pct"/>
                <w:shd w:val="clear" w:color="auto" w:fill="auto"/>
                <w:vAlign w:val="center"/>
              </w:tcPr>
              <w:p>
                <w:pPr>
                  <w:jc w:val="center"/>
                  <w:rPr>
                    <w:szCs w:val="21"/>
                  </w:rPr>
                </w:pPr>
                <w:r>
                  <w:rPr>
                    <w:rFonts w:hint="eastAsia"/>
                    <w:szCs w:val="21"/>
                  </w:rPr>
                  <w:t>税后归属于少数股东</w:t>
                </w:r>
              </w:p>
            </w:tc>
          </w:sdtContent>
        </w:sdt>
        <w:tc>
          <w:tcPr>
            <w:tcW w:w="756" w:type="pct"/>
            <w:vMerge/>
            <w:shd w:val="clear" w:color="auto" w:fill="auto"/>
            <w:vAlign w:val="center"/>
          </w:tcPr>
          <w:p>
            <w:pPr>
              <w:jc w:val="center"/>
              <w:rPr>
                <w:szCs w:val="21"/>
              </w:rPr>
            </w:pPr>
          </w:p>
        </w:tc>
      </w:tr>
      <w:tr>
        <w:trPr>
          <w:jc w:val="center"/>
        </w:trPr>
        <w:tc>
          <w:tcPr>
            <w:tcW w:w="615" w:type="pct"/>
            <w:shd w:val="clear" w:color="auto" w:fill="auto"/>
            <w:vAlign w:val="center"/>
          </w:tcPr>
          <w:p>
            <w:pPr>
              <w:rPr>
                <w:szCs w:val="21"/>
              </w:rPr>
            </w:pPr>
            <w:r>
              <w:rPr>
                <w:rFonts w:hint="eastAsia"/>
                <w:szCs w:val="21"/>
              </w:rPr>
              <w:lastRenderedPageBreak/>
              <w:t>一、不能重分类进损益的其他综合收益</w:t>
            </w:r>
          </w:p>
        </w:tc>
        <w:tc>
          <w:tcPr>
            <w:tcW w:w="554" w:type="pct"/>
            <w:shd w:val="clear" w:color="auto" w:fill="auto"/>
            <w:vAlign w:val="center"/>
          </w:tcPr>
          <w:p>
            <w:pPr>
              <w:pStyle w:val="affffffffffffffffffffffffffffffffe"/>
              <w:jc w:val="right"/>
            </w:pPr>
            <w:r>
              <w:t>-3,693</w:t>
            </w:r>
          </w:p>
        </w:tc>
        <w:tc>
          <w:tcPr>
            <w:tcW w:w="554" w:type="pct"/>
            <w:shd w:val="clear" w:color="auto" w:fill="auto"/>
            <w:vAlign w:val="center"/>
          </w:tcPr>
          <w:p>
            <w:pPr>
              <w:pStyle w:val="affffffffffffffffffffffffffffffffe"/>
              <w:jc w:val="right"/>
            </w:pPr>
            <w:r>
              <w:t>26,654</w:t>
            </w:r>
          </w:p>
        </w:tc>
        <w:tc>
          <w:tcPr>
            <w:tcW w:w="454" w:type="pct"/>
            <w:shd w:val="clear" w:color="auto" w:fill="auto"/>
            <w:vAlign w:val="center"/>
          </w:tcPr>
          <w:p>
            <w:pPr>
              <w:pStyle w:val="affffffffffffffffffffffffffffffffe"/>
              <w:jc w:val="right"/>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sz w:val="24"/>
              </w:rPr>
            </w:pPr>
            <w:r>
              <w:t>7,674</w:t>
            </w:r>
          </w:p>
        </w:tc>
        <w:tc>
          <w:tcPr>
            <w:tcW w:w="698" w:type="pct"/>
            <w:shd w:val="clear" w:color="auto" w:fill="auto"/>
            <w:vAlign w:val="center"/>
          </w:tcPr>
          <w:p>
            <w:pPr>
              <w:pStyle w:val="affffffffffffffffffffffffffffffffe"/>
              <w:jc w:val="right"/>
            </w:pPr>
            <w:r>
              <w:t>9,671</w:t>
            </w:r>
          </w:p>
        </w:tc>
        <w:tc>
          <w:tcPr>
            <w:tcW w:w="664" w:type="pct"/>
            <w:shd w:val="clear" w:color="auto" w:fill="auto"/>
            <w:vAlign w:val="center"/>
          </w:tcPr>
          <w:p>
            <w:pPr>
              <w:pStyle w:val="affffffffffffffffffffffffffffffffe"/>
              <w:jc w:val="right"/>
            </w:pPr>
            <w:r>
              <w:t>9,309</w:t>
            </w:r>
          </w:p>
        </w:tc>
        <w:tc>
          <w:tcPr>
            <w:tcW w:w="756" w:type="pct"/>
            <w:shd w:val="clear" w:color="auto" w:fill="auto"/>
            <w:vAlign w:val="center"/>
          </w:tcPr>
          <w:p>
            <w:pPr>
              <w:pStyle w:val="affffffffffffffffffffffffffffffffe"/>
              <w:jc w:val="right"/>
            </w:pPr>
            <w:r>
              <w:t>5,978</w:t>
            </w:r>
          </w:p>
        </w:tc>
      </w:tr>
      <w:tr>
        <w:trPr>
          <w:jc w:val="center"/>
        </w:trPr>
        <w:tc>
          <w:tcPr>
            <w:tcW w:w="615" w:type="pct"/>
            <w:shd w:val="clear" w:color="auto" w:fill="auto"/>
            <w:vAlign w:val="center"/>
          </w:tcPr>
          <w:p>
            <w:pPr>
              <w:rPr>
                <w:szCs w:val="21"/>
              </w:rPr>
            </w:pPr>
            <w:r>
              <w:rPr>
                <w:rFonts w:hint="eastAsia"/>
                <w:szCs w:val="21"/>
              </w:rPr>
              <w:t>其中：重新计量设定受益计划变动额</w:t>
            </w:r>
          </w:p>
        </w:tc>
        <w:tc>
          <w:tcPr>
            <w:tcW w:w="554" w:type="pct"/>
            <w:shd w:val="clear" w:color="auto" w:fill="auto"/>
            <w:vAlign w:val="center"/>
          </w:tcPr>
          <w:p>
            <w:pPr>
              <w:pStyle w:val="affffffffffffffffffffffffffffffffe"/>
              <w:jc w:val="right"/>
            </w:pPr>
            <w:r>
              <w:t>-8,856</w:t>
            </w:r>
          </w:p>
        </w:tc>
        <w:tc>
          <w:tcPr>
            <w:tcW w:w="554" w:type="pct"/>
            <w:shd w:val="clear" w:color="auto" w:fill="auto"/>
            <w:vAlign w:val="center"/>
          </w:tcPr>
          <w:p>
            <w:pPr>
              <w:pStyle w:val="affffffffffffffffffffffffffffffffe"/>
              <w:jc w:val="right"/>
            </w:pPr>
            <w:r>
              <w:t>26,675</w:t>
            </w:r>
          </w:p>
        </w:tc>
        <w:tc>
          <w:tcPr>
            <w:tcW w:w="454" w:type="pct"/>
            <w:shd w:val="clear" w:color="auto" w:fill="auto"/>
            <w:vAlign w:val="center"/>
          </w:tcPr>
          <w:p>
            <w:pPr>
              <w:pStyle w:val="affffffffffffffffffffffffffffffffe"/>
              <w:jc w:val="right"/>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sz w:val="24"/>
              </w:rPr>
            </w:pPr>
            <w:r>
              <w:t>7,678</w:t>
            </w:r>
          </w:p>
        </w:tc>
        <w:tc>
          <w:tcPr>
            <w:tcW w:w="698" w:type="pct"/>
            <w:shd w:val="clear" w:color="auto" w:fill="auto"/>
            <w:vAlign w:val="center"/>
          </w:tcPr>
          <w:p>
            <w:pPr>
              <w:pStyle w:val="affffffffffffffffffffffffffffffffe"/>
              <w:jc w:val="right"/>
            </w:pPr>
            <w:r>
              <w:t>9,688</w:t>
            </w:r>
          </w:p>
        </w:tc>
        <w:tc>
          <w:tcPr>
            <w:tcW w:w="664" w:type="pct"/>
            <w:shd w:val="clear" w:color="auto" w:fill="auto"/>
            <w:vAlign w:val="center"/>
          </w:tcPr>
          <w:p>
            <w:pPr>
              <w:pStyle w:val="affffffffffffffffffffffffffffffffe"/>
              <w:jc w:val="right"/>
            </w:pPr>
            <w:r>
              <w:t>9,309</w:t>
            </w:r>
          </w:p>
        </w:tc>
        <w:tc>
          <w:tcPr>
            <w:tcW w:w="756" w:type="pct"/>
            <w:shd w:val="clear" w:color="auto" w:fill="auto"/>
            <w:vAlign w:val="center"/>
          </w:tcPr>
          <w:p>
            <w:pPr>
              <w:pStyle w:val="affffffffffffffffffffffffffffffffe"/>
              <w:jc w:val="right"/>
            </w:pPr>
            <w:r>
              <w:t>832</w:t>
            </w:r>
          </w:p>
        </w:tc>
      </w:tr>
      <w:tr>
        <w:trPr>
          <w:jc w:val="center"/>
        </w:trPr>
        <w:tc>
          <w:tcPr>
            <w:tcW w:w="615" w:type="pct"/>
            <w:shd w:val="clear" w:color="auto" w:fill="auto"/>
            <w:vAlign w:val="center"/>
          </w:tcPr>
          <w:p>
            <w:pPr>
              <w:ind w:firstLineChars="100" w:firstLine="210"/>
              <w:rPr>
                <w:szCs w:val="21"/>
              </w:rPr>
            </w:pPr>
            <w:r>
              <w:rPr>
                <w:rFonts w:hint="eastAsia"/>
                <w:szCs w:val="21"/>
              </w:rPr>
              <w:t>权益法下不能转损益的其他综合收益</w:t>
            </w:r>
          </w:p>
        </w:tc>
        <w:tc>
          <w:tcPr>
            <w:tcW w:w="554" w:type="pct"/>
            <w:shd w:val="clear" w:color="auto" w:fill="auto"/>
            <w:vAlign w:val="center"/>
          </w:tcPr>
          <w:p>
            <w:pPr>
              <w:pStyle w:val="affffffffffffffffffffffffffffffffe"/>
              <w:jc w:val="right"/>
            </w:pPr>
            <w:r>
              <w:t>5,884</w:t>
            </w:r>
          </w:p>
        </w:tc>
        <w:tc>
          <w:tcPr>
            <w:tcW w:w="554" w:type="pct"/>
            <w:shd w:val="clear" w:color="auto" w:fill="auto"/>
            <w:vAlign w:val="center"/>
          </w:tcPr>
          <w:p>
            <w:pPr>
              <w:pStyle w:val="affffffffffffffffffffffffffffffffe"/>
              <w:jc w:val="right"/>
            </w:pPr>
          </w:p>
        </w:tc>
        <w:tc>
          <w:tcPr>
            <w:tcW w:w="454" w:type="pct"/>
            <w:shd w:val="clear" w:color="auto" w:fill="auto"/>
            <w:vAlign w:val="center"/>
          </w:tcPr>
          <w:p>
            <w:pPr>
              <w:jc w:val="right"/>
              <w:rPr>
                <w:rFonts w:ascii="Times New Roman" w:eastAsia="Times New Roman" w:hAnsi="Times New Roman" w:cs="Times New Roman"/>
                <w:sz w:val="20"/>
                <w:szCs w:val="20"/>
              </w:rPr>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rFonts w:ascii="Times New Roman" w:eastAsia="Times New Roman" w:hAnsi="Times New Roman" w:cs="Times New Roman"/>
                <w:sz w:val="20"/>
                <w:szCs w:val="20"/>
              </w:rPr>
            </w:pPr>
          </w:p>
        </w:tc>
        <w:tc>
          <w:tcPr>
            <w:tcW w:w="698" w:type="pct"/>
            <w:shd w:val="clear" w:color="auto" w:fill="auto"/>
            <w:vAlign w:val="center"/>
          </w:tcPr>
          <w:p>
            <w:pPr>
              <w:jc w:val="right"/>
              <w:rPr>
                <w:rFonts w:ascii="Times New Roman" w:eastAsia="Times New Roman" w:hAnsi="Times New Roman" w:cs="Times New Roman"/>
                <w:sz w:val="20"/>
                <w:szCs w:val="20"/>
              </w:rPr>
            </w:pPr>
          </w:p>
        </w:tc>
        <w:tc>
          <w:tcPr>
            <w:tcW w:w="664" w:type="pct"/>
            <w:shd w:val="clear" w:color="auto" w:fill="auto"/>
            <w:vAlign w:val="center"/>
          </w:tcPr>
          <w:p>
            <w:pPr>
              <w:jc w:val="right"/>
              <w:rPr>
                <w:rFonts w:ascii="Times New Roman" w:eastAsia="Times New Roman" w:hAnsi="Times New Roman" w:cs="Times New Roman"/>
                <w:sz w:val="20"/>
                <w:szCs w:val="20"/>
              </w:rPr>
            </w:pPr>
          </w:p>
        </w:tc>
        <w:tc>
          <w:tcPr>
            <w:tcW w:w="756" w:type="pct"/>
            <w:shd w:val="clear" w:color="auto" w:fill="auto"/>
            <w:vAlign w:val="center"/>
          </w:tcPr>
          <w:p>
            <w:pPr>
              <w:jc w:val="right"/>
              <w:rPr>
                <w:sz w:val="24"/>
              </w:rPr>
            </w:pPr>
            <w:r>
              <w:t>5,884</w:t>
            </w:r>
          </w:p>
        </w:tc>
      </w:tr>
      <w:tr>
        <w:trPr>
          <w:jc w:val="center"/>
        </w:trPr>
        <w:tc>
          <w:tcPr>
            <w:tcW w:w="615" w:type="pct"/>
            <w:shd w:val="clear" w:color="auto" w:fill="auto"/>
            <w:vAlign w:val="center"/>
          </w:tcPr>
          <w:p>
            <w:pPr>
              <w:ind w:firstLineChars="100" w:firstLine="210"/>
            </w:pPr>
            <w:r>
              <w:rPr>
                <w:rFonts w:hint="eastAsia"/>
              </w:rPr>
              <w:t>其他权益工具投资公允价值变动</w:t>
            </w:r>
          </w:p>
        </w:tc>
        <w:tc>
          <w:tcPr>
            <w:tcW w:w="554" w:type="pct"/>
            <w:shd w:val="clear" w:color="auto" w:fill="auto"/>
            <w:vAlign w:val="center"/>
          </w:tcPr>
          <w:p>
            <w:pPr>
              <w:pStyle w:val="affffffffffffffffffffffffffffffffe"/>
              <w:jc w:val="right"/>
            </w:pPr>
            <w:r>
              <w:t>-721</w:t>
            </w:r>
          </w:p>
        </w:tc>
        <w:tc>
          <w:tcPr>
            <w:tcW w:w="554" w:type="pct"/>
            <w:shd w:val="clear" w:color="auto" w:fill="auto"/>
            <w:vAlign w:val="center"/>
          </w:tcPr>
          <w:p>
            <w:pPr>
              <w:pStyle w:val="affffffffffffffffffffffffffffffffe"/>
              <w:jc w:val="right"/>
            </w:pPr>
            <w:r>
              <w:t>-21</w:t>
            </w:r>
          </w:p>
        </w:tc>
        <w:tc>
          <w:tcPr>
            <w:tcW w:w="454" w:type="pct"/>
            <w:shd w:val="clear" w:color="auto" w:fill="auto"/>
            <w:vAlign w:val="center"/>
          </w:tcPr>
          <w:p>
            <w:pPr>
              <w:pStyle w:val="affffffffffffffffffffffffffffffffe"/>
              <w:jc w:val="right"/>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sz w:val="24"/>
              </w:rPr>
            </w:pPr>
            <w:r>
              <w:t>-4</w:t>
            </w:r>
          </w:p>
        </w:tc>
        <w:tc>
          <w:tcPr>
            <w:tcW w:w="698" w:type="pct"/>
            <w:shd w:val="clear" w:color="auto" w:fill="auto"/>
            <w:vAlign w:val="center"/>
          </w:tcPr>
          <w:p>
            <w:pPr>
              <w:pStyle w:val="affffffffffffffffffffffffffffffffe"/>
              <w:jc w:val="right"/>
            </w:pPr>
            <w:r>
              <w:t>-17</w:t>
            </w:r>
          </w:p>
        </w:tc>
        <w:tc>
          <w:tcPr>
            <w:tcW w:w="664" w:type="pct"/>
            <w:shd w:val="clear" w:color="auto" w:fill="auto"/>
            <w:vAlign w:val="center"/>
          </w:tcPr>
          <w:p>
            <w:pPr>
              <w:pStyle w:val="affffffffffffffffffffffffffffffffe"/>
              <w:jc w:val="right"/>
            </w:pPr>
          </w:p>
        </w:tc>
        <w:tc>
          <w:tcPr>
            <w:tcW w:w="756" w:type="pct"/>
            <w:shd w:val="clear" w:color="auto" w:fill="auto"/>
            <w:vAlign w:val="center"/>
          </w:tcPr>
          <w:p>
            <w:pPr>
              <w:jc w:val="right"/>
              <w:rPr>
                <w:sz w:val="24"/>
              </w:rPr>
            </w:pPr>
            <w:r>
              <w:t>-738</w:t>
            </w:r>
          </w:p>
        </w:tc>
      </w:tr>
      <w:tr>
        <w:trPr>
          <w:jc w:val="center"/>
        </w:trPr>
        <w:tc>
          <w:tcPr>
            <w:tcW w:w="615" w:type="pct"/>
            <w:shd w:val="clear" w:color="auto" w:fill="auto"/>
            <w:vAlign w:val="center"/>
          </w:tcPr>
          <w:p>
            <w:pPr>
              <w:rPr>
                <w:szCs w:val="21"/>
              </w:rPr>
            </w:pPr>
            <w:r>
              <w:rPr>
                <w:rFonts w:hint="eastAsia"/>
                <w:szCs w:val="21"/>
              </w:rPr>
              <w:t>二、将重分类进损益的其他综合收益</w:t>
            </w:r>
          </w:p>
        </w:tc>
        <w:tc>
          <w:tcPr>
            <w:tcW w:w="554" w:type="pct"/>
            <w:shd w:val="clear" w:color="auto" w:fill="auto"/>
            <w:vAlign w:val="center"/>
          </w:tcPr>
          <w:p>
            <w:pPr>
              <w:pStyle w:val="affffffffffffffffffffffffffffffffe"/>
              <w:jc w:val="right"/>
            </w:pPr>
            <w:r>
              <w:t>-6,331,023</w:t>
            </w:r>
          </w:p>
        </w:tc>
        <w:tc>
          <w:tcPr>
            <w:tcW w:w="554" w:type="pct"/>
            <w:shd w:val="clear" w:color="auto" w:fill="auto"/>
            <w:vAlign w:val="center"/>
          </w:tcPr>
          <w:p>
            <w:pPr>
              <w:pStyle w:val="affffffffffffffffffffffffffffffffe"/>
              <w:jc w:val="right"/>
            </w:pPr>
            <w:r>
              <w:t>-3,262,045</w:t>
            </w:r>
          </w:p>
        </w:tc>
        <w:tc>
          <w:tcPr>
            <w:tcW w:w="454" w:type="pct"/>
            <w:shd w:val="clear" w:color="auto" w:fill="auto"/>
            <w:vAlign w:val="center"/>
          </w:tcPr>
          <w:p>
            <w:pPr>
              <w:pStyle w:val="affffffffffffffffffffffffffffffffe"/>
              <w:jc w:val="right"/>
            </w:pPr>
            <w:r>
              <w:t>-586,825</w:t>
            </w:r>
          </w:p>
        </w:tc>
        <w:tc>
          <w:tcPr>
            <w:tcW w:w="303" w:type="pct"/>
            <w:vAlign w:val="center"/>
          </w:tcPr>
          <w:p>
            <w:pPr>
              <w:pStyle w:val="affffffffffffffffffffffffffffffffe"/>
              <w:jc w:val="right"/>
            </w:pPr>
          </w:p>
        </w:tc>
        <w:tc>
          <w:tcPr>
            <w:tcW w:w="403" w:type="pct"/>
            <w:shd w:val="clear" w:color="auto" w:fill="auto"/>
            <w:vAlign w:val="center"/>
          </w:tcPr>
          <w:p>
            <w:pPr>
              <w:jc w:val="right"/>
              <w:rPr>
                <w:sz w:val="24"/>
              </w:rPr>
            </w:pPr>
            <w:r>
              <w:t>-52,814</w:t>
            </w:r>
          </w:p>
        </w:tc>
        <w:tc>
          <w:tcPr>
            <w:tcW w:w="698" w:type="pct"/>
            <w:shd w:val="clear" w:color="auto" w:fill="auto"/>
            <w:vAlign w:val="center"/>
          </w:tcPr>
          <w:p>
            <w:pPr>
              <w:pStyle w:val="affffffffffffffffffffffffffffffffe"/>
              <w:jc w:val="right"/>
            </w:pPr>
            <w:r>
              <w:t>-1,609,506</w:t>
            </w:r>
          </w:p>
        </w:tc>
        <w:tc>
          <w:tcPr>
            <w:tcW w:w="664" w:type="pct"/>
            <w:shd w:val="clear" w:color="auto" w:fill="auto"/>
            <w:vAlign w:val="center"/>
          </w:tcPr>
          <w:p>
            <w:pPr>
              <w:pStyle w:val="affffffffffffffffffffffffffffffffe"/>
              <w:jc w:val="right"/>
            </w:pPr>
            <w:r>
              <w:t>-1,012,900</w:t>
            </w:r>
          </w:p>
        </w:tc>
        <w:tc>
          <w:tcPr>
            <w:tcW w:w="756" w:type="pct"/>
            <w:shd w:val="clear" w:color="auto" w:fill="auto"/>
            <w:vAlign w:val="center"/>
          </w:tcPr>
          <w:p>
            <w:pPr>
              <w:pStyle w:val="affffffffffffffffffffffffffffffffe"/>
              <w:jc w:val="right"/>
            </w:pPr>
            <w:r>
              <w:t>-7,940,529</w:t>
            </w:r>
          </w:p>
        </w:tc>
      </w:tr>
      <w:tr>
        <w:trPr>
          <w:jc w:val="center"/>
        </w:trPr>
        <w:tc>
          <w:tcPr>
            <w:tcW w:w="615" w:type="pct"/>
            <w:shd w:val="clear" w:color="auto" w:fill="auto"/>
            <w:vAlign w:val="center"/>
          </w:tcPr>
          <w:p>
            <w:pPr>
              <w:rPr>
                <w:szCs w:val="21"/>
              </w:rPr>
            </w:pPr>
            <w:r>
              <w:rPr>
                <w:rFonts w:hint="eastAsia"/>
                <w:szCs w:val="21"/>
              </w:rPr>
              <w:t>其中：权益法下可转损益的其他综合收益</w:t>
            </w:r>
          </w:p>
        </w:tc>
        <w:tc>
          <w:tcPr>
            <w:tcW w:w="554" w:type="pct"/>
            <w:shd w:val="clear" w:color="auto" w:fill="auto"/>
            <w:vAlign w:val="center"/>
          </w:tcPr>
          <w:p>
            <w:pPr>
              <w:pStyle w:val="affffffffffffffffffffffffffffffffe"/>
              <w:jc w:val="right"/>
            </w:pPr>
            <w:r>
              <w:t>30,720</w:t>
            </w:r>
          </w:p>
        </w:tc>
        <w:tc>
          <w:tcPr>
            <w:tcW w:w="554" w:type="pct"/>
            <w:shd w:val="clear" w:color="auto" w:fill="auto"/>
            <w:vAlign w:val="center"/>
          </w:tcPr>
          <w:p>
            <w:pPr>
              <w:pStyle w:val="affffffffffffffffffffffffffffffffe"/>
              <w:jc w:val="right"/>
            </w:pPr>
            <w:r>
              <w:t>248,811</w:t>
            </w:r>
          </w:p>
        </w:tc>
        <w:tc>
          <w:tcPr>
            <w:tcW w:w="454" w:type="pct"/>
            <w:shd w:val="clear" w:color="auto" w:fill="auto"/>
            <w:vAlign w:val="center"/>
          </w:tcPr>
          <w:p>
            <w:pPr>
              <w:pStyle w:val="affffffffffffffffffffffffffffffffe"/>
              <w:jc w:val="right"/>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rFonts w:ascii="Times New Roman" w:eastAsia="Times New Roman" w:hAnsi="Times New Roman" w:cs="Times New Roman"/>
                <w:sz w:val="20"/>
                <w:szCs w:val="20"/>
              </w:rPr>
            </w:pPr>
          </w:p>
        </w:tc>
        <w:tc>
          <w:tcPr>
            <w:tcW w:w="698" w:type="pct"/>
            <w:shd w:val="clear" w:color="auto" w:fill="auto"/>
            <w:vAlign w:val="center"/>
          </w:tcPr>
          <w:p>
            <w:pPr>
              <w:jc w:val="right"/>
              <w:rPr>
                <w:sz w:val="24"/>
              </w:rPr>
            </w:pPr>
            <w:r>
              <w:t>248,811</w:t>
            </w:r>
          </w:p>
        </w:tc>
        <w:tc>
          <w:tcPr>
            <w:tcW w:w="664" w:type="pct"/>
            <w:shd w:val="clear" w:color="auto" w:fill="auto"/>
            <w:vAlign w:val="center"/>
          </w:tcPr>
          <w:p>
            <w:pPr>
              <w:pStyle w:val="affffffffffffffffffffffffffffffffe"/>
              <w:jc w:val="right"/>
            </w:pPr>
          </w:p>
        </w:tc>
        <w:tc>
          <w:tcPr>
            <w:tcW w:w="756" w:type="pct"/>
            <w:shd w:val="clear" w:color="auto" w:fill="auto"/>
            <w:vAlign w:val="center"/>
          </w:tcPr>
          <w:p>
            <w:pPr>
              <w:jc w:val="right"/>
              <w:rPr>
                <w:sz w:val="24"/>
              </w:rPr>
            </w:pPr>
            <w:r>
              <w:t>279,531</w:t>
            </w:r>
          </w:p>
        </w:tc>
      </w:tr>
      <w:tr>
        <w:trPr>
          <w:jc w:val="center"/>
        </w:trPr>
        <w:tc>
          <w:tcPr>
            <w:tcW w:w="615" w:type="pct"/>
            <w:shd w:val="clear" w:color="auto" w:fill="auto"/>
            <w:vAlign w:val="center"/>
          </w:tcPr>
          <w:p>
            <w:pPr>
              <w:spacing w:line="360" w:lineRule="exact"/>
              <w:rPr>
                <w:sz w:val="18"/>
                <w:szCs w:val="18"/>
              </w:rPr>
            </w:pPr>
            <w:r>
              <w:rPr>
                <w:rFonts w:hint="eastAsia"/>
                <w:sz w:val="18"/>
                <w:szCs w:val="18"/>
              </w:rPr>
              <w:t>现金流量套期储备</w:t>
            </w:r>
          </w:p>
        </w:tc>
        <w:tc>
          <w:tcPr>
            <w:tcW w:w="554" w:type="pct"/>
            <w:shd w:val="clear" w:color="auto" w:fill="auto"/>
            <w:vAlign w:val="center"/>
          </w:tcPr>
          <w:p>
            <w:pPr>
              <w:pStyle w:val="affffffffffffffffffffffffffffffffe"/>
              <w:jc w:val="right"/>
            </w:pPr>
            <w:r>
              <w:t>-528,489</w:t>
            </w:r>
          </w:p>
        </w:tc>
        <w:tc>
          <w:tcPr>
            <w:tcW w:w="554" w:type="pct"/>
            <w:shd w:val="clear" w:color="auto" w:fill="auto"/>
            <w:vAlign w:val="center"/>
          </w:tcPr>
          <w:p>
            <w:pPr>
              <w:pStyle w:val="affffffffffffffffffffffffffffffffe"/>
              <w:jc w:val="right"/>
            </w:pPr>
            <w:r>
              <w:t>-228,862</w:t>
            </w:r>
          </w:p>
        </w:tc>
        <w:tc>
          <w:tcPr>
            <w:tcW w:w="454" w:type="pct"/>
            <w:shd w:val="clear" w:color="auto" w:fill="auto"/>
            <w:vAlign w:val="center"/>
          </w:tcPr>
          <w:p>
            <w:pPr>
              <w:pStyle w:val="affffffffffffffffffffffffffffffffe"/>
              <w:jc w:val="right"/>
            </w:pPr>
            <w:r>
              <w:t>-586,825</w:t>
            </w:r>
          </w:p>
        </w:tc>
        <w:tc>
          <w:tcPr>
            <w:tcW w:w="303" w:type="pct"/>
            <w:vAlign w:val="center"/>
          </w:tcPr>
          <w:p>
            <w:pPr>
              <w:pStyle w:val="affffffffffffffffffffffffffffffffe"/>
              <w:jc w:val="right"/>
            </w:pPr>
          </w:p>
        </w:tc>
        <w:tc>
          <w:tcPr>
            <w:tcW w:w="403" w:type="pct"/>
            <w:shd w:val="clear" w:color="auto" w:fill="auto"/>
            <w:vAlign w:val="center"/>
          </w:tcPr>
          <w:p>
            <w:pPr>
              <w:jc w:val="right"/>
              <w:rPr>
                <w:sz w:val="24"/>
              </w:rPr>
            </w:pPr>
            <w:r>
              <w:t>-52,814</w:t>
            </w:r>
          </w:p>
        </w:tc>
        <w:tc>
          <w:tcPr>
            <w:tcW w:w="698" w:type="pct"/>
            <w:shd w:val="clear" w:color="auto" w:fill="auto"/>
            <w:vAlign w:val="center"/>
          </w:tcPr>
          <w:p>
            <w:pPr>
              <w:pStyle w:val="affffffffffffffffffffffffffffffffe"/>
              <w:jc w:val="right"/>
            </w:pPr>
            <w:r>
              <w:t>255,750</w:t>
            </w:r>
          </w:p>
        </w:tc>
        <w:tc>
          <w:tcPr>
            <w:tcW w:w="664" w:type="pct"/>
            <w:shd w:val="clear" w:color="auto" w:fill="auto"/>
            <w:vAlign w:val="center"/>
          </w:tcPr>
          <w:p>
            <w:pPr>
              <w:pStyle w:val="affffffffffffffffffffffffffffffffe"/>
              <w:jc w:val="right"/>
            </w:pPr>
            <w:r>
              <w:t>155,027</w:t>
            </w:r>
          </w:p>
        </w:tc>
        <w:tc>
          <w:tcPr>
            <w:tcW w:w="756" w:type="pct"/>
            <w:shd w:val="clear" w:color="auto" w:fill="auto"/>
            <w:vAlign w:val="center"/>
          </w:tcPr>
          <w:p>
            <w:pPr>
              <w:pStyle w:val="affffffffffffffffffffffffffffffffe"/>
              <w:jc w:val="right"/>
            </w:pPr>
            <w:r>
              <w:t>-272,739</w:t>
            </w:r>
          </w:p>
        </w:tc>
      </w:tr>
      <w:tr>
        <w:trPr>
          <w:jc w:val="center"/>
        </w:trPr>
        <w:tc>
          <w:tcPr>
            <w:tcW w:w="615" w:type="pct"/>
            <w:shd w:val="clear" w:color="auto" w:fill="auto"/>
            <w:vAlign w:val="center"/>
          </w:tcPr>
          <w:p>
            <w:pPr>
              <w:spacing w:line="360" w:lineRule="exact"/>
              <w:rPr>
                <w:sz w:val="18"/>
                <w:szCs w:val="18"/>
              </w:rPr>
            </w:pPr>
            <w:r>
              <w:rPr>
                <w:rFonts w:hint="eastAsia"/>
                <w:sz w:val="18"/>
                <w:szCs w:val="18"/>
              </w:rPr>
              <w:t>外币财务报表折算差额</w:t>
            </w:r>
          </w:p>
        </w:tc>
        <w:tc>
          <w:tcPr>
            <w:tcW w:w="554" w:type="pct"/>
            <w:shd w:val="clear" w:color="auto" w:fill="auto"/>
            <w:vAlign w:val="center"/>
          </w:tcPr>
          <w:p>
            <w:pPr>
              <w:pStyle w:val="affffffffffffffffffffffffffffffffe"/>
              <w:jc w:val="right"/>
            </w:pPr>
            <w:r>
              <w:t>-6,101,437</w:t>
            </w:r>
          </w:p>
        </w:tc>
        <w:tc>
          <w:tcPr>
            <w:tcW w:w="554" w:type="pct"/>
            <w:shd w:val="clear" w:color="auto" w:fill="auto"/>
            <w:vAlign w:val="center"/>
          </w:tcPr>
          <w:p>
            <w:pPr>
              <w:pStyle w:val="affffffffffffffffffffffffffffffffe"/>
              <w:jc w:val="right"/>
            </w:pPr>
            <w:r>
              <w:t>-3,281,994</w:t>
            </w:r>
          </w:p>
        </w:tc>
        <w:tc>
          <w:tcPr>
            <w:tcW w:w="454" w:type="pct"/>
            <w:shd w:val="clear" w:color="auto" w:fill="auto"/>
            <w:vAlign w:val="center"/>
          </w:tcPr>
          <w:p>
            <w:pPr>
              <w:pStyle w:val="affffffffffffffffffffffffffffffffe"/>
              <w:jc w:val="right"/>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rFonts w:ascii="Times New Roman" w:eastAsia="Times New Roman" w:hAnsi="Times New Roman" w:cs="Times New Roman"/>
                <w:sz w:val="20"/>
                <w:szCs w:val="20"/>
              </w:rPr>
            </w:pPr>
          </w:p>
        </w:tc>
        <w:tc>
          <w:tcPr>
            <w:tcW w:w="698" w:type="pct"/>
            <w:shd w:val="clear" w:color="auto" w:fill="auto"/>
            <w:vAlign w:val="center"/>
          </w:tcPr>
          <w:p>
            <w:pPr>
              <w:jc w:val="right"/>
              <w:rPr>
                <w:sz w:val="24"/>
              </w:rPr>
            </w:pPr>
            <w:r>
              <w:t>-2,114,067</w:t>
            </w:r>
          </w:p>
        </w:tc>
        <w:tc>
          <w:tcPr>
            <w:tcW w:w="664" w:type="pct"/>
            <w:shd w:val="clear" w:color="auto" w:fill="auto"/>
            <w:vAlign w:val="center"/>
          </w:tcPr>
          <w:p>
            <w:pPr>
              <w:pStyle w:val="affffffffffffffffffffffffffffffffe"/>
              <w:jc w:val="right"/>
            </w:pPr>
            <w:r>
              <w:t>-1,167,927</w:t>
            </w:r>
          </w:p>
        </w:tc>
        <w:tc>
          <w:tcPr>
            <w:tcW w:w="756" w:type="pct"/>
            <w:shd w:val="clear" w:color="auto" w:fill="auto"/>
            <w:vAlign w:val="center"/>
          </w:tcPr>
          <w:p>
            <w:pPr>
              <w:pStyle w:val="affffffffffffffffffffffffffffffffe"/>
              <w:jc w:val="right"/>
            </w:pPr>
            <w:r>
              <w:t>-8,215,504</w:t>
            </w:r>
          </w:p>
        </w:tc>
      </w:tr>
      <w:tr>
        <w:trPr>
          <w:jc w:val="center"/>
        </w:trPr>
        <w:tc>
          <w:tcPr>
            <w:tcW w:w="615" w:type="pct"/>
            <w:shd w:val="clear" w:color="auto" w:fill="auto"/>
            <w:vAlign w:val="center"/>
          </w:tcPr>
          <w:p>
            <w:pPr>
              <w:spacing w:line="360" w:lineRule="exact"/>
              <w:rPr>
                <w:sz w:val="18"/>
                <w:szCs w:val="18"/>
              </w:rPr>
            </w:pPr>
            <w:r>
              <w:rPr>
                <w:rFonts w:hint="eastAsia"/>
                <w:sz w:val="18"/>
                <w:szCs w:val="18"/>
              </w:rPr>
              <w:t>投资性房地产公允价值变动</w:t>
            </w:r>
          </w:p>
        </w:tc>
        <w:tc>
          <w:tcPr>
            <w:tcW w:w="554" w:type="pct"/>
            <w:shd w:val="clear" w:color="auto" w:fill="auto"/>
            <w:vAlign w:val="center"/>
          </w:tcPr>
          <w:p>
            <w:pPr>
              <w:pStyle w:val="affffffffffffffffffffffffffffffffe"/>
              <w:jc w:val="right"/>
            </w:pPr>
            <w:r>
              <w:t>268,183</w:t>
            </w:r>
          </w:p>
        </w:tc>
        <w:tc>
          <w:tcPr>
            <w:tcW w:w="554" w:type="pct"/>
            <w:shd w:val="clear" w:color="auto" w:fill="auto"/>
            <w:vAlign w:val="center"/>
          </w:tcPr>
          <w:p>
            <w:pPr>
              <w:pStyle w:val="affffffffffffffffffffffffffffffffe"/>
              <w:jc w:val="right"/>
            </w:pPr>
          </w:p>
        </w:tc>
        <w:tc>
          <w:tcPr>
            <w:tcW w:w="454" w:type="pct"/>
            <w:shd w:val="clear" w:color="auto" w:fill="auto"/>
            <w:vAlign w:val="center"/>
          </w:tcPr>
          <w:p>
            <w:pPr>
              <w:jc w:val="right"/>
              <w:rPr>
                <w:rFonts w:ascii="Times New Roman" w:eastAsia="Times New Roman" w:hAnsi="Times New Roman" w:cs="Times New Roman"/>
                <w:sz w:val="20"/>
                <w:szCs w:val="20"/>
              </w:rPr>
            </w:pPr>
          </w:p>
        </w:tc>
        <w:tc>
          <w:tcPr>
            <w:tcW w:w="303" w:type="pct"/>
            <w:vAlign w:val="center"/>
          </w:tcPr>
          <w:p>
            <w:pPr>
              <w:jc w:val="right"/>
              <w:rPr>
                <w:rFonts w:ascii="Times New Roman" w:eastAsia="Times New Roman" w:hAnsi="Times New Roman" w:cs="Times New Roman"/>
                <w:sz w:val="20"/>
                <w:szCs w:val="20"/>
              </w:rPr>
            </w:pPr>
          </w:p>
        </w:tc>
        <w:tc>
          <w:tcPr>
            <w:tcW w:w="403" w:type="pct"/>
            <w:shd w:val="clear" w:color="auto" w:fill="auto"/>
            <w:vAlign w:val="center"/>
          </w:tcPr>
          <w:p>
            <w:pPr>
              <w:jc w:val="right"/>
              <w:rPr>
                <w:rFonts w:ascii="Times New Roman" w:eastAsia="Times New Roman" w:hAnsi="Times New Roman" w:cs="Times New Roman"/>
                <w:sz w:val="20"/>
                <w:szCs w:val="20"/>
              </w:rPr>
            </w:pPr>
          </w:p>
        </w:tc>
        <w:tc>
          <w:tcPr>
            <w:tcW w:w="698" w:type="pct"/>
            <w:shd w:val="clear" w:color="auto" w:fill="auto"/>
            <w:vAlign w:val="center"/>
          </w:tcPr>
          <w:p>
            <w:pPr>
              <w:jc w:val="right"/>
              <w:rPr>
                <w:rFonts w:ascii="Times New Roman" w:eastAsia="Times New Roman" w:hAnsi="Times New Roman" w:cs="Times New Roman"/>
                <w:sz w:val="20"/>
                <w:szCs w:val="20"/>
              </w:rPr>
            </w:pPr>
          </w:p>
        </w:tc>
        <w:tc>
          <w:tcPr>
            <w:tcW w:w="664" w:type="pct"/>
            <w:shd w:val="clear" w:color="auto" w:fill="auto"/>
            <w:vAlign w:val="center"/>
          </w:tcPr>
          <w:p>
            <w:pPr>
              <w:jc w:val="right"/>
              <w:rPr>
                <w:rFonts w:ascii="Times New Roman" w:eastAsia="Times New Roman" w:hAnsi="Times New Roman" w:cs="Times New Roman"/>
                <w:sz w:val="20"/>
                <w:szCs w:val="20"/>
              </w:rPr>
            </w:pPr>
          </w:p>
        </w:tc>
        <w:tc>
          <w:tcPr>
            <w:tcW w:w="756" w:type="pct"/>
            <w:shd w:val="clear" w:color="auto" w:fill="auto"/>
            <w:vAlign w:val="center"/>
          </w:tcPr>
          <w:p>
            <w:pPr>
              <w:jc w:val="right"/>
              <w:rPr>
                <w:sz w:val="24"/>
              </w:rPr>
            </w:pPr>
            <w:r>
              <w:t>268,183</w:t>
            </w:r>
          </w:p>
        </w:tc>
      </w:tr>
      <w:tr>
        <w:trPr>
          <w:jc w:val="center"/>
        </w:trPr>
        <w:tc>
          <w:tcPr>
            <w:tcW w:w="615" w:type="pct"/>
            <w:shd w:val="clear" w:color="auto" w:fill="auto"/>
            <w:vAlign w:val="center"/>
          </w:tcPr>
          <w:p>
            <w:pPr>
              <w:rPr>
                <w:szCs w:val="21"/>
              </w:rPr>
            </w:pPr>
            <w:r>
              <w:rPr>
                <w:rFonts w:hint="eastAsia"/>
                <w:szCs w:val="21"/>
              </w:rPr>
              <w:t>其他综合收益合计</w:t>
            </w:r>
          </w:p>
        </w:tc>
        <w:tc>
          <w:tcPr>
            <w:tcW w:w="554" w:type="pct"/>
            <w:shd w:val="clear" w:color="auto" w:fill="auto"/>
            <w:vAlign w:val="center"/>
          </w:tcPr>
          <w:p>
            <w:pPr>
              <w:jc w:val="right"/>
              <w:rPr>
                <w:szCs w:val="21"/>
              </w:rPr>
            </w:pPr>
            <w:r>
              <w:rPr>
                <w:szCs w:val="21"/>
              </w:rPr>
              <w:t>-6,334,716</w:t>
            </w:r>
          </w:p>
        </w:tc>
        <w:tc>
          <w:tcPr>
            <w:tcW w:w="554" w:type="pct"/>
            <w:shd w:val="clear" w:color="auto" w:fill="auto"/>
            <w:vAlign w:val="center"/>
          </w:tcPr>
          <w:p>
            <w:pPr>
              <w:jc w:val="right"/>
              <w:rPr>
                <w:szCs w:val="21"/>
              </w:rPr>
            </w:pPr>
            <w:r>
              <w:rPr>
                <w:szCs w:val="21"/>
              </w:rPr>
              <w:t>-3,235,391</w:t>
            </w:r>
          </w:p>
        </w:tc>
        <w:tc>
          <w:tcPr>
            <w:tcW w:w="454" w:type="pct"/>
            <w:shd w:val="clear" w:color="auto" w:fill="auto"/>
            <w:vAlign w:val="center"/>
          </w:tcPr>
          <w:p>
            <w:pPr>
              <w:jc w:val="right"/>
              <w:rPr>
                <w:szCs w:val="21"/>
              </w:rPr>
            </w:pPr>
            <w:r>
              <w:rPr>
                <w:szCs w:val="21"/>
              </w:rPr>
              <w:t>-586,825</w:t>
            </w:r>
          </w:p>
        </w:tc>
        <w:tc>
          <w:tcPr>
            <w:tcW w:w="303" w:type="pct"/>
            <w:vAlign w:val="center"/>
          </w:tcPr>
          <w:p>
            <w:pPr>
              <w:jc w:val="right"/>
              <w:rPr>
                <w:szCs w:val="21"/>
              </w:rPr>
            </w:pPr>
          </w:p>
        </w:tc>
        <w:tc>
          <w:tcPr>
            <w:tcW w:w="403" w:type="pct"/>
            <w:shd w:val="clear" w:color="auto" w:fill="auto"/>
            <w:vAlign w:val="center"/>
          </w:tcPr>
          <w:p>
            <w:pPr>
              <w:jc w:val="right"/>
              <w:rPr>
                <w:szCs w:val="21"/>
              </w:rPr>
            </w:pPr>
            <w:r>
              <w:rPr>
                <w:szCs w:val="21"/>
              </w:rPr>
              <w:t>-45,140</w:t>
            </w:r>
          </w:p>
        </w:tc>
        <w:tc>
          <w:tcPr>
            <w:tcW w:w="698" w:type="pct"/>
            <w:shd w:val="clear" w:color="auto" w:fill="auto"/>
            <w:vAlign w:val="center"/>
          </w:tcPr>
          <w:p>
            <w:pPr>
              <w:jc w:val="right"/>
              <w:rPr>
                <w:szCs w:val="21"/>
              </w:rPr>
            </w:pPr>
            <w:r>
              <w:rPr>
                <w:szCs w:val="21"/>
              </w:rPr>
              <w:t>-1,599,835</w:t>
            </w:r>
          </w:p>
        </w:tc>
        <w:tc>
          <w:tcPr>
            <w:tcW w:w="664" w:type="pct"/>
            <w:shd w:val="clear" w:color="auto" w:fill="auto"/>
            <w:vAlign w:val="center"/>
          </w:tcPr>
          <w:p>
            <w:pPr>
              <w:jc w:val="right"/>
              <w:rPr>
                <w:szCs w:val="21"/>
              </w:rPr>
            </w:pPr>
            <w:r>
              <w:rPr>
                <w:szCs w:val="21"/>
              </w:rPr>
              <w:t>-1,003,591</w:t>
            </w:r>
          </w:p>
        </w:tc>
        <w:tc>
          <w:tcPr>
            <w:tcW w:w="756" w:type="pct"/>
            <w:shd w:val="clear" w:color="auto" w:fill="auto"/>
            <w:vAlign w:val="center"/>
          </w:tcPr>
          <w:p>
            <w:pPr>
              <w:jc w:val="right"/>
              <w:rPr>
                <w:szCs w:val="21"/>
              </w:rPr>
            </w:pPr>
            <w:r>
              <w:rPr>
                <w:szCs w:val="21"/>
              </w:rPr>
              <w:t>-7,934,551</w:t>
            </w:r>
          </w:p>
        </w:tc>
      </w:tr>
    </w:tbl>
    <w:p>
      <w:pPr>
        <w:pStyle w:val="affffffffffffffffffffffffffffffffe"/>
      </w:pPr>
    </w:p>
    <w:p>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490563193"/>
        <w:placeholder>
          <w:docPart w:val="GBC22222222222222222222222222222"/>
        </w:placeholder>
      </w:sdtPr>
      <w:sdtContent>
        <w:p>
          <w:pPr>
            <w:rPr>
              <w:szCs w:val="21"/>
            </w:rPr>
          </w:pPr>
          <w:r>
            <w:rPr>
              <w:szCs w:val="21"/>
            </w:rPr>
            <w:t>-</w:t>
          </w:r>
        </w:p>
      </w:sdtContent>
    </w:sdt>
    <w:p>
      <w:pPr>
        <w:rPr>
          <w:szCs w:val="21"/>
        </w:rPr>
      </w:pPr>
    </w:p>
    <w:bookmarkEnd w:id="468"/>
    <w:p>
      <w:pPr>
        <w:pStyle w:val="affffffffffffffffff6"/>
        <w:numPr>
          <w:ilvl w:val="0"/>
          <w:numId w:val="103"/>
        </w:numPr>
        <w:tabs>
          <w:tab w:val="left" w:pos="504"/>
        </w:tabs>
        <w:rPr>
          <w:rFonts w:ascii="宋体" w:hAnsi="宋体"/>
          <w:szCs w:val="21"/>
        </w:rPr>
      </w:pPr>
      <w:r>
        <w:rPr>
          <w:rFonts w:ascii="宋体" w:hAnsi="宋体" w:hint="eastAsia"/>
          <w:szCs w:val="21"/>
        </w:rPr>
        <w:t>专项储备</w:t>
      </w:r>
    </w:p>
    <w:sdt>
      <w:sdtPr>
        <w:alias w:val="是否适用：专项储备[双击切换]"/>
        <w:tag w:val="_GBC_0e2f337ccf9a4bc6919cf02a896e57c1"/>
        <w:id w:val="79980073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21297352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1363556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1668"/>
        <w:gridCol w:w="1775"/>
        <w:gridCol w:w="1775"/>
        <w:gridCol w:w="1816"/>
        <w:gridCol w:w="1789"/>
      </w:tblGrid>
      <w:tr>
        <w:sdt>
          <w:sdtPr>
            <w:tag w:val="_PLD_1b8418d949a749fe8d001c0cc33cf61e"/>
            <w:id w:val="-602038069"/>
          </w:sdtPr>
          <w:sdtContent>
            <w:tc>
              <w:tcPr>
                <w:tcW w:w="945" w:type="pct"/>
                <w:shd w:val="clear" w:color="auto" w:fill="auto"/>
                <w:vAlign w:val="center"/>
              </w:tcPr>
              <w:p>
                <w:pPr>
                  <w:jc w:val="center"/>
                  <w:rPr>
                    <w:szCs w:val="21"/>
                  </w:rPr>
                </w:pPr>
                <w:r>
                  <w:rPr>
                    <w:rFonts w:hint="eastAsia"/>
                    <w:szCs w:val="21"/>
                  </w:rPr>
                  <w:t>项目</w:t>
                </w:r>
              </w:p>
            </w:tc>
          </w:sdtContent>
        </w:sdt>
        <w:sdt>
          <w:sdtPr>
            <w:tag w:val="_PLD_080ff0821e57448ea6f6c5e836583c19"/>
            <w:id w:val="-283039784"/>
          </w:sdtPr>
          <w:sdtContent>
            <w:tc>
              <w:tcPr>
                <w:tcW w:w="1006" w:type="pct"/>
                <w:shd w:val="clear" w:color="auto" w:fill="auto"/>
                <w:vAlign w:val="center"/>
              </w:tcPr>
              <w:p>
                <w:pPr>
                  <w:jc w:val="center"/>
                  <w:rPr>
                    <w:szCs w:val="21"/>
                  </w:rPr>
                </w:pPr>
                <w:r>
                  <w:rPr>
                    <w:rFonts w:hint="eastAsia"/>
                    <w:szCs w:val="21"/>
                  </w:rPr>
                  <w:t>期初余额</w:t>
                </w:r>
              </w:p>
            </w:tc>
          </w:sdtContent>
        </w:sdt>
        <w:sdt>
          <w:sdtPr>
            <w:tag w:val="_PLD_99281caa76a54a77b09eef392dfa3e36"/>
            <w:id w:val="-453866989"/>
          </w:sdtPr>
          <w:sdtContent>
            <w:tc>
              <w:tcPr>
                <w:tcW w:w="1006" w:type="pct"/>
                <w:shd w:val="clear" w:color="auto" w:fill="auto"/>
                <w:vAlign w:val="center"/>
              </w:tcPr>
              <w:p>
                <w:pPr>
                  <w:jc w:val="center"/>
                  <w:rPr>
                    <w:szCs w:val="21"/>
                  </w:rPr>
                </w:pPr>
                <w:r>
                  <w:rPr>
                    <w:rFonts w:hint="eastAsia"/>
                    <w:szCs w:val="21"/>
                  </w:rPr>
                  <w:t>本期增加</w:t>
                </w:r>
              </w:p>
            </w:tc>
          </w:sdtContent>
        </w:sdt>
        <w:sdt>
          <w:sdtPr>
            <w:tag w:val="_PLD_c1f0c2bb01df4af28d10ddd8f2af79a9"/>
            <w:id w:val="1594668170"/>
          </w:sdtPr>
          <w:sdtContent>
            <w:tc>
              <w:tcPr>
                <w:tcW w:w="1029" w:type="pct"/>
                <w:shd w:val="clear" w:color="auto" w:fill="auto"/>
                <w:vAlign w:val="center"/>
              </w:tcPr>
              <w:p>
                <w:pPr>
                  <w:jc w:val="center"/>
                  <w:rPr>
                    <w:szCs w:val="21"/>
                  </w:rPr>
                </w:pPr>
                <w:r>
                  <w:rPr>
                    <w:rFonts w:hint="eastAsia"/>
                    <w:szCs w:val="21"/>
                  </w:rPr>
                  <w:t>本期减少</w:t>
                </w:r>
              </w:p>
            </w:tc>
          </w:sdtContent>
        </w:sdt>
        <w:sdt>
          <w:sdtPr>
            <w:tag w:val="_PLD_c07fab254eb14bc88273a7ed58442223"/>
            <w:id w:val="1727259650"/>
          </w:sdtPr>
          <w:sdtContent>
            <w:tc>
              <w:tcPr>
                <w:tcW w:w="1014" w:type="pct"/>
                <w:shd w:val="clear" w:color="auto" w:fill="auto"/>
                <w:vAlign w:val="center"/>
              </w:tcPr>
              <w:p>
                <w:pPr>
                  <w:jc w:val="center"/>
                  <w:rPr>
                    <w:szCs w:val="21"/>
                  </w:rPr>
                </w:pPr>
                <w:r>
                  <w:rPr>
                    <w:rFonts w:hint="eastAsia"/>
                    <w:szCs w:val="21"/>
                  </w:rPr>
                  <w:t>期末余额</w:t>
                </w:r>
              </w:p>
            </w:tc>
          </w:sdtContent>
        </w:sdt>
      </w:tr>
      <w:tr>
        <w:tc>
          <w:tcPr>
            <w:tcW w:w="945" w:type="pct"/>
            <w:shd w:val="clear" w:color="auto" w:fill="auto"/>
            <w:vAlign w:val="center"/>
          </w:tcPr>
          <w:p>
            <w:pPr>
              <w:spacing w:line="360" w:lineRule="exact"/>
              <w:rPr>
                <w:sz w:val="18"/>
                <w:szCs w:val="18"/>
              </w:rPr>
            </w:pPr>
            <w:r>
              <w:rPr>
                <w:rFonts w:hint="eastAsia"/>
                <w:sz w:val="18"/>
                <w:szCs w:val="18"/>
              </w:rPr>
              <w:t>安全生产费</w:t>
            </w:r>
          </w:p>
        </w:tc>
        <w:tc>
          <w:tcPr>
            <w:tcW w:w="1006" w:type="pct"/>
            <w:shd w:val="clear" w:color="auto" w:fill="auto"/>
            <w:vAlign w:val="center"/>
          </w:tcPr>
          <w:p>
            <w:pPr>
              <w:spacing w:line="360" w:lineRule="exact"/>
              <w:jc w:val="right"/>
              <w:rPr>
                <w:szCs w:val="21"/>
              </w:rPr>
            </w:pPr>
            <w:r>
              <w:rPr>
                <w:szCs w:val="21"/>
              </w:rPr>
              <w:t>1,776,810</w:t>
            </w:r>
          </w:p>
        </w:tc>
        <w:tc>
          <w:tcPr>
            <w:tcW w:w="1006" w:type="pct"/>
            <w:shd w:val="clear" w:color="auto" w:fill="auto"/>
            <w:vAlign w:val="center"/>
          </w:tcPr>
          <w:p>
            <w:pPr>
              <w:spacing w:line="360" w:lineRule="exact"/>
              <w:jc w:val="right"/>
              <w:rPr>
                <w:szCs w:val="21"/>
              </w:rPr>
            </w:pPr>
            <w:r>
              <w:rPr>
                <w:szCs w:val="21"/>
              </w:rPr>
              <w:t>3,197,719</w:t>
            </w:r>
          </w:p>
        </w:tc>
        <w:tc>
          <w:tcPr>
            <w:tcW w:w="1029" w:type="pct"/>
            <w:shd w:val="clear" w:color="auto" w:fill="auto"/>
            <w:vAlign w:val="center"/>
          </w:tcPr>
          <w:p>
            <w:pPr>
              <w:spacing w:line="360" w:lineRule="exact"/>
              <w:jc w:val="right"/>
              <w:rPr>
                <w:szCs w:val="21"/>
              </w:rPr>
            </w:pPr>
            <w:r>
              <w:rPr>
                <w:szCs w:val="21"/>
              </w:rPr>
              <w:t>3,432,661</w:t>
            </w:r>
          </w:p>
        </w:tc>
        <w:tc>
          <w:tcPr>
            <w:tcW w:w="1014" w:type="pct"/>
            <w:shd w:val="clear" w:color="auto" w:fill="auto"/>
            <w:vAlign w:val="center"/>
          </w:tcPr>
          <w:p>
            <w:pPr>
              <w:spacing w:line="360" w:lineRule="exact"/>
              <w:jc w:val="right"/>
              <w:rPr>
                <w:szCs w:val="21"/>
              </w:rPr>
            </w:pPr>
            <w:r>
              <w:rPr>
                <w:szCs w:val="21"/>
              </w:rPr>
              <w:t>1,541,868</w:t>
            </w:r>
          </w:p>
        </w:tc>
      </w:tr>
      <w:tr>
        <w:tc>
          <w:tcPr>
            <w:tcW w:w="945" w:type="pct"/>
            <w:shd w:val="clear" w:color="auto" w:fill="auto"/>
            <w:vAlign w:val="center"/>
          </w:tcPr>
          <w:p>
            <w:pPr>
              <w:spacing w:line="360" w:lineRule="exact"/>
              <w:rPr>
                <w:sz w:val="18"/>
                <w:szCs w:val="18"/>
              </w:rPr>
            </w:pPr>
            <w:r>
              <w:rPr>
                <w:rFonts w:hint="eastAsia"/>
                <w:sz w:val="18"/>
                <w:szCs w:val="18"/>
              </w:rPr>
              <w:t>维简费</w:t>
            </w:r>
          </w:p>
        </w:tc>
        <w:tc>
          <w:tcPr>
            <w:tcW w:w="1006" w:type="pct"/>
            <w:shd w:val="clear" w:color="auto" w:fill="auto"/>
            <w:vAlign w:val="center"/>
          </w:tcPr>
          <w:p>
            <w:pPr>
              <w:spacing w:line="360" w:lineRule="exact"/>
              <w:jc w:val="right"/>
              <w:rPr>
                <w:szCs w:val="21"/>
              </w:rPr>
            </w:pPr>
            <w:r>
              <w:rPr>
                <w:szCs w:val="21"/>
              </w:rPr>
              <w:t>737,299</w:t>
            </w:r>
          </w:p>
        </w:tc>
        <w:tc>
          <w:tcPr>
            <w:tcW w:w="1006" w:type="pct"/>
            <w:shd w:val="clear" w:color="auto" w:fill="auto"/>
            <w:vAlign w:val="center"/>
          </w:tcPr>
          <w:p>
            <w:pPr>
              <w:spacing w:line="360" w:lineRule="exact"/>
              <w:jc w:val="right"/>
              <w:rPr>
                <w:szCs w:val="21"/>
              </w:rPr>
            </w:pPr>
            <w:r>
              <w:rPr>
                <w:szCs w:val="21"/>
              </w:rPr>
              <w:t>671,583</w:t>
            </w:r>
          </w:p>
        </w:tc>
        <w:tc>
          <w:tcPr>
            <w:tcW w:w="1029" w:type="pct"/>
            <w:shd w:val="clear" w:color="auto" w:fill="auto"/>
            <w:vAlign w:val="center"/>
          </w:tcPr>
          <w:p>
            <w:pPr>
              <w:spacing w:line="360" w:lineRule="exact"/>
              <w:jc w:val="right"/>
              <w:rPr>
                <w:szCs w:val="21"/>
              </w:rPr>
            </w:pPr>
            <w:r>
              <w:rPr>
                <w:szCs w:val="21"/>
              </w:rPr>
              <w:t>915,645</w:t>
            </w:r>
          </w:p>
        </w:tc>
        <w:tc>
          <w:tcPr>
            <w:tcW w:w="1014" w:type="pct"/>
            <w:shd w:val="clear" w:color="auto" w:fill="auto"/>
            <w:vAlign w:val="center"/>
          </w:tcPr>
          <w:p>
            <w:pPr>
              <w:spacing w:line="360" w:lineRule="exact"/>
              <w:jc w:val="right"/>
              <w:rPr>
                <w:szCs w:val="21"/>
              </w:rPr>
            </w:pPr>
            <w:r>
              <w:rPr>
                <w:szCs w:val="21"/>
              </w:rPr>
              <w:t>493,237</w:t>
            </w:r>
          </w:p>
        </w:tc>
      </w:tr>
      <w:tr>
        <w:tc>
          <w:tcPr>
            <w:tcW w:w="945" w:type="pct"/>
            <w:shd w:val="clear" w:color="auto" w:fill="auto"/>
            <w:vAlign w:val="center"/>
          </w:tcPr>
          <w:p>
            <w:pPr>
              <w:spacing w:line="360" w:lineRule="exact"/>
              <w:rPr>
                <w:sz w:val="18"/>
                <w:szCs w:val="18"/>
              </w:rPr>
            </w:pPr>
            <w:r>
              <w:rPr>
                <w:rFonts w:hint="eastAsia"/>
                <w:sz w:val="18"/>
                <w:szCs w:val="18"/>
              </w:rPr>
              <w:t>改革专项发展基金</w:t>
            </w:r>
          </w:p>
        </w:tc>
        <w:tc>
          <w:tcPr>
            <w:tcW w:w="1006" w:type="pct"/>
            <w:shd w:val="clear" w:color="auto" w:fill="auto"/>
            <w:vAlign w:val="center"/>
          </w:tcPr>
          <w:p>
            <w:pPr>
              <w:spacing w:line="360" w:lineRule="exact"/>
              <w:jc w:val="right"/>
              <w:rPr>
                <w:szCs w:val="21"/>
              </w:rPr>
            </w:pPr>
            <w:r>
              <w:rPr>
                <w:szCs w:val="21"/>
              </w:rPr>
              <w:t>611,513</w:t>
            </w:r>
          </w:p>
        </w:tc>
        <w:tc>
          <w:tcPr>
            <w:tcW w:w="1006" w:type="pct"/>
            <w:shd w:val="clear" w:color="auto" w:fill="auto"/>
            <w:vAlign w:val="center"/>
          </w:tcPr>
          <w:p>
            <w:pPr>
              <w:spacing w:line="360" w:lineRule="exact"/>
              <w:jc w:val="right"/>
              <w:rPr>
                <w:szCs w:val="21"/>
              </w:rPr>
            </w:pPr>
          </w:p>
        </w:tc>
        <w:tc>
          <w:tcPr>
            <w:tcW w:w="1029" w:type="pct"/>
            <w:shd w:val="clear" w:color="auto" w:fill="auto"/>
            <w:vAlign w:val="center"/>
          </w:tcPr>
          <w:p>
            <w:pPr>
              <w:spacing w:line="360" w:lineRule="exact"/>
              <w:jc w:val="right"/>
              <w:rPr>
                <w:szCs w:val="21"/>
              </w:rPr>
            </w:pPr>
          </w:p>
        </w:tc>
        <w:tc>
          <w:tcPr>
            <w:tcW w:w="1014" w:type="pct"/>
            <w:shd w:val="clear" w:color="auto" w:fill="auto"/>
            <w:vAlign w:val="center"/>
          </w:tcPr>
          <w:p>
            <w:pPr>
              <w:spacing w:line="360" w:lineRule="exact"/>
              <w:jc w:val="right"/>
              <w:rPr>
                <w:szCs w:val="21"/>
              </w:rPr>
            </w:pPr>
            <w:r>
              <w:rPr>
                <w:szCs w:val="21"/>
              </w:rPr>
              <w:t>611,513</w:t>
            </w:r>
          </w:p>
        </w:tc>
      </w:tr>
      <w:tr>
        <w:tc>
          <w:tcPr>
            <w:tcW w:w="945" w:type="pct"/>
            <w:shd w:val="clear" w:color="auto" w:fill="auto"/>
            <w:vAlign w:val="center"/>
          </w:tcPr>
          <w:p>
            <w:pPr>
              <w:spacing w:line="360" w:lineRule="exact"/>
              <w:rPr>
                <w:sz w:val="18"/>
                <w:szCs w:val="18"/>
              </w:rPr>
            </w:pPr>
            <w:r>
              <w:rPr>
                <w:rFonts w:hint="eastAsia"/>
                <w:sz w:val="18"/>
                <w:szCs w:val="18"/>
              </w:rPr>
              <w:t>环境治理保证金</w:t>
            </w:r>
          </w:p>
        </w:tc>
        <w:tc>
          <w:tcPr>
            <w:tcW w:w="1006" w:type="pct"/>
            <w:shd w:val="clear" w:color="auto" w:fill="auto"/>
            <w:vAlign w:val="center"/>
          </w:tcPr>
          <w:p>
            <w:pPr>
              <w:spacing w:line="360" w:lineRule="exact"/>
              <w:jc w:val="right"/>
              <w:rPr>
                <w:szCs w:val="21"/>
              </w:rPr>
            </w:pPr>
            <w:r>
              <w:rPr>
                <w:szCs w:val="21"/>
              </w:rPr>
              <w:t>24,560</w:t>
            </w:r>
          </w:p>
        </w:tc>
        <w:tc>
          <w:tcPr>
            <w:tcW w:w="1006" w:type="pct"/>
            <w:shd w:val="clear" w:color="auto" w:fill="auto"/>
            <w:vAlign w:val="center"/>
          </w:tcPr>
          <w:p>
            <w:pPr>
              <w:spacing w:line="360" w:lineRule="exact"/>
              <w:jc w:val="right"/>
              <w:rPr>
                <w:szCs w:val="21"/>
              </w:rPr>
            </w:pPr>
          </w:p>
        </w:tc>
        <w:tc>
          <w:tcPr>
            <w:tcW w:w="1029" w:type="pct"/>
            <w:shd w:val="clear" w:color="auto" w:fill="auto"/>
            <w:vAlign w:val="center"/>
          </w:tcPr>
          <w:p>
            <w:pPr>
              <w:spacing w:line="360" w:lineRule="exact"/>
              <w:jc w:val="right"/>
              <w:rPr>
                <w:szCs w:val="21"/>
              </w:rPr>
            </w:pPr>
          </w:p>
        </w:tc>
        <w:tc>
          <w:tcPr>
            <w:tcW w:w="1014" w:type="pct"/>
            <w:shd w:val="clear" w:color="auto" w:fill="auto"/>
            <w:vAlign w:val="center"/>
          </w:tcPr>
          <w:p>
            <w:pPr>
              <w:spacing w:line="360" w:lineRule="exact"/>
              <w:jc w:val="right"/>
              <w:rPr>
                <w:szCs w:val="21"/>
              </w:rPr>
            </w:pPr>
            <w:r>
              <w:rPr>
                <w:szCs w:val="21"/>
              </w:rPr>
              <w:t>24,560</w:t>
            </w:r>
          </w:p>
        </w:tc>
      </w:tr>
      <w:tr>
        <w:tc>
          <w:tcPr>
            <w:tcW w:w="945" w:type="pct"/>
            <w:shd w:val="clear" w:color="auto" w:fill="auto"/>
            <w:vAlign w:val="center"/>
          </w:tcPr>
          <w:p>
            <w:pPr>
              <w:spacing w:line="360" w:lineRule="exact"/>
              <w:rPr>
                <w:sz w:val="18"/>
                <w:szCs w:val="18"/>
              </w:rPr>
            </w:pPr>
            <w:r>
              <w:rPr>
                <w:rFonts w:hint="eastAsia"/>
                <w:sz w:val="18"/>
                <w:szCs w:val="18"/>
              </w:rPr>
              <w:t>转产基金</w:t>
            </w:r>
          </w:p>
        </w:tc>
        <w:tc>
          <w:tcPr>
            <w:tcW w:w="1006" w:type="pct"/>
            <w:shd w:val="clear" w:color="auto" w:fill="auto"/>
            <w:vAlign w:val="center"/>
          </w:tcPr>
          <w:p>
            <w:pPr>
              <w:spacing w:line="360" w:lineRule="exact"/>
              <w:jc w:val="right"/>
              <w:rPr>
                <w:szCs w:val="21"/>
              </w:rPr>
            </w:pPr>
            <w:r>
              <w:rPr>
                <w:szCs w:val="21"/>
              </w:rPr>
              <w:t>26,875</w:t>
            </w:r>
          </w:p>
        </w:tc>
        <w:tc>
          <w:tcPr>
            <w:tcW w:w="1006" w:type="pct"/>
            <w:shd w:val="clear" w:color="auto" w:fill="auto"/>
            <w:vAlign w:val="center"/>
          </w:tcPr>
          <w:p>
            <w:pPr>
              <w:spacing w:line="360" w:lineRule="exact"/>
              <w:jc w:val="right"/>
              <w:rPr>
                <w:szCs w:val="21"/>
              </w:rPr>
            </w:pPr>
          </w:p>
        </w:tc>
        <w:tc>
          <w:tcPr>
            <w:tcW w:w="1029" w:type="pct"/>
            <w:shd w:val="clear" w:color="auto" w:fill="auto"/>
            <w:vAlign w:val="center"/>
          </w:tcPr>
          <w:p>
            <w:pPr>
              <w:spacing w:line="360" w:lineRule="exact"/>
              <w:jc w:val="right"/>
              <w:rPr>
                <w:szCs w:val="21"/>
              </w:rPr>
            </w:pPr>
          </w:p>
        </w:tc>
        <w:tc>
          <w:tcPr>
            <w:tcW w:w="1014" w:type="pct"/>
            <w:shd w:val="clear" w:color="auto" w:fill="auto"/>
            <w:vAlign w:val="center"/>
          </w:tcPr>
          <w:p>
            <w:pPr>
              <w:spacing w:line="360" w:lineRule="exact"/>
              <w:jc w:val="right"/>
              <w:rPr>
                <w:szCs w:val="21"/>
              </w:rPr>
            </w:pPr>
            <w:r>
              <w:rPr>
                <w:szCs w:val="21"/>
              </w:rPr>
              <w:t>26,875</w:t>
            </w:r>
          </w:p>
        </w:tc>
      </w:tr>
      <w:tr>
        <w:tc>
          <w:tcPr>
            <w:tcW w:w="945" w:type="pct"/>
            <w:shd w:val="clear" w:color="auto" w:fill="auto"/>
            <w:vAlign w:val="center"/>
          </w:tcPr>
          <w:p>
            <w:pPr>
              <w:spacing w:line="360" w:lineRule="exact"/>
              <w:rPr>
                <w:sz w:val="18"/>
                <w:szCs w:val="18"/>
              </w:rPr>
            </w:pPr>
            <w:r>
              <w:rPr>
                <w:rFonts w:hint="eastAsia"/>
                <w:sz w:val="18"/>
                <w:szCs w:val="18"/>
              </w:rPr>
              <w:t>一般风险准备</w:t>
            </w:r>
          </w:p>
        </w:tc>
        <w:tc>
          <w:tcPr>
            <w:tcW w:w="1006" w:type="pct"/>
            <w:shd w:val="clear" w:color="auto" w:fill="auto"/>
            <w:vAlign w:val="center"/>
          </w:tcPr>
          <w:p>
            <w:pPr>
              <w:spacing w:line="360" w:lineRule="exact"/>
              <w:jc w:val="right"/>
              <w:rPr>
                <w:szCs w:val="21"/>
              </w:rPr>
            </w:pPr>
            <w:r>
              <w:rPr>
                <w:szCs w:val="21"/>
              </w:rPr>
              <w:t>409,448</w:t>
            </w:r>
          </w:p>
        </w:tc>
        <w:tc>
          <w:tcPr>
            <w:tcW w:w="1006" w:type="pct"/>
            <w:shd w:val="clear" w:color="auto" w:fill="auto"/>
            <w:vAlign w:val="center"/>
          </w:tcPr>
          <w:p>
            <w:pPr>
              <w:spacing w:line="360" w:lineRule="exact"/>
              <w:jc w:val="right"/>
              <w:rPr>
                <w:szCs w:val="21"/>
              </w:rPr>
            </w:pPr>
          </w:p>
        </w:tc>
        <w:tc>
          <w:tcPr>
            <w:tcW w:w="1029" w:type="pct"/>
            <w:shd w:val="clear" w:color="auto" w:fill="auto"/>
            <w:vAlign w:val="center"/>
          </w:tcPr>
          <w:p>
            <w:pPr>
              <w:spacing w:line="360" w:lineRule="exact"/>
              <w:jc w:val="right"/>
              <w:rPr>
                <w:szCs w:val="21"/>
              </w:rPr>
            </w:pPr>
          </w:p>
        </w:tc>
        <w:tc>
          <w:tcPr>
            <w:tcW w:w="1014" w:type="pct"/>
            <w:shd w:val="clear" w:color="auto" w:fill="auto"/>
            <w:vAlign w:val="center"/>
          </w:tcPr>
          <w:p>
            <w:pPr>
              <w:spacing w:line="360" w:lineRule="exact"/>
              <w:jc w:val="right"/>
              <w:rPr>
                <w:szCs w:val="21"/>
              </w:rPr>
            </w:pPr>
            <w:r>
              <w:rPr>
                <w:szCs w:val="21"/>
              </w:rPr>
              <w:t>409,448</w:t>
            </w:r>
          </w:p>
        </w:tc>
      </w:tr>
      <w:tr>
        <w:tc>
          <w:tcPr>
            <w:tcW w:w="945" w:type="pct"/>
            <w:shd w:val="clear" w:color="auto" w:fill="auto"/>
            <w:vAlign w:val="center"/>
          </w:tcPr>
          <w:p>
            <w:pPr>
              <w:jc w:val="center"/>
              <w:rPr>
                <w:szCs w:val="21"/>
              </w:rPr>
            </w:pPr>
            <w:r>
              <w:rPr>
                <w:rFonts w:hint="eastAsia"/>
                <w:szCs w:val="21"/>
              </w:rPr>
              <w:lastRenderedPageBreak/>
              <w:t>合计</w:t>
            </w:r>
          </w:p>
        </w:tc>
        <w:tc>
          <w:tcPr>
            <w:tcW w:w="1006" w:type="pct"/>
            <w:shd w:val="clear" w:color="auto" w:fill="auto"/>
          </w:tcPr>
          <w:p>
            <w:pPr>
              <w:jc w:val="right"/>
              <w:rPr>
                <w:szCs w:val="21"/>
              </w:rPr>
            </w:pPr>
            <w:r>
              <w:rPr>
                <w:szCs w:val="21"/>
              </w:rPr>
              <w:t>3,586,505</w:t>
            </w:r>
          </w:p>
        </w:tc>
        <w:tc>
          <w:tcPr>
            <w:tcW w:w="1006" w:type="pct"/>
            <w:shd w:val="clear" w:color="auto" w:fill="auto"/>
          </w:tcPr>
          <w:p>
            <w:pPr>
              <w:jc w:val="right"/>
              <w:rPr>
                <w:szCs w:val="21"/>
              </w:rPr>
            </w:pPr>
            <w:r>
              <w:rPr>
                <w:szCs w:val="21"/>
              </w:rPr>
              <w:t>3,869,302</w:t>
            </w:r>
          </w:p>
        </w:tc>
        <w:tc>
          <w:tcPr>
            <w:tcW w:w="1029" w:type="pct"/>
            <w:shd w:val="clear" w:color="auto" w:fill="auto"/>
          </w:tcPr>
          <w:p>
            <w:pPr>
              <w:jc w:val="right"/>
              <w:rPr>
                <w:szCs w:val="21"/>
              </w:rPr>
            </w:pPr>
            <w:r>
              <w:rPr>
                <w:szCs w:val="21"/>
              </w:rPr>
              <w:t>4,348,306</w:t>
            </w:r>
          </w:p>
        </w:tc>
        <w:tc>
          <w:tcPr>
            <w:tcW w:w="1014" w:type="pct"/>
            <w:shd w:val="clear" w:color="auto" w:fill="auto"/>
          </w:tcPr>
          <w:p>
            <w:pPr>
              <w:jc w:val="right"/>
              <w:rPr>
                <w:szCs w:val="21"/>
              </w:rPr>
            </w:pPr>
            <w:r>
              <w:rPr>
                <w:szCs w:val="21"/>
              </w:rPr>
              <w:t>3,107,501</w:t>
            </w:r>
          </w:p>
        </w:tc>
      </w:tr>
    </w:tbl>
    <w:p>
      <w:pPr>
        <w:rPr>
          <w:szCs w:val="21"/>
        </w:rPr>
      </w:pPr>
      <w:r>
        <w:rPr>
          <w:rFonts w:hint="eastAsia"/>
          <w:szCs w:val="21"/>
        </w:rPr>
        <w:t>其他说明，包括本期增减变动情况、变动原因说明：</w:t>
      </w:r>
    </w:p>
    <w:p>
      <w:pPr>
        <w:rPr>
          <w:szCs w:val="21"/>
        </w:rPr>
      </w:pPr>
      <w:sdt>
        <w:sdtPr>
          <w:rPr>
            <w:szCs w:val="21"/>
          </w:rPr>
          <w:alias w:val="专项储备情况说明"/>
          <w:tag w:val="_GBC_a75c8c7cc1e44ab5a1585f4a9964199c"/>
          <w:id w:val="-1672329936"/>
          <w:placeholder>
            <w:docPart w:val="GBC22222222222222222222222222222"/>
          </w:placeholder>
        </w:sdtPr>
        <w:sdtContent>
          <w:r>
            <w:rPr>
              <w:szCs w:val="21"/>
            </w:rPr>
            <w:t>-</w:t>
          </w:r>
        </w:sdtContent>
      </w:sdt>
    </w:p>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盈余公积</w:t>
      </w:r>
    </w:p>
    <w:sdt>
      <w:sdtPr>
        <w:alias w:val="是否适用：盈余公积[双击切换]"/>
        <w:tag w:val="_GBC_5a507b0ba3a44a2c828e4df049852353"/>
        <w:id w:val="-186621399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盈余公积"/>
          <w:tag w:val="_GBC_8ca7c8f8d04e47ff92c33109bbf55576"/>
          <w:id w:val="1204345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盈余公积"/>
          <w:tag w:val="_GBC_24d833c69b8448ca876fbf8299519039"/>
          <w:id w:val="-21159766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59"/>
        <w:gridCol w:w="1784"/>
        <w:gridCol w:w="1789"/>
        <w:gridCol w:w="1802"/>
        <w:gridCol w:w="1789"/>
      </w:tblGrid>
      <w:tr>
        <w:sdt>
          <w:sdtPr>
            <w:tag w:val="_PLD_448cc13fae91499a9f41c6e4c1f51937"/>
            <w:id w:val="986898775"/>
          </w:sdtPr>
          <w:sdtContent>
            <w:tc>
              <w:tcPr>
                <w:tcW w:w="940" w:type="pct"/>
              </w:tcPr>
              <w:p>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884612488"/>
          </w:sdtPr>
          <w:sdtContent>
            <w:tc>
              <w:tcPr>
                <w:tcW w:w="1011" w:type="pct"/>
              </w:tcPr>
              <w:p>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780081417"/>
          </w:sdtPr>
          <w:sdtContent>
            <w:tc>
              <w:tcPr>
                <w:tcW w:w="1014" w:type="pct"/>
              </w:tcPr>
              <w:p>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873844946"/>
          </w:sdtPr>
          <w:sdtContent>
            <w:tc>
              <w:tcPr>
                <w:tcW w:w="1021" w:type="pct"/>
              </w:tcPr>
              <w:p>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333253434"/>
          </w:sdtPr>
          <w:sdtContent>
            <w:tc>
              <w:tcPr>
                <w:tcW w:w="1014" w:type="pct"/>
              </w:tcPr>
              <w:p>
                <w:pPr>
                  <w:autoSpaceDE w:val="0"/>
                  <w:autoSpaceDN w:val="0"/>
                  <w:adjustRightInd w:val="0"/>
                  <w:snapToGrid w:val="0"/>
                  <w:jc w:val="center"/>
                  <w:rPr>
                    <w:szCs w:val="21"/>
                  </w:rPr>
                </w:pPr>
                <w:r>
                  <w:rPr>
                    <w:rFonts w:hint="eastAsia"/>
                    <w:szCs w:val="21"/>
                  </w:rPr>
                  <w:t>期末余额</w:t>
                </w:r>
              </w:p>
            </w:tc>
          </w:sdtContent>
        </w:sdt>
      </w:tr>
      <w:tr>
        <w:tc>
          <w:tcPr>
            <w:tcW w:w="940" w:type="pct"/>
            <w:shd w:val="clear" w:color="auto" w:fill="auto"/>
            <w:vAlign w:val="center"/>
          </w:tcPr>
          <w:p>
            <w:pPr>
              <w:autoSpaceDE w:val="0"/>
              <w:autoSpaceDN w:val="0"/>
              <w:adjustRightInd w:val="0"/>
              <w:snapToGrid w:val="0"/>
              <w:jc w:val="both"/>
              <w:rPr>
                <w:szCs w:val="21"/>
              </w:rPr>
            </w:pPr>
            <w:r>
              <w:rPr>
                <w:rFonts w:hint="eastAsia"/>
                <w:szCs w:val="21"/>
              </w:rPr>
              <w:t>法定盈余公积</w:t>
            </w:r>
          </w:p>
        </w:tc>
        <w:tc>
          <w:tcPr>
            <w:tcW w:w="1011" w:type="pct"/>
            <w:shd w:val="clear" w:color="auto" w:fill="auto"/>
            <w:vAlign w:val="center"/>
          </w:tcPr>
          <w:p>
            <w:pPr>
              <w:pStyle w:val="affffffffffffffffffffffffffffffffe"/>
              <w:jc w:val="right"/>
            </w:pPr>
            <w:r>
              <w:t>1,663,815</w:t>
            </w:r>
          </w:p>
        </w:tc>
        <w:tc>
          <w:tcPr>
            <w:tcW w:w="1014" w:type="pct"/>
            <w:shd w:val="clear" w:color="auto" w:fill="auto"/>
            <w:vAlign w:val="center"/>
          </w:tcPr>
          <w:p>
            <w:pPr>
              <w:pStyle w:val="affffffffffffffffffffffffffffffffe"/>
              <w:jc w:val="right"/>
            </w:pPr>
            <w:r>
              <w:t>1,177,577</w:t>
            </w:r>
          </w:p>
        </w:tc>
        <w:tc>
          <w:tcPr>
            <w:tcW w:w="1021" w:type="pct"/>
            <w:shd w:val="clear" w:color="auto" w:fill="auto"/>
            <w:vAlign w:val="center"/>
          </w:tcPr>
          <w:p>
            <w:pPr>
              <w:pStyle w:val="affffffffffffffffffffffffffffffffe"/>
              <w:jc w:val="right"/>
            </w:pPr>
          </w:p>
        </w:tc>
        <w:tc>
          <w:tcPr>
            <w:tcW w:w="1014" w:type="pct"/>
            <w:shd w:val="clear" w:color="auto" w:fill="auto"/>
            <w:vAlign w:val="center"/>
          </w:tcPr>
          <w:p>
            <w:pPr>
              <w:jc w:val="right"/>
              <w:rPr>
                <w:sz w:val="24"/>
              </w:rPr>
            </w:pPr>
            <w:r>
              <w:t>2,841,392</w:t>
            </w:r>
          </w:p>
        </w:tc>
      </w:tr>
      <w:tr>
        <w:tc>
          <w:tcPr>
            <w:tcW w:w="940" w:type="pct"/>
          </w:tcPr>
          <w:p>
            <w:pPr>
              <w:autoSpaceDE w:val="0"/>
              <w:autoSpaceDN w:val="0"/>
              <w:adjustRightInd w:val="0"/>
              <w:snapToGrid w:val="0"/>
              <w:jc w:val="center"/>
              <w:rPr>
                <w:szCs w:val="21"/>
              </w:rPr>
            </w:pPr>
            <w:r>
              <w:rPr>
                <w:rFonts w:hint="eastAsia"/>
                <w:szCs w:val="21"/>
              </w:rPr>
              <w:t>合计</w:t>
            </w:r>
          </w:p>
        </w:tc>
        <w:tc>
          <w:tcPr>
            <w:tcW w:w="1011" w:type="pct"/>
            <w:vAlign w:val="center"/>
          </w:tcPr>
          <w:p>
            <w:pPr>
              <w:pStyle w:val="affffffffffffffffffffffffffffffffe"/>
              <w:jc w:val="right"/>
            </w:pPr>
            <w:r>
              <w:t>1,663,815</w:t>
            </w:r>
          </w:p>
        </w:tc>
        <w:tc>
          <w:tcPr>
            <w:tcW w:w="1014" w:type="pct"/>
            <w:vAlign w:val="center"/>
          </w:tcPr>
          <w:p>
            <w:pPr>
              <w:pStyle w:val="affffffffffffffffffffffffffffffffe"/>
              <w:jc w:val="right"/>
            </w:pPr>
            <w:r>
              <w:t>1,177,577</w:t>
            </w:r>
          </w:p>
        </w:tc>
        <w:tc>
          <w:tcPr>
            <w:tcW w:w="1021" w:type="pct"/>
            <w:vAlign w:val="center"/>
          </w:tcPr>
          <w:p>
            <w:pPr>
              <w:pStyle w:val="affffffffffffffffffffffffffffffffe"/>
              <w:jc w:val="right"/>
            </w:pPr>
          </w:p>
        </w:tc>
        <w:tc>
          <w:tcPr>
            <w:tcW w:w="1014" w:type="pct"/>
            <w:vAlign w:val="center"/>
          </w:tcPr>
          <w:p>
            <w:pPr>
              <w:jc w:val="right"/>
              <w:rPr>
                <w:sz w:val="24"/>
              </w:rPr>
            </w:pPr>
            <w:r>
              <w:t>2,841,392</w:t>
            </w:r>
          </w:p>
        </w:tc>
      </w:tr>
    </w:tbl>
    <w:p>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851831130"/>
        <w:placeholder>
          <w:docPart w:val="GBC22222222222222222222222222222"/>
        </w:placeholder>
      </w:sdtPr>
      <w:sdtContent>
        <w:p>
          <w:pPr>
            <w:autoSpaceDE w:val="0"/>
            <w:autoSpaceDN w:val="0"/>
            <w:adjustRightInd w:val="0"/>
            <w:rPr>
              <w:szCs w:val="21"/>
            </w:rPr>
          </w:pPr>
          <w:r>
            <w:rPr>
              <w:szCs w:val="21"/>
            </w:rPr>
            <w:t>-</w:t>
          </w:r>
        </w:p>
      </w:sdtContent>
    </w:sdt>
    <w:p>
      <w:pPr>
        <w:autoSpaceDE w:val="0"/>
        <w:autoSpaceDN w:val="0"/>
        <w:adjustRightInd w:val="0"/>
        <w:rPr>
          <w:color w:val="000000" w:themeColor="text1"/>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未分配利润</w:t>
      </w:r>
    </w:p>
    <w:p>
      <w:pPr>
        <w:pStyle w:val="affffffffffffffffffffffffffffffffe"/>
      </w:pPr>
      <w:sdt>
        <w:sdtPr>
          <w:alias w:val="是否适用：未分配利润[双击切换]"/>
          <w:tag w:val="_GBC_0ccb002da9b649db91afd1ca2a9330f8"/>
          <w:id w:val="-466808977"/>
          <w:lock w:val="conten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rPr>
          <w:szCs w:val="21"/>
        </w:rPr>
      </w:pPr>
      <w:r>
        <w:rPr>
          <w:rFonts w:hint="eastAsia"/>
          <w:szCs w:val="21"/>
        </w:rPr>
        <w:t>单位：</w:t>
      </w:r>
      <w:sdt>
        <w:sdtPr>
          <w:rPr>
            <w:rFonts w:hint="eastAsia"/>
            <w:szCs w:val="21"/>
          </w:rPr>
          <w:alias w:val="单位：财务附注：未分配利润"/>
          <w:tag w:val="_GBC_fc12fabcd66949d39f6f74b747284465"/>
          <w:id w:val="18825139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未分配利润"/>
          <w:tag w:val="_GBC_7b3accd97aa744c08d773ec06b05684e"/>
          <w:id w:val="-677734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831"/>
        <w:gridCol w:w="2756"/>
        <w:gridCol w:w="2667"/>
      </w:tblGrid>
      <w:tr>
        <w:trPr>
          <w:cantSplit/>
        </w:trPr>
        <w:sdt>
          <w:sdtPr>
            <w:rPr>
              <w:szCs w:val="21"/>
            </w:rPr>
            <w:tag w:val="_PLD_30da0a90f08b46f090b6fee887a691bc"/>
            <w:id w:val="1998992581"/>
          </w:sdtPr>
          <w:sdtContent>
            <w:tc>
              <w:tcPr>
                <w:tcW w:w="2070" w:type="pct"/>
                <w:vAlign w:val="center"/>
              </w:tcPr>
              <w:p>
                <w:pPr>
                  <w:jc w:val="center"/>
                  <w:rPr>
                    <w:szCs w:val="21"/>
                  </w:rPr>
                </w:pPr>
                <w:r>
                  <w:rPr>
                    <w:rFonts w:hint="eastAsia"/>
                    <w:szCs w:val="21"/>
                  </w:rPr>
                  <w:t>项目</w:t>
                </w:r>
              </w:p>
            </w:tc>
          </w:sdtContent>
        </w:sdt>
        <w:sdt>
          <w:sdtPr>
            <w:rPr>
              <w:szCs w:val="21"/>
            </w:rPr>
            <w:tag w:val="_PLD_27c0ff4064964dc5b9e335151d04b603"/>
            <w:id w:val="-1346091513"/>
          </w:sdtPr>
          <w:sdtContent>
            <w:tc>
              <w:tcPr>
                <w:tcW w:w="1489" w:type="pct"/>
                <w:vAlign w:val="center"/>
              </w:tcPr>
              <w:p>
                <w:pPr>
                  <w:jc w:val="center"/>
                  <w:rPr>
                    <w:szCs w:val="21"/>
                  </w:rPr>
                </w:pPr>
                <w:r>
                  <w:rPr>
                    <w:rFonts w:hint="eastAsia"/>
                    <w:szCs w:val="21"/>
                  </w:rPr>
                  <w:t>本期</w:t>
                </w:r>
              </w:p>
            </w:tc>
          </w:sdtContent>
        </w:sdt>
        <w:sdt>
          <w:sdtPr>
            <w:rPr>
              <w:szCs w:val="21"/>
            </w:rPr>
            <w:tag w:val="_PLD_613460741a0147b7be8212812793694e"/>
            <w:id w:val="-969826630"/>
          </w:sdtPr>
          <w:sdtContent>
            <w:tc>
              <w:tcPr>
                <w:tcW w:w="1442" w:type="pct"/>
                <w:vAlign w:val="center"/>
              </w:tcPr>
              <w:p>
                <w:pPr>
                  <w:jc w:val="center"/>
                  <w:rPr>
                    <w:szCs w:val="21"/>
                  </w:rPr>
                </w:pPr>
                <w:r>
                  <w:rPr>
                    <w:rFonts w:hint="eastAsia"/>
                    <w:szCs w:val="21"/>
                  </w:rPr>
                  <w:t>上期</w:t>
                </w:r>
              </w:p>
            </w:tc>
          </w:sdtContent>
        </w:sdt>
      </w:tr>
      <w:tr>
        <w:trPr>
          <w:cantSplit/>
        </w:trPr>
        <w:tc>
          <w:tcPr>
            <w:tcW w:w="2070" w:type="pct"/>
            <w:vAlign w:val="center"/>
          </w:tcPr>
          <w:p>
            <w:pPr>
              <w:spacing w:line="360" w:lineRule="exact"/>
              <w:rPr>
                <w:szCs w:val="21"/>
              </w:rPr>
            </w:pPr>
            <w:r>
              <w:rPr>
                <w:rFonts w:hint="eastAsia"/>
                <w:szCs w:val="21"/>
              </w:rPr>
              <w:t>调整前上期期末未分配利润</w:t>
            </w:r>
          </w:p>
        </w:tc>
        <w:tc>
          <w:tcPr>
            <w:tcW w:w="1489" w:type="pct"/>
            <w:vAlign w:val="center"/>
          </w:tcPr>
          <w:p>
            <w:pPr>
              <w:spacing w:line="360" w:lineRule="exact"/>
              <w:jc w:val="right"/>
              <w:rPr>
                <w:szCs w:val="21"/>
              </w:rPr>
            </w:pPr>
            <w:r>
              <w:rPr>
                <w:szCs w:val="21"/>
              </w:rPr>
              <w:t>50,201,234</w:t>
            </w:r>
          </w:p>
        </w:tc>
        <w:tc>
          <w:tcPr>
            <w:tcW w:w="1442" w:type="pct"/>
            <w:vAlign w:val="center"/>
          </w:tcPr>
          <w:p>
            <w:pPr>
              <w:spacing w:line="360" w:lineRule="exact"/>
              <w:jc w:val="right"/>
              <w:rPr>
                <w:szCs w:val="21"/>
              </w:rPr>
            </w:pPr>
            <w:r>
              <w:rPr>
                <w:szCs w:val="21"/>
              </w:rPr>
              <w:t>77,265,236</w:t>
            </w:r>
          </w:p>
        </w:tc>
      </w:tr>
      <w:tr>
        <w:trPr>
          <w:cantSplit/>
        </w:trPr>
        <w:tc>
          <w:tcPr>
            <w:tcW w:w="2070" w:type="pct"/>
            <w:vAlign w:val="center"/>
          </w:tcPr>
          <w:p>
            <w:pPr>
              <w:spacing w:line="360" w:lineRule="exact"/>
              <w:rPr>
                <w:szCs w:val="21"/>
              </w:rPr>
            </w:pPr>
            <w:r>
              <w:rPr>
                <w:rFonts w:hint="eastAsia"/>
                <w:szCs w:val="21"/>
              </w:rPr>
              <w:t>调整期初未分配利润合计数（调增</w:t>
            </w:r>
            <w:r>
              <w:rPr>
                <w:szCs w:val="21"/>
              </w:rPr>
              <w:t>+，调减－）</w:t>
            </w:r>
          </w:p>
        </w:tc>
        <w:tc>
          <w:tcPr>
            <w:tcW w:w="1489" w:type="pct"/>
            <w:vAlign w:val="center"/>
          </w:tcPr>
          <w:p>
            <w:pPr>
              <w:spacing w:line="360" w:lineRule="exact"/>
              <w:jc w:val="right"/>
              <w:rPr>
                <w:szCs w:val="21"/>
              </w:rPr>
            </w:pPr>
            <w:r>
              <w:rPr>
                <w:szCs w:val="21"/>
              </w:rPr>
              <w:t>87,842</w:t>
            </w:r>
          </w:p>
        </w:tc>
        <w:tc>
          <w:tcPr>
            <w:tcW w:w="1442" w:type="pct"/>
            <w:vAlign w:val="center"/>
          </w:tcPr>
          <w:p>
            <w:pPr>
              <w:spacing w:line="360" w:lineRule="exact"/>
              <w:jc w:val="right"/>
              <w:rPr>
                <w:szCs w:val="21"/>
              </w:rPr>
            </w:pPr>
            <w:r>
              <w:rPr>
                <w:szCs w:val="21"/>
              </w:rPr>
              <w:t>57,010</w:t>
            </w:r>
          </w:p>
        </w:tc>
      </w:tr>
      <w:tr>
        <w:trPr>
          <w:cantSplit/>
        </w:trPr>
        <w:tc>
          <w:tcPr>
            <w:tcW w:w="2070" w:type="pct"/>
            <w:vAlign w:val="center"/>
          </w:tcPr>
          <w:p>
            <w:pPr>
              <w:spacing w:line="360" w:lineRule="exact"/>
              <w:rPr>
                <w:szCs w:val="21"/>
              </w:rPr>
            </w:pPr>
            <w:r>
              <w:rPr>
                <w:rFonts w:hint="eastAsia"/>
                <w:szCs w:val="21"/>
              </w:rPr>
              <w:t>其中：《企业会计准则》及相关新规定追溯调整</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szCs w:val="21"/>
              </w:rPr>
              <w:t xml:space="preserve">      会计政策变更</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szCs w:val="21"/>
              </w:rPr>
              <w:t xml:space="preserve">      重大前期差错更正</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szCs w:val="21"/>
              </w:rPr>
              <w:t xml:space="preserve">      同一控制合并范围变更</w:t>
            </w:r>
          </w:p>
        </w:tc>
        <w:tc>
          <w:tcPr>
            <w:tcW w:w="1489" w:type="pct"/>
            <w:vAlign w:val="center"/>
          </w:tcPr>
          <w:p>
            <w:pPr>
              <w:spacing w:line="360" w:lineRule="exact"/>
              <w:jc w:val="right"/>
              <w:rPr>
                <w:szCs w:val="21"/>
              </w:rPr>
            </w:pPr>
            <w:r>
              <w:rPr>
                <w:szCs w:val="21"/>
              </w:rPr>
              <w:t>87,842</w:t>
            </w:r>
          </w:p>
        </w:tc>
        <w:tc>
          <w:tcPr>
            <w:tcW w:w="1442" w:type="pct"/>
            <w:vAlign w:val="center"/>
          </w:tcPr>
          <w:p>
            <w:pPr>
              <w:spacing w:line="360" w:lineRule="exact"/>
              <w:jc w:val="right"/>
              <w:rPr>
                <w:szCs w:val="21"/>
              </w:rPr>
            </w:pPr>
            <w:r>
              <w:rPr>
                <w:szCs w:val="21"/>
              </w:rPr>
              <w:t>57,010</w:t>
            </w:r>
          </w:p>
        </w:tc>
      </w:tr>
      <w:tr>
        <w:trPr>
          <w:cantSplit/>
        </w:trPr>
        <w:tc>
          <w:tcPr>
            <w:tcW w:w="2070" w:type="pct"/>
            <w:vAlign w:val="center"/>
          </w:tcPr>
          <w:p>
            <w:pPr>
              <w:spacing w:line="360" w:lineRule="exact"/>
              <w:rPr>
                <w:szCs w:val="21"/>
              </w:rPr>
            </w:pPr>
            <w:r>
              <w:rPr>
                <w:szCs w:val="21"/>
              </w:rPr>
              <w:t xml:space="preserve">      其他调整因素</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rFonts w:hint="eastAsia"/>
                <w:szCs w:val="21"/>
              </w:rPr>
              <w:t>调整后期初未分配利润</w:t>
            </w:r>
          </w:p>
        </w:tc>
        <w:tc>
          <w:tcPr>
            <w:tcW w:w="1489" w:type="pct"/>
            <w:vAlign w:val="center"/>
          </w:tcPr>
          <w:p>
            <w:pPr>
              <w:spacing w:line="360" w:lineRule="exact"/>
              <w:jc w:val="right"/>
              <w:rPr>
                <w:szCs w:val="21"/>
              </w:rPr>
            </w:pPr>
            <w:r>
              <w:rPr>
                <w:szCs w:val="21"/>
              </w:rPr>
              <w:t>50,289,076</w:t>
            </w:r>
          </w:p>
        </w:tc>
        <w:tc>
          <w:tcPr>
            <w:tcW w:w="1442" w:type="pct"/>
            <w:vAlign w:val="center"/>
          </w:tcPr>
          <w:p>
            <w:pPr>
              <w:spacing w:line="360" w:lineRule="exact"/>
              <w:jc w:val="right"/>
              <w:rPr>
                <w:szCs w:val="21"/>
              </w:rPr>
            </w:pPr>
            <w:r>
              <w:rPr>
                <w:szCs w:val="21"/>
              </w:rPr>
              <w:t>77,322,246</w:t>
            </w:r>
          </w:p>
        </w:tc>
      </w:tr>
      <w:tr>
        <w:trPr>
          <w:cantSplit/>
        </w:trPr>
        <w:tc>
          <w:tcPr>
            <w:tcW w:w="2070" w:type="pct"/>
            <w:vAlign w:val="center"/>
          </w:tcPr>
          <w:p>
            <w:pPr>
              <w:spacing w:line="360" w:lineRule="exact"/>
              <w:rPr>
                <w:szCs w:val="21"/>
              </w:rPr>
            </w:pPr>
            <w:r>
              <w:rPr>
                <w:rFonts w:hint="eastAsia"/>
                <w:szCs w:val="21"/>
              </w:rPr>
              <w:t>加：本期归属于母公司所有者的净利润</w:t>
            </w:r>
          </w:p>
        </w:tc>
        <w:tc>
          <w:tcPr>
            <w:tcW w:w="1489" w:type="pct"/>
            <w:vAlign w:val="center"/>
          </w:tcPr>
          <w:p>
            <w:pPr>
              <w:spacing w:line="360" w:lineRule="exact"/>
              <w:jc w:val="right"/>
              <w:rPr>
                <w:szCs w:val="21"/>
              </w:rPr>
            </w:pPr>
            <w:r>
              <w:rPr>
                <w:szCs w:val="21"/>
              </w:rPr>
              <w:t>14,425,051</w:t>
            </w:r>
          </w:p>
        </w:tc>
        <w:tc>
          <w:tcPr>
            <w:tcW w:w="1442" w:type="pct"/>
            <w:vAlign w:val="center"/>
          </w:tcPr>
          <w:p>
            <w:pPr>
              <w:spacing w:line="360" w:lineRule="exact"/>
              <w:jc w:val="right"/>
              <w:rPr>
                <w:szCs w:val="21"/>
              </w:rPr>
            </w:pPr>
            <w:r>
              <w:rPr>
                <w:szCs w:val="21"/>
              </w:rPr>
              <w:t>20,143,947</w:t>
            </w:r>
          </w:p>
        </w:tc>
      </w:tr>
      <w:tr>
        <w:trPr>
          <w:cantSplit/>
        </w:trPr>
        <w:tc>
          <w:tcPr>
            <w:tcW w:w="2070" w:type="pct"/>
            <w:vAlign w:val="center"/>
          </w:tcPr>
          <w:p>
            <w:pPr>
              <w:spacing w:line="360" w:lineRule="exact"/>
              <w:rPr>
                <w:szCs w:val="21"/>
              </w:rPr>
            </w:pPr>
            <w:r>
              <w:rPr>
                <w:rFonts w:hint="eastAsia"/>
                <w:szCs w:val="21"/>
              </w:rPr>
              <w:t>减：提取法定盈余公积</w:t>
            </w:r>
          </w:p>
        </w:tc>
        <w:tc>
          <w:tcPr>
            <w:tcW w:w="1489" w:type="pct"/>
            <w:vAlign w:val="center"/>
          </w:tcPr>
          <w:p>
            <w:pPr>
              <w:spacing w:line="360" w:lineRule="exact"/>
              <w:jc w:val="right"/>
              <w:rPr>
                <w:szCs w:val="21"/>
              </w:rPr>
            </w:pPr>
            <w:r>
              <w:rPr>
                <w:szCs w:val="21"/>
              </w:rPr>
              <w:t>1,177,577</w:t>
            </w:r>
          </w:p>
        </w:tc>
        <w:tc>
          <w:tcPr>
            <w:tcW w:w="1442" w:type="pct"/>
            <w:vAlign w:val="center"/>
          </w:tcPr>
          <w:p>
            <w:pPr>
              <w:spacing w:line="360" w:lineRule="exact"/>
              <w:jc w:val="right"/>
              <w:rPr>
                <w:szCs w:val="21"/>
              </w:rPr>
            </w:pPr>
            <w:r>
              <w:rPr>
                <w:szCs w:val="21"/>
              </w:rPr>
              <w:t>1,663,815</w:t>
            </w:r>
          </w:p>
        </w:tc>
      </w:tr>
      <w:tr>
        <w:trPr>
          <w:cantSplit/>
        </w:trPr>
        <w:tc>
          <w:tcPr>
            <w:tcW w:w="2070" w:type="pct"/>
            <w:vAlign w:val="center"/>
          </w:tcPr>
          <w:p>
            <w:pPr>
              <w:spacing w:line="360" w:lineRule="exact"/>
              <w:rPr>
                <w:szCs w:val="21"/>
              </w:rPr>
            </w:pPr>
            <w:r>
              <w:rPr>
                <w:szCs w:val="21"/>
              </w:rPr>
              <w:t xml:space="preserve"> 提取任意盈余公积</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szCs w:val="21"/>
              </w:rPr>
              <w:t xml:space="preserve"> 提取一般风险准备</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p>
        </w:tc>
      </w:tr>
      <w:tr>
        <w:trPr>
          <w:cantSplit/>
        </w:trPr>
        <w:tc>
          <w:tcPr>
            <w:tcW w:w="2070" w:type="pct"/>
            <w:vAlign w:val="center"/>
          </w:tcPr>
          <w:p>
            <w:pPr>
              <w:spacing w:line="360" w:lineRule="exact"/>
              <w:rPr>
                <w:szCs w:val="21"/>
              </w:rPr>
            </w:pPr>
            <w:r>
              <w:rPr>
                <w:szCs w:val="21"/>
              </w:rPr>
              <w:t xml:space="preserve"> 应付普通股股利</w:t>
            </w:r>
          </w:p>
        </w:tc>
        <w:tc>
          <w:tcPr>
            <w:tcW w:w="1489" w:type="pct"/>
            <w:vAlign w:val="center"/>
          </w:tcPr>
          <w:p>
            <w:pPr>
              <w:spacing w:line="360" w:lineRule="exact"/>
              <w:jc w:val="right"/>
              <w:rPr>
                <w:szCs w:val="21"/>
              </w:rPr>
            </w:pPr>
            <w:r>
              <w:rPr>
                <w:szCs w:val="21"/>
              </w:rPr>
              <w:t>16,133,284</w:t>
            </w:r>
          </w:p>
        </w:tc>
        <w:tc>
          <w:tcPr>
            <w:tcW w:w="1442" w:type="pct"/>
            <w:vAlign w:val="center"/>
          </w:tcPr>
          <w:p>
            <w:pPr>
              <w:spacing w:line="360" w:lineRule="exact"/>
              <w:jc w:val="right"/>
              <w:rPr>
                <w:szCs w:val="21"/>
              </w:rPr>
            </w:pPr>
            <w:r>
              <w:rPr>
                <w:szCs w:val="21"/>
              </w:rPr>
              <w:t>24,432,610</w:t>
            </w:r>
          </w:p>
        </w:tc>
      </w:tr>
      <w:tr>
        <w:trPr>
          <w:cantSplit/>
        </w:trPr>
        <w:tc>
          <w:tcPr>
            <w:tcW w:w="2070" w:type="pct"/>
            <w:vAlign w:val="center"/>
          </w:tcPr>
          <w:p>
            <w:pPr>
              <w:spacing w:line="360" w:lineRule="exact"/>
              <w:rPr>
                <w:szCs w:val="21"/>
              </w:rPr>
            </w:pPr>
            <w:r>
              <w:rPr>
                <w:szCs w:val="21"/>
              </w:rPr>
              <w:t xml:space="preserve"> 同一控制下企业合并</w:t>
            </w:r>
          </w:p>
        </w:tc>
        <w:tc>
          <w:tcPr>
            <w:tcW w:w="1489" w:type="pct"/>
            <w:vAlign w:val="center"/>
          </w:tcPr>
          <w:p>
            <w:pPr>
              <w:spacing w:line="360" w:lineRule="exact"/>
              <w:jc w:val="right"/>
              <w:rPr>
                <w:szCs w:val="21"/>
              </w:rPr>
            </w:pPr>
          </w:p>
        </w:tc>
        <w:tc>
          <w:tcPr>
            <w:tcW w:w="1442" w:type="pct"/>
            <w:vAlign w:val="center"/>
          </w:tcPr>
          <w:p>
            <w:pPr>
              <w:spacing w:line="360" w:lineRule="exact"/>
              <w:jc w:val="right"/>
              <w:rPr>
                <w:szCs w:val="21"/>
              </w:rPr>
            </w:pPr>
            <w:r>
              <w:rPr>
                <w:szCs w:val="21"/>
              </w:rPr>
              <w:t>20,951,944</w:t>
            </w:r>
          </w:p>
        </w:tc>
      </w:tr>
      <w:tr>
        <w:trPr>
          <w:cantSplit/>
          <w:trHeight w:val="219"/>
        </w:trPr>
        <w:tc>
          <w:tcPr>
            <w:tcW w:w="2070" w:type="pct"/>
            <w:vAlign w:val="center"/>
          </w:tcPr>
          <w:p>
            <w:pPr>
              <w:spacing w:line="360" w:lineRule="exact"/>
              <w:rPr>
                <w:szCs w:val="21"/>
              </w:rPr>
            </w:pPr>
            <w:r>
              <w:rPr>
                <w:rFonts w:hint="eastAsia"/>
                <w:szCs w:val="21"/>
              </w:rPr>
              <w:t>其他调整因素</w:t>
            </w:r>
          </w:p>
        </w:tc>
        <w:tc>
          <w:tcPr>
            <w:tcW w:w="1489" w:type="pct"/>
            <w:vAlign w:val="center"/>
          </w:tcPr>
          <w:p>
            <w:pPr>
              <w:spacing w:line="360" w:lineRule="exact"/>
              <w:jc w:val="right"/>
              <w:rPr>
                <w:szCs w:val="21"/>
              </w:rPr>
            </w:pPr>
            <w:r>
              <w:rPr>
                <w:szCs w:val="21"/>
              </w:rPr>
              <w:t>148,515</w:t>
            </w:r>
          </w:p>
        </w:tc>
        <w:tc>
          <w:tcPr>
            <w:tcW w:w="1442" w:type="pct"/>
            <w:vAlign w:val="center"/>
          </w:tcPr>
          <w:p>
            <w:pPr>
              <w:spacing w:line="360" w:lineRule="exact"/>
              <w:jc w:val="right"/>
              <w:rPr>
                <w:szCs w:val="21"/>
              </w:rPr>
            </w:pPr>
            <w:r>
              <w:rPr>
                <w:szCs w:val="21"/>
              </w:rPr>
              <w:t>128,748</w:t>
            </w:r>
          </w:p>
        </w:tc>
      </w:tr>
      <w:tr>
        <w:trPr>
          <w:cantSplit/>
        </w:trPr>
        <w:tc>
          <w:tcPr>
            <w:tcW w:w="2070" w:type="pct"/>
            <w:vAlign w:val="center"/>
          </w:tcPr>
          <w:p>
            <w:pPr>
              <w:autoSpaceDE w:val="0"/>
              <w:autoSpaceDN w:val="0"/>
              <w:adjustRightInd w:val="0"/>
              <w:rPr>
                <w:szCs w:val="21"/>
              </w:rPr>
            </w:pPr>
            <w:r>
              <w:rPr>
                <w:rFonts w:hint="eastAsia"/>
                <w:szCs w:val="21"/>
              </w:rPr>
              <w:t>期末未分配利润</w:t>
            </w:r>
          </w:p>
        </w:tc>
        <w:tc>
          <w:tcPr>
            <w:tcW w:w="1489" w:type="pct"/>
            <w:vAlign w:val="center"/>
          </w:tcPr>
          <w:p>
            <w:pPr>
              <w:jc w:val="right"/>
              <w:rPr>
                <w:szCs w:val="21"/>
              </w:rPr>
            </w:pPr>
            <w:r>
              <w:rPr>
                <w:szCs w:val="21"/>
              </w:rPr>
              <w:t>47,254,751</w:t>
            </w:r>
          </w:p>
        </w:tc>
        <w:tc>
          <w:tcPr>
            <w:tcW w:w="1442" w:type="pct"/>
            <w:vAlign w:val="center"/>
          </w:tcPr>
          <w:p>
            <w:pPr>
              <w:ind w:right="6"/>
              <w:jc w:val="right"/>
              <w:rPr>
                <w:szCs w:val="21"/>
              </w:rPr>
            </w:pPr>
            <w:r>
              <w:rPr>
                <w:szCs w:val="21"/>
              </w:rPr>
              <w:t>50,289,076</w:t>
            </w:r>
          </w:p>
        </w:tc>
      </w:tr>
    </w:tbl>
    <w:p>
      <w:pPr>
        <w:rPr>
          <w:szCs w:val="21"/>
        </w:rPr>
      </w:pPr>
    </w:p>
    <w:p>
      <w:pPr>
        <w:rPr>
          <w:szCs w:val="21"/>
        </w:rPr>
      </w:pPr>
    </w:p>
    <w:p>
      <w:pPr>
        <w:rPr>
          <w:szCs w:val="21"/>
        </w:rPr>
      </w:pPr>
    </w:p>
    <w:p>
      <w:pPr>
        <w:rPr>
          <w:szCs w:val="21"/>
        </w:rPr>
      </w:pPr>
    </w:p>
    <w:p>
      <w:pPr>
        <w:rPr>
          <w:szCs w:val="21"/>
        </w:rPr>
      </w:pPr>
    </w:p>
    <w:p>
      <w:pPr>
        <w:rPr>
          <w:rFonts w:hint="eastAsia"/>
          <w:szCs w:val="21"/>
        </w:rPr>
      </w:pPr>
    </w:p>
    <w:p>
      <w:pPr>
        <w:pStyle w:val="affffffffffffffffff6"/>
        <w:numPr>
          <w:ilvl w:val="0"/>
          <w:numId w:val="103"/>
        </w:numPr>
        <w:tabs>
          <w:tab w:val="left" w:pos="504"/>
        </w:tabs>
        <w:rPr>
          <w:szCs w:val="21"/>
        </w:rPr>
      </w:pPr>
      <w:r>
        <w:rPr>
          <w:szCs w:val="21"/>
        </w:rPr>
        <w:lastRenderedPageBreak/>
        <w:t>营业</w:t>
      </w:r>
      <w:r>
        <w:rPr>
          <w:rFonts w:ascii="宋体" w:hAnsi="宋体"/>
          <w:szCs w:val="21"/>
        </w:rPr>
        <w:t>收入</w:t>
      </w:r>
      <w:r>
        <w:rPr>
          <w:szCs w:val="21"/>
        </w:rPr>
        <w:t>和营业成本</w:t>
      </w:r>
    </w:p>
    <w:p>
      <w:pPr>
        <w:pStyle w:val="afffffffffffffffffffffffffffffffff1"/>
        <w:numPr>
          <w:ilvl w:val="0"/>
          <w:numId w:val="180"/>
        </w:numPr>
        <w:ind w:left="426" w:hanging="426"/>
      </w:pPr>
      <w:r>
        <w:rPr>
          <w:rFonts w:hint="eastAsia"/>
        </w:rPr>
        <w:t>营业收入和营业成本情况</w:t>
      </w:r>
    </w:p>
    <w:sdt>
      <w:sdtPr>
        <w:alias w:val="是否适用：营业收入和营业成本[双击切换]"/>
        <w:tag w:val="_GBC_c0388196e3634afc823f4b5822c5937a"/>
        <w:id w:val="-153233179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bCs/>
          <w:szCs w:val="21"/>
        </w:rPr>
        <w:t>单位：</w:t>
      </w:r>
      <w:sdt>
        <w:sdtPr>
          <w:rPr>
            <w:rFonts w:hint="eastAsia"/>
            <w:bCs/>
            <w:szCs w:val="21"/>
          </w:rPr>
          <w:alias w:val="单位：财务附注：营业收入"/>
          <w:tag w:val="_GBC_65cadde8ae1e4b178e7f2737b89bb434"/>
          <w:id w:val="-731280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szCs w:val="21"/>
            </w:rPr>
            <w:t>千元</w:t>
          </w:r>
        </w:sdtContent>
      </w:sdt>
      <w:r>
        <w:rPr>
          <w:rFonts w:hint="eastAsia"/>
          <w:bCs/>
          <w:szCs w:val="21"/>
        </w:rPr>
        <w:t xml:space="preserve">  币种：</w:t>
      </w:r>
      <w:sdt>
        <w:sdtPr>
          <w:rPr>
            <w:rFonts w:hint="eastAsia"/>
            <w:bCs/>
            <w:szCs w:val="21"/>
          </w:rPr>
          <w:alias w:val="币种：财务附注：营业收入"/>
          <w:tag w:val="_GBC_1371c944b91f437595273e807317f64f"/>
          <w:id w:val="5291491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842"/>
        <w:gridCol w:w="1855"/>
        <w:gridCol w:w="1853"/>
        <w:gridCol w:w="1853"/>
      </w:tblGrid>
      <w:tr>
        <w:sdt>
          <w:sdtPr>
            <w:tag w:val="_PLD_77e8683f75cd4c9e919404e1278fe9a0"/>
            <w:id w:val="148946916"/>
          </w:sdtPr>
          <w:sdtContent>
            <w:tc>
              <w:tcPr>
                <w:tcW w:w="805"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tag w:val="_PLD_e956f55a311f45a19dc3ce9396b931c9"/>
            <w:id w:val="-487022972"/>
          </w:sdtPr>
          <w:sdtContent>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本期发生额</w:t>
                </w:r>
              </w:p>
            </w:tc>
          </w:sdtContent>
        </w:sdt>
        <w:sdt>
          <w:sdtPr>
            <w:tag w:val="_PLD_d175a7df90684e2bbdccc1ba942f2760"/>
            <w:id w:val="-2080356787"/>
          </w:sdtPr>
          <w:sdtContent>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上期发生额</w:t>
                </w:r>
              </w:p>
            </w:tc>
          </w:sdtContent>
        </w:sdt>
      </w:tr>
      <w:tr>
        <w:tc>
          <w:tcPr>
            <w:tcW w:w="805" w:type="pct"/>
            <w:vMerge/>
            <w:tcBorders>
              <w:left w:val="single" w:sz="4" w:space="0" w:color="auto"/>
              <w:bottom w:val="single" w:sz="4" w:space="0" w:color="auto"/>
              <w:right w:val="single" w:sz="4" w:space="0" w:color="auto"/>
            </w:tcBorders>
            <w:shd w:val="clear" w:color="auto" w:fill="auto"/>
          </w:tcPr>
          <w:p>
            <w:pPr>
              <w:jc w:val="center"/>
              <w:rPr>
                <w:szCs w:val="21"/>
              </w:rPr>
            </w:pPr>
          </w:p>
        </w:tc>
        <w:sdt>
          <w:sdtPr>
            <w:tag w:val="_PLD_fe053e4bca564a1fbda44c85256ce067"/>
            <w:id w:val="1266808746"/>
          </w:sdtPr>
          <w:sdtContent>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收入</w:t>
                </w:r>
              </w:p>
            </w:tc>
          </w:sdtContent>
        </w:sdt>
        <w:sdt>
          <w:sdtPr>
            <w:tag w:val="_PLD_88be7d92d03d4168a79d4492be4a258c"/>
            <w:id w:val="-1845158298"/>
          </w:sdtPr>
          <w:sdtContent>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成本</w:t>
                </w:r>
              </w:p>
            </w:tc>
          </w:sdtContent>
        </w:sdt>
        <w:sdt>
          <w:sdtPr>
            <w:tag w:val="_PLD_5ba4682bc5644bc38c4b795c78508b1f"/>
            <w:id w:val="-2113966186"/>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收入</w:t>
                </w:r>
              </w:p>
            </w:tc>
          </w:sdtContent>
        </w:sdt>
        <w:sdt>
          <w:sdtPr>
            <w:tag w:val="_PLD_94a3ede4ab834e37a20364f2c6897976"/>
            <w:id w:val="542642223"/>
          </w:sdtPr>
          <w:sdtContent>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成本</w:t>
                </w:r>
              </w:p>
            </w:tc>
          </w:sdtContent>
        </w:sdt>
      </w:tr>
      <w:tr>
        <w:tc>
          <w:tcPr>
            <w:tcW w:w="805"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主营业务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124,534,195</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76,335,707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132,789,090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74,549,056</w:t>
            </w:r>
          </w:p>
        </w:tc>
      </w:tr>
      <w:tr>
        <w:tc>
          <w:tcPr>
            <w:tcW w:w="805"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其他业务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14,590,239</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12,976,113</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17,278,847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pPr>
            <w:r>
              <w:t>14,529,563</w:t>
            </w:r>
          </w:p>
        </w:tc>
      </w:tr>
      <w:tr>
        <w:tc>
          <w:tcPr>
            <w:tcW w:w="80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139,124,434</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89,311,820</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150,067,937</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89,078,619</w:t>
            </w:r>
          </w:p>
        </w:tc>
      </w:tr>
    </w:tbl>
    <w:p>
      <w:pPr>
        <w:pStyle w:val="affffffffffffffffffffffffffffffffe"/>
      </w:pPr>
    </w:p>
    <w:p>
      <w:pPr>
        <w:pStyle w:val="affffffffffffffffffffffffffffffffe"/>
      </w:pPr>
    </w:p>
    <w:p>
      <w:pPr>
        <w:sectPr>
          <w:pgSz w:w="11906" w:h="16838"/>
          <w:pgMar w:top="1440" w:right="1797" w:bottom="1525" w:left="1276" w:header="856" w:footer="992" w:gutter="0"/>
          <w:cols w:space="425"/>
          <w:docGrid w:linePitch="312"/>
        </w:sectPr>
      </w:pPr>
    </w:p>
    <w:p>
      <w:pPr>
        <w:pStyle w:val="affffffffffffffffffffffffffffffffe"/>
      </w:pPr>
      <w:bookmarkStart w:id="469" w:name="_Hlk89957177"/>
      <w:bookmarkEnd w:id="469"/>
    </w:p>
    <w:bookmarkStart w:id="470"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523062985"/>
        <w:placeholder>
          <w:docPart w:val="GBC22222222222222222222222222222"/>
        </w:placeholder>
      </w:sdtPr>
      <w:sdtEndPr>
        <w:rPr>
          <w:rFonts w:hint="default"/>
        </w:rPr>
      </w:sdtEndPr>
      <w:sdtContent>
        <w:p>
          <w:pPr>
            <w:pStyle w:val="afffffffffffffffffffffffffffffffff1"/>
            <w:numPr>
              <w:ilvl w:val="0"/>
              <w:numId w:val="180"/>
            </w:numPr>
            <w:ind w:left="426" w:hanging="426"/>
          </w:pPr>
          <w:r>
            <w:rPr>
              <w:rFonts w:hint="eastAsia"/>
            </w:rPr>
            <w:t>合同产生的收入情况</w:t>
          </w:r>
          <w:r>
            <w:t xml:space="preserve"> </w:t>
          </w:r>
        </w:p>
        <w:sdt>
          <w:sdtPr>
            <w:rPr>
              <w:rFonts w:ascii="宋体" w:hAnsi="宋体"/>
              <w:szCs w:val="21"/>
            </w:rPr>
            <w:alias w:val="是否适用：营业收入、营业成本的分解信息 [双击切换]"/>
            <w:tag w:val="_GBC_9ca3964974eb4c71856442f0683fa140"/>
            <w:id w:val="413823709"/>
            <w:placeholder>
              <w:docPart w:val="GBC22222222222222222222222222222"/>
            </w:placeholder>
          </w:sdtPr>
          <w:sdtContent>
            <w:p>
              <w:pPr>
                <w:pStyle w:val="affffffffffffffffffffffffffffffffff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affffffffffffffffff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2979902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营业收入、营业成本的分解信息 "/>
              <w:tag w:val="_GBC_ca9b26593dbf458b829ac632033cd724"/>
              <w:id w:val="-91701251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8"/>
            <w:gridCol w:w="2359"/>
            <w:gridCol w:w="2926"/>
          </w:tblGrid>
          <w:tr>
            <w:sdt>
              <w:sdtPr>
                <w:rPr>
                  <w:szCs w:val="21"/>
                </w:rPr>
                <w:tag w:val="_PLD_0e9269f20e6e4b7f8a6a8c59b9077225"/>
                <w:id w:val="1175468231"/>
              </w:sdtPr>
              <w:sdtContent>
                <w:tc>
                  <w:tcPr>
                    <w:tcW w:w="2005" w:type="pct"/>
                    <w:vMerge w:val="restart"/>
                    <w:tcBorders>
                      <w:top w:val="single" w:sz="4" w:space="0" w:color="auto"/>
                      <w:left w:val="single" w:sz="4" w:space="0" w:color="auto"/>
                      <w:right w:val="single" w:sz="4" w:space="0" w:color="auto"/>
                    </w:tcBorders>
                    <w:shd w:val="clear" w:color="auto" w:fill="auto"/>
                    <w:vAlign w:val="center"/>
                  </w:tcPr>
                  <w:p>
                    <w:pPr>
                      <w:rPr>
                        <w:szCs w:val="21"/>
                      </w:rPr>
                    </w:pPr>
                    <w:r>
                      <w:rPr>
                        <w:rFonts w:hint="eastAsia"/>
                        <w:szCs w:val="21"/>
                      </w:rPr>
                      <w:t>合同分类</w:t>
                    </w:r>
                  </w:p>
                </w:tc>
              </w:sdtContent>
            </w:sdt>
            <w:sdt>
              <w:sdtPr>
                <w:rPr>
                  <w:szCs w:val="21"/>
                </w:rPr>
                <w:tag w:val="_PLD_4c617eb15d544d45ba3090cf4fb369da"/>
                <w:id w:val="2106450629"/>
              </w:sdtPr>
              <w:sdtContent>
                <w:tc>
                  <w:tcPr>
                    <w:tcW w:w="2995"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sdtContent>
            </w:sdt>
          </w:tr>
          <w:tr>
            <w:tc>
              <w:tcPr>
                <w:tcW w:w="2005"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sdt>
              <w:sdtPr>
                <w:rPr>
                  <w:szCs w:val="21"/>
                </w:rPr>
                <w:tag w:val="_PLD_63400df9f177476bb0975376f62b78b9"/>
                <w:id w:val="478352743"/>
              </w:sdtPr>
              <w:sdtContent>
                <w:tc>
                  <w:tcPr>
                    <w:tcW w:w="133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本年发生额</w:t>
                    </w:r>
                  </w:p>
                </w:tc>
              </w:sdtContent>
            </w:sdt>
            <w:sdt>
              <w:sdtPr>
                <w:rPr>
                  <w:szCs w:val="21"/>
                </w:rPr>
                <w:tag w:val="_PLD_ccb1ce0fea894f5892ff4f8ace575517"/>
                <w:id w:val="1362320888"/>
              </w:sdtPr>
              <w:sdtContent>
                <w:tc>
                  <w:tcPr>
                    <w:tcW w:w="1658"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上年发生额</w:t>
                    </w:r>
                  </w:p>
                </w:tc>
              </w:sdtContent>
            </w:sdt>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业务类型</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hAnsi="Times New Roman" w:cs="Times New Roman"/>
                    <w:szCs w:val="21"/>
                  </w:rPr>
                </w:pP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rFonts w:ascii="Times New Roman" w:eastAsia="Times New Roman" w:hAnsi="Times New Roman" w:cs="Times New Roman"/>
                    <w:szCs w:val="21"/>
                  </w:rPr>
                </w:pP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其中：煤炭业务</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91,624,522</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102,019,063</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煤化工、电力及热力</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28,564,079</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29,855,761</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物流贸易</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7,889,864</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10,897,397</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贷款和融资租赁</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1,161,160</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1,392,268</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矿用设备制造</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1,074,461</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690,972</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未分配项目</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8,810,348</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5,212,476</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1"/>
                  </w:rPr>
                </w:pPr>
                <w:r>
                  <w:rPr>
                    <w:rFonts w:hint="eastAsia"/>
                    <w:color w:val="000000"/>
                    <w:szCs w:val="21"/>
                  </w:rPr>
                  <w:t>合计</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139,124,434</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150,067,937</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按经营地区分类</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 xml:space="preserve">　</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 xml:space="preserve">　</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其中：中国</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102,788,865</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108,706,426</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澳洲</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35,949,295</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41,273,047</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 xml:space="preserve">          其他</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386,274</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88,464</w:t>
                </w:r>
              </w:p>
            </w:tc>
          </w:tr>
          <w:tr>
            <w:tc>
              <w:tcPr>
                <w:tcW w:w="200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color w:val="000000"/>
                    <w:szCs w:val="21"/>
                  </w:rPr>
                </w:pPr>
                <w:r>
                  <w:rPr>
                    <w:rFonts w:hint="eastAsia"/>
                    <w:color w:val="000000"/>
                    <w:szCs w:val="21"/>
                  </w:rPr>
                  <w:t>合计</w:t>
                </w:r>
              </w:p>
            </w:tc>
            <w:tc>
              <w:tcPr>
                <w:tcW w:w="133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139,124,434</w:t>
                </w:r>
              </w:p>
            </w:tc>
            <w:tc>
              <w:tcPr>
                <w:tcW w:w="1658"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150,067,937</w:t>
                </w:r>
                <w:r>
                  <w:rPr>
                    <w:rFonts w:hint="eastAsia"/>
                    <w:szCs w:val="21"/>
                  </w:rPr>
                  <w:t xml:space="preserve">　</w:t>
                </w:r>
              </w:p>
            </w:tc>
          </w:tr>
        </w:tbl>
        <w:p>
          <w:pPr>
            <w:pStyle w:val="affffffffffffffffffffffffffffffffe"/>
          </w:pPr>
        </w:p>
        <w:p>
          <w:pPr>
            <w:pStyle w:val="affffffffffffffffffffffffffffffffe"/>
          </w:pPr>
          <w:r>
            <w:rPr>
              <w:rFonts w:hint="eastAsia"/>
            </w:rPr>
            <w:t>其他说明：</w:t>
          </w:r>
        </w:p>
        <w:sdt>
          <w:sdtPr>
            <w:alias w:val="是否适用：营业收入、营业成本的分解信息说明 [双击切换]"/>
            <w:tag w:val="_GBC_f134aa472e8b45f8af819092314ab743"/>
            <w:id w:val="139870236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sdtContent>
    </w:sdt>
    <w:p>
      <w:pPr>
        <w:pStyle w:val="afffffffffffffffffffffffffffffffff1"/>
        <w:numPr>
          <w:ilvl w:val="0"/>
          <w:numId w:val="180"/>
        </w:numPr>
        <w:ind w:left="426" w:hanging="426"/>
      </w:pPr>
      <w:bookmarkStart w:id="471" w:name="_Hlk533670431"/>
      <w:bookmarkEnd w:id="470"/>
      <w:r>
        <w:rPr>
          <w:rFonts w:hint="eastAsia"/>
        </w:rPr>
        <w:t>履约义务的说明</w:t>
      </w:r>
    </w:p>
    <w:sdt>
      <w:sdtPr>
        <w:alias w:val="是否适用：履约义务的说明[双击切换]"/>
        <w:tag w:val="_GBC_2bcc2970f5df4fc982ad2497089d8292"/>
        <w:id w:val="-106487042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80"/>
        </w:numPr>
        <w:ind w:left="426" w:hanging="426"/>
      </w:pPr>
      <w:bookmarkStart w:id="472" w:name="_Hlk533423938"/>
      <w:bookmarkEnd w:id="471"/>
      <w:r>
        <w:rPr>
          <w:rFonts w:hint="eastAsia"/>
        </w:rPr>
        <w:t>分摊至剩余履约义务的说明</w:t>
      </w:r>
    </w:p>
    <w:sdt>
      <w:sdtPr>
        <w:alias w:val="是否适用：分摊至剩余履约义务的说明[双击切换]"/>
        <w:tag w:val="_GBC_67defaacf38a42549a2ed747c0fdb075"/>
        <w:id w:val="1352299842"/>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rFonts w:ascii="Arial" w:hAnsi="Arial"/>
          <w:szCs w:val="21"/>
        </w:rPr>
      </w:pPr>
    </w:p>
    <w:bookmarkEnd w:id="472"/>
    <w:p>
      <w:pPr>
        <w:pStyle w:val="afffffffffffffffffffffffffffffffff1"/>
        <w:numPr>
          <w:ilvl w:val="0"/>
          <w:numId w:val="180"/>
        </w:numPr>
        <w:ind w:left="426" w:hanging="426"/>
      </w:pPr>
      <w:r>
        <w:rPr>
          <w:rFonts w:hint="eastAsia"/>
        </w:rPr>
        <w:t>重大合同变更或重大交易价格调整</w:t>
      </w:r>
    </w:p>
    <w:sdt>
      <w:sdtPr>
        <w:alias w:val="是否适用：重大合同变更或重大交易价格调整[双击切换]"/>
        <w:tag w:val="_GBC_0445697eb8d6440497b15f440010cd1d"/>
        <w:id w:val="-79367191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Arial" w:hAnsi="Arial"/>
          <w:szCs w:val="21"/>
        </w:rPr>
      </w:pPr>
    </w:p>
    <w:p>
      <w:pPr>
        <w:spacing w:before="60" w:after="60"/>
        <w:rPr>
          <w:szCs w:val="21"/>
        </w:rPr>
      </w:pPr>
      <w:bookmarkStart w:id="473" w:name="_Hlk26364697"/>
      <w:r>
        <w:rPr>
          <w:rFonts w:hint="eastAsia"/>
          <w:szCs w:val="21"/>
        </w:rPr>
        <w:t>其他说明：</w:t>
      </w:r>
    </w:p>
    <w:p>
      <w:pPr>
        <w:rPr>
          <w:szCs w:val="21"/>
        </w:rPr>
      </w:pPr>
      <w:sdt>
        <w:sdtPr>
          <w:rPr>
            <w:szCs w:val="21"/>
          </w:rPr>
          <w:alias w:val="主营业务说明"/>
          <w:tag w:val="_GBC_817222ab73384ad1a188a632c919c846"/>
          <w:id w:val="356553637"/>
          <w:placeholder>
            <w:docPart w:val="GBC22222222222222222222222222222"/>
          </w:placeholder>
        </w:sdtPr>
        <w:sdtContent>
          <w:r>
            <w:rPr>
              <w:szCs w:val="21"/>
            </w:rPr>
            <w:t>-</w:t>
          </w:r>
        </w:sdtContent>
      </w:sdt>
    </w:p>
    <w:p>
      <w:pPr>
        <w:rPr>
          <w:szCs w:val="21"/>
        </w:rPr>
      </w:pPr>
    </w:p>
    <w:bookmarkEnd w:id="473"/>
    <w:p>
      <w:pPr>
        <w:pStyle w:val="affffffffffffffffff6"/>
        <w:numPr>
          <w:ilvl w:val="0"/>
          <w:numId w:val="103"/>
        </w:numPr>
        <w:tabs>
          <w:tab w:val="left" w:pos="504"/>
        </w:tabs>
        <w:rPr>
          <w:rFonts w:ascii="宋体" w:hAnsi="宋体"/>
          <w:szCs w:val="21"/>
        </w:rPr>
      </w:pPr>
      <w:r>
        <w:rPr>
          <w:rFonts w:ascii="宋体" w:hAnsi="宋体" w:hint="eastAsia"/>
          <w:szCs w:val="21"/>
        </w:rPr>
        <w:t>税金及附加</w:t>
      </w:r>
    </w:p>
    <w:sdt>
      <w:sdtPr>
        <w:alias w:val="是否适用：税金及附加[双击切换]"/>
        <w:tag w:val="_GBC_08eb9cdd2a3940549b0f2b47081f0a3d"/>
        <w:id w:val="210715355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税金及附加"/>
          <w:tag w:val="_GBC_6e5742d697d44a7dabc4411d4cd3c055"/>
          <w:id w:val="146384820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税金及附加"/>
          <w:tag w:val="_GBC_7ad96346369145ef9c54edaefcc18214"/>
          <w:id w:val="-18073844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833"/>
        <w:gridCol w:w="2995"/>
        <w:gridCol w:w="2995"/>
      </w:tblGrid>
      <w:tr>
        <w:sdt>
          <w:sdtPr>
            <w:rPr>
              <w:szCs w:val="21"/>
            </w:rPr>
            <w:tag w:val="_PLD_82dcdcc171754a7b940a70d1c7daa5c1"/>
            <w:id w:val="1398858981"/>
          </w:sdtPr>
          <w:sdtContent>
            <w:tc>
              <w:tcPr>
                <w:tcW w:w="1605"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rPr>
              <w:szCs w:val="21"/>
            </w:rPr>
            <w:tag w:val="_PLD_a015e641f9074bee9ed1ee81511407cc"/>
            <w:id w:val="-1789187737"/>
          </w:sdtPr>
          <w:sdtContent>
            <w:tc>
              <w:tcPr>
                <w:tcW w:w="1697" w:type="pct"/>
              </w:tcPr>
              <w:p>
                <w:pPr>
                  <w:jc w:val="center"/>
                  <w:rPr>
                    <w:szCs w:val="21"/>
                  </w:rPr>
                </w:pPr>
                <w:r>
                  <w:rPr>
                    <w:rFonts w:hint="eastAsia"/>
                    <w:szCs w:val="21"/>
                  </w:rPr>
                  <w:t>本期发生额</w:t>
                </w:r>
              </w:p>
            </w:tc>
          </w:sdtContent>
        </w:sdt>
        <w:sdt>
          <w:sdtPr>
            <w:rPr>
              <w:szCs w:val="21"/>
            </w:rPr>
            <w:tag w:val="_PLD_5e944d291c9a4b0aab9f6558226d9112"/>
            <w:id w:val="-1226378340"/>
          </w:sdtPr>
          <w:sdtContent>
            <w:tc>
              <w:tcPr>
                <w:tcW w:w="1697" w:type="pct"/>
                <w:vAlign w:val="center"/>
              </w:tcPr>
              <w:p>
                <w:pPr>
                  <w:jc w:val="center"/>
                  <w:rPr>
                    <w:szCs w:val="21"/>
                  </w:rPr>
                </w:pPr>
                <w:r>
                  <w:rPr>
                    <w:rFonts w:hint="eastAsia"/>
                    <w:szCs w:val="21"/>
                  </w:rPr>
                  <w:t>上期发生额</w:t>
                </w:r>
              </w:p>
            </w:tc>
          </w:sdtContent>
        </w:sdt>
      </w:tr>
      <w:tr>
        <w:tc>
          <w:tcPr>
            <w:tcW w:w="1605" w:type="pct"/>
            <w:vAlign w:val="center"/>
          </w:tcPr>
          <w:p>
            <w:pPr>
              <w:spacing w:line="360" w:lineRule="exact"/>
              <w:rPr>
                <w:szCs w:val="21"/>
              </w:rPr>
            </w:pPr>
            <w:r>
              <w:rPr>
                <w:rFonts w:hint="eastAsia"/>
                <w:szCs w:val="21"/>
              </w:rPr>
              <w:t>资源税</w:t>
            </w:r>
          </w:p>
        </w:tc>
        <w:tc>
          <w:tcPr>
            <w:tcW w:w="1697" w:type="pct"/>
            <w:vAlign w:val="center"/>
          </w:tcPr>
          <w:p>
            <w:pPr>
              <w:spacing w:line="360" w:lineRule="exact"/>
              <w:jc w:val="right"/>
              <w:rPr>
                <w:szCs w:val="21"/>
              </w:rPr>
            </w:pPr>
            <w:r>
              <w:rPr>
                <w:szCs w:val="21"/>
              </w:rPr>
              <w:t>3,343,499</w:t>
            </w:r>
          </w:p>
        </w:tc>
        <w:tc>
          <w:tcPr>
            <w:tcW w:w="1697" w:type="pct"/>
            <w:vAlign w:val="center"/>
          </w:tcPr>
          <w:p>
            <w:pPr>
              <w:spacing w:line="360" w:lineRule="exact"/>
              <w:jc w:val="right"/>
              <w:rPr>
                <w:szCs w:val="21"/>
              </w:rPr>
            </w:pPr>
            <w:r>
              <w:rPr>
                <w:szCs w:val="21"/>
              </w:rPr>
              <w:t>3,475,096</w:t>
            </w:r>
          </w:p>
        </w:tc>
      </w:tr>
      <w:tr>
        <w:tc>
          <w:tcPr>
            <w:tcW w:w="1605" w:type="pct"/>
            <w:vAlign w:val="center"/>
          </w:tcPr>
          <w:p>
            <w:pPr>
              <w:spacing w:line="360" w:lineRule="exact"/>
              <w:rPr>
                <w:szCs w:val="21"/>
              </w:rPr>
            </w:pPr>
            <w:r>
              <w:rPr>
                <w:rFonts w:hint="eastAsia"/>
                <w:szCs w:val="21"/>
              </w:rPr>
              <w:t>消费税</w:t>
            </w:r>
          </w:p>
        </w:tc>
        <w:tc>
          <w:tcPr>
            <w:tcW w:w="1697" w:type="pct"/>
            <w:vAlign w:val="center"/>
          </w:tcPr>
          <w:p>
            <w:pPr>
              <w:spacing w:line="360" w:lineRule="exact"/>
              <w:jc w:val="right"/>
              <w:rPr>
                <w:szCs w:val="21"/>
              </w:rPr>
            </w:pPr>
            <w:r>
              <w:rPr>
                <w:szCs w:val="21"/>
              </w:rPr>
              <w:t>496,521</w:t>
            </w:r>
          </w:p>
        </w:tc>
        <w:tc>
          <w:tcPr>
            <w:tcW w:w="1697" w:type="pct"/>
            <w:vAlign w:val="center"/>
          </w:tcPr>
          <w:p>
            <w:pPr>
              <w:spacing w:line="360" w:lineRule="exact"/>
              <w:jc w:val="right"/>
              <w:rPr>
                <w:szCs w:val="21"/>
              </w:rPr>
            </w:pPr>
            <w:r>
              <w:rPr>
                <w:szCs w:val="21"/>
              </w:rPr>
              <w:t>938,691</w:t>
            </w:r>
          </w:p>
        </w:tc>
      </w:tr>
      <w:tr>
        <w:tc>
          <w:tcPr>
            <w:tcW w:w="1605" w:type="pct"/>
            <w:vAlign w:val="center"/>
          </w:tcPr>
          <w:p>
            <w:pPr>
              <w:spacing w:line="360" w:lineRule="exact"/>
              <w:rPr>
                <w:szCs w:val="21"/>
              </w:rPr>
            </w:pPr>
            <w:r>
              <w:rPr>
                <w:rFonts w:hint="eastAsia"/>
                <w:szCs w:val="21"/>
              </w:rPr>
              <w:t>城市维护建设税</w:t>
            </w:r>
          </w:p>
        </w:tc>
        <w:tc>
          <w:tcPr>
            <w:tcW w:w="1697" w:type="pct"/>
            <w:vAlign w:val="center"/>
          </w:tcPr>
          <w:p>
            <w:pPr>
              <w:spacing w:line="360" w:lineRule="exact"/>
              <w:jc w:val="right"/>
              <w:rPr>
                <w:szCs w:val="21"/>
              </w:rPr>
            </w:pPr>
            <w:r>
              <w:rPr>
                <w:szCs w:val="21"/>
              </w:rPr>
              <w:t>417,702</w:t>
            </w:r>
          </w:p>
        </w:tc>
        <w:tc>
          <w:tcPr>
            <w:tcW w:w="1697" w:type="pct"/>
            <w:vAlign w:val="center"/>
          </w:tcPr>
          <w:p>
            <w:pPr>
              <w:spacing w:line="360" w:lineRule="exact"/>
              <w:jc w:val="right"/>
              <w:rPr>
                <w:szCs w:val="21"/>
              </w:rPr>
            </w:pPr>
            <w:r>
              <w:rPr>
                <w:szCs w:val="21"/>
              </w:rPr>
              <w:t>445,598</w:t>
            </w:r>
          </w:p>
        </w:tc>
      </w:tr>
      <w:tr>
        <w:tc>
          <w:tcPr>
            <w:tcW w:w="1605" w:type="pct"/>
            <w:vAlign w:val="center"/>
          </w:tcPr>
          <w:p>
            <w:pPr>
              <w:spacing w:line="360" w:lineRule="exact"/>
              <w:rPr>
                <w:szCs w:val="21"/>
              </w:rPr>
            </w:pPr>
            <w:r>
              <w:rPr>
                <w:rFonts w:hint="eastAsia"/>
                <w:szCs w:val="21"/>
              </w:rPr>
              <w:lastRenderedPageBreak/>
              <w:t>教育费附加</w:t>
            </w:r>
            <w:r>
              <w:rPr>
                <w:szCs w:val="21"/>
              </w:rPr>
              <w:t>(含地方教育费附加）</w:t>
            </w:r>
          </w:p>
        </w:tc>
        <w:tc>
          <w:tcPr>
            <w:tcW w:w="1697" w:type="pct"/>
            <w:vAlign w:val="center"/>
          </w:tcPr>
          <w:p>
            <w:pPr>
              <w:spacing w:line="360" w:lineRule="exact"/>
              <w:jc w:val="right"/>
              <w:rPr>
                <w:szCs w:val="21"/>
              </w:rPr>
            </w:pPr>
            <w:r>
              <w:rPr>
                <w:szCs w:val="21"/>
              </w:rPr>
              <w:t>370,124</w:t>
            </w:r>
          </w:p>
        </w:tc>
        <w:tc>
          <w:tcPr>
            <w:tcW w:w="1697" w:type="pct"/>
            <w:vAlign w:val="center"/>
          </w:tcPr>
          <w:p>
            <w:pPr>
              <w:spacing w:line="360" w:lineRule="exact"/>
              <w:jc w:val="right"/>
              <w:rPr>
                <w:szCs w:val="21"/>
              </w:rPr>
            </w:pPr>
            <w:r>
              <w:rPr>
                <w:szCs w:val="21"/>
              </w:rPr>
              <w:t>230,369</w:t>
            </w:r>
          </w:p>
        </w:tc>
      </w:tr>
      <w:tr>
        <w:tc>
          <w:tcPr>
            <w:tcW w:w="1605" w:type="pct"/>
            <w:vAlign w:val="center"/>
          </w:tcPr>
          <w:p>
            <w:pPr>
              <w:spacing w:line="360" w:lineRule="exact"/>
              <w:rPr>
                <w:szCs w:val="21"/>
              </w:rPr>
            </w:pPr>
            <w:r>
              <w:rPr>
                <w:rFonts w:hint="eastAsia"/>
                <w:szCs w:val="21"/>
              </w:rPr>
              <w:t>土地使用税</w:t>
            </w:r>
          </w:p>
        </w:tc>
        <w:tc>
          <w:tcPr>
            <w:tcW w:w="1697" w:type="pct"/>
            <w:vAlign w:val="center"/>
          </w:tcPr>
          <w:p>
            <w:pPr>
              <w:spacing w:line="360" w:lineRule="exact"/>
              <w:jc w:val="right"/>
              <w:rPr>
                <w:szCs w:val="21"/>
              </w:rPr>
            </w:pPr>
            <w:r>
              <w:rPr>
                <w:szCs w:val="21"/>
              </w:rPr>
              <w:t>359,258</w:t>
            </w:r>
          </w:p>
        </w:tc>
        <w:tc>
          <w:tcPr>
            <w:tcW w:w="1697" w:type="pct"/>
            <w:vAlign w:val="center"/>
          </w:tcPr>
          <w:p>
            <w:pPr>
              <w:spacing w:line="360" w:lineRule="exact"/>
              <w:jc w:val="right"/>
              <w:rPr>
                <w:szCs w:val="21"/>
              </w:rPr>
            </w:pPr>
            <w:r>
              <w:rPr>
                <w:szCs w:val="21"/>
              </w:rPr>
              <w:t>399,336</w:t>
            </w:r>
          </w:p>
        </w:tc>
      </w:tr>
      <w:tr>
        <w:tc>
          <w:tcPr>
            <w:tcW w:w="1605" w:type="pct"/>
            <w:vAlign w:val="center"/>
          </w:tcPr>
          <w:p>
            <w:pPr>
              <w:spacing w:line="360" w:lineRule="exact"/>
              <w:rPr>
                <w:szCs w:val="21"/>
              </w:rPr>
            </w:pPr>
            <w:r>
              <w:rPr>
                <w:rFonts w:hint="eastAsia"/>
                <w:szCs w:val="21"/>
              </w:rPr>
              <w:t>水资源税</w:t>
            </w:r>
          </w:p>
        </w:tc>
        <w:tc>
          <w:tcPr>
            <w:tcW w:w="1697" w:type="pct"/>
            <w:vAlign w:val="center"/>
          </w:tcPr>
          <w:p>
            <w:pPr>
              <w:spacing w:line="360" w:lineRule="exact"/>
              <w:jc w:val="right"/>
              <w:rPr>
                <w:szCs w:val="21"/>
              </w:rPr>
            </w:pPr>
            <w:r>
              <w:rPr>
                <w:szCs w:val="21"/>
              </w:rPr>
              <w:t>273,287</w:t>
            </w:r>
          </w:p>
        </w:tc>
        <w:tc>
          <w:tcPr>
            <w:tcW w:w="1697" w:type="pct"/>
            <w:vAlign w:val="center"/>
          </w:tcPr>
          <w:p>
            <w:pPr>
              <w:spacing w:line="360" w:lineRule="exact"/>
              <w:jc w:val="right"/>
              <w:rPr>
                <w:szCs w:val="21"/>
              </w:rPr>
            </w:pPr>
            <w:r>
              <w:rPr>
                <w:szCs w:val="21"/>
              </w:rPr>
              <w:t>358,059</w:t>
            </w:r>
          </w:p>
        </w:tc>
      </w:tr>
      <w:tr>
        <w:tc>
          <w:tcPr>
            <w:tcW w:w="1605" w:type="pct"/>
            <w:vAlign w:val="center"/>
          </w:tcPr>
          <w:p>
            <w:pPr>
              <w:spacing w:line="360" w:lineRule="exact"/>
              <w:rPr>
                <w:szCs w:val="21"/>
              </w:rPr>
            </w:pPr>
            <w:r>
              <w:rPr>
                <w:rFonts w:hint="eastAsia"/>
                <w:szCs w:val="21"/>
              </w:rPr>
              <w:t>房产税</w:t>
            </w:r>
          </w:p>
        </w:tc>
        <w:tc>
          <w:tcPr>
            <w:tcW w:w="1697" w:type="pct"/>
            <w:vAlign w:val="center"/>
          </w:tcPr>
          <w:p>
            <w:pPr>
              <w:spacing w:line="360" w:lineRule="exact"/>
              <w:jc w:val="right"/>
              <w:rPr>
                <w:szCs w:val="21"/>
              </w:rPr>
            </w:pPr>
            <w:r>
              <w:rPr>
                <w:szCs w:val="21"/>
              </w:rPr>
              <w:t>208,540</w:t>
            </w:r>
          </w:p>
        </w:tc>
        <w:tc>
          <w:tcPr>
            <w:tcW w:w="1697" w:type="pct"/>
            <w:vAlign w:val="center"/>
          </w:tcPr>
          <w:p>
            <w:pPr>
              <w:spacing w:line="360" w:lineRule="exact"/>
              <w:jc w:val="right"/>
              <w:rPr>
                <w:szCs w:val="21"/>
              </w:rPr>
            </w:pPr>
            <w:r>
              <w:rPr>
                <w:szCs w:val="21"/>
              </w:rPr>
              <w:t>260,157</w:t>
            </w:r>
          </w:p>
        </w:tc>
      </w:tr>
      <w:tr>
        <w:tc>
          <w:tcPr>
            <w:tcW w:w="1605" w:type="pct"/>
            <w:vAlign w:val="center"/>
          </w:tcPr>
          <w:p>
            <w:pPr>
              <w:spacing w:line="360" w:lineRule="exact"/>
              <w:rPr>
                <w:szCs w:val="21"/>
              </w:rPr>
            </w:pPr>
            <w:r>
              <w:rPr>
                <w:rFonts w:hint="eastAsia"/>
                <w:szCs w:val="21"/>
              </w:rPr>
              <w:t>印花税</w:t>
            </w:r>
          </w:p>
        </w:tc>
        <w:tc>
          <w:tcPr>
            <w:tcW w:w="1697" w:type="pct"/>
            <w:vAlign w:val="center"/>
          </w:tcPr>
          <w:p>
            <w:pPr>
              <w:spacing w:line="360" w:lineRule="exact"/>
              <w:jc w:val="right"/>
              <w:rPr>
                <w:szCs w:val="21"/>
              </w:rPr>
            </w:pPr>
            <w:r>
              <w:rPr>
                <w:szCs w:val="21"/>
              </w:rPr>
              <w:t>121,344</w:t>
            </w:r>
          </w:p>
        </w:tc>
        <w:tc>
          <w:tcPr>
            <w:tcW w:w="1697" w:type="pct"/>
            <w:vAlign w:val="center"/>
          </w:tcPr>
          <w:p>
            <w:pPr>
              <w:spacing w:line="360" w:lineRule="exact"/>
              <w:jc w:val="right"/>
              <w:rPr>
                <w:szCs w:val="21"/>
              </w:rPr>
            </w:pPr>
            <w:r>
              <w:rPr>
                <w:szCs w:val="21"/>
              </w:rPr>
              <w:t>134,659</w:t>
            </w:r>
          </w:p>
        </w:tc>
      </w:tr>
      <w:tr>
        <w:tc>
          <w:tcPr>
            <w:tcW w:w="1605" w:type="pct"/>
            <w:vAlign w:val="center"/>
          </w:tcPr>
          <w:p>
            <w:pPr>
              <w:spacing w:line="360" w:lineRule="exact"/>
              <w:rPr>
                <w:szCs w:val="21"/>
              </w:rPr>
            </w:pPr>
            <w:r>
              <w:rPr>
                <w:rFonts w:hint="eastAsia"/>
                <w:szCs w:val="21"/>
              </w:rPr>
              <w:t>环境保护税</w:t>
            </w:r>
          </w:p>
        </w:tc>
        <w:tc>
          <w:tcPr>
            <w:tcW w:w="1697" w:type="pct"/>
            <w:vAlign w:val="center"/>
          </w:tcPr>
          <w:p>
            <w:pPr>
              <w:spacing w:line="360" w:lineRule="exact"/>
              <w:jc w:val="right"/>
              <w:rPr>
                <w:szCs w:val="21"/>
              </w:rPr>
            </w:pPr>
            <w:r>
              <w:rPr>
                <w:szCs w:val="21"/>
              </w:rPr>
              <w:t>112,426</w:t>
            </w:r>
          </w:p>
        </w:tc>
        <w:tc>
          <w:tcPr>
            <w:tcW w:w="1697" w:type="pct"/>
            <w:vAlign w:val="center"/>
          </w:tcPr>
          <w:p>
            <w:pPr>
              <w:spacing w:line="360" w:lineRule="exact"/>
              <w:jc w:val="right"/>
              <w:rPr>
                <w:szCs w:val="21"/>
              </w:rPr>
            </w:pPr>
            <w:r>
              <w:rPr>
                <w:szCs w:val="21"/>
              </w:rPr>
              <w:t>51,505</w:t>
            </w:r>
          </w:p>
        </w:tc>
      </w:tr>
      <w:tr>
        <w:tc>
          <w:tcPr>
            <w:tcW w:w="1605" w:type="pct"/>
            <w:vAlign w:val="center"/>
          </w:tcPr>
          <w:p>
            <w:pPr>
              <w:spacing w:line="360" w:lineRule="exact"/>
              <w:rPr>
                <w:szCs w:val="21"/>
              </w:rPr>
            </w:pPr>
            <w:r>
              <w:rPr>
                <w:rFonts w:hint="eastAsia"/>
                <w:szCs w:val="21"/>
              </w:rPr>
              <w:t>水利建设基金</w:t>
            </w:r>
          </w:p>
        </w:tc>
        <w:tc>
          <w:tcPr>
            <w:tcW w:w="1697" w:type="pct"/>
            <w:vAlign w:val="center"/>
          </w:tcPr>
          <w:p>
            <w:pPr>
              <w:spacing w:line="360" w:lineRule="exact"/>
              <w:jc w:val="right"/>
              <w:rPr>
                <w:szCs w:val="21"/>
              </w:rPr>
            </w:pPr>
            <w:r>
              <w:rPr>
                <w:szCs w:val="21"/>
              </w:rPr>
              <w:t>19,694</w:t>
            </w:r>
          </w:p>
        </w:tc>
        <w:tc>
          <w:tcPr>
            <w:tcW w:w="1697" w:type="pct"/>
            <w:vAlign w:val="center"/>
          </w:tcPr>
          <w:p>
            <w:pPr>
              <w:spacing w:line="360" w:lineRule="exact"/>
              <w:jc w:val="right"/>
              <w:rPr>
                <w:szCs w:val="21"/>
              </w:rPr>
            </w:pPr>
            <w:r>
              <w:rPr>
                <w:szCs w:val="21"/>
              </w:rPr>
              <w:t>15,076</w:t>
            </w:r>
          </w:p>
        </w:tc>
      </w:tr>
      <w:tr>
        <w:tc>
          <w:tcPr>
            <w:tcW w:w="1605" w:type="pct"/>
            <w:vAlign w:val="center"/>
          </w:tcPr>
          <w:p>
            <w:pPr>
              <w:spacing w:line="360" w:lineRule="exact"/>
              <w:rPr>
                <w:szCs w:val="21"/>
              </w:rPr>
            </w:pPr>
            <w:r>
              <w:rPr>
                <w:rFonts w:hint="eastAsia"/>
                <w:szCs w:val="21"/>
              </w:rPr>
              <w:t>其他</w:t>
            </w:r>
          </w:p>
        </w:tc>
        <w:tc>
          <w:tcPr>
            <w:tcW w:w="1697" w:type="pct"/>
            <w:vAlign w:val="center"/>
          </w:tcPr>
          <w:p>
            <w:pPr>
              <w:spacing w:line="360" w:lineRule="exact"/>
              <w:jc w:val="right"/>
              <w:rPr>
                <w:szCs w:val="21"/>
              </w:rPr>
            </w:pPr>
            <w:r>
              <w:rPr>
                <w:szCs w:val="21"/>
              </w:rPr>
              <w:t>221,730</w:t>
            </w:r>
          </w:p>
        </w:tc>
        <w:tc>
          <w:tcPr>
            <w:tcW w:w="1697" w:type="pct"/>
            <w:vAlign w:val="center"/>
          </w:tcPr>
          <w:p>
            <w:pPr>
              <w:spacing w:line="360" w:lineRule="exact"/>
              <w:jc w:val="right"/>
              <w:rPr>
                <w:szCs w:val="21"/>
              </w:rPr>
            </w:pPr>
            <w:r>
              <w:rPr>
                <w:szCs w:val="21"/>
              </w:rPr>
              <w:t>123,445</w:t>
            </w:r>
          </w:p>
        </w:tc>
      </w:tr>
      <w:tr>
        <w:tc>
          <w:tcPr>
            <w:tcW w:w="1605" w:type="pct"/>
            <w:vAlign w:val="center"/>
          </w:tcPr>
          <w:p>
            <w:pPr>
              <w:autoSpaceDE w:val="0"/>
              <w:autoSpaceDN w:val="0"/>
              <w:adjustRightInd w:val="0"/>
              <w:snapToGrid w:val="0"/>
              <w:spacing w:line="240" w:lineRule="atLeast"/>
              <w:jc w:val="center"/>
              <w:rPr>
                <w:szCs w:val="21"/>
              </w:rPr>
            </w:pPr>
            <w:r>
              <w:rPr>
                <w:rFonts w:hint="eastAsia"/>
                <w:szCs w:val="21"/>
              </w:rPr>
              <w:t>合计</w:t>
            </w:r>
          </w:p>
        </w:tc>
        <w:tc>
          <w:tcPr>
            <w:tcW w:w="1697" w:type="pct"/>
          </w:tcPr>
          <w:p>
            <w:pPr>
              <w:autoSpaceDE w:val="0"/>
              <w:autoSpaceDN w:val="0"/>
              <w:adjustRightInd w:val="0"/>
              <w:snapToGrid w:val="0"/>
              <w:spacing w:line="240" w:lineRule="atLeast"/>
              <w:jc w:val="right"/>
              <w:rPr>
                <w:szCs w:val="21"/>
              </w:rPr>
            </w:pPr>
            <w:r>
              <w:rPr>
                <w:szCs w:val="21"/>
              </w:rPr>
              <w:t>5,944,125</w:t>
            </w:r>
          </w:p>
        </w:tc>
        <w:tc>
          <w:tcPr>
            <w:tcW w:w="1697" w:type="pct"/>
          </w:tcPr>
          <w:p>
            <w:pPr>
              <w:jc w:val="right"/>
              <w:rPr>
                <w:szCs w:val="21"/>
              </w:rPr>
            </w:pPr>
            <w:r>
              <w:rPr>
                <w:szCs w:val="21"/>
              </w:rPr>
              <w:t>6,431,991</w:t>
            </w:r>
          </w:p>
        </w:tc>
      </w:tr>
    </w:tbl>
    <w:p>
      <w:pPr>
        <w:spacing w:before="60" w:after="60"/>
        <w:rPr>
          <w:szCs w:val="21"/>
        </w:rPr>
      </w:pPr>
      <w:r>
        <w:rPr>
          <w:rFonts w:hint="eastAsia"/>
          <w:szCs w:val="21"/>
        </w:rPr>
        <w:t>其他说明：</w:t>
      </w:r>
    </w:p>
    <w:sdt>
      <w:sdtPr>
        <w:rPr>
          <w:rFonts w:hint="eastAsia"/>
          <w:szCs w:val="21"/>
        </w:rPr>
        <w:alias w:val="税金及附加说明"/>
        <w:tag w:val="_GBC_d333a7e7c5ed4b7896c9db975439c1ec"/>
        <w:id w:val="484668964"/>
        <w:placeholder>
          <w:docPart w:val="GBC22222222222222222222222222222"/>
        </w:placeholder>
      </w:sdtPr>
      <w:sdtContent>
        <w:p>
          <w:pPr>
            <w:rPr>
              <w:szCs w:val="21"/>
            </w:rPr>
          </w:pPr>
          <w:r>
            <w:rPr>
              <w:szCs w:val="21"/>
            </w:rPr>
            <w:t>-</w:t>
          </w:r>
        </w:p>
      </w:sdtContent>
    </w:sdt>
    <w:p>
      <w:pPr>
        <w:rPr>
          <w:szCs w:val="21"/>
        </w:rPr>
      </w:pPr>
    </w:p>
    <w:p>
      <w:pPr>
        <w:pStyle w:val="affffffffffffffffff6"/>
        <w:numPr>
          <w:ilvl w:val="0"/>
          <w:numId w:val="103"/>
        </w:numPr>
        <w:tabs>
          <w:tab w:val="left" w:pos="504"/>
        </w:tabs>
        <w:rPr>
          <w:rFonts w:ascii="宋体" w:hAnsi="宋体" w:cs="宋体"/>
          <w:bCs w:val="0"/>
          <w:kern w:val="0"/>
          <w:szCs w:val="21"/>
        </w:rPr>
      </w:pPr>
      <w:r>
        <w:rPr>
          <w:rFonts w:ascii="宋体" w:hAnsi="宋体" w:cs="宋体" w:hint="eastAsia"/>
          <w:bCs w:val="0"/>
          <w:kern w:val="0"/>
          <w:szCs w:val="21"/>
        </w:rPr>
        <w:t>销售</w:t>
      </w:r>
      <w:r>
        <w:rPr>
          <w:rFonts w:ascii="宋体" w:hAnsi="宋体" w:hint="eastAsia"/>
          <w:szCs w:val="21"/>
        </w:rPr>
        <w:t>费用</w:t>
      </w:r>
    </w:p>
    <w:sdt>
      <w:sdtPr>
        <w:rPr>
          <w:rFonts w:cs="Times New Roman"/>
          <w:b/>
          <w:bCs/>
          <w:kern w:val="2"/>
          <w:szCs w:val="21"/>
        </w:rPr>
        <w:alias w:val="是否适用：销售费用[双击切换]"/>
        <w:tag w:val="_GBC_1a0ad35d35924f068ce1b2a2dc02a25f"/>
        <w:id w:val="-1381159270"/>
        <w:placeholder>
          <w:docPart w:val="GBC22222222222222222222222222222"/>
        </w:placeholder>
      </w:sdtPr>
      <w:sdtContent>
        <w:p>
          <w:pPr>
            <w:pStyle w:val="affffffffffffffffffffffffffffffffe"/>
            <w:rPr>
              <w:rFonts w:cs="Times New Roman"/>
              <w:b/>
              <w:bCs/>
              <w:kern w:val="2"/>
              <w:szCs w:val="21"/>
            </w:rPr>
          </w:pPr>
          <w:r>
            <w:rPr>
              <w:rFonts w:cs="Times New Roman"/>
              <w:b/>
              <w:bCs/>
              <w:kern w:val="2"/>
              <w:szCs w:val="21"/>
            </w:rPr>
            <w:fldChar w:fldCharType="begin"/>
          </w:r>
          <w:r>
            <w:rPr>
              <w:rFonts w:cs="Times New Roman"/>
              <w:b/>
              <w:bCs/>
              <w:kern w:val="2"/>
              <w:szCs w:val="21"/>
            </w:rPr>
            <w:instrText xml:space="preserve">MACROBUTTON  SnrToggleCheckbox √适用 </w:instrText>
          </w:r>
          <w:r>
            <w:rPr>
              <w:rFonts w:cs="Times New Roman"/>
              <w:b/>
              <w:bCs/>
              <w:kern w:val="2"/>
              <w:szCs w:val="21"/>
            </w:rPr>
            <w:fldChar w:fldCharType="end"/>
          </w:r>
          <w:r>
            <w:rPr>
              <w:rFonts w:cs="Times New Roman"/>
              <w:b/>
              <w:bCs/>
              <w:kern w:val="2"/>
              <w:szCs w:val="21"/>
            </w:rPr>
            <w:fldChar w:fldCharType="begin"/>
          </w:r>
          <w:r>
            <w:rPr>
              <w:rFonts w:cs="Times New Roman"/>
              <w:b/>
              <w:bCs/>
              <w:kern w:val="2"/>
              <w:szCs w:val="21"/>
            </w:rPr>
            <w:instrText xml:space="preserve"> MACROBUTTON  SnrToggleCheckbox □不适用 </w:instrText>
          </w:r>
          <w:r>
            <w:rPr>
              <w:rFonts w:cs="Times New Roman"/>
              <w:b/>
              <w:bCs/>
              <w:kern w:val="2"/>
              <w:szCs w:val="21"/>
            </w:rPr>
            <w:fldChar w:fldCharType="end"/>
          </w:r>
        </w:p>
      </w:sdtContent>
    </w:sdt>
    <w:p>
      <w:pPr>
        <w:pStyle w:val="affffffffffffffffffffffffffffffffff4"/>
        <w:ind w:firstLineChars="0" w:firstLine="0"/>
        <w:jc w:val="right"/>
        <w:rPr>
          <w:rFonts w:ascii="宋体" w:hAnsi="宋体"/>
          <w:b/>
          <w:bCs/>
          <w:szCs w:val="21"/>
        </w:rPr>
      </w:pPr>
      <w:r>
        <w:rPr>
          <w:rFonts w:ascii="宋体" w:hAnsi="宋体" w:hint="eastAsia"/>
          <w:b/>
          <w:bCs/>
          <w:szCs w:val="21"/>
        </w:rPr>
        <w:t>单位：</w:t>
      </w:r>
      <w:sdt>
        <w:sdtPr>
          <w:rPr>
            <w:rFonts w:ascii="宋体" w:hAnsi="宋体" w:hint="eastAsia"/>
            <w:b/>
            <w:bCs/>
            <w:szCs w:val="21"/>
          </w:rPr>
          <w:alias w:val="单位：销售费用"/>
          <w:tag w:val="_GBC_c5a59d97d8a94cda9b9fbd8a93ad19dc"/>
          <w:id w:val="3520076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
              <w:bCs/>
              <w:szCs w:val="21"/>
            </w:rPr>
            <w:t>千元</w:t>
          </w:r>
        </w:sdtContent>
      </w:sdt>
      <w:r>
        <w:rPr>
          <w:rFonts w:ascii="宋体" w:hAnsi="宋体" w:hint="eastAsia"/>
          <w:b/>
          <w:bCs/>
          <w:szCs w:val="21"/>
        </w:rPr>
        <w:t xml:space="preserve">  币种：</w:t>
      </w:r>
      <w:sdt>
        <w:sdtPr>
          <w:rPr>
            <w:rFonts w:ascii="宋体" w:hAnsi="宋体" w:hint="eastAsia"/>
            <w:b/>
            <w:bCs/>
            <w:szCs w:val="21"/>
          </w:rPr>
          <w:alias w:val="币种：销售费用"/>
          <w:tag w:val="_GBC_57a629bddf6343a1aebbefc90d9378b0"/>
          <w:id w:val="-14042904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
              <w:bCs/>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9"/>
        <w:gridCol w:w="2788"/>
        <w:gridCol w:w="2786"/>
      </w:tblGrid>
      <w:tr>
        <w:sdt>
          <w:sdtPr>
            <w:rPr>
              <w:rFonts w:cs="Times New Roman"/>
              <w:b/>
              <w:bCs/>
              <w:kern w:val="2"/>
              <w:szCs w:val="21"/>
            </w:rPr>
            <w:tag w:val="_PLD_27c4bc503cfe4eafa415de62f182f2c1"/>
            <w:id w:val="1896238663"/>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Times New Roman"/>
                    <w:b/>
                    <w:bCs/>
                    <w:kern w:val="2"/>
                    <w:szCs w:val="21"/>
                  </w:rPr>
                </w:pPr>
                <w:r>
                  <w:rPr>
                    <w:rFonts w:cs="Times New Roman" w:hint="eastAsia"/>
                    <w:b/>
                    <w:bCs/>
                    <w:kern w:val="2"/>
                    <w:szCs w:val="21"/>
                  </w:rPr>
                  <w:t>项目</w:t>
                </w:r>
              </w:p>
            </w:tc>
          </w:sdtContent>
        </w:sdt>
        <w:sdt>
          <w:sdtPr>
            <w:rPr>
              <w:rFonts w:cs="Times New Roman"/>
              <w:b/>
              <w:bCs/>
              <w:kern w:val="2"/>
              <w:szCs w:val="21"/>
            </w:rPr>
            <w:tag w:val="_PLD_105cce5212fb42a182b1fd8e309ba67c"/>
            <w:id w:val="1374579705"/>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Times New Roman"/>
                    <w:b/>
                    <w:bCs/>
                    <w:kern w:val="2"/>
                    <w:szCs w:val="21"/>
                  </w:rPr>
                </w:pPr>
                <w:r>
                  <w:rPr>
                    <w:rFonts w:cs="Times New Roman" w:hint="eastAsia"/>
                    <w:b/>
                    <w:bCs/>
                    <w:kern w:val="2"/>
                    <w:szCs w:val="21"/>
                  </w:rPr>
                  <w:t>本期发生额</w:t>
                </w:r>
              </w:p>
            </w:tc>
          </w:sdtContent>
        </w:sdt>
        <w:sdt>
          <w:sdtPr>
            <w:rPr>
              <w:rFonts w:cs="Times New Roman"/>
              <w:b/>
              <w:bCs/>
              <w:kern w:val="2"/>
              <w:szCs w:val="21"/>
            </w:rPr>
            <w:tag w:val="_PLD_5f148659054c4187a80f7bdffc9e9cde"/>
            <w:id w:val="2032298167"/>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Times New Roman"/>
                    <w:b/>
                    <w:bCs/>
                    <w:kern w:val="2"/>
                    <w:szCs w:val="21"/>
                  </w:rPr>
                </w:pPr>
                <w:r>
                  <w:rPr>
                    <w:rFonts w:cs="Times New Roman" w:hint="eastAsia"/>
                    <w:b/>
                    <w:bCs/>
                    <w:kern w:val="2"/>
                    <w:szCs w:val="21"/>
                  </w:rPr>
                  <w:t>上期发生额</w:t>
                </w:r>
              </w:p>
            </w:tc>
          </w:sdtContent>
        </w:sdt>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Times New Roman"/>
                <w:kern w:val="2"/>
                <w:szCs w:val="21"/>
              </w:rPr>
            </w:pPr>
            <w:r>
              <w:rPr>
                <w:rFonts w:cs="Times New Roman"/>
                <w:kern w:val="2"/>
                <w:szCs w:val="21"/>
              </w:rPr>
              <w:t>开采权使用费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3,457,201</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4,003,970</w:t>
            </w:r>
          </w:p>
        </w:tc>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Times New Roman"/>
                <w:kern w:val="2"/>
                <w:szCs w:val="21"/>
              </w:rPr>
            </w:pPr>
            <w:r>
              <w:rPr>
                <w:rFonts w:cs="Times New Roman"/>
                <w:kern w:val="2"/>
                <w:szCs w:val="21"/>
              </w:rPr>
              <w:t>职工薪酬社保及福利费</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307,040</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279,164</w:t>
            </w:r>
          </w:p>
        </w:tc>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Times New Roman"/>
                <w:kern w:val="2"/>
                <w:szCs w:val="21"/>
              </w:rPr>
            </w:pPr>
            <w:r>
              <w:rPr>
                <w:rFonts w:cs="Times New Roman"/>
                <w:kern w:val="2"/>
                <w:szCs w:val="21"/>
              </w:rPr>
              <w:t>矿业权出让收益</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185,527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230,640</w:t>
            </w:r>
          </w:p>
        </w:tc>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Times New Roman"/>
                <w:kern w:val="2"/>
                <w:szCs w:val="21"/>
              </w:rPr>
            </w:pPr>
            <w:r>
              <w:rPr>
                <w:rFonts w:cs="Times New Roman"/>
                <w:kern w:val="2"/>
                <w:szCs w:val="21"/>
              </w:rPr>
              <w:t>运输费用、煤碳港务、装卸费用</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63,396</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51,551</w:t>
            </w:r>
          </w:p>
        </w:tc>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Times New Roman"/>
                <w:kern w:val="2"/>
                <w:szCs w:val="21"/>
              </w:rPr>
            </w:pPr>
            <w:r>
              <w:rPr>
                <w:rFonts w:cs="Times New Roman"/>
                <w:kern w:val="2"/>
                <w:szCs w:val="21"/>
              </w:rPr>
              <w:t>其他</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699,477</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Times New Roman"/>
                <w:kern w:val="2"/>
                <w:szCs w:val="21"/>
              </w:rPr>
            </w:pPr>
            <w:r>
              <w:rPr>
                <w:rFonts w:cs="Times New Roman"/>
                <w:kern w:val="2"/>
                <w:szCs w:val="21"/>
              </w:rPr>
              <w:t>436,670</w:t>
            </w:r>
          </w:p>
        </w:tc>
      </w:tr>
      <w:tr>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Times New Roman"/>
                <w:kern w:val="2"/>
                <w:szCs w:val="21"/>
              </w:rPr>
            </w:pPr>
            <w:r>
              <w:rPr>
                <w:rFonts w:cs="Times New Roman" w:hint="eastAsia"/>
                <w:kern w:val="2"/>
                <w:szCs w:val="21"/>
              </w:rPr>
              <w:t>合计</w:t>
            </w:r>
          </w:p>
        </w:tc>
        <w:tc>
          <w:tcPr>
            <w:tcW w:w="1580" w:type="pct"/>
            <w:tcBorders>
              <w:top w:val="single" w:sz="4" w:space="0" w:color="auto"/>
              <w:left w:val="single" w:sz="4" w:space="0" w:color="auto"/>
              <w:bottom w:val="single" w:sz="4" w:space="0" w:color="auto"/>
              <w:right w:val="single" w:sz="4" w:space="0" w:color="auto"/>
            </w:tcBorders>
            <w:shd w:val="clear" w:color="auto" w:fill="auto"/>
          </w:tcPr>
          <w:p>
            <w:pPr>
              <w:jc w:val="right"/>
              <w:rPr>
                <w:rFonts w:cs="Times New Roman"/>
                <w:kern w:val="2"/>
                <w:szCs w:val="21"/>
              </w:rPr>
            </w:pPr>
            <w:r>
              <w:rPr>
                <w:rFonts w:cs="Times New Roman"/>
                <w:kern w:val="2"/>
                <w:szCs w:val="21"/>
              </w:rPr>
              <w:t>4,712,641</w:t>
            </w:r>
          </w:p>
        </w:tc>
        <w:tc>
          <w:tcPr>
            <w:tcW w:w="1579" w:type="pct"/>
            <w:tcBorders>
              <w:top w:val="single" w:sz="4" w:space="0" w:color="auto"/>
              <w:left w:val="single" w:sz="4" w:space="0" w:color="auto"/>
              <w:bottom w:val="single" w:sz="4" w:space="0" w:color="auto"/>
              <w:right w:val="single" w:sz="4" w:space="0" w:color="auto"/>
            </w:tcBorders>
            <w:shd w:val="clear" w:color="auto" w:fill="auto"/>
          </w:tcPr>
          <w:p>
            <w:pPr>
              <w:jc w:val="right"/>
              <w:rPr>
                <w:rFonts w:cs="Times New Roman"/>
                <w:kern w:val="2"/>
                <w:szCs w:val="21"/>
              </w:rPr>
            </w:pPr>
            <w:r>
              <w:rPr>
                <w:rFonts w:cs="Times New Roman"/>
                <w:kern w:val="2"/>
                <w:szCs w:val="21"/>
              </w:rPr>
              <w:t>5,001,995</w:t>
            </w:r>
          </w:p>
        </w:tc>
      </w:tr>
    </w:tbl>
    <w:p>
      <w:pPr>
        <w:pStyle w:val="affffffffffffffffffffffffffffffffe"/>
        <w:rPr>
          <w:rFonts w:cs="Times New Roman"/>
          <w:b/>
          <w:bCs/>
          <w:kern w:val="2"/>
          <w:szCs w:val="21"/>
        </w:rPr>
      </w:pPr>
    </w:p>
    <w:p>
      <w:pPr>
        <w:spacing w:before="60" w:after="60"/>
        <w:rPr>
          <w:rFonts w:cs="Times New Roman"/>
          <w:b/>
          <w:bCs/>
          <w:kern w:val="2"/>
          <w:szCs w:val="21"/>
        </w:rPr>
      </w:pPr>
      <w:r>
        <w:rPr>
          <w:rFonts w:cs="Times New Roman" w:hint="eastAsia"/>
          <w:b/>
          <w:bCs/>
          <w:kern w:val="2"/>
          <w:szCs w:val="21"/>
        </w:rPr>
        <w:t>其他说明：</w:t>
      </w:r>
    </w:p>
    <w:sdt>
      <w:sdtPr>
        <w:rPr>
          <w:rFonts w:cs="Times New Roman"/>
          <w:b/>
          <w:bCs/>
          <w:kern w:val="2"/>
          <w:szCs w:val="21"/>
        </w:rPr>
        <w:alias w:val="销售费用的其他说明事项"/>
        <w:tag w:val="_GBC_da5acaab2dfe4976b479907a904edb4f"/>
        <w:id w:val="-1646581357"/>
        <w:placeholder>
          <w:docPart w:val="GBC22222222222222222222222222222"/>
        </w:placeholder>
      </w:sdtPr>
      <w:sdtContent>
        <w:p>
          <w:pPr>
            <w:rPr>
              <w:rFonts w:cs="Times New Roman"/>
              <w:b/>
              <w:bCs/>
              <w:kern w:val="2"/>
              <w:szCs w:val="21"/>
            </w:rPr>
          </w:pPr>
          <w:r>
            <w:rPr>
              <w:rFonts w:cs="Times New Roman"/>
              <w:b/>
              <w:bCs/>
              <w:kern w:val="2"/>
              <w:szCs w:val="21"/>
            </w:rPr>
            <w:t>-</w:t>
          </w:r>
        </w:p>
      </w:sdtContent>
    </w:sdt>
    <w:p>
      <w:pPr>
        <w:rPr>
          <w:rFonts w:cs="Times New Roman"/>
          <w:b/>
          <w:bCs/>
          <w:kern w:val="2"/>
          <w:szCs w:val="21"/>
        </w:rPr>
      </w:pPr>
    </w:p>
    <w:p>
      <w:pPr>
        <w:pStyle w:val="affffffffffffffffff6"/>
        <w:numPr>
          <w:ilvl w:val="0"/>
          <w:numId w:val="103"/>
        </w:numPr>
        <w:tabs>
          <w:tab w:val="left" w:pos="504"/>
        </w:tabs>
        <w:rPr>
          <w:szCs w:val="21"/>
        </w:rPr>
      </w:pPr>
      <w:r>
        <w:rPr>
          <w:rFonts w:hint="eastAsia"/>
          <w:szCs w:val="21"/>
        </w:rPr>
        <w:t>管理费用</w:t>
      </w:r>
    </w:p>
    <w:sdt>
      <w:sdtPr>
        <w:alias w:val="是否适用：管理费用[双击切换]"/>
        <w:tag w:val="_GBC_b376fd9abaac4f3b8e5956b8dcd72faf"/>
        <w:id w:val="118401438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1401478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管理费用"/>
          <w:tag w:val="_GBC_0549259a290d43c39c63d67cdad7f80d"/>
          <w:id w:val="-9358236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sdt>
          <w:sdtPr>
            <w:tag w:val="_PLD_588268d9a550441d943c27cfc1105eb0"/>
            <w:id w:val="738676724"/>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项目</w:t>
                </w:r>
              </w:p>
            </w:tc>
          </w:sdtContent>
        </w:sdt>
        <w:sdt>
          <w:sdtPr>
            <w:tag w:val="_PLD_0e4f4d04bcb2408d8a5744ac90a1f89b"/>
            <w:id w:val="-1651742433"/>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本期发生额</w:t>
                </w:r>
              </w:p>
            </w:tc>
          </w:sdtContent>
        </w:sdt>
        <w:sdt>
          <w:sdtPr>
            <w:tag w:val="_PLD_6f1ab61237164c0db56540ae1980b62c"/>
            <w:id w:val="894709808"/>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上期发生额</w:t>
                </w:r>
              </w:p>
            </w:tc>
          </w:sdtContent>
        </w:sdt>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职工薪酬社保及福利费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5,498,965</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5,257,653</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折旧费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676,604</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679,442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中介、咨询及服务费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412,848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606,551</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股份支付</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159,327</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298,036</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差旅、办公、会议及招待费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304,866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271,845</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摊销、租赁费等</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415,973</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260,012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材料及修理费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153,166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217,436</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停工损失</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175,947</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物业费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135,587</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139,814</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党建工作经费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90,942</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85,231</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726,202</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500,730</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pPr>
            <w:r>
              <w:t>8,574,548</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pPr>
            <w:r>
              <w:t>8,492,697</w:t>
            </w:r>
          </w:p>
        </w:tc>
      </w:tr>
    </w:tbl>
    <w:p>
      <w:pPr>
        <w:pStyle w:val="affffffffffffffffffffffffffffffffe"/>
      </w:pPr>
    </w:p>
    <w:p>
      <w:pPr>
        <w:rPr>
          <w:szCs w:val="21"/>
        </w:rPr>
      </w:pPr>
      <w:r>
        <w:rPr>
          <w:rFonts w:hint="eastAsia"/>
          <w:szCs w:val="21"/>
        </w:rPr>
        <w:lastRenderedPageBreak/>
        <w:t>其他说明：</w:t>
      </w:r>
    </w:p>
    <w:sdt>
      <w:sdtPr>
        <w:rPr>
          <w:szCs w:val="21"/>
        </w:rPr>
        <w:alias w:val="管理费用的其他说明事项"/>
        <w:tag w:val="_GBC_9b151103b3714e6c9261d3362f24bd0a"/>
        <w:id w:val="61153596"/>
        <w:placeholder>
          <w:docPart w:val="GBC22222222222222222222222222222"/>
        </w:placeholder>
      </w:sdtPr>
      <w:sdtContent>
        <w:p>
          <w:pPr>
            <w:rPr>
              <w:szCs w:val="21"/>
            </w:rPr>
          </w:pPr>
          <w:r>
            <w:rPr>
              <w:szCs w:val="21"/>
            </w:rPr>
            <w:t>-</w:t>
          </w:r>
        </w:p>
      </w:sdtContent>
    </w:sdt>
    <w:p>
      <w:pPr>
        <w:rPr>
          <w:szCs w:val="21"/>
        </w:rPr>
      </w:pPr>
    </w:p>
    <w:p>
      <w:pPr>
        <w:pStyle w:val="affffffffffffffffff6"/>
        <w:numPr>
          <w:ilvl w:val="0"/>
          <w:numId w:val="103"/>
        </w:numPr>
        <w:tabs>
          <w:tab w:val="left" w:pos="504"/>
        </w:tabs>
        <w:rPr>
          <w:szCs w:val="21"/>
        </w:rPr>
      </w:pPr>
      <w:bookmarkStart w:id="474" w:name="_Hlk532912714"/>
      <w:bookmarkStart w:id="475" w:name="_Hlk155098459"/>
      <w:r>
        <w:rPr>
          <w:rFonts w:hint="eastAsia"/>
          <w:szCs w:val="21"/>
        </w:rPr>
        <w:t>研发费用</w:t>
      </w:r>
    </w:p>
    <w:sdt>
      <w:sdtPr>
        <w:rPr>
          <w:szCs w:val="21"/>
        </w:rPr>
        <w:alias w:val="是否适用：研发费用[双击切换]"/>
        <w:tag w:val="_GBC_9898510b9c0a486f9cd9779f4b72b75c"/>
        <w:id w:val="119641903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ff4"/>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2010354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研发费用"/>
          <w:tag w:val="_GBC_fd53f958c2294dce9fb017f8207a7ff4"/>
          <w:id w:val="-19732783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sdt>
          <w:sdtPr>
            <w:tag w:val="_PLD_70c22a459f7a4323bcf2b066e0398aee"/>
            <w:id w:val="-537507674"/>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pPr>
                  <w:jc w:val="center"/>
                  <w:rPr>
                    <w:szCs w:val="21"/>
                  </w:rPr>
                </w:pPr>
                <w:r>
                  <w:rPr>
                    <w:rFonts w:hint="eastAsia"/>
                    <w:szCs w:val="21"/>
                  </w:rPr>
                  <w:t>项目</w:t>
                </w:r>
              </w:p>
            </w:tc>
          </w:sdtContent>
        </w:sdt>
        <w:sdt>
          <w:sdtPr>
            <w:tag w:val="_PLD_76c559fcf2df4f56bfb2994739826eb3"/>
            <w:id w:val="1798487171"/>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pPr>
                  <w:jc w:val="center"/>
                  <w:rPr>
                    <w:szCs w:val="21"/>
                  </w:rPr>
                </w:pPr>
                <w:r>
                  <w:rPr>
                    <w:rFonts w:hint="eastAsia"/>
                    <w:szCs w:val="21"/>
                  </w:rPr>
                  <w:t>本期发生额</w:t>
                </w:r>
              </w:p>
            </w:tc>
          </w:sdtContent>
        </w:sdt>
        <w:sdt>
          <w:sdtPr>
            <w:tag w:val="_PLD_ec7e9f373a83410d886ebef444573eb8"/>
            <w:id w:val="131167403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pPr>
                  <w:jc w:val="center"/>
                  <w:rPr>
                    <w:szCs w:val="21"/>
                  </w:rPr>
                </w:pPr>
                <w:r>
                  <w:rPr>
                    <w:rFonts w:hint="eastAsia"/>
                    <w:szCs w:val="21"/>
                  </w:rPr>
                  <w:t>上期发生额</w:t>
                </w:r>
              </w:p>
            </w:tc>
          </w:sdtContent>
        </w:sdt>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t>设备材料费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1,459,866</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1,397,475</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847,775</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899,502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209,840</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242,167</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t>委外技术服务费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112,482</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196,064</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rPr>
                <w:szCs w:val="21"/>
              </w:rPr>
            </w:pPr>
            <w:r>
              <w:t>其他</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104,574</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t>177,032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2,734,537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2,912,240</w:t>
            </w:r>
          </w:p>
        </w:tc>
      </w:tr>
    </w:tbl>
    <w:p>
      <w:pPr>
        <w:pStyle w:val="affffffffffffffffffffffffffffffffe"/>
      </w:pPr>
    </w:p>
    <w:p>
      <w:pPr>
        <w:rPr>
          <w:szCs w:val="21"/>
        </w:rPr>
      </w:pPr>
      <w:r>
        <w:rPr>
          <w:rFonts w:hint="eastAsia"/>
          <w:szCs w:val="21"/>
        </w:rPr>
        <w:t>其他说明：</w:t>
      </w:r>
    </w:p>
    <w:sdt>
      <w:sdtPr>
        <w:alias w:val="研发费用其他说明"/>
        <w:tag w:val="_GBC_da0db64d68d44b2fa6262eeadfe7c926"/>
        <w:id w:val="1707904098"/>
        <w:placeholder>
          <w:docPart w:val="GBC22222222222222222222222222222"/>
        </w:placeholder>
      </w:sdtPr>
      <w:sdtContent>
        <w:p>
          <w:pPr>
            <w:pStyle w:val="affffffffffffffffffffffffffffffffe"/>
          </w:pPr>
          <w:r>
            <w:t>-</w:t>
          </w:r>
        </w:p>
      </w:sdtContent>
    </w:sdt>
    <w:p>
      <w:pPr>
        <w:pStyle w:val="affffffffffffffffffffffffffffffffe"/>
      </w:pPr>
    </w:p>
    <w:bookmarkEnd w:id="474"/>
    <w:bookmarkEnd w:id="475"/>
    <w:p>
      <w:pPr>
        <w:pStyle w:val="affffffffffffffffff6"/>
        <w:numPr>
          <w:ilvl w:val="0"/>
          <w:numId w:val="103"/>
        </w:numPr>
        <w:tabs>
          <w:tab w:val="left" w:pos="504"/>
        </w:tabs>
        <w:rPr>
          <w:szCs w:val="21"/>
        </w:rPr>
      </w:pPr>
      <w:r>
        <w:rPr>
          <w:rFonts w:hint="eastAsia"/>
          <w:szCs w:val="21"/>
        </w:rPr>
        <w:t>财务费用</w:t>
      </w:r>
    </w:p>
    <w:sdt>
      <w:sdtPr>
        <w:alias w:val="是否适用：财务费用[双击切换]"/>
        <w:tag w:val="_GBC_7e467c6faebc402ab141f588df31680d"/>
        <w:id w:val="-63171895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8249772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费用"/>
          <w:tag w:val="_GBC_f6066e571d54449daf358ae3037f9712"/>
          <w:id w:val="-15445935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sdt>
          <w:sdtPr>
            <w:tag w:val="_PLD_49977e87dd3f474489b24bbaed00293d"/>
            <w:id w:val="-1340924899"/>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项目</w:t>
                </w:r>
              </w:p>
            </w:tc>
          </w:sdtContent>
        </w:sdt>
        <w:sdt>
          <w:sdtPr>
            <w:tag w:val="_PLD_f64aa2e290ce4904a39347c56117acb7"/>
            <w:id w:val="-821804174"/>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本期发生额</w:t>
                </w:r>
              </w:p>
            </w:tc>
          </w:sdtContent>
        </w:sdt>
        <w:sdt>
          <w:sdtPr>
            <w:tag w:val="_PLD_178c78585f7e495ebd86923cb8c24338"/>
            <w:id w:val="-1221748689"/>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上期发生额</w:t>
                </w:r>
              </w:p>
            </w:tc>
          </w:sdtContent>
        </w:sdt>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利息费用</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4,137,324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4,502,850</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减：利息收入</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943,811</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838,914</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加：汇兑损失</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-737,383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-154,012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加：担保支出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48,463</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125,083</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pPr>
            <w:r>
              <w:t>加：其他支出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287,575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268,166</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2,792,168</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3,903,173</w:t>
            </w:r>
          </w:p>
        </w:tc>
      </w:tr>
    </w:tbl>
    <w:p>
      <w:pPr>
        <w:pStyle w:val="affffffffffffffffffffffffffffffffe"/>
      </w:pPr>
    </w:p>
    <w:p>
      <w:pPr>
        <w:rPr>
          <w:szCs w:val="21"/>
        </w:rPr>
      </w:pPr>
      <w:r>
        <w:rPr>
          <w:rFonts w:hint="eastAsia"/>
          <w:szCs w:val="21"/>
        </w:rPr>
        <w:t>其他说明：</w:t>
      </w:r>
    </w:p>
    <w:sdt>
      <w:sdtPr>
        <w:rPr>
          <w:szCs w:val="21"/>
        </w:rPr>
        <w:alias w:val="财务费用的其他说明事项"/>
        <w:tag w:val="_GBC_ac6200ee95c7483d9ee9565f49369f9a"/>
        <w:id w:val="-1712560850"/>
        <w:placeholder>
          <w:docPart w:val="GBC22222222222222222222222222222"/>
        </w:placeholder>
      </w:sdtPr>
      <w:sdtContent>
        <w:p>
          <w:pPr>
            <w:rPr>
              <w:szCs w:val="21"/>
            </w:rPr>
          </w:pPr>
          <w:r>
            <w:rPr>
              <w:szCs w:val="21"/>
            </w:rPr>
            <w:t>-</w:t>
          </w:r>
        </w:p>
      </w:sdtContent>
    </w:sdt>
    <w:p>
      <w:pPr>
        <w:rPr>
          <w:szCs w:val="21"/>
        </w:rPr>
      </w:pPr>
    </w:p>
    <w:p>
      <w:pPr>
        <w:pStyle w:val="affffffffffffffffff6"/>
        <w:numPr>
          <w:ilvl w:val="0"/>
          <w:numId w:val="103"/>
        </w:numPr>
        <w:tabs>
          <w:tab w:val="left" w:pos="504"/>
        </w:tabs>
      </w:pPr>
      <w:r>
        <w:rPr>
          <w:rFonts w:hint="eastAsia"/>
        </w:rPr>
        <w:t>其他收益</w:t>
      </w:r>
    </w:p>
    <w:sdt>
      <w:sdtPr>
        <w:rPr>
          <w:bCs/>
        </w:rPr>
        <w:alias w:val="是否适用：财务报表其他收益[双击切换]"/>
        <w:tag w:val="_GBC_24722ffac3b6474db1e1d7972d6e4a7b"/>
        <w:id w:val="-76289532"/>
        <w:placeholder>
          <w:docPart w:val="GBC22222222222222222222222222222"/>
        </w:placeholder>
      </w:sdt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affffffffffffffffffffffffffffffffff4"/>
        <w:ind w:left="420" w:firstLineChars="0" w:firstLine="0"/>
        <w:jc w:val="right"/>
        <w:rPr>
          <w:bCs/>
        </w:rPr>
      </w:pPr>
      <w:r>
        <w:rPr>
          <w:bCs/>
        </w:rPr>
        <w:t>单位：</w:t>
      </w:r>
      <w:sdt>
        <w:sdtPr>
          <w:rPr>
            <w:bCs/>
          </w:rPr>
          <w:alias w:val="单位：财务报表其他收益明细"/>
          <w:tag w:val="_GBC_74ea52f952324be7ab2c4c494ff673ce"/>
          <w:id w:val="29696758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千元</w:t>
          </w:r>
        </w:sdtContent>
      </w:sdt>
      <w:r>
        <w:rPr>
          <w:bCs/>
        </w:rPr>
        <w:t xml:space="preserve">  </w:t>
      </w:r>
      <w:r>
        <w:rPr>
          <w:bCs/>
        </w:rPr>
        <w:t>币种：</w:t>
      </w:r>
      <w:sdt>
        <w:sdtPr>
          <w:rPr>
            <w:bCs/>
          </w:rPr>
          <w:alias w:val="币种：财务报表其他收益明细"/>
          <w:tag w:val="_GBC_8360ed9b182a496c9b5d2220a414a4cb"/>
          <w:id w:val="-15898420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sdt>
          <w:sdtPr>
            <w:tag w:val="_PLD_7df5d6dc8fe1463b8e0d41784241e311"/>
            <w:id w:val="-1337612435"/>
          </w:sdtPr>
          <w:sdtContent>
            <w:tc>
              <w:tcPr>
                <w:tcW w:w="1666" w:type="pct"/>
                <w:shd w:val="clear" w:color="auto" w:fill="auto"/>
              </w:tcPr>
              <w:p>
                <w:pPr>
                  <w:jc w:val="center"/>
                </w:pPr>
                <w:r>
                  <w:rPr>
                    <w:rFonts w:hint="eastAsia"/>
                  </w:rPr>
                  <w:t>按性质分类</w:t>
                </w:r>
              </w:p>
            </w:tc>
          </w:sdtContent>
        </w:sdt>
        <w:sdt>
          <w:sdtPr>
            <w:tag w:val="_PLD_2c34d48a6a534080943d2d340c325c15"/>
            <w:id w:val="1450903634"/>
          </w:sdtPr>
          <w:sdtContent>
            <w:tc>
              <w:tcPr>
                <w:tcW w:w="1667" w:type="pct"/>
                <w:shd w:val="clear" w:color="auto" w:fill="auto"/>
              </w:tcPr>
              <w:p>
                <w:pPr>
                  <w:jc w:val="center"/>
                </w:pPr>
                <w:r>
                  <w:rPr>
                    <w:rFonts w:hint="eastAsia"/>
                  </w:rPr>
                  <w:t>本期发生额</w:t>
                </w:r>
              </w:p>
            </w:tc>
          </w:sdtContent>
        </w:sdt>
        <w:sdt>
          <w:sdtPr>
            <w:tag w:val="_PLD_1a2c9ed0a9704089897421e22b8696dd"/>
            <w:id w:val="1800404562"/>
          </w:sdtPr>
          <w:sdtContent>
            <w:tc>
              <w:tcPr>
                <w:tcW w:w="1667" w:type="pct"/>
                <w:shd w:val="clear" w:color="auto" w:fill="auto"/>
              </w:tcPr>
              <w:p>
                <w:pPr>
                  <w:jc w:val="center"/>
                </w:pPr>
                <w:r>
                  <w:rPr>
                    <w:rFonts w:hint="eastAsia"/>
                  </w:rPr>
                  <w:t>上期发生额</w:t>
                </w:r>
              </w:p>
            </w:tc>
          </w:sdtContent>
        </w:sdt>
      </w:tr>
      <w:tr>
        <w:tc>
          <w:tcPr>
            <w:tcW w:w="1666" w:type="pct"/>
            <w:shd w:val="clear" w:color="auto" w:fill="auto"/>
          </w:tcPr>
          <w:p>
            <w:pPr>
              <w:pStyle w:val="affffffffffffffffffffffffffffffffe"/>
            </w:pPr>
            <w:r>
              <w:t>与日常经营活动相关的政府补助</w:t>
            </w:r>
          </w:p>
        </w:tc>
        <w:tc>
          <w:tcPr>
            <w:tcW w:w="1667" w:type="pct"/>
            <w:shd w:val="clear" w:color="auto" w:fill="auto"/>
          </w:tcPr>
          <w:p>
            <w:pPr>
              <w:jc w:val="right"/>
            </w:pPr>
            <w:r>
              <w:t>315,026</w:t>
            </w:r>
          </w:p>
        </w:tc>
        <w:tc>
          <w:tcPr>
            <w:tcW w:w="1667" w:type="pct"/>
            <w:shd w:val="clear" w:color="auto" w:fill="auto"/>
          </w:tcPr>
          <w:p>
            <w:pPr>
              <w:jc w:val="right"/>
            </w:pPr>
            <w:r>
              <w:t>260,875</w:t>
            </w:r>
          </w:p>
        </w:tc>
      </w:tr>
      <w:tr>
        <w:tc>
          <w:tcPr>
            <w:tcW w:w="1666" w:type="pct"/>
            <w:shd w:val="clear" w:color="auto" w:fill="auto"/>
          </w:tcPr>
          <w:p>
            <w:pPr>
              <w:jc w:val="center"/>
            </w:pPr>
            <w:r>
              <w:rPr>
                <w:rFonts w:hint="eastAsia"/>
              </w:rPr>
              <w:t>合计</w:t>
            </w:r>
          </w:p>
        </w:tc>
        <w:tc>
          <w:tcPr>
            <w:tcW w:w="1667" w:type="pct"/>
            <w:shd w:val="clear" w:color="auto" w:fill="auto"/>
            <w:vAlign w:val="center"/>
          </w:tcPr>
          <w:p>
            <w:pPr>
              <w:jc w:val="right"/>
            </w:pPr>
            <w:r>
              <w:t>315,026</w:t>
            </w:r>
          </w:p>
        </w:tc>
        <w:tc>
          <w:tcPr>
            <w:tcW w:w="1667" w:type="pct"/>
            <w:shd w:val="clear" w:color="auto" w:fill="auto"/>
            <w:vAlign w:val="center"/>
          </w:tcPr>
          <w:p>
            <w:pPr>
              <w:jc w:val="right"/>
            </w:pPr>
            <w:r>
              <w:t>260,875</w:t>
            </w:r>
          </w:p>
        </w:tc>
      </w:tr>
    </w:tbl>
    <w:p>
      <w:pPr>
        <w:pStyle w:val="affffffffffffffffffffffffffffffffe"/>
      </w:pPr>
    </w:p>
    <w:p>
      <w:pPr>
        <w:pStyle w:val="affffffffffffffffffffffffffffffffe"/>
      </w:pPr>
      <w:r>
        <w:rPr>
          <w:rFonts w:hint="eastAsia"/>
        </w:rPr>
        <w:t>其他说明：</w:t>
      </w:r>
    </w:p>
    <w:sdt>
      <w:sdtPr>
        <w:alias w:val="财务报表其他收益其他说明"/>
        <w:tag w:val="_GBC_4b4ba73a66704c609e7c6617d0fa6694"/>
        <w:id w:val="245620740"/>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6"/>
        <w:numPr>
          <w:ilvl w:val="0"/>
          <w:numId w:val="103"/>
        </w:numPr>
        <w:tabs>
          <w:tab w:val="left" w:pos="504"/>
        </w:tabs>
        <w:rPr>
          <w:rFonts w:ascii="宋体" w:hAnsi="宋体"/>
          <w:szCs w:val="21"/>
        </w:rPr>
      </w:pPr>
      <w:bookmarkStart w:id="476" w:name="_Hlk11857276"/>
      <w:bookmarkStart w:id="477" w:name="_Hlk24027658"/>
      <w:bookmarkEnd w:id="476"/>
      <w:r>
        <w:rPr>
          <w:rFonts w:ascii="宋体" w:hAnsi="宋体" w:hint="eastAsia"/>
          <w:szCs w:val="21"/>
        </w:rPr>
        <w:t>投资收益</w:t>
      </w:r>
    </w:p>
    <w:sdt>
      <w:sdtPr>
        <w:alias w:val="是否适用：投资收益[双击切换]"/>
        <w:tag w:val="_GBC_f581223c46c2426aa46b9e88b6b47f4f"/>
        <w:id w:val="177921661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bookmarkStart w:id="478"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13773005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3785520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24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2"/>
        <w:gridCol w:w="2626"/>
        <w:gridCol w:w="2636"/>
      </w:tblGrid>
      <w:tr>
        <w:sdt>
          <w:sdtPr>
            <w:tag w:val="_PLD_998e1ec79cfc4df397c6fa0a751f3489"/>
            <w:id w:val="1263346303"/>
          </w:sdtPr>
          <w:sdtContent>
            <w:tc>
              <w:tcPr>
                <w:tcW w:w="2157" w:type="pct"/>
                <w:vAlign w:val="center"/>
              </w:tcPr>
              <w:p>
                <w:pPr>
                  <w:ind w:left="420" w:hanging="420"/>
                  <w:jc w:val="center"/>
                  <w:rPr>
                    <w:szCs w:val="21"/>
                  </w:rPr>
                </w:pPr>
                <w:r>
                  <w:rPr>
                    <w:rFonts w:hint="eastAsia"/>
                    <w:szCs w:val="21"/>
                  </w:rPr>
                  <w:t>项目</w:t>
                </w:r>
              </w:p>
            </w:tc>
          </w:sdtContent>
        </w:sdt>
        <w:sdt>
          <w:sdtPr>
            <w:tag w:val="_PLD_239208f1271348119306f77c15ab0ec0"/>
            <w:id w:val="-1128774341"/>
          </w:sdtPr>
          <w:sdtContent>
            <w:tc>
              <w:tcPr>
                <w:tcW w:w="1419" w:type="pct"/>
                <w:vAlign w:val="center"/>
              </w:tcPr>
              <w:p>
                <w:pPr>
                  <w:jc w:val="center"/>
                  <w:rPr>
                    <w:szCs w:val="21"/>
                  </w:rPr>
                </w:pPr>
                <w:r>
                  <w:rPr>
                    <w:rFonts w:hint="eastAsia"/>
                    <w:szCs w:val="21"/>
                  </w:rPr>
                  <w:t>本期发生额</w:t>
                </w:r>
              </w:p>
            </w:tc>
          </w:sdtContent>
        </w:sdt>
        <w:sdt>
          <w:sdtPr>
            <w:tag w:val="_PLD_c548c34a5b7b4e3eb5536d1408d6cc7b"/>
            <w:id w:val="1305817173"/>
          </w:sdtPr>
          <w:sdtContent>
            <w:tc>
              <w:tcPr>
                <w:tcW w:w="1424" w:type="pct"/>
                <w:vAlign w:val="center"/>
              </w:tcPr>
              <w:p>
                <w:pPr>
                  <w:jc w:val="center"/>
                  <w:rPr>
                    <w:szCs w:val="21"/>
                  </w:rPr>
                </w:pPr>
                <w:r>
                  <w:rPr>
                    <w:rFonts w:hint="eastAsia"/>
                    <w:szCs w:val="21"/>
                  </w:rPr>
                  <w:t>上期发生额</w:t>
                </w:r>
              </w:p>
            </w:tc>
          </w:sdtContent>
        </w:sdt>
      </w:tr>
      <w:tr>
        <w:tc>
          <w:tcPr>
            <w:tcW w:w="2157" w:type="pct"/>
            <w:vAlign w:val="center"/>
          </w:tcPr>
          <w:p>
            <w:pPr>
              <w:spacing w:line="360" w:lineRule="exact"/>
              <w:rPr>
                <w:szCs w:val="21"/>
              </w:rPr>
            </w:pPr>
            <w:r>
              <w:rPr>
                <w:rFonts w:hint="eastAsia"/>
                <w:szCs w:val="21"/>
              </w:rPr>
              <w:t>持有交易性金融资产期间取得的投资收益</w:t>
            </w:r>
          </w:p>
        </w:tc>
        <w:tc>
          <w:tcPr>
            <w:tcW w:w="1419" w:type="pct"/>
            <w:vAlign w:val="center"/>
          </w:tcPr>
          <w:p>
            <w:pPr>
              <w:spacing w:line="360" w:lineRule="exact"/>
              <w:jc w:val="right"/>
              <w:rPr>
                <w:szCs w:val="21"/>
              </w:rPr>
            </w:pPr>
            <w:r>
              <w:rPr>
                <w:szCs w:val="21"/>
              </w:rPr>
              <w:t>6,449</w:t>
            </w:r>
          </w:p>
        </w:tc>
        <w:tc>
          <w:tcPr>
            <w:tcW w:w="1424" w:type="pct"/>
            <w:vAlign w:val="center"/>
          </w:tcPr>
          <w:p>
            <w:pPr>
              <w:spacing w:line="360" w:lineRule="exact"/>
              <w:jc w:val="right"/>
              <w:rPr>
                <w:szCs w:val="21"/>
              </w:rPr>
            </w:pPr>
            <w:r>
              <w:rPr>
                <w:szCs w:val="21"/>
              </w:rPr>
              <w:t>59</w:t>
            </w:r>
          </w:p>
        </w:tc>
      </w:tr>
      <w:tr>
        <w:tc>
          <w:tcPr>
            <w:tcW w:w="2157" w:type="pct"/>
            <w:vAlign w:val="center"/>
          </w:tcPr>
          <w:p>
            <w:pPr>
              <w:spacing w:line="360" w:lineRule="exact"/>
              <w:rPr>
                <w:szCs w:val="21"/>
              </w:rPr>
            </w:pPr>
            <w:r>
              <w:rPr>
                <w:rFonts w:hint="eastAsia"/>
                <w:szCs w:val="21"/>
              </w:rPr>
              <w:t>持有其他权益工具投资期间取得的投资收益</w:t>
            </w:r>
          </w:p>
        </w:tc>
        <w:tc>
          <w:tcPr>
            <w:tcW w:w="1419" w:type="pct"/>
            <w:vAlign w:val="center"/>
          </w:tcPr>
          <w:p>
            <w:pPr>
              <w:spacing w:line="360" w:lineRule="exact"/>
              <w:jc w:val="right"/>
              <w:rPr>
                <w:szCs w:val="21"/>
              </w:rPr>
            </w:pPr>
            <w:r>
              <w:rPr>
                <w:szCs w:val="21"/>
              </w:rPr>
              <w:t>92</w:t>
            </w:r>
          </w:p>
        </w:tc>
        <w:tc>
          <w:tcPr>
            <w:tcW w:w="1424" w:type="pct"/>
            <w:vAlign w:val="center"/>
          </w:tcPr>
          <w:p>
            <w:pPr>
              <w:spacing w:line="360" w:lineRule="exact"/>
              <w:jc w:val="right"/>
              <w:rPr>
                <w:szCs w:val="21"/>
              </w:rPr>
            </w:pPr>
            <w:r>
              <w:rPr>
                <w:szCs w:val="21"/>
              </w:rPr>
              <w:t>75</w:t>
            </w:r>
          </w:p>
        </w:tc>
      </w:tr>
      <w:tr>
        <w:tc>
          <w:tcPr>
            <w:tcW w:w="2157" w:type="pct"/>
            <w:vAlign w:val="center"/>
          </w:tcPr>
          <w:p>
            <w:pPr>
              <w:spacing w:line="360" w:lineRule="exact"/>
              <w:rPr>
                <w:szCs w:val="21"/>
              </w:rPr>
            </w:pPr>
            <w:r>
              <w:rPr>
                <w:rFonts w:hint="eastAsia"/>
                <w:szCs w:val="21"/>
              </w:rPr>
              <w:t>持有债权投资期间取得的投资收益</w:t>
            </w:r>
          </w:p>
        </w:tc>
        <w:tc>
          <w:tcPr>
            <w:tcW w:w="1419" w:type="pct"/>
            <w:vAlign w:val="center"/>
          </w:tcPr>
          <w:p>
            <w:pPr>
              <w:spacing w:line="360" w:lineRule="exact"/>
              <w:jc w:val="right"/>
              <w:rPr>
                <w:szCs w:val="21"/>
              </w:rPr>
            </w:pPr>
            <w:r>
              <w:rPr>
                <w:szCs w:val="21"/>
              </w:rPr>
              <w:t>51,483</w:t>
            </w:r>
          </w:p>
        </w:tc>
        <w:tc>
          <w:tcPr>
            <w:tcW w:w="1424" w:type="pct"/>
            <w:vAlign w:val="center"/>
          </w:tcPr>
          <w:p>
            <w:pPr>
              <w:spacing w:line="360" w:lineRule="exact"/>
              <w:jc w:val="right"/>
              <w:rPr>
                <w:szCs w:val="21"/>
              </w:rPr>
            </w:pPr>
            <w:r>
              <w:rPr>
                <w:szCs w:val="21"/>
              </w:rPr>
              <w:t>10,470</w:t>
            </w:r>
          </w:p>
        </w:tc>
      </w:tr>
      <w:tr>
        <w:tc>
          <w:tcPr>
            <w:tcW w:w="2157" w:type="pct"/>
            <w:vAlign w:val="center"/>
          </w:tcPr>
          <w:p>
            <w:pPr>
              <w:spacing w:line="360" w:lineRule="exact"/>
              <w:rPr>
                <w:szCs w:val="21"/>
              </w:rPr>
            </w:pPr>
            <w:r>
              <w:rPr>
                <w:rFonts w:hint="eastAsia"/>
                <w:szCs w:val="21"/>
              </w:rPr>
              <w:t>处置交易性金融负债收益</w:t>
            </w:r>
          </w:p>
        </w:tc>
        <w:tc>
          <w:tcPr>
            <w:tcW w:w="1419" w:type="pct"/>
            <w:vAlign w:val="center"/>
          </w:tcPr>
          <w:p>
            <w:pPr>
              <w:spacing w:line="360" w:lineRule="exact"/>
              <w:jc w:val="right"/>
              <w:rPr>
                <w:szCs w:val="21"/>
              </w:rPr>
            </w:pPr>
            <w:r>
              <w:rPr>
                <w:szCs w:val="21"/>
              </w:rPr>
              <w:t>20</w:t>
            </w:r>
          </w:p>
        </w:tc>
        <w:tc>
          <w:tcPr>
            <w:tcW w:w="1424" w:type="pct"/>
            <w:vAlign w:val="center"/>
          </w:tcPr>
          <w:p>
            <w:pPr>
              <w:spacing w:line="360" w:lineRule="exact"/>
              <w:jc w:val="right"/>
              <w:rPr>
                <w:szCs w:val="21"/>
              </w:rPr>
            </w:pPr>
          </w:p>
        </w:tc>
      </w:tr>
      <w:tr>
        <w:tc>
          <w:tcPr>
            <w:tcW w:w="2157" w:type="pct"/>
            <w:vAlign w:val="center"/>
          </w:tcPr>
          <w:p>
            <w:pPr>
              <w:spacing w:line="360" w:lineRule="exact"/>
              <w:rPr>
                <w:szCs w:val="21"/>
              </w:rPr>
            </w:pPr>
            <w:r>
              <w:rPr>
                <w:rFonts w:hint="eastAsia"/>
                <w:szCs w:val="21"/>
              </w:rPr>
              <w:t>处置交易性金融资产取得的投资收益</w:t>
            </w:r>
          </w:p>
        </w:tc>
        <w:tc>
          <w:tcPr>
            <w:tcW w:w="1419" w:type="pct"/>
            <w:vAlign w:val="center"/>
          </w:tcPr>
          <w:p>
            <w:pPr>
              <w:spacing w:line="360" w:lineRule="exact"/>
              <w:jc w:val="right"/>
              <w:rPr>
                <w:szCs w:val="21"/>
              </w:rPr>
            </w:pPr>
            <w:r>
              <w:rPr>
                <w:szCs w:val="21"/>
              </w:rPr>
              <w:t>11,028</w:t>
            </w:r>
          </w:p>
        </w:tc>
        <w:tc>
          <w:tcPr>
            <w:tcW w:w="1424" w:type="pct"/>
            <w:vAlign w:val="center"/>
          </w:tcPr>
          <w:p>
            <w:pPr>
              <w:spacing w:line="360" w:lineRule="exact"/>
              <w:jc w:val="right"/>
              <w:rPr>
                <w:szCs w:val="21"/>
              </w:rPr>
            </w:pPr>
            <w:r>
              <w:rPr>
                <w:szCs w:val="21"/>
              </w:rPr>
              <w:t>-24,152</w:t>
            </w:r>
          </w:p>
        </w:tc>
      </w:tr>
      <w:tr>
        <w:tc>
          <w:tcPr>
            <w:tcW w:w="2157" w:type="pct"/>
            <w:vAlign w:val="center"/>
          </w:tcPr>
          <w:p>
            <w:pPr>
              <w:spacing w:line="360" w:lineRule="exact"/>
              <w:rPr>
                <w:szCs w:val="21"/>
              </w:rPr>
            </w:pPr>
            <w:r>
              <w:rPr>
                <w:rFonts w:hint="eastAsia"/>
                <w:szCs w:val="21"/>
              </w:rPr>
              <w:t>处置长期股权投资产生的投资收益</w:t>
            </w:r>
          </w:p>
        </w:tc>
        <w:tc>
          <w:tcPr>
            <w:tcW w:w="1419" w:type="pct"/>
            <w:vAlign w:val="center"/>
          </w:tcPr>
          <w:p>
            <w:pPr>
              <w:spacing w:line="360" w:lineRule="exact"/>
              <w:jc w:val="right"/>
              <w:rPr>
                <w:szCs w:val="21"/>
              </w:rPr>
            </w:pPr>
            <w:r>
              <w:rPr>
                <w:szCs w:val="21"/>
              </w:rPr>
              <w:t>256,432</w:t>
            </w:r>
          </w:p>
        </w:tc>
        <w:tc>
          <w:tcPr>
            <w:tcW w:w="1424" w:type="pct"/>
            <w:vAlign w:val="center"/>
          </w:tcPr>
          <w:p>
            <w:pPr>
              <w:spacing w:line="360" w:lineRule="exact"/>
              <w:jc w:val="right"/>
              <w:rPr>
                <w:szCs w:val="21"/>
              </w:rPr>
            </w:pPr>
          </w:p>
        </w:tc>
      </w:tr>
      <w:tr>
        <w:tc>
          <w:tcPr>
            <w:tcW w:w="2157" w:type="pct"/>
            <w:vAlign w:val="center"/>
          </w:tcPr>
          <w:p>
            <w:pPr>
              <w:spacing w:line="360" w:lineRule="exact"/>
              <w:rPr>
                <w:szCs w:val="21"/>
              </w:rPr>
            </w:pPr>
            <w:r>
              <w:rPr>
                <w:rFonts w:hint="eastAsia"/>
                <w:szCs w:val="21"/>
              </w:rPr>
              <w:t>持有其他非流动金融资产取得的投资收益</w:t>
            </w:r>
          </w:p>
        </w:tc>
        <w:tc>
          <w:tcPr>
            <w:tcW w:w="1419" w:type="pct"/>
            <w:vAlign w:val="center"/>
          </w:tcPr>
          <w:p>
            <w:pPr>
              <w:spacing w:line="360" w:lineRule="exact"/>
              <w:jc w:val="right"/>
              <w:rPr>
                <w:szCs w:val="21"/>
              </w:rPr>
            </w:pPr>
          </w:p>
        </w:tc>
        <w:tc>
          <w:tcPr>
            <w:tcW w:w="1424" w:type="pct"/>
            <w:vAlign w:val="center"/>
          </w:tcPr>
          <w:p>
            <w:pPr>
              <w:spacing w:line="360" w:lineRule="exact"/>
              <w:jc w:val="right"/>
              <w:rPr>
                <w:szCs w:val="21"/>
              </w:rPr>
            </w:pPr>
            <w:r>
              <w:rPr>
                <w:szCs w:val="21"/>
              </w:rPr>
              <w:t>1,110</w:t>
            </w:r>
          </w:p>
        </w:tc>
      </w:tr>
      <w:tr>
        <w:tc>
          <w:tcPr>
            <w:tcW w:w="2157" w:type="pct"/>
            <w:vAlign w:val="center"/>
          </w:tcPr>
          <w:p>
            <w:pPr>
              <w:spacing w:line="360" w:lineRule="exact"/>
              <w:rPr>
                <w:szCs w:val="21"/>
              </w:rPr>
            </w:pPr>
            <w:r>
              <w:rPr>
                <w:rFonts w:hint="eastAsia"/>
                <w:szCs w:val="21"/>
              </w:rPr>
              <w:t>处置其他非流动金融资产取得的投资收益</w:t>
            </w:r>
          </w:p>
        </w:tc>
        <w:tc>
          <w:tcPr>
            <w:tcW w:w="1419" w:type="pct"/>
            <w:vAlign w:val="center"/>
          </w:tcPr>
          <w:p>
            <w:pPr>
              <w:spacing w:line="360" w:lineRule="exact"/>
              <w:jc w:val="right"/>
              <w:rPr>
                <w:szCs w:val="21"/>
              </w:rPr>
            </w:pPr>
          </w:p>
        </w:tc>
        <w:tc>
          <w:tcPr>
            <w:tcW w:w="1424" w:type="pct"/>
            <w:vAlign w:val="center"/>
          </w:tcPr>
          <w:p>
            <w:pPr>
              <w:spacing w:line="360" w:lineRule="exact"/>
              <w:jc w:val="right"/>
              <w:rPr>
                <w:szCs w:val="21"/>
              </w:rPr>
            </w:pPr>
            <w:r>
              <w:rPr>
                <w:szCs w:val="21"/>
              </w:rPr>
              <w:t>15,473</w:t>
            </w:r>
          </w:p>
        </w:tc>
      </w:tr>
      <w:tr>
        <w:tc>
          <w:tcPr>
            <w:tcW w:w="2157" w:type="pct"/>
            <w:vAlign w:val="center"/>
          </w:tcPr>
          <w:p>
            <w:pPr>
              <w:spacing w:line="360" w:lineRule="exact"/>
              <w:rPr>
                <w:szCs w:val="21"/>
              </w:rPr>
            </w:pPr>
            <w:r>
              <w:rPr>
                <w:rFonts w:hint="eastAsia"/>
                <w:szCs w:val="21"/>
              </w:rPr>
              <w:t>理财收益</w:t>
            </w:r>
          </w:p>
        </w:tc>
        <w:tc>
          <w:tcPr>
            <w:tcW w:w="1419" w:type="pct"/>
            <w:vAlign w:val="center"/>
          </w:tcPr>
          <w:p>
            <w:pPr>
              <w:spacing w:line="360" w:lineRule="exact"/>
              <w:jc w:val="right"/>
              <w:rPr>
                <w:szCs w:val="21"/>
              </w:rPr>
            </w:pPr>
            <w:r>
              <w:rPr>
                <w:szCs w:val="21"/>
              </w:rPr>
              <w:t>311</w:t>
            </w:r>
          </w:p>
        </w:tc>
        <w:tc>
          <w:tcPr>
            <w:tcW w:w="1424" w:type="pct"/>
            <w:vAlign w:val="center"/>
          </w:tcPr>
          <w:p>
            <w:pPr>
              <w:spacing w:line="360" w:lineRule="exact"/>
              <w:jc w:val="right"/>
              <w:rPr>
                <w:szCs w:val="21"/>
              </w:rPr>
            </w:pPr>
          </w:p>
        </w:tc>
      </w:tr>
      <w:tr>
        <w:tc>
          <w:tcPr>
            <w:tcW w:w="2157" w:type="pct"/>
            <w:vAlign w:val="center"/>
          </w:tcPr>
          <w:p>
            <w:pPr>
              <w:spacing w:line="360" w:lineRule="exact"/>
              <w:rPr>
                <w:szCs w:val="21"/>
              </w:rPr>
            </w:pPr>
            <w:r>
              <w:rPr>
                <w:rFonts w:hint="eastAsia"/>
                <w:szCs w:val="21"/>
              </w:rPr>
              <w:t>其他</w:t>
            </w:r>
          </w:p>
        </w:tc>
        <w:tc>
          <w:tcPr>
            <w:tcW w:w="1419" w:type="pct"/>
            <w:vAlign w:val="center"/>
          </w:tcPr>
          <w:p>
            <w:pPr>
              <w:spacing w:line="360" w:lineRule="exact"/>
              <w:jc w:val="right"/>
              <w:rPr>
                <w:szCs w:val="21"/>
              </w:rPr>
            </w:pPr>
            <w:r>
              <w:rPr>
                <w:szCs w:val="21"/>
              </w:rPr>
              <w:t>6,264</w:t>
            </w:r>
          </w:p>
        </w:tc>
        <w:tc>
          <w:tcPr>
            <w:tcW w:w="1424" w:type="pct"/>
            <w:vAlign w:val="center"/>
          </w:tcPr>
          <w:p>
            <w:pPr>
              <w:spacing w:line="360" w:lineRule="exact"/>
              <w:jc w:val="right"/>
              <w:rPr>
                <w:szCs w:val="21"/>
              </w:rPr>
            </w:pPr>
          </w:p>
        </w:tc>
      </w:tr>
      <w:tr>
        <w:tc>
          <w:tcPr>
            <w:tcW w:w="2157" w:type="pct"/>
            <w:vAlign w:val="center"/>
          </w:tcPr>
          <w:p>
            <w:pPr>
              <w:spacing w:line="360" w:lineRule="exact"/>
              <w:rPr>
                <w:szCs w:val="21"/>
              </w:rPr>
            </w:pPr>
            <w:r>
              <w:rPr>
                <w:rFonts w:hint="eastAsia"/>
                <w:szCs w:val="21"/>
              </w:rPr>
              <w:t>债务重组收益</w:t>
            </w:r>
          </w:p>
        </w:tc>
        <w:tc>
          <w:tcPr>
            <w:tcW w:w="1419" w:type="pct"/>
            <w:vAlign w:val="center"/>
          </w:tcPr>
          <w:p>
            <w:pPr>
              <w:spacing w:line="360" w:lineRule="exact"/>
              <w:jc w:val="right"/>
              <w:rPr>
                <w:szCs w:val="21"/>
              </w:rPr>
            </w:pPr>
            <w:r>
              <w:rPr>
                <w:szCs w:val="21"/>
              </w:rPr>
              <w:t>3,833</w:t>
            </w:r>
          </w:p>
        </w:tc>
        <w:tc>
          <w:tcPr>
            <w:tcW w:w="1424" w:type="pct"/>
            <w:vAlign w:val="center"/>
          </w:tcPr>
          <w:p>
            <w:pPr>
              <w:spacing w:line="360" w:lineRule="exact"/>
              <w:jc w:val="right"/>
              <w:rPr>
                <w:szCs w:val="21"/>
              </w:rPr>
            </w:pPr>
            <w:r>
              <w:rPr>
                <w:szCs w:val="21"/>
              </w:rPr>
              <w:t>-5,205</w:t>
            </w:r>
          </w:p>
        </w:tc>
      </w:tr>
      <w:tr>
        <w:tc>
          <w:tcPr>
            <w:tcW w:w="2157" w:type="pct"/>
            <w:vAlign w:val="center"/>
          </w:tcPr>
          <w:p>
            <w:pPr>
              <w:spacing w:line="360" w:lineRule="exact"/>
              <w:rPr>
                <w:szCs w:val="21"/>
              </w:rPr>
            </w:pPr>
            <w:r>
              <w:rPr>
                <w:rFonts w:hint="eastAsia"/>
                <w:szCs w:val="21"/>
              </w:rPr>
              <w:t>权益法核算的长期股权投资收益</w:t>
            </w:r>
          </w:p>
        </w:tc>
        <w:tc>
          <w:tcPr>
            <w:tcW w:w="1419" w:type="pct"/>
            <w:vAlign w:val="center"/>
          </w:tcPr>
          <w:p>
            <w:pPr>
              <w:spacing w:line="360" w:lineRule="exact"/>
              <w:jc w:val="right"/>
              <w:rPr>
                <w:szCs w:val="21"/>
              </w:rPr>
            </w:pPr>
            <w:r>
              <w:rPr>
                <w:szCs w:val="21"/>
              </w:rPr>
              <w:t>2,289,670</w:t>
            </w:r>
          </w:p>
        </w:tc>
        <w:tc>
          <w:tcPr>
            <w:tcW w:w="1424" w:type="pct"/>
            <w:vAlign w:val="center"/>
          </w:tcPr>
          <w:p>
            <w:pPr>
              <w:spacing w:line="360" w:lineRule="exact"/>
              <w:jc w:val="right"/>
              <w:rPr>
                <w:szCs w:val="21"/>
              </w:rPr>
            </w:pPr>
            <w:r>
              <w:rPr>
                <w:szCs w:val="21"/>
              </w:rPr>
              <w:t>2,261,043</w:t>
            </w:r>
          </w:p>
        </w:tc>
      </w:tr>
      <w:tr>
        <w:tc>
          <w:tcPr>
            <w:tcW w:w="2157" w:type="pct"/>
            <w:vAlign w:val="center"/>
          </w:tcPr>
          <w:p>
            <w:pPr>
              <w:jc w:val="center"/>
              <w:rPr>
                <w:szCs w:val="21"/>
              </w:rPr>
            </w:pPr>
            <w:r>
              <w:rPr>
                <w:rFonts w:hint="eastAsia"/>
                <w:szCs w:val="21"/>
              </w:rPr>
              <w:t>合计</w:t>
            </w:r>
          </w:p>
        </w:tc>
        <w:tc>
          <w:tcPr>
            <w:tcW w:w="1419" w:type="pct"/>
            <w:vAlign w:val="center"/>
          </w:tcPr>
          <w:p>
            <w:pPr>
              <w:jc w:val="right"/>
              <w:rPr>
                <w:szCs w:val="21"/>
              </w:rPr>
            </w:pPr>
            <w:r>
              <w:rPr>
                <w:szCs w:val="21"/>
              </w:rPr>
              <w:t>2,625,582</w:t>
            </w:r>
          </w:p>
        </w:tc>
        <w:tc>
          <w:tcPr>
            <w:tcW w:w="1424" w:type="pct"/>
            <w:vAlign w:val="center"/>
          </w:tcPr>
          <w:p>
            <w:pPr>
              <w:jc w:val="right"/>
              <w:rPr>
                <w:szCs w:val="21"/>
              </w:rPr>
            </w:pPr>
            <w:r>
              <w:rPr>
                <w:szCs w:val="21"/>
              </w:rPr>
              <w:t>2,258,873</w:t>
            </w:r>
          </w:p>
        </w:tc>
      </w:tr>
    </w:tbl>
    <w:bookmarkEnd w:id="478"/>
    <w:p>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2073310576"/>
        <w:placeholder>
          <w:docPart w:val="GBC22222222222222222222222222222"/>
        </w:placeholder>
      </w:sdtPr>
      <w:sdtContent>
        <w:p>
          <w:pPr>
            <w:autoSpaceDE w:val="0"/>
            <w:autoSpaceDN w:val="0"/>
            <w:adjustRightInd w:val="0"/>
            <w:rPr>
              <w:szCs w:val="21"/>
            </w:rPr>
          </w:pPr>
          <w:r>
            <w:rPr>
              <w:szCs w:val="21"/>
            </w:rPr>
            <w:t>-</w:t>
          </w:r>
        </w:p>
      </w:sdtContent>
    </w:sdt>
    <w:p>
      <w:pPr>
        <w:autoSpaceDE w:val="0"/>
        <w:autoSpaceDN w:val="0"/>
        <w:adjustRightInd w:val="0"/>
        <w:rPr>
          <w:szCs w:val="21"/>
        </w:rPr>
      </w:pPr>
    </w:p>
    <w:bookmarkEnd w:id="477"/>
    <w:p>
      <w:pPr>
        <w:pStyle w:val="affffffffffffffffff6"/>
        <w:numPr>
          <w:ilvl w:val="0"/>
          <w:numId w:val="103"/>
        </w:numPr>
        <w:tabs>
          <w:tab w:val="left" w:pos="504"/>
        </w:tabs>
        <w:rPr>
          <w:szCs w:val="21"/>
        </w:rPr>
      </w:pPr>
      <w:r>
        <w:rPr>
          <w:rFonts w:hint="eastAsia"/>
          <w:szCs w:val="21"/>
        </w:rPr>
        <w:t>净敞口套期收益</w:t>
      </w:r>
    </w:p>
    <w:sdt>
      <w:sdtPr>
        <w:alias w:val="是否适用：净敞口套期收益[双击切换]"/>
        <w:tag w:val="_GBC_0b9c0635e78547e1b23b27daf08672cd"/>
        <w:id w:val="128122371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left="420" w:firstLineChars="0" w:firstLine="0"/>
        <w:jc w:val="right"/>
      </w:pPr>
      <w:r>
        <w:rPr>
          <w:rFonts w:hint="eastAsia"/>
        </w:rPr>
        <w:t>单位：</w:t>
      </w:r>
      <w:sdt>
        <w:sdtPr>
          <w:rPr>
            <w:rFonts w:hint="eastAsia"/>
          </w:rPr>
          <w:alias w:val="单位：净敞口套期收益"/>
          <w:tag w:val="_GBC_b9a51042dd8f46db802c344cee8d2fac"/>
          <w:id w:val="880753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w:t>
      </w:r>
      <w:r>
        <w:rPr>
          <w:rFonts w:hint="eastAsia"/>
        </w:rPr>
        <w:t>币种：</w:t>
      </w:r>
      <w:sdt>
        <w:sdtPr>
          <w:rPr>
            <w:rFonts w:hint="eastAsia"/>
          </w:rPr>
          <w:alias w:val="币种：净敞口套期收益"/>
          <w:tag w:val="_GBC_053083c57ca64d679668aaa18021e1f4"/>
          <w:id w:val="10048716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sdt>
          <w:sdtPr>
            <w:tag w:val="_PLD_4659ce6ef00043cdb5aed57c64e4d3fc"/>
            <w:id w:val="-1999334464"/>
          </w:sdtPr>
          <w:sdtContent>
            <w:tc>
              <w:tcPr>
                <w:tcW w:w="2017" w:type="pct"/>
                <w:shd w:val="clear" w:color="auto" w:fill="auto"/>
                <w:vAlign w:val="center"/>
              </w:tcPr>
              <w:p>
                <w:pPr>
                  <w:jc w:val="center"/>
                  <w:rPr>
                    <w:szCs w:val="21"/>
                  </w:rPr>
                </w:pPr>
                <w:r>
                  <w:rPr>
                    <w:rFonts w:hint="eastAsia"/>
                    <w:szCs w:val="21"/>
                  </w:rPr>
                  <w:t>项目</w:t>
                </w:r>
              </w:p>
            </w:tc>
          </w:sdtContent>
        </w:sdt>
        <w:sdt>
          <w:sdtPr>
            <w:tag w:val="_PLD_fb6e213a052848e3b3f01007a9d21c89"/>
            <w:id w:val="-1828200454"/>
          </w:sdtPr>
          <w:sdtContent>
            <w:tc>
              <w:tcPr>
                <w:tcW w:w="1485" w:type="pct"/>
                <w:shd w:val="clear" w:color="auto" w:fill="auto"/>
                <w:vAlign w:val="center"/>
              </w:tcPr>
              <w:p>
                <w:pPr>
                  <w:jc w:val="center"/>
                  <w:rPr>
                    <w:szCs w:val="21"/>
                  </w:rPr>
                </w:pPr>
                <w:r>
                  <w:rPr>
                    <w:rFonts w:hint="eastAsia"/>
                    <w:szCs w:val="21"/>
                  </w:rPr>
                  <w:t>本期发生额</w:t>
                </w:r>
              </w:p>
            </w:tc>
          </w:sdtContent>
        </w:sdt>
        <w:sdt>
          <w:sdtPr>
            <w:tag w:val="_PLD_2aa9339a872f4a1a94e17383d6eed31c"/>
            <w:id w:val="-486941595"/>
          </w:sdtPr>
          <w:sdtContent>
            <w:tc>
              <w:tcPr>
                <w:tcW w:w="1498" w:type="pct"/>
                <w:shd w:val="clear" w:color="auto" w:fill="auto"/>
                <w:vAlign w:val="center"/>
              </w:tcPr>
              <w:p>
                <w:pPr>
                  <w:jc w:val="center"/>
                  <w:rPr>
                    <w:szCs w:val="21"/>
                  </w:rPr>
                </w:pPr>
                <w:r>
                  <w:rPr>
                    <w:rFonts w:hint="eastAsia"/>
                    <w:szCs w:val="21"/>
                  </w:rPr>
                  <w:t>上期发生额</w:t>
                </w:r>
              </w:p>
            </w:tc>
          </w:sdtContent>
        </w:sdt>
      </w:tr>
      <w:tr>
        <w:tc>
          <w:tcPr>
            <w:tcW w:w="2017" w:type="pct"/>
            <w:shd w:val="clear" w:color="auto" w:fill="auto"/>
            <w:vAlign w:val="center"/>
          </w:tcPr>
          <w:p>
            <w:pPr>
              <w:rPr>
                <w:szCs w:val="21"/>
              </w:rPr>
            </w:pPr>
            <w:r>
              <w:t>套期保值</w:t>
            </w:r>
          </w:p>
        </w:tc>
        <w:tc>
          <w:tcPr>
            <w:tcW w:w="1485" w:type="pct"/>
            <w:shd w:val="clear" w:color="auto" w:fill="auto"/>
          </w:tcPr>
          <w:p>
            <w:pPr>
              <w:jc w:val="right"/>
              <w:rPr>
                <w:szCs w:val="21"/>
              </w:rPr>
            </w:pPr>
            <w:r>
              <w:t>-586,825</w:t>
            </w:r>
          </w:p>
        </w:tc>
        <w:tc>
          <w:tcPr>
            <w:tcW w:w="1498" w:type="pct"/>
            <w:shd w:val="clear" w:color="auto" w:fill="auto"/>
          </w:tcPr>
          <w:p>
            <w:pPr>
              <w:jc w:val="right"/>
              <w:rPr>
                <w:szCs w:val="21"/>
              </w:rPr>
            </w:pPr>
            <w:r>
              <w:t>28,412</w:t>
            </w:r>
          </w:p>
        </w:tc>
      </w:tr>
      <w:tr>
        <w:tc>
          <w:tcPr>
            <w:tcW w:w="2017" w:type="pct"/>
            <w:shd w:val="clear" w:color="auto" w:fill="auto"/>
            <w:vAlign w:val="center"/>
          </w:tcPr>
          <w:p>
            <w:pPr>
              <w:jc w:val="center"/>
              <w:rPr>
                <w:szCs w:val="21"/>
              </w:rPr>
            </w:pPr>
            <w:r>
              <w:rPr>
                <w:rFonts w:hint="eastAsia"/>
                <w:szCs w:val="21"/>
              </w:rPr>
              <w:t>合计</w:t>
            </w:r>
          </w:p>
        </w:tc>
        <w:tc>
          <w:tcPr>
            <w:tcW w:w="1485" w:type="pct"/>
            <w:shd w:val="clear" w:color="auto" w:fill="auto"/>
            <w:vAlign w:val="center"/>
          </w:tcPr>
          <w:p>
            <w:pPr>
              <w:jc w:val="right"/>
            </w:pPr>
            <w:r>
              <w:t>-586,825</w:t>
            </w:r>
          </w:p>
        </w:tc>
        <w:tc>
          <w:tcPr>
            <w:tcW w:w="1498" w:type="pct"/>
            <w:shd w:val="clear" w:color="auto" w:fill="auto"/>
            <w:vAlign w:val="center"/>
          </w:tcPr>
          <w:p>
            <w:pPr>
              <w:jc w:val="right"/>
            </w:pPr>
            <w:r>
              <w:t>28,412</w:t>
            </w:r>
          </w:p>
        </w:tc>
      </w:tr>
    </w:tbl>
    <w:p>
      <w:pPr>
        <w:pStyle w:val="affffffffffffffffffffffffffffffffe"/>
      </w:pPr>
    </w:p>
    <w:p>
      <w:pPr>
        <w:pStyle w:val="affffffffffffffffffffffffffffffffe"/>
      </w:pPr>
      <w:r>
        <w:rPr>
          <w:rFonts w:hint="eastAsia"/>
        </w:rPr>
        <w:t>其他</w:t>
      </w:r>
      <w:r>
        <w:t>说明</w:t>
      </w:r>
      <w:r>
        <w:rPr>
          <w:rFonts w:hint="eastAsia"/>
        </w:rPr>
        <w:t>：</w:t>
      </w:r>
    </w:p>
    <w:sdt>
      <w:sdtPr>
        <w:rPr>
          <w:szCs w:val="21"/>
        </w:rPr>
        <w:alias w:val="净敞口套期收益其他说明"/>
        <w:tag w:val="_GBC_3c97a91bf2c74a75b188550ae0fb3d78"/>
        <w:id w:val="1959071857"/>
        <w:placeholder>
          <w:docPart w:val="GBC22222222222222222222222222222"/>
        </w:placeholder>
      </w:sdtPr>
      <w:sdtContent>
        <w:p>
          <w:pPr>
            <w:autoSpaceDE w:val="0"/>
            <w:autoSpaceDN w:val="0"/>
            <w:adjustRightInd w:val="0"/>
            <w:rPr>
              <w:szCs w:val="21"/>
            </w:rPr>
          </w:pPr>
          <w:r>
            <w:rPr>
              <w:szCs w:val="21"/>
            </w:rPr>
            <w:t>-</w:t>
          </w:r>
        </w:p>
      </w:sdtContent>
    </w:sdt>
    <w:p>
      <w:pPr>
        <w:autoSpaceDE w:val="0"/>
        <w:autoSpaceDN w:val="0"/>
        <w:adjustRightInd w:val="0"/>
        <w:rPr>
          <w:szCs w:val="21"/>
        </w:rPr>
      </w:pPr>
    </w:p>
    <w:p>
      <w:pPr>
        <w:pStyle w:val="affffffffffffffffff6"/>
        <w:numPr>
          <w:ilvl w:val="0"/>
          <w:numId w:val="103"/>
        </w:numPr>
        <w:tabs>
          <w:tab w:val="left" w:pos="504"/>
        </w:tabs>
        <w:rPr>
          <w:rFonts w:ascii="宋体" w:hAnsi="宋体"/>
          <w:szCs w:val="21"/>
        </w:rPr>
      </w:pPr>
      <w:bookmarkStart w:id="479" w:name="_Hlk534895224"/>
      <w:r>
        <w:rPr>
          <w:rFonts w:ascii="宋体" w:hAnsi="宋体" w:hint="eastAsia"/>
          <w:szCs w:val="21"/>
        </w:rPr>
        <w:t>公允</w:t>
      </w:r>
      <w:r>
        <w:rPr>
          <w:rFonts w:hint="eastAsia"/>
          <w:szCs w:val="21"/>
        </w:rPr>
        <w:t>价值</w:t>
      </w:r>
      <w:r>
        <w:rPr>
          <w:rFonts w:ascii="宋体" w:hAnsi="宋体" w:hint="eastAsia"/>
          <w:szCs w:val="21"/>
        </w:rPr>
        <w:t>变动收益</w:t>
      </w:r>
    </w:p>
    <w:sdt>
      <w:sdtPr>
        <w:alias w:val="是否适用：公允价值变动收益[双击切换]"/>
        <w:tag w:val="_GBC_703e46a239ba45afa37afdd4dcae0cb4"/>
        <w:id w:val="4804973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公允价值变动收益"/>
          <w:tag w:val="_GBC_c4e1118ffbdf4d6f90815a9b487cc79b"/>
          <w:id w:val="-20112067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公允价值变动收益"/>
          <w:tag w:val="_GBC_704565e01a4148fe85dcf135bb9be9b6"/>
          <w:id w:val="8893014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3"/>
        <w:gridCol w:w="2755"/>
        <w:gridCol w:w="2755"/>
      </w:tblGrid>
      <w:tr>
        <w:sdt>
          <w:sdtPr>
            <w:tag w:val="_PLD_6e9a92135b46440eb6d0daa39f0ec40f"/>
            <w:id w:val="-1692447327"/>
          </w:sdtPr>
          <w:sdtContent>
            <w:tc>
              <w:tcPr>
                <w:tcW w:w="1877"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2000149368"/>
          </w:sdtPr>
          <w:sdtContent>
            <w:tc>
              <w:tcPr>
                <w:tcW w:w="1561"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本期发生额</w:t>
                </w:r>
              </w:p>
            </w:tc>
          </w:sdtContent>
        </w:sdt>
        <w:sdt>
          <w:sdtPr>
            <w:tag w:val="_PLD_1ebddc94af9345a99e7800415f9811c7"/>
            <w:id w:val="-430041715"/>
          </w:sdtPr>
          <w:sdtContent>
            <w:tc>
              <w:tcPr>
                <w:tcW w:w="1561"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上期发生额</w:t>
                </w:r>
              </w:p>
            </w:tc>
          </w:sdtContent>
        </w:sdt>
      </w:tr>
      <w:tr>
        <w:tc>
          <w:tcPr>
            <w:tcW w:w="187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交易性金融资产</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-21,916</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9,923</w:t>
            </w:r>
          </w:p>
        </w:tc>
      </w:tr>
      <w:tr>
        <w:tc>
          <w:tcPr>
            <w:tcW w:w="187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投资性房地产</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-7,788</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18,454</w:t>
            </w:r>
          </w:p>
        </w:tc>
      </w:tr>
      <w:tr>
        <w:tc>
          <w:tcPr>
            <w:tcW w:w="187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交易性金融负债</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100,480</w:t>
            </w:r>
          </w:p>
        </w:tc>
      </w:tr>
      <w:tr>
        <w:tc>
          <w:tcPr>
            <w:tcW w:w="187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其他非流动金融资产</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-27,388</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-38,954</w:t>
            </w:r>
          </w:p>
        </w:tc>
      </w:tr>
      <w:tr>
        <w:tc>
          <w:tcPr>
            <w:tcW w:w="1877"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156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-57,092</w:t>
            </w:r>
          </w:p>
        </w:tc>
        <w:tc>
          <w:tcPr>
            <w:tcW w:w="1561"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szCs w:val="21"/>
              </w:rPr>
            </w:pPr>
            <w:r>
              <w:rPr>
                <w:szCs w:val="21"/>
              </w:rPr>
              <w:t>89,903</w:t>
            </w:r>
          </w:p>
        </w:tc>
      </w:tr>
    </w:tbl>
    <w:p>
      <w:pPr>
        <w:spacing w:before="60" w:after="60"/>
        <w:rPr>
          <w:szCs w:val="21"/>
        </w:rPr>
      </w:pPr>
      <w:r>
        <w:rPr>
          <w:rFonts w:hint="eastAsia"/>
          <w:szCs w:val="21"/>
        </w:rPr>
        <w:lastRenderedPageBreak/>
        <w:t>其他说明：</w:t>
      </w:r>
    </w:p>
    <w:sdt>
      <w:sdtPr>
        <w:rPr>
          <w:rFonts w:hint="eastAsia"/>
          <w:szCs w:val="21"/>
        </w:rPr>
        <w:alias w:val="公允价值变动收益的说明"/>
        <w:tag w:val="_GBC_2de79fa0260c440dae18401771bdd5db"/>
        <w:id w:val="391782605"/>
        <w:placeholder>
          <w:docPart w:val="GBC22222222222222222222222222222"/>
        </w:placeholder>
      </w:sdtPr>
      <w:sdtContent>
        <w:p>
          <w:pPr>
            <w:rPr>
              <w:szCs w:val="21"/>
            </w:rPr>
          </w:pPr>
          <w:r>
            <w:rPr>
              <w:szCs w:val="21"/>
            </w:rPr>
            <w:t>-</w:t>
          </w:r>
        </w:p>
      </w:sdtContent>
    </w:sdt>
    <w:p>
      <w:pPr>
        <w:rPr>
          <w:rFonts w:cstheme="minorBidi"/>
          <w:kern w:val="2"/>
          <w:szCs w:val="21"/>
        </w:rPr>
      </w:pPr>
    </w:p>
    <w:bookmarkEnd w:id="479"/>
    <w:p>
      <w:pPr>
        <w:pStyle w:val="affffffffffffffffff6"/>
        <w:numPr>
          <w:ilvl w:val="0"/>
          <w:numId w:val="103"/>
        </w:numPr>
        <w:tabs>
          <w:tab w:val="left" w:pos="504"/>
        </w:tabs>
      </w:pPr>
      <w:r>
        <w:rPr>
          <w:rFonts w:hint="eastAsia"/>
        </w:rPr>
        <w:t>信用减值</w:t>
      </w:r>
      <w:r>
        <w:rPr>
          <w:rFonts w:hint="eastAsia"/>
          <w:szCs w:val="21"/>
        </w:rPr>
        <w:t>损失</w:t>
      </w:r>
    </w:p>
    <w:sdt>
      <w:sdtPr>
        <w:alias w:val="是否适用：信用减值损失[双击切换]"/>
        <w:tag w:val="_GBC_3e1c9d9dad6c4530991d2befd4b098e3"/>
        <w:id w:val="-139465291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left="420" w:firstLineChars="0" w:firstLine="0"/>
        <w:jc w:val="right"/>
      </w:pPr>
      <w:r>
        <w:rPr>
          <w:rFonts w:hint="eastAsia"/>
        </w:rPr>
        <w:t>单位：</w:t>
      </w:r>
      <w:sdt>
        <w:sdtPr>
          <w:rPr>
            <w:rFonts w:hint="eastAsia"/>
          </w:rPr>
          <w:alias w:val="单位：信用减值损失"/>
          <w:tag w:val="_GBC_64c0f12c02d44b548838a6936d90e525"/>
          <w:id w:val="-14241828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w:t>
      </w:r>
      <w:r>
        <w:rPr>
          <w:rFonts w:hint="eastAsia"/>
        </w:rPr>
        <w:t>币种：</w:t>
      </w:r>
      <w:sdt>
        <w:sdtPr>
          <w:rPr>
            <w:rFonts w:hint="eastAsia"/>
          </w:rPr>
          <w:alias w:val="币种：信用减值损失"/>
          <w:tag w:val="_GBC_4d6a964234bf4666a052d68fb8b9d060"/>
          <w:id w:val="9655383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0"/>
        <w:gridCol w:w="2620"/>
        <w:gridCol w:w="2643"/>
      </w:tblGrid>
      <w:tr>
        <w:sdt>
          <w:sdtPr>
            <w:tag w:val="_PLD_32efbc222fba4f8b87e71fbd7550f57d"/>
            <w:id w:val="-1978517599"/>
          </w:sdtPr>
          <w:sdtContent>
            <w:tc>
              <w:tcPr>
                <w:tcW w:w="2017" w:type="pct"/>
                <w:shd w:val="clear" w:color="auto" w:fill="auto"/>
                <w:vAlign w:val="center"/>
              </w:tcPr>
              <w:p>
                <w:pPr>
                  <w:jc w:val="center"/>
                  <w:rPr>
                    <w:szCs w:val="21"/>
                  </w:rPr>
                </w:pPr>
                <w:r>
                  <w:rPr>
                    <w:rFonts w:hint="eastAsia"/>
                    <w:szCs w:val="21"/>
                  </w:rPr>
                  <w:t>项目</w:t>
                </w:r>
              </w:p>
            </w:tc>
          </w:sdtContent>
        </w:sdt>
        <w:sdt>
          <w:sdtPr>
            <w:tag w:val="_PLD_57fc93ac35684eca9207e23d2b2d6664"/>
            <w:id w:val="1737126830"/>
          </w:sdtPr>
          <w:sdtContent>
            <w:tc>
              <w:tcPr>
                <w:tcW w:w="1485" w:type="pct"/>
                <w:shd w:val="clear" w:color="auto" w:fill="auto"/>
                <w:vAlign w:val="center"/>
              </w:tcPr>
              <w:p>
                <w:pPr>
                  <w:jc w:val="center"/>
                  <w:rPr>
                    <w:szCs w:val="21"/>
                  </w:rPr>
                </w:pPr>
                <w:r>
                  <w:rPr>
                    <w:rFonts w:hint="eastAsia"/>
                    <w:szCs w:val="21"/>
                  </w:rPr>
                  <w:t>本期发生额</w:t>
                </w:r>
              </w:p>
            </w:tc>
          </w:sdtContent>
        </w:sdt>
        <w:sdt>
          <w:sdtPr>
            <w:tag w:val="_PLD_ddb6bc4a58314fb2abbbb04ed4af2419"/>
            <w:id w:val="575095428"/>
          </w:sdtPr>
          <w:sdtContent>
            <w:tc>
              <w:tcPr>
                <w:tcW w:w="1498" w:type="pct"/>
                <w:shd w:val="clear" w:color="auto" w:fill="auto"/>
                <w:vAlign w:val="center"/>
              </w:tcPr>
              <w:p>
                <w:pPr>
                  <w:jc w:val="center"/>
                  <w:rPr>
                    <w:szCs w:val="21"/>
                  </w:rPr>
                </w:pPr>
                <w:r>
                  <w:rPr>
                    <w:rFonts w:hint="eastAsia"/>
                    <w:szCs w:val="21"/>
                  </w:rPr>
                  <w:t>上期发生额</w:t>
                </w:r>
              </w:p>
            </w:tc>
          </w:sdtContent>
        </w:sdt>
      </w:tr>
      <w:tr>
        <w:tc>
          <w:tcPr>
            <w:tcW w:w="2017" w:type="pct"/>
            <w:shd w:val="clear" w:color="auto" w:fill="auto"/>
            <w:vAlign w:val="center"/>
          </w:tcPr>
          <w:p>
            <w:pPr>
              <w:spacing w:line="360" w:lineRule="exact"/>
              <w:rPr>
                <w:color w:val="000000"/>
                <w:sz w:val="18"/>
                <w:szCs w:val="18"/>
              </w:rPr>
            </w:pPr>
            <w:r>
              <w:rPr>
                <w:rFonts w:hint="eastAsia"/>
                <w:color w:val="000000"/>
                <w:sz w:val="18"/>
                <w:szCs w:val="18"/>
              </w:rPr>
              <w:t>其他应收款坏账损失</w:t>
            </w:r>
          </w:p>
        </w:tc>
        <w:tc>
          <w:tcPr>
            <w:tcW w:w="1485" w:type="pct"/>
            <w:shd w:val="clear" w:color="auto" w:fill="auto"/>
            <w:vAlign w:val="center"/>
          </w:tcPr>
          <w:p>
            <w:pPr>
              <w:spacing w:line="360" w:lineRule="exact"/>
              <w:jc w:val="right"/>
              <w:rPr>
                <w:color w:val="000000"/>
                <w:szCs w:val="21"/>
              </w:rPr>
            </w:pPr>
            <w:r>
              <w:rPr>
                <w:color w:val="000000"/>
                <w:szCs w:val="21"/>
              </w:rPr>
              <w:t>106,560</w:t>
            </w:r>
          </w:p>
        </w:tc>
        <w:tc>
          <w:tcPr>
            <w:tcW w:w="1498" w:type="pct"/>
            <w:shd w:val="clear" w:color="auto" w:fill="auto"/>
            <w:vAlign w:val="center"/>
          </w:tcPr>
          <w:p>
            <w:pPr>
              <w:spacing w:line="360" w:lineRule="exact"/>
              <w:jc w:val="right"/>
              <w:rPr>
                <w:color w:val="000000"/>
                <w:szCs w:val="21"/>
              </w:rPr>
            </w:pPr>
            <w:r>
              <w:rPr>
                <w:color w:val="000000"/>
                <w:szCs w:val="21"/>
              </w:rPr>
              <w:t>141,012</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一年内到期的非流动资产减值损失</w:t>
            </w:r>
          </w:p>
        </w:tc>
        <w:tc>
          <w:tcPr>
            <w:tcW w:w="1485" w:type="pct"/>
            <w:shd w:val="clear" w:color="auto" w:fill="auto"/>
            <w:vAlign w:val="center"/>
          </w:tcPr>
          <w:p>
            <w:pPr>
              <w:spacing w:line="360" w:lineRule="exact"/>
              <w:jc w:val="right"/>
              <w:rPr>
                <w:color w:val="000000"/>
                <w:szCs w:val="21"/>
              </w:rPr>
            </w:pPr>
          </w:p>
        </w:tc>
        <w:tc>
          <w:tcPr>
            <w:tcW w:w="1498" w:type="pct"/>
            <w:shd w:val="clear" w:color="auto" w:fill="auto"/>
            <w:vAlign w:val="center"/>
          </w:tcPr>
          <w:p>
            <w:pPr>
              <w:spacing w:line="360" w:lineRule="exact"/>
              <w:jc w:val="right"/>
              <w:rPr>
                <w:color w:val="000000"/>
                <w:szCs w:val="21"/>
              </w:rPr>
            </w:pPr>
            <w:r>
              <w:rPr>
                <w:color w:val="000000"/>
                <w:szCs w:val="21"/>
              </w:rPr>
              <w:t>85,515</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应收账款坏账损失</w:t>
            </w:r>
          </w:p>
        </w:tc>
        <w:tc>
          <w:tcPr>
            <w:tcW w:w="1485" w:type="pct"/>
            <w:shd w:val="clear" w:color="auto" w:fill="auto"/>
            <w:vAlign w:val="center"/>
          </w:tcPr>
          <w:p>
            <w:pPr>
              <w:spacing w:line="360" w:lineRule="exact"/>
              <w:jc w:val="right"/>
              <w:rPr>
                <w:color w:val="000000"/>
                <w:szCs w:val="21"/>
              </w:rPr>
            </w:pPr>
            <w:r>
              <w:rPr>
                <w:color w:val="000000"/>
                <w:szCs w:val="21"/>
              </w:rPr>
              <w:t>-414,416</w:t>
            </w:r>
          </w:p>
        </w:tc>
        <w:tc>
          <w:tcPr>
            <w:tcW w:w="1498" w:type="pct"/>
            <w:shd w:val="clear" w:color="auto" w:fill="auto"/>
            <w:vAlign w:val="center"/>
          </w:tcPr>
          <w:p>
            <w:pPr>
              <w:spacing w:line="360" w:lineRule="exact"/>
              <w:jc w:val="right"/>
              <w:rPr>
                <w:color w:val="000000"/>
                <w:szCs w:val="21"/>
              </w:rPr>
            </w:pPr>
            <w:r>
              <w:rPr>
                <w:color w:val="000000"/>
                <w:szCs w:val="21"/>
              </w:rPr>
              <w:t>58,440</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应收票据和应收款项融资坏账损失</w:t>
            </w:r>
          </w:p>
        </w:tc>
        <w:tc>
          <w:tcPr>
            <w:tcW w:w="1485" w:type="pct"/>
            <w:shd w:val="clear" w:color="auto" w:fill="auto"/>
            <w:vAlign w:val="center"/>
          </w:tcPr>
          <w:p>
            <w:pPr>
              <w:spacing w:line="360" w:lineRule="exact"/>
              <w:jc w:val="right"/>
              <w:rPr>
                <w:color w:val="000000"/>
                <w:szCs w:val="21"/>
              </w:rPr>
            </w:pPr>
            <w:r>
              <w:rPr>
                <w:color w:val="000000"/>
                <w:szCs w:val="21"/>
              </w:rPr>
              <w:t>304</w:t>
            </w:r>
          </w:p>
        </w:tc>
        <w:tc>
          <w:tcPr>
            <w:tcW w:w="1498" w:type="pct"/>
            <w:shd w:val="clear" w:color="auto" w:fill="auto"/>
            <w:vAlign w:val="center"/>
          </w:tcPr>
          <w:p>
            <w:pPr>
              <w:spacing w:line="360" w:lineRule="exact"/>
              <w:jc w:val="right"/>
              <w:rPr>
                <w:color w:val="000000"/>
                <w:szCs w:val="21"/>
              </w:rPr>
            </w:pPr>
            <w:r>
              <w:rPr>
                <w:color w:val="000000"/>
                <w:szCs w:val="21"/>
              </w:rPr>
              <w:t>527</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长期应收款坏账损失</w:t>
            </w:r>
          </w:p>
        </w:tc>
        <w:tc>
          <w:tcPr>
            <w:tcW w:w="1485" w:type="pct"/>
            <w:shd w:val="clear" w:color="auto" w:fill="auto"/>
            <w:vAlign w:val="center"/>
          </w:tcPr>
          <w:p>
            <w:pPr>
              <w:spacing w:line="360" w:lineRule="exact"/>
              <w:jc w:val="right"/>
              <w:rPr>
                <w:color w:val="000000"/>
                <w:szCs w:val="21"/>
              </w:rPr>
            </w:pPr>
            <w:r>
              <w:rPr>
                <w:color w:val="000000"/>
                <w:szCs w:val="21"/>
              </w:rPr>
              <w:t>-132,137</w:t>
            </w:r>
          </w:p>
        </w:tc>
        <w:tc>
          <w:tcPr>
            <w:tcW w:w="1498" w:type="pct"/>
            <w:shd w:val="clear" w:color="auto" w:fill="auto"/>
            <w:vAlign w:val="center"/>
          </w:tcPr>
          <w:p>
            <w:pPr>
              <w:spacing w:line="360" w:lineRule="exact"/>
              <w:jc w:val="right"/>
              <w:rPr>
                <w:color w:val="000000"/>
                <w:szCs w:val="21"/>
              </w:rPr>
            </w:pPr>
            <w:r>
              <w:rPr>
                <w:color w:val="000000"/>
                <w:szCs w:val="21"/>
              </w:rPr>
              <w:t>-12,488</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其他非流动资产减值损失</w:t>
            </w:r>
          </w:p>
        </w:tc>
        <w:tc>
          <w:tcPr>
            <w:tcW w:w="1485" w:type="pct"/>
            <w:shd w:val="clear" w:color="auto" w:fill="auto"/>
            <w:vAlign w:val="center"/>
          </w:tcPr>
          <w:p>
            <w:pPr>
              <w:spacing w:line="360" w:lineRule="exact"/>
              <w:jc w:val="right"/>
              <w:rPr>
                <w:color w:val="000000"/>
                <w:szCs w:val="21"/>
              </w:rPr>
            </w:pPr>
            <w:r>
              <w:rPr>
                <w:color w:val="000000"/>
                <w:szCs w:val="21"/>
              </w:rPr>
              <w:t>-56,796</w:t>
            </w:r>
          </w:p>
        </w:tc>
        <w:tc>
          <w:tcPr>
            <w:tcW w:w="1498" w:type="pct"/>
            <w:shd w:val="clear" w:color="auto" w:fill="auto"/>
            <w:vAlign w:val="center"/>
          </w:tcPr>
          <w:p>
            <w:pPr>
              <w:spacing w:line="360" w:lineRule="exact"/>
              <w:jc w:val="right"/>
              <w:rPr>
                <w:color w:val="000000"/>
                <w:szCs w:val="21"/>
              </w:rPr>
            </w:pPr>
            <w:r>
              <w:rPr>
                <w:color w:val="000000"/>
                <w:szCs w:val="21"/>
              </w:rPr>
              <w:t>-39,000</w:t>
            </w:r>
          </w:p>
        </w:tc>
      </w:tr>
      <w:tr>
        <w:tc>
          <w:tcPr>
            <w:tcW w:w="2017" w:type="pct"/>
            <w:shd w:val="clear" w:color="auto" w:fill="auto"/>
            <w:vAlign w:val="center"/>
          </w:tcPr>
          <w:p>
            <w:pPr>
              <w:spacing w:line="360" w:lineRule="exact"/>
              <w:rPr>
                <w:color w:val="000000"/>
                <w:sz w:val="18"/>
                <w:szCs w:val="18"/>
              </w:rPr>
            </w:pPr>
            <w:r>
              <w:rPr>
                <w:rFonts w:hint="eastAsia"/>
                <w:color w:val="000000"/>
                <w:sz w:val="18"/>
                <w:szCs w:val="18"/>
              </w:rPr>
              <w:t>其他流动资产减值损失</w:t>
            </w:r>
          </w:p>
        </w:tc>
        <w:tc>
          <w:tcPr>
            <w:tcW w:w="1485" w:type="pct"/>
            <w:shd w:val="clear" w:color="auto" w:fill="auto"/>
            <w:vAlign w:val="center"/>
          </w:tcPr>
          <w:p>
            <w:pPr>
              <w:spacing w:line="360" w:lineRule="exact"/>
              <w:jc w:val="right"/>
              <w:rPr>
                <w:color w:val="000000"/>
                <w:szCs w:val="21"/>
              </w:rPr>
            </w:pPr>
            <w:r>
              <w:rPr>
                <w:color w:val="000000"/>
                <w:szCs w:val="21"/>
              </w:rPr>
              <w:t>-93,364</w:t>
            </w:r>
          </w:p>
        </w:tc>
        <w:tc>
          <w:tcPr>
            <w:tcW w:w="1498" w:type="pct"/>
            <w:shd w:val="clear" w:color="auto" w:fill="auto"/>
            <w:vAlign w:val="center"/>
          </w:tcPr>
          <w:p>
            <w:pPr>
              <w:spacing w:line="360" w:lineRule="exact"/>
              <w:jc w:val="right"/>
              <w:rPr>
                <w:color w:val="000000"/>
                <w:szCs w:val="21"/>
              </w:rPr>
            </w:pPr>
            <w:r>
              <w:rPr>
                <w:color w:val="000000"/>
                <w:szCs w:val="21"/>
              </w:rPr>
              <w:t>-106,995</w:t>
            </w:r>
          </w:p>
        </w:tc>
      </w:tr>
      <w:tr>
        <w:tc>
          <w:tcPr>
            <w:tcW w:w="2017" w:type="pct"/>
            <w:shd w:val="clear" w:color="auto" w:fill="auto"/>
            <w:vAlign w:val="center"/>
          </w:tcPr>
          <w:p>
            <w:pPr>
              <w:rPr>
                <w:szCs w:val="21"/>
              </w:rPr>
            </w:pPr>
            <w:r>
              <w:t>其他</w:t>
            </w:r>
          </w:p>
        </w:tc>
        <w:tc>
          <w:tcPr>
            <w:tcW w:w="1485" w:type="pct"/>
            <w:shd w:val="clear" w:color="auto" w:fill="auto"/>
          </w:tcPr>
          <w:p>
            <w:pPr>
              <w:jc w:val="right"/>
              <w:rPr>
                <w:szCs w:val="21"/>
              </w:rPr>
            </w:pPr>
          </w:p>
        </w:tc>
        <w:tc>
          <w:tcPr>
            <w:tcW w:w="1498" w:type="pct"/>
            <w:shd w:val="clear" w:color="auto" w:fill="auto"/>
          </w:tcPr>
          <w:p>
            <w:pPr>
              <w:jc w:val="right"/>
              <w:rPr>
                <w:szCs w:val="21"/>
              </w:rPr>
            </w:pPr>
            <w:r>
              <w:rPr>
                <w:szCs w:val="21"/>
              </w:rPr>
              <w:t>-5,848</w:t>
            </w:r>
          </w:p>
        </w:tc>
      </w:tr>
      <w:tr>
        <w:tc>
          <w:tcPr>
            <w:tcW w:w="2017" w:type="pct"/>
            <w:shd w:val="clear" w:color="auto" w:fill="auto"/>
            <w:vAlign w:val="center"/>
          </w:tcPr>
          <w:p>
            <w:pPr>
              <w:jc w:val="center"/>
              <w:rPr>
                <w:szCs w:val="21"/>
              </w:rPr>
            </w:pPr>
            <w:r>
              <w:rPr>
                <w:rFonts w:hint="eastAsia"/>
                <w:szCs w:val="21"/>
              </w:rPr>
              <w:t>合计</w:t>
            </w:r>
          </w:p>
        </w:tc>
        <w:tc>
          <w:tcPr>
            <w:tcW w:w="1485" w:type="pct"/>
            <w:shd w:val="clear" w:color="auto" w:fill="auto"/>
          </w:tcPr>
          <w:p>
            <w:pPr>
              <w:jc w:val="right"/>
              <w:rPr>
                <w:szCs w:val="21"/>
              </w:rPr>
            </w:pPr>
            <w:r>
              <w:rPr>
                <w:szCs w:val="21"/>
              </w:rPr>
              <w:t>-589,849</w:t>
            </w:r>
          </w:p>
        </w:tc>
        <w:tc>
          <w:tcPr>
            <w:tcW w:w="1498" w:type="pct"/>
            <w:shd w:val="clear" w:color="auto" w:fill="auto"/>
          </w:tcPr>
          <w:p>
            <w:pPr>
              <w:jc w:val="right"/>
              <w:rPr>
                <w:szCs w:val="21"/>
              </w:rPr>
            </w:pPr>
            <w:r>
              <w:rPr>
                <w:szCs w:val="21"/>
              </w:rPr>
              <w:t>121,163</w:t>
            </w:r>
          </w:p>
        </w:tc>
      </w:tr>
    </w:tbl>
    <w:p>
      <w:pPr>
        <w:pStyle w:val="affffffffffffffffffffffffffffffffe"/>
      </w:pPr>
    </w:p>
    <w:p>
      <w:pPr>
        <w:pStyle w:val="affffffffffffffffffffffffffffffffe"/>
      </w:pPr>
      <w:r>
        <w:rPr>
          <w:rFonts w:hint="eastAsia"/>
        </w:rPr>
        <w:t>其他</w:t>
      </w:r>
      <w:r>
        <w:t>说明</w:t>
      </w:r>
      <w:r>
        <w:rPr>
          <w:rFonts w:hint="eastAsia"/>
        </w:rPr>
        <w:t>：</w:t>
      </w:r>
    </w:p>
    <w:sdt>
      <w:sdtPr>
        <w:alias w:val="信用减值损失其他说明"/>
        <w:tag w:val="_GBC_c4f5a3728c354e07a647f36805e2176b"/>
        <w:id w:val="166225558"/>
        <w:placeholder>
          <w:docPart w:val="GBC22222222222222222222222222222"/>
        </w:placeholder>
      </w:sdtPr>
      <w:sdtContent>
        <w:p>
          <w:pPr>
            <w:pStyle w:val="affffffffffffffffffffffffffffffffe"/>
          </w:pPr>
          <w:r>
            <w:t>-</w:t>
          </w:r>
        </w:p>
      </w:sdtContent>
    </w:sdt>
    <w:p>
      <w:pPr>
        <w:pStyle w:val="affffffffffffffffffffffffffffffffe"/>
      </w:pPr>
    </w:p>
    <w:p>
      <w:pPr>
        <w:rPr>
          <w:rFonts w:cstheme="minorBidi"/>
          <w:kern w:val="2"/>
          <w:szCs w:val="21"/>
        </w:rPr>
      </w:pPr>
    </w:p>
    <w:p>
      <w:pPr>
        <w:pStyle w:val="affffffffffffffffff6"/>
        <w:numPr>
          <w:ilvl w:val="0"/>
          <w:numId w:val="103"/>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50960232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减值损失"/>
          <w:tag w:val="_GBC_fe85f36c54dd476ea970b9d8ae08135d"/>
          <w:id w:val="-7746292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资产减值损失"/>
          <w:tag w:val="_GBC_08596d3dbba143a8b694044119494ec6"/>
          <w:id w:val="184813228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4"/>
        <w:gridCol w:w="2509"/>
        <w:gridCol w:w="3000"/>
      </w:tblGrid>
      <w:tr>
        <w:sdt>
          <w:sdtPr>
            <w:tag w:val="_PLD_344de032f71b4e06985c561df3bcf55a"/>
            <w:id w:val="-1257514412"/>
          </w:sdtPr>
          <w:sdtContent>
            <w:tc>
              <w:tcPr>
                <w:tcW w:w="1878"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项目</w:t>
                </w:r>
              </w:p>
            </w:tc>
          </w:sdtContent>
        </w:sdt>
        <w:sdt>
          <w:sdtPr>
            <w:tag w:val="_PLD_9551307ec5c049a3aa84c3c7d3e61d92"/>
            <w:id w:val="915829817"/>
          </w:sdtPr>
          <w:sdtContent>
            <w:tc>
              <w:tcPr>
                <w:tcW w:w="1422"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本期发生额</w:t>
                </w:r>
              </w:p>
            </w:tc>
          </w:sdtContent>
        </w:sdt>
        <w:sdt>
          <w:sdtPr>
            <w:tag w:val="_PLD_46a2a62cd1b1406f877f135b9d7e38a6"/>
            <w:id w:val="169615048"/>
          </w:sdtPr>
          <w:sdtContent>
            <w:tc>
              <w:tcPr>
                <w:tcW w:w="170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上期发生额</w:t>
                </w:r>
              </w:p>
            </w:tc>
          </w:sdtContent>
        </w:sdt>
      </w:tr>
      <w:tr>
        <w:tc>
          <w:tcPr>
            <w:tcW w:w="187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存货跌价损失</w:t>
            </w:r>
          </w:p>
        </w:tc>
        <w:tc>
          <w:tcPr>
            <w:tcW w:w="142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-4,045</w:t>
            </w:r>
          </w:p>
        </w:tc>
        <w:tc>
          <w:tcPr>
            <w:tcW w:w="170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-35,092</w:t>
            </w:r>
          </w:p>
        </w:tc>
      </w:tr>
      <w:tr>
        <w:tc>
          <w:tcPr>
            <w:tcW w:w="187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固定资产减值损失</w:t>
            </w:r>
          </w:p>
        </w:tc>
        <w:tc>
          <w:tcPr>
            <w:tcW w:w="142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-2,187</w:t>
            </w:r>
          </w:p>
        </w:tc>
        <w:tc>
          <w:tcPr>
            <w:tcW w:w="170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c>
          <w:tcPr>
            <w:tcW w:w="1878"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合同资产减值损失</w:t>
            </w:r>
          </w:p>
        </w:tc>
        <w:tc>
          <w:tcPr>
            <w:tcW w:w="142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-4,476</w:t>
            </w:r>
          </w:p>
        </w:tc>
        <w:tc>
          <w:tcPr>
            <w:tcW w:w="170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-4,889</w:t>
            </w:r>
          </w:p>
        </w:tc>
      </w:tr>
      <w:tr>
        <w:tc>
          <w:tcPr>
            <w:tcW w:w="1878"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-10,708</w:t>
            </w:r>
          </w:p>
        </w:tc>
        <w:tc>
          <w:tcPr>
            <w:tcW w:w="170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-39,981</w:t>
            </w:r>
          </w:p>
        </w:tc>
      </w:tr>
    </w:tbl>
    <w:p>
      <w:pPr>
        <w:spacing w:before="60" w:after="60"/>
        <w:rPr>
          <w:szCs w:val="21"/>
        </w:rPr>
      </w:pPr>
      <w:r>
        <w:rPr>
          <w:rFonts w:hint="eastAsia"/>
          <w:szCs w:val="21"/>
        </w:rPr>
        <w:t>其他说明：</w:t>
      </w:r>
    </w:p>
    <w:sdt>
      <w:sdtPr>
        <w:alias w:val="资产减值损失的说明"/>
        <w:tag w:val="_GBC_1e9b73a63ce74456883b0a5fd2597461"/>
        <w:id w:val="685335398"/>
        <w:placeholder>
          <w:docPart w:val="GBC22222222222222222222222222222"/>
        </w:placeholder>
      </w:sdtPr>
      <w:sdtContent>
        <w:p>
          <w:pPr>
            <w:pStyle w:val="affffffffffffffffffffffffffffffffe"/>
          </w:pPr>
          <w:r>
            <w:t>-</w:t>
          </w:r>
        </w:p>
      </w:sdtContent>
    </w:sdt>
    <w:p>
      <w:pPr>
        <w:rPr>
          <w:rFonts w:asciiTheme="minorHAnsi" w:eastAsiaTheme="minorEastAsia" w:hAnsiTheme="minorHAnsi"/>
          <w:szCs w:val="22"/>
        </w:rPr>
      </w:pPr>
    </w:p>
    <w:p>
      <w:pPr>
        <w:rPr>
          <w:rFonts w:asciiTheme="minorHAnsi" w:eastAsiaTheme="minorEastAsia" w:hAnsiTheme="minorHAnsi"/>
          <w:szCs w:val="22"/>
        </w:rPr>
      </w:pPr>
    </w:p>
    <w:p>
      <w:pPr>
        <w:pStyle w:val="affffffffffffffffff6"/>
        <w:numPr>
          <w:ilvl w:val="0"/>
          <w:numId w:val="103"/>
        </w:numPr>
        <w:tabs>
          <w:tab w:val="left" w:pos="504"/>
        </w:tabs>
        <w:rPr>
          <w:szCs w:val="21"/>
        </w:rPr>
      </w:pPr>
      <w:r>
        <w:rPr>
          <w:rFonts w:hint="eastAsia"/>
          <w:szCs w:val="21"/>
        </w:rPr>
        <w:t>资产</w:t>
      </w:r>
      <w:r>
        <w:rPr>
          <w:rFonts w:ascii="宋体" w:hAnsi="宋体" w:hint="eastAsia"/>
          <w:szCs w:val="21"/>
        </w:rPr>
        <w:t>处置</w:t>
      </w:r>
      <w:r>
        <w:rPr>
          <w:rFonts w:hint="eastAsia"/>
          <w:szCs w:val="21"/>
        </w:rPr>
        <w:t>收益</w:t>
      </w:r>
    </w:p>
    <w:sdt>
      <w:sdtPr>
        <w:rPr>
          <w:bCs/>
        </w:rPr>
        <w:alias w:val="是否适用：资产处置收益[双击切换]"/>
        <w:tag w:val="_GBC_b76400e6a673420c9bc522936e82c207"/>
        <w:id w:val="-1526783448"/>
        <w:placeholder>
          <w:docPart w:val="GBC22222222222222222222222222222"/>
        </w:placeholder>
      </w:sdt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affffffffffffffffffffffffffffffffff4"/>
        <w:ind w:left="420" w:firstLineChars="0" w:firstLine="0"/>
        <w:jc w:val="right"/>
        <w:rPr>
          <w:bCs/>
        </w:rPr>
      </w:pPr>
      <w:r>
        <w:rPr>
          <w:bCs/>
        </w:rPr>
        <w:t>单位：</w:t>
      </w:r>
      <w:sdt>
        <w:sdtPr>
          <w:rPr>
            <w:bCs/>
          </w:rPr>
          <w:alias w:val="单位：资产处置收益明细"/>
          <w:tag w:val="_GBC_7ec9558ba3654efb8bffe62787e178bb"/>
          <w:id w:val="-12183500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千元</w:t>
          </w:r>
        </w:sdtContent>
      </w:sdt>
      <w:r>
        <w:rPr>
          <w:bCs/>
        </w:rPr>
        <w:t xml:space="preserve">  </w:t>
      </w:r>
      <w:r>
        <w:rPr>
          <w:bCs/>
        </w:rPr>
        <w:t>币种：</w:t>
      </w:r>
      <w:sdt>
        <w:sdtPr>
          <w:rPr>
            <w:bCs/>
          </w:rPr>
          <w:alias w:val="币种：资产处置收益明细"/>
          <w:tag w:val="_GBC_6a67bd424d2842be9fe48ecebd5d6f35"/>
          <w:id w:val="19612901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sdt>
          <w:sdtPr>
            <w:tag w:val="_PLD_6aa248f59d784f95a8d1e935bd71e05e"/>
            <w:id w:val="211613660"/>
          </w:sdtPr>
          <w:sdtContent>
            <w:tc>
              <w:tcPr>
                <w:tcW w:w="1666" w:type="pct"/>
                <w:shd w:val="clear" w:color="auto" w:fill="auto"/>
              </w:tcPr>
              <w:p>
                <w:pPr>
                  <w:jc w:val="center"/>
                </w:pPr>
                <w:r>
                  <w:rPr>
                    <w:rFonts w:hint="eastAsia"/>
                  </w:rPr>
                  <w:t>项目</w:t>
                </w:r>
              </w:p>
            </w:tc>
          </w:sdtContent>
        </w:sdt>
        <w:sdt>
          <w:sdtPr>
            <w:tag w:val="_PLD_130aaf0b75144f7d943c5d780cfc1b6b"/>
            <w:id w:val="297185009"/>
          </w:sdtPr>
          <w:sdtContent>
            <w:tc>
              <w:tcPr>
                <w:tcW w:w="1667" w:type="pct"/>
                <w:shd w:val="clear" w:color="auto" w:fill="auto"/>
              </w:tcPr>
              <w:p>
                <w:pPr>
                  <w:jc w:val="center"/>
                </w:pPr>
                <w:r>
                  <w:rPr>
                    <w:rFonts w:hint="eastAsia"/>
                  </w:rPr>
                  <w:t>本期发生额</w:t>
                </w:r>
              </w:p>
            </w:tc>
          </w:sdtContent>
        </w:sdt>
        <w:sdt>
          <w:sdtPr>
            <w:tag w:val="_PLD_482f220f08ce46dc8e769190f957eec7"/>
            <w:id w:val="-1179732186"/>
          </w:sdtPr>
          <w:sdtContent>
            <w:tc>
              <w:tcPr>
                <w:tcW w:w="1667" w:type="pct"/>
                <w:shd w:val="clear" w:color="auto" w:fill="auto"/>
              </w:tcPr>
              <w:p>
                <w:pPr>
                  <w:jc w:val="center"/>
                </w:pPr>
                <w:r>
                  <w:rPr>
                    <w:rFonts w:hint="eastAsia"/>
                  </w:rPr>
                  <w:t>上期发生额</w:t>
                </w:r>
              </w:p>
            </w:tc>
          </w:sdtContent>
        </w:sdt>
      </w:tr>
      <w:tr>
        <w:tc>
          <w:tcPr>
            <w:tcW w:w="1666" w:type="pct"/>
            <w:shd w:val="clear" w:color="auto" w:fill="auto"/>
          </w:tcPr>
          <w:p>
            <w:pPr>
              <w:pStyle w:val="affffffffffffffffffffffffffffffffe"/>
            </w:pPr>
            <w:r>
              <w:t>非流动资产处置收益</w:t>
            </w:r>
          </w:p>
        </w:tc>
        <w:tc>
          <w:tcPr>
            <w:tcW w:w="1667" w:type="pct"/>
            <w:shd w:val="clear" w:color="auto" w:fill="auto"/>
          </w:tcPr>
          <w:p>
            <w:pPr>
              <w:jc w:val="right"/>
            </w:pPr>
            <w:r>
              <w:t>106,409</w:t>
            </w:r>
          </w:p>
        </w:tc>
        <w:tc>
          <w:tcPr>
            <w:tcW w:w="1667" w:type="pct"/>
            <w:shd w:val="clear" w:color="auto" w:fill="auto"/>
          </w:tcPr>
          <w:p>
            <w:pPr>
              <w:jc w:val="right"/>
            </w:pPr>
            <w:r>
              <w:t>1,154</w:t>
            </w:r>
          </w:p>
        </w:tc>
      </w:tr>
      <w:tr>
        <w:tc>
          <w:tcPr>
            <w:tcW w:w="1666" w:type="pct"/>
            <w:shd w:val="clear" w:color="auto" w:fill="auto"/>
          </w:tcPr>
          <w:p>
            <w:pPr>
              <w:pStyle w:val="affffffffffffffffffffffffffffffffe"/>
            </w:pPr>
            <w:r>
              <w:t>其中：未划分为持有待售的非流动资产处置收益</w:t>
            </w:r>
          </w:p>
        </w:tc>
        <w:tc>
          <w:tcPr>
            <w:tcW w:w="1667" w:type="pct"/>
            <w:shd w:val="clear" w:color="auto" w:fill="auto"/>
          </w:tcPr>
          <w:p>
            <w:pPr>
              <w:jc w:val="right"/>
            </w:pPr>
            <w:r>
              <w:t>106,409</w:t>
            </w:r>
          </w:p>
        </w:tc>
        <w:tc>
          <w:tcPr>
            <w:tcW w:w="1667" w:type="pct"/>
            <w:shd w:val="clear" w:color="auto" w:fill="auto"/>
          </w:tcPr>
          <w:p>
            <w:pPr>
              <w:jc w:val="right"/>
            </w:pPr>
            <w:r>
              <w:t>1,154</w:t>
            </w:r>
          </w:p>
        </w:tc>
      </w:tr>
      <w:tr>
        <w:tc>
          <w:tcPr>
            <w:tcW w:w="1666" w:type="pct"/>
            <w:shd w:val="clear" w:color="auto" w:fill="auto"/>
          </w:tcPr>
          <w:p>
            <w:pPr>
              <w:pStyle w:val="affffffffffffffffffffffffffffffffe"/>
            </w:pPr>
            <w:r>
              <w:t>其中：固定资产处置收益</w:t>
            </w:r>
          </w:p>
        </w:tc>
        <w:tc>
          <w:tcPr>
            <w:tcW w:w="1667" w:type="pct"/>
            <w:shd w:val="clear" w:color="auto" w:fill="auto"/>
          </w:tcPr>
          <w:p>
            <w:pPr>
              <w:jc w:val="right"/>
            </w:pPr>
            <w:r>
              <w:t>48,579</w:t>
            </w:r>
          </w:p>
        </w:tc>
        <w:tc>
          <w:tcPr>
            <w:tcW w:w="1667" w:type="pct"/>
            <w:shd w:val="clear" w:color="auto" w:fill="auto"/>
          </w:tcPr>
          <w:p>
            <w:pPr>
              <w:jc w:val="right"/>
            </w:pPr>
            <w:r>
              <w:t>-12,072</w:t>
            </w:r>
          </w:p>
        </w:tc>
      </w:tr>
      <w:tr>
        <w:tc>
          <w:tcPr>
            <w:tcW w:w="1666" w:type="pct"/>
            <w:shd w:val="clear" w:color="auto" w:fill="auto"/>
          </w:tcPr>
          <w:p>
            <w:pPr>
              <w:pStyle w:val="affffffffffffffffffffffffffffffffe"/>
            </w:pPr>
            <w:r>
              <w:t>无形资产处置收益</w:t>
            </w:r>
          </w:p>
        </w:tc>
        <w:tc>
          <w:tcPr>
            <w:tcW w:w="1667" w:type="pct"/>
            <w:shd w:val="clear" w:color="auto" w:fill="auto"/>
          </w:tcPr>
          <w:p>
            <w:pPr>
              <w:jc w:val="right"/>
            </w:pPr>
            <w:r>
              <w:t>46,218</w:t>
            </w:r>
          </w:p>
        </w:tc>
        <w:tc>
          <w:tcPr>
            <w:tcW w:w="1667" w:type="pct"/>
            <w:shd w:val="clear" w:color="auto" w:fill="auto"/>
          </w:tcPr>
          <w:p>
            <w:pPr>
              <w:jc w:val="right"/>
            </w:pPr>
            <w:r>
              <w:t>13,226</w:t>
            </w:r>
          </w:p>
        </w:tc>
      </w:tr>
      <w:tr>
        <w:tc>
          <w:tcPr>
            <w:tcW w:w="1666" w:type="pct"/>
            <w:shd w:val="clear" w:color="auto" w:fill="auto"/>
          </w:tcPr>
          <w:p>
            <w:pPr>
              <w:pStyle w:val="affffffffffffffffffffffffffffffffe"/>
            </w:pPr>
            <w:r>
              <w:t>使用权资产处置收益</w:t>
            </w:r>
          </w:p>
        </w:tc>
        <w:tc>
          <w:tcPr>
            <w:tcW w:w="1667" w:type="pct"/>
            <w:shd w:val="clear" w:color="auto" w:fill="auto"/>
          </w:tcPr>
          <w:p>
            <w:pPr>
              <w:jc w:val="right"/>
            </w:pPr>
            <w:r>
              <w:t>11,612</w:t>
            </w:r>
          </w:p>
        </w:tc>
        <w:tc>
          <w:tcPr>
            <w:tcW w:w="1667" w:type="pct"/>
            <w:shd w:val="clear" w:color="auto" w:fill="auto"/>
          </w:tcPr>
          <w:p>
            <w:pPr>
              <w:jc w:val="right"/>
            </w:pPr>
          </w:p>
        </w:tc>
      </w:tr>
      <w:tr>
        <w:tc>
          <w:tcPr>
            <w:tcW w:w="1666" w:type="pct"/>
            <w:shd w:val="clear" w:color="auto" w:fill="auto"/>
          </w:tcPr>
          <w:p>
            <w:pPr>
              <w:jc w:val="center"/>
            </w:pPr>
            <w:r>
              <w:rPr>
                <w:rFonts w:hint="eastAsia"/>
              </w:rPr>
              <w:t>合计</w:t>
            </w:r>
          </w:p>
        </w:tc>
        <w:tc>
          <w:tcPr>
            <w:tcW w:w="1667" w:type="pct"/>
            <w:shd w:val="clear" w:color="auto" w:fill="auto"/>
          </w:tcPr>
          <w:p>
            <w:pPr>
              <w:jc w:val="right"/>
            </w:pPr>
            <w:r>
              <w:t>106,409</w:t>
            </w:r>
          </w:p>
        </w:tc>
        <w:tc>
          <w:tcPr>
            <w:tcW w:w="1667" w:type="pct"/>
            <w:shd w:val="clear" w:color="auto" w:fill="auto"/>
          </w:tcPr>
          <w:p>
            <w:pPr>
              <w:jc w:val="right"/>
            </w:pPr>
            <w:r>
              <w:t>1,154</w:t>
            </w:r>
          </w:p>
        </w:tc>
      </w:tr>
    </w:tbl>
    <w:p>
      <w:pPr>
        <w:pStyle w:val="affffffffffffffffffffffffffffffffe"/>
      </w:pPr>
    </w:p>
    <w:p>
      <w:pPr>
        <w:pStyle w:val="affffffffffffffffffffffffffffffffe"/>
      </w:pPr>
      <w:r>
        <w:rPr>
          <w:rFonts w:hint="eastAsia"/>
        </w:rPr>
        <w:t>其他说明：</w:t>
      </w:r>
    </w:p>
    <w:sdt>
      <w:sdtPr>
        <w:alias w:val="资产处置收益其他说明"/>
        <w:tag w:val="_GBC_a5d14cbbaa9b4b96b1c008693dadc2d6"/>
        <w:id w:val="-2116812182"/>
        <w:placeholder>
          <w:docPart w:val="GBC22222222222222222222222222222"/>
        </w:placeholder>
      </w:sdtPr>
      <w:sdtContent>
        <w:p>
          <w:pPr>
            <w:pStyle w:val="affffffffffffffffffffffffffffffffe"/>
          </w:pPr>
          <w:r>
            <w:t>-</w:t>
          </w:r>
        </w:p>
      </w:sdtContent>
    </w:sdt>
    <w:p>
      <w:pPr>
        <w:autoSpaceDE w:val="0"/>
        <w:autoSpaceDN w:val="0"/>
        <w:adjustRightInd w:val="0"/>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营业外收入</w:t>
      </w:r>
    </w:p>
    <w:p>
      <w:pPr>
        <w:pStyle w:val="affffffffffffffffffffffffffffffffe"/>
        <w:numPr>
          <w:ilvl w:val="0"/>
          <w:numId w:val="127"/>
        </w:numPr>
        <w:outlineLvl w:val="3"/>
      </w:pPr>
      <w:r>
        <w:rPr>
          <w:rFonts w:hint="eastAsia"/>
        </w:rPr>
        <w:t>营业外收入情况</w:t>
      </w:r>
    </w:p>
    <w:sdt>
      <w:sdtPr>
        <w:rPr>
          <w:rFonts w:hint="eastAsia"/>
        </w:rPr>
        <w:alias w:val="是否适用：营业外收入情况 [双击切换]"/>
        <w:tag w:val="_GBC_4aec8b65d0e744aaaddac8859ae249bc"/>
        <w:id w:val="-70116679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5591756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营业外收入"/>
          <w:tag w:val="_GBC_4266913812da4517aa68b2f8bff79fbe"/>
          <w:id w:val="-4676694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2248"/>
        <w:gridCol w:w="2257"/>
        <w:gridCol w:w="2259"/>
      </w:tblGrid>
      <w:tr>
        <w:sdt>
          <w:sdtPr>
            <w:tag w:val="_PLD_1b52b1902e1443609ba6891d7076aebe"/>
            <w:id w:val="1731037968"/>
          </w:sdtPr>
          <w:sdtContent>
            <w:tc>
              <w:tcPr>
                <w:tcW w:w="1167"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项目</w:t>
                </w:r>
              </w:p>
            </w:tc>
          </w:sdtContent>
        </w:sdt>
        <w:sdt>
          <w:sdtPr>
            <w:tag w:val="_PLD_9dc87bd465124a2289f545f76d28c96c"/>
            <w:id w:val="1402177667"/>
          </w:sdtPr>
          <w:sdtContent>
            <w:tc>
              <w:tcPr>
                <w:tcW w:w="1274"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本期发生额</w:t>
                </w:r>
              </w:p>
            </w:tc>
          </w:sdtContent>
        </w:sdt>
        <w:sdt>
          <w:sdtPr>
            <w:tag w:val="_PLD_e1b91f5db91a439083c1f9a1b7d17ef9"/>
            <w:id w:val="1901021813"/>
          </w:sdtPr>
          <w:sdtContent>
            <w:tc>
              <w:tcPr>
                <w:tcW w:w="1279"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上期发生额</w:t>
                </w:r>
              </w:p>
            </w:tc>
          </w:sdtContent>
        </w:sdt>
        <w:sdt>
          <w:sdtPr>
            <w:tag w:val="_PLD_db1c9e08e7ea407889a350e8451d2848"/>
            <w:id w:val="-831992151"/>
          </w:sdtPr>
          <w:sdtContent>
            <w:tc>
              <w:tcPr>
                <w:tcW w:w="128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color w:val="FF0000"/>
                    <w:szCs w:val="21"/>
                  </w:rPr>
                </w:pPr>
                <w:r>
                  <w:rPr>
                    <w:rFonts w:hint="eastAsia"/>
                    <w:szCs w:val="21"/>
                  </w:rPr>
                  <w:t>计入当期非经常性损益的金额</w:t>
                </w:r>
              </w:p>
            </w:tc>
          </w:sdtContent>
        </w:sdt>
      </w:tr>
      <w:tr>
        <w:tc>
          <w:tcPr>
            <w:tcW w:w="116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政府补助</w:t>
            </w:r>
          </w:p>
        </w:tc>
        <w:tc>
          <w:tcPr>
            <w:tcW w:w="127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7,277</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30,144</w:t>
            </w:r>
          </w:p>
        </w:tc>
        <w:tc>
          <w:tcPr>
            <w:tcW w:w="128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7,277</w:t>
            </w:r>
          </w:p>
        </w:tc>
      </w:tr>
      <w:tr>
        <w:tc>
          <w:tcPr>
            <w:tcW w:w="116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资产处置款</w:t>
            </w:r>
          </w:p>
        </w:tc>
        <w:tc>
          <w:tcPr>
            <w:tcW w:w="127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401,316</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128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401,316</w:t>
            </w:r>
          </w:p>
        </w:tc>
      </w:tr>
      <w:tr>
        <w:tc>
          <w:tcPr>
            <w:tcW w:w="1167"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w:t>
            </w:r>
          </w:p>
        </w:tc>
        <w:tc>
          <w:tcPr>
            <w:tcW w:w="127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544,493</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338,316</w:t>
            </w:r>
          </w:p>
        </w:tc>
        <w:tc>
          <w:tcPr>
            <w:tcW w:w="128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544,493</w:t>
            </w:r>
          </w:p>
        </w:tc>
      </w:tr>
      <w:tr>
        <w:trPr>
          <w:trHeight w:val="70"/>
        </w:trPr>
        <w:tc>
          <w:tcPr>
            <w:tcW w:w="116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953,086</w:t>
            </w:r>
          </w:p>
        </w:tc>
        <w:tc>
          <w:tcPr>
            <w:tcW w:w="1279"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368,460</w:t>
            </w:r>
          </w:p>
        </w:tc>
        <w:tc>
          <w:tcPr>
            <w:tcW w:w="128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szCs w:val="21"/>
              </w:rPr>
            </w:pPr>
            <w:r>
              <w:rPr>
                <w:szCs w:val="21"/>
              </w:rPr>
              <w:t>953,086</w:t>
            </w:r>
          </w:p>
        </w:tc>
      </w:tr>
    </w:tbl>
    <w:p>
      <w:pPr>
        <w:pStyle w:val="affffffffffffffffffffffffffffffffe"/>
      </w:pPr>
    </w:p>
    <w:p>
      <w:pPr>
        <w:pStyle w:val="afffa"/>
        <w:numPr>
          <w:ilvl w:val="0"/>
          <w:numId w:val="127"/>
        </w:numPr>
      </w:pPr>
      <w:r>
        <w:rPr>
          <w:rFonts w:hint="eastAsia"/>
        </w:rPr>
        <w:t>计入当期损益的政府补助</w:t>
      </w:r>
    </w:p>
    <w:tbl>
      <w:tblPr>
        <w:tblStyle w:val="g46"/>
        <w:tblW w:w="10632" w:type="dxa"/>
        <w:tblInd w:w="-714" w:type="dxa"/>
        <w:tblLook w:val="04A0" w:firstRow="1" w:lastRow="0" w:firstColumn="1" w:lastColumn="0" w:noHBand="0" w:noVBand="1"/>
      </w:tblPr>
      <w:tblGrid>
        <w:gridCol w:w="1743"/>
        <w:gridCol w:w="953"/>
        <w:gridCol w:w="953"/>
        <w:gridCol w:w="1455"/>
        <w:gridCol w:w="992"/>
        <w:gridCol w:w="850"/>
        <w:gridCol w:w="851"/>
        <w:gridCol w:w="992"/>
        <w:gridCol w:w="1843"/>
      </w:tblGrid>
      <w:tr>
        <w:tc>
          <w:tcPr>
            <w:tcW w:w="1743" w:type="dxa"/>
            <w:vAlign w:val="center"/>
          </w:tcPr>
          <w:p>
            <w:pPr>
              <w:widowControl/>
              <w:jc w:val="center"/>
              <w:rPr>
                <w:rFonts w:cs="Times New Roman"/>
                <w:b/>
                <w:bCs/>
                <w:kern w:val="2"/>
                <w:szCs w:val="21"/>
              </w:rPr>
            </w:pPr>
            <w:r>
              <w:rPr>
                <w:rFonts w:cs="Times New Roman" w:hint="eastAsia"/>
                <w:b/>
                <w:bCs/>
                <w:kern w:val="2"/>
                <w:szCs w:val="21"/>
              </w:rPr>
              <w:t>补助项目</w:t>
            </w:r>
          </w:p>
        </w:tc>
        <w:tc>
          <w:tcPr>
            <w:tcW w:w="953" w:type="dxa"/>
            <w:vAlign w:val="center"/>
          </w:tcPr>
          <w:p>
            <w:pPr>
              <w:jc w:val="center"/>
              <w:rPr>
                <w:rFonts w:cs="Times New Roman"/>
                <w:b/>
                <w:bCs/>
                <w:kern w:val="2"/>
                <w:szCs w:val="21"/>
              </w:rPr>
            </w:pPr>
            <w:r>
              <w:rPr>
                <w:rFonts w:cs="Times New Roman" w:hint="eastAsia"/>
                <w:b/>
                <w:bCs/>
                <w:kern w:val="2"/>
                <w:szCs w:val="21"/>
              </w:rPr>
              <w:t>发放主体</w:t>
            </w:r>
          </w:p>
        </w:tc>
        <w:tc>
          <w:tcPr>
            <w:tcW w:w="953" w:type="dxa"/>
            <w:vAlign w:val="center"/>
          </w:tcPr>
          <w:p>
            <w:pPr>
              <w:jc w:val="center"/>
              <w:rPr>
                <w:rFonts w:cs="Times New Roman"/>
                <w:b/>
                <w:bCs/>
                <w:kern w:val="2"/>
                <w:szCs w:val="21"/>
              </w:rPr>
            </w:pPr>
            <w:r>
              <w:rPr>
                <w:rFonts w:cs="Times New Roman" w:hint="eastAsia"/>
                <w:b/>
                <w:bCs/>
                <w:kern w:val="2"/>
                <w:szCs w:val="21"/>
              </w:rPr>
              <w:t>发放原因</w:t>
            </w:r>
          </w:p>
        </w:tc>
        <w:tc>
          <w:tcPr>
            <w:tcW w:w="1455" w:type="dxa"/>
            <w:vAlign w:val="center"/>
          </w:tcPr>
          <w:p>
            <w:pPr>
              <w:jc w:val="center"/>
              <w:rPr>
                <w:rFonts w:cs="Times New Roman"/>
                <w:b/>
                <w:bCs/>
                <w:kern w:val="2"/>
                <w:szCs w:val="21"/>
              </w:rPr>
            </w:pPr>
            <w:r>
              <w:rPr>
                <w:rFonts w:cs="Times New Roman" w:hint="eastAsia"/>
                <w:b/>
                <w:bCs/>
                <w:kern w:val="2"/>
                <w:szCs w:val="21"/>
              </w:rPr>
              <w:t>性质类型</w:t>
            </w:r>
          </w:p>
        </w:tc>
        <w:tc>
          <w:tcPr>
            <w:tcW w:w="992" w:type="dxa"/>
            <w:vAlign w:val="center"/>
          </w:tcPr>
          <w:p>
            <w:pPr>
              <w:jc w:val="center"/>
              <w:rPr>
                <w:rFonts w:cs="Times New Roman"/>
                <w:b/>
                <w:bCs/>
                <w:kern w:val="2"/>
                <w:szCs w:val="21"/>
              </w:rPr>
            </w:pPr>
            <w:r>
              <w:rPr>
                <w:rFonts w:cs="Times New Roman" w:hint="eastAsia"/>
                <w:b/>
                <w:bCs/>
                <w:kern w:val="2"/>
                <w:szCs w:val="21"/>
              </w:rPr>
              <w:t>补贴是否影响当年盈亏</w:t>
            </w:r>
          </w:p>
        </w:tc>
        <w:tc>
          <w:tcPr>
            <w:tcW w:w="850" w:type="dxa"/>
            <w:vAlign w:val="center"/>
          </w:tcPr>
          <w:p>
            <w:pPr>
              <w:jc w:val="center"/>
              <w:rPr>
                <w:rFonts w:cs="Times New Roman"/>
                <w:b/>
                <w:bCs/>
                <w:kern w:val="2"/>
                <w:szCs w:val="21"/>
              </w:rPr>
            </w:pPr>
            <w:r>
              <w:rPr>
                <w:rFonts w:cs="Times New Roman" w:hint="eastAsia"/>
                <w:b/>
                <w:bCs/>
                <w:kern w:val="2"/>
                <w:szCs w:val="21"/>
              </w:rPr>
              <w:t>是否特殊补贴</w:t>
            </w:r>
          </w:p>
        </w:tc>
        <w:tc>
          <w:tcPr>
            <w:tcW w:w="851" w:type="dxa"/>
            <w:vAlign w:val="center"/>
          </w:tcPr>
          <w:p>
            <w:pPr>
              <w:jc w:val="center"/>
              <w:rPr>
                <w:rFonts w:cs="Times New Roman"/>
                <w:b/>
                <w:bCs/>
                <w:kern w:val="2"/>
                <w:szCs w:val="21"/>
              </w:rPr>
            </w:pPr>
            <w:r>
              <w:rPr>
                <w:rFonts w:cs="Times New Roman" w:hint="eastAsia"/>
                <w:b/>
                <w:bCs/>
                <w:kern w:val="2"/>
                <w:szCs w:val="21"/>
              </w:rPr>
              <w:t>本年发生金额</w:t>
            </w:r>
          </w:p>
        </w:tc>
        <w:tc>
          <w:tcPr>
            <w:tcW w:w="992" w:type="dxa"/>
            <w:vAlign w:val="center"/>
          </w:tcPr>
          <w:p>
            <w:pPr>
              <w:jc w:val="center"/>
              <w:rPr>
                <w:rFonts w:cs="Times New Roman"/>
                <w:b/>
                <w:bCs/>
                <w:kern w:val="2"/>
                <w:szCs w:val="21"/>
              </w:rPr>
            </w:pPr>
            <w:r>
              <w:rPr>
                <w:rFonts w:cs="Times New Roman" w:hint="eastAsia"/>
                <w:b/>
                <w:bCs/>
                <w:kern w:val="2"/>
                <w:szCs w:val="21"/>
              </w:rPr>
              <w:t>上年发生金额</w:t>
            </w:r>
          </w:p>
        </w:tc>
        <w:tc>
          <w:tcPr>
            <w:tcW w:w="1843" w:type="dxa"/>
            <w:vAlign w:val="center"/>
          </w:tcPr>
          <w:p>
            <w:pPr>
              <w:jc w:val="center"/>
              <w:rPr>
                <w:rFonts w:cs="Times New Roman"/>
                <w:b/>
                <w:bCs/>
                <w:kern w:val="2"/>
                <w:szCs w:val="21"/>
              </w:rPr>
            </w:pPr>
            <w:r>
              <w:rPr>
                <w:rFonts w:cs="Times New Roman" w:hint="eastAsia"/>
                <w:b/>
                <w:bCs/>
                <w:kern w:val="2"/>
                <w:szCs w:val="21"/>
              </w:rPr>
              <w:t>与资产相关/与收益相关</w:t>
            </w:r>
          </w:p>
        </w:tc>
      </w:tr>
      <w:tr>
        <w:tc>
          <w:tcPr>
            <w:tcW w:w="1743" w:type="dxa"/>
            <w:vAlign w:val="center"/>
          </w:tcPr>
          <w:p>
            <w:pPr>
              <w:jc w:val="left"/>
              <w:rPr>
                <w:rFonts w:cs="Times New Roman"/>
                <w:kern w:val="2"/>
                <w:szCs w:val="21"/>
              </w:rPr>
            </w:pPr>
            <w:r>
              <w:rPr>
                <w:rFonts w:cs="Times New Roman" w:hint="eastAsia"/>
                <w:kern w:val="2"/>
                <w:szCs w:val="21"/>
              </w:rPr>
              <w:t>自贸区开发扶持资金</w:t>
            </w:r>
          </w:p>
        </w:tc>
        <w:tc>
          <w:tcPr>
            <w:tcW w:w="953" w:type="dxa"/>
            <w:vAlign w:val="center"/>
          </w:tcPr>
          <w:p>
            <w:pPr>
              <w:jc w:val="left"/>
              <w:rPr>
                <w:rFonts w:cs="Times New Roman"/>
                <w:kern w:val="2"/>
                <w:szCs w:val="21"/>
              </w:rPr>
            </w:pPr>
            <w:r>
              <w:rPr>
                <w:rFonts w:cs="Times New Roman" w:hint="eastAsia"/>
                <w:kern w:val="2"/>
                <w:szCs w:val="21"/>
              </w:rPr>
              <w:t>上海市浦东新区财政局</w:t>
            </w:r>
          </w:p>
        </w:tc>
        <w:tc>
          <w:tcPr>
            <w:tcW w:w="953" w:type="dxa"/>
            <w:vAlign w:val="center"/>
          </w:tcPr>
          <w:p>
            <w:pPr>
              <w:jc w:val="left"/>
              <w:rPr>
                <w:rFonts w:cs="Times New Roman"/>
                <w:kern w:val="2"/>
                <w:szCs w:val="21"/>
              </w:rPr>
            </w:pPr>
            <w:r>
              <w:rPr>
                <w:rFonts w:cs="Times New Roman" w:hint="eastAsia"/>
                <w:kern w:val="2"/>
                <w:szCs w:val="21"/>
              </w:rPr>
              <w:t>奖励</w:t>
            </w:r>
          </w:p>
        </w:tc>
        <w:tc>
          <w:tcPr>
            <w:tcW w:w="1455" w:type="dxa"/>
            <w:vAlign w:val="center"/>
          </w:tcPr>
          <w:p>
            <w:pPr>
              <w:jc w:val="left"/>
              <w:rPr>
                <w:rFonts w:cs="Times New Roman"/>
                <w:kern w:val="2"/>
                <w:szCs w:val="21"/>
              </w:rPr>
            </w:pPr>
            <w:r>
              <w:rPr>
                <w:rFonts w:cs="Times New Roman" w:hint="eastAsia"/>
                <w:kern w:val="2"/>
                <w:szCs w:val="21"/>
              </w:rPr>
              <w:t>浦东新区“十四五”期间促进金融业发展的奖励</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17,950</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工业企业结构调整专项奖补资金</w:t>
            </w:r>
          </w:p>
        </w:tc>
        <w:tc>
          <w:tcPr>
            <w:tcW w:w="953" w:type="dxa"/>
            <w:vAlign w:val="center"/>
          </w:tcPr>
          <w:p>
            <w:pPr>
              <w:jc w:val="left"/>
              <w:rPr>
                <w:rFonts w:cs="Times New Roman"/>
                <w:kern w:val="2"/>
                <w:szCs w:val="21"/>
              </w:rPr>
            </w:pPr>
            <w:r>
              <w:rPr>
                <w:rFonts w:cs="Times New Roman" w:hint="eastAsia"/>
                <w:kern w:val="2"/>
                <w:szCs w:val="21"/>
              </w:rPr>
              <w:t>山东省财政厅</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钢铁煤炭行业工业企业结构调整专项奖补资金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4,292</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智能工厂项目补贴</w:t>
            </w:r>
          </w:p>
        </w:tc>
        <w:tc>
          <w:tcPr>
            <w:tcW w:w="953" w:type="dxa"/>
            <w:vAlign w:val="center"/>
          </w:tcPr>
          <w:p>
            <w:pPr>
              <w:jc w:val="left"/>
              <w:rPr>
                <w:rFonts w:cs="Times New Roman"/>
                <w:kern w:val="2"/>
                <w:szCs w:val="21"/>
              </w:rPr>
            </w:pPr>
            <w:r>
              <w:rPr>
                <w:rFonts w:cs="Times New Roman" w:hint="eastAsia"/>
                <w:kern w:val="2"/>
                <w:szCs w:val="21"/>
              </w:rPr>
              <w:t>鄂尔多斯市财政局</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2021年自治区重点产业发展专项资金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3,000</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金融发展资金</w:t>
            </w:r>
          </w:p>
        </w:tc>
        <w:tc>
          <w:tcPr>
            <w:tcW w:w="953" w:type="dxa"/>
            <w:vAlign w:val="center"/>
          </w:tcPr>
          <w:p>
            <w:pPr>
              <w:jc w:val="left"/>
              <w:rPr>
                <w:rFonts w:cs="Times New Roman"/>
                <w:kern w:val="2"/>
                <w:szCs w:val="21"/>
              </w:rPr>
            </w:pPr>
            <w:r>
              <w:rPr>
                <w:rFonts w:cs="Times New Roman" w:hint="eastAsia"/>
                <w:kern w:val="2"/>
                <w:szCs w:val="21"/>
              </w:rPr>
              <w:t>济宁市财政局</w:t>
            </w:r>
          </w:p>
        </w:tc>
        <w:tc>
          <w:tcPr>
            <w:tcW w:w="953" w:type="dxa"/>
            <w:vAlign w:val="center"/>
          </w:tcPr>
          <w:p>
            <w:pPr>
              <w:jc w:val="left"/>
              <w:rPr>
                <w:rFonts w:cs="Times New Roman"/>
                <w:kern w:val="2"/>
                <w:szCs w:val="21"/>
              </w:rPr>
            </w:pPr>
            <w:r>
              <w:rPr>
                <w:rFonts w:cs="Times New Roman" w:hint="eastAsia"/>
                <w:kern w:val="2"/>
                <w:szCs w:val="21"/>
              </w:rPr>
              <w:t>奖励</w:t>
            </w:r>
          </w:p>
        </w:tc>
        <w:tc>
          <w:tcPr>
            <w:tcW w:w="1455" w:type="dxa"/>
            <w:vAlign w:val="center"/>
          </w:tcPr>
          <w:p>
            <w:pPr>
              <w:jc w:val="left"/>
              <w:rPr>
                <w:rFonts w:cs="Times New Roman"/>
                <w:kern w:val="2"/>
                <w:szCs w:val="21"/>
              </w:rPr>
            </w:pPr>
            <w:r>
              <w:rPr>
                <w:rFonts w:cs="Times New Roman" w:hint="eastAsia"/>
                <w:kern w:val="2"/>
                <w:szCs w:val="21"/>
              </w:rPr>
              <w:t>2022年第二批企业上市挂牌融资市级奖励资金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2,171</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外经贸发展专项资金</w:t>
            </w:r>
          </w:p>
        </w:tc>
        <w:tc>
          <w:tcPr>
            <w:tcW w:w="953" w:type="dxa"/>
            <w:vAlign w:val="center"/>
          </w:tcPr>
          <w:p>
            <w:pPr>
              <w:jc w:val="left"/>
              <w:rPr>
                <w:rFonts w:cs="Times New Roman"/>
                <w:kern w:val="2"/>
                <w:szCs w:val="21"/>
              </w:rPr>
            </w:pPr>
            <w:r>
              <w:rPr>
                <w:rFonts w:cs="Times New Roman" w:hint="eastAsia"/>
                <w:kern w:val="2"/>
                <w:szCs w:val="21"/>
              </w:rPr>
              <w:t>济宁市商务局</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2021年度市级外经贸发展政策支持金额</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500</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重点产业和工业园区发展专项资金</w:t>
            </w:r>
          </w:p>
        </w:tc>
        <w:tc>
          <w:tcPr>
            <w:tcW w:w="953" w:type="dxa"/>
            <w:vAlign w:val="center"/>
          </w:tcPr>
          <w:p>
            <w:pPr>
              <w:jc w:val="left"/>
              <w:rPr>
                <w:rFonts w:cs="Times New Roman"/>
                <w:kern w:val="2"/>
                <w:szCs w:val="21"/>
              </w:rPr>
            </w:pPr>
            <w:r>
              <w:rPr>
                <w:rFonts w:cs="Times New Roman" w:hint="eastAsia"/>
                <w:kern w:val="2"/>
                <w:szCs w:val="21"/>
              </w:rPr>
              <w:t>鄂尔多斯市财政局</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2023年自治区重点产业和工业园区发展资金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500</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上海创新金融奖奖金</w:t>
            </w:r>
          </w:p>
        </w:tc>
        <w:tc>
          <w:tcPr>
            <w:tcW w:w="953" w:type="dxa"/>
            <w:vAlign w:val="center"/>
          </w:tcPr>
          <w:p>
            <w:pPr>
              <w:jc w:val="left"/>
              <w:rPr>
                <w:rFonts w:cs="Times New Roman"/>
                <w:kern w:val="2"/>
                <w:szCs w:val="21"/>
              </w:rPr>
            </w:pPr>
            <w:r>
              <w:rPr>
                <w:rFonts w:cs="Times New Roman" w:hint="eastAsia"/>
                <w:kern w:val="2"/>
                <w:szCs w:val="21"/>
              </w:rPr>
              <w:t>上海市人民政府</w:t>
            </w:r>
          </w:p>
        </w:tc>
        <w:tc>
          <w:tcPr>
            <w:tcW w:w="953" w:type="dxa"/>
            <w:vAlign w:val="center"/>
          </w:tcPr>
          <w:p>
            <w:pPr>
              <w:jc w:val="left"/>
              <w:rPr>
                <w:rFonts w:cs="Times New Roman"/>
                <w:kern w:val="2"/>
                <w:szCs w:val="21"/>
              </w:rPr>
            </w:pPr>
            <w:r>
              <w:rPr>
                <w:rFonts w:cs="Times New Roman" w:hint="eastAsia"/>
                <w:kern w:val="2"/>
                <w:szCs w:val="21"/>
              </w:rPr>
              <w:t>奖励</w:t>
            </w:r>
          </w:p>
        </w:tc>
        <w:tc>
          <w:tcPr>
            <w:tcW w:w="1455" w:type="dxa"/>
            <w:vAlign w:val="center"/>
          </w:tcPr>
          <w:p>
            <w:pPr>
              <w:jc w:val="left"/>
              <w:rPr>
                <w:rFonts w:cs="Times New Roman"/>
                <w:kern w:val="2"/>
                <w:szCs w:val="21"/>
              </w:rPr>
            </w:pPr>
            <w:r>
              <w:rPr>
                <w:rFonts w:cs="Times New Roman" w:hint="eastAsia"/>
                <w:kern w:val="2"/>
                <w:szCs w:val="21"/>
              </w:rPr>
              <w:t>2021-2022年度上海金融创新奖</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300</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失业保险基金稳定岗位补贴</w:t>
            </w:r>
          </w:p>
        </w:tc>
        <w:tc>
          <w:tcPr>
            <w:tcW w:w="953" w:type="dxa"/>
            <w:vAlign w:val="center"/>
          </w:tcPr>
          <w:p>
            <w:pPr>
              <w:jc w:val="left"/>
              <w:rPr>
                <w:rFonts w:cs="Times New Roman"/>
                <w:kern w:val="2"/>
                <w:szCs w:val="21"/>
              </w:rPr>
            </w:pPr>
            <w:r>
              <w:rPr>
                <w:rFonts w:cs="Times New Roman" w:hint="eastAsia"/>
                <w:kern w:val="2"/>
                <w:szCs w:val="21"/>
              </w:rPr>
              <w:t>人力资源社会保障部</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失业保险基金稳定岗位补贴</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r>
              <w:rPr>
                <w:rFonts w:cs="Times New Roman"/>
                <w:kern w:val="2"/>
                <w:szCs w:val="21"/>
              </w:rPr>
              <w:t>3</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lastRenderedPageBreak/>
              <w:t>太平镇人民政府基础建设资金</w:t>
            </w:r>
          </w:p>
        </w:tc>
        <w:tc>
          <w:tcPr>
            <w:tcW w:w="953" w:type="dxa"/>
            <w:vAlign w:val="center"/>
          </w:tcPr>
          <w:p>
            <w:pPr>
              <w:jc w:val="left"/>
              <w:rPr>
                <w:rFonts w:cs="Times New Roman"/>
                <w:kern w:val="2"/>
                <w:szCs w:val="21"/>
              </w:rPr>
            </w:pPr>
            <w:r>
              <w:rPr>
                <w:rFonts w:cs="Times New Roman" w:hint="eastAsia"/>
                <w:kern w:val="2"/>
                <w:szCs w:val="21"/>
              </w:rPr>
              <w:t>太平镇人民政府</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鲍店矿地企共建协议</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收中心镇政府拨城镇建设资金</w:t>
            </w:r>
          </w:p>
        </w:tc>
        <w:tc>
          <w:tcPr>
            <w:tcW w:w="953" w:type="dxa"/>
            <w:vAlign w:val="center"/>
          </w:tcPr>
          <w:p>
            <w:pPr>
              <w:jc w:val="left"/>
              <w:rPr>
                <w:rFonts w:cs="Times New Roman"/>
                <w:kern w:val="2"/>
                <w:szCs w:val="21"/>
              </w:rPr>
            </w:pPr>
            <w:r>
              <w:rPr>
                <w:rFonts w:cs="Times New Roman" w:hint="eastAsia"/>
                <w:kern w:val="2"/>
                <w:szCs w:val="21"/>
              </w:rPr>
              <w:t>中心店镇人民政府</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东滩矿地企共建协议</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p>
        </w:tc>
        <w:tc>
          <w:tcPr>
            <w:tcW w:w="992" w:type="dxa"/>
            <w:vAlign w:val="center"/>
          </w:tcPr>
          <w:p>
            <w:pPr>
              <w:jc w:val="right"/>
              <w:rPr>
                <w:rFonts w:cs="Times New Roman"/>
                <w:kern w:val="2"/>
                <w:szCs w:val="21"/>
              </w:rPr>
            </w:pP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收2024年煤矿安全改造项目国补资金</w:t>
            </w:r>
          </w:p>
        </w:tc>
        <w:tc>
          <w:tcPr>
            <w:tcW w:w="953" w:type="dxa"/>
            <w:vAlign w:val="center"/>
          </w:tcPr>
          <w:p>
            <w:pPr>
              <w:jc w:val="left"/>
              <w:rPr>
                <w:rFonts w:cs="Times New Roman"/>
                <w:kern w:val="2"/>
                <w:szCs w:val="21"/>
              </w:rPr>
            </w:pP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2024年煤矿安全改造项目国补资金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r>
              <w:rPr>
                <w:rFonts w:cs="Times New Roman"/>
                <w:kern w:val="2"/>
                <w:szCs w:val="21"/>
              </w:rPr>
              <w:t>4,330</w:t>
            </w:r>
          </w:p>
        </w:tc>
        <w:tc>
          <w:tcPr>
            <w:tcW w:w="992" w:type="dxa"/>
            <w:vAlign w:val="center"/>
          </w:tcPr>
          <w:p>
            <w:pPr>
              <w:jc w:val="right"/>
              <w:rPr>
                <w:rFonts w:cs="Times New Roman"/>
                <w:kern w:val="2"/>
                <w:szCs w:val="21"/>
              </w:rPr>
            </w:pP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研究开发财政补助</w:t>
            </w:r>
          </w:p>
        </w:tc>
        <w:tc>
          <w:tcPr>
            <w:tcW w:w="953" w:type="dxa"/>
            <w:vAlign w:val="center"/>
          </w:tcPr>
          <w:p>
            <w:pPr>
              <w:jc w:val="left"/>
              <w:rPr>
                <w:rFonts w:cs="Times New Roman"/>
                <w:kern w:val="2"/>
                <w:szCs w:val="21"/>
              </w:rPr>
            </w:pPr>
            <w:r>
              <w:rPr>
                <w:rFonts w:cs="Times New Roman" w:hint="eastAsia"/>
                <w:kern w:val="2"/>
                <w:szCs w:val="21"/>
              </w:rPr>
              <w:t>山东省科学技术厅</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山东省企业研究开发财政补助资金</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r>
              <w:rPr>
                <w:rFonts w:cs="Times New Roman"/>
                <w:kern w:val="2"/>
                <w:szCs w:val="21"/>
              </w:rPr>
              <w:t>360</w:t>
            </w:r>
          </w:p>
        </w:tc>
        <w:tc>
          <w:tcPr>
            <w:tcW w:w="992" w:type="dxa"/>
            <w:vAlign w:val="center"/>
          </w:tcPr>
          <w:p>
            <w:pPr>
              <w:jc w:val="right"/>
              <w:rPr>
                <w:rFonts w:cs="Times New Roman"/>
                <w:kern w:val="2"/>
                <w:szCs w:val="21"/>
              </w:rPr>
            </w:pP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中央安全生产预防和应急救援补贴</w:t>
            </w:r>
          </w:p>
        </w:tc>
        <w:tc>
          <w:tcPr>
            <w:tcW w:w="953" w:type="dxa"/>
            <w:vAlign w:val="center"/>
          </w:tcPr>
          <w:p>
            <w:pPr>
              <w:jc w:val="left"/>
              <w:rPr>
                <w:rFonts w:cs="Times New Roman"/>
                <w:kern w:val="2"/>
                <w:szCs w:val="21"/>
              </w:rPr>
            </w:pPr>
            <w:r>
              <w:rPr>
                <w:rFonts w:cs="Times New Roman" w:hint="eastAsia"/>
                <w:kern w:val="2"/>
                <w:szCs w:val="21"/>
              </w:rPr>
              <w:t>伊金霍洛旗能源局</w:t>
            </w:r>
          </w:p>
        </w:tc>
        <w:tc>
          <w:tcPr>
            <w:tcW w:w="953" w:type="dxa"/>
            <w:vAlign w:val="center"/>
          </w:tcPr>
          <w:p>
            <w:pPr>
              <w:jc w:val="left"/>
              <w:rPr>
                <w:rFonts w:cs="Times New Roman"/>
                <w:kern w:val="2"/>
                <w:szCs w:val="21"/>
              </w:rPr>
            </w:pPr>
            <w:r>
              <w:rPr>
                <w:rFonts w:cs="Times New Roman" w:hint="eastAsia"/>
                <w:kern w:val="2"/>
                <w:szCs w:val="21"/>
              </w:rPr>
              <w:t>补助</w:t>
            </w:r>
          </w:p>
        </w:tc>
        <w:tc>
          <w:tcPr>
            <w:tcW w:w="1455" w:type="dxa"/>
            <w:vAlign w:val="center"/>
          </w:tcPr>
          <w:p>
            <w:pPr>
              <w:jc w:val="left"/>
              <w:rPr>
                <w:rFonts w:cs="Times New Roman"/>
                <w:kern w:val="2"/>
                <w:szCs w:val="21"/>
              </w:rPr>
            </w:pPr>
            <w:r>
              <w:rPr>
                <w:rFonts w:cs="Times New Roman" w:hint="eastAsia"/>
                <w:kern w:val="2"/>
                <w:szCs w:val="21"/>
              </w:rPr>
              <w:t>2023年中央安全生产预防和应急救援能力建设补助</w:t>
            </w:r>
          </w:p>
        </w:tc>
        <w:tc>
          <w:tcPr>
            <w:tcW w:w="992" w:type="dxa"/>
            <w:vAlign w:val="center"/>
          </w:tcPr>
          <w:p>
            <w:pPr>
              <w:jc w:val="center"/>
              <w:rPr>
                <w:rFonts w:cs="Times New Roman"/>
                <w:kern w:val="2"/>
                <w:szCs w:val="21"/>
              </w:rPr>
            </w:pPr>
            <w:r>
              <w:rPr>
                <w:rFonts w:cs="Times New Roman" w:hint="eastAsia"/>
                <w:kern w:val="2"/>
                <w:szCs w:val="21"/>
              </w:rPr>
              <w:t>否</w:t>
            </w:r>
          </w:p>
        </w:tc>
        <w:tc>
          <w:tcPr>
            <w:tcW w:w="850" w:type="dxa"/>
            <w:vAlign w:val="center"/>
          </w:tcPr>
          <w:p>
            <w:pPr>
              <w:jc w:val="center"/>
              <w:rPr>
                <w:rFonts w:cs="Times New Roman"/>
                <w:kern w:val="2"/>
                <w:szCs w:val="21"/>
              </w:rPr>
            </w:pPr>
            <w:r>
              <w:rPr>
                <w:rFonts w:cs="Times New Roman" w:hint="eastAsia"/>
                <w:kern w:val="2"/>
                <w:szCs w:val="21"/>
              </w:rPr>
              <w:t>否</w:t>
            </w:r>
          </w:p>
        </w:tc>
        <w:tc>
          <w:tcPr>
            <w:tcW w:w="851" w:type="dxa"/>
            <w:vAlign w:val="center"/>
          </w:tcPr>
          <w:p>
            <w:pPr>
              <w:jc w:val="right"/>
              <w:rPr>
                <w:rFonts w:cs="Times New Roman"/>
                <w:kern w:val="2"/>
                <w:szCs w:val="21"/>
              </w:rPr>
            </w:pPr>
            <w:r>
              <w:rPr>
                <w:rFonts w:cs="Times New Roman"/>
                <w:kern w:val="2"/>
                <w:szCs w:val="21"/>
              </w:rPr>
              <w:t>240</w:t>
            </w:r>
          </w:p>
        </w:tc>
        <w:tc>
          <w:tcPr>
            <w:tcW w:w="992" w:type="dxa"/>
            <w:vAlign w:val="center"/>
          </w:tcPr>
          <w:p>
            <w:pPr>
              <w:jc w:val="right"/>
              <w:rPr>
                <w:rFonts w:cs="Times New Roman"/>
                <w:kern w:val="2"/>
                <w:szCs w:val="21"/>
              </w:rPr>
            </w:pP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vAlign w:val="center"/>
          </w:tcPr>
          <w:p>
            <w:pPr>
              <w:jc w:val="left"/>
              <w:rPr>
                <w:rFonts w:cs="Times New Roman"/>
                <w:kern w:val="2"/>
                <w:szCs w:val="21"/>
              </w:rPr>
            </w:pPr>
            <w:r>
              <w:rPr>
                <w:rFonts w:cs="Times New Roman" w:hint="eastAsia"/>
                <w:kern w:val="2"/>
                <w:szCs w:val="21"/>
              </w:rPr>
              <w:t>其他</w:t>
            </w:r>
          </w:p>
        </w:tc>
        <w:tc>
          <w:tcPr>
            <w:tcW w:w="953" w:type="dxa"/>
            <w:vAlign w:val="center"/>
          </w:tcPr>
          <w:p>
            <w:pPr>
              <w:jc w:val="left"/>
              <w:rPr>
                <w:rFonts w:cs="Times New Roman"/>
                <w:kern w:val="2"/>
                <w:szCs w:val="21"/>
              </w:rPr>
            </w:pPr>
          </w:p>
        </w:tc>
        <w:tc>
          <w:tcPr>
            <w:tcW w:w="953" w:type="dxa"/>
            <w:vAlign w:val="center"/>
          </w:tcPr>
          <w:p>
            <w:pPr>
              <w:jc w:val="left"/>
              <w:rPr>
                <w:rFonts w:cs="Times New Roman"/>
                <w:kern w:val="2"/>
                <w:szCs w:val="21"/>
              </w:rPr>
            </w:pPr>
          </w:p>
        </w:tc>
        <w:tc>
          <w:tcPr>
            <w:tcW w:w="1455" w:type="dxa"/>
            <w:vAlign w:val="center"/>
          </w:tcPr>
          <w:p>
            <w:pPr>
              <w:jc w:val="left"/>
              <w:rPr>
                <w:rFonts w:cs="Times New Roman"/>
                <w:kern w:val="2"/>
                <w:szCs w:val="21"/>
              </w:rPr>
            </w:pPr>
          </w:p>
        </w:tc>
        <w:tc>
          <w:tcPr>
            <w:tcW w:w="992" w:type="dxa"/>
            <w:vAlign w:val="center"/>
          </w:tcPr>
          <w:p>
            <w:pPr>
              <w:jc w:val="left"/>
              <w:rPr>
                <w:rFonts w:cs="Times New Roman"/>
                <w:kern w:val="2"/>
                <w:szCs w:val="21"/>
              </w:rPr>
            </w:pPr>
          </w:p>
        </w:tc>
        <w:tc>
          <w:tcPr>
            <w:tcW w:w="850" w:type="dxa"/>
            <w:vAlign w:val="center"/>
          </w:tcPr>
          <w:p>
            <w:pPr>
              <w:jc w:val="left"/>
              <w:rPr>
                <w:rFonts w:cs="Times New Roman"/>
                <w:kern w:val="2"/>
                <w:szCs w:val="21"/>
              </w:rPr>
            </w:pPr>
          </w:p>
        </w:tc>
        <w:tc>
          <w:tcPr>
            <w:tcW w:w="851" w:type="dxa"/>
            <w:vAlign w:val="center"/>
          </w:tcPr>
          <w:p>
            <w:pPr>
              <w:jc w:val="right"/>
              <w:rPr>
                <w:rFonts w:cs="Times New Roman"/>
                <w:kern w:val="2"/>
                <w:szCs w:val="21"/>
              </w:rPr>
            </w:pPr>
            <w:r>
              <w:rPr>
                <w:rFonts w:cs="Times New Roman"/>
                <w:kern w:val="2"/>
                <w:szCs w:val="21"/>
              </w:rPr>
              <w:t>2,347</w:t>
            </w:r>
          </w:p>
        </w:tc>
        <w:tc>
          <w:tcPr>
            <w:tcW w:w="992" w:type="dxa"/>
            <w:vAlign w:val="center"/>
          </w:tcPr>
          <w:p>
            <w:pPr>
              <w:jc w:val="right"/>
              <w:rPr>
                <w:rFonts w:cs="Times New Roman"/>
                <w:kern w:val="2"/>
                <w:szCs w:val="21"/>
              </w:rPr>
            </w:pPr>
            <w:r>
              <w:rPr>
                <w:rFonts w:cs="Times New Roman"/>
                <w:kern w:val="2"/>
                <w:szCs w:val="21"/>
              </w:rPr>
              <w:t>1,428</w:t>
            </w:r>
          </w:p>
        </w:tc>
        <w:tc>
          <w:tcPr>
            <w:tcW w:w="1843" w:type="dxa"/>
            <w:vAlign w:val="center"/>
          </w:tcPr>
          <w:p>
            <w:pPr>
              <w:jc w:val="center"/>
              <w:rPr>
                <w:rFonts w:cs="Times New Roman"/>
                <w:kern w:val="2"/>
                <w:szCs w:val="21"/>
              </w:rPr>
            </w:pPr>
            <w:r>
              <w:rPr>
                <w:rFonts w:cs="Times New Roman" w:hint="eastAsia"/>
                <w:kern w:val="2"/>
                <w:szCs w:val="21"/>
              </w:rPr>
              <w:t>与收益有关</w:t>
            </w:r>
          </w:p>
        </w:tc>
      </w:tr>
      <w:tr>
        <w:tc>
          <w:tcPr>
            <w:tcW w:w="1743" w:type="dxa"/>
          </w:tcPr>
          <w:p>
            <w:pPr>
              <w:pStyle w:val="affffffffffffffffffffffffffffffffe"/>
              <w:rPr>
                <w:rFonts w:cs="Times New Roman"/>
                <w:kern w:val="2"/>
                <w:szCs w:val="21"/>
              </w:rPr>
            </w:pPr>
            <w:r>
              <w:rPr>
                <w:rFonts w:cs="Times New Roman" w:hint="eastAsia"/>
                <w:kern w:val="2"/>
                <w:szCs w:val="21"/>
              </w:rPr>
              <w:t>合计</w:t>
            </w:r>
          </w:p>
        </w:tc>
        <w:tc>
          <w:tcPr>
            <w:tcW w:w="953" w:type="dxa"/>
          </w:tcPr>
          <w:p>
            <w:pPr>
              <w:pStyle w:val="affffffffffffffffffffffffffffffffe"/>
              <w:rPr>
                <w:rFonts w:cs="Times New Roman"/>
                <w:kern w:val="2"/>
                <w:szCs w:val="21"/>
              </w:rPr>
            </w:pPr>
          </w:p>
        </w:tc>
        <w:tc>
          <w:tcPr>
            <w:tcW w:w="953" w:type="dxa"/>
          </w:tcPr>
          <w:p>
            <w:pPr>
              <w:pStyle w:val="affffffffffffffffffffffffffffffffe"/>
              <w:rPr>
                <w:rFonts w:cs="Times New Roman"/>
                <w:kern w:val="2"/>
                <w:szCs w:val="21"/>
              </w:rPr>
            </w:pPr>
          </w:p>
        </w:tc>
        <w:tc>
          <w:tcPr>
            <w:tcW w:w="1455" w:type="dxa"/>
          </w:tcPr>
          <w:p>
            <w:pPr>
              <w:pStyle w:val="affffffffffffffffffffffffffffffffe"/>
              <w:rPr>
                <w:rFonts w:cs="Times New Roman"/>
                <w:kern w:val="2"/>
                <w:szCs w:val="21"/>
              </w:rPr>
            </w:pPr>
          </w:p>
        </w:tc>
        <w:tc>
          <w:tcPr>
            <w:tcW w:w="992" w:type="dxa"/>
          </w:tcPr>
          <w:p>
            <w:pPr>
              <w:pStyle w:val="affffffffffffffffffffffffffffffffe"/>
              <w:rPr>
                <w:rFonts w:cs="Times New Roman"/>
                <w:kern w:val="2"/>
                <w:szCs w:val="21"/>
              </w:rPr>
            </w:pPr>
          </w:p>
        </w:tc>
        <w:tc>
          <w:tcPr>
            <w:tcW w:w="850" w:type="dxa"/>
          </w:tcPr>
          <w:p>
            <w:pPr>
              <w:pStyle w:val="affffffffffffffffffffffffffffffffe"/>
              <w:rPr>
                <w:rFonts w:cs="Times New Roman"/>
                <w:kern w:val="2"/>
                <w:szCs w:val="21"/>
              </w:rPr>
            </w:pPr>
          </w:p>
        </w:tc>
        <w:tc>
          <w:tcPr>
            <w:tcW w:w="851" w:type="dxa"/>
            <w:vAlign w:val="center"/>
          </w:tcPr>
          <w:p>
            <w:pPr>
              <w:pStyle w:val="affffffffffffffffffffffffffffffffe"/>
              <w:jc w:val="right"/>
              <w:rPr>
                <w:rFonts w:cs="Times New Roman"/>
                <w:kern w:val="2"/>
                <w:szCs w:val="21"/>
              </w:rPr>
            </w:pPr>
            <w:r>
              <w:rPr>
                <w:rFonts w:cs="Times New Roman"/>
                <w:kern w:val="2"/>
                <w:szCs w:val="21"/>
              </w:rPr>
              <w:t>7,277</w:t>
            </w:r>
          </w:p>
        </w:tc>
        <w:tc>
          <w:tcPr>
            <w:tcW w:w="992" w:type="dxa"/>
            <w:vAlign w:val="center"/>
          </w:tcPr>
          <w:p>
            <w:pPr>
              <w:pStyle w:val="affffffffffffffffffffffffffffffffe"/>
              <w:jc w:val="right"/>
              <w:rPr>
                <w:rFonts w:cs="Times New Roman"/>
                <w:kern w:val="2"/>
                <w:szCs w:val="21"/>
              </w:rPr>
            </w:pPr>
            <w:r>
              <w:rPr>
                <w:rFonts w:cs="Times New Roman"/>
                <w:kern w:val="2"/>
                <w:szCs w:val="21"/>
              </w:rPr>
              <w:t>30,144</w:t>
            </w:r>
          </w:p>
        </w:tc>
        <w:tc>
          <w:tcPr>
            <w:tcW w:w="1843" w:type="dxa"/>
          </w:tcPr>
          <w:p>
            <w:pPr>
              <w:pStyle w:val="affffffffffffffffffffffffffffffffe"/>
              <w:rPr>
                <w:rFonts w:cs="Times New Roman"/>
                <w:kern w:val="2"/>
                <w:szCs w:val="21"/>
              </w:rPr>
            </w:pPr>
          </w:p>
        </w:tc>
      </w:tr>
    </w:tbl>
    <w:p>
      <w:pPr>
        <w:pStyle w:val="affffffffffffffffffffffffffffffffe"/>
        <w:rPr>
          <w:rFonts w:cs="Times New Roman"/>
          <w:kern w:val="2"/>
          <w:szCs w:val="21"/>
        </w:rPr>
      </w:pPr>
    </w:p>
    <w:p>
      <w:pPr>
        <w:spacing w:before="60" w:after="60" w:line="360" w:lineRule="exact"/>
        <w:rPr>
          <w:rFonts w:cs="Times New Roman"/>
          <w:kern w:val="2"/>
          <w:szCs w:val="21"/>
        </w:rPr>
      </w:pPr>
      <w:r>
        <w:rPr>
          <w:rFonts w:cs="Times New Roman" w:hint="eastAsia"/>
          <w:kern w:val="2"/>
          <w:szCs w:val="21"/>
        </w:rPr>
        <w:t>其他说明：</w:t>
      </w:r>
    </w:p>
    <w:sdt>
      <w:sdtPr>
        <w:rPr>
          <w:rFonts w:cs="Times New Roman"/>
          <w:kern w:val="2"/>
          <w:szCs w:val="21"/>
        </w:rPr>
        <w:alias w:val="是否适用：营业外收入说明[双击切换]"/>
        <w:tag w:val="_GBC_746f9c9c9cab4c2a87c7913a430e2392"/>
        <w:id w:val="-1942375184"/>
        <w:placeholder>
          <w:docPart w:val="GBC22222222222222222222222222222"/>
        </w:placeholder>
      </w:sdtPr>
      <w:sdtContent>
        <w:p>
          <w:pPr>
            <w:spacing w:before="60" w:after="60" w:line="360" w:lineRule="exact"/>
            <w:rPr>
              <w:rFonts w:cs="Times New Roman"/>
              <w:kern w:val="2"/>
              <w:szCs w:val="21"/>
            </w:rPr>
          </w:pPr>
          <w:r>
            <w:rPr>
              <w:rFonts w:cs="Times New Roman"/>
              <w:kern w:val="2"/>
              <w:szCs w:val="21"/>
            </w:rPr>
            <w:fldChar w:fldCharType="begin"/>
          </w:r>
          <w:r>
            <w:rPr>
              <w:rFonts w:cs="Times New Roman"/>
              <w:kern w:val="2"/>
              <w:szCs w:val="21"/>
            </w:rPr>
            <w:instrText xml:space="preserve">MACROBUTTON  SnrToggleCheckbox □适用 </w:instrText>
          </w:r>
          <w:r>
            <w:rPr>
              <w:rFonts w:cs="Times New Roman"/>
              <w:kern w:val="2"/>
              <w:szCs w:val="21"/>
            </w:rPr>
            <w:fldChar w:fldCharType="end"/>
          </w:r>
          <w:r>
            <w:rPr>
              <w:rFonts w:cs="Times New Roman"/>
              <w:kern w:val="2"/>
              <w:szCs w:val="21"/>
            </w:rPr>
            <w:fldChar w:fldCharType="begin"/>
          </w:r>
          <w:r>
            <w:rPr>
              <w:rFonts w:cs="Times New Roman"/>
              <w:kern w:val="2"/>
              <w:szCs w:val="21"/>
            </w:rPr>
            <w:instrText xml:space="preserve"> MACROBUTTON  SnrToggleCheckbox √不适用 </w:instrText>
          </w:r>
          <w:r>
            <w:rPr>
              <w:rFonts w:cs="Times New Roman"/>
              <w:kern w:val="2"/>
              <w:szCs w:val="21"/>
            </w:rPr>
            <w:fldChar w:fldCharType="end"/>
          </w:r>
        </w:p>
      </w:sdtContent>
    </w:sdt>
    <w:p>
      <w:pPr>
        <w:pStyle w:val="affffffffffffffffffffffffffffffffe"/>
        <w:rPr>
          <w:rFonts w:cs="Times New Roman"/>
          <w:kern w:val="2"/>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营业外支出</w:t>
      </w:r>
    </w:p>
    <w:sdt>
      <w:sdtPr>
        <w:rPr>
          <w:rFonts w:hint="eastAsia"/>
          <w:szCs w:val="21"/>
        </w:rPr>
        <w:alias w:val="是否适用：营业外支出[双击切换]"/>
        <w:tag w:val="_GBC_8e8d3e6e563742f48edf759d6034f4ce"/>
        <w:id w:val="-105707827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营业外支出"/>
          <w:tag w:val="_GBC_825ccc5a51fd47a4888bf19121bc88e6"/>
          <w:id w:val="-11085021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营业外支出"/>
          <w:tag w:val="_GBC_0236683596bd499a92bd40e4c42dc931"/>
          <w:id w:val="15228921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6"/>
        <w:gridCol w:w="2317"/>
        <w:gridCol w:w="2271"/>
        <w:gridCol w:w="2259"/>
      </w:tblGrid>
      <w:tr>
        <w:sdt>
          <w:sdtPr>
            <w:tag w:val="_PLD_3e5b39f95fae41609c103f36a1017c54"/>
            <w:id w:val="-1239472115"/>
          </w:sdtPr>
          <w:sdtContent>
            <w:tc>
              <w:tcPr>
                <w:tcW w:w="112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项目</w:t>
                </w:r>
              </w:p>
            </w:tc>
          </w:sdtContent>
        </w:sdt>
        <w:sdt>
          <w:sdtPr>
            <w:tag w:val="_PLD_9ea5703e0d9641a1acf20638053e3dd5"/>
            <w:id w:val="-775709915"/>
          </w:sdtPr>
          <w:sdtContent>
            <w:tc>
              <w:tcPr>
                <w:tcW w:w="1313"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本期发生额</w:t>
                </w:r>
              </w:p>
            </w:tc>
          </w:sdtContent>
        </w:sdt>
        <w:sdt>
          <w:sdtPr>
            <w:tag w:val="_PLD_27cbc4bb29594bcfa61154a0d46b4d20"/>
            <w:id w:val="946653667"/>
          </w:sdtPr>
          <w:sdtContent>
            <w:tc>
              <w:tcPr>
                <w:tcW w:w="1287"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上期发生额</w:t>
                </w:r>
              </w:p>
            </w:tc>
          </w:sdtContent>
        </w:sdt>
        <w:sdt>
          <w:sdtPr>
            <w:tag w:val="_PLD_cab5bf568f924fed9d087fb26b588481"/>
            <w:id w:val="-2118513999"/>
          </w:sdtPr>
          <w:sdtContent>
            <w:tc>
              <w:tcPr>
                <w:tcW w:w="128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计入当期非经常性损益的金额</w:t>
                </w:r>
              </w:p>
            </w:tc>
          </w:sdtContent>
        </w:sdt>
      </w:tr>
      <w:tr>
        <w:tc>
          <w:tcPr>
            <w:tcW w:w="1120"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罚款及滞纳金</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235,393</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134,485</w:t>
            </w:r>
          </w:p>
        </w:tc>
        <w:tc>
          <w:tcPr>
            <w:tcW w:w="128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235,393</w:t>
            </w:r>
          </w:p>
        </w:tc>
      </w:tr>
      <w:tr>
        <w:tc>
          <w:tcPr>
            <w:tcW w:w="1120"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58,002</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50,486</w:t>
            </w:r>
          </w:p>
        </w:tc>
        <w:tc>
          <w:tcPr>
            <w:tcW w:w="128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58,002</w:t>
            </w:r>
          </w:p>
        </w:tc>
      </w:tr>
      <w:tr>
        <w:tc>
          <w:tcPr>
            <w:tcW w:w="1120"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非流动资产毁损报废损失</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5,266</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6,576</w:t>
            </w:r>
          </w:p>
        </w:tc>
        <w:tc>
          <w:tcPr>
            <w:tcW w:w="128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5,266</w:t>
            </w:r>
          </w:p>
        </w:tc>
      </w:tr>
      <w:tr>
        <w:tc>
          <w:tcPr>
            <w:tcW w:w="1120"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非常损失</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4,076</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6,309</w:t>
            </w:r>
          </w:p>
        </w:tc>
        <w:tc>
          <w:tcPr>
            <w:tcW w:w="128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4,076</w:t>
            </w:r>
          </w:p>
        </w:tc>
      </w:tr>
      <w:tr>
        <w:tc>
          <w:tcPr>
            <w:tcW w:w="1120"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215,709</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125,140</w:t>
            </w:r>
          </w:p>
        </w:tc>
        <w:tc>
          <w:tcPr>
            <w:tcW w:w="128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215,709</w:t>
            </w:r>
          </w:p>
        </w:tc>
      </w:tr>
      <w:tr>
        <w:tc>
          <w:tcPr>
            <w:tcW w:w="1120" w:type="pct"/>
            <w:tcBorders>
              <w:top w:val="single" w:sz="4" w:space="0" w:color="auto"/>
              <w:left w:val="single" w:sz="4" w:space="0" w:color="auto"/>
              <w:bottom w:val="single" w:sz="4" w:space="0" w:color="auto"/>
              <w:right w:val="single" w:sz="4" w:space="0" w:color="auto"/>
            </w:tcBorders>
            <w:vAlign w:val="center"/>
          </w:tcPr>
          <w:p>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518,446</w:t>
            </w:r>
          </w:p>
        </w:tc>
        <w:tc>
          <w:tcPr>
            <w:tcW w:w="128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322,996</w:t>
            </w:r>
          </w:p>
        </w:tc>
        <w:tc>
          <w:tcPr>
            <w:tcW w:w="1280"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right"/>
              <w:rPr>
                <w:szCs w:val="21"/>
              </w:rPr>
            </w:pPr>
            <w:r>
              <w:rPr>
                <w:szCs w:val="21"/>
              </w:rPr>
              <w:t>518,446</w:t>
            </w:r>
          </w:p>
        </w:tc>
      </w:tr>
    </w:tbl>
    <w:p>
      <w:pPr>
        <w:spacing w:before="60" w:after="60"/>
        <w:rPr>
          <w:szCs w:val="21"/>
        </w:rPr>
      </w:pPr>
      <w:r>
        <w:rPr>
          <w:rFonts w:hint="eastAsia"/>
          <w:szCs w:val="21"/>
        </w:rPr>
        <w:t>其他说明：</w:t>
      </w:r>
    </w:p>
    <w:sdt>
      <w:sdtPr>
        <w:rPr>
          <w:rFonts w:hint="eastAsia"/>
          <w:szCs w:val="21"/>
        </w:rPr>
        <w:alias w:val="营业外支出说明"/>
        <w:tag w:val="_GBC_88ac743f9ece44c8ba4b737327409578"/>
        <w:id w:val="1720479111"/>
        <w:placeholder>
          <w:docPart w:val="GBC22222222222222222222222222222"/>
        </w:placeholder>
      </w:sdtPr>
      <w:sdtEndPr>
        <w:rPr>
          <w:rFonts w:asciiTheme="minorHAnsi" w:eastAsiaTheme="minorEastAsia" w:hAnsiTheme="minorHAnsi"/>
        </w:rPr>
      </w:sdtEndPr>
      <w:sdtContent>
        <w:p>
          <w:pPr>
            <w:rPr>
              <w:szCs w:val="21"/>
            </w:rPr>
          </w:pPr>
          <w:r>
            <w:rPr>
              <w:szCs w:val="21"/>
            </w:rPr>
            <w:t>-</w:t>
          </w:r>
        </w:p>
      </w:sdtContent>
    </w:sdt>
    <w:p>
      <w:pPr>
        <w:pStyle w:val="affffffffffffffffffffffffffffffffe"/>
      </w:pPr>
    </w:p>
    <w:p>
      <w:pPr>
        <w:pStyle w:val="affffffffffffffffff6"/>
        <w:numPr>
          <w:ilvl w:val="0"/>
          <w:numId w:val="103"/>
        </w:numPr>
        <w:tabs>
          <w:tab w:val="left" w:pos="504"/>
        </w:tabs>
        <w:rPr>
          <w:rFonts w:ascii="宋体" w:hAnsi="宋体"/>
          <w:szCs w:val="21"/>
        </w:rPr>
      </w:pPr>
      <w:r>
        <w:rPr>
          <w:rFonts w:ascii="宋体" w:hAnsi="宋体" w:hint="eastAsia"/>
          <w:szCs w:val="21"/>
        </w:rPr>
        <w:t>所得税费用</w:t>
      </w:r>
    </w:p>
    <w:p>
      <w:pPr>
        <w:pStyle w:val="afffffffffffffffffffffffffffffffff1"/>
        <w:numPr>
          <w:ilvl w:val="0"/>
          <w:numId w:val="128"/>
        </w:numPr>
        <w:ind w:left="426" w:hanging="426"/>
      </w:pPr>
      <w:r>
        <w:rPr>
          <w:rFonts w:hint="eastAsia"/>
        </w:rPr>
        <w:t>所得税费用表</w:t>
      </w:r>
    </w:p>
    <w:sdt>
      <w:sdtPr>
        <w:alias w:val="是否适用：所得税费用表[双击切换]"/>
        <w:tag w:val="_GBC_3ea18046339d457a8712506679035498"/>
        <w:id w:val="92985530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0924655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所得税费用"/>
          <w:tag w:val="_GBC_9c72c96e28344525b1836b3923556f61"/>
          <w:id w:val="10525835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31"/>
        <w:gridCol w:w="2854"/>
        <w:gridCol w:w="2838"/>
      </w:tblGrid>
      <w:tr>
        <w:trPr>
          <w:trHeight w:val="279"/>
        </w:trPr>
        <w:sdt>
          <w:sdtPr>
            <w:tag w:val="_PLD_e0d72a7f55e04c898352587240ce636b"/>
            <w:id w:val="1895315193"/>
          </w:sdtPr>
          <w:sdtContent>
            <w:tc>
              <w:tcPr>
                <w:tcW w:w="1774" w:type="pct"/>
                <w:vAlign w:val="center"/>
              </w:tcPr>
              <w:p>
                <w:pPr>
                  <w:ind w:right="6"/>
                  <w:jc w:val="center"/>
                  <w:rPr>
                    <w:szCs w:val="21"/>
                  </w:rPr>
                </w:pPr>
                <w:r>
                  <w:rPr>
                    <w:rFonts w:hint="eastAsia"/>
                    <w:szCs w:val="21"/>
                  </w:rPr>
                  <w:t>项目</w:t>
                </w:r>
              </w:p>
            </w:tc>
          </w:sdtContent>
        </w:sdt>
        <w:sdt>
          <w:sdtPr>
            <w:tag w:val="_PLD_e2b12491de324856a6b2f7034aa875da"/>
            <w:id w:val="826871393"/>
          </w:sdtPr>
          <w:sdtContent>
            <w:tc>
              <w:tcPr>
                <w:tcW w:w="1617" w:type="pct"/>
                <w:vAlign w:val="center"/>
              </w:tcPr>
              <w:p>
                <w:pPr>
                  <w:ind w:right="6"/>
                  <w:jc w:val="center"/>
                  <w:rPr>
                    <w:szCs w:val="21"/>
                  </w:rPr>
                </w:pPr>
                <w:r>
                  <w:rPr>
                    <w:rFonts w:hint="eastAsia"/>
                    <w:szCs w:val="21"/>
                  </w:rPr>
                  <w:t>本期发生额</w:t>
                </w:r>
              </w:p>
            </w:tc>
          </w:sdtContent>
        </w:sdt>
        <w:sdt>
          <w:sdtPr>
            <w:tag w:val="_PLD_4b2515977b8d462088eb538637703bf1"/>
            <w:id w:val="-85688722"/>
          </w:sdtPr>
          <w:sdtContent>
            <w:tc>
              <w:tcPr>
                <w:tcW w:w="1608" w:type="pct"/>
                <w:vAlign w:val="center"/>
              </w:tcPr>
              <w:p>
                <w:pPr>
                  <w:ind w:right="6"/>
                  <w:jc w:val="center"/>
                  <w:rPr>
                    <w:szCs w:val="21"/>
                  </w:rPr>
                </w:pPr>
                <w:r>
                  <w:rPr>
                    <w:rFonts w:hint="eastAsia"/>
                    <w:szCs w:val="21"/>
                  </w:rPr>
                  <w:t>上期发生额</w:t>
                </w:r>
              </w:p>
            </w:tc>
          </w:sdtContent>
        </w:sdt>
      </w:tr>
      <w:tr>
        <w:tc>
          <w:tcPr>
            <w:tcW w:w="1774" w:type="pct"/>
          </w:tcPr>
          <w:p>
            <w:pPr>
              <w:ind w:right="6"/>
              <w:rPr>
                <w:b/>
                <w:bCs/>
                <w:szCs w:val="21"/>
              </w:rPr>
            </w:pPr>
            <w:r>
              <w:rPr>
                <w:rFonts w:hint="eastAsia"/>
                <w:szCs w:val="21"/>
              </w:rPr>
              <w:t>当期所得税费用</w:t>
            </w:r>
          </w:p>
        </w:tc>
        <w:tc>
          <w:tcPr>
            <w:tcW w:w="1617" w:type="pct"/>
            <w:vAlign w:val="center"/>
          </w:tcPr>
          <w:p>
            <w:pPr>
              <w:ind w:right="6"/>
              <w:jc w:val="right"/>
              <w:rPr>
                <w:szCs w:val="21"/>
              </w:rPr>
            </w:pPr>
            <w:r>
              <w:rPr>
                <w:szCs w:val="21"/>
              </w:rPr>
              <w:t>6,190,203</w:t>
            </w:r>
          </w:p>
        </w:tc>
        <w:tc>
          <w:tcPr>
            <w:tcW w:w="1608" w:type="pct"/>
            <w:vAlign w:val="center"/>
          </w:tcPr>
          <w:p>
            <w:pPr>
              <w:ind w:right="6"/>
              <w:jc w:val="right"/>
              <w:rPr>
                <w:szCs w:val="21"/>
              </w:rPr>
            </w:pPr>
            <w:r>
              <w:rPr>
                <w:szCs w:val="21"/>
              </w:rPr>
              <w:t>9,647,506</w:t>
            </w:r>
          </w:p>
        </w:tc>
      </w:tr>
      <w:tr>
        <w:tc>
          <w:tcPr>
            <w:tcW w:w="1774" w:type="pct"/>
          </w:tcPr>
          <w:p>
            <w:pPr>
              <w:ind w:right="6"/>
              <w:rPr>
                <w:szCs w:val="21"/>
              </w:rPr>
            </w:pPr>
            <w:r>
              <w:rPr>
                <w:rFonts w:hint="eastAsia"/>
                <w:szCs w:val="21"/>
              </w:rPr>
              <w:t>递延所得税费用</w:t>
            </w:r>
          </w:p>
        </w:tc>
        <w:tc>
          <w:tcPr>
            <w:tcW w:w="1617" w:type="pct"/>
            <w:vAlign w:val="center"/>
          </w:tcPr>
          <w:p>
            <w:pPr>
              <w:ind w:right="6"/>
              <w:jc w:val="right"/>
              <w:rPr>
                <w:szCs w:val="21"/>
              </w:rPr>
            </w:pPr>
            <w:r>
              <w:rPr>
                <w:szCs w:val="21"/>
              </w:rPr>
              <w:t>169,283</w:t>
            </w:r>
          </w:p>
        </w:tc>
        <w:tc>
          <w:tcPr>
            <w:tcW w:w="1608" w:type="pct"/>
            <w:vAlign w:val="center"/>
          </w:tcPr>
          <w:p>
            <w:pPr>
              <w:ind w:right="6"/>
              <w:jc w:val="right"/>
              <w:rPr>
                <w:szCs w:val="21"/>
              </w:rPr>
            </w:pPr>
            <w:r>
              <w:rPr>
                <w:szCs w:val="21"/>
              </w:rPr>
              <w:t>209,244</w:t>
            </w:r>
          </w:p>
        </w:tc>
      </w:tr>
      <w:tr>
        <w:tc>
          <w:tcPr>
            <w:tcW w:w="1774" w:type="pct"/>
          </w:tcPr>
          <w:p>
            <w:pPr>
              <w:ind w:right="6"/>
              <w:jc w:val="center"/>
              <w:rPr>
                <w:szCs w:val="21"/>
              </w:rPr>
            </w:pPr>
            <w:r>
              <w:rPr>
                <w:rFonts w:hint="eastAsia"/>
                <w:szCs w:val="21"/>
              </w:rPr>
              <w:t>合计</w:t>
            </w:r>
          </w:p>
        </w:tc>
        <w:tc>
          <w:tcPr>
            <w:tcW w:w="1617" w:type="pct"/>
          </w:tcPr>
          <w:p>
            <w:pPr>
              <w:ind w:right="6"/>
              <w:jc w:val="right"/>
              <w:rPr>
                <w:szCs w:val="21"/>
              </w:rPr>
            </w:pPr>
            <w:r>
              <w:rPr>
                <w:szCs w:val="21"/>
              </w:rPr>
              <w:t>6,359,486</w:t>
            </w:r>
          </w:p>
        </w:tc>
        <w:tc>
          <w:tcPr>
            <w:tcW w:w="1608" w:type="pct"/>
          </w:tcPr>
          <w:p>
            <w:pPr>
              <w:ind w:right="6"/>
              <w:jc w:val="right"/>
              <w:rPr>
                <w:szCs w:val="21"/>
              </w:rPr>
            </w:pPr>
            <w:r>
              <w:rPr>
                <w:szCs w:val="21"/>
              </w:rPr>
              <w:t>9,856,750</w:t>
            </w:r>
          </w:p>
        </w:tc>
      </w:tr>
    </w:tbl>
    <w:p>
      <w:pPr>
        <w:rPr>
          <w:szCs w:val="21"/>
        </w:rPr>
      </w:pPr>
    </w:p>
    <w:p>
      <w:pPr>
        <w:pStyle w:val="afffffffffffffffffffffffffffffffff1"/>
        <w:numPr>
          <w:ilvl w:val="0"/>
          <w:numId w:val="128"/>
        </w:numPr>
        <w:ind w:left="426" w:hanging="426"/>
      </w:pPr>
      <w:r>
        <w:rPr>
          <w:rFonts w:hint="eastAsia"/>
        </w:rPr>
        <w:lastRenderedPageBreak/>
        <w:t>会计利润与所得税费用调整过程</w:t>
      </w:r>
    </w:p>
    <w:sdt>
      <w:sdtPr>
        <w:alias w:val="是否适用：会计利润与所得税费用调整过程[双击切换]"/>
        <w:tag w:val="_GBC_add00d323e2049ad8bc932f632966661"/>
        <w:id w:val="-190359115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1970141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会计利润与所得税费用调整过程"/>
          <w:tag w:val="_GBC_017b69d0005b4ea99f76c547a25a6231"/>
          <w:id w:val="587745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9"/>
        <w:gridCol w:w="4554"/>
      </w:tblGrid>
      <w:tr>
        <w:sdt>
          <w:sdtPr>
            <w:tag w:val="_PLD_1123621c9879400694da9a8842888e14"/>
            <w:id w:val="375280668"/>
          </w:sdtPr>
          <w:sdtContent>
            <w:tc>
              <w:tcPr>
                <w:tcW w:w="2419" w:type="pct"/>
                <w:tcBorders>
                  <w:top w:val="single" w:sz="4" w:space="0" w:color="auto"/>
                  <w:left w:val="single" w:sz="4" w:space="0" w:color="auto"/>
                  <w:bottom w:val="single" w:sz="4" w:space="0" w:color="auto"/>
                  <w:right w:val="single" w:sz="4" w:space="0" w:color="auto"/>
                </w:tcBorders>
                <w:shd w:val="clear" w:color="auto" w:fill="auto"/>
                <w:hideMark/>
              </w:tcPr>
              <w:p>
                <w:pPr>
                  <w:jc w:val="center"/>
                </w:pPr>
                <w:r>
                  <w:rPr>
                    <w:rFonts w:hint="eastAsia"/>
                  </w:rPr>
                  <w:t>项目</w:t>
                </w:r>
              </w:p>
            </w:tc>
          </w:sdtContent>
        </w:sdt>
        <w:sdt>
          <w:sdtPr>
            <w:tag w:val="_PLD_4a270148a32846b69754961e55c75a04"/>
            <w:id w:val="504712731"/>
          </w:sdtPr>
          <w:sdtContent>
            <w:tc>
              <w:tcPr>
                <w:tcW w:w="2581" w:type="pct"/>
                <w:tcBorders>
                  <w:top w:val="single" w:sz="4" w:space="0" w:color="auto"/>
                  <w:left w:val="single" w:sz="4" w:space="0" w:color="auto"/>
                  <w:bottom w:val="single" w:sz="4" w:space="0" w:color="auto"/>
                  <w:right w:val="single" w:sz="4" w:space="0" w:color="auto"/>
                </w:tcBorders>
                <w:shd w:val="clear" w:color="auto" w:fill="auto"/>
                <w:hideMark/>
              </w:tcPr>
              <w:p>
                <w:pPr>
                  <w:jc w:val="center"/>
                </w:pPr>
                <w:r>
                  <w:rPr>
                    <w:rFonts w:hint="eastAsia"/>
                  </w:rPr>
                  <w:t>本期发生额</w:t>
                </w:r>
              </w:p>
            </w:tc>
          </w:sdtContent>
        </w:sdt>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利润总额</w:t>
            </w:r>
          </w:p>
        </w:tc>
        <w:tc>
          <w:tcPr>
            <w:tcW w:w="2581" w:type="pct"/>
            <w:tcBorders>
              <w:top w:val="single" w:sz="4" w:space="0" w:color="auto"/>
              <w:left w:val="single" w:sz="4" w:space="0" w:color="auto"/>
              <w:bottom w:val="single" w:sz="6" w:space="0" w:color="auto"/>
              <w:right w:val="single" w:sz="6" w:space="0" w:color="auto"/>
            </w:tcBorders>
            <w:shd w:val="clear" w:color="auto" w:fill="auto"/>
            <w:vAlign w:val="center"/>
          </w:tcPr>
          <w:p>
            <w:pPr>
              <w:jc w:val="right"/>
            </w:pPr>
            <w:r>
              <w:t>27,291,778</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按法定[或适用]税率计算的所得税费用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6,822,944</w:t>
            </w:r>
          </w:p>
        </w:tc>
      </w:tr>
      <w:tr>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某些子公司适用不同税率的影响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-169,733</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对以前期间当期所得税的调整</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83,206</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归属于合营企业和联营企业的损益</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-471,788</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无须纳税的收入</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-326,971</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不可抵扣的费用</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320,702</w:t>
            </w:r>
          </w:p>
        </w:tc>
      </w:tr>
      <w:tr>
        <w:tc>
          <w:tcPr>
            <w:tcW w:w="2419" w:type="pct"/>
            <w:tcBorders>
              <w:top w:val="single" w:sz="4" w:space="0" w:color="auto"/>
              <w:left w:val="single" w:sz="4" w:space="0" w:color="auto"/>
              <w:bottom w:val="single" w:sz="4" w:space="0" w:color="auto"/>
              <w:right w:val="single" w:sz="4" w:space="0" w:color="auto"/>
            </w:tcBorders>
            <w:shd w:val="clear" w:color="auto" w:fill="auto"/>
            <w:vAlign w:val="center"/>
            <w:hideMark/>
          </w:tcPr>
          <w:p>
            <w:pPr>
              <w:spacing w:line="360" w:lineRule="exact"/>
              <w:rPr>
                <w:szCs w:val="21"/>
              </w:rPr>
            </w:pPr>
            <w:r>
              <w:rPr>
                <w:rFonts w:hint="eastAsia"/>
                <w:szCs w:val="21"/>
              </w:rPr>
              <w:t>以前年度已确认递延所得税的可抵扣暂时性差异和可抵扣亏损的影响</w:t>
            </w:r>
          </w:p>
        </w:tc>
        <w:tc>
          <w:tcPr>
            <w:tcW w:w="2581" w:type="pct"/>
            <w:tcBorders>
              <w:top w:val="single" w:sz="6" w:space="0" w:color="auto"/>
              <w:left w:val="single" w:sz="4" w:space="0" w:color="auto"/>
              <w:bottom w:val="single" w:sz="6" w:space="0" w:color="auto"/>
              <w:right w:val="single" w:sz="6" w:space="0" w:color="auto"/>
            </w:tcBorders>
            <w:shd w:val="clear" w:color="auto" w:fill="auto"/>
            <w:vAlign w:val="center"/>
          </w:tcPr>
          <w:p>
            <w:pPr>
              <w:jc w:val="right"/>
            </w:pPr>
            <w:r>
              <w:t>-115,047</w:t>
            </w:r>
          </w:p>
        </w:tc>
      </w:tr>
      <w:tr>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pPr>
              <w:spacing w:line="360" w:lineRule="exact"/>
              <w:rPr>
                <w:szCs w:val="21"/>
              </w:rPr>
            </w:pPr>
            <w:r>
              <w:rPr>
                <w:rFonts w:hint="eastAsia"/>
                <w:szCs w:val="21"/>
              </w:rPr>
              <w:t>未确认的可抵扣暂时性差异和可抵扣亏损的影响</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pPr>
              <w:jc w:val="right"/>
            </w:pPr>
            <w:r>
              <w:t>420,585</w:t>
            </w:r>
          </w:p>
        </w:tc>
      </w:tr>
      <w:tr>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pPr>
              <w:spacing w:line="360" w:lineRule="exact"/>
              <w:rPr>
                <w:szCs w:val="21"/>
              </w:rPr>
            </w:pPr>
            <w:r>
              <w:rPr>
                <w:rFonts w:hint="eastAsia"/>
                <w:szCs w:val="21"/>
              </w:rPr>
              <w:t>研发费用等费用项目加计扣除</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pPr>
              <w:jc w:val="right"/>
            </w:pPr>
            <w:r>
              <w:t>-172,111</w:t>
            </w:r>
          </w:p>
        </w:tc>
      </w:tr>
      <w:tr>
        <w:tc>
          <w:tcPr>
            <w:tcW w:w="2419" w:type="pct"/>
            <w:tcBorders>
              <w:top w:val="single" w:sz="4" w:space="0" w:color="auto"/>
              <w:left w:val="single" w:sz="6" w:space="0" w:color="auto"/>
              <w:bottom w:val="single" w:sz="6" w:space="0" w:color="auto"/>
              <w:right w:val="single" w:sz="6" w:space="0" w:color="auto"/>
            </w:tcBorders>
            <w:shd w:val="clear" w:color="auto" w:fill="auto"/>
            <w:vAlign w:val="center"/>
          </w:tcPr>
          <w:p>
            <w:pPr>
              <w:spacing w:line="360" w:lineRule="exact"/>
              <w:rPr>
                <w:szCs w:val="21"/>
              </w:rPr>
            </w:pPr>
            <w:r>
              <w:rPr>
                <w:szCs w:val="21"/>
              </w:rPr>
              <w:t>其他</w:t>
            </w:r>
          </w:p>
        </w:tc>
        <w:tc>
          <w:tcPr>
            <w:tcW w:w="2581" w:type="pct"/>
            <w:tcBorders>
              <w:top w:val="single" w:sz="6" w:space="0" w:color="auto"/>
              <w:left w:val="single" w:sz="6" w:space="0" w:color="auto"/>
              <w:bottom w:val="single" w:sz="6" w:space="0" w:color="auto"/>
              <w:right w:val="single" w:sz="6" w:space="0" w:color="auto"/>
            </w:tcBorders>
            <w:shd w:val="clear" w:color="auto" w:fill="auto"/>
            <w:vAlign w:val="center"/>
          </w:tcPr>
          <w:p>
            <w:pPr>
              <w:jc w:val="right"/>
            </w:pPr>
            <w:r>
              <w:t>-32,301</w:t>
            </w:r>
          </w:p>
        </w:tc>
      </w:tr>
      <w:tr>
        <w:tc>
          <w:tcPr>
            <w:tcW w:w="2419" w:type="pct"/>
            <w:tcBorders>
              <w:top w:val="single" w:sz="4" w:space="0" w:color="auto"/>
              <w:left w:val="single" w:sz="4" w:space="0" w:color="auto"/>
              <w:bottom w:val="single" w:sz="4" w:space="0" w:color="auto"/>
              <w:right w:val="single" w:sz="4" w:space="0" w:color="auto"/>
            </w:tcBorders>
            <w:shd w:val="clear" w:color="auto" w:fill="auto"/>
            <w:hideMark/>
          </w:tcPr>
          <w:p>
            <w:pPr>
              <w:pStyle w:val="affffffffffffffffffffffffffffffffe"/>
              <w:rPr>
                <w:szCs w:val="21"/>
              </w:rPr>
            </w:pPr>
            <w:r>
              <w:rPr>
                <w:rFonts w:hint="eastAsia"/>
                <w:szCs w:val="21"/>
              </w:rPr>
              <w:t>所得税费用</w:t>
            </w:r>
          </w:p>
        </w:tc>
        <w:tc>
          <w:tcPr>
            <w:tcW w:w="2581" w:type="pct"/>
            <w:tcBorders>
              <w:top w:val="single" w:sz="6" w:space="0" w:color="auto"/>
              <w:left w:val="single" w:sz="4" w:space="0" w:color="auto"/>
              <w:bottom w:val="single" w:sz="6" w:space="0" w:color="auto"/>
              <w:right w:val="single" w:sz="6" w:space="0" w:color="auto"/>
            </w:tcBorders>
            <w:shd w:val="clear" w:color="auto" w:fill="auto"/>
          </w:tcPr>
          <w:p>
            <w:pPr>
              <w:jc w:val="right"/>
            </w:pPr>
            <w:r>
              <w:t>6,359,486</w:t>
            </w:r>
          </w:p>
        </w:tc>
      </w:tr>
    </w:tbl>
    <w:p>
      <w:pPr>
        <w:rPr>
          <w:szCs w:val="21"/>
        </w:rPr>
      </w:pPr>
    </w:p>
    <w:p>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422866937"/>
        <w:placeholder>
          <w:docPart w:val="GBC22222222222222222222222222222"/>
        </w:placeholder>
      </w:sdt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b/>
        </w:rPr>
      </w:pPr>
    </w:p>
    <w:p>
      <w:pPr>
        <w:keepNext/>
        <w:keepLines/>
        <w:widowControl w:val="0"/>
        <w:numPr>
          <w:ilvl w:val="0"/>
          <w:numId w:val="103"/>
        </w:numPr>
        <w:tabs>
          <w:tab w:val="left" w:pos="504"/>
        </w:tabs>
        <w:spacing w:before="60" w:line="360" w:lineRule="auto"/>
        <w:ind w:left="0" w:firstLine="442"/>
        <w:jc w:val="both"/>
        <w:outlineLvl w:val="2"/>
        <w:rPr>
          <w:rFonts w:cs="Times New Roman"/>
          <w:b/>
          <w:bCs/>
          <w:kern w:val="2"/>
          <w:szCs w:val="21"/>
        </w:rPr>
      </w:pPr>
      <w:r>
        <w:rPr>
          <w:rFonts w:cs="Times New Roman" w:hint="eastAsia"/>
          <w:b/>
          <w:bCs/>
          <w:kern w:val="2"/>
          <w:szCs w:val="21"/>
        </w:rPr>
        <w:t>其他综合收益</w:t>
      </w:r>
    </w:p>
    <w:sdt>
      <w:sdtPr>
        <w:alias w:val="是否适用：其他综合收益说明[双击切换]"/>
        <w:tag w:val="_GBC_055e86e99cd742699e3e89a438a26b74"/>
        <w:id w:val="151272006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其他综合收益详见附注"/>
        <w:tag w:val="_GBC_88f79522b3404a9cba25ea8b611e6680"/>
        <w:id w:val="-106439050"/>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rPr>
            <w:t>详见“七、（五十七）其他综合收益”。</w:t>
          </w:r>
        </w:p>
      </w:sdtContent>
    </w:sdt>
    <w:p>
      <w:pPr>
        <w:pStyle w:val="affffffffffffffffff6"/>
        <w:numPr>
          <w:ilvl w:val="0"/>
          <w:numId w:val="103"/>
        </w:numPr>
        <w:tabs>
          <w:tab w:val="left" w:pos="504"/>
        </w:tabs>
        <w:ind w:left="0" w:firstLine="442"/>
        <w:rPr>
          <w:rFonts w:ascii="宋体" w:hAnsi="宋体"/>
          <w:szCs w:val="21"/>
        </w:rPr>
      </w:pPr>
      <w:r>
        <w:rPr>
          <w:rFonts w:ascii="宋体" w:hAnsi="宋体" w:hint="eastAsia"/>
          <w:szCs w:val="21"/>
        </w:rPr>
        <w:t>现金流量表项目</w:t>
      </w:r>
    </w:p>
    <w:p>
      <w:pPr>
        <w:pStyle w:val="afffffffffffffffffffffffffffffffff1"/>
        <w:numPr>
          <w:ilvl w:val="0"/>
          <w:numId w:val="129"/>
        </w:numPr>
        <w:ind w:left="426" w:hanging="426"/>
      </w:pPr>
      <w:r>
        <w:rPr>
          <w:rFonts w:hint="eastAsia"/>
        </w:rPr>
        <w:t>与经营活动有关的现金</w:t>
      </w:r>
    </w:p>
    <w:p>
      <w:pPr>
        <w:pStyle w:val="affffffffffffffffffffffffffffffffe"/>
      </w:pPr>
      <w:r>
        <w:rPr>
          <w:rFonts w:hint="eastAsia"/>
        </w:rPr>
        <w:t>收到的其他与经营活动有关的现金</w:t>
      </w:r>
    </w:p>
    <w:sdt>
      <w:sdtPr>
        <w:alias w:val="是否适用：收到的其他与经营活动有关的现金[双击切换]"/>
        <w:tag w:val="_GBC_27345010807c4445aa9d99ce1518a33b"/>
        <w:id w:val="-90198914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342440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14782180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sdt>
          <w:sdtPr>
            <w:tag w:val="_PLD_f7a5d7090c5c4e2b95d9e6f0ea383580"/>
            <w:id w:val="1656871834"/>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11951797"/>
          </w:sdtPr>
          <w:sdtContent>
            <w:tc>
              <w:tcPr>
                <w:tcW w:w="1562"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1372655055"/>
          </w:sdtPr>
          <w:sdtContent>
            <w:tc>
              <w:tcPr>
                <w:tcW w:w="1556" w:type="pct"/>
              </w:tcPr>
              <w:p>
                <w:pPr>
                  <w:autoSpaceDE w:val="0"/>
                  <w:autoSpaceDN w:val="0"/>
                  <w:adjustRightInd w:val="0"/>
                  <w:snapToGrid w:val="0"/>
                  <w:spacing w:line="240" w:lineRule="atLeast"/>
                  <w:jc w:val="center"/>
                  <w:rPr>
                    <w:szCs w:val="21"/>
                  </w:rPr>
                </w:pPr>
                <w:r>
                  <w:rPr>
                    <w:rFonts w:hint="eastAsia"/>
                  </w:rPr>
                  <w:t>上期发生额</w:t>
                </w:r>
              </w:p>
            </w:tc>
          </w:sdtContent>
        </w:sdt>
      </w:tr>
      <w:tr>
        <w:tc>
          <w:tcPr>
            <w:tcW w:w="1882" w:type="pct"/>
            <w:vAlign w:val="center"/>
          </w:tcPr>
          <w:p>
            <w:pPr>
              <w:rPr>
                <w:color w:val="000000"/>
                <w:szCs w:val="21"/>
              </w:rPr>
            </w:pPr>
            <w:r>
              <w:rPr>
                <w:rFonts w:hint="eastAsia"/>
                <w:color w:val="000000"/>
                <w:szCs w:val="21"/>
              </w:rPr>
              <w:t>往来款</w:t>
            </w:r>
          </w:p>
        </w:tc>
        <w:tc>
          <w:tcPr>
            <w:tcW w:w="1562" w:type="pct"/>
            <w:vAlign w:val="center"/>
          </w:tcPr>
          <w:p>
            <w:pPr>
              <w:jc w:val="right"/>
              <w:rPr>
                <w:color w:val="000000"/>
                <w:szCs w:val="21"/>
              </w:rPr>
            </w:pPr>
            <w:r>
              <w:rPr>
                <w:color w:val="000000"/>
                <w:szCs w:val="21"/>
              </w:rPr>
              <w:t>29,971,543</w:t>
            </w:r>
          </w:p>
        </w:tc>
        <w:tc>
          <w:tcPr>
            <w:tcW w:w="1556" w:type="pct"/>
            <w:vAlign w:val="center"/>
          </w:tcPr>
          <w:p>
            <w:pPr>
              <w:jc w:val="right"/>
              <w:rPr>
                <w:color w:val="000000"/>
                <w:szCs w:val="21"/>
              </w:rPr>
            </w:pPr>
            <w:r>
              <w:rPr>
                <w:color w:val="000000"/>
                <w:szCs w:val="21"/>
              </w:rPr>
              <w:t>2,057,899</w:t>
            </w:r>
          </w:p>
        </w:tc>
      </w:tr>
      <w:tr>
        <w:tc>
          <w:tcPr>
            <w:tcW w:w="1882" w:type="pct"/>
            <w:vAlign w:val="center"/>
          </w:tcPr>
          <w:p>
            <w:pPr>
              <w:rPr>
                <w:color w:val="000000"/>
                <w:szCs w:val="21"/>
              </w:rPr>
            </w:pPr>
            <w:r>
              <w:rPr>
                <w:rFonts w:hint="eastAsia"/>
                <w:color w:val="000000"/>
                <w:szCs w:val="21"/>
              </w:rPr>
              <w:t>收回票据保证金</w:t>
            </w:r>
          </w:p>
        </w:tc>
        <w:tc>
          <w:tcPr>
            <w:tcW w:w="1562" w:type="pct"/>
            <w:vAlign w:val="center"/>
          </w:tcPr>
          <w:p>
            <w:pPr>
              <w:jc w:val="right"/>
              <w:rPr>
                <w:color w:val="000000"/>
                <w:szCs w:val="21"/>
              </w:rPr>
            </w:pPr>
            <w:r>
              <w:rPr>
                <w:color w:val="000000"/>
                <w:szCs w:val="21"/>
              </w:rPr>
              <w:t>3,374,776</w:t>
            </w:r>
          </w:p>
        </w:tc>
        <w:tc>
          <w:tcPr>
            <w:tcW w:w="1556" w:type="pct"/>
            <w:vAlign w:val="center"/>
          </w:tcPr>
          <w:p>
            <w:pPr>
              <w:jc w:val="right"/>
              <w:rPr>
                <w:color w:val="000000"/>
                <w:szCs w:val="21"/>
              </w:rPr>
            </w:pPr>
            <w:r>
              <w:rPr>
                <w:color w:val="000000"/>
                <w:szCs w:val="21"/>
              </w:rPr>
              <w:t>478,617</w:t>
            </w:r>
          </w:p>
        </w:tc>
      </w:tr>
      <w:tr>
        <w:tc>
          <w:tcPr>
            <w:tcW w:w="1882" w:type="pct"/>
            <w:vAlign w:val="center"/>
          </w:tcPr>
          <w:p>
            <w:pPr>
              <w:rPr>
                <w:color w:val="000000"/>
                <w:szCs w:val="21"/>
              </w:rPr>
            </w:pPr>
            <w:r>
              <w:rPr>
                <w:rFonts w:hint="eastAsia"/>
                <w:color w:val="000000"/>
                <w:szCs w:val="21"/>
              </w:rPr>
              <w:t>利息收入</w:t>
            </w:r>
          </w:p>
        </w:tc>
        <w:tc>
          <w:tcPr>
            <w:tcW w:w="1562" w:type="pct"/>
            <w:vAlign w:val="center"/>
          </w:tcPr>
          <w:p>
            <w:pPr>
              <w:jc w:val="right"/>
              <w:rPr>
                <w:color w:val="000000"/>
                <w:szCs w:val="21"/>
              </w:rPr>
            </w:pPr>
            <w:r>
              <w:rPr>
                <w:color w:val="000000"/>
                <w:szCs w:val="21"/>
              </w:rPr>
              <w:t>818,159</w:t>
            </w:r>
          </w:p>
        </w:tc>
        <w:tc>
          <w:tcPr>
            <w:tcW w:w="1556" w:type="pct"/>
            <w:vAlign w:val="center"/>
          </w:tcPr>
          <w:p>
            <w:pPr>
              <w:jc w:val="right"/>
              <w:rPr>
                <w:color w:val="000000"/>
                <w:szCs w:val="21"/>
              </w:rPr>
            </w:pPr>
            <w:r>
              <w:rPr>
                <w:color w:val="000000"/>
                <w:szCs w:val="21"/>
              </w:rPr>
              <w:t>779,939</w:t>
            </w:r>
          </w:p>
        </w:tc>
      </w:tr>
      <w:tr>
        <w:tc>
          <w:tcPr>
            <w:tcW w:w="1882" w:type="pct"/>
            <w:vAlign w:val="center"/>
          </w:tcPr>
          <w:p>
            <w:pPr>
              <w:rPr>
                <w:color w:val="000000"/>
                <w:szCs w:val="21"/>
              </w:rPr>
            </w:pPr>
            <w:r>
              <w:rPr>
                <w:rFonts w:hint="eastAsia"/>
                <w:color w:val="000000"/>
                <w:szCs w:val="21"/>
              </w:rPr>
              <w:t>政府补助及扶持基金收入</w:t>
            </w:r>
          </w:p>
        </w:tc>
        <w:tc>
          <w:tcPr>
            <w:tcW w:w="1562" w:type="pct"/>
            <w:vAlign w:val="center"/>
          </w:tcPr>
          <w:p>
            <w:pPr>
              <w:jc w:val="right"/>
              <w:rPr>
                <w:color w:val="000000"/>
                <w:szCs w:val="21"/>
              </w:rPr>
            </w:pPr>
            <w:r>
              <w:rPr>
                <w:color w:val="000000"/>
                <w:szCs w:val="21"/>
              </w:rPr>
              <w:t>185,117</w:t>
            </w:r>
          </w:p>
        </w:tc>
        <w:tc>
          <w:tcPr>
            <w:tcW w:w="1556" w:type="pct"/>
            <w:vAlign w:val="center"/>
          </w:tcPr>
          <w:p>
            <w:pPr>
              <w:jc w:val="right"/>
              <w:rPr>
                <w:color w:val="000000"/>
                <w:szCs w:val="21"/>
              </w:rPr>
            </w:pPr>
            <w:r>
              <w:rPr>
                <w:color w:val="000000"/>
                <w:szCs w:val="21"/>
              </w:rPr>
              <w:t>363,331</w:t>
            </w:r>
          </w:p>
        </w:tc>
      </w:tr>
      <w:tr>
        <w:tc>
          <w:tcPr>
            <w:tcW w:w="1882" w:type="pct"/>
            <w:vAlign w:val="center"/>
          </w:tcPr>
          <w:p>
            <w:pPr>
              <w:rPr>
                <w:color w:val="000000"/>
                <w:szCs w:val="21"/>
              </w:rPr>
            </w:pPr>
            <w:r>
              <w:rPr>
                <w:rFonts w:hint="eastAsia"/>
                <w:color w:val="000000"/>
                <w:szCs w:val="21"/>
              </w:rPr>
              <w:t>收回环境治理保证金</w:t>
            </w:r>
          </w:p>
        </w:tc>
        <w:tc>
          <w:tcPr>
            <w:tcW w:w="1562" w:type="pct"/>
            <w:vAlign w:val="center"/>
          </w:tcPr>
          <w:p>
            <w:pPr>
              <w:jc w:val="right"/>
              <w:rPr>
                <w:color w:val="000000"/>
                <w:szCs w:val="21"/>
              </w:rPr>
            </w:pPr>
            <w:r>
              <w:rPr>
                <w:color w:val="000000"/>
                <w:szCs w:val="21"/>
              </w:rPr>
              <w:t>193,134</w:t>
            </w:r>
          </w:p>
        </w:tc>
        <w:tc>
          <w:tcPr>
            <w:tcW w:w="1556" w:type="pct"/>
            <w:vAlign w:val="center"/>
          </w:tcPr>
          <w:p>
            <w:pPr>
              <w:jc w:val="right"/>
              <w:rPr>
                <w:color w:val="000000"/>
                <w:szCs w:val="21"/>
              </w:rPr>
            </w:pPr>
            <w:r>
              <w:rPr>
                <w:color w:val="000000"/>
                <w:szCs w:val="21"/>
              </w:rPr>
              <w:t>39,677</w:t>
            </w:r>
          </w:p>
        </w:tc>
      </w:tr>
      <w:tr>
        <w:tc>
          <w:tcPr>
            <w:tcW w:w="1882" w:type="pct"/>
            <w:vAlign w:val="center"/>
          </w:tcPr>
          <w:p>
            <w:pPr>
              <w:rPr>
                <w:color w:val="000000"/>
                <w:szCs w:val="21"/>
              </w:rPr>
            </w:pPr>
            <w:r>
              <w:rPr>
                <w:rFonts w:hint="eastAsia"/>
                <w:color w:val="000000"/>
                <w:szCs w:val="21"/>
              </w:rPr>
              <w:t>其他</w:t>
            </w:r>
          </w:p>
        </w:tc>
        <w:tc>
          <w:tcPr>
            <w:tcW w:w="1562" w:type="pct"/>
            <w:vAlign w:val="center"/>
          </w:tcPr>
          <w:p>
            <w:pPr>
              <w:jc w:val="right"/>
              <w:rPr>
                <w:color w:val="000000"/>
                <w:szCs w:val="21"/>
              </w:rPr>
            </w:pPr>
            <w:r>
              <w:rPr>
                <w:color w:val="000000"/>
                <w:szCs w:val="21"/>
              </w:rPr>
              <w:t>3,423,860</w:t>
            </w:r>
          </w:p>
        </w:tc>
        <w:tc>
          <w:tcPr>
            <w:tcW w:w="1556" w:type="pct"/>
            <w:vAlign w:val="center"/>
          </w:tcPr>
          <w:p>
            <w:pPr>
              <w:jc w:val="right"/>
              <w:rPr>
                <w:color w:val="000000"/>
                <w:szCs w:val="21"/>
              </w:rPr>
            </w:pPr>
            <w:r>
              <w:rPr>
                <w:color w:val="000000"/>
                <w:szCs w:val="21"/>
              </w:rPr>
              <w:t>1,545,972</w:t>
            </w:r>
          </w:p>
        </w:tc>
      </w:tr>
      <w:tr>
        <w:tc>
          <w:tcPr>
            <w:tcW w:w="1882" w:type="pct"/>
          </w:tcPr>
          <w:p>
            <w:pPr>
              <w:autoSpaceDE w:val="0"/>
              <w:autoSpaceDN w:val="0"/>
              <w:adjustRightInd w:val="0"/>
              <w:snapToGrid w:val="0"/>
              <w:spacing w:line="240" w:lineRule="atLeast"/>
              <w:jc w:val="center"/>
              <w:rPr>
                <w:szCs w:val="21"/>
              </w:rPr>
            </w:pPr>
            <w:r>
              <w:rPr>
                <w:rFonts w:hint="eastAsia"/>
                <w:szCs w:val="21"/>
              </w:rPr>
              <w:t>合计</w:t>
            </w:r>
          </w:p>
        </w:tc>
        <w:tc>
          <w:tcPr>
            <w:tcW w:w="1562" w:type="pct"/>
            <w:vAlign w:val="bottom"/>
          </w:tcPr>
          <w:p>
            <w:pPr>
              <w:jc w:val="right"/>
              <w:rPr>
                <w:szCs w:val="21"/>
              </w:rPr>
            </w:pPr>
            <w:r>
              <w:rPr>
                <w:szCs w:val="21"/>
              </w:rPr>
              <w:t>37,966,589</w:t>
            </w:r>
          </w:p>
        </w:tc>
        <w:tc>
          <w:tcPr>
            <w:tcW w:w="1556" w:type="pct"/>
          </w:tcPr>
          <w:p>
            <w:pPr>
              <w:jc w:val="right"/>
              <w:rPr>
                <w:szCs w:val="21"/>
              </w:rPr>
            </w:pPr>
            <w:r>
              <w:rPr>
                <w:szCs w:val="21"/>
              </w:rPr>
              <w:t>5,265,435</w:t>
            </w:r>
          </w:p>
        </w:tc>
      </w:tr>
    </w:tbl>
    <w:p>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34968404"/>
        <w:placeholder>
          <w:docPart w:val="GBC22222222222222222222222222222"/>
        </w:placeholder>
      </w:sdtPr>
      <w:sdtContent>
        <w:p>
          <w:pPr>
            <w:rPr>
              <w:szCs w:val="21"/>
            </w:rPr>
          </w:pPr>
          <w:r>
            <w:rPr>
              <w:szCs w:val="21"/>
            </w:rPr>
            <w:t>-</w:t>
          </w:r>
        </w:p>
      </w:sdtContent>
    </w:sdt>
    <w:p>
      <w:pPr>
        <w:rPr>
          <w:szCs w:val="21"/>
        </w:rPr>
      </w:pPr>
    </w:p>
    <w:p>
      <w:pPr>
        <w:pStyle w:val="affffffffffffffffffffffffffffffffe"/>
      </w:pPr>
      <w:r>
        <w:rPr>
          <w:rFonts w:hint="eastAsia"/>
        </w:rPr>
        <w:lastRenderedPageBreak/>
        <w:t>支付的其他与经营活动有关的现金</w:t>
      </w:r>
    </w:p>
    <w:sdt>
      <w:sdtPr>
        <w:alias w:val="是否适用：支付的其他与经营活动有关的现金[双击切换]"/>
        <w:tag w:val="_GBC_f4dd9812849049808cd722f0acb16a7a"/>
        <w:id w:val="132038207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7445999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721919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37"/>
        <w:gridCol w:w="2765"/>
      </w:tblGrid>
      <w:tr>
        <w:sdt>
          <w:sdtPr>
            <w:tag w:val="_PLD_313336294a534de9a634e32311d5592e"/>
            <w:id w:val="2108309369"/>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742218705"/>
          </w:sdtPr>
          <w:sdtContent>
            <w:tc>
              <w:tcPr>
                <w:tcW w:w="1551" w:type="pct"/>
              </w:tcPr>
              <w:p>
                <w:pPr>
                  <w:autoSpaceDE w:val="0"/>
                  <w:autoSpaceDN w:val="0"/>
                  <w:adjustRightInd w:val="0"/>
                  <w:snapToGrid w:val="0"/>
                  <w:jc w:val="center"/>
                  <w:rPr>
                    <w:szCs w:val="21"/>
                  </w:rPr>
                </w:pPr>
                <w:r>
                  <w:rPr>
                    <w:rFonts w:hint="eastAsia"/>
                  </w:rPr>
                  <w:t>本期发生额</w:t>
                </w:r>
              </w:p>
            </w:tc>
          </w:sdtContent>
        </w:sdt>
        <w:sdt>
          <w:sdtPr>
            <w:tag w:val="_PLD_7dc479c1c10240cc94f89ea3fc1d6136"/>
            <w:id w:val="184647624"/>
          </w:sdtPr>
          <w:sdtContent>
            <w:tc>
              <w:tcPr>
                <w:tcW w:w="1567" w:type="pct"/>
              </w:tcPr>
              <w:p>
                <w:pPr>
                  <w:autoSpaceDE w:val="0"/>
                  <w:autoSpaceDN w:val="0"/>
                  <w:adjustRightInd w:val="0"/>
                  <w:snapToGrid w:val="0"/>
                  <w:jc w:val="center"/>
                  <w:rPr>
                    <w:szCs w:val="21"/>
                  </w:rPr>
                </w:pPr>
                <w:r>
                  <w:rPr>
                    <w:rFonts w:hint="eastAsia"/>
                  </w:rPr>
                  <w:t>上期发生额</w:t>
                </w:r>
              </w:p>
            </w:tc>
          </w:sdtContent>
        </w:sdt>
      </w:tr>
      <w:tr>
        <w:tc>
          <w:tcPr>
            <w:tcW w:w="1882" w:type="pct"/>
            <w:vAlign w:val="center"/>
          </w:tcPr>
          <w:p>
            <w:pPr>
              <w:rPr>
                <w:color w:val="000000"/>
                <w:szCs w:val="21"/>
              </w:rPr>
            </w:pPr>
            <w:r>
              <w:rPr>
                <w:rFonts w:hint="eastAsia"/>
                <w:color w:val="000000"/>
                <w:szCs w:val="21"/>
              </w:rPr>
              <w:t>销售及管理费用支付额</w:t>
            </w:r>
          </w:p>
        </w:tc>
        <w:tc>
          <w:tcPr>
            <w:tcW w:w="1551" w:type="pct"/>
            <w:vAlign w:val="center"/>
          </w:tcPr>
          <w:p>
            <w:pPr>
              <w:jc w:val="right"/>
              <w:rPr>
                <w:color w:val="000000"/>
                <w:szCs w:val="21"/>
              </w:rPr>
            </w:pPr>
            <w:r>
              <w:rPr>
                <w:color w:val="000000"/>
                <w:szCs w:val="21"/>
              </w:rPr>
              <w:t>6,440,113</w:t>
            </w:r>
          </w:p>
        </w:tc>
        <w:tc>
          <w:tcPr>
            <w:tcW w:w="1567" w:type="pct"/>
            <w:vAlign w:val="center"/>
          </w:tcPr>
          <w:p>
            <w:pPr>
              <w:jc w:val="right"/>
              <w:rPr>
                <w:color w:val="000000"/>
                <w:szCs w:val="21"/>
              </w:rPr>
            </w:pPr>
            <w:r>
              <w:rPr>
                <w:color w:val="000000"/>
                <w:szCs w:val="21"/>
              </w:rPr>
              <w:t>8,008,308</w:t>
            </w:r>
          </w:p>
        </w:tc>
      </w:tr>
      <w:tr>
        <w:tc>
          <w:tcPr>
            <w:tcW w:w="1882" w:type="pct"/>
            <w:vAlign w:val="center"/>
          </w:tcPr>
          <w:p>
            <w:pPr>
              <w:rPr>
                <w:color w:val="000000"/>
                <w:szCs w:val="21"/>
              </w:rPr>
            </w:pPr>
            <w:r>
              <w:rPr>
                <w:rFonts w:hint="eastAsia"/>
                <w:color w:val="000000"/>
                <w:szCs w:val="21"/>
              </w:rPr>
              <w:t>环境治理支出</w:t>
            </w:r>
          </w:p>
        </w:tc>
        <w:tc>
          <w:tcPr>
            <w:tcW w:w="1551" w:type="pct"/>
            <w:vAlign w:val="center"/>
          </w:tcPr>
          <w:p>
            <w:pPr>
              <w:jc w:val="right"/>
              <w:rPr>
                <w:color w:val="000000"/>
                <w:szCs w:val="21"/>
              </w:rPr>
            </w:pPr>
            <w:r>
              <w:rPr>
                <w:color w:val="000000"/>
                <w:szCs w:val="21"/>
              </w:rPr>
              <w:t>3,269,448</w:t>
            </w:r>
          </w:p>
        </w:tc>
        <w:tc>
          <w:tcPr>
            <w:tcW w:w="1567" w:type="pct"/>
            <w:vAlign w:val="center"/>
          </w:tcPr>
          <w:p>
            <w:pPr>
              <w:jc w:val="right"/>
              <w:rPr>
                <w:color w:val="000000"/>
                <w:szCs w:val="21"/>
              </w:rPr>
            </w:pPr>
            <w:r>
              <w:rPr>
                <w:color w:val="000000"/>
                <w:szCs w:val="21"/>
              </w:rPr>
              <w:t>5,723,370</w:t>
            </w:r>
          </w:p>
        </w:tc>
      </w:tr>
      <w:tr>
        <w:tc>
          <w:tcPr>
            <w:tcW w:w="1882" w:type="pct"/>
            <w:vAlign w:val="center"/>
          </w:tcPr>
          <w:p>
            <w:pPr>
              <w:rPr>
                <w:color w:val="000000"/>
                <w:szCs w:val="21"/>
              </w:rPr>
            </w:pPr>
            <w:r>
              <w:rPr>
                <w:rFonts w:hint="eastAsia"/>
                <w:color w:val="000000"/>
                <w:szCs w:val="21"/>
              </w:rPr>
              <w:t>往来款</w:t>
            </w:r>
          </w:p>
        </w:tc>
        <w:tc>
          <w:tcPr>
            <w:tcW w:w="1551" w:type="pct"/>
            <w:vAlign w:val="center"/>
          </w:tcPr>
          <w:p>
            <w:pPr>
              <w:jc w:val="right"/>
              <w:rPr>
                <w:color w:val="000000"/>
                <w:szCs w:val="21"/>
              </w:rPr>
            </w:pPr>
            <w:r>
              <w:rPr>
                <w:color w:val="000000"/>
                <w:szCs w:val="21"/>
              </w:rPr>
              <w:t>27,916,707</w:t>
            </w:r>
          </w:p>
        </w:tc>
        <w:tc>
          <w:tcPr>
            <w:tcW w:w="1567" w:type="pct"/>
            <w:vAlign w:val="center"/>
          </w:tcPr>
          <w:p>
            <w:pPr>
              <w:jc w:val="right"/>
              <w:rPr>
                <w:color w:val="000000"/>
                <w:szCs w:val="21"/>
              </w:rPr>
            </w:pPr>
            <w:r>
              <w:rPr>
                <w:color w:val="000000"/>
                <w:szCs w:val="21"/>
              </w:rPr>
              <w:t>2,681,446</w:t>
            </w:r>
          </w:p>
        </w:tc>
      </w:tr>
      <w:tr>
        <w:tc>
          <w:tcPr>
            <w:tcW w:w="1882" w:type="pct"/>
            <w:vAlign w:val="center"/>
          </w:tcPr>
          <w:p>
            <w:pPr>
              <w:rPr>
                <w:color w:val="000000"/>
                <w:szCs w:val="21"/>
              </w:rPr>
            </w:pPr>
            <w:r>
              <w:rPr>
                <w:rFonts w:hint="eastAsia"/>
                <w:color w:val="000000"/>
                <w:szCs w:val="21"/>
              </w:rPr>
              <w:t>支付环境恢复治理基金</w:t>
            </w:r>
          </w:p>
        </w:tc>
        <w:tc>
          <w:tcPr>
            <w:tcW w:w="1551" w:type="pct"/>
            <w:vAlign w:val="center"/>
          </w:tcPr>
          <w:p>
            <w:pPr>
              <w:jc w:val="right"/>
              <w:rPr>
                <w:color w:val="000000"/>
                <w:szCs w:val="21"/>
              </w:rPr>
            </w:pPr>
            <w:r>
              <w:rPr>
                <w:color w:val="000000"/>
                <w:szCs w:val="21"/>
              </w:rPr>
              <w:t>856,904</w:t>
            </w:r>
          </w:p>
        </w:tc>
        <w:tc>
          <w:tcPr>
            <w:tcW w:w="1567" w:type="pct"/>
            <w:vAlign w:val="center"/>
          </w:tcPr>
          <w:p>
            <w:pPr>
              <w:jc w:val="right"/>
              <w:rPr>
                <w:color w:val="000000"/>
                <w:szCs w:val="21"/>
              </w:rPr>
            </w:pPr>
            <w:r>
              <w:rPr>
                <w:color w:val="000000"/>
                <w:szCs w:val="21"/>
              </w:rPr>
              <w:t>610,924</w:t>
            </w:r>
          </w:p>
        </w:tc>
      </w:tr>
      <w:tr>
        <w:tc>
          <w:tcPr>
            <w:tcW w:w="1882" w:type="pct"/>
            <w:vAlign w:val="center"/>
          </w:tcPr>
          <w:p>
            <w:pPr>
              <w:rPr>
                <w:color w:val="000000"/>
                <w:szCs w:val="21"/>
              </w:rPr>
            </w:pPr>
            <w:r>
              <w:rPr>
                <w:rFonts w:hint="eastAsia"/>
                <w:color w:val="000000"/>
                <w:szCs w:val="21"/>
              </w:rPr>
              <w:t>支付票据保证金</w:t>
            </w:r>
          </w:p>
        </w:tc>
        <w:tc>
          <w:tcPr>
            <w:tcW w:w="1551" w:type="pct"/>
            <w:vAlign w:val="center"/>
          </w:tcPr>
          <w:p>
            <w:pPr>
              <w:jc w:val="right"/>
              <w:rPr>
                <w:color w:val="000000"/>
                <w:szCs w:val="21"/>
              </w:rPr>
            </w:pPr>
            <w:r>
              <w:rPr>
                <w:color w:val="000000"/>
                <w:szCs w:val="21"/>
              </w:rPr>
              <w:t>3,216,168</w:t>
            </w:r>
          </w:p>
        </w:tc>
        <w:tc>
          <w:tcPr>
            <w:tcW w:w="1567" w:type="pct"/>
            <w:vAlign w:val="center"/>
          </w:tcPr>
          <w:p>
            <w:pPr>
              <w:jc w:val="right"/>
              <w:rPr>
                <w:color w:val="000000"/>
                <w:szCs w:val="21"/>
              </w:rPr>
            </w:pPr>
            <w:r>
              <w:rPr>
                <w:color w:val="000000"/>
                <w:szCs w:val="21"/>
              </w:rPr>
              <w:t>497,162</w:t>
            </w:r>
          </w:p>
        </w:tc>
      </w:tr>
      <w:tr>
        <w:tc>
          <w:tcPr>
            <w:tcW w:w="1882" w:type="pct"/>
            <w:vAlign w:val="center"/>
          </w:tcPr>
          <w:p>
            <w:pPr>
              <w:rPr>
                <w:color w:val="000000"/>
                <w:szCs w:val="21"/>
              </w:rPr>
            </w:pPr>
            <w:r>
              <w:rPr>
                <w:rFonts w:hint="eastAsia"/>
                <w:color w:val="000000"/>
                <w:szCs w:val="21"/>
              </w:rPr>
              <w:t>罚款及滞纳金</w:t>
            </w:r>
          </w:p>
        </w:tc>
        <w:tc>
          <w:tcPr>
            <w:tcW w:w="1551" w:type="pct"/>
            <w:vAlign w:val="center"/>
          </w:tcPr>
          <w:p>
            <w:pPr>
              <w:jc w:val="right"/>
              <w:rPr>
                <w:color w:val="000000"/>
                <w:szCs w:val="21"/>
              </w:rPr>
            </w:pPr>
            <w:r>
              <w:rPr>
                <w:color w:val="000000"/>
                <w:szCs w:val="21"/>
              </w:rPr>
              <w:t>145,025</w:t>
            </w:r>
          </w:p>
        </w:tc>
        <w:tc>
          <w:tcPr>
            <w:tcW w:w="1567" w:type="pct"/>
            <w:vAlign w:val="center"/>
          </w:tcPr>
          <w:p>
            <w:pPr>
              <w:jc w:val="right"/>
              <w:rPr>
                <w:color w:val="000000"/>
                <w:szCs w:val="21"/>
              </w:rPr>
            </w:pPr>
            <w:r>
              <w:rPr>
                <w:color w:val="000000"/>
                <w:szCs w:val="21"/>
              </w:rPr>
              <w:t>107,403</w:t>
            </w:r>
          </w:p>
        </w:tc>
      </w:tr>
      <w:tr>
        <w:tc>
          <w:tcPr>
            <w:tcW w:w="1882" w:type="pct"/>
            <w:vAlign w:val="center"/>
          </w:tcPr>
          <w:p>
            <w:pPr>
              <w:rPr>
                <w:color w:val="000000"/>
                <w:szCs w:val="21"/>
              </w:rPr>
            </w:pPr>
            <w:r>
              <w:rPr>
                <w:rFonts w:hint="eastAsia"/>
                <w:color w:val="000000"/>
                <w:szCs w:val="21"/>
              </w:rPr>
              <w:t>捐赠支出</w:t>
            </w:r>
          </w:p>
        </w:tc>
        <w:tc>
          <w:tcPr>
            <w:tcW w:w="1551" w:type="pct"/>
            <w:vAlign w:val="center"/>
          </w:tcPr>
          <w:p>
            <w:pPr>
              <w:jc w:val="right"/>
              <w:rPr>
                <w:color w:val="000000"/>
                <w:szCs w:val="21"/>
              </w:rPr>
            </w:pPr>
            <w:r>
              <w:rPr>
                <w:color w:val="000000"/>
                <w:szCs w:val="21"/>
              </w:rPr>
              <w:t>15,304</w:t>
            </w:r>
          </w:p>
        </w:tc>
        <w:tc>
          <w:tcPr>
            <w:tcW w:w="1567" w:type="pct"/>
            <w:vAlign w:val="center"/>
          </w:tcPr>
          <w:p>
            <w:pPr>
              <w:jc w:val="right"/>
              <w:rPr>
                <w:color w:val="000000"/>
                <w:szCs w:val="21"/>
              </w:rPr>
            </w:pPr>
            <w:r>
              <w:rPr>
                <w:color w:val="000000"/>
                <w:szCs w:val="21"/>
              </w:rPr>
              <w:t>50,486</w:t>
            </w:r>
          </w:p>
        </w:tc>
      </w:tr>
      <w:tr>
        <w:tc>
          <w:tcPr>
            <w:tcW w:w="1882" w:type="pct"/>
            <w:vAlign w:val="center"/>
          </w:tcPr>
          <w:p>
            <w:pPr>
              <w:rPr>
                <w:color w:val="000000"/>
                <w:szCs w:val="21"/>
              </w:rPr>
            </w:pPr>
            <w:r>
              <w:rPr>
                <w:rFonts w:hint="eastAsia"/>
                <w:color w:val="000000"/>
                <w:szCs w:val="21"/>
              </w:rPr>
              <w:t>其他</w:t>
            </w:r>
          </w:p>
        </w:tc>
        <w:tc>
          <w:tcPr>
            <w:tcW w:w="1551" w:type="pct"/>
            <w:vAlign w:val="center"/>
          </w:tcPr>
          <w:p>
            <w:pPr>
              <w:jc w:val="right"/>
              <w:rPr>
                <w:color w:val="000000"/>
                <w:szCs w:val="21"/>
              </w:rPr>
            </w:pPr>
            <w:r>
              <w:rPr>
                <w:color w:val="000000"/>
                <w:szCs w:val="21"/>
              </w:rPr>
              <w:t>5,191,621</w:t>
            </w:r>
          </w:p>
        </w:tc>
        <w:tc>
          <w:tcPr>
            <w:tcW w:w="1567" w:type="pct"/>
            <w:vAlign w:val="center"/>
          </w:tcPr>
          <w:p>
            <w:pPr>
              <w:jc w:val="right"/>
              <w:rPr>
                <w:color w:val="000000"/>
                <w:szCs w:val="21"/>
              </w:rPr>
            </w:pPr>
            <w:r>
              <w:rPr>
                <w:color w:val="000000"/>
                <w:szCs w:val="21"/>
              </w:rPr>
              <w:t>803,841</w:t>
            </w:r>
          </w:p>
        </w:tc>
      </w:tr>
      <w:tr>
        <w:tc>
          <w:tcPr>
            <w:tcW w:w="1882" w:type="pct"/>
          </w:tcPr>
          <w:p>
            <w:pPr>
              <w:autoSpaceDE w:val="0"/>
              <w:autoSpaceDN w:val="0"/>
              <w:adjustRightInd w:val="0"/>
              <w:snapToGrid w:val="0"/>
              <w:jc w:val="center"/>
              <w:rPr>
                <w:szCs w:val="21"/>
              </w:rPr>
            </w:pPr>
            <w:r>
              <w:rPr>
                <w:rFonts w:hint="eastAsia"/>
                <w:szCs w:val="21"/>
              </w:rPr>
              <w:t>合计</w:t>
            </w:r>
          </w:p>
        </w:tc>
        <w:tc>
          <w:tcPr>
            <w:tcW w:w="1551" w:type="pct"/>
          </w:tcPr>
          <w:p>
            <w:pPr>
              <w:jc w:val="right"/>
              <w:rPr>
                <w:szCs w:val="21"/>
              </w:rPr>
            </w:pPr>
            <w:r>
              <w:rPr>
                <w:szCs w:val="21"/>
              </w:rPr>
              <w:t>47,051,290</w:t>
            </w:r>
          </w:p>
        </w:tc>
        <w:tc>
          <w:tcPr>
            <w:tcW w:w="1567" w:type="pct"/>
          </w:tcPr>
          <w:p>
            <w:pPr>
              <w:jc w:val="right"/>
              <w:rPr>
                <w:szCs w:val="21"/>
              </w:rPr>
            </w:pPr>
            <w:r>
              <w:rPr>
                <w:szCs w:val="21"/>
              </w:rPr>
              <w:t>18,482,940</w:t>
            </w:r>
          </w:p>
        </w:tc>
      </w:tr>
    </w:tbl>
    <w:p>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1952056649"/>
        <w:placeholder>
          <w:docPart w:val="GBC22222222222222222222222222222"/>
        </w:placeholder>
      </w:sdtPr>
      <w:sdtContent>
        <w:p>
          <w:pPr>
            <w:ind w:right="5"/>
            <w:rPr>
              <w:szCs w:val="21"/>
            </w:rPr>
          </w:pPr>
          <w:r>
            <w:rPr>
              <w:szCs w:val="21"/>
            </w:rPr>
            <w:t>-</w:t>
          </w:r>
        </w:p>
      </w:sdtContent>
    </w:sdt>
    <w:p>
      <w:pPr>
        <w:pStyle w:val="afffffffffffffffffffffffffffffffff1"/>
        <w:numPr>
          <w:ilvl w:val="0"/>
          <w:numId w:val="129"/>
        </w:numPr>
        <w:ind w:left="426" w:hanging="426"/>
      </w:pPr>
      <w:r>
        <w:rPr>
          <w:rFonts w:hint="eastAsia"/>
        </w:rPr>
        <w:t>与投资活动有关的现金</w:t>
      </w:r>
    </w:p>
    <w:p>
      <w:pPr>
        <w:pStyle w:val="affffffffffffffffffffffffffffffffe"/>
      </w:pPr>
      <w:r>
        <w:rPr>
          <w:rFonts w:hint="eastAsia"/>
        </w:rPr>
        <w:t>收到的重要的投资活动有关的现金</w:t>
      </w:r>
    </w:p>
    <w:sdt>
      <w:sdtPr>
        <w:alias w:val="是否适用：收到的重要的投资活动有关的现金[双击切换]"/>
        <w:tag w:val="_GBC_9196f5edd13f48c58cf11429e2524db4"/>
        <w:id w:val="21255060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rPr>
        <w:t xml:space="preserve">  </w:t>
      </w:r>
      <w:r>
        <w:rPr>
          <w:rFonts w:hint="eastAsia"/>
          <w:szCs w:val="21"/>
        </w:rPr>
        <w:t>单位：</w:t>
      </w:r>
      <w:sdt>
        <w:sdtPr>
          <w:rPr>
            <w:rFonts w:hint="eastAsia"/>
            <w:szCs w:val="21"/>
          </w:rPr>
          <w:alias w:val="单位：收到的重要的投资活动有关的现金"/>
          <w:tag w:val="_GBC_30082088374344d4809bf9f5b59559f9"/>
          <w:id w:val="-102208126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收到的重要的投资活动有关的现金"/>
          <w:tag w:val="_GBC_aad9cf5ff1554131b4e4b043d133db0c"/>
          <w:id w:val="19042675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sdt>
          <w:sdtPr>
            <w:rPr>
              <w:szCs w:val="21"/>
            </w:rPr>
            <w:tag w:val="_PLD_86537d51cc694654b45c76bb3b965b60"/>
            <w:id w:val="199981714"/>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rPr>
              <w:szCs w:val="21"/>
            </w:rPr>
            <w:tag w:val="_PLD_8df780a4dd194dc4b58890fceac9b4d7"/>
            <w:id w:val="-1923944016"/>
          </w:sdtPr>
          <w:sdtContent>
            <w:tc>
              <w:tcPr>
                <w:tcW w:w="1562" w:type="pct"/>
              </w:tcPr>
              <w:p>
                <w:pPr>
                  <w:autoSpaceDE w:val="0"/>
                  <w:autoSpaceDN w:val="0"/>
                  <w:adjustRightInd w:val="0"/>
                  <w:snapToGrid w:val="0"/>
                  <w:spacing w:line="240" w:lineRule="atLeast"/>
                  <w:jc w:val="center"/>
                  <w:rPr>
                    <w:szCs w:val="21"/>
                  </w:rPr>
                </w:pPr>
                <w:r>
                  <w:rPr>
                    <w:rFonts w:hint="eastAsia"/>
                    <w:szCs w:val="21"/>
                  </w:rPr>
                  <w:t>本期发生额</w:t>
                </w:r>
              </w:p>
            </w:tc>
          </w:sdtContent>
        </w:sdt>
        <w:sdt>
          <w:sdtPr>
            <w:rPr>
              <w:szCs w:val="21"/>
            </w:rPr>
            <w:tag w:val="_PLD_e3e736b7d56b47b9a0860a6d7e262f11"/>
            <w:id w:val="1715156881"/>
          </w:sdtPr>
          <w:sdtContent>
            <w:tc>
              <w:tcPr>
                <w:tcW w:w="1556" w:type="pct"/>
              </w:tcPr>
              <w:p>
                <w:pPr>
                  <w:autoSpaceDE w:val="0"/>
                  <w:autoSpaceDN w:val="0"/>
                  <w:adjustRightInd w:val="0"/>
                  <w:snapToGrid w:val="0"/>
                  <w:spacing w:line="240" w:lineRule="atLeast"/>
                  <w:jc w:val="center"/>
                  <w:rPr>
                    <w:szCs w:val="21"/>
                  </w:rPr>
                </w:pPr>
                <w:r>
                  <w:rPr>
                    <w:rFonts w:hint="eastAsia"/>
                    <w:szCs w:val="21"/>
                  </w:rPr>
                  <w:t>上期发生额</w:t>
                </w:r>
              </w:p>
            </w:tc>
          </w:sdtContent>
        </w:sdt>
      </w:tr>
      <w:tr>
        <w:tc>
          <w:tcPr>
            <w:tcW w:w="1882" w:type="pct"/>
            <w:vAlign w:val="center"/>
          </w:tcPr>
          <w:p>
            <w:pPr>
              <w:spacing w:line="360" w:lineRule="exact"/>
              <w:rPr>
                <w:szCs w:val="21"/>
              </w:rPr>
            </w:pPr>
            <w:r>
              <w:rPr>
                <w:rFonts w:hint="eastAsia"/>
                <w:szCs w:val="21"/>
              </w:rPr>
              <w:t>融资租赁款</w:t>
            </w:r>
          </w:p>
        </w:tc>
        <w:tc>
          <w:tcPr>
            <w:tcW w:w="1562" w:type="pct"/>
            <w:vAlign w:val="center"/>
          </w:tcPr>
          <w:p>
            <w:pPr>
              <w:spacing w:line="360" w:lineRule="exact"/>
              <w:jc w:val="right"/>
              <w:rPr>
                <w:szCs w:val="21"/>
              </w:rPr>
            </w:pPr>
            <w:r>
              <w:rPr>
                <w:szCs w:val="21"/>
              </w:rPr>
              <w:t>5,609,960</w:t>
            </w:r>
          </w:p>
        </w:tc>
        <w:tc>
          <w:tcPr>
            <w:tcW w:w="1556" w:type="pct"/>
            <w:vAlign w:val="center"/>
          </w:tcPr>
          <w:p>
            <w:pPr>
              <w:spacing w:line="360" w:lineRule="exact"/>
              <w:jc w:val="right"/>
              <w:rPr>
                <w:szCs w:val="21"/>
              </w:rPr>
            </w:pPr>
            <w:r>
              <w:rPr>
                <w:szCs w:val="21"/>
              </w:rPr>
              <w:t>4,441,389</w:t>
            </w:r>
          </w:p>
        </w:tc>
      </w:tr>
      <w:tr>
        <w:tc>
          <w:tcPr>
            <w:tcW w:w="1882" w:type="pct"/>
          </w:tcPr>
          <w:p>
            <w:pPr>
              <w:autoSpaceDE w:val="0"/>
              <w:autoSpaceDN w:val="0"/>
              <w:adjustRightInd w:val="0"/>
              <w:snapToGrid w:val="0"/>
              <w:spacing w:line="240" w:lineRule="atLeast"/>
              <w:jc w:val="center"/>
              <w:rPr>
                <w:szCs w:val="21"/>
              </w:rPr>
            </w:pPr>
            <w:r>
              <w:rPr>
                <w:rFonts w:hint="eastAsia"/>
                <w:szCs w:val="21"/>
              </w:rPr>
              <w:t>合计</w:t>
            </w:r>
          </w:p>
        </w:tc>
        <w:tc>
          <w:tcPr>
            <w:tcW w:w="1562" w:type="pct"/>
            <w:vAlign w:val="center"/>
          </w:tcPr>
          <w:p>
            <w:pPr>
              <w:spacing w:line="360" w:lineRule="exact"/>
              <w:jc w:val="right"/>
              <w:rPr>
                <w:szCs w:val="21"/>
              </w:rPr>
            </w:pPr>
            <w:r>
              <w:rPr>
                <w:szCs w:val="21"/>
              </w:rPr>
              <w:t>5,609,960</w:t>
            </w:r>
          </w:p>
        </w:tc>
        <w:tc>
          <w:tcPr>
            <w:tcW w:w="1556" w:type="pct"/>
            <w:vAlign w:val="center"/>
          </w:tcPr>
          <w:p>
            <w:pPr>
              <w:spacing w:line="360" w:lineRule="exact"/>
              <w:jc w:val="right"/>
              <w:rPr>
                <w:szCs w:val="21"/>
              </w:rPr>
            </w:pPr>
            <w:r>
              <w:rPr>
                <w:szCs w:val="21"/>
              </w:rPr>
              <w:t>4,441,389</w:t>
            </w:r>
          </w:p>
        </w:tc>
      </w:tr>
    </w:tbl>
    <w:p>
      <w:pPr>
        <w:pStyle w:val="affffffffffffffffffffffffffffffffe"/>
      </w:pPr>
      <w:r>
        <w:rPr>
          <w:rFonts w:hint="eastAsia"/>
        </w:rPr>
        <w:t>收到的重要的投资活动有关的现金说明</w:t>
      </w:r>
    </w:p>
    <w:sdt>
      <w:sdtPr>
        <w:alias w:val="收到的重要的投资活动有关的现金的说明"/>
        <w:tag w:val="_GBC_c1ce510d970645309444be1bc0b45be7"/>
        <w:id w:val="220032348"/>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e"/>
      </w:pPr>
      <w:r>
        <w:rPr>
          <w:rFonts w:hint="eastAsia"/>
        </w:rPr>
        <w:t>支付的重要的投资活动有关的现金</w:t>
      </w:r>
    </w:p>
    <w:sdt>
      <w:sdtPr>
        <w:alias w:val="是否适用：支付的重要的投资活动有关的现金[双击切换]"/>
        <w:tag w:val="_GBC_87278c8d34004ae4ad117e1026d10209"/>
        <w:id w:val="-1005975139"/>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rPr>
        <w:t xml:space="preserve">  </w:t>
      </w:r>
      <w:r>
        <w:rPr>
          <w:rFonts w:hint="eastAsia"/>
          <w:szCs w:val="21"/>
        </w:rPr>
        <w:t>单位：</w:t>
      </w:r>
      <w:sdt>
        <w:sdtPr>
          <w:rPr>
            <w:rFonts w:hint="eastAsia"/>
            <w:szCs w:val="21"/>
          </w:rPr>
          <w:alias w:val="单位：支付的重要的投资活动有关的现金"/>
          <w:tag w:val="_GBC_a0deec14b3b44f78b9368ad871e8d8c6"/>
          <w:id w:val="64956330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支付的重要的投资活动有关的现金"/>
          <w:tag w:val="_GBC_e41f8522f445479ba58238ec8d2c3147"/>
          <w:id w:val="-6665544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756"/>
        <w:gridCol w:w="2746"/>
      </w:tblGrid>
      <w:tr>
        <w:sdt>
          <w:sdtPr>
            <w:tag w:val="_PLD_328e6bb5fcc74d9c87ca178b8d42f9b8"/>
            <w:id w:val="1898160256"/>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fc885c8be4db48b78be0f1dad4d4c6a8"/>
            <w:id w:val="-1173717862"/>
          </w:sdtPr>
          <w:sdtContent>
            <w:tc>
              <w:tcPr>
                <w:tcW w:w="1562"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b15712f434d644b0954dad3a0d7e73ef"/>
            <w:id w:val="1914200769"/>
          </w:sdtPr>
          <w:sdtContent>
            <w:tc>
              <w:tcPr>
                <w:tcW w:w="1556" w:type="pct"/>
              </w:tcPr>
              <w:p>
                <w:pPr>
                  <w:autoSpaceDE w:val="0"/>
                  <w:autoSpaceDN w:val="0"/>
                  <w:adjustRightInd w:val="0"/>
                  <w:snapToGrid w:val="0"/>
                  <w:spacing w:line="240" w:lineRule="atLeast"/>
                  <w:jc w:val="center"/>
                  <w:rPr>
                    <w:szCs w:val="21"/>
                  </w:rPr>
                </w:pPr>
                <w:r>
                  <w:rPr>
                    <w:rFonts w:hint="eastAsia"/>
                  </w:rPr>
                  <w:t>上期发生额</w:t>
                </w:r>
              </w:p>
            </w:tc>
          </w:sdtContent>
        </w:sdt>
      </w:tr>
      <w:tr>
        <w:tc>
          <w:tcPr>
            <w:tcW w:w="1882" w:type="pct"/>
            <w:vAlign w:val="center"/>
          </w:tcPr>
          <w:p>
            <w:pPr>
              <w:spacing w:line="360" w:lineRule="exact"/>
              <w:jc w:val="right"/>
              <w:rPr>
                <w:szCs w:val="21"/>
              </w:rPr>
            </w:pPr>
            <w:r>
              <w:rPr>
                <w:rFonts w:hint="eastAsia"/>
                <w:szCs w:val="21"/>
              </w:rPr>
              <w:t>绿城保理款</w:t>
            </w:r>
          </w:p>
        </w:tc>
        <w:tc>
          <w:tcPr>
            <w:tcW w:w="1562" w:type="pct"/>
            <w:vAlign w:val="center"/>
          </w:tcPr>
          <w:p>
            <w:pPr>
              <w:spacing w:line="360" w:lineRule="exact"/>
              <w:jc w:val="right"/>
              <w:rPr>
                <w:szCs w:val="21"/>
              </w:rPr>
            </w:pPr>
          </w:p>
        </w:tc>
        <w:tc>
          <w:tcPr>
            <w:tcW w:w="1556" w:type="pct"/>
            <w:vAlign w:val="center"/>
          </w:tcPr>
          <w:p>
            <w:pPr>
              <w:spacing w:line="360" w:lineRule="exact"/>
              <w:jc w:val="right"/>
              <w:rPr>
                <w:szCs w:val="21"/>
              </w:rPr>
            </w:pPr>
            <w:r>
              <w:rPr>
                <w:szCs w:val="21"/>
              </w:rPr>
              <w:t>993,850</w:t>
            </w:r>
          </w:p>
        </w:tc>
      </w:tr>
      <w:tr>
        <w:tc>
          <w:tcPr>
            <w:tcW w:w="1882" w:type="pct"/>
          </w:tcPr>
          <w:p>
            <w:pPr>
              <w:spacing w:line="360" w:lineRule="exact"/>
              <w:jc w:val="right"/>
              <w:rPr>
                <w:szCs w:val="21"/>
              </w:rPr>
            </w:pPr>
            <w:r>
              <w:rPr>
                <w:rFonts w:hint="eastAsia"/>
                <w:szCs w:val="21"/>
              </w:rPr>
              <w:t>合计</w:t>
            </w:r>
          </w:p>
        </w:tc>
        <w:tc>
          <w:tcPr>
            <w:tcW w:w="1562" w:type="pct"/>
            <w:vAlign w:val="bottom"/>
          </w:tcPr>
          <w:p>
            <w:pPr>
              <w:spacing w:line="360" w:lineRule="exact"/>
              <w:jc w:val="right"/>
              <w:rPr>
                <w:szCs w:val="21"/>
              </w:rPr>
            </w:pPr>
          </w:p>
        </w:tc>
        <w:tc>
          <w:tcPr>
            <w:tcW w:w="1556" w:type="pct"/>
          </w:tcPr>
          <w:p>
            <w:pPr>
              <w:spacing w:line="360" w:lineRule="exact"/>
              <w:jc w:val="right"/>
              <w:rPr>
                <w:szCs w:val="21"/>
              </w:rPr>
            </w:pPr>
            <w:r>
              <w:rPr>
                <w:szCs w:val="21"/>
              </w:rPr>
              <w:t>993,850</w:t>
            </w:r>
          </w:p>
        </w:tc>
      </w:tr>
    </w:tbl>
    <w:p>
      <w:pPr>
        <w:pStyle w:val="affffffffffffffffffffffffffffffffe"/>
      </w:pPr>
      <w:r>
        <w:rPr>
          <w:rFonts w:hint="eastAsia"/>
        </w:rPr>
        <w:t>支付的重要的投资活动有关的现金说明</w:t>
      </w:r>
    </w:p>
    <w:sdt>
      <w:sdtPr>
        <w:alias w:val="支付的重要的投资活动有关的现金的说明"/>
        <w:tag w:val="_GBC_79f961a45f2c4d6fb5ba9ee4a9afbe44"/>
        <w:id w:val="-691523901"/>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e"/>
      </w:pPr>
      <w:r>
        <w:rPr>
          <w:rFonts w:hint="eastAsia"/>
        </w:rPr>
        <w:t>收到的其他与投资活动有关的现金</w:t>
      </w:r>
    </w:p>
    <w:sdt>
      <w:sdtPr>
        <w:alias w:val="是否适用：收到的其他与投资活动有关的现金[双击切换]"/>
        <w:tag w:val="_GBC_a9d11a87566b448d9e6aac9a017a8388"/>
        <w:id w:val="78840089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6991942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1150601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39"/>
        <w:gridCol w:w="2663"/>
      </w:tblGrid>
      <w:tr>
        <w:sdt>
          <w:sdtPr>
            <w:tag w:val="_PLD_8fe69c5749494bb49faf620c5198417e"/>
            <w:id w:val="-403757479"/>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716621606"/>
          </w:sdtPr>
          <w:sdtContent>
            <w:tc>
              <w:tcPr>
                <w:tcW w:w="1609"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233388609"/>
          </w:sdtPr>
          <w:sdtContent>
            <w:tc>
              <w:tcPr>
                <w:tcW w:w="1509" w:type="pct"/>
              </w:tcPr>
              <w:p>
                <w:pPr>
                  <w:autoSpaceDE w:val="0"/>
                  <w:autoSpaceDN w:val="0"/>
                  <w:adjustRightInd w:val="0"/>
                  <w:snapToGrid w:val="0"/>
                  <w:spacing w:line="240" w:lineRule="atLeast"/>
                  <w:jc w:val="center"/>
                  <w:rPr>
                    <w:szCs w:val="21"/>
                  </w:rPr>
                </w:pPr>
                <w:r>
                  <w:rPr>
                    <w:rFonts w:hint="eastAsia"/>
                  </w:rPr>
                  <w:t>上期发生额</w:t>
                </w:r>
              </w:p>
            </w:tc>
          </w:sdtContent>
        </w:sdt>
      </w:tr>
      <w:tr>
        <w:tc>
          <w:tcPr>
            <w:tcW w:w="1882" w:type="pct"/>
            <w:vAlign w:val="center"/>
          </w:tcPr>
          <w:p>
            <w:pPr>
              <w:spacing w:line="360" w:lineRule="exact"/>
              <w:jc w:val="center"/>
              <w:rPr>
                <w:szCs w:val="21"/>
              </w:rPr>
            </w:pPr>
            <w:r>
              <w:rPr>
                <w:rFonts w:hint="eastAsia"/>
                <w:szCs w:val="21"/>
              </w:rPr>
              <w:t>收回受限的定期存款</w:t>
            </w:r>
          </w:p>
        </w:tc>
        <w:tc>
          <w:tcPr>
            <w:tcW w:w="1609" w:type="pct"/>
            <w:vAlign w:val="center"/>
          </w:tcPr>
          <w:p>
            <w:pPr>
              <w:spacing w:line="360" w:lineRule="exact"/>
              <w:jc w:val="right"/>
              <w:rPr>
                <w:szCs w:val="21"/>
              </w:rPr>
            </w:pPr>
          </w:p>
        </w:tc>
        <w:tc>
          <w:tcPr>
            <w:tcW w:w="1509" w:type="pct"/>
            <w:vAlign w:val="center"/>
          </w:tcPr>
          <w:p>
            <w:pPr>
              <w:spacing w:line="360" w:lineRule="exact"/>
              <w:jc w:val="right"/>
              <w:rPr>
                <w:szCs w:val="21"/>
              </w:rPr>
            </w:pPr>
            <w:r>
              <w:rPr>
                <w:szCs w:val="21"/>
              </w:rPr>
              <w:t>415,534</w:t>
            </w:r>
          </w:p>
        </w:tc>
      </w:tr>
      <w:tr>
        <w:tc>
          <w:tcPr>
            <w:tcW w:w="1882" w:type="pct"/>
            <w:vAlign w:val="center"/>
          </w:tcPr>
          <w:p>
            <w:pPr>
              <w:spacing w:line="360" w:lineRule="exact"/>
              <w:jc w:val="center"/>
              <w:rPr>
                <w:szCs w:val="21"/>
              </w:rPr>
            </w:pPr>
            <w:r>
              <w:rPr>
                <w:rFonts w:hint="eastAsia"/>
                <w:szCs w:val="21"/>
              </w:rPr>
              <w:t>关联方借款</w:t>
            </w:r>
          </w:p>
        </w:tc>
        <w:tc>
          <w:tcPr>
            <w:tcW w:w="1609" w:type="pct"/>
            <w:vAlign w:val="center"/>
          </w:tcPr>
          <w:p>
            <w:pPr>
              <w:spacing w:line="360" w:lineRule="exact"/>
              <w:jc w:val="right"/>
              <w:rPr>
                <w:szCs w:val="21"/>
              </w:rPr>
            </w:pPr>
            <w:r>
              <w:rPr>
                <w:szCs w:val="21"/>
              </w:rPr>
              <w:t>790,418</w:t>
            </w:r>
          </w:p>
        </w:tc>
        <w:tc>
          <w:tcPr>
            <w:tcW w:w="1509" w:type="pct"/>
            <w:vAlign w:val="center"/>
          </w:tcPr>
          <w:p>
            <w:pPr>
              <w:spacing w:line="360" w:lineRule="exact"/>
              <w:jc w:val="right"/>
              <w:rPr>
                <w:szCs w:val="21"/>
              </w:rPr>
            </w:pPr>
            <w:r>
              <w:rPr>
                <w:szCs w:val="21"/>
              </w:rPr>
              <w:t>1,074,116</w:t>
            </w:r>
          </w:p>
        </w:tc>
      </w:tr>
      <w:tr>
        <w:tc>
          <w:tcPr>
            <w:tcW w:w="1882" w:type="pct"/>
            <w:vAlign w:val="center"/>
          </w:tcPr>
          <w:p>
            <w:pPr>
              <w:spacing w:line="360" w:lineRule="exact"/>
              <w:jc w:val="center"/>
              <w:rPr>
                <w:szCs w:val="21"/>
              </w:rPr>
            </w:pPr>
            <w:r>
              <w:rPr>
                <w:rFonts w:hint="eastAsia"/>
                <w:szCs w:val="21"/>
              </w:rPr>
              <w:t>其他</w:t>
            </w:r>
          </w:p>
        </w:tc>
        <w:tc>
          <w:tcPr>
            <w:tcW w:w="1609" w:type="pct"/>
            <w:vAlign w:val="center"/>
          </w:tcPr>
          <w:p>
            <w:pPr>
              <w:spacing w:line="360" w:lineRule="exact"/>
              <w:jc w:val="right"/>
              <w:rPr>
                <w:szCs w:val="21"/>
              </w:rPr>
            </w:pPr>
            <w:r>
              <w:rPr>
                <w:szCs w:val="21"/>
              </w:rPr>
              <w:t>89,275</w:t>
            </w:r>
          </w:p>
        </w:tc>
        <w:tc>
          <w:tcPr>
            <w:tcW w:w="1509" w:type="pct"/>
            <w:vAlign w:val="center"/>
          </w:tcPr>
          <w:p>
            <w:pPr>
              <w:spacing w:line="360" w:lineRule="exact"/>
              <w:jc w:val="right"/>
              <w:rPr>
                <w:szCs w:val="21"/>
              </w:rPr>
            </w:pPr>
            <w:r>
              <w:rPr>
                <w:szCs w:val="21"/>
              </w:rPr>
              <w:t>57,526</w:t>
            </w:r>
          </w:p>
        </w:tc>
      </w:tr>
      <w:tr>
        <w:tc>
          <w:tcPr>
            <w:tcW w:w="1882" w:type="pct"/>
            <w:vAlign w:val="center"/>
          </w:tcPr>
          <w:p>
            <w:pPr>
              <w:spacing w:line="360" w:lineRule="exact"/>
              <w:jc w:val="center"/>
              <w:rPr>
                <w:szCs w:val="21"/>
              </w:rPr>
            </w:pPr>
            <w:r>
              <w:rPr>
                <w:rFonts w:hint="eastAsia"/>
                <w:szCs w:val="21"/>
              </w:rPr>
              <w:t>合计</w:t>
            </w:r>
          </w:p>
        </w:tc>
        <w:tc>
          <w:tcPr>
            <w:tcW w:w="1609" w:type="pct"/>
            <w:vAlign w:val="bottom"/>
          </w:tcPr>
          <w:p>
            <w:pPr>
              <w:spacing w:line="360" w:lineRule="exact"/>
              <w:jc w:val="right"/>
              <w:rPr>
                <w:szCs w:val="21"/>
              </w:rPr>
            </w:pPr>
            <w:r>
              <w:rPr>
                <w:szCs w:val="21"/>
              </w:rPr>
              <w:t>879,693</w:t>
            </w:r>
          </w:p>
        </w:tc>
        <w:tc>
          <w:tcPr>
            <w:tcW w:w="1509" w:type="pct"/>
          </w:tcPr>
          <w:p>
            <w:pPr>
              <w:spacing w:line="360" w:lineRule="exact"/>
              <w:jc w:val="right"/>
              <w:rPr>
                <w:szCs w:val="21"/>
              </w:rPr>
            </w:pPr>
            <w:r>
              <w:rPr>
                <w:szCs w:val="21"/>
              </w:rPr>
              <w:t>1,547,176</w:t>
            </w:r>
          </w:p>
        </w:tc>
      </w:tr>
    </w:tbl>
    <w:p>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868956049"/>
        <w:placeholder>
          <w:docPart w:val="GBC22222222222222222222222222222"/>
        </w:placeholder>
      </w:sdtPr>
      <w:sdtContent>
        <w:p>
          <w:pPr>
            <w:snapToGrid w:val="0"/>
            <w:spacing w:line="240" w:lineRule="atLeast"/>
            <w:rPr>
              <w:szCs w:val="21"/>
            </w:rPr>
          </w:pPr>
          <w:r>
            <w:rPr>
              <w:szCs w:val="21"/>
            </w:rPr>
            <w:t>-</w:t>
          </w:r>
        </w:p>
      </w:sdtContent>
    </w:sdt>
    <w:p>
      <w:pPr>
        <w:rPr>
          <w:szCs w:val="21"/>
        </w:rPr>
      </w:pPr>
    </w:p>
    <w:p>
      <w:pPr>
        <w:pStyle w:val="affffffffffffffffffffffffffffffffe"/>
      </w:pPr>
      <w:r>
        <w:rPr>
          <w:rFonts w:hint="eastAsia"/>
        </w:rPr>
        <w:lastRenderedPageBreak/>
        <w:t>支付的其他与投资活动有关的现金</w:t>
      </w:r>
    </w:p>
    <w:sdt>
      <w:sdtPr>
        <w:alias w:val="是否适用：支付的其他与投资活动有关的现金[双击切换]"/>
        <w:tag w:val="_GBC_c733aab18a804ecea142a329ce5180ba"/>
        <w:id w:val="15034198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2535131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6528613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sdt>
          <w:sdtPr>
            <w:tag w:val="_PLD_587dffb6cb394ed0abe3449c37ec4700"/>
            <w:id w:val="698131549"/>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758360377"/>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f161b1c392e440818862ceb1761bb906"/>
            <w:id w:val="1965307919"/>
          </w:sdtPr>
          <w:sdtContent>
            <w:tc>
              <w:tcPr>
                <w:tcW w:w="1508" w:type="pct"/>
              </w:tcPr>
              <w:p>
                <w:pPr>
                  <w:autoSpaceDE w:val="0"/>
                  <w:autoSpaceDN w:val="0"/>
                  <w:adjustRightInd w:val="0"/>
                  <w:snapToGrid w:val="0"/>
                  <w:jc w:val="center"/>
                  <w:rPr>
                    <w:szCs w:val="21"/>
                  </w:rPr>
                </w:pPr>
                <w:r>
                  <w:rPr>
                    <w:rFonts w:hint="eastAsia"/>
                  </w:rPr>
                  <w:t>上期发生额</w:t>
                </w:r>
              </w:p>
            </w:tc>
          </w:sdtContent>
        </w:sdt>
      </w:tr>
      <w:tr>
        <w:tc>
          <w:tcPr>
            <w:tcW w:w="1882" w:type="pct"/>
            <w:vAlign w:val="center"/>
          </w:tcPr>
          <w:p>
            <w:pPr>
              <w:spacing w:line="360" w:lineRule="exact"/>
              <w:jc w:val="center"/>
              <w:rPr>
                <w:szCs w:val="21"/>
              </w:rPr>
            </w:pPr>
            <w:r>
              <w:rPr>
                <w:rFonts w:hint="eastAsia"/>
                <w:szCs w:val="21"/>
              </w:rPr>
              <w:t>支付受限的定期存款</w:t>
            </w:r>
          </w:p>
        </w:tc>
        <w:tc>
          <w:tcPr>
            <w:tcW w:w="1610" w:type="pct"/>
            <w:vAlign w:val="center"/>
          </w:tcPr>
          <w:p>
            <w:pPr>
              <w:spacing w:line="360" w:lineRule="exact"/>
              <w:jc w:val="right"/>
              <w:rPr>
                <w:szCs w:val="21"/>
              </w:rPr>
            </w:pPr>
            <w:r>
              <w:rPr>
                <w:szCs w:val="21"/>
              </w:rPr>
              <w:t>98,006</w:t>
            </w:r>
          </w:p>
        </w:tc>
        <w:tc>
          <w:tcPr>
            <w:tcW w:w="1508" w:type="pct"/>
            <w:vAlign w:val="center"/>
          </w:tcPr>
          <w:p>
            <w:pPr>
              <w:spacing w:line="360" w:lineRule="exact"/>
              <w:jc w:val="right"/>
              <w:rPr>
                <w:szCs w:val="21"/>
              </w:rPr>
            </w:pPr>
          </w:p>
        </w:tc>
      </w:tr>
      <w:tr>
        <w:tc>
          <w:tcPr>
            <w:tcW w:w="1882" w:type="pct"/>
            <w:vAlign w:val="center"/>
          </w:tcPr>
          <w:p>
            <w:pPr>
              <w:spacing w:line="360" w:lineRule="exact"/>
              <w:jc w:val="center"/>
              <w:rPr>
                <w:szCs w:val="21"/>
              </w:rPr>
            </w:pPr>
            <w:r>
              <w:rPr>
                <w:rFonts w:hint="eastAsia"/>
                <w:szCs w:val="21"/>
              </w:rPr>
              <w:t>支付保证金</w:t>
            </w:r>
          </w:p>
        </w:tc>
        <w:tc>
          <w:tcPr>
            <w:tcW w:w="1610" w:type="pct"/>
            <w:vAlign w:val="center"/>
          </w:tcPr>
          <w:p>
            <w:pPr>
              <w:spacing w:line="360" w:lineRule="exact"/>
              <w:jc w:val="right"/>
              <w:rPr>
                <w:szCs w:val="21"/>
              </w:rPr>
            </w:pPr>
            <w:r>
              <w:rPr>
                <w:szCs w:val="21"/>
              </w:rPr>
              <w:t>48,503</w:t>
            </w:r>
          </w:p>
        </w:tc>
        <w:tc>
          <w:tcPr>
            <w:tcW w:w="1508" w:type="pct"/>
            <w:vAlign w:val="center"/>
          </w:tcPr>
          <w:p>
            <w:pPr>
              <w:spacing w:line="360" w:lineRule="exact"/>
              <w:jc w:val="right"/>
              <w:rPr>
                <w:szCs w:val="21"/>
              </w:rPr>
            </w:pPr>
            <w:r>
              <w:rPr>
                <w:szCs w:val="21"/>
              </w:rPr>
              <w:t>25,200</w:t>
            </w:r>
          </w:p>
        </w:tc>
      </w:tr>
      <w:tr>
        <w:tc>
          <w:tcPr>
            <w:tcW w:w="1882" w:type="pct"/>
            <w:vAlign w:val="center"/>
          </w:tcPr>
          <w:p>
            <w:pPr>
              <w:spacing w:line="360" w:lineRule="exact"/>
              <w:jc w:val="center"/>
              <w:rPr>
                <w:szCs w:val="21"/>
              </w:rPr>
            </w:pPr>
            <w:r>
              <w:rPr>
                <w:rFonts w:hint="eastAsia"/>
                <w:szCs w:val="21"/>
              </w:rPr>
              <w:t>合计</w:t>
            </w:r>
          </w:p>
        </w:tc>
        <w:tc>
          <w:tcPr>
            <w:tcW w:w="1610" w:type="pct"/>
            <w:vAlign w:val="bottom"/>
          </w:tcPr>
          <w:p>
            <w:pPr>
              <w:spacing w:line="360" w:lineRule="exact"/>
              <w:jc w:val="right"/>
              <w:rPr>
                <w:szCs w:val="21"/>
              </w:rPr>
            </w:pPr>
            <w:r>
              <w:rPr>
                <w:szCs w:val="21"/>
              </w:rPr>
              <w:t>146,509</w:t>
            </w:r>
          </w:p>
        </w:tc>
        <w:tc>
          <w:tcPr>
            <w:tcW w:w="1508" w:type="pct"/>
          </w:tcPr>
          <w:p>
            <w:pPr>
              <w:spacing w:line="360" w:lineRule="exact"/>
              <w:jc w:val="right"/>
              <w:rPr>
                <w:szCs w:val="21"/>
              </w:rPr>
            </w:pPr>
            <w:r>
              <w:rPr>
                <w:szCs w:val="21"/>
              </w:rPr>
              <w:t>25,200</w:t>
            </w:r>
          </w:p>
        </w:tc>
      </w:tr>
    </w:tbl>
    <w:p>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694850970"/>
        <w:placeholder>
          <w:docPart w:val="GBC22222222222222222222222222222"/>
        </w:placeholder>
      </w:sdtPr>
      <w:sdtContent>
        <w:p>
          <w:pPr>
            <w:rPr>
              <w:szCs w:val="21"/>
            </w:rPr>
          </w:pPr>
          <w:r>
            <w:rPr>
              <w:szCs w:val="21"/>
            </w:rPr>
            <w:t>-</w:t>
          </w:r>
        </w:p>
      </w:sdtContent>
    </w:sdt>
    <w:p>
      <w:pPr>
        <w:rPr>
          <w:szCs w:val="21"/>
        </w:rPr>
      </w:pPr>
    </w:p>
    <w:p>
      <w:pPr>
        <w:pStyle w:val="afffffffffffffffffffffffffffffffff1"/>
        <w:numPr>
          <w:ilvl w:val="0"/>
          <w:numId w:val="129"/>
        </w:numPr>
        <w:ind w:left="426" w:hanging="426"/>
      </w:pPr>
      <w:r>
        <w:rPr>
          <w:rFonts w:hint="eastAsia"/>
        </w:rPr>
        <w:t>与筹资活动有关的现金</w:t>
      </w:r>
    </w:p>
    <w:p>
      <w:pPr>
        <w:pStyle w:val="affffffffffffffffffffffffffffffffe"/>
      </w:pPr>
      <w:r>
        <w:rPr>
          <w:rFonts w:hint="eastAsia"/>
        </w:rPr>
        <w:t>收到的其他与筹资活动有关的现金</w:t>
      </w:r>
    </w:p>
    <w:sdt>
      <w:sdtPr>
        <w:alias w:val="是否适用：收到的其他与筹资活动有关的现金[双击切换]"/>
        <w:tag w:val="_GBC_031910cf781944cf80900ffa99f7a9d7"/>
        <w:id w:val="622650839"/>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5946349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253352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sdt>
          <w:sdtPr>
            <w:tag w:val="_PLD_a77349a2c05f473b9ac20b64fc24179e"/>
            <w:id w:val="264890525"/>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876198161"/>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aa071ffac82040379300e6f5150e4ff7"/>
            <w:id w:val="926623905"/>
          </w:sdtPr>
          <w:sdtContent>
            <w:tc>
              <w:tcPr>
                <w:tcW w:w="1508" w:type="pct"/>
              </w:tcPr>
              <w:p>
                <w:pPr>
                  <w:autoSpaceDE w:val="0"/>
                  <w:autoSpaceDN w:val="0"/>
                  <w:adjustRightInd w:val="0"/>
                  <w:snapToGrid w:val="0"/>
                  <w:jc w:val="center"/>
                  <w:rPr>
                    <w:szCs w:val="21"/>
                  </w:rPr>
                </w:pPr>
                <w:r>
                  <w:rPr>
                    <w:rFonts w:hint="eastAsia"/>
                  </w:rPr>
                  <w:t>上期发生额</w:t>
                </w:r>
              </w:p>
            </w:tc>
          </w:sdtContent>
        </w:sdt>
      </w:tr>
      <w:tr>
        <w:tc>
          <w:tcPr>
            <w:tcW w:w="1882" w:type="pct"/>
            <w:vAlign w:val="center"/>
          </w:tcPr>
          <w:p>
            <w:pPr>
              <w:rPr>
                <w:color w:val="000000"/>
                <w:szCs w:val="21"/>
              </w:rPr>
            </w:pPr>
            <w:r>
              <w:rPr>
                <w:rFonts w:hint="eastAsia"/>
                <w:color w:val="000000"/>
                <w:szCs w:val="21"/>
              </w:rPr>
              <w:t>关联方资金往来款</w:t>
            </w:r>
          </w:p>
        </w:tc>
        <w:tc>
          <w:tcPr>
            <w:tcW w:w="1610" w:type="pct"/>
            <w:vAlign w:val="center"/>
          </w:tcPr>
          <w:p>
            <w:pPr>
              <w:jc w:val="right"/>
              <w:rPr>
                <w:color w:val="000000"/>
                <w:szCs w:val="21"/>
              </w:rPr>
            </w:pPr>
            <w:r>
              <w:rPr>
                <w:color w:val="000000"/>
                <w:szCs w:val="21"/>
              </w:rPr>
              <w:t>1,571,679</w:t>
            </w:r>
          </w:p>
        </w:tc>
        <w:tc>
          <w:tcPr>
            <w:tcW w:w="1508" w:type="pct"/>
            <w:vAlign w:val="center"/>
          </w:tcPr>
          <w:p>
            <w:pPr>
              <w:jc w:val="right"/>
              <w:rPr>
                <w:color w:val="000000"/>
                <w:szCs w:val="21"/>
              </w:rPr>
            </w:pPr>
            <w:r>
              <w:rPr>
                <w:color w:val="000000"/>
                <w:szCs w:val="21"/>
              </w:rPr>
              <w:t>1,959,500</w:t>
            </w:r>
          </w:p>
        </w:tc>
      </w:tr>
      <w:tr>
        <w:tc>
          <w:tcPr>
            <w:tcW w:w="1882" w:type="pct"/>
            <w:vAlign w:val="center"/>
          </w:tcPr>
          <w:p>
            <w:pPr>
              <w:rPr>
                <w:color w:val="000000"/>
                <w:szCs w:val="21"/>
              </w:rPr>
            </w:pPr>
            <w:r>
              <w:rPr>
                <w:rFonts w:hint="eastAsia"/>
                <w:color w:val="000000"/>
                <w:szCs w:val="21"/>
              </w:rPr>
              <w:t>售后回租</w:t>
            </w:r>
          </w:p>
        </w:tc>
        <w:tc>
          <w:tcPr>
            <w:tcW w:w="1610" w:type="pct"/>
            <w:vAlign w:val="center"/>
          </w:tcPr>
          <w:p>
            <w:pPr>
              <w:jc w:val="right"/>
              <w:rPr>
                <w:color w:val="000000"/>
                <w:szCs w:val="21"/>
              </w:rPr>
            </w:pPr>
            <w:r>
              <w:rPr>
                <w:color w:val="000000"/>
                <w:szCs w:val="21"/>
              </w:rPr>
              <w:t>600,837</w:t>
            </w:r>
          </w:p>
        </w:tc>
        <w:tc>
          <w:tcPr>
            <w:tcW w:w="1508" w:type="pct"/>
            <w:vAlign w:val="center"/>
          </w:tcPr>
          <w:p>
            <w:pPr>
              <w:jc w:val="right"/>
              <w:rPr>
                <w:color w:val="000000"/>
                <w:szCs w:val="21"/>
              </w:rPr>
            </w:pPr>
            <w:r>
              <w:rPr>
                <w:color w:val="000000"/>
                <w:szCs w:val="21"/>
              </w:rPr>
              <w:t>1,500,000</w:t>
            </w:r>
          </w:p>
        </w:tc>
      </w:tr>
      <w:tr>
        <w:tc>
          <w:tcPr>
            <w:tcW w:w="1882" w:type="pct"/>
            <w:vAlign w:val="center"/>
          </w:tcPr>
          <w:p>
            <w:pPr>
              <w:rPr>
                <w:color w:val="000000"/>
                <w:szCs w:val="21"/>
              </w:rPr>
            </w:pPr>
            <w:r>
              <w:rPr>
                <w:rFonts w:hint="eastAsia"/>
                <w:color w:val="000000"/>
                <w:szCs w:val="21"/>
              </w:rPr>
              <w:t>收回法定存款保证金</w:t>
            </w:r>
          </w:p>
        </w:tc>
        <w:tc>
          <w:tcPr>
            <w:tcW w:w="1610" w:type="pct"/>
            <w:vAlign w:val="center"/>
          </w:tcPr>
          <w:p>
            <w:pPr>
              <w:jc w:val="right"/>
              <w:rPr>
                <w:color w:val="000000"/>
                <w:szCs w:val="21"/>
              </w:rPr>
            </w:pPr>
            <w:r>
              <w:rPr>
                <w:color w:val="000000"/>
                <w:szCs w:val="21"/>
              </w:rPr>
              <w:t>1,468,996</w:t>
            </w:r>
          </w:p>
        </w:tc>
        <w:tc>
          <w:tcPr>
            <w:tcW w:w="1508" w:type="pct"/>
            <w:vAlign w:val="center"/>
          </w:tcPr>
          <w:p>
            <w:pPr>
              <w:jc w:val="right"/>
              <w:rPr>
                <w:color w:val="000000"/>
                <w:szCs w:val="21"/>
              </w:rPr>
            </w:pPr>
            <w:r>
              <w:rPr>
                <w:color w:val="000000"/>
                <w:szCs w:val="21"/>
              </w:rPr>
              <w:t>1,000,362</w:t>
            </w:r>
          </w:p>
        </w:tc>
      </w:tr>
      <w:tr>
        <w:tc>
          <w:tcPr>
            <w:tcW w:w="1882" w:type="pct"/>
            <w:vAlign w:val="center"/>
          </w:tcPr>
          <w:p>
            <w:pPr>
              <w:rPr>
                <w:color w:val="000000"/>
                <w:szCs w:val="21"/>
              </w:rPr>
            </w:pPr>
            <w:r>
              <w:rPr>
                <w:rFonts w:hint="eastAsia"/>
                <w:color w:val="000000"/>
                <w:szCs w:val="21"/>
              </w:rPr>
              <w:t>其他</w:t>
            </w:r>
          </w:p>
        </w:tc>
        <w:tc>
          <w:tcPr>
            <w:tcW w:w="1610" w:type="pct"/>
            <w:vAlign w:val="center"/>
          </w:tcPr>
          <w:p>
            <w:pPr>
              <w:jc w:val="right"/>
              <w:rPr>
                <w:color w:val="000000"/>
                <w:szCs w:val="21"/>
              </w:rPr>
            </w:pPr>
            <w:r>
              <w:rPr>
                <w:color w:val="000000"/>
                <w:szCs w:val="21"/>
              </w:rPr>
              <w:t>406,243</w:t>
            </w:r>
          </w:p>
        </w:tc>
        <w:tc>
          <w:tcPr>
            <w:tcW w:w="1508" w:type="pct"/>
            <w:vAlign w:val="center"/>
          </w:tcPr>
          <w:p>
            <w:pPr>
              <w:jc w:val="right"/>
              <w:rPr>
                <w:color w:val="000000"/>
                <w:szCs w:val="21"/>
              </w:rPr>
            </w:pPr>
            <w:r>
              <w:rPr>
                <w:color w:val="000000"/>
                <w:szCs w:val="21"/>
              </w:rPr>
              <w:t>240,027</w:t>
            </w:r>
          </w:p>
        </w:tc>
      </w:tr>
      <w:tr>
        <w:tc>
          <w:tcPr>
            <w:tcW w:w="1882" w:type="pct"/>
          </w:tcPr>
          <w:p>
            <w:pPr>
              <w:autoSpaceDE w:val="0"/>
              <w:autoSpaceDN w:val="0"/>
              <w:adjustRightInd w:val="0"/>
              <w:snapToGrid w:val="0"/>
              <w:jc w:val="center"/>
              <w:rPr>
                <w:szCs w:val="21"/>
              </w:rPr>
            </w:pPr>
            <w:r>
              <w:rPr>
                <w:rFonts w:hint="eastAsia"/>
                <w:szCs w:val="21"/>
              </w:rPr>
              <w:t>合计</w:t>
            </w:r>
          </w:p>
        </w:tc>
        <w:tc>
          <w:tcPr>
            <w:tcW w:w="1610" w:type="pct"/>
            <w:vAlign w:val="bottom"/>
          </w:tcPr>
          <w:p>
            <w:pPr>
              <w:jc w:val="right"/>
              <w:rPr>
                <w:szCs w:val="21"/>
              </w:rPr>
            </w:pPr>
            <w:r>
              <w:rPr>
                <w:szCs w:val="21"/>
              </w:rPr>
              <w:t>4,047,755</w:t>
            </w:r>
          </w:p>
        </w:tc>
        <w:tc>
          <w:tcPr>
            <w:tcW w:w="1508" w:type="pct"/>
          </w:tcPr>
          <w:p>
            <w:pPr>
              <w:jc w:val="right"/>
              <w:rPr>
                <w:szCs w:val="21"/>
              </w:rPr>
            </w:pPr>
            <w:r>
              <w:rPr>
                <w:szCs w:val="21"/>
              </w:rPr>
              <w:t>4,699,889</w:t>
            </w:r>
          </w:p>
        </w:tc>
      </w:tr>
    </w:tbl>
    <w:p>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215350589"/>
        <w:placeholder>
          <w:docPart w:val="GBC22222222222222222222222222222"/>
        </w:placeholder>
      </w:sdtPr>
      <w:sdtEndPr>
        <w:rPr>
          <w:szCs w:val="22"/>
        </w:rPr>
      </w:sdtEndPr>
      <w:sdtContent>
        <w:p>
          <w:pPr>
            <w:pStyle w:val="affffffffffffffffffffffffffffffffe"/>
          </w:pPr>
          <w:r>
            <w:rPr>
              <w:szCs w:val="21"/>
            </w:rPr>
            <w:t>-</w:t>
          </w:r>
        </w:p>
      </w:sdtContent>
    </w:sdt>
    <w:p>
      <w:pPr>
        <w:pStyle w:val="affffffffffffffffffffffffffffffffe"/>
      </w:pPr>
    </w:p>
    <w:p>
      <w:pPr>
        <w:pStyle w:val="affffffffffffffffffffffffffffffffe"/>
      </w:pPr>
      <w:r>
        <w:rPr>
          <w:rFonts w:hint="eastAsia"/>
        </w:rPr>
        <w:t>支付的其他与筹资活动有关的现金</w:t>
      </w:r>
    </w:p>
    <w:sdt>
      <w:sdtPr>
        <w:alias w:val="是否适用：支付的其他与筹资活动有关的现金[双击切换]"/>
        <w:tag w:val="_GBC_fcc0d0c43a2d4fa88ca685f3e36f2f40"/>
        <w:id w:val="70676067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4643186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2397825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321"/>
        <w:gridCol w:w="2841"/>
        <w:gridCol w:w="2661"/>
      </w:tblGrid>
      <w:tr>
        <w:sdt>
          <w:sdtPr>
            <w:tag w:val="_PLD_e2db8e0335cc47fe9b6461eeb2befa7e"/>
            <w:id w:val="-326818867"/>
          </w:sdtPr>
          <w:sdtContent>
            <w:tc>
              <w:tcPr>
                <w:tcW w:w="1882" w:type="pct"/>
              </w:tcPr>
              <w:p>
                <w:pPr>
                  <w:autoSpaceDE w:val="0"/>
                  <w:autoSpaceDN w:val="0"/>
                  <w:adjustRightInd w:val="0"/>
                  <w:snapToGrid w:val="0"/>
                  <w:jc w:val="center"/>
                </w:pPr>
                <w:r>
                  <w:rPr>
                    <w:rFonts w:hint="eastAsia"/>
                  </w:rPr>
                  <w:t>项目</w:t>
                </w:r>
              </w:p>
            </w:tc>
          </w:sdtContent>
        </w:sdt>
        <w:sdt>
          <w:sdtPr>
            <w:tag w:val="_PLD_bb4a54a8a5be4a6691e4d59483217c64"/>
            <w:id w:val="-1394810173"/>
          </w:sdtPr>
          <w:sdtContent>
            <w:tc>
              <w:tcPr>
                <w:tcW w:w="1610" w:type="pct"/>
              </w:tcPr>
              <w:p>
                <w:pPr>
                  <w:autoSpaceDE w:val="0"/>
                  <w:autoSpaceDN w:val="0"/>
                  <w:adjustRightInd w:val="0"/>
                  <w:snapToGrid w:val="0"/>
                  <w:jc w:val="center"/>
                </w:pPr>
                <w:r>
                  <w:rPr>
                    <w:rFonts w:hint="eastAsia"/>
                  </w:rPr>
                  <w:t>本期发生额</w:t>
                </w:r>
              </w:p>
            </w:tc>
          </w:sdtContent>
        </w:sdt>
        <w:sdt>
          <w:sdtPr>
            <w:tag w:val="_PLD_a4930447bc4d450faf79f923eef8597b"/>
            <w:id w:val="-908838740"/>
          </w:sdtPr>
          <w:sdtContent>
            <w:tc>
              <w:tcPr>
                <w:tcW w:w="1508" w:type="pct"/>
              </w:tcPr>
              <w:p>
                <w:pPr>
                  <w:autoSpaceDE w:val="0"/>
                  <w:autoSpaceDN w:val="0"/>
                  <w:adjustRightInd w:val="0"/>
                  <w:snapToGrid w:val="0"/>
                  <w:jc w:val="center"/>
                </w:pPr>
                <w:r>
                  <w:rPr>
                    <w:rFonts w:hint="eastAsia"/>
                  </w:rPr>
                  <w:t>上期发生额</w:t>
                </w:r>
              </w:p>
            </w:tc>
          </w:sdtContent>
        </w:sdt>
      </w:tr>
      <w:tr>
        <w:tc>
          <w:tcPr>
            <w:tcW w:w="1882" w:type="pct"/>
            <w:vAlign w:val="center"/>
          </w:tcPr>
          <w:p>
            <w:pPr>
              <w:spacing w:line="360" w:lineRule="exact"/>
              <w:rPr>
                <w:szCs w:val="21"/>
              </w:rPr>
            </w:pPr>
            <w:r>
              <w:rPr>
                <w:rFonts w:hint="eastAsia"/>
                <w:szCs w:val="21"/>
              </w:rPr>
              <w:t>同一控制下企业合并股权转让款</w:t>
            </w:r>
          </w:p>
        </w:tc>
        <w:tc>
          <w:tcPr>
            <w:tcW w:w="1610" w:type="pct"/>
            <w:vAlign w:val="center"/>
          </w:tcPr>
          <w:p>
            <w:pPr>
              <w:spacing w:line="360" w:lineRule="exact"/>
              <w:jc w:val="right"/>
              <w:rPr>
                <w:szCs w:val="21"/>
              </w:rPr>
            </w:pPr>
            <w:r>
              <w:rPr>
                <w:szCs w:val="21"/>
              </w:rPr>
              <w:t>10,057,794</w:t>
            </w:r>
          </w:p>
        </w:tc>
        <w:tc>
          <w:tcPr>
            <w:tcW w:w="1508" w:type="pct"/>
            <w:vAlign w:val="center"/>
          </w:tcPr>
          <w:p>
            <w:pPr>
              <w:spacing w:line="360" w:lineRule="exact"/>
              <w:jc w:val="right"/>
              <w:rPr>
                <w:szCs w:val="21"/>
              </w:rPr>
            </w:pPr>
            <w:r>
              <w:rPr>
                <w:szCs w:val="21"/>
              </w:rPr>
              <w:t>16,679,643</w:t>
            </w:r>
          </w:p>
        </w:tc>
      </w:tr>
      <w:tr>
        <w:tc>
          <w:tcPr>
            <w:tcW w:w="1882" w:type="pct"/>
            <w:vAlign w:val="center"/>
          </w:tcPr>
          <w:p>
            <w:pPr>
              <w:spacing w:line="360" w:lineRule="exact"/>
              <w:rPr>
                <w:szCs w:val="21"/>
              </w:rPr>
            </w:pPr>
            <w:r>
              <w:rPr>
                <w:rFonts w:hint="eastAsia"/>
                <w:szCs w:val="21"/>
              </w:rPr>
              <w:t>偿还永续债</w:t>
            </w:r>
          </w:p>
        </w:tc>
        <w:tc>
          <w:tcPr>
            <w:tcW w:w="1610" w:type="pct"/>
            <w:vAlign w:val="center"/>
          </w:tcPr>
          <w:p>
            <w:pPr>
              <w:spacing w:line="360" w:lineRule="exact"/>
              <w:jc w:val="right"/>
              <w:rPr>
                <w:szCs w:val="21"/>
              </w:rPr>
            </w:pPr>
            <w:r>
              <w:rPr>
                <w:szCs w:val="21"/>
              </w:rPr>
              <w:t>6,300,000</w:t>
            </w:r>
          </w:p>
        </w:tc>
        <w:tc>
          <w:tcPr>
            <w:tcW w:w="1508" w:type="pct"/>
            <w:vAlign w:val="center"/>
          </w:tcPr>
          <w:p>
            <w:pPr>
              <w:spacing w:line="360" w:lineRule="exact"/>
              <w:jc w:val="right"/>
              <w:rPr>
                <w:szCs w:val="21"/>
              </w:rPr>
            </w:pPr>
          </w:p>
        </w:tc>
      </w:tr>
      <w:tr>
        <w:tc>
          <w:tcPr>
            <w:tcW w:w="1882" w:type="pct"/>
            <w:vAlign w:val="center"/>
          </w:tcPr>
          <w:p>
            <w:pPr>
              <w:spacing w:line="360" w:lineRule="exact"/>
              <w:rPr>
                <w:szCs w:val="21"/>
              </w:rPr>
            </w:pPr>
            <w:r>
              <w:rPr>
                <w:rFonts w:hint="eastAsia"/>
                <w:szCs w:val="21"/>
              </w:rPr>
              <w:t>关联方资金往来款</w:t>
            </w:r>
          </w:p>
        </w:tc>
        <w:tc>
          <w:tcPr>
            <w:tcW w:w="1610" w:type="pct"/>
            <w:vAlign w:val="center"/>
          </w:tcPr>
          <w:p>
            <w:pPr>
              <w:spacing w:line="360" w:lineRule="exact"/>
              <w:jc w:val="right"/>
              <w:rPr>
                <w:szCs w:val="21"/>
              </w:rPr>
            </w:pPr>
            <w:r>
              <w:rPr>
                <w:szCs w:val="21"/>
              </w:rPr>
              <w:t>1,565,756</w:t>
            </w:r>
          </w:p>
        </w:tc>
        <w:tc>
          <w:tcPr>
            <w:tcW w:w="1508" w:type="pct"/>
            <w:vAlign w:val="center"/>
          </w:tcPr>
          <w:p>
            <w:pPr>
              <w:spacing w:line="360" w:lineRule="exact"/>
              <w:jc w:val="right"/>
              <w:rPr>
                <w:szCs w:val="21"/>
              </w:rPr>
            </w:pPr>
            <w:r>
              <w:rPr>
                <w:szCs w:val="21"/>
              </w:rPr>
              <w:t>4,011,643</w:t>
            </w:r>
          </w:p>
        </w:tc>
      </w:tr>
      <w:tr>
        <w:tc>
          <w:tcPr>
            <w:tcW w:w="1882" w:type="pct"/>
            <w:vAlign w:val="center"/>
          </w:tcPr>
          <w:p>
            <w:pPr>
              <w:spacing w:line="360" w:lineRule="exact"/>
              <w:rPr>
                <w:szCs w:val="21"/>
              </w:rPr>
            </w:pPr>
            <w:r>
              <w:rPr>
                <w:rFonts w:hint="eastAsia"/>
                <w:szCs w:val="21"/>
              </w:rPr>
              <w:t>支付融资租赁款</w:t>
            </w:r>
          </w:p>
        </w:tc>
        <w:tc>
          <w:tcPr>
            <w:tcW w:w="1610" w:type="pct"/>
            <w:vAlign w:val="center"/>
          </w:tcPr>
          <w:p>
            <w:pPr>
              <w:spacing w:line="360" w:lineRule="exact"/>
              <w:jc w:val="right"/>
              <w:rPr>
                <w:szCs w:val="21"/>
              </w:rPr>
            </w:pPr>
            <w:r>
              <w:rPr>
                <w:szCs w:val="21"/>
              </w:rPr>
              <w:t>1,067,134</w:t>
            </w:r>
          </w:p>
        </w:tc>
        <w:tc>
          <w:tcPr>
            <w:tcW w:w="1508" w:type="pct"/>
            <w:vAlign w:val="center"/>
          </w:tcPr>
          <w:p>
            <w:pPr>
              <w:spacing w:line="360" w:lineRule="exact"/>
              <w:jc w:val="right"/>
              <w:rPr>
                <w:szCs w:val="21"/>
              </w:rPr>
            </w:pPr>
            <w:r>
              <w:rPr>
                <w:szCs w:val="21"/>
              </w:rPr>
              <w:t>1,128,297</w:t>
            </w:r>
          </w:p>
        </w:tc>
      </w:tr>
      <w:tr>
        <w:tc>
          <w:tcPr>
            <w:tcW w:w="1882" w:type="pct"/>
            <w:vAlign w:val="center"/>
          </w:tcPr>
          <w:p>
            <w:pPr>
              <w:spacing w:line="360" w:lineRule="exact"/>
              <w:rPr>
                <w:szCs w:val="21"/>
              </w:rPr>
            </w:pPr>
            <w:r>
              <w:rPr>
                <w:rFonts w:hint="eastAsia"/>
                <w:szCs w:val="21"/>
              </w:rPr>
              <w:t>债券、保函等费用</w:t>
            </w:r>
          </w:p>
        </w:tc>
        <w:tc>
          <w:tcPr>
            <w:tcW w:w="1610" w:type="pct"/>
            <w:vAlign w:val="center"/>
          </w:tcPr>
          <w:p>
            <w:pPr>
              <w:spacing w:line="360" w:lineRule="exact"/>
              <w:jc w:val="right"/>
              <w:rPr>
                <w:szCs w:val="21"/>
              </w:rPr>
            </w:pPr>
            <w:r>
              <w:rPr>
                <w:szCs w:val="21"/>
              </w:rPr>
              <w:t>197,434</w:t>
            </w:r>
          </w:p>
        </w:tc>
        <w:tc>
          <w:tcPr>
            <w:tcW w:w="1508" w:type="pct"/>
            <w:vAlign w:val="center"/>
          </w:tcPr>
          <w:p>
            <w:pPr>
              <w:spacing w:line="360" w:lineRule="exact"/>
              <w:jc w:val="right"/>
              <w:rPr>
                <w:szCs w:val="21"/>
              </w:rPr>
            </w:pPr>
            <w:r>
              <w:rPr>
                <w:szCs w:val="21"/>
              </w:rPr>
              <w:t>165,235</w:t>
            </w:r>
          </w:p>
        </w:tc>
      </w:tr>
      <w:tr>
        <w:tc>
          <w:tcPr>
            <w:tcW w:w="1882" w:type="pct"/>
            <w:vAlign w:val="center"/>
          </w:tcPr>
          <w:p>
            <w:pPr>
              <w:spacing w:line="360" w:lineRule="exact"/>
              <w:rPr>
                <w:szCs w:val="21"/>
              </w:rPr>
            </w:pPr>
            <w:r>
              <w:rPr>
                <w:rFonts w:hint="eastAsia"/>
                <w:szCs w:val="21"/>
              </w:rPr>
              <w:t>股票回购</w:t>
            </w:r>
          </w:p>
        </w:tc>
        <w:tc>
          <w:tcPr>
            <w:tcW w:w="1610" w:type="pct"/>
            <w:vAlign w:val="center"/>
          </w:tcPr>
          <w:p>
            <w:pPr>
              <w:spacing w:line="360" w:lineRule="exact"/>
              <w:jc w:val="right"/>
              <w:rPr>
                <w:szCs w:val="21"/>
              </w:rPr>
            </w:pPr>
            <w:r>
              <w:rPr>
                <w:szCs w:val="21"/>
              </w:rPr>
              <w:t>83,517</w:t>
            </w:r>
          </w:p>
        </w:tc>
        <w:tc>
          <w:tcPr>
            <w:tcW w:w="1508" w:type="pct"/>
            <w:vAlign w:val="center"/>
          </w:tcPr>
          <w:p>
            <w:pPr>
              <w:spacing w:line="360" w:lineRule="exact"/>
              <w:jc w:val="right"/>
              <w:rPr>
                <w:szCs w:val="21"/>
              </w:rPr>
            </w:pPr>
            <w:r>
              <w:rPr>
                <w:szCs w:val="21"/>
              </w:rPr>
              <w:t>73,946</w:t>
            </w:r>
          </w:p>
        </w:tc>
      </w:tr>
      <w:tr>
        <w:tc>
          <w:tcPr>
            <w:tcW w:w="1882" w:type="pct"/>
          </w:tcPr>
          <w:p>
            <w:pPr>
              <w:autoSpaceDE w:val="0"/>
              <w:autoSpaceDN w:val="0"/>
              <w:adjustRightInd w:val="0"/>
              <w:snapToGrid w:val="0"/>
              <w:jc w:val="center"/>
              <w:rPr>
                <w:szCs w:val="21"/>
              </w:rPr>
            </w:pPr>
            <w:r>
              <w:rPr>
                <w:rFonts w:hint="eastAsia"/>
                <w:szCs w:val="21"/>
              </w:rPr>
              <w:t>合计</w:t>
            </w:r>
          </w:p>
        </w:tc>
        <w:tc>
          <w:tcPr>
            <w:tcW w:w="1610" w:type="pct"/>
            <w:vAlign w:val="bottom"/>
          </w:tcPr>
          <w:p>
            <w:pPr>
              <w:jc w:val="right"/>
              <w:rPr>
                <w:szCs w:val="21"/>
              </w:rPr>
            </w:pPr>
            <w:r>
              <w:rPr>
                <w:szCs w:val="21"/>
              </w:rPr>
              <w:t>19,271,635</w:t>
            </w:r>
          </w:p>
        </w:tc>
        <w:tc>
          <w:tcPr>
            <w:tcW w:w="1508" w:type="pct"/>
          </w:tcPr>
          <w:p>
            <w:pPr>
              <w:jc w:val="right"/>
              <w:rPr>
                <w:szCs w:val="21"/>
              </w:rPr>
            </w:pPr>
            <w:r>
              <w:rPr>
                <w:szCs w:val="21"/>
              </w:rPr>
              <w:t>22,058,764</w:t>
            </w:r>
          </w:p>
        </w:tc>
      </w:tr>
    </w:tbl>
    <w:p>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852676307"/>
        <w:placeholder>
          <w:docPart w:val="GBC22222222222222222222222222222"/>
        </w:placeholder>
      </w:sdtPr>
      <w:sdtContent>
        <w:p>
          <w:pPr>
            <w:ind w:right="5"/>
            <w:rPr>
              <w:rFonts w:asciiTheme="minorHAnsi" w:hAnsiTheme="minorHAnsi" w:cstheme="minorBidi"/>
              <w:kern w:val="2"/>
              <w:szCs w:val="22"/>
            </w:rPr>
          </w:pPr>
          <w:r>
            <w:t>-</w:t>
          </w:r>
        </w:p>
      </w:sdtContent>
    </w:sdt>
    <w:p>
      <w:pPr>
        <w:ind w:right="5"/>
      </w:pPr>
    </w:p>
    <w:p>
      <w:pPr>
        <w:ind w:right="5"/>
      </w:pPr>
      <w:r>
        <w:rPr>
          <w:rFonts w:hint="eastAsia"/>
        </w:rPr>
        <w:t>筹资活动产生的各项负债变动情况</w:t>
      </w:r>
    </w:p>
    <w:sdt>
      <w:sdtPr>
        <w:alias w:val="是否适用：筹资活动产生的各项负债变动情况[双击切换]"/>
        <w:tag w:val="_GBC_6935418490e145edaf7010b5534b8d6c"/>
        <w:id w:val="116404594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29"/>
        </w:numPr>
        <w:ind w:left="426" w:hanging="426"/>
      </w:pPr>
      <w:r>
        <w:rPr>
          <w:rFonts w:hint="eastAsia"/>
        </w:rPr>
        <w:t>以净额列报现金流量的说明</w:t>
      </w:r>
    </w:p>
    <w:sdt>
      <w:sdtPr>
        <w:alias w:val="是否适用：以净额列报现金流量的说明[双击切换]"/>
        <w:tag w:val="_GBC_3444590230dd455c82f347bceb8bbf05"/>
        <w:id w:val="11518017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29"/>
        </w:numPr>
      </w:pPr>
      <w:r>
        <w:rPr>
          <w:rFonts w:hint="eastAsia"/>
        </w:rPr>
        <w:lastRenderedPageBreak/>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271289047"/>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5"/>
        <w:rPr>
          <w:rFonts w:ascii="Calibri" w:hAnsi="Calibri" w:cs="Times New Roman"/>
          <w:kern w:val="2"/>
          <w:szCs w:val="22"/>
        </w:rPr>
      </w:pPr>
    </w:p>
    <w:p>
      <w:pPr>
        <w:pStyle w:val="affffffffffffffffff6"/>
        <w:numPr>
          <w:ilvl w:val="0"/>
          <w:numId w:val="103"/>
        </w:numPr>
        <w:tabs>
          <w:tab w:val="left" w:pos="504"/>
        </w:tabs>
        <w:ind w:left="0" w:firstLine="442"/>
      </w:pPr>
      <w:r>
        <w:rPr>
          <w:rFonts w:hint="eastAsia"/>
        </w:rPr>
        <w:t>现金流量表</w:t>
      </w:r>
      <w:r>
        <w:rPr>
          <w:rFonts w:ascii="宋体" w:hAnsi="宋体" w:hint="eastAsia"/>
          <w:szCs w:val="21"/>
        </w:rPr>
        <w:t>补充</w:t>
      </w:r>
      <w:r>
        <w:rPr>
          <w:rFonts w:hint="eastAsia"/>
        </w:rPr>
        <w:t>资料</w:t>
      </w:r>
    </w:p>
    <w:p>
      <w:pPr>
        <w:pStyle w:val="afffffffffffffffffffffffffffffffff1"/>
        <w:numPr>
          <w:ilvl w:val="0"/>
          <w:numId w:val="181"/>
        </w:numPr>
        <w:ind w:left="426" w:hanging="426"/>
      </w:pPr>
      <w:r>
        <w:rPr>
          <w:rFonts w:hint="eastAsia"/>
        </w:rPr>
        <w:t>现金流量表补充资料</w:t>
      </w:r>
    </w:p>
    <w:sdt>
      <w:sdtPr>
        <w:rPr>
          <w:rFonts w:hint="eastAsia"/>
        </w:rPr>
        <w:alias w:val="是否适用：现金流量表补充资料[双击切换]"/>
        <w:tag w:val="_GBC_f77ea662869c431fa9c3cd98fccb529c"/>
        <w:id w:val="-115083220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7580979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现金流量表补充资料"/>
          <w:tag w:val="_GBC_d5067beb6bda4f61b5520807661734bf"/>
          <w:id w:val="1806497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324" w:type="pct"/>
        <w:tblInd w:w="-572"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67"/>
        <w:gridCol w:w="2730"/>
        <w:gridCol w:w="2698"/>
      </w:tblGrid>
      <w:tr>
        <w:sdt>
          <w:sdtPr>
            <w:rPr>
              <w:szCs w:val="21"/>
            </w:rPr>
            <w:tag w:val="_PLD_39bfd38318b44efe9fa609ad19a8685a"/>
            <w:id w:val="-1730842295"/>
          </w:sdtPr>
          <w:sdtContent>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Cs/>
                    <w:szCs w:val="21"/>
                  </w:rPr>
                </w:pPr>
                <w:r>
                  <w:rPr>
                    <w:rFonts w:hint="eastAsia"/>
                    <w:bCs/>
                    <w:szCs w:val="21"/>
                  </w:rPr>
                  <w:t>补充资料</w:t>
                </w:r>
              </w:p>
            </w:tc>
          </w:sdtContent>
        </w:sdt>
        <w:sdt>
          <w:sdtPr>
            <w:rPr>
              <w:szCs w:val="21"/>
            </w:rPr>
            <w:tag w:val="_PLD_8ef3863737f6403496cc160c411b0b03"/>
            <w:id w:val="1386523457"/>
          </w:sdtPr>
          <w:sdtContent>
            <w:tc>
              <w:tcPr>
                <w:tcW w:w="145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本期金额</w:t>
                </w:r>
              </w:p>
            </w:tc>
          </w:sdtContent>
        </w:sdt>
        <w:sdt>
          <w:sdtPr>
            <w:rPr>
              <w:szCs w:val="21"/>
            </w:rPr>
            <w:tag w:val="_PLD_73eb01f791e44a84b1edbc96aa42b3f3"/>
            <w:id w:val="1141704691"/>
          </w:sdtPr>
          <w:sdtContent>
            <w:tc>
              <w:tcPr>
                <w:tcW w:w="143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上期金额</w:t>
                </w:r>
              </w:p>
            </w:tc>
          </w:sdtContent>
        </w:sdt>
      </w:tr>
      <w:tr>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pPr>
              <w:spacing w:line="360" w:lineRule="exact"/>
              <w:rPr>
                <w:b/>
                <w:bCs/>
                <w:szCs w:val="21"/>
              </w:rPr>
            </w:pPr>
            <w:r>
              <w:rPr>
                <w:b/>
                <w:bCs/>
                <w:szCs w:val="21"/>
              </w:rPr>
              <w:t>1.将净利润调节为经营活动现金流量：</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净利润</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20,932,292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27,156,335</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加：资产减值损失</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10,708</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39,981</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信用减值准备</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589,849</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-121,163</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固定资产折旧</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12,135,839</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11,576,918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使用权资产折旧</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248,960</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276,038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无形资产摊销</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2,441,846</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2,959,510</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长期待摊费用摊销</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471,539</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302,853</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股份支付</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159,327</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298,036</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专项储备</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-479,005</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-1,322,648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处置固定资产、无形资产和其他长期资产的损失（收益以“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106,409</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-1,154</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固定资产报废损失（收益以“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5,266</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6,576</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公允价值变动损益（收益以“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57,092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-89,903</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净敞口套期收益（收益以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586,825</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-28,412</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财务费用（收益以“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 xml:space="preserve">3,319,122 </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4,371,668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投资损失（收益以“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-2,625,582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-2,258,873</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收购利得（收益以“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-134,765</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递延所得税资产的减少（增加以“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618,441</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640,802</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递延所得税负债的增加（减少以“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-306,422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-431,558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存货的减少（增加以“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94,217</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2,201,154</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szCs w:val="21"/>
              </w:rPr>
              <w:t>经营性应收项目的减少（增加以“-”填列）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-6,723,382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-6,664,502</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经营性应付项目的增加（减少以“</w:t>
            </w:r>
            <w:r>
              <w:rPr>
                <w:szCs w:val="21"/>
              </w:rPr>
              <w:t>-”填列）</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-9,166,650</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-22,753,024</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lastRenderedPageBreak/>
              <w:t>其他</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bCs/>
                <w:szCs w:val="21"/>
              </w:rPr>
            </w:pPr>
            <w:r>
              <w:rPr>
                <w:rFonts w:hint="eastAsia"/>
                <w:bCs/>
                <w:szCs w:val="21"/>
              </w:rPr>
              <w:t>经营活动产生的现金流量净额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22,341,926</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szCs w:val="21"/>
              </w:rPr>
              <w:t>16,158,634</w:t>
            </w:r>
          </w:p>
        </w:tc>
      </w:tr>
      <w:tr>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pPr>
              <w:spacing w:line="360" w:lineRule="exact"/>
              <w:rPr>
                <w:b/>
                <w:bCs/>
                <w:szCs w:val="21"/>
              </w:rPr>
            </w:pPr>
            <w:r>
              <w:rPr>
                <w:b/>
                <w:bCs/>
                <w:szCs w:val="21"/>
              </w:rPr>
              <w:t>2.不涉及现金收支的重大投资和筹资活动：</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债务转为资本</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一年内到期的可转换公司债券</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融资租入固定资产</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5000" w:type="pct"/>
            <w:gridSpan w:val="3"/>
            <w:tcBorders>
              <w:top w:val="single" w:sz="4" w:space="0" w:color="auto"/>
              <w:left w:val="single" w:sz="4" w:space="0" w:color="auto"/>
              <w:bottom w:val="single" w:sz="4" w:space="0" w:color="auto"/>
              <w:right w:val="outset" w:sz="4" w:space="0" w:color="auto"/>
            </w:tcBorders>
            <w:shd w:val="clear" w:color="auto" w:fill="auto"/>
            <w:vAlign w:val="center"/>
          </w:tcPr>
          <w:p>
            <w:pPr>
              <w:spacing w:line="360" w:lineRule="exact"/>
              <w:rPr>
                <w:color w:val="000000"/>
                <w:szCs w:val="21"/>
              </w:rPr>
            </w:pPr>
            <w:r>
              <w:rPr>
                <w:b/>
                <w:bCs/>
                <w:szCs w:val="21"/>
              </w:rPr>
              <w:t>3．现金及现金等价物净变动情况：</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现金的期末余额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30,495,222</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30,352,358</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减：现金的期初余额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30,352,358</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58,408,360</w:t>
            </w: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加：现金等价物的期末余额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减：现金等价物的期初余额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p>
        </w:tc>
      </w:tr>
      <w:tr>
        <w:tc>
          <w:tcPr>
            <w:tcW w:w="211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firstLineChars="200" w:firstLine="420"/>
              <w:rPr>
                <w:szCs w:val="21"/>
              </w:rPr>
            </w:pPr>
            <w:r>
              <w:rPr>
                <w:rFonts w:hint="eastAsia"/>
                <w:szCs w:val="21"/>
              </w:rPr>
              <w:t>现金及现金等价物净增加额</w:t>
            </w:r>
          </w:p>
        </w:tc>
        <w:tc>
          <w:tcPr>
            <w:tcW w:w="1453" w:type="pct"/>
            <w:tcBorders>
              <w:top w:val="outset" w:sz="4" w:space="0" w:color="auto"/>
              <w:left w:val="single" w:sz="4" w:space="0" w:color="auto"/>
              <w:bottom w:val="outset" w:sz="4" w:space="0" w:color="auto"/>
              <w:right w:val="outset" w:sz="4" w:space="0" w:color="auto"/>
            </w:tcBorders>
            <w:shd w:val="clear" w:color="auto" w:fill="auto"/>
            <w:vAlign w:val="center"/>
          </w:tcPr>
          <w:p>
            <w:pPr>
              <w:spacing w:line="360" w:lineRule="exact"/>
              <w:jc w:val="right"/>
              <w:rPr>
                <w:szCs w:val="21"/>
              </w:rPr>
            </w:pPr>
            <w:r>
              <w:rPr>
                <w:szCs w:val="21"/>
              </w:rPr>
              <w:t>142,864</w:t>
            </w:r>
          </w:p>
        </w:tc>
        <w:tc>
          <w:tcPr>
            <w:tcW w:w="1436" w:type="pct"/>
            <w:tcBorders>
              <w:top w:val="outset" w:sz="4" w:space="0" w:color="auto"/>
              <w:left w:val="outset" w:sz="4" w:space="0" w:color="auto"/>
              <w:bottom w:val="outset" w:sz="4" w:space="0" w:color="auto"/>
              <w:right w:val="outset" w:sz="4" w:space="0" w:color="auto"/>
            </w:tcBorders>
            <w:shd w:val="clear" w:color="auto" w:fill="auto"/>
            <w:vAlign w:val="center"/>
          </w:tcPr>
          <w:p>
            <w:pPr>
              <w:spacing w:line="360" w:lineRule="exact"/>
              <w:jc w:val="right"/>
              <w:rPr>
                <w:color w:val="000000"/>
                <w:szCs w:val="21"/>
              </w:rPr>
            </w:pPr>
            <w:r>
              <w:rPr>
                <w:color w:val="000000"/>
                <w:szCs w:val="21"/>
              </w:rPr>
              <w:t xml:space="preserve">-28,056,002 </w:t>
            </w:r>
          </w:p>
        </w:tc>
      </w:tr>
    </w:tbl>
    <w:p>
      <w:pPr>
        <w:pStyle w:val="affffffffffffffffffffffffffffffffe"/>
      </w:pPr>
    </w:p>
    <w:p>
      <w:pPr>
        <w:pStyle w:val="afffffffffffffffffffffffffffffffff1"/>
        <w:numPr>
          <w:ilvl w:val="0"/>
          <w:numId w:val="181"/>
        </w:numPr>
        <w:ind w:left="426" w:hanging="426"/>
      </w:pPr>
      <w:r>
        <w:rPr>
          <w:rFonts w:hint="eastAsia"/>
        </w:rPr>
        <w:t>本期</w:t>
      </w:r>
      <w:r>
        <w:rPr>
          <w:rFonts w:ascii="宋体" w:hAnsi="宋体" w:cs="宋体" w:hint="eastAsia"/>
          <w:kern w:val="0"/>
        </w:rPr>
        <w:t>支付的</w:t>
      </w:r>
      <w:r>
        <w:rPr>
          <w:rFonts w:hint="eastAsia"/>
        </w:rPr>
        <w:t>取得子公司的现金净额</w:t>
      </w:r>
    </w:p>
    <w:p>
      <w:pPr>
        <w:pStyle w:val="affffffffffffffffffffffffffffffffe"/>
      </w:pPr>
      <w:sdt>
        <w:sdtPr>
          <w:alias w:val="是否适用：本期支付的取得子公司的现金净额[双击切换]"/>
          <w:tag w:val="_GBC_e15d87c710624e119515f4697cba951d"/>
          <w:id w:val="1187647489"/>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本期支付的取得子公司的现金净额"/>
          <w:tag w:val="_GBC_ffdd39ac3ba74021a8ea429c83fb3d31"/>
          <w:id w:val="10249901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本期支付的取得子公司的现金净额"/>
          <w:tag w:val="_GBC_8939e31a9b3a42d6b242f3e24ffe177b"/>
          <w:id w:val="17614890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68"/>
        <w:gridCol w:w="3055"/>
      </w:tblGrid>
      <w:tr>
        <w:trPr>
          <w:jc w:val="center"/>
        </w:trPr>
        <w:tc>
          <w:tcPr>
            <w:tcW w:w="3269" w:type="pct"/>
            <w:shd w:val="clear" w:color="auto" w:fill="auto"/>
            <w:vAlign w:val="center"/>
          </w:tcPr>
          <w:p>
            <w:pPr>
              <w:jc w:val="center"/>
              <w:rPr>
                <w:rFonts w:cs="Arial"/>
                <w:szCs w:val="21"/>
                <w:lang w:val="en-GB"/>
              </w:rPr>
            </w:pPr>
          </w:p>
        </w:tc>
        <w:sdt>
          <w:sdtPr>
            <w:rPr>
              <w:szCs w:val="21"/>
            </w:rPr>
            <w:tag w:val="_PLD_9261b40344794232960d7225b47eb28c"/>
            <w:id w:val="-557253782"/>
          </w:sdtPr>
          <w:sdtContent>
            <w:tc>
              <w:tcPr>
                <w:tcW w:w="1731" w:type="pct"/>
                <w:shd w:val="clear" w:color="auto" w:fill="auto"/>
                <w:vAlign w:val="center"/>
              </w:tcPr>
              <w:p>
                <w:pPr>
                  <w:jc w:val="center"/>
                  <w:rPr>
                    <w:rFonts w:cs="Arial"/>
                    <w:szCs w:val="21"/>
                  </w:rPr>
                </w:pPr>
                <w:r>
                  <w:rPr>
                    <w:rFonts w:cs="Arial" w:hint="eastAsia"/>
                    <w:szCs w:val="21"/>
                  </w:rPr>
                  <w:t>金额</w:t>
                </w:r>
              </w:p>
            </w:tc>
          </w:sdtContent>
        </w:sdt>
      </w:tr>
      <w:tr>
        <w:trPr>
          <w:jc w:val="center"/>
        </w:trPr>
        <w:tc>
          <w:tcPr>
            <w:tcW w:w="3269" w:type="pct"/>
            <w:shd w:val="clear" w:color="auto" w:fill="auto"/>
            <w:vAlign w:val="center"/>
          </w:tcPr>
          <w:p>
            <w:pPr>
              <w:spacing w:line="360" w:lineRule="exact"/>
              <w:rPr>
                <w:szCs w:val="21"/>
              </w:rPr>
            </w:pPr>
            <w:r>
              <w:rPr>
                <w:rFonts w:hint="eastAsia"/>
                <w:szCs w:val="21"/>
              </w:rPr>
              <w:t>本期发生的企业合并于本期支付的现金或现金等价物</w:t>
            </w:r>
          </w:p>
        </w:tc>
        <w:tc>
          <w:tcPr>
            <w:tcW w:w="1731" w:type="pct"/>
            <w:shd w:val="clear" w:color="auto" w:fill="auto"/>
            <w:vAlign w:val="center"/>
          </w:tcPr>
          <w:p>
            <w:pPr>
              <w:spacing w:line="360" w:lineRule="exact"/>
              <w:jc w:val="right"/>
              <w:rPr>
                <w:szCs w:val="21"/>
              </w:rPr>
            </w:pPr>
            <w:r>
              <w:rPr>
                <w:szCs w:val="21"/>
              </w:rPr>
              <w:t>1,809,097</w:t>
            </w:r>
          </w:p>
        </w:tc>
      </w:tr>
      <w:tr>
        <w:trPr>
          <w:jc w:val="center"/>
        </w:trPr>
        <w:tc>
          <w:tcPr>
            <w:tcW w:w="3269" w:type="pct"/>
            <w:shd w:val="clear" w:color="auto" w:fill="auto"/>
            <w:vAlign w:val="center"/>
          </w:tcPr>
          <w:p>
            <w:pPr>
              <w:spacing w:line="360" w:lineRule="exact"/>
              <w:rPr>
                <w:szCs w:val="21"/>
              </w:rPr>
            </w:pPr>
            <w:r>
              <w:rPr>
                <w:rFonts w:hint="eastAsia"/>
                <w:szCs w:val="21"/>
              </w:rPr>
              <w:t>其中：物泊科技有限公司</w:t>
            </w:r>
          </w:p>
        </w:tc>
        <w:tc>
          <w:tcPr>
            <w:tcW w:w="1731" w:type="pct"/>
            <w:shd w:val="clear" w:color="auto" w:fill="auto"/>
            <w:vAlign w:val="center"/>
          </w:tcPr>
          <w:p>
            <w:pPr>
              <w:spacing w:line="360" w:lineRule="exact"/>
              <w:jc w:val="right"/>
              <w:rPr>
                <w:szCs w:val="21"/>
              </w:rPr>
            </w:pPr>
            <w:r>
              <w:rPr>
                <w:szCs w:val="21"/>
              </w:rPr>
              <w:t>1,554,545</w:t>
            </w: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山东天玛智能控制技术有限公司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山东博创凯盛工业科技有限公司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德伯特机械</w:t>
            </w:r>
            <w:r>
              <w:rPr>
                <w:szCs w:val="21"/>
              </w:rPr>
              <w:t>(山东)有限公司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szCs w:val="21"/>
              </w:rPr>
              <w:t>SMTScharfAG(沙尔夫股份公司)</w:t>
            </w:r>
          </w:p>
        </w:tc>
        <w:tc>
          <w:tcPr>
            <w:tcW w:w="1731" w:type="pct"/>
            <w:shd w:val="clear" w:color="auto" w:fill="auto"/>
            <w:vAlign w:val="center"/>
          </w:tcPr>
          <w:p>
            <w:pPr>
              <w:spacing w:line="360" w:lineRule="exact"/>
              <w:jc w:val="right"/>
              <w:rPr>
                <w:szCs w:val="21"/>
              </w:rPr>
            </w:pPr>
            <w:r>
              <w:rPr>
                <w:szCs w:val="21"/>
              </w:rPr>
              <w:t>254,552</w:t>
            </w:r>
          </w:p>
        </w:tc>
      </w:tr>
      <w:tr>
        <w:trPr>
          <w:jc w:val="center"/>
        </w:trPr>
        <w:tc>
          <w:tcPr>
            <w:tcW w:w="3269" w:type="pct"/>
            <w:shd w:val="clear" w:color="auto" w:fill="auto"/>
            <w:vAlign w:val="center"/>
          </w:tcPr>
          <w:p>
            <w:pPr>
              <w:spacing w:line="360" w:lineRule="exact"/>
              <w:rPr>
                <w:szCs w:val="21"/>
              </w:rPr>
            </w:pPr>
            <w:r>
              <w:rPr>
                <w:rFonts w:hint="eastAsia"/>
                <w:szCs w:val="21"/>
              </w:rPr>
              <w:t>减：购买日子公司持有的现金及现金等价物</w:t>
            </w:r>
          </w:p>
        </w:tc>
        <w:tc>
          <w:tcPr>
            <w:tcW w:w="1731" w:type="pct"/>
            <w:shd w:val="clear" w:color="auto" w:fill="auto"/>
            <w:vAlign w:val="center"/>
          </w:tcPr>
          <w:p>
            <w:pPr>
              <w:spacing w:line="360" w:lineRule="exact"/>
              <w:jc w:val="right"/>
              <w:rPr>
                <w:szCs w:val="21"/>
              </w:rPr>
            </w:pPr>
            <w:r>
              <w:rPr>
                <w:szCs w:val="21"/>
              </w:rPr>
              <w:t>1,898,096</w:t>
            </w:r>
          </w:p>
        </w:tc>
      </w:tr>
      <w:tr>
        <w:trPr>
          <w:jc w:val="center"/>
        </w:trPr>
        <w:tc>
          <w:tcPr>
            <w:tcW w:w="3269" w:type="pct"/>
            <w:shd w:val="clear" w:color="auto" w:fill="auto"/>
            <w:vAlign w:val="center"/>
          </w:tcPr>
          <w:p>
            <w:pPr>
              <w:spacing w:line="360" w:lineRule="exact"/>
              <w:rPr>
                <w:szCs w:val="21"/>
              </w:rPr>
            </w:pPr>
            <w:r>
              <w:rPr>
                <w:rFonts w:hint="eastAsia"/>
                <w:szCs w:val="21"/>
              </w:rPr>
              <w:t>其中：物泊科技有限公司</w:t>
            </w:r>
          </w:p>
        </w:tc>
        <w:tc>
          <w:tcPr>
            <w:tcW w:w="1731" w:type="pct"/>
            <w:shd w:val="clear" w:color="auto" w:fill="auto"/>
            <w:vAlign w:val="center"/>
          </w:tcPr>
          <w:p>
            <w:pPr>
              <w:spacing w:line="360" w:lineRule="exact"/>
              <w:jc w:val="right"/>
              <w:rPr>
                <w:szCs w:val="21"/>
              </w:rPr>
            </w:pPr>
            <w:r>
              <w:rPr>
                <w:szCs w:val="21"/>
              </w:rPr>
              <w:t>1,751,077</w:t>
            </w: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山东天玛智能控制技术有限公司</w:t>
            </w:r>
          </w:p>
        </w:tc>
        <w:tc>
          <w:tcPr>
            <w:tcW w:w="1731" w:type="pct"/>
            <w:shd w:val="clear" w:color="auto" w:fill="auto"/>
            <w:vAlign w:val="center"/>
          </w:tcPr>
          <w:p>
            <w:pPr>
              <w:spacing w:line="360" w:lineRule="exact"/>
              <w:jc w:val="right"/>
              <w:rPr>
                <w:szCs w:val="21"/>
              </w:rPr>
            </w:pPr>
            <w:r>
              <w:rPr>
                <w:szCs w:val="21"/>
              </w:rPr>
              <w:t>85,690</w:t>
            </w: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山东博创凯盛工业科技有限公司</w:t>
            </w:r>
          </w:p>
        </w:tc>
        <w:tc>
          <w:tcPr>
            <w:tcW w:w="1731" w:type="pct"/>
            <w:shd w:val="clear" w:color="auto" w:fill="auto"/>
            <w:vAlign w:val="center"/>
          </w:tcPr>
          <w:p>
            <w:pPr>
              <w:spacing w:line="360" w:lineRule="exact"/>
              <w:jc w:val="right"/>
              <w:rPr>
                <w:szCs w:val="21"/>
              </w:rPr>
            </w:pPr>
            <w:r>
              <w:rPr>
                <w:szCs w:val="21"/>
              </w:rPr>
              <w:t>4,708</w:t>
            </w: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德伯特机械</w:t>
            </w:r>
            <w:r>
              <w:rPr>
                <w:szCs w:val="21"/>
              </w:rPr>
              <w:t>(山东)有限公司</w:t>
            </w:r>
          </w:p>
        </w:tc>
        <w:tc>
          <w:tcPr>
            <w:tcW w:w="1731" w:type="pct"/>
            <w:shd w:val="clear" w:color="auto" w:fill="auto"/>
            <w:vAlign w:val="center"/>
          </w:tcPr>
          <w:p>
            <w:pPr>
              <w:spacing w:line="360" w:lineRule="exact"/>
              <w:jc w:val="right"/>
              <w:rPr>
                <w:szCs w:val="21"/>
              </w:rPr>
            </w:pPr>
            <w:r>
              <w:rPr>
                <w:szCs w:val="21"/>
              </w:rPr>
              <w:t>92</w:t>
            </w:r>
          </w:p>
        </w:tc>
      </w:tr>
      <w:tr>
        <w:trPr>
          <w:jc w:val="center"/>
        </w:trPr>
        <w:tc>
          <w:tcPr>
            <w:tcW w:w="3269" w:type="pct"/>
            <w:shd w:val="clear" w:color="auto" w:fill="auto"/>
            <w:vAlign w:val="center"/>
          </w:tcPr>
          <w:p>
            <w:pPr>
              <w:spacing w:line="360" w:lineRule="exact"/>
              <w:ind w:firstLineChars="300" w:firstLine="630"/>
              <w:rPr>
                <w:szCs w:val="21"/>
              </w:rPr>
            </w:pPr>
            <w:r>
              <w:rPr>
                <w:szCs w:val="21"/>
              </w:rPr>
              <w:t>SMTScharfAG(沙尔夫股份公司)</w:t>
            </w:r>
          </w:p>
        </w:tc>
        <w:tc>
          <w:tcPr>
            <w:tcW w:w="1731" w:type="pct"/>
            <w:shd w:val="clear" w:color="auto" w:fill="auto"/>
            <w:vAlign w:val="center"/>
          </w:tcPr>
          <w:p>
            <w:pPr>
              <w:spacing w:line="360" w:lineRule="exact"/>
              <w:jc w:val="right"/>
              <w:rPr>
                <w:szCs w:val="21"/>
              </w:rPr>
            </w:pPr>
            <w:r>
              <w:rPr>
                <w:szCs w:val="21"/>
              </w:rPr>
              <w:t>56,529</w:t>
            </w:r>
          </w:p>
        </w:tc>
      </w:tr>
      <w:tr>
        <w:trPr>
          <w:jc w:val="center"/>
        </w:trPr>
        <w:tc>
          <w:tcPr>
            <w:tcW w:w="3269" w:type="pct"/>
            <w:shd w:val="clear" w:color="auto" w:fill="auto"/>
            <w:vAlign w:val="center"/>
          </w:tcPr>
          <w:p>
            <w:pPr>
              <w:spacing w:line="360" w:lineRule="exact"/>
              <w:rPr>
                <w:szCs w:val="21"/>
              </w:rPr>
            </w:pPr>
            <w:r>
              <w:rPr>
                <w:rFonts w:hint="eastAsia"/>
                <w:szCs w:val="21"/>
              </w:rPr>
              <w:t>加：以前期间发生的企业合并于本期支付的现金或现金等价物</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rPr>
                <w:szCs w:val="21"/>
              </w:rPr>
            </w:pPr>
            <w:r>
              <w:rPr>
                <w:rFonts w:hint="eastAsia"/>
                <w:szCs w:val="21"/>
              </w:rPr>
              <w:t>其中：物泊科技有限公司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szCs w:val="21"/>
              </w:rPr>
              <w:t>SMTScharfAG(沙尔夫股份公司)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山东博创凯盛工业科技有限公司</w:t>
            </w:r>
          </w:p>
        </w:tc>
        <w:tc>
          <w:tcPr>
            <w:tcW w:w="1731" w:type="pct"/>
            <w:shd w:val="clear" w:color="auto" w:fill="auto"/>
            <w:vAlign w:val="center"/>
          </w:tcPr>
          <w:p>
            <w:pPr>
              <w:spacing w:line="360" w:lineRule="exact"/>
              <w:jc w:val="right"/>
              <w:rPr>
                <w:szCs w:val="21"/>
              </w:rPr>
            </w:pPr>
          </w:p>
        </w:tc>
      </w:tr>
      <w:tr>
        <w:trPr>
          <w:jc w:val="center"/>
        </w:trPr>
        <w:tc>
          <w:tcPr>
            <w:tcW w:w="3269" w:type="pct"/>
            <w:shd w:val="clear" w:color="auto" w:fill="auto"/>
            <w:vAlign w:val="center"/>
          </w:tcPr>
          <w:p>
            <w:pPr>
              <w:spacing w:line="360" w:lineRule="exact"/>
              <w:ind w:firstLineChars="300" w:firstLine="630"/>
              <w:rPr>
                <w:szCs w:val="21"/>
              </w:rPr>
            </w:pPr>
            <w:r>
              <w:rPr>
                <w:rFonts w:hint="eastAsia"/>
                <w:szCs w:val="21"/>
              </w:rPr>
              <w:t>取得子公司支付的现金净额</w:t>
            </w:r>
          </w:p>
        </w:tc>
        <w:tc>
          <w:tcPr>
            <w:tcW w:w="1731" w:type="pct"/>
            <w:shd w:val="clear" w:color="auto" w:fill="auto"/>
            <w:vAlign w:val="center"/>
          </w:tcPr>
          <w:p>
            <w:pPr>
              <w:spacing w:line="360" w:lineRule="exact"/>
              <w:jc w:val="right"/>
              <w:rPr>
                <w:szCs w:val="21"/>
              </w:rPr>
            </w:pPr>
            <w:r>
              <w:rPr>
                <w:szCs w:val="21"/>
              </w:rPr>
              <w:t>-88,999</w:t>
            </w:r>
          </w:p>
        </w:tc>
      </w:tr>
    </w:tbl>
    <w:p>
      <w:pPr>
        <w:pStyle w:val="affffffffffffffffffffffffffffffffe"/>
      </w:pPr>
      <w:r>
        <w:rPr>
          <w:rFonts w:hint="eastAsia"/>
        </w:rPr>
        <w:t>其他说明：</w:t>
      </w:r>
    </w:p>
    <w:sdt>
      <w:sdtPr>
        <w:rPr>
          <w:rFonts w:hint="eastAsia"/>
        </w:rPr>
        <w:alias w:val="取得子公司支付的现金净额的其他说明"/>
        <w:tag w:val="_GBC_3ba42e9ac649479ba86b884f2c719f8b"/>
        <w:id w:val="-1838212987"/>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fffffffffffffff1"/>
        <w:numPr>
          <w:ilvl w:val="0"/>
          <w:numId w:val="181"/>
        </w:numPr>
        <w:ind w:left="426" w:hanging="426"/>
      </w:pPr>
      <w:r>
        <w:rPr>
          <w:rFonts w:ascii="宋体" w:hAnsi="宋体" w:cs="宋体" w:hint="eastAsia"/>
          <w:kern w:val="0"/>
          <w:szCs w:val="24"/>
        </w:rPr>
        <w:lastRenderedPageBreak/>
        <w:t>本期收到的</w:t>
      </w:r>
      <w:r>
        <w:rPr>
          <w:rFonts w:hint="eastAsia"/>
        </w:rPr>
        <w:t>处置子公司的现金净额</w:t>
      </w:r>
    </w:p>
    <w:p>
      <w:pPr>
        <w:pStyle w:val="affffffffffffffffffffffffffffffffe"/>
      </w:pPr>
      <w:sdt>
        <w:sdtPr>
          <w:alias w:val="是否适用：本期收到的处置子公司的现金净额[双击切换]"/>
          <w:tag w:val="_GBC_34f955c7fd1f404b9df6ccd09e080d38"/>
          <w:id w:val="-370234049"/>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pStyle w:val="affffffffffffffffffffffffffffffffe"/>
      </w:pPr>
    </w:p>
    <w:p>
      <w:pPr>
        <w:pStyle w:val="affffffffffffffffffffffffffffffffe"/>
      </w:pPr>
    </w:p>
    <w:p>
      <w:pPr>
        <w:pStyle w:val="afffffffffffffffffffffffffffffffff1"/>
        <w:numPr>
          <w:ilvl w:val="0"/>
          <w:numId w:val="181"/>
        </w:numPr>
        <w:ind w:left="426" w:hanging="426"/>
        <w:rPr>
          <w:szCs w:val="21"/>
        </w:rPr>
      </w:pPr>
      <w:bookmarkStart w:id="480" w:name="_Hlk152667287"/>
      <w:r>
        <w:rPr>
          <w:rFonts w:ascii="宋体" w:hAnsi="宋体" w:hint="eastAsia"/>
          <w:szCs w:val="21"/>
        </w:rPr>
        <w:t>现金</w:t>
      </w:r>
      <w:r>
        <w:rPr>
          <w:rFonts w:hint="eastAsia"/>
          <w:szCs w:val="21"/>
        </w:rPr>
        <w:t>和现金</w:t>
      </w:r>
      <w:r>
        <w:rPr>
          <w:rFonts w:hint="eastAsia"/>
        </w:rPr>
        <w:t>等价物</w:t>
      </w:r>
      <w:r>
        <w:rPr>
          <w:rFonts w:hint="eastAsia"/>
          <w:szCs w:val="21"/>
        </w:rPr>
        <w:t>的</w:t>
      </w:r>
      <w:r>
        <w:rPr>
          <w:rFonts w:ascii="宋体" w:eastAsia="宋体" w:hAnsi="宋体" w:cs="宋体" w:hint="eastAsia"/>
          <w:kern w:val="0"/>
          <w:szCs w:val="24"/>
        </w:rPr>
        <w:t>构成</w:t>
      </w:r>
    </w:p>
    <w:sdt>
      <w:sdtPr>
        <w:alias w:val="是否适用：现金和现金等价物的构成[双击切换]"/>
        <w:tag w:val="_GBC_e0555d7e87b94189b1eb8131088a70ab"/>
        <w:id w:val="-120008490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财务附注：现金和现金等价物的构成"/>
          <w:tag w:val="_GBC_1e304caf56fc443fa3c4a1d772d34293"/>
          <w:id w:val="-147166491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财务附注：现金和现金等价物的构成"/>
          <w:tag w:val="_GBC_d3515d75fc184b1e9585a67f7cb04faa"/>
          <w:id w:val="14699422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9"/>
        <w:gridCol w:w="2848"/>
        <w:gridCol w:w="2666"/>
      </w:tblGrid>
      <w:tr>
        <w:trPr>
          <w:trHeight w:val="285"/>
        </w:trPr>
        <w:sdt>
          <w:sdtPr>
            <w:tag w:val="_PLD_7ae145dd51fc48d4a76bb239061b0a6e"/>
            <w:id w:val="-485099083"/>
          </w:sdtPr>
          <w:sdtContent>
            <w:tc>
              <w:tcPr>
                <w:tcW w:w="1875" w:type="pct"/>
                <w:tcBorders>
                  <w:bottom w:val="single" w:sz="4" w:space="0" w:color="auto"/>
                </w:tcBorders>
                <w:shd w:val="clear" w:color="auto" w:fill="auto"/>
                <w:vAlign w:val="center"/>
              </w:tcPr>
              <w:p>
                <w:pPr>
                  <w:ind w:leftChars="-51" w:left="-107"/>
                  <w:jc w:val="center"/>
                  <w:rPr>
                    <w:szCs w:val="21"/>
                  </w:rPr>
                </w:pPr>
                <w:r>
                  <w:rPr>
                    <w:rFonts w:hint="eastAsia"/>
                    <w:szCs w:val="21"/>
                  </w:rPr>
                  <w:t>项目</w:t>
                </w:r>
              </w:p>
            </w:tc>
          </w:sdtContent>
        </w:sdt>
        <w:sdt>
          <w:sdtPr>
            <w:tag w:val="_PLD_426ac24378064f8ab324e59db3ac5d98"/>
            <w:id w:val="-191458647"/>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d8d41db246514c0dbfacfe0f48eeceac"/>
            <w:id w:val="-1417557785"/>
          </w:sdtPr>
          <w:sdtContent>
            <w:tc>
              <w:tcPr>
                <w:tcW w:w="1511" w:type="pct"/>
                <w:shd w:val="clear" w:color="auto" w:fill="auto"/>
                <w:vAlign w:val="center"/>
              </w:tcPr>
              <w:p>
                <w:pPr>
                  <w:jc w:val="center"/>
                  <w:rPr>
                    <w:szCs w:val="21"/>
                  </w:rPr>
                </w:pPr>
                <w:r>
                  <w:rPr>
                    <w:rFonts w:hint="eastAsia"/>
                    <w:szCs w:val="21"/>
                  </w:rPr>
                  <w:t>期初余额</w:t>
                </w:r>
              </w:p>
            </w:tc>
          </w:sdtContent>
        </w:sdt>
      </w:tr>
      <w:tr>
        <w:trPr>
          <w:trHeight w:val="285"/>
        </w:trPr>
        <w:tc>
          <w:tcPr>
            <w:tcW w:w="1875" w:type="pct"/>
            <w:shd w:val="clear" w:color="auto" w:fill="auto"/>
            <w:vAlign w:val="center"/>
          </w:tcPr>
          <w:p>
            <w:pPr>
              <w:spacing w:line="360" w:lineRule="exact"/>
              <w:rPr>
                <w:szCs w:val="21"/>
              </w:rPr>
            </w:pPr>
            <w:r>
              <w:rPr>
                <w:rFonts w:hint="eastAsia"/>
                <w:szCs w:val="21"/>
              </w:rPr>
              <w:t>一、现金</w:t>
            </w:r>
          </w:p>
        </w:tc>
        <w:tc>
          <w:tcPr>
            <w:tcW w:w="1614" w:type="pct"/>
            <w:shd w:val="clear" w:color="auto" w:fill="auto"/>
            <w:vAlign w:val="center"/>
          </w:tcPr>
          <w:p>
            <w:pPr>
              <w:spacing w:line="360" w:lineRule="exact"/>
              <w:jc w:val="right"/>
              <w:rPr>
                <w:szCs w:val="21"/>
              </w:rPr>
            </w:pPr>
            <w:r>
              <w:rPr>
                <w:szCs w:val="21"/>
              </w:rPr>
              <w:t>30,495,222</w:t>
            </w:r>
          </w:p>
        </w:tc>
        <w:tc>
          <w:tcPr>
            <w:tcW w:w="1511" w:type="pct"/>
            <w:shd w:val="clear" w:color="auto" w:fill="auto"/>
            <w:vAlign w:val="center"/>
          </w:tcPr>
          <w:p>
            <w:pPr>
              <w:spacing w:line="360" w:lineRule="exact"/>
              <w:jc w:val="right"/>
              <w:rPr>
                <w:szCs w:val="21"/>
              </w:rPr>
            </w:pPr>
            <w:r>
              <w:rPr>
                <w:szCs w:val="21"/>
              </w:rPr>
              <w:t>30,352,358</w:t>
            </w:r>
          </w:p>
        </w:tc>
      </w:tr>
      <w:tr>
        <w:trPr>
          <w:trHeight w:val="285"/>
        </w:trPr>
        <w:tc>
          <w:tcPr>
            <w:tcW w:w="1875" w:type="pct"/>
            <w:shd w:val="clear" w:color="auto" w:fill="auto"/>
            <w:vAlign w:val="center"/>
          </w:tcPr>
          <w:p>
            <w:pPr>
              <w:spacing w:line="360" w:lineRule="exact"/>
              <w:rPr>
                <w:szCs w:val="21"/>
              </w:rPr>
            </w:pPr>
            <w:r>
              <w:rPr>
                <w:rFonts w:hint="eastAsia"/>
                <w:szCs w:val="21"/>
              </w:rPr>
              <w:t>其中：库存现金</w:t>
            </w:r>
          </w:p>
        </w:tc>
        <w:tc>
          <w:tcPr>
            <w:tcW w:w="1614" w:type="pct"/>
            <w:shd w:val="clear" w:color="auto" w:fill="auto"/>
            <w:vAlign w:val="center"/>
          </w:tcPr>
          <w:p>
            <w:pPr>
              <w:spacing w:line="360" w:lineRule="exact"/>
              <w:jc w:val="right"/>
              <w:rPr>
                <w:szCs w:val="21"/>
              </w:rPr>
            </w:pPr>
            <w:r>
              <w:rPr>
                <w:szCs w:val="21"/>
              </w:rPr>
              <w:t>205</w:t>
            </w:r>
          </w:p>
        </w:tc>
        <w:tc>
          <w:tcPr>
            <w:tcW w:w="1511" w:type="pct"/>
            <w:shd w:val="clear" w:color="auto" w:fill="auto"/>
            <w:vAlign w:val="center"/>
          </w:tcPr>
          <w:p>
            <w:pPr>
              <w:spacing w:line="360" w:lineRule="exact"/>
              <w:jc w:val="right"/>
              <w:rPr>
                <w:szCs w:val="21"/>
              </w:rPr>
            </w:pPr>
            <w:r>
              <w:rPr>
                <w:szCs w:val="21"/>
              </w:rPr>
              <w:t>139</w:t>
            </w:r>
          </w:p>
        </w:tc>
      </w:tr>
      <w:tr>
        <w:trPr>
          <w:trHeight w:val="285"/>
        </w:trPr>
        <w:tc>
          <w:tcPr>
            <w:tcW w:w="1875" w:type="pct"/>
            <w:shd w:val="clear" w:color="auto" w:fill="auto"/>
            <w:vAlign w:val="center"/>
          </w:tcPr>
          <w:p>
            <w:pPr>
              <w:spacing w:line="360" w:lineRule="exact"/>
              <w:rPr>
                <w:szCs w:val="21"/>
              </w:rPr>
            </w:pPr>
            <w:r>
              <w:rPr>
                <w:rFonts w:hint="eastAsia"/>
                <w:szCs w:val="21"/>
              </w:rPr>
              <w:t>可随时用于支付的银行存款</w:t>
            </w:r>
          </w:p>
        </w:tc>
        <w:tc>
          <w:tcPr>
            <w:tcW w:w="1614" w:type="pct"/>
            <w:shd w:val="clear" w:color="auto" w:fill="auto"/>
            <w:vAlign w:val="center"/>
          </w:tcPr>
          <w:p>
            <w:pPr>
              <w:spacing w:line="360" w:lineRule="exact"/>
              <w:jc w:val="right"/>
              <w:rPr>
                <w:szCs w:val="21"/>
              </w:rPr>
            </w:pPr>
            <w:r>
              <w:rPr>
                <w:szCs w:val="21"/>
              </w:rPr>
              <w:t>30,495,017</w:t>
            </w:r>
          </w:p>
        </w:tc>
        <w:tc>
          <w:tcPr>
            <w:tcW w:w="1511" w:type="pct"/>
            <w:shd w:val="clear" w:color="auto" w:fill="auto"/>
            <w:vAlign w:val="center"/>
          </w:tcPr>
          <w:p>
            <w:pPr>
              <w:spacing w:line="360" w:lineRule="exact"/>
              <w:jc w:val="right"/>
              <w:rPr>
                <w:szCs w:val="21"/>
              </w:rPr>
            </w:pPr>
            <w:r>
              <w:rPr>
                <w:szCs w:val="21"/>
              </w:rPr>
              <w:t>30,352,219</w:t>
            </w:r>
          </w:p>
        </w:tc>
      </w:tr>
      <w:tr>
        <w:trPr>
          <w:trHeight w:val="285"/>
        </w:trPr>
        <w:tc>
          <w:tcPr>
            <w:tcW w:w="1875" w:type="pct"/>
            <w:shd w:val="clear" w:color="auto" w:fill="auto"/>
            <w:vAlign w:val="center"/>
          </w:tcPr>
          <w:p>
            <w:pPr>
              <w:spacing w:line="360" w:lineRule="exact"/>
              <w:rPr>
                <w:szCs w:val="21"/>
              </w:rPr>
            </w:pPr>
            <w:r>
              <w:rPr>
                <w:rFonts w:hint="eastAsia"/>
                <w:szCs w:val="21"/>
              </w:rPr>
              <w:t>二、现金等价物</w:t>
            </w:r>
          </w:p>
        </w:tc>
        <w:tc>
          <w:tcPr>
            <w:tcW w:w="1614" w:type="pct"/>
            <w:shd w:val="clear" w:color="auto" w:fill="auto"/>
            <w:vAlign w:val="center"/>
          </w:tcPr>
          <w:p>
            <w:pPr>
              <w:spacing w:line="360" w:lineRule="exact"/>
              <w:jc w:val="right"/>
              <w:rPr>
                <w:szCs w:val="21"/>
              </w:rPr>
            </w:pPr>
          </w:p>
        </w:tc>
        <w:tc>
          <w:tcPr>
            <w:tcW w:w="1511" w:type="pct"/>
            <w:shd w:val="clear" w:color="auto" w:fill="auto"/>
            <w:vAlign w:val="center"/>
          </w:tcPr>
          <w:p>
            <w:pPr>
              <w:spacing w:line="360" w:lineRule="exact"/>
              <w:jc w:val="right"/>
              <w:rPr>
                <w:szCs w:val="21"/>
              </w:rPr>
            </w:pPr>
          </w:p>
        </w:tc>
      </w:tr>
      <w:tr>
        <w:trPr>
          <w:trHeight w:val="285"/>
        </w:trPr>
        <w:tc>
          <w:tcPr>
            <w:tcW w:w="1875" w:type="pct"/>
            <w:shd w:val="clear" w:color="auto" w:fill="auto"/>
            <w:vAlign w:val="center"/>
          </w:tcPr>
          <w:p>
            <w:pPr>
              <w:spacing w:line="360" w:lineRule="exact"/>
              <w:rPr>
                <w:szCs w:val="21"/>
              </w:rPr>
            </w:pPr>
            <w:r>
              <w:rPr>
                <w:rFonts w:hint="eastAsia"/>
                <w:szCs w:val="21"/>
              </w:rPr>
              <w:t>三、期末现金及现金等价物余额</w:t>
            </w:r>
          </w:p>
        </w:tc>
        <w:tc>
          <w:tcPr>
            <w:tcW w:w="1614" w:type="pct"/>
            <w:shd w:val="clear" w:color="auto" w:fill="auto"/>
            <w:vAlign w:val="center"/>
          </w:tcPr>
          <w:p>
            <w:pPr>
              <w:spacing w:line="360" w:lineRule="exact"/>
              <w:jc w:val="right"/>
              <w:rPr>
                <w:szCs w:val="21"/>
              </w:rPr>
            </w:pPr>
            <w:r>
              <w:rPr>
                <w:szCs w:val="21"/>
              </w:rPr>
              <w:t>30,495,222</w:t>
            </w:r>
          </w:p>
        </w:tc>
        <w:tc>
          <w:tcPr>
            <w:tcW w:w="1511" w:type="pct"/>
            <w:shd w:val="clear" w:color="auto" w:fill="auto"/>
            <w:vAlign w:val="center"/>
          </w:tcPr>
          <w:p>
            <w:pPr>
              <w:spacing w:line="360" w:lineRule="exact"/>
              <w:jc w:val="right"/>
              <w:rPr>
                <w:szCs w:val="21"/>
              </w:rPr>
            </w:pPr>
            <w:r>
              <w:rPr>
                <w:szCs w:val="21"/>
              </w:rPr>
              <w:t>30,352,358</w:t>
            </w:r>
          </w:p>
        </w:tc>
      </w:tr>
    </w:tbl>
    <w:p>
      <w:pPr>
        <w:spacing w:before="60" w:after="60"/>
        <w:rPr>
          <w:szCs w:val="21"/>
        </w:rPr>
      </w:pPr>
    </w:p>
    <w:p>
      <w:pPr>
        <w:pStyle w:val="afffffffffffffffffffffffffffffffff1"/>
        <w:numPr>
          <w:ilvl w:val="0"/>
          <w:numId w:val="181"/>
        </w:numPr>
        <w:ind w:left="426" w:hanging="426"/>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65659925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1"/>
        <w:numPr>
          <w:ilvl w:val="0"/>
          <w:numId w:val="181"/>
        </w:numPr>
        <w:ind w:left="426" w:hanging="426"/>
      </w:pPr>
      <w:r>
        <w:rPr>
          <w:rFonts w:hint="eastAsia"/>
        </w:rPr>
        <w:t>不属于现金及现金等价物的货币资金</w:t>
      </w:r>
    </w:p>
    <w:sdt>
      <w:sdtPr>
        <w:alias w:val="是否适用：不属于现金及现金等价物的货币资金[双击切换]"/>
        <w:tag w:val="_GBC_a99c932c933e4271bbb13783f71a0a6a"/>
        <w:id w:val="-73748411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不属于现金及现金等价物的货币资金"/>
          <w:tag w:val="_GBC_311192fb7d0840a69edd7ce6fa2157eb"/>
          <w:id w:val="165533330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不属于现金及现金等价物的货币资金"/>
          <w:tag w:val="_GBC_cde2361bbc3b437fb26c333fda8ecd42"/>
          <w:id w:val="2079925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16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2017"/>
        <w:gridCol w:w="2017"/>
        <w:gridCol w:w="2772"/>
      </w:tblGrid>
      <w:tr>
        <w:trPr>
          <w:trHeight w:val="196"/>
        </w:trPr>
        <w:sdt>
          <w:sdtPr>
            <w:tag w:val="_PLD_d9c8cb09365d46d38034e5ade953a094"/>
            <w:id w:val="-933356636"/>
          </w:sdtPr>
          <w:sdtContent>
            <w:tc>
              <w:tcPr>
                <w:tcW w:w="1265" w:type="pct"/>
                <w:tcBorders>
                  <w:bottom w:val="single" w:sz="4" w:space="0" w:color="auto"/>
                </w:tcBorders>
                <w:shd w:val="clear" w:color="auto" w:fill="auto"/>
                <w:vAlign w:val="center"/>
              </w:tcPr>
              <w:p>
                <w:pPr>
                  <w:ind w:leftChars="-51" w:left="-107"/>
                  <w:jc w:val="center"/>
                  <w:rPr>
                    <w:szCs w:val="21"/>
                  </w:rPr>
                </w:pPr>
                <w:r>
                  <w:rPr>
                    <w:rFonts w:hint="eastAsia"/>
                    <w:szCs w:val="21"/>
                  </w:rPr>
                  <w:t>项目</w:t>
                </w:r>
              </w:p>
            </w:tc>
          </w:sdtContent>
        </w:sdt>
        <w:sdt>
          <w:sdtPr>
            <w:tag w:val="_PLD_2af4f290fe0b417d80b3b05f3fc1523f"/>
            <w:id w:val="-1518841538"/>
          </w:sdtPr>
          <w:sdtContent>
            <w:tc>
              <w:tcPr>
                <w:tcW w:w="1107" w:type="pct"/>
                <w:vAlign w:val="center"/>
              </w:tcPr>
              <w:p>
                <w:pPr>
                  <w:jc w:val="center"/>
                  <w:rPr>
                    <w:szCs w:val="21"/>
                  </w:rPr>
                </w:pPr>
                <w:r>
                  <w:rPr>
                    <w:rFonts w:hint="eastAsia"/>
                    <w:szCs w:val="21"/>
                  </w:rPr>
                  <w:t>本期金额</w:t>
                </w:r>
              </w:p>
            </w:tc>
          </w:sdtContent>
        </w:sdt>
        <w:sdt>
          <w:sdtPr>
            <w:tag w:val="_PLD_c91b65edf38b4465a14c3beb5897a106"/>
            <w:id w:val="317846567"/>
          </w:sdtPr>
          <w:sdtContent>
            <w:tc>
              <w:tcPr>
                <w:tcW w:w="1107" w:type="pct"/>
                <w:shd w:val="clear" w:color="auto" w:fill="auto"/>
                <w:vAlign w:val="center"/>
              </w:tcPr>
              <w:p>
                <w:pPr>
                  <w:jc w:val="center"/>
                  <w:rPr>
                    <w:szCs w:val="21"/>
                  </w:rPr>
                </w:pPr>
                <w:r>
                  <w:rPr>
                    <w:rFonts w:hint="eastAsia"/>
                    <w:szCs w:val="21"/>
                  </w:rPr>
                  <w:t>上期金额</w:t>
                </w:r>
              </w:p>
            </w:tc>
          </w:sdtContent>
        </w:sdt>
        <w:sdt>
          <w:sdtPr>
            <w:tag w:val="_PLD_69b726c74b0048fda47c0fa56f9e1a5e"/>
            <w:id w:val="-641191331"/>
          </w:sdtPr>
          <w:sdtContent>
            <w:tc>
              <w:tcPr>
                <w:tcW w:w="1521" w:type="pct"/>
                <w:shd w:val="clear" w:color="auto" w:fill="auto"/>
                <w:vAlign w:val="center"/>
              </w:tcPr>
              <w:p>
                <w:pPr>
                  <w:jc w:val="center"/>
                  <w:rPr>
                    <w:szCs w:val="21"/>
                  </w:rPr>
                </w:pPr>
                <w:r>
                  <w:rPr>
                    <w:rFonts w:hint="eastAsia"/>
                    <w:szCs w:val="21"/>
                  </w:rPr>
                  <w:t>理由</w:t>
                </w:r>
              </w:p>
            </w:tc>
          </w:sdtContent>
        </w:sdt>
      </w:tr>
      <w:tr>
        <w:trPr>
          <w:trHeight w:val="121"/>
        </w:trPr>
        <w:tc>
          <w:tcPr>
            <w:tcW w:w="1265" w:type="pct"/>
            <w:shd w:val="clear" w:color="auto" w:fill="auto"/>
            <w:vAlign w:val="center"/>
          </w:tcPr>
          <w:p>
            <w:pPr>
              <w:spacing w:line="360" w:lineRule="exact"/>
              <w:rPr>
                <w:szCs w:val="21"/>
              </w:rPr>
            </w:pPr>
            <w:r>
              <w:rPr>
                <w:rFonts w:hint="eastAsia"/>
                <w:szCs w:val="21"/>
              </w:rPr>
              <w:t>票据及信用证保证金</w:t>
            </w:r>
          </w:p>
        </w:tc>
        <w:tc>
          <w:tcPr>
            <w:tcW w:w="1107" w:type="pct"/>
            <w:vAlign w:val="center"/>
          </w:tcPr>
          <w:p>
            <w:pPr>
              <w:spacing w:line="360" w:lineRule="exact"/>
              <w:jc w:val="right"/>
              <w:rPr>
                <w:szCs w:val="21"/>
              </w:rPr>
            </w:pPr>
            <w:r>
              <w:rPr>
                <w:szCs w:val="21"/>
              </w:rPr>
              <w:t>2,871,209</w:t>
            </w:r>
          </w:p>
        </w:tc>
        <w:tc>
          <w:tcPr>
            <w:tcW w:w="1107" w:type="pct"/>
            <w:shd w:val="clear" w:color="auto" w:fill="auto"/>
            <w:vAlign w:val="center"/>
          </w:tcPr>
          <w:p>
            <w:pPr>
              <w:spacing w:line="360" w:lineRule="exact"/>
              <w:jc w:val="right"/>
              <w:rPr>
                <w:szCs w:val="21"/>
              </w:rPr>
            </w:pPr>
            <w:r>
              <w:rPr>
                <w:szCs w:val="21"/>
              </w:rPr>
              <w:t>2,875,788</w:t>
            </w:r>
          </w:p>
        </w:tc>
        <w:tc>
          <w:tcPr>
            <w:tcW w:w="1521" w:type="pct"/>
            <w:shd w:val="clear" w:color="auto" w:fill="auto"/>
            <w:vAlign w:val="center"/>
          </w:tcPr>
          <w:p>
            <w:pPr>
              <w:spacing w:line="360" w:lineRule="exact"/>
              <w:rPr>
                <w:szCs w:val="21"/>
              </w:rPr>
            </w:pPr>
            <w:r>
              <w:rPr>
                <w:rFonts w:hint="eastAsia"/>
                <w:szCs w:val="21"/>
              </w:rPr>
              <w:t>票据及信用证保证金</w:t>
            </w:r>
          </w:p>
        </w:tc>
      </w:tr>
      <w:tr>
        <w:trPr>
          <w:trHeight w:val="121"/>
        </w:trPr>
        <w:tc>
          <w:tcPr>
            <w:tcW w:w="1265" w:type="pct"/>
            <w:shd w:val="clear" w:color="auto" w:fill="auto"/>
            <w:vAlign w:val="center"/>
          </w:tcPr>
          <w:p>
            <w:pPr>
              <w:spacing w:line="360" w:lineRule="exact"/>
              <w:rPr>
                <w:szCs w:val="21"/>
              </w:rPr>
            </w:pPr>
            <w:r>
              <w:rPr>
                <w:rFonts w:hint="eastAsia"/>
                <w:szCs w:val="21"/>
              </w:rPr>
              <w:t>环境恢复治理基金</w:t>
            </w:r>
          </w:p>
        </w:tc>
        <w:tc>
          <w:tcPr>
            <w:tcW w:w="1107" w:type="pct"/>
            <w:vAlign w:val="center"/>
          </w:tcPr>
          <w:p>
            <w:pPr>
              <w:spacing w:line="360" w:lineRule="exact"/>
              <w:jc w:val="right"/>
              <w:rPr>
                <w:szCs w:val="21"/>
              </w:rPr>
            </w:pPr>
            <w:r>
              <w:rPr>
                <w:szCs w:val="21"/>
              </w:rPr>
              <w:t>3,704,404</w:t>
            </w:r>
          </w:p>
        </w:tc>
        <w:tc>
          <w:tcPr>
            <w:tcW w:w="1107" w:type="pct"/>
            <w:shd w:val="clear" w:color="auto" w:fill="auto"/>
            <w:vAlign w:val="center"/>
          </w:tcPr>
          <w:p>
            <w:pPr>
              <w:spacing w:line="360" w:lineRule="exact"/>
              <w:jc w:val="right"/>
              <w:rPr>
                <w:szCs w:val="21"/>
              </w:rPr>
            </w:pPr>
            <w:r>
              <w:rPr>
                <w:szCs w:val="21"/>
              </w:rPr>
              <w:t>2,736,368</w:t>
            </w:r>
          </w:p>
        </w:tc>
        <w:tc>
          <w:tcPr>
            <w:tcW w:w="1521" w:type="pct"/>
            <w:shd w:val="clear" w:color="auto" w:fill="auto"/>
            <w:vAlign w:val="center"/>
          </w:tcPr>
          <w:p>
            <w:pPr>
              <w:spacing w:line="360" w:lineRule="exact"/>
              <w:rPr>
                <w:szCs w:val="21"/>
              </w:rPr>
            </w:pPr>
            <w:r>
              <w:rPr>
                <w:rFonts w:hint="eastAsia"/>
                <w:szCs w:val="21"/>
              </w:rPr>
              <w:t>环境恢复治理基金</w:t>
            </w:r>
          </w:p>
        </w:tc>
      </w:tr>
      <w:tr>
        <w:trPr>
          <w:trHeight w:val="121"/>
        </w:trPr>
        <w:tc>
          <w:tcPr>
            <w:tcW w:w="1265" w:type="pct"/>
            <w:shd w:val="clear" w:color="auto" w:fill="auto"/>
            <w:vAlign w:val="center"/>
          </w:tcPr>
          <w:p>
            <w:pPr>
              <w:spacing w:line="360" w:lineRule="exact"/>
              <w:rPr>
                <w:szCs w:val="21"/>
              </w:rPr>
            </w:pPr>
            <w:r>
              <w:rPr>
                <w:rFonts w:hint="eastAsia"/>
                <w:szCs w:val="21"/>
              </w:rPr>
              <w:t>法定存款保证金</w:t>
            </w:r>
          </w:p>
        </w:tc>
        <w:tc>
          <w:tcPr>
            <w:tcW w:w="1107" w:type="pct"/>
            <w:vAlign w:val="center"/>
          </w:tcPr>
          <w:p>
            <w:pPr>
              <w:spacing w:line="360" w:lineRule="exact"/>
              <w:jc w:val="right"/>
              <w:rPr>
                <w:szCs w:val="21"/>
              </w:rPr>
            </w:pPr>
            <w:r>
              <w:rPr>
                <w:szCs w:val="21"/>
              </w:rPr>
              <w:t>1,232,669</w:t>
            </w:r>
          </w:p>
        </w:tc>
        <w:tc>
          <w:tcPr>
            <w:tcW w:w="1107" w:type="pct"/>
            <w:shd w:val="clear" w:color="auto" w:fill="auto"/>
            <w:vAlign w:val="center"/>
          </w:tcPr>
          <w:p>
            <w:pPr>
              <w:spacing w:line="360" w:lineRule="exact"/>
              <w:jc w:val="right"/>
              <w:rPr>
                <w:szCs w:val="21"/>
              </w:rPr>
            </w:pPr>
            <w:r>
              <w:rPr>
                <w:szCs w:val="21"/>
              </w:rPr>
              <w:t>1,524,257</w:t>
            </w:r>
          </w:p>
        </w:tc>
        <w:tc>
          <w:tcPr>
            <w:tcW w:w="1521" w:type="pct"/>
            <w:shd w:val="clear" w:color="auto" w:fill="auto"/>
            <w:vAlign w:val="center"/>
          </w:tcPr>
          <w:p>
            <w:pPr>
              <w:spacing w:line="360" w:lineRule="exact"/>
              <w:rPr>
                <w:szCs w:val="21"/>
              </w:rPr>
            </w:pPr>
            <w:r>
              <w:rPr>
                <w:rFonts w:hint="eastAsia"/>
                <w:szCs w:val="21"/>
              </w:rPr>
              <w:t>法定存款保证金</w:t>
            </w:r>
          </w:p>
        </w:tc>
      </w:tr>
      <w:tr>
        <w:trPr>
          <w:trHeight w:val="121"/>
        </w:trPr>
        <w:tc>
          <w:tcPr>
            <w:tcW w:w="1265" w:type="pct"/>
            <w:shd w:val="clear" w:color="auto" w:fill="auto"/>
            <w:vAlign w:val="center"/>
          </w:tcPr>
          <w:p>
            <w:pPr>
              <w:spacing w:line="360" w:lineRule="exact"/>
              <w:rPr>
                <w:szCs w:val="21"/>
              </w:rPr>
            </w:pPr>
            <w:r>
              <w:rPr>
                <w:rFonts w:hint="eastAsia"/>
                <w:szCs w:val="21"/>
              </w:rPr>
              <w:t>冻结资金</w:t>
            </w:r>
          </w:p>
        </w:tc>
        <w:tc>
          <w:tcPr>
            <w:tcW w:w="1107" w:type="pct"/>
            <w:vAlign w:val="center"/>
          </w:tcPr>
          <w:p>
            <w:pPr>
              <w:spacing w:line="360" w:lineRule="exact"/>
              <w:jc w:val="right"/>
              <w:rPr>
                <w:szCs w:val="21"/>
              </w:rPr>
            </w:pPr>
            <w:r>
              <w:rPr>
                <w:szCs w:val="21"/>
              </w:rPr>
              <w:t>16,504</w:t>
            </w:r>
          </w:p>
        </w:tc>
        <w:tc>
          <w:tcPr>
            <w:tcW w:w="1107" w:type="pct"/>
            <w:shd w:val="clear" w:color="auto" w:fill="auto"/>
            <w:vAlign w:val="center"/>
          </w:tcPr>
          <w:p>
            <w:pPr>
              <w:spacing w:line="360" w:lineRule="exact"/>
              <w:jc w:val="right"/>
              <w:rPr>
                <w:szCs w:val="21"/>
              </w:rPr>
            </w:pPr>
            <w:r>
              <w:rPr>
                <w:szCs w:val="21"/>
              </w:rPr>
              <w:t>56,872</w:t>
            </w:r>
          </w:p>
        </w:tc>
        <w:tc>
          <w:tcPr>
            <w:tcW w:w="1521" w:type="pct"/>
            <w:shd w:val="clear" w:color="auto" w:fill="auto"/>
            <w:vAlign w:val="center"/>
          </w:tcPr>
          <w:p>
            <w:pPr>
              <w:spacing w:line="360" w:lineRule="exact"/>
              <w:rPr>
                <w:szCs w:val="21"/>
              </w:rPr>
            </w:pPr>
            <w:r>
              <w:rPr>
                <w:rFonts w:hint="eastAsia"/>
                <w:szCs w:val="21"/>
              </w:rPr>
              <w:t>冻结资金</w:t>
            </w:r>
          </w:p>
        </w:tc>
      </w:tr>
      <w:tr>
        <w:trPr>
          <w:trHeight w:val="121"/>
        </w:trPr>
        <w:tc>
          <w:tcPr>
            <w:tcW w:w="1265" w:type="pct"/>
            <w:shd w:val="clear" w:color="auto" w:fill="auto"/>
            <w:vAlign w:val="center"/>
          </w:tcPr>
          <w:p>
            <w:pPr>
              <w:spacing w:line="360" w:lineRule="exact"/>
              <w:rPr>
                <w:szCs w:val="21"/>
              </w:rPr>
            </w:pPr>
            <w:r>
              <w:rPr>
                <w:rFonts w:hint="eastAsia"/>
                <w:szCs w:val="21"/>
              </w:rPr>
              <w:t>质押的定期存款</w:t>
            </w:r>
          </w:p>
        </w:tc>
        <w:tc>
          <w:tcPr>
            <w:tcW w:w="1107" w:type="pct"/>
            <w:vAlign w:val="center"/>
          </w:tcPr>
          <w:p>
            <w:pPr>
              <w:spacing w:line="360" w:lineRule="exact"/>
              <w:jc w:val="right"/>
              <w:rPr>
                <w:szCs w:val="21"/>
              </w:rPr>
            </w:pPr>
            <w:r>
              <w:rPr>
                <w:szCs w:val="21"/>
              </w:rPr>
              <w:t>14,720</w:t>
            </w:r>
          </w:p>
        </w:tc>
        <w:tc>
          <w:tcPr>
            <w:tcW w:w="1107" w:type="pct"/>
            <w:shd w:val="clear" w:color="auto" w:fill="auto"/>
            <w:vAlign w:val="center"/>
          </w:tcPr>
          <w:p>
            <w:pPr>
              <w:spacing w:line="360" w:lineRule="exact"/>
              <w:jc w:val="right"/>
              <w:rPr>
                <w:szCs w:val="21"/>
              </w:rPr>
            </w:pPr>
            <w:r>
              <w:rPr>
                <w:szCs w:val="21"/>
              </w:rPr>
              <w:t>66,600</w:t>
            </w:r>
          </w:p>
        </w:tc>
        <w:tc>
          <w:tcPr>
            <w:tcW w:w="1521" w:type="pct"/>
            <w:shd w:val="clear" w:color="auto" w:fill="auto"/>
            <w:vAlign w:val="center"/>
          </w:tcPr>
          <w:p>
            <w:pPr>
              <w:spacing w:line="360" w:lineRule="exact"/>
              <w:rPr>
                <w:szCs w:val="21"/>
              </w:rPr>
            </w:pPr>
            <w:r>
              <w:rPr>
                <w:rFonts w:hint="eastAsia"/>
                <w:szCs w:val="21"/>
              </w:rPr>
              <w:t>质押的定期存款</w:t>
            </w:r>
          </w:p>
        </w:tc>
      </w:tr>
      <w:tr>
        <w:trPr>
          <w:trHeight w:val="121"/>
        </w:trPr>
        <w:tc>
          <w:tcPr>
            <w:tcW w:w="1265" w:type="pct"/>
            <w:shd w:val="clear" w:color="auto" w:fill="auto"/>
            <w:vAlign w:val="center"/>
          </w:tcPr>
          <w:p>
            <w:pPr>
              <w:spacing w:line="360" w:lineRule="exact"/>
              <w:rPr>
                <w:szCs w:val="21"/>
              </w:rPr>
            </w:pPr>
            <w:r>
              <w:rPr>
                <w:rFonts w:hint="eastAsia"/>
                <w:szCs w:val="21"/>
              </w:rPr>
              <w:t>其他保证金</w:t>
            </w:r>
          </w:p>
        </w:tc>
        <w:tc>
          <w:tcPr>
            <w:tcW w:w="1107" w:type="pct"/>
            <w:vAlign w:val="center"/>
          </w:tcPr>
          <w:p>
            <w:pPr>
              <w:spacing w:line="360" w:lineRule="exact"/>
              <w:jc w:val="right"/>
              <w:rPr>
                <w:szCs w:val="21"/>
              </w:rPr>
            </w:pPr>
            <w:r>
              <w:rPr>
                <w:szCs w:val="21"/>
              </w:rPr>
              <w:t>10,137</w:t>
            </w:r>
          </w:p>
        </w:tc>
        <w:tc>
          <w:tcPr>
            <w:tcW w:w="1107" w:type="pct"/>
            <w:shd w:val="clear" w:color="auto" w:fill="auto"/>
          </w:tcPr>
          <w:p>
            <w:pPr>
              <w:spacing w:line="360" w:lineRule="exact"/>
              <w:jc w:val="right"/>
              <w:rPr>
                <w:szCs w:val="21"/>
              </w:rPr>
            </w:pPr>
            <w:r>
              <w:rPr>
                <w:szCs w:val="21"/>
              </w:rPr>
              <w:t>79,052</w:t>
            </w:r>
          </w:p>
        </w:tc>
        <w:tc>
          <w:tcPr>
            <w:tcW w:w="1521" w:type="pct"/>
            <w:shd w:val="clear" w:color="auto" w:fill="auto"/>
            <w:vAlign w:val="center"/>
          </w:tcPr>
          <w:p>
            <w:pPr>
              <w:spacing w:line="360" w:lineRule="exact"/>
              <w:rPr>
                <w:szCs w:val="21"/>
              </w:rPr>
            </w:pPr>
            <w:r>
              <w:rPr>
                <w:rFonts w:hint="eastAsia"/>
                <w:szCs w:val="21"/>
              </w:rPr>
              <w:t>其他保证金</w:t>
            </w:r>
          </w:p>
        </w:tc>
      </w:tr>
      <w:tr>
        <w:trPr>
          <w:trHeight w:val="125"/>
        </w:trPr>
        <w:tc>
          <w:tcPr>
            <w:tcW w:w="1265" w:type="pct"/>
            <w:shd w:val="clear" w:color="auto" w:fill="auto"/>
            <w:vAlign w:val="center"/>
          </w:tcPr>
          <w:p>
            <w:pPr>
              <w:jc w:val="center"/>
              <w:rPr>
                <w:szCs w:val="21"/>
              </w:rPr>
            </w:pPr>
            <w:r>
              <w:rPr>
                <w:szCs w:val="21"/>
              </w:rPr>
              <w:t>合计</w:t>
            </w:r>
          </w:p>
        </w:tc>
        <w:tc>
          <w:tcPr>
            <w:tcW w:w="1107" w:type="pct"/>
          </w:tcPr>
          <w:p>
            <w:pPr>
              <w:jc w:val="right"/>
              <w:rPr>
                <w:szCs w:val="21"/>
              </w:rPr>
            </w:pPr>
            <w:r>
              <w:rPr>
                <w:szCs w:val="21"/>
              </w:rPr>
              <w:t>7,849,643</w:t>
            </w:r>
          </w:p>
        </w:tc>
        <w:tc>
          <w:tcPr>
            <w:tcW w:w="1107" w:type="pct"/>
            <w:shd w:val="clear" w:color="auto" w:fill="auto"/>
          </w:tcPr>
          <w:p>
            <w:pPr>
              <w:jc w:val="right"/>
              <w:rPr>
                <w:szCs w:val="21"/>
              </w:rPr>
            </w:pPr>
            <w:r>
              <w:rPr>
                <w:szCs w:val="21"/>
              </w:rPr>
              <w:t>7,338,937</w:t>
            </w:r>
          </w:p>
        </w:tc>
        <w:tc>
          <w:tcPr>
            <w:tcW w:w="1521" w:type="pct"/>
            <w:shd w:val="clear" w:color="auto" w:fill="auto"/>
          </w:tcPr>
          <w:p>
            <w:pPr>
              <w:jc w:val="center"/>
              <w:rPr>
                <w:szCs w:val="21"/>
              </w:rPr>
            </w:pPr>
            <w:r>
              <w:rPr>
                <w:rFonts w:hint="eastAsia"/>
                <w:szCs w:val="21"/>
              </w:rPr>
              <w:t>/</w:t>
            </w:r>
          </w:p>
        </w:tc>
      </w:tr>
    </w:tbl>
    <w:p>
      <w:pPr>
        <w:spacing w:before="60" w:after="60"/>
        <w:rPr>
          <w:szCs w:val="21"/>
        </w:rPr>
      </w:pPr>
    </w:p>
    <w:p>
      <w:pPr>
        <w:spacing w:before="60" w:after="60"/>
        <w:rPr>
          <w:szCs w:val="21"/>
        </w:rPr>
      </w:pPr>
      <w:r>
        <w:rPr>
          <w:rFonts w:hint="eastAsia"/>
          <w:szCs w:val="21"/>
        </w:rPr>
        <w:t>其他说明：</w:t>
      </w:r>
    </w:p>
    <w:sdt>
      <w:sdtPr>
        <w:rPr>
          <w:szCs w:val="21"/>
        </w:rPr>
        <w:alias w:val="是否适用：现金流量表补充资料的说明[双击切换]"/>
        <w:tag w:val="_GBC_73894bf4981b4beaae2551b205a2e7cc"/>
        <w:id w:val="1621033413"/>
        <w:placeholder>
          <w:docPart w:val="GBC22222222222222222222222222222"/>
        </w:placeholder>
      </w:sdtPr>
      <w:sdtContent>
        <w:p>
          <w:pPr>
            <w:spacing w:before="60" w:after="60"/>
            <w:rPr>
              <w:szCs w:val="22"/>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480"/>
    <w:p>
      <w:pPr>
        <w:pStyle w:val="affffffffffffffffff6"/>
        <w:numPr>
          <w:ilvl w:val="0"/>
          <w:numId w:val="103"/>
        </w:numPr>
        <w:tabs>
          <w:tab w:val="left" w:pos="504"/>
        </w:tabs>
        <w:rPr>
          <w:rFonts w:ascii="宋体" w:hAnsi="宋体"/>
          <w:szCs w:val="21"/>
        </w:rPr>
      </w:pPr>
      <w:r>
        <w:rPr>
          <w:rFonts w:ascii="宋体" w:hAnsi="宋体" w:hint="eastAsia"/>
          <w:szCs w:val="21"/>
        </w:rPr>
        <w:t>所有者</w:t>
      </w:r>
      <w:r>
        <w:rPr>
          <w:rFonts w:hint="eastAsia"/>
        </w:rPr>
        <w:t>权益</w:t>
      </w:r>
      <w:r>
        <w:rPr>
          <w:rFonts w:ascii="宋体" w:hAnsi="宋体" w:hint="eastAsia"/>
          <w:szCs w:val="21"/>
        </w:rPr>
        <w:t>变动表项目注释</w:t>
      </w:r>
    </w:p>
    <w:p>
      <w:pPr>
        <w:pStyle w:val="affffffffffffffffffffffffffffffffe"/>
      </w:pPr>
      <w:r>
        <w:rPr>
          <w:rFonts w:hint="eastAsia"/>
        </w:rPr>
        <w:t>说明对上年期末余额进行调整的“其他”项目名称及调整金额等事项：</w:t>
      </w:r>
    </w:p>
    <w:sdt>
      <w:sdtPr>
        <w:alias w:val="是否适用：所有者权益变动表项目注释[双击切换]"/>
        <w:tag w:val="_GBC_fca039532a374a3e9daa81c75d491b1f"/>
        <w:id w:val="1048567402"/>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6"/>
        <w:numPr>
          <w:ilvl w:val="0"/>
          <w:numId w:val="103"/>
        </w:numPr>
        <w:tabs>
          <w:tab w:val="left" w:pos="504"/>
        </w:tabs>
        <w:rPr>
          <w:rFonts w:ascii="宋体" w:hAnsi="宋体"/>
          <w:szCs w:val="21"/>
        </w:rPr>
      </w:pPr>
      <w:r>
        <w:rPr>
          <w:rFonts w:ascii="宋体" w:hAnsi="宋体" w:hint="eastAsia"/>
          <w:szCs w:val="21"/>
        </w:rPr>
        <w:t>外币货币性项目</w:t>
      </w:r>
    </w:p>
    <w:p>
      <w:pPr>
        <w:pStyle w:val="afffffffffffffffffffffffffffffffff1"/>
        <w:numPr>
          <w:ilvl w:val="0"/>
          <w:numId w:val="130"/>
        </w:numPr>
        <w:ind w:left="426" w:hanging="426"/>
        <w:rPr>
          <w:rFonts w:ascii="宋体" w:hAnsi="宋体"/>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44754174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6501838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千元</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5"/>
        <w:gridCol w:w="1998"/>
        <w:gridCol w:w="2006"/>
        <w:gridCol w:w="1994"/>
      </w:tblGrid>
      <w:tr>
        <w:sdt>
          <w:sdtPr>
            <w:rPr>
              <w:szCs w:val="21"/>
            </w:rPr>
            <w:tag w:val="_PLD_a5c3516dfa974dea983fcf6d3a5e4272"/>
            <w:id w:val="-1695146515"/>
          </w:sdtPr>
          <w:sdtContent>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rPr>
              <w:szCs w:val="21"/>
            </w:rPr>
            <w:tag w:val="_PLD_c677b8fd217342e7b28e98a1c8e497e9"/>
            <w:id w:val="1772511378"/>
          </w:sdtPr>
          <w:sdtContent>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期末外币余额</w:t>
                </w:r>
              </w:p>
            </w:tc>
          </w:sdtContent>
        </w:sdt>
        <w:sdt>
          <w:sdtPr>
            <w:rPr>
              <w:szCs w:val="21"/>
            </w:rPr>
            <w:tag w:val="_PLD_e0e88022a2754ae991eb4bb1a9caae4f"/>
            <w:id w:val="386688003"/>
          </w:sdtPr>
          <w:sdtContent>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折算汇率</w:t>
                </w:r>
              </w:p>
            </w:tc>
          </w:sdtContent>
        </w:sdt>
        <w:sdt>
          <w:sdtPr>
            <w:rPr>
              <w:szCs w:val="21"/>
            </w:rPr>
            <w:tag w:val="_PLD_a1542d7b69a444ef9e91ceaf4a96f49d"/>
            <w:id w:val="436340101"/>
          </w:sdtPr>
          <w:sdtContent>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期末折算人民币</w:t>
                </w:r>
              </w:p>
              <w:p>
                <w:pPr>
                  <w:jc w:val="center"/>
                  <w:rPr>
                    <w:szCs w:val="21"/>
                  </w:rPr>
                </w:pPr>
                <w:r>
                  <w:rPr>
                    <w:rFonts w:hint="eastAsia"/>
                    <w:szCs w:val="21"/>
                  </w:rPr>
                  <w:t>余额</w:t>
                </w:r>
              </w:p>
            </w:tc>
          </w:sdtContent>
        </w:sdt>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798,485</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5,121,071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575,470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4,137,629</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188,138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848,502</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19,346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0.93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17,992</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15,531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116,948</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492,039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3,563,575</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416,112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2,991,845</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75,927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571,730</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其他应收款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188,938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377,521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5,046</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36,281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44,232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199,486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港币</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137,857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0.93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128,207</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1,791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13,486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加元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5.05</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其他流动资产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2,213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16,664</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2,213</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16,664</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长期应收款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7,548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34,126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其中：澳元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7,520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4.51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33,915</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28</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211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其他非流动资产</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应付账款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767,432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3,738,079</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86,372</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621,015</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澳元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665,999</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4.51</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3,003,655</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15,061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113,409</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其他应付款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6,941</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51,716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1,617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11,626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5,324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40,090</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短期借款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17,864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134,516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17,864</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134,516</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一年内到期的非流动负债</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719,000</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719,000</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104,287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751,281</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200" w:firstLine="420"/>
              <w:rPr>
                <w:color w:val="000000"/>
                <w:szCs w:val="21"/>
              </w:rPr>
            </w:pPr>
            <w:r>
              <w:rPr>
                <w:rFonts w:hint="eastAsia"/>
                <w:color w:val="000000"/>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100,000</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719,000</w:t>
            </w:r>
          </w:p>
        </w:tc>
      </w:tr>
      <w:tr>
        <w:tc>
          <w:tcPr>
            <w:tcW w:w="1601"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500" w:firstLine="1050"/>
              <w:rPr>
                <w:color w:val="000000"/>
                <w:szCs w:val="21"/>
              </w:rPr>
            </w:pPr>
            <w:r>
              <w:rPr>
                <w:rFonts w:hint="eastAsia"/>
                <w:color w:val="000000"/>
                <w:szCs w:val="21"/>
              </w:rPr>
              <w:t>欧元</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4,287</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7.53</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32,281</w:t>
            </w:r>
          </w:p>
        </w:tc>
      </w:tr>
    </w:tbl>
    <w:p>
      <w:pPr>
        <w:spacing w:before="60" w:after="60"/>
        <w:rPr>
          <w:szCs w:val="21"/>
        </w:rPr>
      </w:pPr>
      <w:r>
        <w:rPr>
          <w:rFonts w:hint="eastAsia"/>
          <w:szCs w:val="21"/>
        </w:rPr>
        <w:t>其他说明：</w:t>
      </w:r>
    </w:p>
    <w:sdt>
      <w:sdtPr>
        <w:rPr>
          <w:szCs w:val="21"/>
        </w:rPr>
        <w:alias w:val="外币货币性项目的其他说明"/>
        <w:tag w:val="_GBC_293dd519b8b44c699246ad508c51bbfd"/>
        <w:id w:val="-140660810"/>
        <w:placeholder>
          <w:docPart w:val="GBC22222222222222222222222222222"/>
        </w:placeholder>
      </w:sdtPr>
      <w:sdtContent>
        <w:p>
          <w:pPr>
            <w:rPr>
              <w:szCs w:val="21"/>
            </w:rPr>
          </w:pPr>
          <w:r>
            <w:rPr>
              <w:szCs w:val="21"/>
            </w:rPr>
            <w:t>-</w:t>
          </w:r>
        </w:p>
      </w:sdtContent>
    </w:sdt>
    <w:p>
      <w:pPr>
        <w:rPr>
          <w:szCs w:val="21"/>
        </w:rPr>
      </w:pPr>
    </w:p>
    <w:p>
      <w:pPr>
        <w:pStyle w:val="afffffffffffffffffffffffffffffffff1"/>
        <w:numPr>
          <w:ilvl w:val="0"/>
          <w:numId w:val="130"/>
        </w:numPr>
        <w:rPr>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pPr>
        <w:rPr>
          <w:szCs w:val="21"/>
        </w:rPr>
      </w:pPr>
      <w:sdt>
        <w:sdtPr>
          <w:rPr>
            <w:szCs w:val="21"/>
          </w:rPr>
          <w:alias w:val="是否适用：境外经营实体主要报表项目的折算汇率[双击切换]"/>
          <w:tag w:val="_GBC_c433d39e245c4fb79cd5170717bb5b9c"/>
          <w:id w:val="1198745757"/>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1382087220"/>
        <w:placeholder>
          <w:docPart w:val="GBC22222222222222222222222222222"/>
        </w:placeholder>
      </w:sdtPr>
      <w:sdtContent>
        <w:p>
          <w:pPr>
            <w:rPr>
              <w:szCs w:val="21"/>
            </w:rPr>
          </w:pPr>
        </w:p>
        <w:tbl>
          <w:tblPr>
            <w:tblStyle w:val="affffffffff8"/>
            <w:tblW w:w="5000" w:type="pct"/>
            <w:jc w:val="center"/>
            <w:tblLook w:val="04A0" w:firstRow="1" w:lastRow="0" w:firstColumn="1" w:lastColumn="0" w:noHBand="0" w:noVBand="1"/>
          </w:tblPr>
          <w:tblGrid>
            <w:gridCol w:w="5241"/>
            <w:gridCol w:w="3582"/>
          </w:tblGrid>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子公司名称</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记账本位币</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兖州煤业澳大利亚有限公司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lastRenderedPageBreak/>
                  <w:t>格罗斯特煤炭有限公司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兖煤澳大利亚资源有限公司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兖煤澳大利亚配煤销售有限公司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兖煤矿业服务有限公司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联合煤炭工业有限公司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兖煤澳洲莫拉本私有有限公司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沃特岗矿业有限公司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兖煤保险股份有限公司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亚森纳（控股）有限公司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汤佛（控股）有限公司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维尔皮纳（控股）有限公司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普力马（控股）有限公司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兖煤能源有限公司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兖煤技术发展（控股）有限公司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兖煤国际（控股）有限公司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港币</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兖煤国际技术开发有限公司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港币</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兖煤国际资源开发有限公司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港币</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兖煤卢森堡资源有限公司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美元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兖煤加拿大资源有限公司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加元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兖矿瑞丰（香港）有限公司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美元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中垠（香港）有限公司</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美元</w:t>
                </w:r>
              </w:p>
            </w:tc>
          </w:tr>
          <w:tr>
            <w:trPr>
              <w:trHeight w:val="397"/>
              <w:jc w:val="center"/>
            </w:trPr>
            <w:tc>
              <w:tcPr>
                <w:tcW w:w="297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SMTScharfAG</w:t>
                </w:r>
              </w:p>
            </w:tc>
            <w:tc>
              <w:tcPr>
                <w:tcW w:w="203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欧元</w:t>
                </w:r>
              </w:p>
            </w:tc>
          </w:tr>
        </w:tbl>
        <w:p>
          <w:pPr>
            <w:rPr>
              <w:szCs w:val="21"/>
            </w:rPr>
          </w:pPr>
        </w:p>
      </w:sdtContent>
    </w:sdt>
    <w:p>
      <w:pPr>
        <w:pStyle w:val="affffffffffffffffffffffffffffffffe"/>
      </w:pPr>
    </w:p>
    <w:p>
      <w:pPr>
        <w:pStyle w:val="affffffffffffffffff6"/>
        <w:numPr>
          <w:ilvl w:val="0"/>
          <w:numId w:val="103"/>
        </w:numPr>
        <w:tabs>
          <w:tab w:val="left" w:pos="504"/>
        </w:tabs>
        <w:rPr>
          <w:rFonts w:ascii="宋体" w:hAnsi="宋体"/>
          <w:szCs w:val="21"/>
        </w:rPr>
      </w:pPr>
      <w:r>
        <w:rPr>
          <w:rFonts w:ascii="宋体" w:hAnsi="宋体" w:hint="eastAsia"/>
          <w:szCs w:val="21"/>
        </w:rPr>
        <w:t>租赁</w:t>
      </w:r>
    </w:p>
    <w:p>
      <w:pPr>
        <w:pStyle w:val="afffffffffffffffffffffffffffffffff1"/>
        <w:numPr>
          <w:ilvl w:val="0"/>
          <w:numId w:val="182"/>
        </w:numPr>
        <w:ind w:left="0" w:firstLine="0"/>
      </w:pPr>
      <w:r>
        <w:t>作为承租人</w:t>
      </w:r>
    </w:p>
    <w:sdt>
      <w:sdtPr>
        <w:alias w:val="是否适用：作为承租人[双击切换]"/>
        <w:tag w:val="_GBC_fe311ebf6010457c8817199183148161"/>
        <w:id w:val="-144229405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p>
    <w:p>
      <w:pPr>
        <w:pStyle w:val="afffffffffffffffffffffffffffffffffffffff"/>
        <w:spacing w:after="120"/>
      </w:pPr>
      <w:r>
        <w:rPr>
          <w:rFonts w:hint="eastAsia"/>
        </w:rPr>
        <w:t>承租人应当披露与租赁有关的下列信息</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2oKpaz5L0OE6LmyyqpB7w|0|desc|||0|1"/>
      </w:tblPr>
      <w:tblGrid>
        <w:gridCol w:w="4289"/>
        <w:gridCol w:w="4290"/>
      </w:tblGrid>
      <w:tr>
        <w:trPr>
          <w:trHeight w:val="397"/>
          <w:tblHeader/>
          <w:jc w:val="center"/>
        </w:trPr>
        <w:tc>
          <w:tcPr>
            <w:tcW w:w="4289" w:type="dxa"/>
            <w:shd w:val="clear" w:color="auto" w:fill="auto"/>
            <w:vAlign w:val="center"/>
          </w:tcPr>
          <w:p>
            <w:pPr>
              <w:jc w:val="center"/>
              <w:rPr>
                <w:b/>
                <w:bCs/>
                <w:color w:val="000000"/>
                <w:szCs w:val="21"/>
              </w:rPr>
            </w:pPr>
            <w:r>
              <w:rPr>
                <w:rFonts w:hint="eastAsia"/>
                <w:b/>
                <w:bCs/>
                <w:color w:val="000000"/>
                <w:szCs w:val="21"/>
              </w:rPr>
              <w:t>项目</w:t>
            </w:r>
          </w:p>
        </w:tc>
        <w:tc>
          <w:tcPr>
            <w:tcW w:w="4290" w:type="dxa"/>
            <w:shd w:val="clear" w:color="auto" w:fill="auto"/>
            <w:vAlign w:val="center"/>
          </w:tcPr>
          <w:p>
            <w:pPr>
              <w:jc w:val="center"/>
              <w:rPr>
                <w:b/>
                <w:bCs/>
                <w:color w:val="000000"/>
                <w:szCs w:val="21"/>
              </w:rPr>
            </w:pPr>
            <w:r>
              <w:rPr>
                <w:rFonts w:hint="eastAsia"/>
                <w:b/>
                <w:bCs/>
                <w:color w:val="000000"/>
                <w:szCs w:val="21"/>
              </w:rPr>
              <w:t>金额</w:t>
            </w:r>
          </w:p>
        </w:tc>
      </w:tr>
      <w:tr>
        <w:trPr>
          <w:trHeight w:val="397"/>
          <w:jc w:val="center"/>
        </w:trPr>
        <w:tc>
          <w:tcPr>
            <w:tcW w:w="4289" w:type="dxa"/>
            <w:shd w:val="clear" w:color="auto" w:fill="auto"/>
            <w:noWrap/>
            <w:vAlign w:val="center"/>
          </w:tcPr>
          <w:p>
            <w:pPr>
              <w:rPr>
                <w:color w:val="000000"/>
                <w:szCs w:val="21"/>
              </w:rPr>
            </w:pPr>
            <w:r>
              <w:rPr>
                <w:rFonts w:hint="eastAsia"/>
                <w:color w:val="000000"/>
                <w:szCs w:val="21"/>
              </w:rPr>
              <w:t>租赁负债的利息费用</w:t>
            </w:r>
          </w:p>
        </w:tc>
        <w:tc>
          <w:tcPr>
            <w:tcW w:w="4290" w:type="dxa"/>
            <w:shd w:val="clear" w:color="auto" w:fill="auto"/>
            <w:vAlign w:val="center"/>
          </w:tcPr>
          <w:p>
            <w:pPr>
              <w:jc w:val="right"/>
              <w:rPr>
                <w:color w:val="000000"/>
                <w:szCs w:val="21"/>
              </w:rPr>
            </w:pPr>
          </w:p>
        </w:tc>
      </w:tr>
      <w:tr>
        <w:trPr>
          <w:trHeight w:val="397"/>
          <w:jc w:val="center"/>
        </w:trPr>
        <w:tc>
          <w:tcPr>
            <w:tcW w:w="4289" w:type="dxa"/>
            <w:shd w:val="clear" w:color="auto" w:fill="auto"/>
            <w:noWrap/>
            <w:vAlign w:val="center"/>
          </w:tcPr>
          <w:p>
            <w:pPr>
              <w:rPr>
                <w:color w:val="000000"/>
                <w:szCs w:val="21"/>
              </w:rPr>
            </w:pPr>
            <w:r>
              <w:rPr>
                <w:rFonts w:hint="eastAsia"/>
                <w:color w:val="000000"/>
                <w:szCs w:val="21"/>
              </w:rPr>
              <w:t>与租赁相关的总现金流出</w:t>
            </w:r>
          </w:p>
        </w:tc>
        <w:tc>
          <w:tcPr>
            <w:tcW w:w="4290" w:type="dxa"/>
            <w:shd w:val="clear" w:color="auto" w:fill="auto"/>
            <w:noWrap/>
            <w:vAlign w:val="center"/>
          </w:tcPr>
          <w:p>
            <w:pPr>
              <w:jc w:val="right"/>
              <w:rPr>
                <w:color w:val="000000"/>
                <w:szCs w:val="21"/>
              </w:rPr>
            </w:pPr>
          </w:p>
        </w:tc>
      </w:tr>
    </w:tbl>
    <w:p>
      <w:pPr>
        <w:pStyle w:val="affffffffffffffffffffffffffffffffe"/>
      </w:pPr>
    </w:p>
    <w:p>
      <w:pPr>
        <w:pStyle w:val="afffffffffffffffffffffffffffffffff1"/>
        <w:numPr>
          <w:ilvl w:val="0"/>
          <w:numId w:val="182"/>
        </w:numPr>
        <w:ind w:left="0" w:firstLine="0"/>
      </w:pPr>
      <w:r>
        <w:lastRenderedPageBreak/>
        <w:t>作为出租人</w:t>
      </w:r>
    </w:p>
    <w:p>
      <w:pPr>
        <w:pStyle w:val="affffffffffffffffffffffffffffffffe"/>
      </w:pPr>
      <w:r>
        <w:t>作为出租人的经营</w:t>
      </w:r>
      <w:r>
        <w:rPr>
          <w:rFonts w:hint="eastAsia"/>
        </w:rPr>
        <w:t>租赁</w:t>
      </w:r>
    </w:p>
    <w:sdt>
      <w:sdtPr>
        <w:rPr>
          <w:rFonts w:hint="eastAsia"/>
        </w:rPr>
        <w:alias w:val="是否适用：作为出租人的经营租赁[双击切换]"/>
        <w:tag w:val="_GBC_d5cd3a4b291f4a089f0080385207b552"/>
        <w:id w:val="-36468130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b/>
          <w:szCs w:val="21"/>
        </w:rPr>
      </w:pPr>
    </w:p>
    <w:p>
      <w:pPr>
        <w:pStyle w:val="affffffffffffffffffffffffffffffffe"/>
      </w:pPr>
      <w:r>
        <w:t>作为出租人的融资租赁</w:t>
      </w:r>
    </w:p>
    <w:sdt>
      <w:sdtPr>
        <w:alias w:val="是否适用：作为出租人的融资租赁[双击切换]"/>
        <w:tag w:val="_GBC_a96fee2f2d7c4192a3a8f10ae08d73cc"/>
        <w:id w:val="-106841911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rPr>
          <w:b/>
          <w:szCs w:val="21"/>
        </w:rPr>
      </w:pPr>
    </w:p>
    <w:p>
      <w:pPr>
        <w:pStyle w:val="affffffffffffffffffffffffffffffffe"/>
      </w:pPr>
      <w:r>
        <w:t>未折现租赁收款额与租赁投资净额的调节表</w:t>
      </w:r>
    </w:p>
    <w:sdt>
      <w:sdtPr>
        <w:alias w:val="是否适用：未折现租赁收款额与租赁投资净额的调节表?[双击切换]"/>
        <w:tag w:val="_GBC_4a108274280e49bd8dc1cba49cff5159"/>
        <w:id w:val="-465896182"/>
        <w:placeholder>
          <w:docPart w:val="GBC22222222222222222222222222222"/>
        </w:placeholder>
      </w:sdtPr>
      <w:sdtContent>
        <w:p>
          <w:pPr>
            <w:pStyle w:val="affffffffffffffffffffffffffffffffe"/>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b/>
          <w:szCs w:val="21"/>
        </w:rPr>
      </w:pPr>
    </w:p>
    <w:p>
      <w:pPr>
        <w:pStyle w:val="affffffffffffffffffffffffffffffffe"/>
      </w:pPr>
      <w:r>
        <w:t>未来五年</w:t>
      </w:r>
      <w:r>
        <w:rPr>
          <w:rFonts w:hint="eastAsia"/>
        </w:rPr>
        <w:t>未</w:t>
      </w:r>
      <w:r>
        <w:t>折现租赁收款额</w:t>
      </w:r>
    </w:p>
    <w:sdt>
      <w:sdtPr>
        <w:alias w:val="是否适用：未来五年未折现租赁收款额[双击切换]"/>
        <w:tag w:val="_GBC_60c95c043b424e188bd225c67d071e24"/>
        <w:id w:val="-67187133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b/>
          <w:szCs w:val="21"/>
        </w:rPr>
      </w:pPr>
    </w:p>
    <w:p>
      <w:pPr>
        <w:pStyle w:val="afffffffffffffffffffffffffffffffff1"/>
        <w:numPr>
          <w:ilvl w:val="0"/>
          <w:numId w:val="182"/>
        </w:numPr>
        <w:ind w:left="0" w:firstLine="0"/>
      </w:pPr>
      <w:r>
        <w:t>作为生产商或经销商确认融资租赁销售损益</w:t>
      </w:r>
    </w:p>
    <w:sdt>
      <w:sdtPr>
        <w:alias w:val="是否适用：作为生产商或经销商确认融资租赁销售损益[双击切换]"/>
        <w:tag w:val="_GBC_595c7ca108a34d50bffdd3e765cca466"/>
        <w:id w:val="214462217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租赁其他说明"/>
        <w:tag w:val="_GBC_c4951ce943a04c5e965df092a40963b7"/>
        <w:id w:val="1030605746"/>
        <w:placeholder>
          <w:docPart w:val="GBC22222222222222222222222222222"/>
        </w:placeholder>
      </w:sdtPr>
      <w:sdtContent>
        <w:p>
          <w:pPr>
            <w:pStyle w:val="affffffffffffffffffffffffffffffffe"/>
          </w:pPr>
          <w:r>
            <w:t>-</w:t>
          </w:r>
        </w:p>
      </w:sdtContent>
    </w:sdt>
    <w:p>
      <w:pPr>
        <w:pStyle w:val="affffffffffffffffffffffffffffffffe"/>
      </w:pPr>
    </w:p>
    <w:p>
      <w:pPr>
        <w:pStyle w:val="affffffffffffffffff6"/>
        <w:numPr>
          <w:ilvl w:val="0"/>
          <w:numId w:val="103"/>
        </w:numPr>
        <w:tabs>
          <w:tab w:val="left" w:pos="504"/>
        </w:tabs>
        <w:rPr>
          <w:rFonts w:ascii="宋体" w:hAnsi="宋体"/>
          <w:color w:val="000000" w:themeColor="text1"/>
        </w:rPr>
      </w:pPr>
      <w:bookmarkStart w:id="481" w:name="_Hlk182485828"/>
      <w:r>
        <w:rPr>
          <w:rFonts w:ascii="宋体" w:hAnsi="宋体" w:hint="eastAsia"/>
          <w:color w:val="000000" w:themeColor="text1"/>
        </w:rPr>
        <w:t>数据资源</w:t>
      </w:r>
    </w:p>
    <w:sdt>
      <w:sdtPr>
        <w:rPr>
          <w:color w:val="000000" w:themeColor="text1"/>
        </w:rPr>
        <w:alias w:val="是否适用：附注数据资源需要说明的事项[双击切换]"/>
        <w:tag w:val="_GBC_a8e8280e20f44ceba7092d703f59659a"/>
        <w:id w:val="-1039815447"/>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rPr>
          <w:color w:val="000000" w:themeColor="text1"/>
        </w:rPr>
      </w:pPr>
    </w:p>
    <w:bookmarkEnd w:id="481"/>
    <w:p>
      <w:pPr>
        <w:pStyle w:val="affffffffffffffffff6"/>
        <w:numPr>
          <w:ilvl w:val="0"/>
          <w:numId w:val="103"/>
        </w:numPr>
        <w:tabs>
          <w:tab w:val="left" w:pos="504"/>
        </w:tabs>
      </w:pPr>
      <w:r>
        <w:rPr>
          <w:rFonts w:hint="eastAsia"/>
        </w:rPr>
        <w:t>其他</w:t>
      </w:r>
    </w:p>
    <w:sdt>
      <w:sdtPr>
        <w:alias w:val="是否适用：合并财务报表项目注释其他需要说明的事项[双击切换]"/>
        <w:tag w:val="_GBC_67815da71293483fad0e823098235edb"/>
        <w:id w:val="-106140080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2"/>
        <w:numPr>
          <w:ilvl w:val="0"/>
          <w:numId w:val="155"/>
        </w:numPr>
      </w:pPr>
      <w:bookmarkStart w:id="482" w:name="_Hlk40108415"/>
      <w:r>
        <w:rPr>
          <w:rFonts w:hint="eastAsia"/>
        </w:rPr>
        <w:t>研发支出</w:t>
      </w:r>
    </w:p>
    <w:p>
      <w:pPr>
        <w:pStyle w:val="afffffffffffffffffffffffffffffffff0"/>
        <w:numPr>
          <w:ilvl w:val="0"/>
          <w:numId w:val="131"/>
        </w:numPr>
      </w:pPr>
      <w:r>
        <w:rPr>
          <w:rFonts w:hint="eastAsia"/>
        </w:rPr>
        <w:t>按费用性质列示</w:t>
      </w:r>
    </w:p>
    <w:sdt>
      <w:sdtPr>
        <w:rPr>
          <w:szCs w:val="21"/>
        </w:rPr>
        <w:alias w:val="是否适用：研发费用[双击切换]"/>
        <w:tag w:val="_GBC_04b52b9f74d642ed996cff71b3380562"/>
        <w:id w:val="117791972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ff4"/>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963661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研发费用"/>
          <w:tag w:val="_GBC_572bef247e4247e09454933a69c36e65"/>
          <w:id w:val="9206823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2539"/>
        <w:gridCol w:w="2379"/>
      </w:tblGrid>
      <w:tr>
        <w:sdt>
          <w:sdtPr>
            <w:rPr>
              <w:szCs w:val="21"/>
            </w:rPr>
            <w:tag w:val="_PLD_373a371c2fc74073850def05593a1e6b"/>
            <w:id w:val="-1655836231"/>
          </w:sdtPr>
          <w:sdtContent>
            <w:tc>
              <w:tcPr>
                <w:tcW w:w="2213" w:type="pct"/>
                <w:tcBorders>
                  <w:top w:val="single" w:sz="4" w:space="0" w:color="auto"/>
                  <w:left w:val="single" w:sz="4" w:space="0" w:color="auto"/>
                  <w:bottom w:val="single" w:sz="4" w:space="0" w:color="auto"/>
                  <w:right w:val="single" w:sz="4" w:space="0" w:color="auto"/>
                </w:tcBorders>
                <w:shd w:val="clear" w:color="auto" w:fill="auto"/>
              </w:tcPr>
              <w:p>
                <w:pPr>
                  <w:jc w:val="center"/>
                  <w:outlineLvl w:val="2"/>
                  <w:rPr>
                    <w:szCs w:val="21"/>
                  </w:rPr>
                </w:pPr>
                <w:r>
                  <w:rPr>
                    <w:rFonts w:hint="eastAsia"/>
                    <w:szCs w:val="21"/>
                  </w:rPr>
                  <w:t>项目</w:t>
                </w:r>
              </w:p>
            </w:tc>
          </w:sdtContent>
        </w:sdt>
        <w:sdt>
          <w:sdtPr>
            <w:rPr>
              <w:szCs w:val="21"/>
            </w:rPr>
            <w:tag w:val="_PLD_6822cfd6a9f74188bf87ee408083b254"/>
            <w:id w:val="-1163544015"/>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pPr>
                  <w:jc w:val="center"/>
                  <w:outlineLvl w:val="2"/>
                  <w:rPr>
                    <w:szCs w:val="21"/>
                  </w:rPr>
                </w:pPr>
                <w:r>
                  <w:rPr>
                    <w:rFonts w:hint="eastAsia"/>
                    <w:szCs w:val="21"/>
                  </w:rPr>
                  <w:t>本期发生额</w:t>
                </w:r>
              </w:p>
            </w:tc>
          </w:sdtContent>
        </w:sdt>
        <w:sdt>
          <w:sdtPr>
            <w:rPr>
              <w:szCs w:val="21"/>
            </w:rPr>
            <w:tag w:val="_PLD_9179c21572a24986aa54bad16a61a225"/>
            <w:id w:val="1350526103"/>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pPr>
                  <w:jc w:val="center"/>
                  <w:outlineLvl w:val="2"/>
                  <w:rPr>
                    <w:szCs w:val="21"/>
                  </w:rPr>
                </w:pPr>
                <w:r>
                  <w:rPr>
                    <w:rFonts w:hint="eastAsia"/>
                    <w:szCs w:val="21"/>
                  </w:rPr>
                  <w:t>上期发生额</w:t>
                </w:r>
              </w:p>
            </w:tc>
          </w:sdtContent>
        </w:sdt>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outlineLvl w:val="2"/>
              <w:rPr>
                <w:szCs w:val="21"/>
              </w:rPr>
            </w:pPr>
            <w:r>
              <w:rPr>
                <w:rFonts w:hint="eastAsia"/>
                <w:szCs w:val="21"/>
              </w:rPr>
              <w:t>设备材料费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1,460,324</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1,397,475</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outlineLvl w:val="2"/>
              <w:rPr>
                <w:szCs w:val="21"/>
              </w:rPr>
            </w:pPr>
            <w:r>
              <w:rPr>
                <w:rFonts w:hint="eastAsia"/>
                <w:szCs w:val="21"/>
              </w:rPr>
              <w:t>职工薪酬</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847,775</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899,502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outlineLvl w:val="2"/>
              <w:rPr>
                <w:szCs w:val="21"/>
              </w:rPr>
            </w:pPr>
            <w:r>
              <w:rPr>
                <w:rFonts w:hint="eastAsia"/>
                <w:szCs w:val="21"/>
              </w:rPr>
              <w:t>委外技术服务费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112,482</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242,167</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outlineLvl w:val="2"/>
              <w:rPr>
                <w:szCs w:val="21"/>
              </w:rPr>
            </w:pPr>
            <w:r>
              <w:rPr>
                <w:rFonts w:hint="eastAsia"/>
                <w:szCs w:val="21"/>
              </w:rPr>
              <w:t>折旧及摊销费</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209,840</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196,064</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outlineLvl w:val="2"/>
              <w:rPr>
                <w:szCs w:val="21"/>
              </w:rPr>
            </w:pPr>
            <w:r>
              <w:rPr>
                <w:rFonts w:hint="eastAsia"/>
                <w:szCs w:val="21"/>
              </w:rPr>
              <w:t>其他</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104,116</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177,032</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tcPr>
          <w:p>
            <w:pPr>
              <w:jc w:val="right"/>
              <w:outlineLvl w:val="2"/>
              <w:rPr>
                <w:szCs w:val="21"/>
              </w:rPr>
            </w:pPr>
            <w:r>
              <w:rPr>
                <w:szCs w:val="21"/>
              </w:rPr>
              <w:t>2,734,537</w:t>
            </w:r>
          </w:p>
        </w:tc>
        <w:tc>
          <w:tcPr>
            <w:tcW w:w="1348" w:type="pct"/>
            <w:tcBorders>
              <w:top w:val="single" w:sz="4" w:space="0" w:color="auto"/>
              <w:left w:val="single" w:sz="4" w:space="0" w:color="auto"/>
              <w:bottom w:val="single" w:sz="4" w:space="0" w:color="auto"/>
              <w:right w:val="single" w:sz="4" w:space="0" w:color="auto"/>
            </w:tcBorders>
            <w:shd w:val="clear" w:color="auto" w:fill="auto"/>
          </w:tcPr>
          <w:p>
            <w:pPr>
              <w:jc w:val="right"/>
              <w:outlineLvl w:val="2"/>
              <w:rPr>
                <w:szCs w:val="21"/>
              </w:rPr>
            </w:pPr>
            <w:r>
              <w:rPr>
                <w:szCs w:val="21"/>
              </w:rPr>
              <w:t>2,912,240</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pStyle w:val="affffffffffffffffffffffffffffffffe"/>
              <w:outlineLvl w:val="2"/>
              <w:rPr>
                <w:szCs w:val="21"/>
              </w:rPr>
            </w:pPr>
            <w:r>
              <w:rPr>
                <w:rFonts w:hint="eastAsia"/>
                <w:szCs w:val="21"/>
              </w:rPr>
              <w:t>其中：费用化研发支出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2,734,537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2,912,240</w:t>
            </w: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300" w:firstLine="630"/>
              <w:outlineLvl w:val="2"/>
              <w:rPr>
                <w:szCs w:val="21"/>
              </w:rPr>
            </w:pPr>
            <w:r>
              <w:rPr>
                <w:rFonts w:hint="eastAsia"/>
                <w:szCs w:val="21"/>
              </w:rPr>
              <w:t>资本化研发支出</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p>
        </w:tc>
      </w:tr>
      <w:tr>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pPr>
              <w:ind w:firstLineChars="300" w:firstLine="630"/>
              <w:outlineLvl w:val="2"/>
              <w:rPr>
                <w:szCs w:val="21"/>
              </w:rPr>
            </w:pPr>
            <w:r>
              <w:rPr>
                <w:rFonts w:hint="eastAsia"/>
                <w:szCs w:val="21"/>
              </w:rPr>
              <w:t>合计</w:t>
            </w:r>
          </w:p>
        </w:tc>
        <w:tc>
          <w:tcPr>
            <w:tcW w:w="143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2,734,537</w:t>
            </w:r>
          </w:p>
        </w:tc>
        <w:tc>
          <w:tcPr>
            <w:tcW w:w="1348"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outlineLvl w:val="2"/>
              <w:rPr>
                <w:szCs w:val="21"/>
              </w:rPr>
            </w:pPr>
            <w:r>
              <w:rPr>
                <w:szCs w:val="21"/>
              </w:rPr>
              <w:t>2,912,240</w:t>
            </w:r>
          </w:p>
        </w:tc>
      </w:tr>
    </w:tbl>
    <w:p>
      <w:pPr>
        <w:rPr>
          <w:szCs w:val="21"/>
        </w:rPr>
      </w:pPr>
      <w:r>
        <w:rPr>
          <w:rFonts w:hint="eastAsia"/>
          <w:szCs w:val="21"/>
        </w:rPr>
        <w:t>其他说明：</w:t>
      </w:r>
    </w:p>
    <w:sdt>
      <w:sdtPr>
        <w:alias w:val="研发支出按费用性质列示的其他说明"/>
        <w:tag w:val="_GBC_832f0bcbd22345ddb2d8bda2e55f93da"/>
        <w:id w:val="1421135470"/>
        <w:placeholder>
          <w:docPart w:val="GBC22222222222222222222222222222"/>
        </w:placeholder>
      </w:sdtPr>
      <w:sdtContent>
        <w:p>
          <w:pPr>
            <w:pStyle w:val="affffffffffffffffffffffffffffffffe"/>
          </w:pPr>
          <w:r>
            <w:t>-</w:t>
          </w:r>
        </w:p>
      </w:sdtContent>
    </w:sdt>
    <w:p>
      <w:pPr>
        <w:pStyle w:val="afffffffffffffffffffffffffffffffff0"/>
        <w:numPr>
          <w:ilvl w:val="0"/>
          <w:numId w:val="131"/>
        </w:numPr>
      </w:pPr>
      <w:bookmarkStart w:id="483" w:name="_Hlk153266294"/>
      <w:bookmarkEnd w:id="482"/>
      <w:r>
        <w:lastRenderedPageBreak/>
        <w:t>符合资本化条件的研发项目</w:t>
      </w:r>
      <w:r>
        <w:rPr>
          <w:rFonts w:hint="eastAsia"/>
        </w:rPr>
        <w:t>开发支出</w:t>
      </w:r>
    </w:p>
    <w:sdt>
      <w:sdtPr>
        <w:alias w:val="是否适用：开发支出[双击切换]"/>
        <w:tag w:val="_GBC_173f2bb3b2db483e82638801b8b2955b"/>
        <w:id w:val="-133530414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bookmarkEnd w:id="483"/>
    <w:p>
      <w:pPr>
        <w:rPr>
          <w:szCs w:val="21"/>
        </w:rPr>
      </w:pPr>
      <w:r>
        <w:rPr>
          <w:szCs w:val="21"/>
        </w:rPr>
        <w:t>重要的资本化研发项目</w:t>
      </w:r>
      <w:sdt>
        <w:sdtPr>
          <w:rPr>
            <w:szCs w:val="21"/>
          </w:rPr>
          <w:alias w:val="是否适用：重要的资本化研发项目[双击切换]"/>
          <w:tag w:val="_GBC_d1b90c9364924f2791f75c6b9a12139f"/>
          <w:id w:val="572169083"/>
          <w:placeholder>
            <w:docPart w:val="GBC22222222222222222222222222222"/>
          </w:placeholder>
        </w:sdt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r>
        <w:rPr>
          <w:szCs w:val="21"/>
        </w:rPr>
        <w:t>开发支出减值准备</w:t>
      </w:r>
      <w:sdt>
        <w:sdtPr>
          <w:rPr>
            <w:szCs w:val="21"/>
          </w:rPr>
          <w:alias w:val="是否适用：开发支出减值准备[双击切换]"/>
          <w:tag w:val="_GBC_54eb6a513e574cfa85e9b90a1588b10f"/>
          <w:id w:val="531536418"/>
          <w:placeholder>
            <w:docPart w:val="GBC22222222222222222222222222222"/>
          </w:placeholder>
        </w:sdt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r>
        <w:rPr>
          <w:rFonts w:hint="eastAsia"/>
          <w:szCs w:val="21"/>
        </w:rPr>
        <w:t>其他说明：</w:t>
      </w:r>
    </w:p>
    <w:sdt>
      <w:sdtPr>
        <w:alias w:val="符合资本化条件的研发项目开发支出的其他说明"/>
        <w:tag w:val="_GBC_3c7da8ec7a3a443ba6a37565a5e99433"/>
        <w:id w:val="1785762958"/>
        <w:placeholder>
          <w:docPart w:val="GBC22222222222222222222222222222"/>
        </w:placeholder>
      </w:sdtPr>
      <w:sdtContent>
        <w:p>
          <w:pPr>
            <w:pStyle w:val="affffffffffffffffffffffffffffffffe"/>
          </w:pPr>
          <w:r>
            <w:t>-</w:t>
          </w:r>
        </w:p>
      </w:sdtContent>
    </w:sdt>
    <w:p>
      <w:pPr>
        <w:pStyle w:val="afffffffffffffffffffffffffffffffff0"/>
        <w:numPr>
          <w:ilvl w:val="0"/>
          <w:numId w:val="131"/>
        </w:numPr>
      </w:pPr>
      <w:r>
        <w:t>重要的外购在研项目</w:t>
      </w:r>
    </w:p>
    <w:sdt>
      <w:sdtPr>
        <w:rPr>
          <w:szCs w:val="21"/>
        </w:rPr>
        <w:alias w:val="是否适用：重要的外购在研项目[双击切换]"/>
        <w:tag w:val="_GBC_8385c2c52dfe44b6b2522468b8800584"/>
        <w:id w:val="196360982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2"/>
        <w:numPr>
          <w:ilvl w:val="0"/>
          <w:numId w:val="155"/>
        </w:numPr>
      </w:pPr>
      <w:r>
        <w:rPr>
          <w:rFonts w:hint="eastAsia"/>
        </w:rPr>
        <w:t>合并范围的变更</w:t>
      </w:r>
    </w:p>
    <w:p>
      <w:pPr>
        <w:pStyle w:val="afffffffffffffffffffffffffffffffff0"/>
        <w:numPr>
          <w:ilvl w:val="0"/>
          <w:numId w:val="132"/>
        </w:numPr>
        <w:rPr>
          <w:rFonts w:ascii="宋体" w:hAnsi="宋体" w:cs="Arial"/>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98223039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1"/>
        <w:numPr>
          <w:ilvl w:val="0"/>
          <w:numId w:val="183"/>
        </w:numPr>
        <w:ind w:left="426" w:hanging="426"/>
        <w:rPr>
          <w:rStyle w:val="40"/>
          <w:rFonts w:ascii="宋体" w:hAnsi="宋体"/>
          <w:b/>
          <w:szCs w:val="21"/>
        </w:rPr>
      </w:pPr>
      <w:r>
        <w:rPr>
          <w:rStyle w:val="40"/>
          <w:rFonts w:ascii="宋体" w:hAnsi="宋体" w:hint="eastAsia"/>
          <w:b/>
          <w:szCs w:val="21"/>
        </w:rPr>
        <w:t>本期发生的非同一控制下企业合并交易</w:t>
      </w:r>
    </w:p>
    <w:sdt>
      <w:sdtPr>
        <w:alias w:val="是否适用：本期发生的非同一控制下企业合并[双击切换]"/>
        <w:tag w:val="_GBC_01020b54a2124714b02e7c09b7def8bd"/>
        <w:id w:val="96724787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非同一控制下企业合并取得的子公司"/>
          <w:tag w:val="_GBC_fcde16a13e0e4a4796343f753c84803d"/>
          <w:id w:val="4189979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非同一控制下企业合并取得的子公司"/>
          <w:tag w:val="_GBC_198f79b078c64e2b8192c9334f9181eb"/>
          <w:id w:val="-18954969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6186"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6"/>
        <w:gridCol w:w="1649"/>
        <w:gridCol w:w="1001"/>
        <w:gridCol w:w="724"/>
        <w:gridCol w:w="1057"/>
        <w:gridCol w:w="1247"/>
        <w:gridCol w:w="691"/>
        <w:gridCol w:w="1001"/>
        <w:gridCol w:w="940"/>
        <w:gridCol w:w="1080"/>
      </w:tblGrid>
      <w:tr>
        <w:trPr>
          <w:trHeight w:val="954"/>
        </w:trPr>
        <w:sdt>
          <w:sdtPr>
            <w:rPr>
              <w:szCs w:val="21"/>
            </w:rPr>
            <w:tag w:val="_PLD_47313b226bb241edbbfe476519f517de"/>
            <w:id w:val="1046954417"/>
          </w:sdtPr>
          <w:sdtContent>
            <w:tc>
              <w:tcPr>
                <w:tcW w:w="585" w:type="pct"/>
                <w:shd w:val="clear" w:color="auto" w:fill="auto"/>
                <w:vAlign w:val="center"/>
              </w:tcPr>
              <w:p>
                <w:pPr>
                  <w:jc w:val="center"/>
                  <w:rPr>
                    <w:rFonts w:cs="Arial"/>
                    <w:szCs w:val="21"/>
                  </w:rPr>
                </w:pPr>
                <w:r>
                  <w:rPr>
                    <w:rFonts w:cs="Arial" w:hint="eastAsia"/>
                    <w:szCs w:val="21"/>
                    <w:lang w:val="en-GB"/>
                  </w:rPr>
                  <w:t>被购买方名称</w:t>
                </w:r>
              </w:p>
            </w:tc>
          </w:sdtContent>
        </w:sdt>
        <w:sdt>
          <w:sdtPr>
            <w:rPr>
              <w:szCs w:val="21"/>
            </w:rPr>
            <w:tag w:val="_PLD_dc0c99da28ce4b13a6cd7fe82fe8e3c8"/>
            <w:id w:val="2145617708"/>
          </w:sdtPr>
          <w:sdtContent>
            <w:tc>
              <w:tcPr>
                <w:tcW w:w="768" w:type="pct"/>
                <w:shd w:val="clear" w:color="auto" w:fill="auto"/>
                <w:vAlign w:val="center"/>
              </w:tcPr>
              <w:p>
                <w:pPr>
                  <w:jc w:val="center"/>
                  <w:rPr>
                    <w:rFonts w:cs="Arial"/>
                    <w:color w:val="000000"/>
                    <w:szCs w:val="21"/>
                    <w:lang w:val="en-GB"/>
                  </w:rPr>
                </w:pPr>
                <w:r>
                  <w:rPr>
                    <w:rFonts w:cs="Arial" w:hint="eastAsia"/>
                    <w:color w:val="000000"/>
                    <w:szCs w:val="21"/>
                    <w:lang w:val="en-GB"/>
                  </w:rPr>
                  <w:t>股权取得时点</w:t>
                </w:r>
              </w:p>
            </w:tc>
          </w:sdtContent>
        </w:sdt>
        <w:sdt>
          <w:sdtPr>
            <w:rPr>
              <w:szCs w:val="21"/>
            </w:rPr>
            <w:tag w:val="_PLD_e44e3f75dbdd4f3eba8921a4dd00a4f7"/>
            <w:id w:val="-26791346"/>
          </w:sdtPr>
          <w:sdtContent>
            <w:tc>
              <w:tcPr>
                <w:tcW w:w="470" w:type="pct"/>
                <w:shd w:val="clear" w:color="auto" w:fill="auto"/>
                <w:vAlign w:val="center"/>
              </w:tcPr>
              <w:p>
                <w:pPr>
                  <w:jc w:val="center"/>
                  <w:rPr>
                    <w:rFonts w:cs="Arial"/>
                    <w:color w:val="000000"/>
                    <w:szCs w:val="21"/>
                    <w:lang w:val="en-GB"/>
                  </w:rPr>
                </w:pPr>
                <w:r>
                  <w:rPr>
                    <w:rFonts w:cs="Arial" w:hint="eastAsia"/>
                    <w:color w:val="000000"/>
                    <w:szCs w:val="21"/>
                    <w:lang w:val="en-GB"/>
                  </w:rPr>
                  <w:t>股权取得成本</w:t>
                </w:r>
              </w:p>
            </w:tc>
          </w:sdtContent>
        </w:sdt>
        <w:sdt>
          <w:sdtPr>
            <w:rPr>
              <w:szCs w:val="21"/>
            </w:rPr>
            <w:tag w:val="_PLD_53f68901c1b44908bfe90cc7ea5fa67a"/>
            <w:id w:val="506028419"/>
          </w:sdtPr>
          <w:sdtContent>
            <w:tc>
              <w:tcPr>
                <w:tcW w:w="346" w:type="pct"/>
                <w:shd w:val="clear" w:color="auto" w:fill="auto"/>
                <w:vAlign w:val="center"/>
              </w:tcPr>
              <w:p>
                <w:pPr>
                  <w:jc w:val="center"/>
                  <w:rPr>
                    <w:rFonts w:cs="Arial"/>
                    <w:color w:val="000000"/>
                    <w:szCs w:val="21"/>
                    <w:lang w:val="en-GB"/>
                  </w:rPr>
                </w:pPr>
                <w:r>
                  <w:rPr>
                    <w:rFonts w:cs="Arial" w:hint="eastAsia"/>
                    <w:color w:val="000000"/>
                    <w:szCs w:val="21"/>
                    <w:lang w:val="en-GB"/>
                  </w:rPr>
                  <w:t>股权取得比例</w:t>
                </w:r>
              </w:p>
              <w:p>
                <w:pPr>
                  <w:jc w:val="center"/>
                  <w:rPr>
                    <w:rFonts w:cs="Arial"/>
                    <w:color w:val="000000"/>
                    <w:szCs w:val="21"/>
                    <w:lang w:val="en-GB"/>
                  </w:rPr>
                </w:pPr>
                <w:r>
                  <w:rPr>
                    <w:rFonts w:cs="Arial" w:hint="eastAsia"/>
                    <w:color w:val="000000"/>
                    <w:szCs w:val="21"/>
                    <w:lang w:val="en-GB"/>
                  </w:rPr>
                  <w:t>（%）</w:t>
                </w:r>
              </w:p>
            </w:tc>
          </w:sdtContent>
        </w:sdt>
        <w:sdt>
          <w:sdtPr>
            <w:rPr>
              <w:szCs w:val="21"/>
            </w:rPr>
            <w:tag w:val="_PLD_a7601514f0744f1198842ff0f479013e"/>
            <w:id w:val="1210303041"/>
          </w:sdtPr>
          <w:sdtContent>
            <w:tc>
              <w:tcPr>
                <w:tcW w:w="497" w:type="pct"/>
                <w:shd w:val="clear" w:color="auto" w:fill="auto"/>
                <w:vAlign w:val="center"/>
              </w:tcPr>
              <w:p>
                <w:pPr>
                  <w:jc w:val="center"/>
                  <w:rPr>
                    <w:rFonts w:cs="Arial"/>
                    <w:color w:val="000000"/>
                    <w:szCs w:val="21"/>
                    <w:lang w:val="en-GB"/>
                  </w:rPr>
                </w:pPr>
                <w:r>
                  <w:rPr>
                    <w:rFonts w:cs="Arial" w:hint="eastAsia"/>
                    <w:color w:val="000000"/>
                    <w:szCs w:val="21"/>
                    <w:lang w:val="en-GB"/>
                  </w:rPr>
                  <w:t>股权取得方式</w:t>
                </w:r>
              </w:p>
            </w:tc>
          </w:sdtContent>
        </w:sdt>
        <w:sdt>
          <w:sdtPr>
            <w:rPr>
              <w:szCs w:val="21"/>
            </w:rPr>
            <w:tag w:val="_PLD_dcc7459c3ddf44309e84789d53d1b6ae"/>
            <w:id w:val="-1371148648"/>
          </w:sdtPr>
          <w:sdtContent>
            <w:tc>
              <w:tcPr>
                <w:tcW w:w="584" w:type="pct"/>
                <w:shd w:val="clear" w:color="auto" w:fill="auto"/>
                <w:vAlign w:val="center"/>
              </w:tcPr>
              <w:p>
                <w:pPr>
                  <w:jc w:val="center"/>
                  <w:rPr>
                    <w:rFonts w:cs="Arial"/>
                    <w:szCs w:val="21"/>
                    <w:lang w:val="en-GB"/>
                  </w:rPr>
                </w:pPr>
                <w:r>
                  <w:rPr>
                    <w:rFonts w:cs="Arial" w:hint="eastAsia"/>
                    <w:szCs w:val="21"/>
                    <w:lang w:val="en-GB"/>
                  </w:rPr>
                  <w:t>购买日</w:t>
                </w:r>
              </w:p>
            </w:tc>
          </w:sdtContent>
        </w:sdt>
        <w:sdt>
          <w:sdtPr>
            <w:rPr>
              <w:szCs w:val="21"/>
            </w:rPr>
            <w:tag w:val="_PLD_673b9f68d29e4ec48e46975a55ae150c"/>
            <w:id w:val="-1412077441"/>
          </w:sdtPr>
          <w:sdtContent>
            <w:tc>
              <w:tcPr>
                <w:tcW w:w="329" w:type="pct"/>
                <w:shd w:val="clear" w:color="auto" w:fill="auto"/>
                <w:vAlign w:val="center"/>
              </w:tcPr>
              <w:p>
                <w:pPr>
                  <w:jc w:val="center"/>
                  <w:rPr>
                    <w:rFonts w:cs="Arial"/>
                    <w:szCs w:val="21"/>
                    <w:lang w:val="en-GB"/>
                  </w:rPr>
                </w:pPr>
                <w:r>
                  <w:rPr>
                    <w:rFonts w:cs="Arial" w:hint="eastAsia"/>
                    <w:szCs w:val="21"/>
                    <w:lang w:val="en-GB"/>
                  </w:rPr>
                  <w:t>购买日的确定依据</w:t>
                </w:r>
              </w:p>
            </w:tc>
          </w:sdtContent>
        </w:sdt>
        <w:sdt>
          <w:sdtPr>
            <w:rPr>
              <w:szCs w:val="21"/>
            </w:rPr>
            <w:tag w:val="_PLD_c79473461a2d498b8407f26b5d7e7e7c"/>
            <w:id w:val="717100799"/>
          </w:sdtPr>
          <w:sdtContent>
            <w:tc>
              <w:tcPr>
                <w:tcW w:w="470" w:type="pct"/>
                <w:shd w:val="clear" w:color="auto" w:fill="auto"/>
                <w:vAlign w:val="center"/>
              </w:tcPr>
              <w:p>
                <w:pPr>
                  <w:jc w:val="center"/>
                  <w:rPr>
                    <w:rFonts w:cs="Arial"/>
                    <w:szCs w:val="21"/>
                  </w:rPr>
                </w:pPr>
                <w:r>
                  <w:rPr>
                    <w:rFonts w:cs="Arial" w:hint="eastAsia"/>
                    <w:szCs w:val="21"/>
                    <w:lang w:val="en-GB"/>
                  </w:rPr>
                  <w:t>购买日至期末被购买方的收入</w:t>
                </w:r>
              </w:p>
            </w:tc>
          </w:sdtContent>
        </w:sdt>
        <w:sdt>
          <w:sdtPr>
            <w:rPr>
              <w:szCs w:val="21"/>
            </w:rPr>
            <w:tag w:val="_PLD_0ee18331d2744bf9afac56c02c88540b"/>
            <w:id w:val="-1960018760"/>
          </w:sdtPr>
          <w:sdtContent>
            <w:tc>
              <w:tcPr>
                <w:tcW w:w="444" w:type="pct"/>
                <w:shd w:val="clear" w:color="auto" w:fill="auto"/>
                <w:vAlign w:val="center"/>
              </w:tcPr>
              <w:p>
                <w:pPr>
                  <w:jc w:val="center"/>
                  <w:rPr>
                    <w:rFonts w:cs="Arial"/>
                    <w:szCs w:val="21"/>
                  </w:rPr>
                </w:pPr>
                <w:r>
                  <w:rPr>
                    <w:rFonts w:cs="Arial" w:hint="eastAsia"/>
                    <w:szCs w:val="21"/>
                    <w:lang w:val="en-GB"/>
                  </w:rPr>
                  <w:t>购买日至期末被购买方的净利润</w:t>
                </w:r>
              </w:p>
            </w:tc>
          </w:sdtContent>
        </w:sdt>
        <w:tc>
          <w:tcPr>
            <w:tcW w:w="508" w:type="pct"/>
          </w:tcPr>
          <w:sdt>
            <w:sdtPr>
              <w:rPr>
                <w:szCs w:val="21"/>
              </w:rPr>
              <w:tag w:val="_PLD_0ec24f77e57847489546e07fba073290"/>
              <w:id w:val="174470563"/>
            </w:sdtPr>
            <w:sdtContent>
              <w:p>
                <w:pPr>
                  <w:jc w:val="center"/>
                  <w:rPr>
                    <w:szCs w:val="21"/>
                  </w:rPr>
                </w:pPr>
                <w:r>
                  <w:rPr>
                    <w:rFonts w:cs="Arial" w:hint="eastAsia"/>
                    <w:szCs w:val="21"/>
                    <w:lang w:val="en-GB"/>
                  </w:rPr>
                  <w:t>购买日至期末被购买方的现金流量</w:t>
                </w:r>
              </w:p>
            </w:sdtContent>
          </w:sdt>
        </w:tc>
      </w:tr>
      <w:tr>
        <w:trPr>
          <w:trHeight w:val="293"/>
        </w:trPr>
        <w:tc>
          <w:tcPr>
            <w:tcW w:w="585" w:type="pct"/>
            <w:shd w:val="clear" w:color="auto" w:fill="auto"/>
            <w:vAlign w:val="center"/>
          </w:tcPr>
          <w:p>
            <w:pPr>
              <w:rPr>
                <w:color w:val="000000"/>
                <w:szCs w:val="21"/>
              </w:rPr>
            </w:pPr>
            <w:r>
              <w:rPr>
                <w:rFonts w:hint="eastAsia"/>
                <w:color w:val="000000"/>
                <w:szCs w:val="21"/>
              </w:rPr>
              <w:t>山东博创凯盛工业科技有限公司</w:t>
            </w:r>
          </w:p>
        </w:tc>
        <w:tc>
          <w:tcPr>
            <w:tcW w:w="768" w:type="pct"/>
            <w:shd w:val="clear" w:color="auto" w:fill="auto"/>
            <w:vAlign w:val="center"/>
          </w:tcPr>
          <w:p>
            <w:pPr>
              <w:jc w:val="center"/>
              <w:rPr>
                <w:color w:val="000000"/>
                <w:szCs w:val="21"/>
              </w:rPr>
            </w:pPr>
            <w:r>
              <w:rPr>
                <w:color w:val="000000"/>
                <w:szCs w:val="21"/>
              </w:rPr>
              <w:t>2024年7月31日</w:t>
            </w:r>
          </w:p>
        </w:tc>
        <w:tc>
          <w:tcPr>
            <w:tcW w:w="470" w:type="pct"/>
            <w:shd w:val="clear" w:color="auto" w:fill="auto"/>
            <w:vAlign w:val="center"/>
          </w:tcPr>
          <w:p>
            <w:pPr>
              <w:jc w:val="right"/>
              <w:rPr>
                <w:color w:val="000000"/>
                <w:szCs w:val="21"/>
              </w:rPr>
            </w:pPr>
            <w:r>
              <w:rPr>
                <w:color w:val="000000"/>
                <w:szCs w:val="21"/>
              </w:rPr>
              <w:t>48,870</w:t>
            </w:r>
          </w:p>
        </w:tc>
        <w:tc>
          <w:tcPr>
            <w:tcW w:w="346" w:type="pct"/>
            <w:shd w:val="clear" w:color="auto" w:fill="auto"/>
            <w:vAlign w:val="center"/>
          </w:tcPr>
          <w:p>
            <w:pPr>
              <w:jc w:val="center"/>
              <w:rPr>
                <w:color w:val="000000"/>
                <w:szCs w:val="21"/>
              </w:rPr>
            </w:pPr>
            <w:r>
              <w:rPr>
                <w:color w:val="000000"/>
                <w:szCs w:val="21"/>
              </w:rPr>
              <w:t>50.00%</w:t>
            </w:r>
          </w:p>
        </w:tc>
        <w:tc>
          <w:tcPr>
            <w:tcW w:w="497" w:type="pct"/>
            <w:shd w:val="clear" w:color="auto" w:fill="auto"/>
            <w:vAlign w:val="center"/>
          </w:tcPr>
          <w:p>
            <w:pPr>
              <w:jc w:val="center"/>
              <w:rPr>
                <w:color w:val="000000"/>
                <w:szCs w:val="21"/>
              </w:rPr>
            </w:pPr>
            <w:r>
              <w:rPr>
                <w:rFonts w:hint="eastAsia"/>
                <w:color w:val="000000"/>
                <w:szCs w:val="21"/>
              </w:rPr>
              <w:t>让渡表决权</w:t>
            </w:r>
          </w:p>
        </w:tc>
        <w:tc>
          <w:tcPr>
            <w:tcW w:w="584" w:type="pct"/>
            <w:shd w:val="clear" w:color="auto" w:fill="auto"/>
            <w:vAlign w:val="center"/>
          </w:tcPr>
          <w:p>
            <w:pPr>
              <w:jc w:val="center"/>
              <w:rPr>
                <w:color w:val="000000"/>
                <w:szCs w:val="21"/>
              </w:rPr>
            </w:pPr>
            <w:r>
              <w:rPr>
                <w:color w:val="000000"/>
                <w:szCs w:val="21"/>
              </w:rPr>
              <w:t>2024年7月31日</w:t>
            </w:r>
          </w:p>
        </w:tc>
        <w:tc>
          <w:tcPr>
            <w:tcW w:w="329" w:type="pct"/>
            <w:shd w:val="clear" w:color="auto" w:fill="auto"/>
            <w:vAlign w:val="center"/>
          </w:tcPr>
          <w:p>
            <w:pPr>
              <w:jc w:val="center"/>
              <w:rPr>
                <w:color w:val="000000"/>
                <w:szCs w:val="21"/>
              </w:rPr>
            </w:pPr>
            <w:r>
              <w:rPr>
                <w:rFonts w:hint="eastAsia"/>
                <w:color w:val="000000"/>
                <w:szCs w:val="21"/>
              </w:rPr>
              <w:t>控制权转移</w:t>
            </w:r>
          </w:p>
        </w:tc>
        <w:tc>
          <w:tcPr>
            <w:tcW w:w="470" w:type="pct"/>
            <w:shd w:val="clear" w:color="auto" w:fill="auto"/>
            <w:vAlign w:val="center"/>
          </w:tcPr>
          <w:p>
            <w:pPr>
              <w:jc w:val="right"/>
              <w:rPr>
                <w:color w:val="000000"/>
                <w:szCs w:val="21"/>
              </w:rPr>
            </w:pPr>
            <w:r>
              <w:rPr>
                <w:color w:val="000000"/>
                <w:szCs w:val="21"/>
              </w:rPr>
              <w:t>74,224</w:t>
            </w:r>
          </w:p>
        </w:tc>
        <w:tc>
          <w:tcPr>
            <w:tcW w:w="444" w:type="pct"/>
            <w:shd w:val="clear" w:color="auto" w:fill="auto"/>
            <w:vAlign w:val="center"/>
          </w:tcPr>
          <w:p>
            <w:pPr>
              <w:jc w:val="right"/>
              <w:rPr>
                <w:color w:val="000000"/>
                <w:szCs w:val="21"/>
              </w:rPr>
            </w:pPr>
            <w:r>
              <w:rPr>
                <w:rFonts w:hint="eastAsia"/>
                <w:color w:val="000000"/>
                <w:szCs w:val="21"/>
              </w:rPr>
              <w:t>4,453</w:t>
            </w:r>
          </w:p>
        </w:tc>
        <w:tc>
          <w:tcPr>
            <w:tcW w:w="508" w:type="pct"/>
            <w:vAlign w:val="center"/>
          </w:tcPr>
          <w:p>
            <w:pPr>
              <w:jc w:val="right"/>
              <w:rPr>
                <w:color w:val="000000"/>
                <w:szCs w:val="21"/>
              </w:rPr>
            </w:pPr>
            <w:r>
              <w:rPr>
                <w:rFonts w:hint="eastAsia"/>
                <w:color w:val="000000"/>
                <w:szCs w:val="21"/>
              </w:rPr>
              <w:t>-813</w:t>
            </w:r>
          </w:p>
        </w:tc>
      </w:tr>
      <w:tr>
        <w:trPr>
          <w:trHeight w:val="293"/>
        </w:trPr>
        <w:tc>
          <w:tcPr>
            <w:tcW w:w="585" w:type="pct"/>
            <w:shd w:val="clear" w:color="auto" w:fill="auto"/>
            <w:vAlign w:val="center"/>
          </w:tcPr>
          <w:p>
            <w:pPr>
              <w:rPr>
                <w:color w:val="000000"/>
                <w:szCs w:val="21"/>
              </w:rPr>
            </w:pPr>
            <w:r>
              <w:rPr>
                <w:rFonts w:hint="eastAsia"/>
                <w:color w:val="000000"/>
                <w:szCs w:val="21"/>
              </w:rPr>
              <w:t>德伯特机械(山东)有限公司</w:t>
            </w:r>
          </w:p>
        </w:tc>
        <w:tc>
          <w:tcPr>
            <w:tcW w:w="768" w:type="pct"/>
            <w:shd w:val="clear" w:color="auto" w:fill="auto"/>
            <w:vAlign w:val="center"/>
          </w:tcPr>
          <w:p>
            <w:pPr>
              <w:jc w:val="center"/>
              <w:rPr>
                <w:color w:val="000000"/>
                <w:szCs w:val="21"/>
              </w:rPr>
            </w:pPr>
            <w:r>
              <w:rPr>
                <w:color w:val="000000"/>
                <w:szCs w:val="21"/>
              </w:rPr>
              <w:t>2024年8月1日</w:t>
            </w:r>
          </w:p>
        </w:tc>
        <w:tc>
          <w:tcPr>
            <w:tcW w:w="470" w:type="pct"/>
            <w:shd w:val="clear" w:color="auto" w:fill="auto"/>
            <w:vAlign w:val="center"/>
          </w:tcPr>
          <w:p>
            <w:pPr>
              <w:jc w:val="right"/>
              <w:rPr>
                <w:color w:val="000000"/>
                <w:szCs w:val="21"/>
              </w:rPr>
            </w:pPr>
            <w:r>
              <w:rPr>
                <w:color w:val="000000"/>
                <w:szCs w:val="21"/>
              </w:rPr>
              <w:t>17,128</w:t>
            </w:r>
          </w:p>
        </w:tc>
        <w:tc>
          <w:tcPr>
            <w:tcW w:w="346" w:type="pct"/>
            <w:shd w:val="clear" w:color="auto" w:fill="auto"/>
            <w:vAlign w:val="center"/>
          </w:tcPr>
          <w:p>
            <w:pPr>
              <w:jc w:val="center"/>
              <w:rPr>
                <w:color w:val="000000"/>
                <w:szCs w:val="21"/>
              </w:rPr>
            </w:pPr>
            <w:r>
              <w:rPr>
                <w:color w:val="000000"/>
                <w:szCs w:val="21"/>
              </w:rPr>
              <w:t>51.00%</w:t>
            </w:r>
          </w:p>
        </w:tc>
        <w:tc>
          <w:tcPr>
            <w:tcW w:w="497" w:type="pct"/>
            <w:shd w:val="clear" w:color="auto" w:fill="auto"/>
            <w:vAlign w:val="center"/>
          </w:tcPr>
          <w:p>
            <w:pPr>
              <w:jc w:val="center"/>
              <w:rPr>
                <w:color w:val="000000"/>
                <w:szCs w:val="21"/>
              </w:rPr>
            </w:pPr>
            <w:r>
              <w:rPr>
                <w:rFonts w:hint="eastAsia"/>
                <w:color w:val="000000"/>
                <w:szCs w:val="21"/>
              </w:rPr>
              <w:t>资产出资</w:t>
            </w:r>
          </w:p>
        </w:tc>
        <w:tc>
          <w:tcPr>
            <w:tcW w:w="584" w:type="pct"/>
            <w:shd w:val="clear" w:color="auto" w:fill="auto"/>
            <w:vAlign w:val="center"/>
          </w:tcPr>
          <w:p>
            <w:pPr>
              <w:jc w:val="center"/>
              <w:rPr>
                <w:color w:val="000000"/>
                <w:szCs w:val="21"/>
              </w:rPr>
            </w:pPr>
            <w:r>
              <w:rPr>
                <w:color w:val="000000"/>
                <w:szCs w:val="21"/>
              </w:rPr>
              <w:t>2024年8月1日</w:t>
            </w:r>
          </w:p>
        </w:tc>
        <w:tc>
          <w:tcPr>
            <w:tcW w:w="329" w:type="pct"/>
            <w:shd w:val="clear" w:color="auto" w:fill="auto"/>
            <w:vAlign w:val="center"/>
          </w:tcPr>
          <w:p>
            <w:pPr>
              <w:jc w:val="center"/>
              <w:rPr>
                <w:color w:val="000000"/>
                <w:szCs w:val="21"/>
              </w:rPr>
            </w:pPr>
            <w:r>
              <w:rPr>
                <w:rFonts w:hint="eastAsia"/>
                <w:color w:val="000000"/>
                <w:szCs w:val="21"/>
              </w:rPr>
              <w:t>控制权转移</w:t>
            </w:r>
          </w:p>
        </w:tc>
        <w:tc>
          <w:tcPr>
            <w:tcW w:w="470" w:type="pct"/>
            <w:shd w:val="clear" w:color="auto" w:fill="auto"/>
            <w:vAlign w:val="center"/>
          </w:tcPr>
          <w:p>
            <w:pPr>
              <w:jc w:val="right"/>
              <w:rPr>
                <w:color w:val="000000"/>
                <w:szCs w:val="21"/>
              </w:rPr>
            </w:pPr>
            <w:r>
              <w:rPr>
                <w:rFonts w:hint="eastAsia"/>
                <w:color w:val="000000"/>
                <w:szCs w:val="21"/>
              </w:rPr>
              <w:t>466,223</w:t>
            </w:r>
          </w:p>
        </w:tc>
        <w:tc>
          <w:tcPr>
            <w:tcW w:w="444" w:type="pct"/>
            <w:shd w:val="clear" w:color="auto" w:fill="auto"/>
            <w:vAlign w:val="center"/>
          </w:tcPr>
          <w:p>
            <w:pPr>
              <w:jc w:val="right"/>
              <w:rPr>
                <w:color w:val="000000"/>
                <w:szCs w:val="21"/>
              </w:rPr>
            </w:pPr>
            <w:r>
              <w:rPr>
                <w:rFonts w:hint="eastAsia"/>
                <w:color w:val="000000"/>
                <w:szCs w:val="21"/>
              </w:rPr>
              <w:t>34,434</w:t>
            </w:r>
          </w:p>
        </w:tc>
        <w:tc>
          <w:tcPr>
            <w:tcW w:w="508" w:type="pct"/>
            <w:vAlign w:val="center"/>
          </w:tcPr>
          <w:p>
            <w:pPr>
              <w:jc w:val="right"/>
              <w:rPr>
                <w:color w:val="000000"/>
                <w:szCs w:val="21"/>
              </w:rPr>
            </w:pPr>
            <w:r>
              <w:rPr>
                <w:rFonts w:hint="eastAsia"/>
                <w:color w:val="000000"/>
                <w:szCs w:val="21"/>
              </w:rPr>
              <w:t>-188</w:t>
            </w:r>
          </w:p>
        </w:tc>
      </w:tr>
      <w:tr>
        <w:trPr>
          <w:trHeight w:val="293"/>
        </w:trPr>
        <w:tc>
          <w:tcPr>
            <w:tcW w:w="585" w:type="pct"/>
            <w:shd w:val="clear" w:color="auto" w:fill="auto"/>
            <w:vAlign w:val="center"/>
          </w:tcPr>
          <w:p>
            <w:pPr>
              <w:rPr>
                <w:color w:val="000000"/>
                <w:szCs w:val="21"/>
              </w:rPr>
            </w:pPr>
            <w:r>
              <w:rPr>
                <w:rFonts w:hint="eastAsia"/>
                <w:color w:val="000000"/>
                <w:szCs w:val="21"/>
              </w:rPr>
              <w:t>SMTScharfAG(沙尔夫股份公司)</w:t>
            </w:r>
          </w:p>
        </w:tc>
        <w:tc>
          <w:tcPr>
            <w:tcW w:w="768" w:type="pct"/>
            <w:shd w:val="clear" w:color="auto" w:fill="auto"/>
            <w:vAlign w:val="center"/>
          </w:tcPr>
          <w:p>
            <w:pPr>
              <w:jc w:val="center"/>
              <w:rPr>
                <w:color w:val="000000"/>
                <w:szCs w:val="21"/>
              </w:rPr>
            </w:pPr>
            <w:r>
              <w:rPr>
                <w:color w:val="000000"/>
                <w:szCs w:val="21"/>
              </w:rPr>
              <w:t>2024年9月30日</w:t>
            </w:r>
          </w:p>
        </w:tc>
        <w:tc>
          <w:tcPr>
            <w:tcW w:w="470" w:type="pct"/>
            <w:shd w:val="clear" w:color="auto" w:fill="auto"/>
            <w:vAlign w:val="center"/>
          </w:tcPr>
          <w:p>
            <w:pPr>
              <w:jc w:val="right"/>
              <w:rPr>
                <w:color w:val="000000"/>
                <w:szCs w:val="21"/>
              </w:rPr>
            </w:pPr>
            <w:r>
              <w:rPr>
                <w:color w:val="000000"/>
                <w:szCs w:val="21"/>
              </w:rPr>
              <w:t>254,552</w:t>
            </w:r>
          </w:p>
        </w:tc>
        <w:tc>
          <w:tcPr>
            <w:tcW w:w="346" w:type="pct"/>
            <w:shd w:val="clear" w:color="auto" w:fill="auto"/>
            <w:vAlign w:val="center"/>
          </w:tcPr>
          <w:p>
            <w:pPr>
              <w:jc w:val="center"/>
              <w:rPr>
                <w:color w:val="000000"/>
                <w:szCs w:val="21"/>
              </w:rPr>
            </w:pPr>
            <w:r>
              <w:rPr>
                <w:color w:val="000000"/>
                <w:szCs w:val="21"/>
              </w:rPr>
              <w:t>52.66%</w:t>
            </w:r>
          </w:p>
        </w:tc>
        <w:tc>
          <w:tcPr>
            <w:tcW w:w="497" w:type="pct"/>
            <w:shd w:val="clear" w:color="auto" w:fill="auto"/>
            <w:vAlign w:val="center"/>
          </w:tcPr>
          <w:p>
            <w:pPr>
              <w:jc w:val="center"/>
              <w:rPr>
                <w:color w:val="000000"/>
                <w:szCs w:val="21"/>
              </w:rPr>
            </w:pPr>
            <w:r>
              <w:rPr>
                <w:rFonts w:hint="eastAsia"/>
                <w:color w:val="000000"/>
                <w:szCs w:val="21"/>
              </w:rPr>
              <w:t>现金增资</w:t>
            </w:r>
          </w:p>
        </w:tc>
        <w:tc>
          <w:tcPr>
            <w:tcW w:w="584" w:type="pct"/>
            <w:shd w:val="clear" w:color="auto" w:fill="auto"/>
            <w:vAlign w:val="center"/>
          </w:tcPr>
          <w:p>
            <w:pPr>
              <w:jc w:val="center"/>
              <w:rPr>
                <w:color w:val="000000"/>
                <w:szCs w:val="21"/>
              </w:rPr>
            </w:pPr>
            <w:r>
              <w:rPr>
                <w:color w:val="000000"/>
                <w:szCs w:val="21"/>
              </w:rPr>
              <w:t>2024年9月30日</w:t>
            </w:r>
          </w:p>
        </w:tc>
        <w:tc>
          <w:tcPr>
            <w:tcW w:w="329" w:type="pct"/>
            <w:shd w:val="clear" w:color="auto" w:fill="auto"/>
            <w:vAlign w:val="center"/>
          </w:tcPr>
          <w:p>
            <w:pPr>
              <w:jc w:val="center"/>
              <w:rPr>
                <w:color w:val="000000"/>
                <w:szCs w:val="21"/>
              </w:rPr>
            </w:pPr>
            <w:r>
              <w:rPr>
                <w:rFonts w:hint="eastAsia"/>
                <w:color w:val="000000"/>
                <w:szCs w:val="21"/>
              </w:rPr>
              <w:t>控制权转移</w:t>
            </w:r>
          </w:p>
        </w:tc>
        <w:tc>
          <w:tcPr>
            <w:tcW w:w="470" w:type="pct"/>
            <w:shd w:val="clear" w:color="auto" w:fill="auto"/>
            <w:vAlign w:val="center"/>
          </w:tcPr>
          <w:p>
            <w:pPr>
              <w:jc w:val="right"/>
              <w:rPr>
                <w:color w:val="000000"/>
                <w:szCs w:val="21"/>
              </w:rPr>
            </w:pPr>
            <w:r>
              <w:rPr>
                <w:rFonts w:hint="eastAsia"/>
                <w:color w:val="000000"/>
                <w:szCs w:val="21"/>
              </w:rPr>
              <w:t>387,066</w:t>
            </w:r>
          </w:p>
        </w:tc>
        <w:tc>
          <w:tcPr>
            <w:tcW w:w="444" w:type="pct"/>
            <w:shd w:val="clear" w:color="auto" w:fill="auto"/>
            <w:vAlign w:val="center"/>
          </w:tcPr>
          <w:p>
            <w:pPr>
              <w:jc w:val="right"/>
              <w:rPr>
                <w:color w:val="000000"/>
                <w:szCs w:val="21"/>
              </w:rPr>
            </w:pPr>
            <w:r>
              <w:rPr>
                <w:rFonts w:hint="eastAsia"/>
                <w:color w:val="000000"/>
                <w:szCs w:val="21"/>
              </w:rPr>
              <w:t>50,596</w:t>
            </w:r>
          </w:p>
        </w:tc>
        <w:tc>
          <w:tcPr>
            <w:tcW w:w="508" w:type="pct"/>
            <w:vAlign w:val="center"/>
          </w:tcPr>
          <w:p>
            <w:pPr>
              <w:jc w:val="right"/>
              <w:rPr>
                <w:color w:val="000000"/>
                <w:szCs w:val="21"/>
              </w:rPr>
            </w:pPr>
            <w:r>
              <w:rPr>
                <w:color w:val="000000"/>
                <w:szCs w:val="21"/>
              </w:rPr>
              <w:t>6,802</w:t>
            </w:r>
          </w:p>
        </w:tc>
      </w:tr>
      <w:tr>
        <w:trPr>
          <w:trHeight w:val="293"/>
        </w:trPr>
        <w:tc>
          <w:tcPr>
            <w:tcW w:w="585" w:type="pct"/>
            <w:shd w:val="clear" w:color="auto" w:fill="auto"/>
            <w:vAlign w:val="center"/>
          </w:tcPr>
          <w:p>
            <w:pPr>
              <w:rPr>
                <w:color w:val="000000"/>
                <w:szCs w:val="21"/>
              </w:rPr>
            </w:pPr>
            <w:r>
              <w:rPr>
                <w:rFonts w:hint="eastAsia"/>
                <w:color w:val="000000"/>
                <w:szCs w:val="21"/>
              </w:rPr>
              <w:t>山东天玛智能控制技术有限公司</w:t>
            </w:r>
          </w:p>
        </w:tc>
        <w:tc>
          <w:tcPr>
            <w:tcW w:w="768" w:type="pct"/>
            <w:shd w:val="clear" w:color="auto" w:fill="auto"/>
            <w:vAlign w:val="center"/>
          </w:tcPr>
          <w:p>
            <w:pPr>
              <w:jc w:val="center"/>
              <w:rPr>
                <w:color w:val="000000"/>
                <w:szCs w:val="21"/>
              </w:rPr>
            </w:pPr>
            <w:r>
              <w:rPr>
                <w:color w:val="000000"/>
                <w:szCs w:val="21"/>
              </w:rPr>
              <w:t>2024年10月1日</w:t>
            </w:r>
          </w:p>
        </w:tc>
        <w:tc>
          <w:tcPr>
            <w:tcW w:w="470" w:type="pct"/>
            <w:shd w:val="clear" w:color="auto" w:fill="auto"/>
            <w:vAlign w:val="center"/>
          </w:tcPr>
          <w:p>
            <w:pPr>
              <w:jc w:val="right"/>
              <w:rPr>
                <w:color w:val="000000"/>
                <w:szCs w:val="21"/>
              </w:rPr>
            </w:pPr>
            <w:r>
              <w:rPr>
                <w:rFonts w:hint="eastAsia"/>
                <w:color w:val="000000"/>
                <w:szCs w:val="21"/>
              </w:rPr>
              <w:t>47,398</w:t>
            </w:r>
          </w:p>
        </w:tc>
        <w:tc>
          <w:tcPr>
            <w:tcW w:w="346" w:type="pct"/>
            <w:shd w:val="clear" w:color="auto" w:fill="auto"/>
            <w:vAlign w:val="center"/>
          </w:tcPr>
          <w:p>
            <w:pPr>
              <w:jc w:val="center"/>
              <w:rPr>
                <w:color w:val="000000"/>
                <w:szCs w:val="21"/>
              </w:rPr>
            </w:pPr>
            <w:r>
              <w:rPr>
                <w:color w:val="000000"/>
                <w:szCs w:val="21"/>
              </w:rPr>
              <w:t>47.34%</w:t>
            </w:r>
          </w:p>
        </w:tc>
        <w:tc>
          <w:tcPr>
            <w:tcW w:w="497" w:type="pct"/>
            <w:shd w:val="clear" w:color="auto" w:fill="auto"/>
            <w:vAlign w:val="center"/>
          </w:tcPr>
          <w:p>
            <w:pPr>
              <w:jc w:val="center"/>
              <w:rPr>
                <w:color w:val="000000"/>
                <w:szCs w:val="21"/>
              </w:rPr>
            </w:pPr>
            <w:r>
              <w:rPr>
                <w:rFonts w:hint="eastAsia"/>
                <w:color w:val="000000"/>
                <w:szCs w:val="21"/>
              </w:rPr>
              <w:t>一致行动协议达到控股</w:t>
            </w:r>
          </w:p>
        </w:tc>
        <w:tc>
          <w:tcPr>
            <w:tcW w:w="584" w:type="pct"/>
            <w:shd w:val="clear" w:color="auto" w:fill="auto"/>
            <w:vAlign w:val="center"/>
          </w:tcPr>
          <w:p>
            <w:pPr>
              <w:jc w:val="center"/>
              <w:rPr>
                <w:color w:val="000000"/>
                <w:szCs w:val="21"/>
              </w:rPr>
            </w:pPr>
            <w:r>
              <w:rPr>
                <w:color w:val="000000"/>
                <w:szCs w:val="21"/>
              </w:rPr>
              <w:t>2024年10月1日</w:t>
            </w:r>
          </w:p>
        </w:tc>
        <w:tc>
          <w:tcPr>
            <w:tcW w:w="329" w:type="pct"/>
            <w:shd w:val="clear" w:color="auto" w:fill="auto"/>
            <w:vAlign w:val="center"/>
          </w:tcPr>
          <w:p>
            <w:pPr>
              <w:jc w:val="center"/>
              <w:rPr>
                <w:color w:val="000000"/>
                <w:szCs w:val="21"/>
              </w:rPr>
            </w:pPr>
            <w:r>
              <w:rPr>
                <w:rFonts w:hint="eastAsia"/>
                <w:color w:val="000000"/>
                <w:szCs w:val="21"/>
              </w:rPr>
              <w:t>控制权转移</w:t>
            </w:r>
          </w:p>
        </w:tc>
        <w:tc>
          <w:tcPr>
            <w:tcW w:w="470" w:type="pct"/>
            <w:shd w:val="clear" w:color="auto" w:fill="auto"/>
            <w:vAlign w:val="center"/>
          </w:tcPr>
          <w:p>
            <w:pPr>
              <w:jc w:val="right"/>
              <w:rPr>
                <w:color w:val="000000"/>
                <w:szCs w:val="21"/>
              </w:rPr>
            </w:pPr>
            <w:r>
              <w:rPr>
                <w:rFonts w:hint="eastAsia"/>
                <w:color w:val="000000"/>
                <w:szCs w:val="21"/>
              </w:rPr>
              <w:t>123,313</w:t>
            </w:r>
          </w:p>
        </w:tc>
        <w:tc>
          <w:tcPr>
            <w:tcW w:w="444" w:type="pct"/>
            <w:shd w:val="clear" w:color="auto" w:fill="auto"/>
            <w:vAlign w:val="center"/>
          </w:tcPr>
          <w:p>
            <w:pPr>
              <w:jc w:val="right"/>
              <w:rPr>
                <w:color w:val="000000"/>
                <w:szCs w:val="21"/>
              </w:rPr>
            </w:pPr>
            <w:r>
              <w:rPr>
                <w:rFonts w:hint="eastAsia"/>
                <w:color w:val="000000"/>
                <w:szCs w:val="21"/>
              </w:rPr>
              <w:t>4,438</w:t>
            </w:r>
          </w:p>
        </w:tc>
        <w:tc>
          <w:tcPr>
            <w:tcW w:w="508" w:type="pct"/>
            <w:vAlign w:val="center"/>
          </w:tcPr>
          <w:p>
            <w:pPr>
              <w:jc w:val="right"/>
              <w:rPr>
                <w:color w:val="000000"/>
                <w:szCs w:val="21"/>
              </w:rPr>
            </w:pPr>
            <w:r>
              <w:rPr>
                <w:rFonts w:hint="eastAsia"/>
                <w:color w:val="000000"/>
                <w:szCs w:val="21"/>
              </w:rPr>
              <w:t>-34,818</w:t>
            </w:r>
          </w:p>
        </w:tc>
      </w:tr>
      <w:tr>
        <w:trPr>
          <w:trHeight w:val="293"/>
        </w:trPr>
        <w:tc>
          <w:tcPr>
            <w:tcW w:w="585" w:type="pct"/>
            <w:shd w:val="clear" w:color="auto" w:fill="auto"/>
            <w:vAlign w:val="center"/>
          </w:tcPr>
          <w:p>
            <w:pPr>
              <w:rPr>
                <w:color w:val="000000"/>
                <w:szCs w:val="21"/>
              </w:rPr>
            </w:pPr>
            <w:r>
              <w:rPr>
                <w:rFonts w:hint="eastAsia"/>
                <w:color w:val="000000"/>
                <w:szCs w:val="21"/>
              </w:rPr>
              <w:t>物泊科技有限公司</w:t>
            </w:r>
          </w:p>
        </w:tc>
        <w:tc>
          <w:tcPr>
            <w:tcW w:w="768" w:type="pct"/>
            <w:shd w:val="clear" w:color="auto" w:fill="auto"/>
            <w:vAlign w:val="center"/>
          </w:tcPr>
          <w:p>
            <w:pPr>
              <w:jc w:val="center"/>
              <w:rPr>
                <w:color w:val="000000"/>
                <w:szCs w:val="21"/>
              </w:rPr>
            </w:pPr>
            <w:r>
              <w:rPr>
                <w:color w:val="000000"/>
                <w:szCs w:val="21"/>
              </w:rPr>
              <w:t>2024年10月31日</w:t>
            </w:r>
          </w:p>
        </w:tc>
        <w:tc>
          <w:tcPr>
            <w:tcW w:w="470" w:type="pct"/>
            <w:shd w:val="clear" w:color="auto" w:fill="auto"/>
            <w:vAlign w:val="center"/>
          </w:tcPr>
          <w:p>
            <w:pPr>
              <w:jc w:val="right"/>
              <w:rPr>
                <w:color w:val="000000"/>
                <w:szCs w:val="21"/>
              </w:rPr>
            </w:pPr>
            <w:r>
              <w:rPr>
                <w:color w:val="000000"/>
                <w:szCs w:val="21"/>
              </w:rPr>
              <w:t>1,455,069</w:t>
            </w:r>
          </w:p>
        </w:tc>
        <w:tc>
          <w:tcPr>
            <w:tcW w:w="346" w:type="pct"/>
            <w:shd w:val="clear" w:color="auto" w:fill="auto"/>
            <w:vAlign w:val="center"/>
          </w:tcPr>
          <w:p>
            <w:pPr>
              <w:jc w:val="center"/>
              <w:rPr>
                <w:color w:val="000000"/>
                <w:szCs w:val="21"/>
              </w:rPr>
            </w:pPr>
            <w:r>
              <w:rPr>
                <w:color w:val="000000"/>
                <w:szCs w:val="21"/>
              </w:rPr>
              <w:t>45.00%</w:t>
            </w:r>
          </w:p>
        </w:tc>
        <w:tc>
          <w:tcPr>
            <w:tcW w:w="497" w:type="pct"/>
            <w:shd w:val="clear" w:color="auto" w:fill="auto"/>
            <w:vAlign w:val="center"/>
          </w:tcPr>
          <w:p>
            <w:pPr>
              <w:jc w:val="center"/>
              <w:rPr>
                <w:color w:val="000000"/>
                <w:szCs w:val="21"/>
              </w:rPr>
            </w:pPr>
            <w:r>
              <w:rPr>
                <w:rFonts w:hint="eastAsia"/>
                <w:color w:val="000000"/>
                <w:szCs w:val="21"/>
              </w:rPr>
              <w:t>现金收购</w:t>
            </w:r>
          </w:p>
        </w:tc>
        <w:tc>
          <w:tcPr>
            <w:tcW w:w="584" w:type="pct"/>
            <w:shd w:val="clear" w:color="auto" w:fill="auto"/>
            <w:vAlign w:val="center"/>
          </w:tcPr>
          <w:p>
            <w:pPr>
              <w:jc w:val="center"/>
              <w:rPr>
                <w:color w:val="000000"/>
                <w:szCs w:val="21"/>
              </w:rPr>
            </w:pPr>
            <w:r>
              <w:rPr>
                <w:color w:val="000000"/>
                <w:szCs w:val="21"/>
              </w:rPr>
              <w:t>2024年10月31日</w:t>
            </w:r>
          </w:p>
        </w:tc>
        <w:tc>
          <w:tcPr>
            <w:tcW w:w="329" w:type="pct"/>
            <w:shd w:val="clear" w:color="auto" w:fill="auto"/>
            <w:vAlign w:val="center"/>
          </w:tcPr>
          <w:p>
            <w:pPr>
              <w:jc w:val="center"/>
              <w:rPr>
                <w:color w:val="000000"/>
                <w:szCs w:val="21"/>
              </w:rPr>
            </w:pPr>
            <w:r>
              <w:rPr>
                <w:rFonts w:hint="eastAsia"/>
                <w:color w:val="000000"/>
                <w:szCs w:val="21"/>
              </w:rPr>
              <w:t>控制权转移</w:t>
            </w:r>
          </w:p>
        </w:tc>
        <w:tc>
          <w:tcPr>
            <w:tcW w:w="470" w:type="pct"/>
            <w:shd w:val="clear" w:color="auto" w:fill="auto"/>
            <w:vAlign w:val="center"/>
          </w:tcPr>
          <w:p>
            <w:pPr>
              <w:jc w:val="right"/>
              <w:rPr>
                <w:color w:val="000000"/>
                <w:szCs w:val="21"/>
              </w:rPr>
            </w:pPr>
            <w:r>
              <w:rPr>
                <w:rFonts w:hint="eastAsia"/>
                <w:color w:val="000000"/>
                <w:szCs w:val="21"/>
              </w:rPr>
              <w:t>2,722,049</w:t>
            </w:r>
          </w:p>
        </w:tc>
        <w:tc>
          <w:tcPr>
            <w:tcW w:w="444" w:type="pct"/>
            <w:shd w:val="clear" w:color="auto" w:fill="auto"/>
            <w:vAlign w:val="center"/>
          </w:tcPr>
          <w:p>
            <w:pPr>
              <w:jc w:val="right"/>
              <w:rPr>
                <w:color w:val="000000"/>
                <w:szCs w:val="21"/>
              </w:rPr>
            </w:pPr>
            <w:r>
              <w:rPr>
                <w:rFonts w:hint="eastAsia"/>
                <w:color w:val="000000"/>
                <w:szCs w:val="21"/>
              </w:rPr>
              <w:t>48,526</w:t>
            </w:r>
          </w:p>
        </w:tc>
        <w:tc>
          <w:tcPr>
            <w:tcW w:w="508" w:type="pct"/>
            <w:vAlign w:val="center"/>
          </w:tcPr>
          <w:p>
            <w:pPr>
              <w:jc w:val="right"/>
              <w:rPr>
                <w:color w:val="000000"/>
                <w:szCs w:val="21"/>
              </w:rPr>
            </w:pPr>
            <w:r>
              <w:rPr>
                <w:color w:val="000000"/>
                <w:szCs w:val="21"/>
              </w:rPr>
              <w:t>-1,046,149</w:t>
            </w:r>
          </w:p>
        </w:tc>
      </w:tr>
    </w:tbl>
    <w:p>
      <w:pPr>
        <w:spacing w:before="60" w:after="60"/>
        <w:rPr>
          <w:rFonts w:cs="Arial"/>
          <w:szCs w:val="21"/>
        </w:rPr>
      </w:pPr>
      <w:r>
        <w:rPr>
          <w:rFonts w:cs="Arial" w:hint="eastAsia"/>
          <w:szCs w:val="21"/>
        </w:rPr>
        <w:t>其他说明：</w:t>
      </w:r>
    </w:p>
    <w:sdt>
      <w:sdtPr>
        <w:rPr>
          <w:rFonts w:cs="Arial"/>
          <w:szCs w:val="21"/>
        </w:rPr>
        <w:alias w:val="本期发生的非同一控制下企业合并的其他说明"/>
        <w:tag w:val="_GBC_6b3f90f4df0b435581b233b2972fa84c"/>
        <w:id w:val="-120611694"/>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pStyle w:val="afffffffffffffffffffffffffffffffff1"/>
        <w:numPr>
          <w:ilvl w:val="0"/>
          <w:numId w:val="183"/>
        </w:numPr>
        <w:ind w:left="426" w:hanging="426"/>
      </w:pPr>
      <w:r>
        <w:rPr>
          <w:rStyle w:val="40"/>
          <w:rFonts w:ascii="宋体" w:hAnsi="宋体" w:hint="eastAsia"/>
          <w:b/>
          <w:szCs w:val="21"/>
        </w:rPr>
        <w:t>合并成本及商誉</w:t>
      </w:r>
    </w:p>
    <w:sdt>
      <w:sdtPr>
        <w:alias w:val="是否适用：合并成本及商誉[双击切换]"/>
        <w:tag w:val="_GBC_a60bf29a08f34ad38e2b707d1dc7dd55"/>
        <w:id w:val="1366098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合并成本及商誉"/>
          <w:tag w:val="_GBC_55f78e089abe4703bf6af0398e8e5fc3"/>
          <w:id w:val="9410434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合并成本及商誉"/>
          <w:tag w:val="_GBC_d846b24ae9324e33823f301c0e2106ce"/>
          <w:id w:val="1455906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4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9"/>
        <w:gridCol w:w="1464"/>
        <w:gridCol w:w="1464"/>
        <w:gridCol w:w="1460"/>
        <w:gridCol w:w="1460"/>
        <w:gridCol w:w="1456"/>
      </w:tblGrid>
      <w:tr>
        <w:trPr>
          <w:jc w:val="center"/>
        </w:trPr>
        <w:tc>
          <w:tcPr>
            <w:tcW w:w="1173" w:type="pct"/>
            <w:shd w:val="clear" w:color="auto" w:fill="auto"/>
            <w:vAlign w:val="center"/>
          </w:tcPr>
          <w:p>
            <w:pPr>
              <w:jc w:val="center"/>
              <w:rPr>
                <w:rFonts w:cs="Arial"/>
                <w:szCs w:val="21"/>
              </w:rPr>
            </w:pPr>
            <w:r>
              <w:rPr>
                <w:rFonts w:cs="Arial" w:hint="eastAsia"/>
                <w:szCs w:val="21"/>
              </w:rPr>
              <w:t>项目</w:t>
            </w:r>
          </w:p>
        </w:tc>
        <w:tc>
          <w:tcPr>
            <w:tcW w:w="767" w:type="pct"/>
            <w:vAlign w:val="center"/>
          </w:tcPr>
          <w:p>
            <w:pPr>
              <w:spacing w:line="360" w:lineRule="exact"/>
              <w:jc w:val="center"/>
              <w:rPr>
                <w:szCs w:val="21"/>
              </w:rPr>
            </w:pPr>
            <w:r>
              <w:rPr>
                <w:rFonts w:hint="eastAsia"/>
                <w:szCs w:val="21"/>
              </w:rPr>
              <w:t>山东博创凯盛工业科技有限公司</w:t>
            </w:r>
          </w:p>
        </w:tc>
        <w:tc>
          <w:tcPr>
            <w:tcW w:w="767" w:type="pct"/>
            <w:vAlign w:val="center"/>
          </w:tcPr>
          <w:p>
            <w:pPr>
              <w:spacing w:line="360" w:lineRule="exact"/>
              <w:jc w:val="center"/>
              <w:rPr>
                <w:szCs w:val="21"/>
              </w:rPr>
            </w:pPr>
            <w:r>
              <w:rPr>
                <w:rFonts w:hint="eastAsia"/>
                <w:szCs w:val="21"/>
              </w:rPr>
              <w:t>德伯特机械</w:t>
            </w:r>
            <w:r>
              <w:rPr>
                <w:szCs w:val="21"/>
              </w:rPr>
              <w:t>(山东)有限公司</w:t>
            </w:r>
          </w:p>
        </w:tc>
        <w:tc>
          <w:tcPr>
            <w:tcW w:w="765" w:type="pct"/>
            <w:vAlign w:val="center"/>
          </w:tcPr>
          <w:p>
            <w:pPr>
              <w:spacing w:line="360" w:lineRule="exact"/>
              <w:jc w:val="center"/>
              <w:rPr>
                <w:szCs w:val="21"/>
              </w:rPr>
            </w:pPr>
            <w:r>
              <w:rPr>
                <w:szCs w:val="21"/>
              </w:rPr>
              <w:t>SMTScharfAG</w:t>
            </w:r>
          </w:p>
          <w:p>
            <w:pPr>
              <w:spacing w:line="360" w:lineRule="exact"/>
              <w:jc w:val="center"/>
              <w:rPr>
                <w:szCs w:val="21"/>
              </w:rPr>
            </w:pPr>
            <w:r>
              <w:rPr>
                <w:szCs w:val="21"/>
              </w:rPr>
              <w:t>(沙尔夫股份公司)</w:t>
            </w:r>
          </w:p>
        </w:tc>
        <w:tc>
          <w:tcPr>
            <w:tcW w:w="765" w:type="pct"/>
            <w:vAlign w:val="center"/>
          </w:tcPr>
          <w:p>
            <w:pPr>
              <w:spacing w:line="360" w:lineRule="exact"/>
              <w:jc w:val="center"/>
              <w:rPr>
                <w:szCs w:val="21"/>
              </w:rPr>
            </w:pPr>
            <w:r>
              <w:rPr>
                <w:rFonts w:hint="eastAsia"/>
                <w:szCs w:val="21"/>
              </w:rPr>
              <w:t>山东天玛智能控制技术有限公司</w:t>
            </w:r>
          </w:p>
        </w:tc>
        <w:tc>
          <w:tcPr>
            <w:tcW w:w="764" w:type="pct"/>
            <w:vAlign w:val="center"/>
          </w:tcPr>
          <w:p>
            <w:pPr>
              <w:spacing w:line="360" w:lineRule="exact"/>
              <w:jc w:val="center"/>
              <w:rPr>
                <w:szCs w:val="21"/>
              </w:rPr>
            </w:pPr>
            <w:r>
              <w:rPr>
                <w:rFonts w:hint="eastAsia"/>
                <w:szCs w:val="21"/>
              </w:rPr>
              <w:t>物泊科技</w:t>
            </w:r>
          </w:p>
          <w:p>
            <w:pPr>
              <w:spacing w:line="360" w:lineRule="exact"/>
              <w:jc w:val="center"/>
              <w:rPr>
                <w:szCs w:val="21"/>
              </w:rPr>
            </w:pPr>
            <w:r>
              <w:rPr>
                <w:rFonts w:hint="eastAsia"/>
                <w:szCs w:val="21"/>
              </w:rPr>
              <w:t>有限公司</w:t>
            </w:r>
          </w:p>
        </w:tc>
      </w:tr>
      <w:tr>
        <w:trPr>
          <w:jc w:val="center"/>
        </w:trPr>
        <w:tc>
          <w:tcPr>
            <w:tcW w:w="1173" w:type="pct"/>
            <w:shd w:val="clear" w:color="auto" w:fill="auto"/>
            <w:vAlign w:val="center"/>
          </w:tcPr>
          <w:p>
            <w:pPr>
              <w:spacing w:line="360" w:lineRule="exact"/>
              <w:ind w:firstLineChars="300" w:firstLine="630"/>
              <w:rPr>
                <w:szCs w:val="21"/>
              </w:rPr>
            </w:pPr>
            <w:r>
              <w:rPr>
                <w:rFonts w:hint="eastAsia"/>
                <w:szCs w:val="21"/>
              </w:rPr>
              <w:t>合并成本</w:t>
            </w:r>
          </w:p>
        </w:tc>
        <w:tc>
          <w:tcPr>
            <w:tcW w:w="767" w:type="pct"/>
            <w:vAlign w:val="center"/>
          </w:tcPr>
          <w:p>
            <w:pPr>
              <w:spacing w:line="360" w:lineRule="exact"/>
              <w:jc w:val="right"/>
              <w:rPr>
                <w:szCs w:val="21"/>
              </w:rPr>
            </w:pPr>
          </w:p>
        </w:tc>
        <w:tc>
          <w:tcPr>
            <w:tcW w:w="767" w:type="pct"/>
            <w:vAlign w:val="center"/>
          </w:tcPr>
          <w:p>
            <w:pPr>
              <w:spacing w:line="360" w:lineRule="exact"/>
              <w:jc w:val="right"/>
              <w:rPr>
                <w:szCs w:val="21"/>
              </w:rPr>
            </w:pPr>
          </w:p>
        </w:tc>
        <w:tc>
          <w:tcPr>
            <w:tcW w:w="765" w:type="pct"/>
            <w:vAlign w:val="center"/>
          </w:tcPr>
          <w:p>
            <w:pPr>
              <w:spacing w:line="360" w:lineRule="exact"/>
              <w:jc w:val="right"/>
              <w:rPr>
                <w:szCs w:val="21"/>
              </w:rPr>
            </w:pPr>
          </w:p>
        </w:tc>
        <w:tc>
          <w:tcPr>
            <w:tcW w:w="765" w:type="pct"/>
            <w:vAlign w:val="center"/>
          </w:tcPr>
          <w:p>
            <w:pPr>
              <w:spacing w:line="360" w:lineRule="exact"/>
              <w:jc w:val="right"/>
              <w:rPr>
                <w:szCs w:val="21"/>
              </w:rPr>
            </w:pPr>
          </w:p>
        </w:tc>
        <w:tc>
          <w:tcPr>
            <w:tcW w:w="764" w:type="pct"/>
            <w:vAlign w:val="center"/>
          </w:tcPr>
          <w:p>
            <w:pPr>
              <w:spacing w:line="360" w:lineRule="exact"/>
              <w:jc w:val="right"/>
              <w:rPr>
                <w:szCs w:val="21"/>
              </w:rPr>
            </w:pPr>
          </w:p>
        </w:tc>
      </w:tr>
      <w:tr>
        <w:trPr>
          <w:jc w:val="center"/>
        </w:trPr>
        <w:tc>
          <w:tcPr>
            <w:tcW w:w="1173" w:type="pct"/>
            <w:shd w:val="clear" w:color="auto" w:fill="auto"/>
            <w:vAlign w:val="center"/>
          </w:tcPr>
          <w:p>
            <w:pPr>
              <w:spacing w:line="360" w:lineRule="exact"/>
              <w:ind w:firstLineChars="300" w:firstLine="630"/>
              <w:rPr>
                <w:szCs w:val="21"/>
              </w:rPr>
            </w:pPr>
            <w:r>
              <w:rPr>
                <w:szCs w:val="21"/>
              </w:rPr>
              <w:t>--现金</w:t>
            </w:r>
          </w:p>
        </w:tc>
        <w:tc>
          <w:tcPr>
            <w:tcW w:w="767" w:type="pct"/>
            <w:vAlign w:val="center"/>
          </w:tcPr>
          <w:p>
            <w:pPr>
              <w:spacing w:line="360" w:lineRule="exact"/>
              <w:jc w:val="right"/>
              <w:rPr>
                <w:szCs w:val="21"/>
              </w:rPr>
            </w:pPr>
          </w:p>
        </w:tc>
        <w:tc>
          <w:tcPr>
            <w:tcW w:w="767" w:type="pct"/>
            <w:vAlign w:val="center"/>
          </w:tcPr>
          <w:p>
            <w:pPr>
              <w:spacing w:line="360" w:lineRule="exact"/>
              <w:jc w:val="right"/>
              <w:rPr>
                <w:szCs w:val="21"/>
              </w:rPr>
            </w:pPr>
          </w:p>
        </w:tc>
        <w:tc>
          <w:tcPr>
            <w:tcW w:w="765" w:type="pct"/>
            <w:vAlign w:val="center"/>
          </w:tcPr>
          <w:p>
            <w:pPr>
              <w:spacing w:line="360" w:lineRule="exact"/>
              <w:jc w:val="right"/>
              <w:rPr>
                <w:szCs w:val="21"/>
              </w:rPr>
            </w:pPr>
            <w:r>
              <w:rPr>
                <w:szCs w:val="21"/>
              </w:rPr>
              <w:t>254,552</w:t>
            </w:r>
          </w:p>
        </w:tc>
        <w:tc>
          <w:tcPr>
            <w:tcW w:w="765" w:type="pct"/>
            <w:vAlign w:val="center"/>
          </w:tcPr>
          <w:p>
            <w:pPr>
              <w:spacing w:line="360" w:lineRule="exact"/>
              <w:jc w:val="right"/>
              <w:rPr>
                <w:szCs w:val="21"/>
              </w:rPr>
            </w:pPr>
          </w:p>
        </w:tc>
        <w:tc>
          <w:tcPr>
            <w:tcW w:w="764" w:type="pct"/>
            <w:vAlign w:val="center"/>
          </w:tcPr>
          <w:p>
            <w:pPr>
              <w:spacing w:line="360" w:lineRule="exact"/>
              <w:jc w:val="right"/>
              <w:rPr>
                <w:szCs w:val="21"/>
              </w:rPr>
            </w:pPr>
            <w:r>
              <w:rPr>
                <w:szCs w:val="21"/>
              </w:rPr>
              <w:t>1,554,546</w:t>
            </w:r>
          </w:p>
        </w:tc>
      </w:tr>
      <w:tr>
        <w:trPr>
          <w:jc w:val="center"/>
        </w:trPr>
        <w:tc>
          <w:tcPr>
            <w:tcW w:w="1173" w:type="pct"/>
            <w:shd w:val="clear" w:color="auto" w:fill="auto"/>
            <w:vAlign w:val="center"/>
          </w:tcPr>
          <w:p>
            <w:pPr>
              <w:spacing w:line="360" w:lineRule="exact"/>
              <w:ind w:firstLineChars="300" w:firstLine="630"/>
              <w:rPr>
                <w:szCs w:val="21"/>
              </w:rPr>
            </w:pPr>
            <w:r>
              <w:rPr>
                <w:szCs w:val="21"/>
              </w:rPr>
              <w:t>--或有对价的公允价值</w:t>
            </w:r>
          </w:p>
        </w:tc>
        <w:tc>
          <w:tcPr>
            <w:tcW w:w="767" w:type="pct"/>
            <w:vAlign w:val="center"/>
          </w:tcPr>
          <w:p>
            <w:pPr>
              <w:spacing w:line="360" w:lineRule="exact"/>
              <w:jc w:val="right"/>
              <w:rPr>
                <w:szCs w:val="21"/>
              </w:rPr>
            </w:pPr>
          </w:p>
        </w:tc>
        <w:tc>
          <w:tcPr>
            <w:tcW w:w="767" w:type="pct"/>
            <w:vAlign w:val="center"/>
          </w:tcPr>
          <w:p>
            <w:pPr>
              <w:spacing w:line="360" w:lineRule="exact"/>
              <w:jc w:val="right"/>
              <w:rPr>
                <w:szCs w:val="21"/>
              </w:rPr>
            </w:pPr>
          </w:p>
        </w:tc>
        <w:tc>
          <w:tcPr>
            <w:tcW w:w="765" w:type="pct"/>
            <w:vAlign w:val="center"/>
          </w:tcPr>
          <w:p>
            <w:pPr>
              <w:spacing w:line="360" w:lineRule="exact"/>
              <w:jc w:val="right"/>
              <w:rPr>
                <w:szCs w:val="21"/>
              </w:rPr>
            </w:pPr>
          </w:p>
        </w:tc>
        <w:tc>
          <w:tcPr>
            <w:tcW w:w="765" w:type="pct"/>
            <w:vAlign w:val="center"/>
          </w:tcPr>
          <w:p>
            <w:pPr>
              <w:spacing w:line="360" w:lineRule="exact"/>
              <w:jc w:val="right"/>
              <w:rPr>
                <w:szCs w:val="21"/>
              </w:rPr>
            </w:pPr>
          </w:p>
        </w:tc>
        <w:tc>
          <w:tcPr>
            <w:tcW w:w="764" w:type="pct"/>
            <w:vAlign w:val="center"/>
          </w:tcPr>
          <w:p>
            <w:pPr>
              <w:spacing w:line="360" w:lineRule="exact"/>
              <w:jc w:val="right"/>
              <w:rPr>
                <w:szCs w:val="21"/>
              </w:rPr>
            </w:pPr>
            <w:r>
              <w:rPr>
                <w:szCs w:val="21"/>
              </w:rPr>
              <w:t>-99,476</w:t>
            </w:r>
          </w:p>
        </w:tc>
      </w:tr>
      <w:tr>
        <w:trPr>
          <w:jc w:val="center"/>
        </w:trPr>
        <w:tc>
          <w:tcPr>
            <w:tcW w:w="1173" w:type="pct"/>
            <w:shd w:val="clear" w:color="auto" w:fill="auto"/>
            <w:vAlign w:val="center"/>
          </w:tcPr>
          <w:p>
            <w:pPr>
              <w:spacing w:line="360" w:lineRule="exact"/>
              <w:ind w:firstLineChars="300" w:firstLine="630"/>
              <w:rPr>
                <w:szCs w:val="21"/>
              </w:rPr>
            </w:pPr>
            <w:r>
              <w:rPr>
                <w:szCs w:val="21"/>
              </w:rPr>
              <w:lastRenderedPageBreak/>
              <w:t>--购买日之前持有的股权于购买日的公允价值</w:t>
            </w:r>
          </w:p>
        </w:tc>
        <w:tc>
          <w:tcPr>
            <w:tcW w:w="767" w:type="pct"/>
            <w:vAlign w:val="center"/>
          </w:tcPr>
          <w:p>
            <w:pPr>
              <w:spacing w:line="360" w:lineRule="exact"/>
              <w:jc w:val="right"/>
              <w:rPr>
                <w:szCs w:val="21"/>
              </w:rPr>
            </w:pPr>
            <w:r>
              <w:rPr>
                <w:szCs w:val="21"/>
              </w:rPr>
              <w:t>48,870</w:t>
            </w:r>
          </w:p>
        </w:tc>
        <w:tc>
          <w:tcPr>
            <w:tcW w:w="767" w:type="pct"/>
            <w:vAlign w:val="center"/>
          </w:tcPr>
          <w:p>
            <w:pPr>
              <w:spacing w:line="360" w:lineRule="exact"/>
              <w:jc w:val="right"/>
              <w:rPr>
                <w:szCs w:val="21"/>
              </w:rPr>
            </w:pPr>
            <w:r>
              <w:rPr>
                <w:szCs w:val="21"/>
              </w:rPr>
              <w:t>17,128</w:t>
            </w:r>
          </w:p>
        </w:tc>
        <w:tc>
          <w:tcPr>
            <w:tcW w:w="765" w:type="pct"/>
            <w:vAlign w:val="center"/>
          </w:tcPr>
          <w:p>
            <w:pPr>
              <w:spacing w:line="360" w:lineRule="exact"/>
              <w:jc w:val="right"/>
              <w:rPr>
                <w:szCs w:val="21"/>
              </w:rPr>
            </w:pPr>
          </w:p>
        </w:tc>
        <w:tc>
          <w:tcPr>
            <w:tcW w:w="765" w:type="pct"/>
            <w:vAlign w:val="center"/>
          </w:tcPr>
          <w:p>
            <w:pPr>
              <w:spacing w:line="360" w:lineRule="exact"/>
              <w:jc w:val="right"/>
              <w:rPr>
                <w:szCs w:val="21"/>
              </w:rPr>
            </w:pPr>
            <w:r>
              <w:rPr>
                <w:szCs w:val="21"/>
              </w:rPr>
              <w:t>47,398</w:t>
            </w:r>
          </w:p>
        </w:tc>
        <w:tc>
          <w:tcPr>
            <w:tcW w:w="764" w:type="pct"/>
            <w:vAlign w:val="center"/>
          </w:tcPr>
          <w:p>
            <w:pPr>
              <w:spacing w:line="360" w:lineRule="exact"/>
              <w:jc w:val="right"/>
              <w:rPr>
                <w:szCs w:val="21"/>
              </w:rPr>
            </w:pPr>
          </w:p>
        </w:tc>
      </w:tr>
      <w:tr>
        <w:trPr>
          <w:jc w:val="center"/>
        </w:trPr>
        <w:tc>
          <w:tcPr>
            <w:tcW w:w="1173" w:type="pct"/>
            <w:shd w:val="clear" w:color="auto" w:fill="auto"/>
            <w:vAlign w:val="center"/>
          </w:tcPr>
          <w:p>
            <w:pPr>
              <w:spacing w:line="360" w:lineRule="exact"/>
              <w:ind w:firstLineChars="300" w:firstLine="630"/>
              <w:rPr>
                <w:szCs w:val="21"/>
              </w:rPr>
            </w:pPr>
            <w:r>
              <w:rPr>
                <w:rFonts w:hint="eastAsia"/>
                <w:szCs w:val="21"/>
              </w:rPr>
              <w:t>合并成本合计</w:t>
            </w:r>
          </w:p>
        </w:tc>
        <w:tc>
          <w:tcPr>
            <w:tcW w:w="767" w:type="pct"/>
            <w:vAlign w:val="center"/>
          </w:tcPr>
          <w:p>
            <w:pPr>
              <w:spacing w:line="360" w:lineRule="exact"/>
              <w:jc w:val="right"/>
              <w:rPr>
                <w:szCs w:val="21"/>
              </w:rPr>
            </w:pPr>
            <w:r>
              <w:rPr>
                <w:szCs w:val="21"/>
              </w:rPr>
              <w:t>48,870</w:t>
            </w:r>
          </w:p>
        </w:tc>
        <w:tc>
          <w:tcPr>
            <w:tcW w:w="767" w:type="pct"/>
            <w:vAlign w:val="center"/>
          </w:tcPr>
          <w:p>
            <w:pPr>
              <w:spacing w:line="360" w:lineRule="exact"/>
              <w:jc w:val="right"/>
              <w:rPr>
                <w:szCs w:val="21"/>
              </w:rPr>
            </w:pPr>
            <w:r>
              <w:rPr>
                <w:szCs w:val="21"/>
              </w:rPr>
              <w:t>17,128</w:t>
            </w:r>
          </w:p>
        </w:tc>
        <w:tc>
          <w:tcPr>
            <w:tcW w:w="765" w:type="pct"/>
            <w:vAlign w:val="center"/>
          </w:tcPr>
          <w:p>
            <w:pPr>
              <w:spacing w:line="360" w:lineRule="exact"/>
              <w:jc w:val="right"/>
              <w:rPr>
                <w:szCs w:val="21"/>
              </w:rPr>
            </w:pPr>
            <w:r>
              <w:rPr>
                <w:szCs w:val="21"/>
              </w:rPr>
              <w:t>254,552</w:t>
            </w:r>
          </w:p>
        </w:tc>
        <w:tc>
          <w:tcPr>
            <w:tcW w:w="765" w:type="pct"/>
            <w:vAlign w:val="center"/>
          </w:tcPr>
          <w:p>
            <w:pPr>
              <w:spacing w:line="360" w:lineRule="exact"/>
              <w:jc w:val="right"/>
              <w:rPr>
                <w:szCs w:val="21"/>
              </w:rPr>
            </w:pPr>
            <w:r>
              <w:rPr>
                <w:szCs w:val="21"/>
              </w:rPr>
              <w:t>47,398</w:t>
            </w:r>
          </w:p>
        </w:tc>
        <w:tc>
          <w:tcPr>
            <w:tcW w:w="764" w:type="pct"/>
            <w:vAlign w:val="center"/>
          </w:tcPr>
          <w:p>
            <w:pPr>
              <w:spacing w:line="360" w:lineRule="exact"/>
              <w:jc w:val="right"/>
              <w:rPr>
                <w:szCs w:val="21"/>
              </w:rPr>
            </w:pPr>
            <w:r>
              <w:rPr>
                <w:szCs w:val="21"/>
              </w:rPr>
              <w:t>1,455,070</w:t>
            </w:r>
          </w:p>
        </w:tc>
      </w:tr>
      <w:tr>
        <w:trPr>
          <w:jc w:val="center"/>
        </w:trPr>
        <w:tc>
          <w:tcPr>
            <w:tcW w:w="1173" w:type="pct"/>
            <w:shd w:val="clear" w:color="auto" w:fill="auto"/>
            <w:vAlign w:val="center"/>
          </w:tcPr>
          <w:p>
            <w:pPr>
              <w:spacing w:line="360" w:lineRule="exact"/>
              <w:rPr>
                <w:szCs w:val="21"/>
              </w:rPr>
            </w:pPr>
            <w:r>
              <w:rPr>
                <w:rFonts w:hint="eastAsia"/>
                <w:szCs w:val="21"/>
              </w:rPr>
              <w:t>减：取得的可辨认净资产公允价值份额</w:t>
            </w:r>
          </w:p>
        </w:tc>
        <w:tc>
          <w:tcPr>
            <w:tcW w:w="767" w:type="pct"/>
            <w:vAlign w:val="center"/>
          </w:tcPr>
          <w:p>
            <w:pPr>
              <w:spacing w:line="360" w:lineRule="exact"/>
              <w:jc w:val="right"/>
              <w:rPr>
                <w:szCs w:val="21"/>
              </w:rPr>
            </w:pPr>
            <w:r>
              <w:rPr>
                <w:szCs w:val="21"/>
              </w:rPr>
              <w:t>48,870</w:t>
            </w:r>
          </w:p>
        </w:tc>
        <w:tc>
          <w:tcPr>
            <w:tcW w:w="767" w:type="pct"/>
            <w:vAlign w:val="center"/>
          </w:tcPr>
          <w:p>
            <w:pPr>
              <w:spacing w:line="360" w:lineRule="exact"/>
              <w:jc w:val="right"/>
              <w:rPr>
                <w:szCs w:val="21"/>
              </w:rPr>
            </w:pPr>
            <w:r>
              <w:rPr>
                <w:szCs w:val="21"/>
              </w:rPr>
              <w:t>19,690</w:t>
            </w:r>
          </w:p>
        </w:tc>
        <w:tc>
          <w:tcPr>
            <w:tcW w:w="765" w:type="pct"/>
            <w:vAlign w:val="center"/>
          </w:tcPr>
          <w:p>
            <w:pPr>
              <w:spacing w:line="360" w:lineRule="exact"/>
              <w:jc w:val="right"/>
              <w:rPr>
                <w:szCs w:val="21"/>
              </w:rPr>
            </w:pPr>
            <w:r>
              <w:rPr>
                <w:szCs w:val="21"/>
              </w:rPr>
              <w:t>371,659</w:t>
            </w:r>
          </w:p>
        </w:tc>
        <w:tc>
          <w:tcPr>
            <w:tcW w:w="765" w:type="pct"/>
            <w:vAlign w:val="center"/>
          </w:tcPr>
          <w:p>
            <w:pPr>
              <w:spacing w:line="360" w:lineRule="exact"/>
              <w:jc w:val="right"/>
              <w:rPr>
                <w:szCs w:val="21"/>
              </w:rPr>
            </w:pPr>
            <w:r>
              <w:rPr>
                <w:szCs w:val="21"/>
              </w:rPr>
              <w:t>47,398</w:t>
            </w:r>
          </w:p>
        </w:tc>
        <w:tc>
          <w:tcPr>
            <w:tcW w:w="764" w:type="pct"/>
            <w:vAlign w:val="center"/>
          </w:tcPr>
          <w:p>
            <w:pPr>
              <w:spacing w:line="360" w:lineRule="exact"/>
              <w:jc w:val="right"/>
              <w:rPr>
                <w:szCs w:val="21"/>
              </w:rPr>
            </w:pPr>
            <w:r>
              <w:rPr>
                <w:szCs w:val="21"/>
              </w:rPr>
              <w:t>1,470,166</w:t>
            </w:r>
          </w:p>
        </w:tc>
      </w:tr>
      <w:tr>
        <w:trPr>
          <w:jc w:val="center"/>
        </w:trPr>
        <w:tc>
          <w:tcPr>
            <w:tcW w:w="1173" w:type="pct"/>
            <w:shd w:val="clear" w:color="auto" w:fill="auto"/>
            <w:vAlign w:val="center"/>
          </w:tcPr>
          <w:p>
            <w:pPr>
              <w:spacing w:line="360" w:lineRule="exact"/>
              <w:rPr>
                <w:b/>
                <w:szCs w:val="21"/>
              </w:rPr>
            </w:pPr>
            <w:r>
              <w:rPr>
                <w:rFonts w:hint="eastAsia"/>
                <w:szCs w:val="21"/>
              </w:rPr>
              <w:t>商誉</w:t>
            </w:r>
            <w:r>
              <w:rPr>
                <w:szCs w:val="21"/>
              </w:rPr>
              <w:t>/</w:t>
            </w:r>
            <w:r>
              <w:rPr>
                <w:rFonts w:hint="eastAsia"/>
                <w:szCs w:val="21"/>
              </w:rPr>
              <w:t>合并成本小于取得的可辨认净资产公允价值份额的金额</w:t>
            </w:r>
          </w:p>
        </w:tc>
        <w:tc>
          <w:tcPr>
            <w:tcW w:w="767" w:type="pct"/>
            <w:vAlign w:val="center"/>
          </w:tcPr>
          <w:p>
            <w:pPr>
              <w:spacing w:line="360" w:lineRule="exact"/>
              <w:jc w:val="right"/>
              <w:rPr>
                <w:szCs w:val="21"/>
              </w:rPr>
            </w:pPr>
          </w:p>
        </w:tc>
        <w:tc>
          <w:tcPr>
            <w:tcW w:w="767" w:type="pct"/>
            <w:vAlign w:val="center"/>
          </w:tcPr>
          <w:p>
            <w:pPr>
              <w:spacing w:line="360" w:lineRule="exact"/>
              <w:jc w:val="right"/>
              <w:rPr>
                <w:szCs w:val="21"/>
              </w:rPr>
            </w:pPr>
            <w:r>
              <w:rPr>
                <w:szCs w:val="21"/>
              </w:rPr>
              <w:t>-2,562</w:t>
            </w:r>
          </w:p>
        </w:tc>
        <w:tc>
          <w:tcPr>
            <w:tcW w:w="765" w:type="pct"/>
            <w:vAlign w:val="center"/>
          </w:tcPr>
          <w:p>
            <w:pPr>
              <w:spacing w:line="360" w:lineRule="exact"/>
              <w:jc w:val="right"/>
              <w:rPr>
                <w:szCs w:val="21"/>
              </w:rPr>
            </w:pPr>
            <w:r>
              <w:rPr>
                <w:szCs w:val="21"/>
              </w:rPr>
              <w:t>-117,107</w:t>
            </w:r>
          </w:p>
        </w:tc>
        <w:tc>
          <w:tcPr>
            <w:tcW w:w="765" w:type="pct"/>
            <w:vAlign w:val="center"/>
          </w:tcPr>
          <w:p>
            <w:pPr>
              <w:spacing w:line="360" w:lineRule="exact"/>
              <w:jc w:val="right"/>
              <w:rPr>
                <w:szCs w:val="21"/>
              </w:rPr>
            </w:pPr>
          </w:p>
        </w:tc>
        <w:tc>
          <w:tcPr>
            <w:tcW w:w="764" w:type="pct"/>
            <w:vAlign w:val="center"/>
          </w:tcPr>
          <w:p>
            <w:pPr>
              <w:spacing w:line="360" w:lineRule="exact"/>
              <w:jc w:val="right"/>
              <w:rPr>
                <w:szCs w:val="21"/>
              </w:rPr>
            </w:pPr>
            <w:r>
              <w:rPr>
                <w:szCs w:val="21"/>
              </w:rPr>
              <w:t>-15,096</w:t>
            </w:r>
          </w:p>
        </w:tc>
      </w:tr>
    </w:tbl>
    <w:p>
      <w:pPr>
        <w:pStyle w:val="affffffffffffffffffffffffffffffffe"/>
      </w:pPr>
    </w:p>
    <w:p>
      <w:pPr>
        <w:rPr>
          <w:rFonts w:cs="Arial"/>
          <w:szCs w:val="21"/>
        </w:rPr>
      </w:pPr>
      <w:r>
        <w:rPr>
          <w:rFonts w:cs="Arial" w:hint="eastAsia"/>
          <w:szCs w:val="21"/>
        </w:rPr>
        <w:t>合并成本公允价值的确定方法：</w:t>
      </w:r>
    </w:p>
    <w:sdt>
      <w:sdtPr>
        <w:alias w:val="是否适用：合并成本公允价值的确定方法[双击切换]"/>
        <w:tag w:val="_GBC_9d4e8f99f2ba4edfa428f0d421da5aa8"/>
        <w:id w:val="1652406826"/>
        <w:placeholder>
          <w:docPart w:val="GBC22222222222222222222222222222"/>
        </w:placeholder>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rFonts w:cs="Arial"/>
          <w:szCs w:val="21"/>
        </w:rPr>
      </w:pPr>
      <w:r>
        <w:rPr>
          <w:rFonts w:cs="Arial" w:hint="eastAsia"/>
          <w:szCs w:val="21"/>
        </w:rPr>
        <w:t>业绩承诺的完成情况：</w:t>
      </w:r>
    </w:p>
    <w:sdt>
      <w:sdtPr>
        <w:rPr>
          <w:szCs w:val="21"/>
        </w:rPr>
        <w:alias w:val="是否适用：披露业绩承诺的完成情况[双击切换]"/>
        <w:tag w:val="_GBC_36cca5d937644cbf81864500e0f0d2ff"/>
        <w:id w:val="87813022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Arial"/>
          <w:szCs w:val="21"/>
        </w:rPr>
      </w:pPr>
    </w:p>
    <w:p>
      <w:pPr>
        <w:rPr>
          <w:rFonts w:cs="Arial"/>
          <w:szCs w:val="21"/>
        </w:rPr>
      </w:pPr>
      <w:r>
        <w:rPr>
          <w:rFonts w:cs="Arial" w:hint="eastAsia"/>
          <w:szCs w:val="21"/>
        </w:rPr>
        <w:t>大额商誉形成的主要原因：</w:t>
      </w:r>
    </w:p>
    <w:sdt>
      <w:sdtPr>
        <w:rPr>
          <w:rFonts w:cs="Arial" w:hint="eastAsia"/>
          <w:szCs w:val="21"/>
        </w:rPr>
        <w:alias w:val="是否适用：大额商誉形成的主要原因[双击切换]"/>
        <w:tag w:val="_GBC_a84ea95e6f3942f7ac1b4dc99331dd7d"/>
        <w:id w:val="-1479453792"/>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spacing w:before="60" w:after="60"/>
        <w:rPr>
          <w:rFonts w:cs="Arial"/>
          <w:szCs w:val="21"/>
        </w:rPr>
      </w:pPr>
      <w:r>
        <w:rPr>
          <w:rFonts w:cs="Arial" w:hint="eastAsia"/>
          <w:szCs w:val="21"/>
        </w:rPr>
        <w:t>其他说明：</w:t>
      </w:r>
    </w:p>
    <w:sdt>
      <w:sdtPr>
        <w:rPr>
          <w:rFonts w:cs="Arial"/>
          <w:szCs w:val="21"/>
        </w:rPr>
        <w:alias w:val="非同一控制下企业合并成本及商誉的其他说明"/>
        <w:tag w:val="_GBC_baef62477ba445dc85866da38c001d52"/>
        <w:id w:val="1831401016"/>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pStyle w:val="afffffffffffffffffffffffffffffffff1"/>
        <w:numPr>
          <w:ilvl w:val="0"/>
          <w:numId w:val="183"/>
        </w:numPr>
        <w:ind w:left="426" w:hanging="426"/>
      </w:pPr>
      <w:r>
        <w:rPr>
          <w:rFonts w:hint="eastAsia"/>
        </w:rPr>
        <w:t>被购买方于</w:t>
      </w:r>
      <w:r>
        <w:rPr>
          <w:rStyle w:val="40"/>
          <w:rFonts w:ascii="宋体" w:hAnsi="宋体" w:hint="eastAsia"/>
          <w:b/>
          <w:szCs w:val="21"/>
        </w:rPr>
        <w:t>购买</w:t>
      </w:r>
      <w:r>
        <w:rPr>
          <w:rFonts w:hint="eastAsia"/>
        </w:rPr>
        <w:t>日可辨认资产、负债</w:t>
      </w:r>
    </w:p>
    <w:sdt>
      <w:sdtPr>
        <w:alias w:val="是否适用：被购买方于购买日可辨认资产、负债[双击切换]"/>
        <w:tag w:val="_GBC_35c89f63b29241e89ece385e44435f24"/>
        <w:id w:val="62104429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201040140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cs="Arial" w:hint="eastAsia"/>
              <w:szCs w:val="21"/>
            </w:rPr>
            <w:t>千元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2073049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cs="Arial" w:hint="eastAsia"/>
              <w:szCs w:val="21"/>
            </w:rPr>
            <w:t>人民币</w:t>
          </w:r>
        </w:sdtContent>
      </w:sdt>
    </w:p>
    <w:tbl>
      <w:tblPr>
        <w:tblStyle w:val="affffffffff8"/>
        <w:tblW w:w="60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8"/>
        <w:gridCol w:w="791"/>
        <w:gridCol w:w="791"/>
        <w:gridCol w:w="791"/>
        <w:gridCol w:w="792"/>
        <w:gridCol w:w="1001"/>
        <w:gridCol w:w="1002"/>
        <w:gridCol w:w="792"/>
        <w:gridCol w:w="792"/>
        <w:gridCol w:w="1001"/>
        <w:gridCol w:w="1268"/>
      </w:tblGrid>
      <w:tr>
        <w:trPr>
          <w:jc w:val="center"/>
        </w:trPr>
        <w:tc>
          <w:tcPr>
            <w:tcW w:w="761" w:type="pct"/>
            <w:vMerge w:val="restart"/>
            <w:shd w:val="clear" w:color="auto" w:fill="auto"/>
            <w:vAlign w:val="center"/>
          </w:tcPr>
          <w:p>
            <w:pPr>
              <w:jc w:val="center"/>
              <w:rPr>
                <w:rFonts w:cs="Arial"/>
                <w:szCs w:val="21"/>
              </w:rPr>
            </w:pPr>
            <w:r>
              <w:rPr>
                <w:rFonts w:cs="Arial" w:hint="eastAsia"/>
                <w:szCs w:val="21"/>
              </w:rPr>
              <w:t>项目</w:t>
            </w:r>
          </w:p>
        </w:tc>
        <w:tc>
          <w:tcPr>
            <w:tcW w:w="743" w:type="pct"/>
            <w:gridSpan w:val="2"/>
            <w:shd w:val="clear" w:color="auto" w:fill="auto"/>
            <w:vAlign w:val="center"/>
          </w:tcPr>
          <w:p>
            <w:pPr>
              <w:spacing w:line="360" w:lineRule="exact"/>
              <w:jc w:val="center"/>
              <w:rPr>
                <w:szCs w:val="21"/>
              </w:rPr>
            </w:pPr>
            <w:r>
              <w:rPr>
                <w:rFonts w:hint="eastAsia"/>
                <w:szCs w:val="21"/>
              </w:rPr>
              <w:t>山东博创凯盛工业科技</w:t>
            </w:r>
          </w:p>
          <w:p>
            <w:pPr>
              <w:spacing w:line="360" w:lineRule="exact"/>
              <w:jc w:val="center"/>
              <w:rPr>
                <w:szCs w:val="21"/>
              </w:rPr>
            </w:pPr>
            <w:r>
              <w:rPr>
                <w:rFonts w:hint="eastAsia"/>
                <w:szCs w:val="21"/>
              </w:rPr>
              <w:t>有限公司</w:t>
            </w:r>
          </w:p>
        </w:tc>
        <w:tc>
          <w:tcPr>
            <w:tcW w:w="743" w:type="pct"/>
            <w:gridSpan w:val="2"/>
            <w:vAlign w:val="center"/>
          </w:tcPr>
          <w:p>
            <w:pPr>
              <w:spacing w:line="360" w:lineRule="exact"/>
              <w:jc w:val="center"/>
              <w:rPr>
                <w:szCs w:val="21"/>
              </w:rPr>
            </w:pPr>
            <w:r>
              <w:rPr>
                <w:rFonts w:hint="eastAsia"/>
                <w:szCs w:val="21"/>
              </w:rPr>
              <w:t>德伯特机械</w:t>
            </w:r>
            <w:r>
              <w:rPr>
                <w:szCs w:val="21"/>
              </w:rPr>
              <w:t>(山东)</w:t>
            </w:r>
          </w:p>
          <w:p>
            <w:pPr>
              <w:spacing w:line="360" w:lineRule="exact"/>
              <w:jc w:val="center"/>
              <w:rPr>
                <w:szCs w:val="21"/>
              </w:rPr>
            </w:pPr>
            <w:r>
              <w:rPr>
                <w:szCs w:val="21"/>
              </w:rPr>
              <w:t>有限公司</w:t>
            </w:r>
          </w:p>
        </w:tc>
        <w:tc>
          <w:tcPr>
            <w:tcW w:w="941" w:type="pct"/>
            <w:gridSpan w:val="2"/>
            <w:vAlign w:val="center"/>
          </w:tcPr>
          <w:p>
            <w:pPr>
              <w:spacing w:line="360" w:lineRule="exact"/>
              <w:jc w:val="center"/>
              <w:rPr>
                <w:szCs w:val="21"/>
              </w:rPr>
            </w:pPr>
            <w:r>
              <w:rPr>
                <w:szCs w:val="21"/>
              </w:rPr>
              <w:t>SMTScharfAG</w:t>
            </w:r>
          </w:p>
          <w:p>
            <w:pPr>
              <w:spacing w:line="360" w:lineRule="exact"/>
              <w:jc w:val="center"/>
              <w:rPr>
                <w:szCs w:val="21"/>
              </w:rPr>
            </w:pPr>
            <w:r>
              <w:rPr>
                <w:szCs w:val="21"/>
              </w:rPr>
              <w:t>(沙尔夫股份公司)</w:t>
            </w:r>
          </w:p>
        </w:tc>
        <w:tc>
          <w:tcPr>
            <w:tcW w:w="743" w:type="pct"/>
            <w:gridSpan w:val="2"/>
            <w:vAlign w:val="center"/>
          </w:tcPr>
          <w:p>
            <w:pPr>
              <w:spacing w:line="360" w:lineRule="exact"/>
              <w:jc w:val="center"/>
              <w:rPr>
                <w:szCs w:val="21"/>
              </w:rPr>
            </w:pPr>
            <w:r>
              <w:rPr>
                <w:rFonts w:hint="eastAsia"/>
                <w:szCs w:val="21"/>
              </w:rPr>
              <w:t>山东天玛智能控制技术</w:t>
            </w:r>
          </w:p>
          <w:p>
            <w:pPr>
              <w:spacing w:line="360" w:lineRule="exact"/>
              <w:jc w:val="center"/>
              <w:rPr>
                <w:szCs w:val="21"/>
              </w:rPr>
            </w:pPr>
            <w:r>
              <w:rPr>
                <w:rFonts w:hint="eastAsia"/>
                <w:szCs w:val="21"/>
              </w:rPr>
              <w:t>有限公司</w:t>
            </w:r>
          </w:p>
        </w:tc>
        <w:tc>
          <w:tcPr>
            <w:tcW w:w="1067" w:type="pct"/>
            <w:gridSpan w:val="2"/>
            <w:vAlign w:val="center"/>
          </w:tcPr>
          <w:p>
            <w:pPr>
              <w:spacing w:line="360" w:lineRule="exact"/>
              <w:jc w:val="center"/>
              <w:rPr>
                <w:szCs w:val="21"/>
              </w:rPr>
            </w:pPr>
            <w:r>
              <w:rPr>
                <w:rFonts w:hint="eastAsia"/>
                <w:szCs w:val="21"/>
              </w:rPr>
              <w:t>物泊科技有限公司</w:t>
            </w:r>
          </w:p>
        </w:tc>
      </w:tr>
      <w:tr>
        <w:trPr>
          <w:trHeight w:hRule="exact" w:val="1257"/>
          <w:jc w:val="center"/>
        </w:trPr>
        <w:tc>
          <w:tcPr>
            <w:tcW w:w="761" w:type="pct"/>
            <w:vMerge/>
            <w:shd w:val="clear" w:color="auto" w:fill="auto"/>
            <w:vAlign w:val="center"/>
          </w:tcPr>
          <w:p>
            <w:pPr>
              <w:jc w:val="center"/>
              <w:rPr>
                <w:rFonts w:cs="Arial"/>
                <w:szCs w:val="21"/>
              </w:rPr>
            </w:pPr>
          </w:p>
        </w:tc>
        <w:tc>
          <w:tcPr>
            <w:tcW w:w="372" w:type="pct"/>
            <w:shd w:val="clear" w:color="auto" w:fill="auto"/>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公允价值</w:t>
            </w:r>
          </w:p>
        </w:tc>
        <w:tc>
          <w:tcPr>
            <w:tcW w:w="372"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账面价值</w:t>
            </w:r>
          </w:p>
        </w:tc>
        <w:tc>
          <w:tcPr>
            <w:tcW w:w="372"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公允价值</w:t>
            </w:r>
          </w:p>
        </w:tc>
        <w:tc>
          <w:tcPr>
            <w:tcW w:w="372"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账面价值</w:t>
            </w:r>
          </w:p>
        </w:tc>
        <w:tc>
          <w:tcPr>
            <w:tcW w:w="470"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公允价值</w:t>
            </w:r>
          </w:p>
        </w:tc>
        <w:tc>
          <w:tcPr>
            <w:tcW w:w="470"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账面价值</w:t>
            </w:r>
          </w:p>
        </w:tc>
        <w:tc>
          <w:tcPr>
            <w:tcW w:w="372"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公允价值</w:t>
            </w:r>
          </w:p>
        </w:tc>
        <w:tc>
          <w:tcPr>
            <w:tcW w:w="372"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账面价值</w:t>
            </w:r>
          </w:p>
        </w:tc>
        <w:tc>
          <w:tcPr>
            <w:tcW w:w="470"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公允价值</w:t>
            </w:r>
          </w:p>
        </w:tc>
        <w:tc>
          <w:tcPr>
            <w:tcW w:w="597" w:type="pct"/>
            <w:vAlign w:val="center"/>
          </w:tcPr>
          <w:p>
            <w:pPr>
              <w:spacing w:line="360" w:lineRule="exact"/>
              <w:jc w:val="center"/>
              <w:rPr>
                <w:szCs w:val="21"/>
              </w:rPr>
            </w:pPr>
            <w:r>
              <w:rPr>
                <w:rFonts w:hint="eastAsia"/>
                <w:szCs w:val="21"/>
              </w:rPr>
              <w:t>购买日</w:t>
            </w:r>
          </w:p>
          <w:p>
            <w:pPr>
              <w:spacing w:line="360" w:lineRule="exact"/>
              <w:jc w:val="center"/>
              <w:rPr>
                <w:szCs w:val="21"/>
              </w:rPr>
            </w:pPr>
            <w:r>
              <w:rPr>
                <w:rFonts w:hint="eastAsia"/>
                <w:szCs w:val="21"/>
              </w:rPr>
              <w:t>账面价值</w:t>
            </w:r>
          </w:p>
        </w:tc>
      </w:tr>
      <w:tr>
        <w:trPr>
          <w:jc w:val="center"/>
        </w:trPr>
        <w:tc>
          <w:tcPr>
            <w:tcW w:w="761" w:type="pct"/>
            <w:shd w:val="clear" w:color="auto" w:fill="auto"/>
            <w:vAlign w:val="center"/>
          </w:tcPr>
          <w:p>
            <w:pPr>
              <w:spacing w:line="360" w:lineRule="exact"/>
              <w:rPr>
                <w:szCs w:val="21"/>
              </w:rPr>
            </w:pPr>
            <w:r>
              <w:rPr>
                <w:rFonts w:hint="eastAsia"/>
                <w:szCs w:val="21"/>
              </w:rPr>
              <w:t>资产：</w:t>
            </w:r>
          </w:p>
        </w:tc>
        <w:tc>
          <w:tcPr>
            <w:tcW w:w="372" w:type="pct"/>
            <w:shd w:val="clear" w:color="auto" w:fill="auto"/>
            <w:vAlign w:val="center"/>
          </w:tcPr>
          <w:p>
            <w:pPr>
              <w:spacing w:line="360" w:lineRule="exact"/>
              <w:jc w:val="right"/>
              <w:rPr>
                <w:szCs w:val="21"/>
              </w:rPr>
            </w:pPr>
            <w:r>
              <w:rPr>
                <w:szCs w:val="21"/>
              </w:rPr>
              <w:t>111,650</w:t>
            </w:r>
          </w:p>
        </w:tc>
        <w:tc>
          <w:tcPr>
            <w:tcW w:w="372" w:type="pct"/>
            <w:vAlign w:val="center"/>
          </w:tcPr>
          <w:p>
            <w:pPr>
              <w:spacing w:line="360" w:lineRule="exact"/>
              <w:jc w:val="right"/>
              <w:rPr>
                <w:szCs w:val="21"/>
              </w:rPr>
            </w:pPr>
            <w:r>
              <w:rPr>
                <w:szCs w:val="21"/>
              </w:rPr>
              <w:t>111,650</w:t>
            </w:r>
          </w:p>
        </w:tc>
        <w:tc>
          <w:tcPr>
            <w:tcW w:w="372" w:type="pct"/>
            <w:vAlign w:val="center"/>
          </w:tcPr>
          <w:p>
            <w:pPr>
              <w:spacing w:line="360" w:lineRule="exact"/>
              <w:jc w:val="right"/>
              <w:rPr>
                <w:szCs w:val="21"/>
              </w:rPr>
            </w:pPr>
            <w:r>
              <w:rPr>
                <w:szCs w:val="21"/>
              </w:rPr>
              <w:t>114,948</w:t>
            </w:r>
          </w:p>
        </w:tc>
        <w:tc>
          <w:tcPr>
            <w:tcW w:w="372" w:type="pct"/>
            <w:vAlign w:val="center"/>
          </w:tcPr>
          <w:p>
            <w:pPr>
              <w:spacing w:line="360" w:lineRule="exact"/>
              <w:jc w:val="right"/>
              <w:rPr>
                <w:szCs w:val="21"/>
              </w:rPr>
            </w:pPr>
            <w:r>
              <w:rPr>
                <w:szCs w:val="21"/>
              </w:rPr>
              <w:t>109,565</w:t>
            </w:r>
          </w:p>
        </w:tc>
        <w:tc>
          <w:tcPr>
            <w:tcW w:w="470" w:type="pct"/>
            <w:vAlign w:val="center"/>
          </w:tcPr>
          <w:p>
            <w:pPr>
              <w:spacing w:line="360" w:lineRule="exact"/>
              <w:jc w:val="right"/>
              <w:rPr>
                <w:szCs w:val="21"/>
              </w:rPr>
            </w:pPr>
            <w:r>
              <w:rPr>
                <w:szCs w:val="21"/>
              </w:rPr>
              <w:t>1,093,882</w:t>
            </w:r>
          </w:p>
        </w:tc>
        <w:tc>
          <w:tcPr>
            <w:tcW w:w="470" w:type="pct"/>
            <w:vAlign w:val="center"/>
          </w:tcPr>
          <w:p>
            <w:pPr>
              <w:spacing w:line="360" w:lineRule="exact"/>
              <w:jc w:val="right"/>
              <w:rPr>
                <w:szCs w:val="21"/>
              </w:rPr>
            </w:pPr>
            <w:r>
              <w:rPr>
                <w:szCs w:val="21"/>
              </w:rPr>
              <w:t>1,027,899</w:t>
            </w:r>
          </w:p>
        </w:tc>
        <w:tc>
          <w:tcPr>
            <w:tcW w:w="372" w:type="pct"/>
            <w:vAlign w:val="center"/>
          </w:tcPr>
          <w:p>
            <w:pPr>
              <w:spacing w:line="360" w:lineRule="exact"/>
              <w:jc w:val="right"/>
              <w:rPr>
                <w:szCs w:val="21"/>
              </w:rPr>
            </w:pPr>
            <w:r>
              <w:rPr>
                <w:szCs w:val="21"/>
              </w:rPr>
              <w:t>116,830</w:t>
            </w:r>
          </w:p>
        </w:tc>
        <w:tc>
          <w:tcPr>
            <w:tcW w:w="372" w:type="pct"/>
            <w:vAlign w:val="center"/>
          </w:tcPr>
          <w:p>
            <w:pPr>
              <w:spacing w:line="360" w:lineRule="exact"/>
              <w:jc w:val="right"/>
              <w:rPr>
                <w:szCs w:val="21"/>
              </w:rPr>
            </w:pPr>
            <w:r>
              <w:rPr>
                <w:szCs w:val="21"/>
              </w:rPr>
              <w:t>116,830</w:t>
            </w:r>
          </w:p>
        </w:tc>
        <w:tc>
          <w:tcPr>
            <w:tcW w:w="470" w:type="pct"/>
            <w:vAlign w:val="center"/>
          </w:tcPr>
          <w:p>
            <w:pPr>
              <w:spacing w:line="360" w:lineRule="exact"/>
              <w:jc w:val="right"/>
              <w:rPr>
                <w:szCs w:val="21"/>
              </w:rPr>
            </w:pPr>
            <w:r>
              <w:rPr>
                <w:szCs w:val="21"/>
              </w:rPr>
              <w:t>5,763,429</w:t>
            </w:r>
          </w:p>
        </w:tc>
        <w:tc>
          <w:tcPr>
            <w:tcW w:w="597" w:type="pct"/>
            <w:vAlign w:val="center"/>
          </w:tcPr>
          <w:p>
            <w:pPr>
              <w:spacing w:line="360" w:lineRule="exact"/>
              <w:jc w:val="right"/>
              <w:rPr>
                <w:szCs w:val="21"/>
              </w:rPr>
            </w:pPr>
            <w:r>
              <w:rPr>
                <w:szCs w:val="21"/>
              </w:rPr>
              <w:t>5,421,471</w:t>
            </w:r>
          </w:p>
        </w:tc>
      </w:tr>
      <w:tr>
        <w:trPr>
          <w:jc w:val="center"/>
        </w:trPr>
        <w:tc>
          <w:tcPr>
            <w:tcW w:w="761" w:type="pct"/>
            <w:shd w:val="clear" w:color="auto" w:fill="auto"/>
            <w:vAlign w:val="center"/>
          </w:tcPr>
          <w:p>
            <w:pPr>
              <w:spacing w:line="360" w:lineRule="exact"/>
              <w:rPr>
                <w:szCs w:val="21"/>
              </w:rPr>
            </w:pPr>
            <w:r>
              <w:rPr>
                <w:rFonts w:hint="eastAsia"/>
                <w:szCs w:val="21"/>
              </w:rPr>
              <w:t>货币资金</w:t>
            </w:r>
          </w:p>
        </w:tc>
        <w:tc>
          <w:tcPr>
            <w:tcW w:w="372" w:type="pct"/>
            <w:shd w:val="clear" w:color="auto" w:fill="auto"/>
            <w:vAlign w:val="center"/>
          </w:tcPr>
          <w:p>
            <w:pPr>
              <w:spacing w:line="360" w:lineRule="exact"/>
              <w:jc w:val="right"/>
              <w:rPr>
                <w:szCs w:val="21"/>
              </w:rPr>
            </w:pPr>
            <w:r>
              <w:rPr>
                <w:szCs w:val="21"/>
              </w:rPr>
              <w:t>2,966</w:t>
            </w:r>
          </w:p>
        </w:tc>
        <w:tc>
          <w:tcPr>
            <w:tcW w:w="372" w:type="pct"/>
            <w:vAlign w:val="center"/>
          </w:tcPr>
          <w:p>
            <w:pPr>
              <w:spacing w:line="360" w:lineRule="exact"/>
              <w:jc w:val="right"/>
              <w:rPr>
                <w:szCs w:val="21"/>
              </w:rPr>
            </w:pPr>
            <w:r>
              <w:rPr>
                <w:szCs w:val="21"/>
              </w:rPr>
              <w:t>2,966</w:t>
            </w:r>
          </w:p>
        </w:tc>
        <w:tc>
          <w:tcPr>
            <w:tcW w:w="372" w:type="pct"/>
            <w:vAlign w:val="center"/>
          </w:tcPr>
          <w:p>
            <w:pPr>
              <w:spacing w:line="360" w:lineRule="exact"/>
              <w:jc w:val="right"/>
              <w:rPr>
                <w:szCs w:val="21"/>
              </w:rPr>
            </w:pPr>
            <w:r>
              <w:rPr>
                <w:szCs w:val="21"/>
              </w:rPr>
              <w:t>92</w:t>
            </w:r>
          </w:p>
        </w:tc>
        <w:tc>
          <w:tcPr>
            <w:tcW w:w="372" w:type="pct"/>
            <w:vAlign w:val="center"/>
          </w:tcPr>
          <w:p>
            <w:pPr>
              <w:spacing w:line="360" w:lineRule="exact"/>
              <w:jc w:val="right"/>
              <w:rPr>
                <w:szCs w:val="21"/>
              </w:rPr>
            </w:pPr>
            <w:r>
              <w:rPr>
                <w:szCs w:val="21"/>
              </w:rPr>
              <w:t>92</w:t>
            </w:r>
          </w:p>
        </w:tc>
        <w:tc>
          <w:tcPr>
            <w:tcW w:w="470" w:type="pct"/>
            <w:vAlign w:val="center"/>
          </w:tcPr>
          <w:p>
            <w:pPr>
              <w:spacing w:line="360" w:lineRule="exact"/>
              <w:jc w:val="right"/>
              <w:rPr>
                <w:szCs w:val="21"/>
              </w:rPr>
            </w:pPr>
            <w:r>
              <w:rPr>
                <w:szCs w:val="21"/>
              </w:rPr>
              <w:t>56,529</w:t>
            </w:r>
          </w:p>
        </w:tc>
        <w:tc>
          <w:tcPr>
            <w:tcW w:w="470" w:type="pct"/>
            <w:vAlign w:val="center"/>
          </w:tcPr>
          <w:p>
            <w:pPr>
              <w:spacing w:line="360" w:lineRule="exact"/>
              <w:jc w:val="right"/>
              <w:rPr>
                <w:szCs w:val="21"/>
              </w:rPr>
            </w:pPr>
            <w:r>
              <w:rPr>
                <w:szCs w:val="21"/>
              </w:rPr>
              <w:t>56,529</w:t>
            </w:r>
          </w:p>
        </w:tc>
        <w:tc>
          <w:tcPr>
            <w:tcW w:w="372" w:type="pct"/>
            <w:vAlign w:val="center"/>
          </w:tcPr>
          <w:p>
            <w:pPr>
              <w:spacing w:line="360" w:lineRule="exact"/>
              <w:jc w:val="right"/>
              <w:rPr>
                <w:szCs w:val="21"/>
              </w:rPr>
            </w:pPr>
            <w:r>
              <w:rPr>
                <w:szCs w:val="21"/>
              </w:rPr>
              <w:t>85,690</w:t>
            </w:r>
          </w:p>
        </w:tc>
        <w:tc>
          <w:tcPr>
            <w:tcW w:w="372" w:type="pct"/>
            <w:vAlign w:val="center"/>
          </w:tcPr>
          <w:p>
            <w:pPr>
              <w:spacing w:line="360" w:lineRule="exact"/>
              <w:jc w:val="right"/>
              <w:rPr>
                <w:szCs w:val="21"/>
              </w:rPr>
            </w:pPr>
            <w:r>
              <w:rPr>
                <w:szCs w:val="21"/>
              </w:rPr>
              <w:t>85,690</w:t>
            </w:r>
          </w:p>
        </w:tc>
        <w:tc>
          <w:tcPr>
            <w:tcW w:w="470" w:type="pct"/>
            <w:vAlign w:val="center"/>
          </w:tcPr>
          <w:p>
            <w:pPr>
              <w:spacing w:line="360" w:lineRule="exact"/>
              <w:jc w:val="right"/>
              <w:rPr>
                <w:szCs w:val="21"/>
              </w:rPr>
            </w:pPr>
            <w:r>
              <w:rPr>
                <w:szCs w:val="21"/>
              </w:rPr>
              <w:t>2,624,049</w:t>
            </w:r>
          </w:p>
        </w:tc>
        <w:tc>
          <w:tcPr>
            <w:tcW w:w="597" w:type="pct"/>
            <w:vAlign w:val="center"/>
          </w:tcPr>
          <w:p>
            <w:pPr>
              <w:spacing w:line="360" w:lineRule="exact"/>
              <w:jc w:val="right"/>
              <w:rPr>
                <w:szCs w:val="21"/>
              </w:rPr>
            </w:pPr>
            <w:r>
              <w:rPr>
                <w:szCs w:val="21"/>
              </w:rPr>
              <w:t>2,624,049</w:t>
            </w:r>
          </w:p>
        </w:tc>
      </w:tr>
      <w:tr>
        <w:trPr>
          <w:jc w:val="center"/>
        </w:trPr>
        <w:tc>
          <w:tcPr>
            <w:tcW w:w="761" w:type="pct"/>
            <w:shd w:val="clear" w:color="auto" w:fill="auto"/>
            <w:vAlign w:val="center"/>
          </w:tcPr>
          <w:p>
            <w:pPr>
              <w:spacing w:line="360" w:lineRule="exact"/>
              <w:rPr>
                <w:szCs w:val="21"/>
              </w:rPr>
            </w:pPr>
            <w:r>
              <w:rPr>
                <w:rFonts w:hint="eastAsia"/>
                <w:szCs w:val="21"/>
              </w:rPr>
              <w:t>交易性金融资产</w:t>
            </w:r>
          </w:p>
        </w:tc>
        <w:tc>
          <w:tcPr>
            <w:tcW w:w="372" w:type="pct"/>
            <w:shd w:val="clear" w:color="auto" w:fill="auto"/>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14,191</w:t>
            </w:r>
          </w:p>
        </w:tc>
        <w:tc>
          <w:tcPr>
            <w:tcW w:w="470" w:type="pct"/>
            <w:vAlign w:val="center"/>
          </w:tcPr>
          <w:p>
            <w:pPr>
              <w:spacing w:line="360" w:lineRule="exact"/>
              <w:jc w:val="right"/>
              <w:rPr>
                <w:szCs w:val="21"/>
              </w:rPr>
            </w:pPr>
            <w:r>
              <w:rPr>
                <w:szCs w:val="21"/>
              </w:rPr>
              <w:t>14,191</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shd w:val="clear" w:color="auto" w:fill="auto"/>
            <w:vAlign w:val="center"/>
          </w:tcPr>
          <w:p>
            <w:pPr>
              <w:spacing w:line="360" w:lineRule="exact"/>
              <w:rPr>
                <w:szCs w:val="21"/>
              </w:rPr>
            </w:pPr>
            <w:r>
              <w:rPr>
                <w:rFonts w:hint="eastAsia"/>
                <w:szCs w:val="21"/>
              </w:rPr>
              <w:t>应收票据</w:t>
            </w:r>
          </w:p>
        </w:tc>
        <w:tc>
          <w:tcPr>
            <w:tcW w:w="372" w:type="pct"/>
            <w:shd w:val="clear" w:color="auto" w:fill="auto"/>
            <w:vAlign w:val="center"/>
          </w:tcPr>
          <w:p>
            <w:pPr>
              <w:spacing w:line="360" w:lineRule="exact"/>
              <w:jc w:val="right"/>
              <w:rPr>
                <w:szCs w:val="21"/>
              </w:rPr>
            </w:pPr>
            <w:r>
              <w:rPr>
                <w:szCs w:val="21"/>
              </w:rPr>
              <w:t>9,609</w:t>
            </w:r>
          </w:p>
        </w:tc>
        <w:tc>
          <w:tcPr>
            <w:tcW w:w="372" w:type="pct"/>
            <w:vAlign w:val="center"/>
          </w:tcPr>
          <w:p>
            <w:pPr>
              <w:spacing w:line="360" w:lineRule="exact"/>
              <w:jc w:val="right"/>
              <w:rPr>
                <w:szCs w:val="21"/>
              </w:rPr>
            </w:pPr>
            <w:r>
              <w:rPr>
                <w:szCs w:val="21"/>
              </w:rPr>
              <w:t>9,609</w:t>
            </w:r>
          </w:p>
        </w:tc>
        <w:tc>
          <w:tcPr>
            <w:tcW w:w="372" w:type="pct"/>
            <w:vAlign w:val="center"/>
          </w:tcPr>
          <w:p>
            <w:pPr>
              <w:spacing w:line="360" w:lineRule="exact"/>
              <w:jc w:val="right"/>
              <w:rPr>
                <w:szCs w:val="21"/>
              </w:rPr>
            </w:pPr>
            <w:r>
              <w:rPr>
                <w:szCs w:val="21"/>
              </w:rPr>
              <w:t>3,351</w:t>
            </w:r>
          </w:p>
        </w:tc>
        <w:tc>
          <w:tcPr>
            <w:tcW w:w="372" w:type="pct"/>
            <w:vAlign w:val="center"/>
          </w:tcPr>
          <w:p>
            <w:pPr>
              <w:spacing w:line="360" w:lineRule="exact"/>
              <w:jc w:val="right"/>
              <w:rPr>
                <w:szCs w:val="21"/>
              </w:rPr>
            </w:pPr>
            <w:r>
              <w:rPr>
                <w:szCs w:val="21"/>
              </w:rPr>
              <w:t>3,351</w:t>
            </w: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228,140</w:t>
            </w:r>
          </w:p>
        </w:tc>
        <w:tc>
          <w:tcPr>
            <w:tcW w:w="597" w:type="pct"/>
            <w:vAlign w:val="center"/>
          </w:tcPr>
          <w:p>
            <w:pPr>
              <w:spacing w:line="360" w:lineRule="exact"/>
              <w:jc w:val="right"/>
              <w:rPr>
                <w:szCs w:val="21"/>
              </w:rPr>
            </w:pPr>
            <w:r>
              <w:rPr>
                <w:szCs w:val="21"/>
              </w:rPr>
              <w:t>228,140</w:t>
            </w:r>
          </w:p>
        </w:tc>
      </w:tr>
      <w:tr>
        <w:trPr>
          <w:jc w:val="center"/>
        </w:trPr>
        <w:tc>
          <w:tcPr>
            <w:tcW w:w="761" w:type="pct"/>
            <w:shd w:val="clear" w:color="auto" w:fill="auto"/>
            <w:vAlign w:val="center"/>
          </w:tcPr>
          <w:p>
            <w:pPr>
              <w:spacing w:line="360" w:lineRule="exact"/>
              <w:rPr>
                <w:szCs w:val="21"/>
              </w:rPr>
            </w:pPr>
            <w:r>
              <w:rPr>
                <w:rFonts w:hint="eastAsia"/>
                <w:szCs w:val="21"/>
              </w:rPr>
              <w:t>应收账款</w:t>
            </w:r>
          </w:p>
        </w:tc>
        <w:tc>
          <w:tcPr>
            <w:tcW w:w="372" w:type="pct"/>
            <w:shd w:val="clear" w:color="auto" w:fill="auto"/>
            <w:vAlign w:val="center"/>
          </w:tcPr>
          <w:p>
            <w:pPr>
              <w:spacing w:line="360" w:lineRule="exact"/>
              <w:jc w:val="right"/>
              <w:rPr>
                <w:szCs w:val="21"/>
              </w:rPr>
            </w:pPr>
            <w:r>
              <w:rPr>
                <w:szCs w:val="21"/>
              </w:rPr>
              <w:t>1,597</w:t>
            </w:r>
          </w:p>
        </w:tc>
        <w:tc>
          <w:tcPr>
            <w:tcW w:w="372" w:type="pct"/>
            <w:vAlign w:val="center"/>
          </w:tcPr>
          <w:p>
            <w:pPr>
              <w:spacing w:line="360" w:lineRule="exact"/>
              <w:jc w:val="right"/>
              <w:rPr>
                <w:szCs w:val="21"/>
              </w:rPr>
            </w:pPr>
            <w:r>
              <w:rPr>
                <w:szCs w:val="21"/>
              </w:rPr>
              <w:t>1,597</w:t>
            </w:r>
          </w:p>
        </w:tc>
        <w:tc>
          <w:tcPr>
            <w:tcW w:w="372" w:type="pct"/>
            <w:vAlign w:val="center"/>
          </w:tcPr>
          <w:p>
            <w:pPr>
              <w:spacing w:line="360" w:lineRule="exact"/>
              <w:jc w:val="right"/>
              <w:rPr>
                <w:szCs w:val="21"/>
              </w:rPr>
            </w:pPr>
            <w:r>
              <w:rPr>
                <w:szCs w:val="21"/>
              </w:rPr>
              <w:t>37,297</w:t>
            </w:r>
          </w:p>
        </w:tc>
        <w:tc>
          <w:tcPr>
            <w:tcW w:w="372" w:type="pct"/>
            <w:vAlign w:val="center"/>
          </w:tcPr>
          <w:p>
            <w:pPr>
              <w:spacing w:line="360" w:lineRule="exact"/>
              <w:jc w:val="right"/>
              <w:rPr>
                <w:szCs w:val="21"/>
              </w:rPr>
            </w:pPr>
            <w:r>
              <w:rPr>
                <w:szCs w:val="21"/>
              </w:rPr>
              <w:t>37,297</w:t>
            </w:r>
          </w:p>
        </w:tc>
        <w:tc>
          <w:tcPr>
            <w:tcW w:w="470" w:type="pct"/>
            <w:vAlign w:val="center"/>
          </w:tcPr>
          <w:p>
            <w:pPr>
              <w:spacing w:line="360" w:lineRule="exact"/>
              <w:jc w:val="right"/>
              <w:rPr>
                <w:szCs w:val="21"/>
              </w:rPr>
            </w:pPr>
            <w:r>
              <w:rPr>
                <w:szCs w:val="21"/>
              </w:rPr>
              <w:t>223,587</w:t>
            </w:r>
          </w:p>
        </w:tc>
        <w:tc>
          <w:tcPr>
            <w:tcW w:w="470" w:type="pct"/>
            <w:vAlign w:val="center"/>
          </w:tcPr>
          <w:p>
            <w:pPr>
              <w:spacing w:line="360" w:lineRule="exact"/>
              <w:jc w:val="right"/>
              <w:rPr>
                <w:szCs w:val="21"/>
              </w:rPr>
            </w:pPr>
            <w:r>
              <w:rPr>
                <w:szCs w:val="21"/>
              </w:rPr>
              <w:t>223,587</w:t>
            </w:r>
          </w:p>
        </w:tc>
        <w:tc>
          <w:tcPr>
            <w:tcW w:w="372" w:type="pct"/>
            <w:vAlign w:val="center"/>
          </w:tcPr>
          <w:p>
            <w:pPr>
              <w:spacing w:line="360" w:lineRule="exact"/>
              <w:jc w:val="right"/>
              <w:rPr>
                <w:szCs w:val="21"/>
              </w:rPr>
            </w:pPr>
            <w:r>
              <w:rPr>
                <w:szCs w:val="21"/>
              </w:rPr>
              <w:t>1,991</w:t>
            </w:r>
          </w:p>
        </w:tc>
        <w:tc>
          <w:tcPr>
            <w:tcW w:w="372" w:type="pct"/>
            <w:vAlign w:val="center"/>
          </w:tcPr>
          <w:p>
            <w:pPr>
              <w:spacing w:line="360" w:lineRule="exact"/>
              <w:jc w:val="right"/>
              <w:rPr>
                <w:szCs w:val="21"/>
              </w:rPr>
            </w:pPr>
            <w:r>
              <w:rPr>
                <w:szCs w:val="21"/>
              </w:rPr>
              <w:t>1,991</w:t>
            </w:r>
          </w:p>
        </w:tc>
        <w:tc>
          <w:tcPr>
            <w:tcW w:w="470" w:type="pct"/>
            <w:vAlign w:val="center"/>
          </w:tcPr>
          <w:p>
            <w:pPr>
              <w:spacing w:line="360" w:lineRule="exact"/>
              <w:jc w:val="right"/>
              <w:rPr>
                <w:szCs w:val="21"/>
              </w:rPr>
            </w:pPr>
            <w:r>
              <w:rPr>
                <w:szCs w:val="21"/>
              </w:rPr>
              <w:t>1,554,666</w:t>
            </w:r>
          </w:p>
        </w:tc>
        <w:tc>
          <w:tcPr>
            <w:tcW w:w="597" w:type="pct"/>
            <w:vAlign w:val="center"/>
          </w:tcPr>
          <w:p>
            <w:pPr>
              <w:spacing w:line="360" w:lineRule="exact"/>
              <w:jc w:val="right"/>
              <w:rPr>
                <w:szCs w:val="21"/>
              </w:rPr>
            </w:pPr>
            <w:r>
              <w:rPr>
                <w:szCs w:val="21"/>
              </w:rPr>
              <w:t>1,554,666</w:t>
            </w:r>
          </w:p>
        </w:tc>
      </w:tr>
      <w:tr>
        <w:trPr>
          <w:jc w:val="center"/>
        </w:trPr>
        <w:tc>
          <w:tcPr>
            <w:tcW w:w="761" w:type="pct"/>
            <w:shd w:val="clear" w:color="auto" w:fill="auto"/>
            <w:vAlign w:val="center"/>
          </w:tcPr>
          <w:p>
            <w:pPr>
              <w:spacing w:line="360" w:lineRule="exact"/>
              <w:rPr>
                <w:szCs w:val="21"/>
              </w:rPr>
            </w:pPr>
            <w:r>
              <w:rPr>
                <w:rFonts w:hint="eastAsia"/>
                <w:szCs w:val="21"/>
              </w:rPr>
              <w:t>应收款项融资</w:t>
            </w:r>
          </w:p>
        </w:tc>
        <w:tc>
          <w:tcPr>
            <w:tcW w:w="372" w:type="pct"/>
            <w:shd w:val="clear" w:color="auto" w:fill="auto"/>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3,074</w:t>
            </w:r>
          </w:p>
        </w:tc>
        <w:tc>
          <w:tcPr>
            <w:tcW w:w="597" w:type="pct"/>
            <w:vAlign w:val="center"/>
          </w:tcPr>
          <w:p>
            <w:pPr>
              <w:spacing w:line="360" w:lineRule="exact"/>
              <w:jc w:val="right"/>
              <w:rPr>
                <w:szCs w:val="21"/>
              </w:rPr>
            </w:pPr>
            <w:r>
              <w:rPr>
                <w:szCs w:val="21"/>
              </w:rPr>
              <w:t>3,074</w:t>
            </w:r>
          </w:p>
        </w:tc>
      </w:tr>
      <w:tr>
        <w:trPr>
          <w:jc w:val="center"/>
        </w:trPr>
        <w:tc>
          <w:tcPr>
            <w:tcW w:w="761" w:type="pct"/>
            <w:shd w:val="clear" w:color="auto" w:fill="auto"/>
            <w:vAlign w:val="center"/>
          </w:tcPr>
          <w:p>
            <w:pPr>
              <w:spacing w:line="360" w:lineRule="exact"/>
              <w:rPr>
                <w:szCs w:val="21"/>
              </w:rPr>
            </w:pPr>
            <w:r>
              <w:rPr>
                <w:rFonts w:hint="eastAsia"/>
                <w:szCs w:val="21"/>
              </w:rPr>
              <w:t>预付账款</w:t>
            </w:r>
          </w:p>
        </w:tc>
        <w:tc>
          <w:tcPr>
            <w:tcW w:w="372" w:type="pct"/>
            <w:vAlign w:val="center"/>
          </w:tcPr>
          <w:p>
            <w:pPr>
              <w:spacing w:line="360" w:lineRule="exact"/>
              <w:jc w:val="right"/>
              <w:rPr>
                <w:szCs w:val="21"/>
              </w:rPr>
            </w:pPr>
            <w:r>
              <w:rPr>
                <w:szCs w:val="21"/>
              </w:rPr>
              <w:t>55,089</w:t>
            </w:r>
          </w:p>
        </w:tc>
        <w:tc>
          <w:tcPr>
            <w:tcW w:w="372" w:type="pct"/>
            <w:vAlign w:val="center"/>
          </w:tcPr>
          <w:p>
            <w:pPr>
              <w:spacing w:line="360" w:lineRule="exact"/>
              <w:jc w:val="right"/>
              <w:rPr>
                <w:szCs w:val="21"/>
              </w:rPr>
            </w:pPr>
            <w:r>
              <w:rPr>
                <w:szCs w:val="21"/>
              </w:rPr>
              <w:t>55,089</w:t>
            </w:r>
          </w:p>
        </w:tc>
        <w:tc>
          <w:tcPr>
            <w:tcW w:w="372" w:type="pct"/>
            <w:vAlign w:val="center"/>
          </w:tcPr>
          <w:p>
            <w:pPr>
              <w:spacing w:line="360" w:lineRule="exact"/>
              <w:jc w:val="right"/>
              <w:rPr>
                <w:szCs w:val="21"/>
              </w:rPr>
            </w:pPr>
            <w:r>
              <w:rPr>
                <w:szCs w:val="21"/>
              </w:rPr>
              <w:t>5,638</w:t>
            </w:r>
          </w:p>
        </w:tc>
        <w:tc>
          <w:tcPr>
            <w:tcW w:w="372" w:type="pct"/>
            <w:vAlign w:val="center"/>
          </w:tcPr>
          <w:p>
            <w:pPr>
              <w:spacing w:line="360" w:lineRule="exact"/>
              <w:jc w:val="right"/>
              <w:rPr>
                <w:szCs w:val="21"/>
              </w:rPr>
            </w:pPr>
            <w:r>
              <w:rPr>
                <w:szCs w:val="21"/>
              </w:rPr>
              <w:t>5,638</w:t>
            </w:r>
          </w:p>
        </w:tc>
        <w:tc>
          <w:tcPr>
            <w:tcW w:w="470" w:type="pct"/>
            <w:vAlign w:val="center"/>
          </w:tcPr>
          <w:p>
            <w:pPr>
              <w:spacing w:line="360" w:lineRule="exact"/>
              <w:jc w:val="right"/>
              <w:rPr>
                <w:szCs w:val="21"/>
              </w:rPr>
            </w:pPr>
            <w:r>
              <w:rPr>
                <w:szCs w:val="21"/>
              </w:rPr>
              <w:t>13,273</w:t>
            </w:r>
          </w:p>
        </w:tc>
        <w:tc>
          <w:tcPr>
            <w:tcW w:w="470" w:type="pct"/>
            <w:vAlign w:val="center"/>
          </w:tcPr>
          <w:p>
            <w:pPr>
              <w:spacing w:line="360" w:lineRule="exact"/>
              <w:jc w:val="right"/>
              <w:rPr>
                <w:szCs w:val="21"/>
              </w:rPr>
            </w:pPr>
            <w:r>
              <w:rPr>
                <w:szCs w:val="21"/>
              </w:rPr>
              <w:t>13,273</w:t>
            </w:r>
          </w:p>
        </w:tc>
        <w:tc>
          <w:tcPr>
            <w:tcW w:w="372" w:type="pct"/>
            <w:vAlign w:val="center"/>
          </w:tcPr>
          <w:p>
            <w:pPr>
              <w:spacing w:line="360" w:lineRule="exact"/>
              <w:jc w:val="right"/>
              <w:rPr>
                <w:szCs w:val="21"/>
              </w:rPr>
            </w:pPr>
            <w:r>
              <w:rPr>
                <w:szCs w:val="21"/>
              </w:rPr>
              <w:t>23</w:t>
            </w:r>
          </w:p>
        </w:tc>
        <w:tc>
          <w:tcPr>
            <w:tcW w:w="372" w:type="pct"/>
            <w:vAlign w:val="center"/>
          </w:tcPr>
          <w:p>
            <w:pPr>
              <w:spacing w:line="360" w:lineRule="exact"/>
              <w:jc w:val="right"/>
              <w:rPr>
                <w:szCs w:val="21"/>
              </w:rPr>
            </w:pPr>
            <w:r>
              <w:rPr>
                <w:szCs w:val="21"/>
              </w:rPr>
              <w:t>23</w:t>
            </w:r>
          </w:p>
        </w:tc>
        <w:tc>
          <w:tcPr>
            <w:tcW w:w="470" w:type="pct"/>
            <w:vAlign w:val="center"/>
          </w:tcPr>
          <w:p>
            <w:pPr>
              <w:spacing w:line="360" w:lineRule="exact"/>
              <w:jc w:val="right"/>
              <w:rPr>
                <w:szCs w:val="21"/>
              </w:rPr>
            </w:pPr>
            <w:r>
              <w:rPr>
                <w:szCs w:val="21"/>
              </w:rPr>
              <w:t>283,118</w:t>
            </w:r>
          </w:p>
        </w:tc>
        <w:tc>
          <w:tcPr>
            <w:tcW w:w="597" w:type="pct"/>
            <w:vAlign w:val="center"/>
          </w:tcPr>
          <w:p>
            <w:pPr>
              <w:spacing w:line="360" w:lineRule="exact"/>
              <w:jc w:val="right"/>
              <w:rPr>
                <w:szCs w:val="21"/>
              </w:rPr>
            </w:pPr>
            <w:r>
              <w:rPr>
                <w:szCs w:val="21"/>
              </w:rPr>
              <w:t>283,118</w:t>
            </w:r>
          </w:p>
        </w:tc>
      </w:tr>
      <w:tr>
        <w:trPr>
          <w:jc w:val="center"/>
        </w:trPr>
        <w:tc>
          <w:tcPr>
            <w:tcW w:w="761" w:type="pct"/>
            <w:shd w:val="clear" w:color="auto" w:fill="auto"/>
            <w:vAlign w:val="center"/>
          </w:tcPr>
          <w:p>
            <w:pPr>
              <w:spacing w:line="360" w:lineRule="exact"/>
              <w:rPr>
                <w:szCs w:val="21"/>
              </w:rPr>
            </w:pPr>
            <w:r>
              <w:rPr>
                <w:rFonts w:hint="eastAsia"/>
                <w:szCs w:val="21"/>
              </w:rPr>
              <w:t>其他应收款</w:t>
            </w:r>
          </w:p>
        </w:tc>
        <w:tc>
          <w:tcPr>
            <w:tcW w:w="372" w:type="pct"/>
            <w:vAlign w:val="center"/>
          </w:tcPr>
          <w:p>
            <w:pPr>
              <w:spacing w:line="360" w:lineRule="exact"/>
              <w:jc w:val="right"/>
              <w:rPr>
                <w:szCs w:val="21"/>
              </w:rPr>
            </w:pPr>
            <w:r>
              <w:rPr>
                <w:szCs w:val="21"/>
              </w:rPr>
              <w:t>148</w:t>
            </w:r>
          </w:p>
        </w:tc>
        <w:tc>
          <w:tcPr>
            <w:tcW w:w="372" w:type="pct"/>
            <w:vAlign w:val="center"/>
          </w:tcPr>
          <w:p>
            <w:pPr>
              <w:spacing w:line="360" w:lineRule="exact"/>
              <w:jc w:val="right"/>
              <w:rPr>
                <w:szCs w:val="21"/>
              </w:rPr>
            </w:pPr>
            <w:r>
              <w:rPr>
                <w:szCs w:val="21"/>
              </w:rPr>
              <w:t>148</w:t>
            </w:r>
          </w:p>
        </w:tc>
        <w:tc>
          <w:tcPr>
            <w:tcW w:w="372" w:type="pct"/>
            <w:vAlign w:val="center"/>
          </w:tcPr>
          <w:p>
            <w:pPr>
              <w:spacing w:line="360" w:lineRule="exact"/>
              <w:jc w:val="right"/>
              <w:rPr>
                <w:szCs w:val="21"/>
              </w:rPr>
            </w:pPr>
            <w:r>
              <w:rPr>
                <w:szCs w:val="21"/>
              </w:rPr>
              <w:t>653</w:t>
            </w:r>
          </w:p>
        </w:tc>
        <w:tc>
          <w:tcPr>
            <w:tcW w:w="372" w:type="pct"/>
            <w:vAlign w:val="center"/>
          </w:tcPr>
          <w:p>
            <w:pPr>
              <w:spacing w:line="360" w:lineRule="exact"/>
              <w:jc w:val="right"/>
              <w:rPr>
                <w:szCs w:val="21"/>
              </w:rPr>
            </w:pPr>
            <w:r>
              <w:rPr>
                <w:szCs w:val="21"/>
              </w:rPr>
              <w:t>653</w:t>
            </w:r>
          </w:p>
        </w:tc>
        <w:tc>
          <w:tcPr>
            <w:tcW w:w="470" w:type="pct"/>
            <w:vAlign w:val="center"/>
          </w:tcPr>
          <w:p>
            <w:pPr>
              <w:spacing w:line="360" w:lineRule="exact"/>
              <w:jc w:val="right"/>
              <w:rPr>
                <w:szCs w:val="21"/>
              </w:rPr>
            </w:pPr>
            <w:r>
              <w:rPr>
                <w:szCs w:val="21"/>
              </w:rPr>
              <w:t>12,694</w:t>
            </w:r>
          </w:p>
        </w:tc>
        <w:tc>
          <w:tcPr>
            <w:tcW w:w="470" w:type="pct"/>
            <w:vAlign w:val="center"/>
          </w:tcPr>
          <w:p>
            <w:pPr>
              <w:spacing w:line="360" w:lineRule="exact"/>
              <w:jc w:val="right"/>
              <w:rPr>
                <w:szCs w:val="21"/>
              </w:rPr>
            </w:pPr>
            <w:r>
              <w:rPr>
                <w:szCs w:val="21"/>
              </w:rPr>
              <w:t>12,694</w:t>
            </w:r>
          </w:p>
        </w:tc>
        <w:tc>
          <w:tcPr>
            <w:tcW w:w="372" w:type="pct"/>
            <w:vAlign w:val="center"/>
          </w:tcPr>
          <w:p>
            <w:pPr>
              <w:spacing w:line="360" w:lineRule="exact"/>
              <w:jc w:val="right"/>
              <w:rPr>
                <w:szCs w:val="21"/>
              </w:rPr>
            </w:pPr>
            <w:r>
              <w:rPr>
                <w:szCs w:val="21"/>
              </w:rPr>
              <w:t>2,675</w:t>
            </w:r>
          </w:p>
        </w:tc>
        <w:tc>
          <w:tcPr>
            <w:tcW w:w="372" w:type="pct"/>
            <w:vAlign w:val="center"/>
          </w:tcPr>
          <w:p>
            <w:pPr>
              <w:spacing w:line="360" w:lineRule="exact"/>
              <w:jc w:val="right"/>
              <w:rPr>
                <w:szCs w:val="21"/>
              </w:rPr>
            </w:pPr>
            <w:r>
              <w:rPr>
                <w:szCs w:val="21"/>
              </w:rPr>
              <w:t>2,675</w:t>
            </w:r>
          </w:p>
        </w:tc>
        <w:tc>
          <w:tcPr>
            <w:tcW w:w="470" w:type="pct"/>
            <w:vAlign w:val="center"/>
          </w:tcPr>
          <w:p>
            <w:pPr>
              <w:spacing w:line="360" w:lineRule="exact"/>
              <w:jc w:val="right"/>
              <w:rPr>
                <w:szCs w:val="21"/>
              </w:rPr>
            </w:pPr>
            <w:r>
              <w:rPr>
                <w:szCs w:val="21"/>
              </w:rPr>
              <w:t>424,718</w:t>
            </w:r>
          </w:p>
        </w:tc>
        <w:tc>
          <w:tcPr>
            <w:tcW w:w="597" w:type="pct"/>
            <w:vAlign w:val="center"/>
          </w:tcPr>
          <w:p>
            <w:pPr>
              <w:spacing w:line="360" w:lineRule="exact"/>
              <w:jc w:val="right"/>
              <w:rPr>
                <w:szCs w:val="21"/>
              </w:rPr>
            </w:pPr>
            <w:r>
              <w:rPr>
                <w:szCs w:val="21"/>
              </w:rPr>
              <w:t>424,718</w:t>
            </w:r>
          </w:p>
        </w:tc>
      </w:tr>
      <w:tr>
        <w:trPr>
          <w:jc w:val="center"/>
        </w:trPr>
        <w:tc>
          <w:tcPr>
            <w:tcW w:w="761" w:type="pct"/>
            <w:shd w:val="clear" w:color="auto" w:fill="auto"/>
            <w:vAlign w:val="center"/>
          </w:tcPr>
          <w:p>
            <w:pPr>
              <w:spacing w:line="360" w:lineRule="exact"/>
              <w:rPr>
                <w:szCs w:val="21"/>
              </w:rPr>
            </w:pPr>
            <w:r>
              <w:rPr>
                <w:rFonts w:hint="eastAsia"/>
                <w:szCs w:val="21"/>
              </w:rPr>
              <w:t>存货</w:t>
            </w:r>
          </w:p>
        </w:tc>
        <w:tc>
          <w:tcPr>
            <w:tcW w:w="372" w:type="pct"/>
            <w:vAlign w:val="center"/>
          </w:tcPr>
          <w:p>
            <w:pPr>
              <w:spacing w:line="360" w:lineRule="exact"/>
              <w:jc w:val="right"/>
              <w:rPr>
                <w:szCs w:val="21"/>
              </w:rPr>
            </w:pPr>
            <w:r>
              <w:rPr>
                <w:szCs w:val="21"/>
              </w:rPr>
              <w:t>22,641</w:t>
            </w:r>
          </w:p>
        </w:tc>
        <w:tc>
          <w:tcPr>
            <w:tcW w:w="372" w:type="pct"/>
            <w:vAlign w:val="center"/>
          </w:tcPr>
          <w:p>
            <w:pPr>
              <w:spacing w:line="360" w:lineRule="exact"/>
              <w:jc w:val="right"/>
              <w:rPr>
                <w:szCs w:val="21"/>
              </w:rPr>
            </w:pPr>
            <w:r>
              <w:rPr>
                <w:szCs w:val="21"/>
              </w:rPr>
              <w:t>22,641</w:t>
            </w:r>
          </w:p>
        </w:tc>
        <w:tc>
          <w:tcPr>
            <w:tcW w:w="372" w:type="pct"/>
            <w:vAlign w:val="center"/>
          </w:tcPr>
          <w:p>
            <w:pPr>
              <w:spacing w:line="360" w:lineRule="exact"/>
              <w:jc w:val="right"/>
              <w:rPr>
                <w:szCs w:val="21"/>
              </w:rPr>
            </w:pPr>
            <w:r>
              <w:rPr>
                <w:szCs w:val="21"/>
              </w:rPr>
              <w:t>31,328</w:t>
            </w:r>
          </w:p>
        </w:tc>
        <w:tc>
          <w:tcPr>
            <w:tcW w:w="372" w:type="pct"/>
            <w:vAlign w:val="center"/>
          </w:tcPr>
          <w:p>
            <w:pPr>
              <w:spacing w:line="360" w:lineRule="exact"/>
              <w:jc w:val="right"/>
              <w:rPr>
                <w:szCs w:val="21"/>
              </w:rPr>
            </w:pPr>
            <w:r>
              <w:rPr>
                <w:szCs w:val="21"/>
              </w:rPr>
              <w:t>27,241</w:t>
            </w:r>
          </w:p>
        </w:tc>
        <w:tc>
          <w:tcPr>
            <w:tcW w:w="470" w:type="pct"/>
            <w:vAlign w:val="center"/>
          </w:tcPr>
          <w:p>
            <w:pPr>
              <w:spacing w:line="360" w:lineRule="exact"/>
              <w:jc w:val="right"/>
              <w:rPr>
                <w:szCs w:val="21"/>
              </w:rPr>
            </w:pPr>
            <w:r>
              <w:rPr>
                <w:szCs w:val="21"/>
              </w:rPr>
              <w:t>355,688</w:t>
            </w:r>
          </w:p>
        </w:tc>
        <w:tc>
          <w:tcPr>
            <w:tcW w:w="470" w:type="pct"/>
            <w:vAlign w:val="center"/>
          </w:tcPr>
          <w:p>
            <w:pPr>
              <w:spacing w:line="360" w:lineRule="exact"/>
              <w:jc w:val="right"/>
              <w:rPr>
                <w:szCs w:val="21"/>
              </w:rPr>
            </w:pPr>
            <w:r>
              <w:rPr>
                <w:szCs w:val="21"/>
              </w:rPr>
              <w:t>355,688</w:t>
            </w:r>
          </w:p>
        </w:tc>
        <w:tc>
          <w:tcPr>
            <w:tcW w:w="372" w:type="pct"/>
            <w:vAlign w:val="center"/>
          </w:tcPr>
          <w:p>
            <w:pPr>
              <w:spacing w:line="360" w:lineRule="exact"/>
              <w:jc w:val="right"/>
              <w:rPr>
                <w:szCs w:val="21"/>
              </w:rPr>
            </w:pPr>
            <w:r>
              <w:rPr>
                <w:szCs w:val="21"/>
              </w:rPr>
              <w:t>13,463</w:t>
            </w:r>
          </w:p>
        </w:tc>
        <w:tc>
          <w:tcPr>
            <w:tcW w:w="372" w:type="pct"/>
            <w:vAlign w:val="center"/>
          </w:tcPr>
          <w:p>
            <w:pPr>
              <w:spacing w:line="360" w:lineRule="exact"/>
              <w:jc w:val="right"/>
              <w:rPr>
                <w:szCs w:val="21"/>
              </w:rPr>
            </w:pPr>
            <w:r>
              <w:rPr>
                <w:szCs w:val="21"/>
              </w:rPr>
              <w:t>13,463</w:t>
            </w:r>
          </w:p>
        </w:tc>
        <w:tc>
          <w:tcPr>
            <w:tcW w:w="470" w:type="pct"/>
            <w:vAlign w:val="center"/>
          </w:tcPr>
          <w:p>
            <w:pPr>
              <w:spacing w:line="360" w:lineRule="exact"/>
              <w:jc w:val="right"/>
              <w:rPr>
                <w:szCs w:val="21"/>
              </w:rPr>
            </w:pPr>
            <w:r>
              <w:rPr>
                <w:szCs w:val="21"/>
              </w:rPr>
              <w:t>12,270</w:t>
            </w:r>
          </w:p>
        </w:tc>
        <w:tc>
          <w:tcPr>
            <w:tcW w:w="597" w:type="pct"/>
            <w:vAlign w:val="center"/>
          </w:tcPr>
          <w:p>
            <w:pPr>
              <w:spacing w:line="360" w:lineRule="exact"/>
              <w:jc w:val="right"/>
              <w:rPr>
                <w:szCs w:val="21"/>
              </w:rPr>
            </w:pPr>
            <w:r>
              <w:rPr>
                <w:szCs w:val="21"/>
              </w:rPr>
              <w:t>11,507</w:t>
            </w:r>
          </w:p>
        </w:tc>
      </w:tr>
      <w:tr>
        <w:trPr>
          <w:jc w:val="center"/>
        </w:trPr>
        <w:tc>
          <w:tcPr>
            <w:tcW w:w="761" w:type="pct"/>
            <w:shd w:val="clear" w:color="auto" w:fill="auto"/>
            <w:vAlign w:val="center"/>
          </w:tcPr>
          <w:p>
            <w:pPr>
              <w:spacing w:line="360" w:lineRule="exact"/>
              <w:rPr>
                <w:szCs w:val="21"/>
              </w:rPr>
            </w:pPr>
            <w:r>
              <w:rPr>
                <w:rFonts w:hint="eastAsia"/>
                <w:szCs w:val="21"/>
              </w:rPr>
              <w:lastRenderedPageBreak/>
              <w:t>合同资产</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27,908</w:t>
            </w:r>
          </w:p>
        </w:tc>
        <w:tc>
          <w:tcPr>
            <w:tcW w:w="470" w:type="pct"/>
            <w:vAlign w:val="center"/>
          </w:tcPr>
          <w:p>
            <w:pPr>
              <w:spacing w:line="360" w:lineRule="exact"/>
              <w:jc w:val="right"/>
              <w:rPr>
                <w:szCs w:val="21"/>
              </w:rPr>
            </w:pPr>
            <w:r>
              <w:rPr>
                <w:szCs w:val="21"/>
              </w:rPr>
              <w:t>27,908</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shd w:val="clear" w:color="auto" w:fill="auto"/>
            <w:vAlign w:val="center"/>
          </w:tcPr>
          <w:p>
            <w:pPr>
              <w:spacing w:line="360" w:lineRule="exact"/>
              <w:rPr>
                <w:szCs w:val="21"/>
              </w:rPr>
            </w:pPr>
            <w:r>
              <w:rPr>
                <w:rFonts w:hint="eastAsia"/>
                <w:szCs w:val="21"/>
              </w:rPr>
              <w:t>其他流动资产</w:t>
            </w:r>
          </w:p>
        </w:tc>
        <w:tc>
          <w:tcPr>
            <w:tcW w:w="372" w:type="pct"/>
            <w:vAlign w:val="center"/>
          </w:tcPr>
          <w:p>
            <w:pPr>
              <w:spacing w:line="360" w:lineRule="exact"/>
              <w:jc w:val="right"/>
              <w:rPr>
                <w:szCs w:val="21"/>
              </w:rPr>
            </w:pPr>
            <w:r>
              <w:rPr>
                <w:szCs w:val="21"/>
              </w:rPr>
              <w:t>4,585</w:t>
            </w:r>
          </w:p>
        </w:tc>
        <w:tc>
          <w:tcPr>
            <w:tcW w:w="372" w:type="pct"/>
            <w:vAlign w:val="center"/>
          </w:tcPr>
          <w:p>
            <w:pPr>
              <w:spacing w:line="360" w:lineRule="exact"/>
              <w:jc w:val="right"/>
              <w:rPr>
                <w:szCs w:val="21"/>
              </w:rPr>
            </w:pPr>
            <w:r>
              <w:rPr>
                <w:szCs w:val="21"/>
              </w:rPr>
              <w:t>4,585</w:t>
            </w:r>
          </w:p>
        </w:tc>
        <w:tc>
          <w:tcPr>
            <w:tcW w:w="372" w:type="pct"/>
            <w:vAlign w:val="center"/>
          </w:tcPr>
          <w:p>
            <w:pPr>
              <w:spacing w:line="360" w:lineRule="exact"/>
              <w:jc w:val="right"/>
              <w:rPr>
                <w:szCs w:val="21"/>
              </w:rPr>
            </w:pPr>
            <w:r>
              <w:rPr>
                <w:szCs w:val="21"/>
              </w:rPr>
              <w:t>91</w:t>
            </w:r>
          </w:p>
        </w:tc>
        <w:tc>
          <w:tcPr>
            <w:tcW w:w="372" w:type="pct"/>
            <w:vAlign w:val="center"/>
          </w:tcPr>
          <w:p>
            <w:pPr>
              <w:spacing w:line="360" w:lineRule="exact"/>
              <w:jc w:val="right"/>
              <w:rPr>
                <w:szCs w:val="21"/>
              </w:rPr>
            </w:pPr>
            <w:r>
              <w:rPr>
                <w:szCs w:val="21"/>
              </w:rPr>
              <w:t>91</w:t>
            </w:r>
          </w:p>
        </w:tc>
        <w:tc>
          <w:tcPr>
            <w:tcW w:w="470" w:type="pct"/>
            <w:vAlign w:val="center"/>
          </w:tcPr>
          <w:p>
            <w:pPr>
              <w:spacing w:line="360" w:lineRule="exact"/>
              <w:jc w:val="right"/>
              <w:rPr>
                <w:szCs w:val="21"/>
              </w:rPr>
            </w:pPr>
            <w:r>
              <w:rPr>
                <w:szCs w:val="21"/>
              </w:rPr>
              <w:t>643</w:t>
            </w:r>
          </w:p>
        </w:tc>
        <w:tc>
          <w:tcPr>
            <w:tcW w:w="470" w:type="pct"/>
            <w:vAlign w:val="center"/>
          </w:tcPr>
          <w:p>
            <w:pPr>
              <w:spacing w:line="360" w:lineRule="exact"/>
              <w:jc w:val="right"/>
              <w:rPr>
                <w:szCs w:val="21"/>
              </w:rPr>
            </w:pPr>
            <w:r>
              <w:rPr>
                <w:szCs w:val="21"/>
              </w:rPr>
              <w:t>643</w:t>
            </w:r>
          </w:p>
        </w:tc>
        <w:tc>
          <w:tcPr>
            <w:tcW w:w="372" w:type="pct"/>
            <w:vAlign w:val="center"/>
          </w:tcPr>
          <w:p>
            <w:pPr>
              <w:spacing w:line="360" w:lineRule="exact"/>
              <w:jc w:val="right"/>
              <w:rPr>
                <w:szCs w:val="21"/>
              </w:rPr>
            </w:pPr>
            <w:r>
              <w:rPr>
                <w:szCs w:val="21"/>
              </w:rPr>
              <w:t>4</w:t>
            </w:r>
          </w:p>
        </w:tc>
        <w:tc>
          <w:tcPr>
            <w:tcW w:w="372" w:type="pct"/>
            <w:vAlign w:val="center"/>
          </w:tcPr>
          <w:p>
            <w:pPr>
              <w:spacing w:line="360" w:lineRule="exact"/>
              <w:jc w:val="right"/>
              <w:rPr>
                <w:szCs w:val="21"/>
              </w:rPr>
            </w:pPr>
            <w:r>
              <w:rPr>
                <w:szCs w:val="21"/>
              </w:rPr>
              <w:t>4</w:t>
            </w:r>
          </w:p>
        </w:tc>
        <w:tc>
          <w:tcPr>
            <w:tcW w:w="470" w:type="pct"/>
            <w:vAlign w:val="center"/>
          </w:tcPr>
          <w:p>
            <w:pPr>
              <w:spacing w:line="360" w:lineRule="exact"/>
              <w:jc w:val="right"/>
              <w:rPr>
                <w:szCs w:val="21"/>
              </w:rPr>
            </w:pPr>
            <w:r>
              <w:rPr>
                <w:szCs w:val="21"/>
              </w:rPr>
              <w:t>44,446</w:t>
            </w:r>
          </w:p>
        </w:tc>
        <w:tc>
          <w:tcPr>
            <w:tcW w:w="597" w:type="pct"/>
            <w:vAlign w:val="center"/>
          </w:tcPr>
          <w:p>
            <w:pPr>
              <w:spacing w:line="360" w:lineRule="exact"/>
              <w:jc w:val="right"/>
              <w:rPr>
                <w:szCs w:val="21"/>
              </w:rPr>
            </w:pPr>
            <w:r>
              <w:rPr>
                <w:szCs w:val="21"/>
              </w:rPr>
              <w:t>44,446</w:t>
            </w:r>
          </w:p>
        </w:tc>
      </w:tr>
      <w:tr>
        <w:trPr>
          <w:jc w:val="center"/>
        </w:trPr>
        <w:tc>
          <w:tcPr>
            <w:tcW w:w="761" w:type="pct"/>
            <w:shd w:val="clear" w:color="auto" w:fill="auto"/>
            <w:vAlign w:val="center"/>
          </w:tcPr>
          <w:p>
            <w:pPr>
              <w:spacing w:line="360" w:lineRule="exact"/>
              <w:rPr>
                <w:szCs w:val="21"/>
              </w:rPr>
            </w:pPr>
            <w:r>
              <w:rPr>
                <w:rFonts w:hint="eastAsia"/>
                <w:szCs w:val="21"/>
              </w:rPr>
              <w:t>长期应收款</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4,934</w:t>
            </w:r>
          </w:p>
        </w:tc>
        <w:tc>
          <w:tcPr>
            <w:tcW w:w="470" w:type="pct"/>
            <w:vAlign w:val="center"/>
          </w:tcPr>
          <w:p>
            <w:pPr>
              <w:spacing w:line="360" w:lineRule="exact"/>
              <w:jc w:val="right"/>
              <w:rPr>
                <w:szCs w:val="21"/>
              </w:rPr>
            </w:pPr>
            <w:r>
              <w:rPr>
                <w:szCs w:val="21"/>
              </w:rPr>
              <w:t>4,934</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37,580</w:t>
            </w:r>
          </w:p>
        </w:tc>
        <w:tc>
          <w:tcPr>
            <w:tcW w:w="597" w:type="pct"/>
            <w:vAlign w:val="center"/>
          </w:tcPr>
          <w:p>
            <w:pPr>
              <w:spacing w:line="360" w:lineRule="exact"/>
              <w:jc w:val="right"/>
              <w:rPr>
                <w:szCs w:val="21"/>
              </w:rPr>
            </w:pPr>
            <w:r>
              <w:rPr>
                <w:szCs w:val="21"/>
              </w:rPr>
              <w:t>37,576</w:t>
            </w:r>
          </w:p>
        </w:tc>
      </w:tr>
      <w:tr>
        <w:trPr>
          <w:jc w:val="center"/>
        </w:trPr>
        <w:tc>
          <w:tcPr>
            <w:tcW w:w="761" w:type="pct"/>
            <w:shd w:val="clear" w:color="auto" w:fill="auto"/>
            <w:vAlign w:val="center"/>
          </w:tcPr>
          <w:p>
            <w:pPr>
              <w:spacing w:line="360" w:lineRule="exact"/>
              <w:rPr>
                <w:szCs w:val="21"/>
              </w:rPr>
            </w:pPr>
            <w:r>
              <w:rPr>
                <w:rFonts w:hint="eastAsia"/>
                <w:szCs w:val="21"/>
              </w:rPr>
              <w:t>长期股权投资</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174,966</w:t>
            </w:r>
          </w:p>
        </w:tc>
        <w:tc>
          <w:tcPr>
            <w:tcW w:w="470" w:type="pct"/>
            <w:vAlign w:val="center"/>
          </w:tcPr>
          <w:p>
            <w:pPr>
              <w:spacing w:line="360" w:lineRule="exact"/>
              <w:jc w:val="right"/>
              <w:rPr>
                <w:szCs w:val="21"/>
              </w:rPr>
            </w:pPr>
            <w:r>
              <w:rPr>
                <w:szCs w:val="21"/>
              </w:rPr>
              <w:t>174,966</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34,945</w:t>
            </w:r>
          </w:p>
        </w:tc>
        <w:tc>
          <w:tcPr>
            <w:tcW w:w="597" w:type="pct"/>
            <w:vAlign w:val="center"/>
          </w:tcPr>
          <w:p>
            <w:pPr>
              <w:spacing w:line="360" w:lineRule="exact"/>
              <w:jc w:val="right"/>
              <w:rPr>
                <w:szCs w:val="21"/>
              </w:rPr>
            </w:pPr>
            <w:r>
              <w:rPr>
                <w:szCs w:val="21"/>
              </w:rPr>
              <w:t>32,501</w:t>
            </w:r>
          </w:p>
        </w:tc>
      </w:tr>
      <w:tr>
        <w:trPr>
          <w:jc w:val="center"/>
        </w:trPr>
        <w:tc>
          <w:tcPr>
            <w:tcW w:w="761" w:type="pct"/>
            <w:shd w:val="clear" w:color="auto" w:fill="auto"/>
            <w:vAlign w:val="center"/>
          </w:tcPr>
          <w:p>
            <w:pPr>
              <w:spacing w:line="360" w:lineRule="exact"/>
              <w:rPr>
                <w:szCs w:val="21"/>
              </w:rPr>
            </w:pPr>
            <w:r>
              <w:rPr>
                <w:rFonts w:hint="eastAsia"/>
                <w:szCs w:val="21"/>
              </w:rPr>
              <w:t>投资性房地产</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12,128</w:t>
            </w:r>
          </w:p>
        </w:tc>
        <w:tc>
          <w:tcPr>
            <w:tcW w:w="597" w:type="pct"/>
            <w:vAlign w:val="center"/>
          </w:tcPr>
          <w:p>
            <w:pPr>
              <w:spacing w:line="360" w:lineRule="exact"/>
              <w:jc w:val="right"/>
              <w:rPr>
                <w:szCs w:val="21"/>
              </w:rPr>
            </w:pPr>
            <w:r>
              <w:rPr>
                <w:szCs w:val="21"/>
              </w:rPr>
              <w:t>1,692</w:t>
            </w:r>
          </w:p>
        </w:tc>
      </w:tr>
      <w:tr>
        <w:trPr>
          <w:jc w:val="center"/>
        </w:trPr>
        <w:tc>
          <w:tcPr>
            <w:tcW w:w="761" w:type="pct"/>
            <w:vAlign w:val="center"/>
          </w:tcPr>
          <w:p>
            <w:pPr>
              <w:spacing w:line="360" w:lineRule="exact"/>
              <w:rPr>
                <w:szCs w:val="21"/>
              </w:rPr>
            </w:pPr>
            <w:r>
              <w:rPr>
                <w:rFonts w:hint="eastAsia"/>
                <w:szCs w:val="21"/>
              </w:rPr>
              <w:t>固定资产</w:t>
            </w:r>
          </w:p>
        </w:tc>
        <w:tc>
          <w:tcPr>
            <w:tcW w:w="372" w:type="pct"/>
            <w:vAlign w:val="center"/>
          </w:tcPr>
          <w:p>
            <w:pPr>
              <w:spacing w:line="360" w:lineRule="exact"/>
              <w:jc w:val="right"/>
              <w:rPr>
                <w:szCs w:val="21"/>
              </w:rPr>
            </w:pPr>
            <w:r>
              <w:rPr>
                <w:szCs w:val="21"/>
              </w:rPr>
              <w:t>12,699</w:t>
            </w:r>
          </w:p>
        </w:tc>
        <w:tc>
          <w:tcPr>
            <w:tcW w:w="372" w:type="pct"/>
            <w:vAlign w:val="center"/>
          </w:tcPr>
          <w:p>
            <w:pPr>
              <w:spacing w:line="360" w:lineRule="exact"/>
              <w:jc w:val="right"/>
              <w:rPr>
                <w:szCs w:val="21"/>
              </w:rPr>
            </w:pPr>
            <w:r>
              <w:rPr>
                <w:szCs w:val="21"/>
              </w:rPr>
              <w:t>12,699</w:t>
            </w:r>
          </w:p>
        </w:tc>
        <w:tc>
          <w:tcPr>
            <w:tcW w:w="372" w:type="pct"/>
            <w:vAlign w:val="center"/>
          </w:tcPr>
          <w:p>
            <w:pPr>
              <w:spacing w:line="360" w:lineRule="exact"/>
              <w:jc w:val="right"/>
              <w:rPr>
                <w:szCs w:val="21"/>
              </w:rPr>
            </w:pPr>
            <w:r>
              <w:rPr>
                <w:szCs w:val="21"/>
              </w:rPr>
              <w:t>34,702</w:t>
            </w:r>
          </w:p>
        </w:tc>
        <w:tc>
          <w:tcPr>
            <w:tcW w:w="372" w:type="pct"/>
            <w:vAlign w:val="center"/>
          </w:tcPr>
          <w:p>
            <w:pPr>
              <w:spacing w:line="360" w:lineRule="exact"/>
              <w:jc w:val="right"/>
              <w:rPr>
                <w:szCs w:val="21"/>
              </w:rPr>
            </w:pPr>
            <w:r>
              <w:rPr>
                <w:szCs w:val="21"/>
              </w:rPr>
              <w:t>34,465</w:t>
            </w:r>
          </w:p>
        </w:tc>
        <w:tc>
          <w:tcPr>
            <w:tcW w:w="470" w:type="pct"/>
            <w:vAlign w:val="center"/>
          </w:tcPr>
          <w:p>
            <w:pPr>
              <w:spacing w:line="360" w:lineRule="exact"/>
              <w:jc w:val="right"/>
              <w:rPr>
                <w:szCs w:val="21"/>
              </w:rPr>
            </w:pPr>
            <w:r>
              <w:rPr>
                <w:szCs w:val="21"/>
              </w:rPr>
              <w:t>94,586</w:t>
            </w:r>
          </w:p>
        </w:tc>
        <w:tc>
          <w:tcPr>
            <w:tcW w:w="470" w:type="pct"/>
            <w:vAlign w:val="center"/>
          </w:tcPr>
          <w:p>
            <w:pPr>
              <w:spacing w:line="360" w:lineRule="exact"/>
              <w:jc w:val="right"/>
              <w:rPr>
                <w:szCs w:val="21"/>
              </w:rPr>
            </w:pPr>
            <w:r>
              <w:rPr>
                <w:szCs w:val="21"/>
              </w:rPr>
              <w:t>31,308</w:t>
            </w:r>
          </w:p>
        </w:tc>
        <w:tc>
          <w:tcPr>
            <w:tcW w:w="372" w:type="pct"/>
            <w:vAlign w:val="center"/>
          </w:tcPr>
          <w:p>
            <w:pPr>
              <w:spacing w:line="360" w:lineRule="exact"/>
              <w:jc w:val="right"/>
              <w:rPr>
                <w:szCs w:val="21"/>
              </w:rPr>
            </w:pPr>
            <w:r>
              <w:rPr>
                <w:szCs w:val="21"/>
              </w:rPr>
              <w:t>7,009</w:t>
            </w:r>
          </w:p>
        </w:tc>
        <w:tc>
          <w:tcPr>
            <w:tcW w:w="372" w:type="pct"/>
            <w:vAlign w:val="center"/>
          </w:tcPr>
          <w:p>
            <w:pPr>
              <w:spacing w:line="360" w:lineRule="exact"/>
              <w:jc w:val="right"/>
              <w:rPr>
                <w:szCs w:val="21"/>
              </w:rPr>
            </w:pPr>
            <w:r>
              <w:rPr>
                <w:szCs w:val="21"/>
              </w:rPr>
              <w:t>7,009</w:t>
            </w:r>
          </w:p>
        </w:tc>
        <w:tc>
          <w:tcPr>
            <w:tcW w:w="470" w:type="pct"/>
            <w:vAlign w:val="center"/>
          </w:tcPr>
          <w:p>
            <w:pPr>
              <w:spacing w:line="360" w:lineRule="exact"/>
              <w:jc w:val="right"/>
              <w:rPr>
                <w:szCs w:val="21"/>
              </w:rPr>
            </w:pPr>
            <w:r>
              <w:rPr>
                <w:szCs w:val="21"/>
              </w:rPr>
              <w:t>119,108</w:t>
            </w:r>
          </w:p>
        </w:tc>
        <w:tc>
          <w:tcPr>
            <w:tcW w:w="597" w:type="pct"/>
            <w:vAlign w:val="center"/>
          </w:tcPr>
          <w:p>
            <w:pPr>
              <w:spacing w:line="360" w:lineRule="exact"/>
              <w:jc w:val="right"/>
              <w:rPr>
                <w:szCs w:val="21"/>
              </w:rPr>
            </w:pPr>
            <w:r>
              <w:rPr>
                <w:szCs w:val="21"/>
              </w:rPr>
              <w:t>88,088</w:t>
            </w:r>
          </w:p>
        </w:tc>
      </w:tr>
      <w:tr>
        <w:trPr>
          <w:jc w:val="center"/>
        </w:trPr>
        <w:tc>
          <w:tcPr>
            <w:tcW w:w="761" w:type="pct"/>
            <w:vAlign w:val="center"/>
          </w:tcPr>
          <w:p>
            <w:pPr>
              <w:spacing w:line="360" w:lineRule="exact"/>
              <w:rPr>
                <w:szCs w:val="21"/>
              </w:rPr>
            </w:pPr>
            <w:r>
              <w:rPr>
                <w:rFonts w:hint="eastAsia"/>
                <w:szCs w:val="21"/>
              </w:rPr>
              <w:t>在建工程</w:t>
            </w:r>
          </w:p>
        </w:tc>
        <w:tc>
          <w:tcPr>
            <w:tcW w:w="372" w:type="pct"/>
            <w:vAlign w:val="center"/>
          </w:tcPr>
          <w:p>
            <w:pPr>
              <w:spacing w:line="360" w:lineRule="exact"/>
              <w:jc w:val="right"/>
              <w:rPr>
                <w:szCs w:val="21"/>
              </w:rPr>
            </w:pPr>
            <w:r>
              <w:rPr>
                <w:szCs w:val="21"/>
              </w:rPr>
              <w:t>1,504</w:t>
            </w:r>
          </w:p>
        </w:tc>
        <w:tc>
          <w:tcPr>
            <w:tcW w:w="372" w:type="pct"/>
            <w:vAlign w:val="center"/>
          </w:tcPr>
          <w:p>
            <w:pPr>
              <w:spacing w:line="360" w:lineRule="exact"/>
              <w:jc w:val="right"/>
              <w:rPr>
                <w:szCs w:val="21"/>
              </w:rPr>
            </w:pPr>
            <w:r>
              <w:rPr>
                <w:szCs w:val="21"/>
              </w:rPr>
              <w:t>1,504</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245</w:t>
            </w: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73,732</w:t>
            </w:r>
          </w:p>
        </w:tc>
        <w:tc>
          <w:tcPr>
            <w:tcW w:w="597" w:type="pct"/>
            <w:vAlign w:val="center"/>
          </w:tcPr>
          <w:p>
            <w:pPr>
              <w:spacing w:line="360" w:lineRule="exact"/>
              <w:jc w:val="right"/>
              <w:rPr>
                <w:szCs w:val="21"/>
              </w:rPr>
            </w:pPr>
            <w:r>
              <w:rPr>
                <w:szCs w:val="21"/>
              </w:rPr>
              <w:t>47,533</w:t>
            </w:r>
          </w:p>
        </w:tc>
      </w:tr>
      <w:tr>
        <w:trPr>
          <w:jc w:val="center"/>
        </w:trPr>
        <w:tc>
          <w:tcPr>
            <w:tcW w:w="761" w:type="pct"/>
            <w:vAlign w:val="center"/>
          </w:tcPr>
          <w:p>
            <w:pPr>
              <w:spacing w:line="360" w:lineRule="exact"/>
              <w:rPr>
                <w:szCs w:val="21"/>
              </w:rPr>
            </w:pPr>
            <w:r>
              <w:rPr>
                <w:rFonts w:hint="eastAsia"/>
                <w:szCs w:val="21"/>
              </w:rPr>
              <w:t>使用权资产</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20,280</w:t>
            </w:r>
          </w:p>
        </w:tc>
        <w:tc>
          <w:tcPr>
            <w:tcW w:w="470" w:type="pct"/>
            <w:vAlign w:val="center"/>
          </w:tcPr>
          <w:p>
            <w:pPr>
              <w:spacing w:line="360" w:lineRule="exact"/>
              <w:jc w:val="right"/>
              <w:rPr>
                <w:szCs w:val="21"/>
              </w:rPr>
            </w:pPr>
            <w:r>
              <w:rPr>
                <w:szCs w:val="21"/>
              </w:rPr>
              <w:t>20,280</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18,936</w:t>
            </w:r>
          </w:p>
        </w:tc>
        <w:tc>
          <w:tcPr>
            <w:tcW w:w="597" w:type="pct"/>
            <w:vAlign w:val="center"/>
          </w:tcPr>
          <w:p>
            <w:pPr>
              <w:spacing w:line="360" w:lineRule="exact"/>
              <w:jc w:val="right"/>
              <w:rPr>
                <w:szCs w:val="21"/>
              </w:rPr>
            </w:pPr>
            <w:r>
              <w:rPr>
                <w:szCs w:val="21"/>
              </w:rPr>
              <w:t>18,936</w:t>
            </w:r>
          </w:p>
        </w:tc>
      </w:tr>
      <w:tr>
        <w:trPr>
          <w:jc w:val="center"/>
        </w:trPr>
        <w:tc>
          <w:tcPr>
            <w:tcW w:w="761" w:type="pct"/>
            <w:vAlign w:val="center"/>
          </w:tcPr>
          <w:p>
            <w:pPr>
              <w:spacing w:line="360" w:lineRule="exact"/>
              <w:rPr>
                <w:szCs w:val="21"/>
              </w:rPr>
            </w:pPr>
            <w:r>
              <w:rPr>
                <w:rFonts w:hint="eastAsia"/>
                <w:szCs w:val="21"/>
              </w:rPr>
              <w:t>无形资产</w:t>
            </w:r>
          </w:p>
        </w:tc>
        <w:tc>
          <w:tcPr>
            <w:tcW w:w="372" w:type="pct"/>
            <w:vAlign w:val="center"/>
          </w:tcPr>
          <w:p>
            <w:pPr>
              <w:spacing w:line="360" w:lineRule="exact"/>
              <w:jc w:val="right"/>
              <w:rPr>
                <w:szCs w:val="21"/>
              </w:rPr>
            </w:pPr>
            <w:r>
              <w:rPr>
                <w:szCs w:val="21"/>
              </w:rPr>
              <w:t>30</w:t>
            </w:r>
          </w:p>
        </w:tc>
        <w:tc>
          <w:tcPr>
            <w:tcW w:w="372" w:type="pct"/>
            <w:vAlign w:val="center"/>
          </w:tcPr>
          <w:p>
            <w:pPr>
              <w:spacing w:line="360" w:lineRule="exact"/>
              <w:jc w:val="right"/>
              <w:rPr>
                <w:szCs w:val="21"/>
              </w:rPr>
            </w:pPr>
            <w:r>
              <w:rPr>
                <w:szCs w:val="21"/>
              </w:rPr>
              <w:t>30</w:t>
            </w:r>
          </w:p>
        </w:tc>
        <w:tc>
          <w:tcPr>
            <w:tcW w:w="372" w:type="pct"/>
            <w:vAlign w:val="center"/>
          </w:tcPr>
          <w:p>
            <w:pPr>
              <w:spacing w:line="360" w:lineRule="exact"/>
              <w:jc w:val="right"/>
              <w:rPr>
                <w:szCs w:val="21"/>
              </w:rPr>
            </w:pPr>
            <w:r>
              <w:rPr>
                <w:szCs w:val="21"/>
              </w:rPr>
              <w:t>1,362</w:t>
            </w:r>
          </w:p>
        </w:tc>
        <w:tc>
          <w:tcPr>
            <w:tcW w:w="372" w:type="pct"/>
            <w:vAlign w:val="center"/>
          </w:tcPr>
          <w:p>
            <w:pPr>
              <w:spacing w:line="360" w:lineRule="exact"/>
              <w:jc w:val="right"/>
              <w:rPr>
                <w:szCs w:val="21"/>
              </w:rPr>
            </w:pPr>
            <w:r>
              <w:rPr>
                <w:szCs w:val="21"/>
              </w:rPr>
              <w:t>58</w:t>
            </w:r>
          </w:p>
        </w:tc>
        <w:tc>
          <w:tcPr>
            <w:tcW w:w="470" w:type="pct"/>
            <w:vAlign w:val="center"/>
          </w:tcPr>
          <w:p>
            <w:pPr>
              <w:spacing w:line="360" w:lineRule="exact"/>
              <w:jc w:val="right"/>
              <w:rPr>
                <w:szCs w:val="21"/>
              </w:rPr>
            </w:pPr>
            <w:r>
              <w:rPr>
                <w:szCs w:val="21"/>
              </w:rPr>
              <w:t>53,895</w:t>
            </w:r>
          </w:p>
        </w:tc>
        <w:tc>
          <w:tcPr>
            <w:tcW w:w="470" w:type="pct"/>
            <w:vAlign w:val="center"/>
          </w:tcPr>
          <w:p>
            <w:pPr>
              <w:spacing w:line="360" w:lineRule="exact"/>
              <w:jc w:val="right"/>
              <w:rPr>
                <w:szCs w:val="21"/>
              </w:rPr>
            </w:pPr>
            <w:r>
              <w:rPr>
                <w:szCs w:val="21"/>
              </w:rPr>
              <w:t>51,190</w:t>
            </w:r>
          </w:p>
        </w:tc>
        <w:tc>
          <w:tcPr>
            <w:tcW w:w="372" w:type="pct"/>
            <w:vAlign w:val="center"/>
          </w:tcPr>
          <w:p>
            <w:pPr>
              <w:spacing w:line="360" w:lineRule="exact"/>
              <w:jc w:val="right"/>
              <w:rPr>
                <w:szCs w:val="21"/>
              </w:rPr>
            </w:pPr>
            <w:r>
              <w:rPr>
                <w:szCs w:val="21"/>
              </w:rPr>
              <w:t>5,710</w:t>
            </w:r>
          </w:p>
        </w:tc>
        <w:tc>
          <w:tcPr>
            <w:tcW w:w="372" w:type="pct"/>
            <w:vAlign w:val="center"/>
          </w:tcPr>
          <w:p>
            <w:pPr>
              <w:spacing w:line="360" w:lineRule="exact"/>
              <w:jc w:val="right"/>
              <w:rPr>
                <w:szCs w:val="21"/>
              </w:rPr>
            </w:pPr>
            <w:r>
              <w:rPr>
                <w:szCs w:val="21"/>
              </w:rPr>
              <w:t>5,710</w:t>
            </w:r>
          </w:p>
        </w:tc>
        <w:tc>
          <w:tcPr>
            <w:tcW w:w="470" w:type="pct"/>
            <w:vAlign w:val="center"/>
          </w:tcPr>
          <w:p>
            <w:pPr>
              <w:spacing w:line="360" w:lineRule="exact"/>
              <w:jc w:val="right"/>
              <w:rPr>
                <w:szCs w:val="21"/>
              </w:rPr>
            </w:pPr>
            <w:r>
              <w:rPr>
                <w:szCs w:val="21"/>
              </w:rPr>
              <w:t>289,846</w:t>
            </w:r>
          </w:p>
        </w:tc>
        <w:tc>
          <w:tcPr>
            <w:tcW w:w="597" w:type="pct"/>
            <w:vAlign w:val="center"/>
          </w:tcPr>
          <w:p>
            <w:pPr>
              <w:spacing w:line="360" w:lineRule="exact"/>
              <w:jc w:val="right"/>
              <w:rPr>
                <w:szCs w:val="21"/>
              </w:rPr>
            </w:pPr>
            <w:r>
              <w:rPr>
                <w:szCs w:val="21"/>
              </w:rPr>
              <w:t>18,754</w:t>
            </w:r>
          </w:p>
        </w:tc>
      </w:tr>
      <w:tr>
        <w:trPr>
          <w:jc w:val="center"/>
        </w:trPr>
        <w:tc>
          <w:tcPr>
            <w:tcW w:w="761" w:type="pct"/>
            <w:vAlign w:val="center"/>
          </w:tcPr>
          <w:p>
            <w:pPr>
              <w:spacing w:line="360" w:lineRule="exact"/>
              <w:rPr>
                <w:szCs w:val="21"/>
              </w:rPr>
            </w:pPr>
            <w:r>
              <w:rPr>
                <w:rFonts w:hint="eastAsia"/>
                <w:szCs w:val="21"/>
              </w:rPr>
              <w:t>长期待摊费用</w:t>
            </w:r>
          </w:p>
        </w:tc>
        <w:tc>
          <w:tcPr>
            <w:tcW w:w="372" w:type="pct"/>
            <w:vAlign w:val="center"/>
          </w:tcPr>
          <w:p>
            <w:pPr>
              <w:spacing w:line="360" w:lineRule="exact"/>
              <w:jc w:val="right"/>
              <w:rPr>
                <w:szCs w:val="21"/>
              </w:rPr>
            </w:pPr>
            <w:r>
              <w:rPr>
                <w:szCs w:val="21"/>
              </w:rPr>
              <w:t>782</w:t>
            </w:r>
          </w:p>
        </w:tc>
        <w:tc>
          <w:tcPr>
            <w:tcW w:w="372" w:type="pct"/>
            <w:vAlign w:val="center"/>
          </w:tcPr>
          <w:p>
            <w:pPr>
              <w:spacing w:line="360" w:lineRule="exact"/>
              <w:jc w:val="right"/>
              <w:rPr>
                <w:szCs w:val="21"/>
              </w:rPr>
            </w:pPr>
            <w:r>
              <w:rPr>
                <w:szCs w:val="21"/>
              </w:rPr>
              <w:t>782</w:t>
            </w:r>
          </w:p>
        </w:tc>
        <w:tc>
          <w:tcPr>
            <w:tcW w:w="372" w:type="pct"/>
            <w:vAlign w:val="center"/>
          </w:tcPr>
          <w:p>
            <w:pPr>
              <w:spacing w:line="360" w:lineRule="exact"/>
              <w:jc w:val="right"/>
              <w:rPr>
                <w:szCs w:val="21"/>
              </w:rPr>
            </w:pPr>
            <w:r>
              <w:rPr>
                <w:szCs w:val="21"/>
              </w:rPr>
              <w:t>434</w:t>
            </w:r>
          </w:p>
        </w:tc>
        <w:tc>
          <w:tcPr>
            <w:tcW w:w="372" w:type="pct"/>
            <w:vAlign w:val="center"/>
          </w:tcPr>
          <w:p>
            <w:pPr>
              <w:spacing w:line="360" w:lineRule="exact"/>
              <w:jc w:val="right"/>
              <w:rPr>
                <w:szCs w:val="21"/>
              </w:rPr>
            </w:pPr>
            <w:r>
              <w:rPr>
                <w:szCs w:val="21"/>
              </w:rPr>
              <w:t>434</w:t>
            </w: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265</w:t>
            </w:r>
          </w:p>
        </w:tc>
        <w:tc>
          <w:tcPr>
            <w:tcW w:w="372" w:type="pct"/>
            <w:vAlign w:val="center"/>
          </w:tcPr>
          <w:p>
            <w:pPr>
              <w:spacing w:line="360" w:lineRule="exact"/>
              <w:jc w:val="right"/>
              <w:rPr>
                <w:szCs w:val="21"/>
              </w:rPr>
            </w:pPr>
            <w:r>
              <w:rPr>
                <w:szCs w:val="21"/>
              </w:rPr>
              <w:t>265</w:t>
            </w:r>
          </w:p>
        </w:tc>
        <w:tc>
          <w:tcPr>
            <w:tcW w:w="470" w:type="pct"/>
            <w:vAlign w:val="center"/>
          </w:tcPr>
          <w:p>
            <w:pPr>
              <w:spacing w:line="360" w:lineRule="exact"/>
              <w:jc w:val="right"/>
              <w:rPr>
                <w:szCs w:val="21"/>
              </w:rPr>
            </w:pPr>
            <w:r>
              <w:rPr>
                <w:szCs w:val="21"/>
              </w:rPr>
              <w:t>497</w:t>
            </w:r>
          </w:p>
        </w:tc>
        <w:tc>
          <w:tcPr>
            <w:tcW w:w="597" w:type="pct"/>
            <w:vAlign w:val="center"/>
          </w:tcPr>
          <w:p>
            <w:pPr>
              <w:spacing w:line="360" w:lineRule="exact"/>
              <w:jc w:val="right"/>
              <w:rPr>
                <w:szCs w:val="21"/>
              </w:rPr>
            </w:pPr>
            <w:r>
              <w:rPr>
                <w:szCs w:val="21"/>
              </w:rPr>
              <w:t>497</w:t>
            </w:r>
          </w:p>
        </w:tc>
      </w:tr>
      <w:tr>
        <w:trPr>
          <w:jc w:val="center"/>
        </w:trPr>
        <w:tc>
          <w:tcPr>
            <w:tcW w:w="761" w:type="pct"/>
            <w:vAlign w:val="center"/>
          </w:tcPr>
          <w:p>
            <w:pPr>
              <w:spacing w:line="360" w:lineRule="exact"/>
              <w:rPr>
                <w:szCs w:val="21"/>
              </w:rPr>
            </w:pPr>
            <w:r>
              <w:rPr>
                <w:rFonts w:hint="eastAsia"/>
                <w:szCs w:val="21"/>
              </w:rPr>
              <w:t>递延所得税资产</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40,708</w:t>
            </w:r>
          </w:p>
        </w:tc>
        <w:tc>
          <w:tcPr>
            <w:tcW w:w="470" w:type="pct"/>
            <w:vAlign w:val="center"/>
          </w:tcPr>
          <w:p>
            <w:pPr>
              <w:spacing w:line="360" w:lineRule="exact"/>
              <w:jc w:val="right"/>
              <w:rPr>
                <w:szCs w:val="21"/>
              </w:rPr>
            </w:pPr>
            <w:r>
              <w:rPr>
                <w:szCs w:val="21"/>
              </w:rPr>
              <w:t>40,708</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2,176</w:t>
            </w:r>
          </w:p>
        </w:tc>
        <w:tc>
          <w:tcPr>
            <w:tcW w:w="597" w:type="pct"/>
            <w:vAlign w:val="center"/>
          </w:tcPr>
          <w:p>
            <w:pPr>
              <w:spacing w:line="360" w:lineRule="exact"/>
              <w:jc w:val="right"/>
              <w:rPr>
                <w:szCs w:val="21"/>
              </w:rPr>
            </w:pPr>
            <w:r>
              <w:rPr>
                <w:szCs w:val="21"/>
              </w:rPr>
              <w:t>2,176</w:t>
            </w:r>
          </w:p>
        </w:tc>
      </w:tr>
      <w:tr>
        <w:trPr>
          <w:jc w:val="center"/>
        </w:trPr>
        <w:tc>
          <w:tcPr>
            <w:tcW w:w="761" w:type="pct"/>
            <w:vAlign w:val="center"/>
          </w:tcPr>
          <w:p>
            <w:pPr>
              <w:spacing w:line="360" w:lineRule="exact"/>
              <w:rPr>
                <w:szCs w:val="21"/>
              </w:rPr>
            </w:pPr>
            <w:r>
              <w:rPr>
                <w:rFonts w:hint="eastAsia"/>
                <w:szCs w:val="21"/>
              </w:rPr>
              <w:t>其他非流动资产</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vAlign w:val="center"/>
          </w:tcPr>
          <w:p>
            <w:pPr>
              <w:spacing w:line="360" w:lineRule="exact"/>
              <w:rPr>
                <w:szCs w:val="21"/>
              </w:rPr>
            </w:pPr>
            <w:r>
              <w:rPr>
                <w:rFonts w:hint="eastAsia"/>
                <w:szCs w:val="21"/>
              </w:rPr>
              <w:t>负债</w:t>
            </w:r>
          </w:p>
        </w:tc>
        <w:tc>
          <w:tcPr>
            <w:tcW w:w="372" w:type="pct"/>
            <w:vAlign w:val="center"/>
          </w:tcPr>
          <w:p>
            <w:pPr>
              <w:spacing w:line="360" w:lineRule="exact"/>
              <w:jc w:val="right"/>
              <w:rPr>
                <w:szCs w:val="21"/>
              </w:rPr>
            </w:pPr>
            <w:r>
              <w:rPr>
                <w:szCs w:val="21"/>
              </w:rPr>
              <w:t>13,910</w:t>
            </w:r>
          </w:p>
        </w:tc>
        <w:tc>
          <w:tcPr>
            <w:tcW w:w="372" w:type="pct"/>
            <w:vAlign w:val="center"/>
          </w:tcPr>
          <w:p>
            <w:pPr>
              <w:spacing w:line="360" w:lineRule="exact"/>
              <w:jc w:val="right"/>
              <w:rPr>
                <w:szCs w:val="21"/>
              </w:rPr>
            </w:pPr>
            <w:r>
              <w:rPr>
                <w:szCs w:val="21"/>
              </w:rPr>
              <w:t>13,910</w:t>
            </w:r>
          </w:p>
        </w:tc>
        <w:tc>
          <w:tcPr>
            <w:tcW w:w="372" w:type="pct"/>
            <w:vAlign w:val="center"/>
          </w:tcPr>
          <w:p>
            <w:pPr>
              <w:spacing w:line="360" w:lineRule="exact"/>
              <w:jc w:val="right"/>
              <w:rPr>
                <w:szCs w:val="21"/>
              </w:rPr>
            </w:pPr>
            <w:r>
              <w:rPr>
                <w:szCs w:val="21"/>
              </w:rPr>
              <w:t>76,340</w:t>
            </w:r>
          </w:p>
        </w:tc>
        <w:tc>
          <w:tcPr>
            <w:tcW w:w="372" w:type="pct"/>
            <w:vAlign w:val="center"/>
          </w:tcPr>
          <w:p>
            <w:pPr>
              <w:spacing w:line="360" w:lineRule="exact"/>
              <w:jc w:val="right"/>
              <w:rPr>
                <w:szCs w:val="21"/>
              </w:rPr>
            </w:pPr>
            <w:r>
              <w:rPr>
                <w:szCs w:val="21"/>
              </w:rPr>
              <w:t>74,994</w:t>
            </w:r>
          </w:p>
        </w:tc>
        <w:tc>
          <w:tcPr>
            <w:tcW w:w="470" w:type="pct"/>
            <w:vAlign w:val="center"/>
          </w:tcPr>
          <w:p>
            <w:pPr>
              <w:spacing w:line="360" w:lineRule="exact"/>
              <w:jc w:val="right"/>
              <w:rPr>
                <w:szCs w:val="21"/>
              </w:rPr>
            </w:pPr>
            <w:r>
              <w:rPr>
                <w:szCs w:val="21"/>
              </w:rPr>
              <w:t>375,219</w:t>
            </w:r>
          </w:p>
        </w:tc>
        <w:tc>
          <w:tcPr>
            <w:tcW w:w="470" w:type="pct"/>
            <w:vAlign w:val="center"/>
          </w:tcPr>
          <w:p>
            <w:pPr>
              <w:spacing w:line="360" w:lineRule="exact"/>
              <w:jc w:val="right"/>
              <w:rPr>
                <w:szCs w:val="21"/>
              </w:rPr>
            </w:pPr>
            <w:r>
              <w:rPr>
                <w:szCs w:val="21"/>
              </w:rPr>
              <w:t>354,124</w:t>
            </w:r>
          </w:p>
        </w:tc>
        <w:tc>
          <w:tcPr>
            <w:tcW w:w="372" w:type="pct"/>
            <w:vAlign w:val="center"/>
          </w:tcPr>
          <w:p>
            <w:pPr>
              <w:spacing w:line="360" w:lineRule="exact"/>
              <w:jc w:val="right"/>
              <w:rPr>
                <w:szCs w:val="21"/>
              </w:rPr>
            </w:pPr>
            <w:r>
              <w:rPr>
                <w:szCs w:val="21"/>
              </w:rPr>
              <w:t>16,699</w:t>
            </w:r>
          </w:p>
        </w:tc>
        <w:tc>
          <w:tcPr>
            <w:tcW w:w="372" w:type="pct"/>
            <w:vAlign w:val="center"/>
          </w:tcPr>
          <w:p>
            <w:pPr>
              <w:spacing w:line="360" w:lineRule="exact"/>
              <w:jc w:val="right"/>
              <w:rPr>
                <w:szCs w:val="21"/>
              </w:rPr>
            </w:pPr>
            <w:r>
              <w:rPr>
                <w:szCs w:val="21"/>
              </w:rPr>
              <w:t>16,699</w:t>
            </w:r>
          </w:p>
        </w:tc>
        <w:tc>
          <w:tcPr>
            <w:tcW w:w="470" w:type="pct"/>
            <w:vAlign w:val="center"/>
          </w:tcPr>
          <w:p>
            <w:pPr>
              <w:spacing w:line="360" w:lineRule="exact"/>
              <w:jc w:val="right"/>
              <w:rPr>
                <w:szCs w:val="21"/>
              </w:rPr>
            </w:pPr>
            <w:r>
              <w:rPr>
                <w:szCs w:val="21"/>
              </w:rPr>
              <w:t>2,314,745</w:t>
            </w:r>
          </w:p>
        </w:tc>
        <w:tc>
          <w:tcPr>
            <w:tcW w:w="597" w:type="pct"/>
            <w:vAlign w:val="center"/>
          </w:tcPr>
          <w:p>
            <w:pPr>
              <w:spacing w:line="360" w:lineRule="exact"/>
              <w:jc w:val="right"/>
              <w:rPr>
                <w:szCs w:val="21"/>
              </w:rPr>
            </w:pPr>
            <w:r>
              <w:rPr>
                <w:szCs w:val="21"/>
              </w:rPr>
              <w:t>2,229,256</w:t>
            </w:r>
          </w:p>
        </w:tc>
      </w:tr>
      <w:tr>
        <w:trPr>
          <w:jc w:val="center"/>
        </w:trPr>
        <w:tc>
          <w:tcPr>
            <w:tcW w:w="761" w:type="pct"/>
            <w:vAlign w:val="center"/>
          </w:tcPr>
          <w:p>
            <w:pPr>
              <w:spacing w:line="360" w:lineRule="exact"/>
              <w:rPr>
                <w:szCs w:val="21"/>
              </w:rPr>
            </w:pPr>
            <w:r>
              <w:rPr>
                <w:rFonts w:hint="eastAsia"/>
                <w:szCs w:val="21"/>
              </w:rPr>
              <w:t>短期借款</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10,000</w:t>
            </w:r>
          </w:p>
        </w:tc>
        <w:tc>
          <w:tcPr>
            <w:tcW w:w="372" w:type="pct"/>
            <w:vAlign w:val="center"/>
          </w:tcPr>
          <w:p>
            <w:pPr>
              <w:spacing w:line="360" w:lineRule="exact"/>
              <w:jc w:val="right"/>
              <w:rPr>
                <w:szCs w:val="21"/>
              </w:rPr>
            </w:pPr>
            <w:r>
              <w:rPr>
                <w:szCs w:val="21"/>
              </w:rPr>
              <w:t>10,000</w:t>
            </w:r>
          </w:p>
        </w:tc>
        <w:tc>
          <w:tcPr>
            <w:tcW w:w="470" w:type="pct"/>
            <w:vAlign w:val="center"/>
          </w:tcPr>
          <w:p>
            <w:pPr>
              <w:spacing w:line="360" w:lineRule="exact"/>
              <w:jc w:val="right"/>
              <w:rPr>
                <w:szCs w:val="21"/>
              </w:rPr>
            </w:pPr>
            <w:r>
              <w:rPr>
                <w:szCs w:val="21"/>
              </w:rPr>
              <w:t>112,748</w:t>
            </w:r>
          </w:p>
        </w:tc>
        <w:tc>
          <w:tcPr>
            <w:tcW w:w="470" w:type="pct"/>
            <w:vAlign w:val="center"/>
          </w:tcPr>
          <w:p>
            <w:pPr>
              <w:spacing w:line="360" w:lineRule="exact"/>
              <w:jc w:val="right"/>
              <w:rPr>
                <w:szCs w:val="21"/>
              </w:rPr>
            </w:pPr>
            <w:r>
              <w:rPr>
                <w:szCs w:val="21"/>
              </w:rPr>
              <w:t>112,748</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137,613</w:t>
            </w:r>
          </w:p>
        </w:tc>
        <w:tc>
          <w:tcPr>
            <w:tcW w:w="597" w:type="pct"/>
            <w:vAlign w:val="center"/>
          </w:tcPr>
          <w:p>
            <w:pPr>
              <w:spacing w:line="360" w:lineRule="exact"/>
              <w:jc w:val="right"/>
              <w:rPr>
                <w:szCs w:val="21"/>
              </w:rPr>
            </w:pPr>
            <w:r>
              <w:rPr>
                <w:szCs w:val="21"/>
              </w:rPr>
              <w:t>137,613</w:t>
            </w:r>
          </w:p>
        </w:tc>
      </w:tr>
      <w:tr>
        <w:trPr>
          <w:jc w:val="center"/>
        </w:trPr>
        <w:tc>
          <w:tcPr>
            <w:tcW w:w="761" w:type="pct"/>
            <w:vAlign w:val="center"/>
          </w:tcPr>
          <w:p>
            <w:pPr>
              <w:spacing w:line="360" w:lineRule="exact"/>
              <w:rPr>
                <w:szCs w:val="21"/>
              </w:rPr>
            </w:pPr>
            <w:r>
              <w:rPr>
                <w:rFonts w:hint="eastAsia"/>
                <w:szCs w:val="21"/>
              </w:rPr>
              <w:t>应付票据</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2,484</w:t>
            </w:r>
          </w:p>
        </w:tc>
        <w:tc>
          <w:tcPr>
            <w:tcW w:w="372" w:type="pct"/>
            <w:vAlign w:val="center"/>
          </w:tcPr>
          <w:p>
            <w:pPr>
              <w:spacing w:line="360" w:lineRule="exact"/>
              <w:jc w:val="right"/>
              <w:rPr>
                <w:szCs w:val="21"/>
              </w:rPr>
            </w:pPr>
            <w:r>
              <w:rPr>
                <w:szCs w:val="21"/>
              </w:rPr>
              <w:t>2,484</w:t>
            </w:r>
          </w:p>
        </w:tc>
        <w:tc>
          <w:tcPr>
            <w:tcW w:w="470" w:type="pct"/>
            <w:vAlign w:val="center"/>
          </w:tcPr>
          <w:p>
            <w:pPr>
              <w:spacing w:line="360" w:lineRule="exact"/>
              <w:jc w:val="right"/>
              <w:rPr>
                <w:szCs w:val="21"/>
              </w:rPr>
            </w:pPr>
            <w:r>
              <w:rPr>
                <w:szCs w:val="21"/>
              </w:rPr>
              <w:t>871,739</w:t>
            </w:r>
          </w:p>
        </w:tc>
        <w:tc>
          <w:tcPr>
            <w:tcW w:w="597" w:type="pct"/>
            <w:vAlign w:val="center"/>
          </w:tcPr>
          <w:p>
            <w:pPr>
              <w:spacing w:line="360" w:lineRule="exact"/>
              <w:jc w:val="right"/>
              <w:rPr>
                <w:szCs w:val="21"/>
              </w:rPr>
            </w:pPr>
            <w:r>
              <w:rPr>
                <w:szCs w:val="21"/>
              </w:rPr>
              <w:t>871,739</w:t>
            </w:r>
          </w:p>
        </w:tc>
      </w:tr>
      <w:tr>
        <w:trPr>
          <w:jc w:val="center"/>
        </w:trPr>
        <w:tc>
          <w:tcPr>
            <w:tcW w:w="761" w:type="pct"/>
            <w:vAlign w:val="center"/>
          </w:tcPr>
          <w:p>
            <w:pPr>
              <w:spacing w:line="360" w:lineRule="exact"/>
              <w:rPr>
                <w:szCs w:val="21"/>
              </w:rPr>
            </w:pPr>
            <w:r>
              <w:rPr>
                <w:rFonts w:hint="eastAsia"/>
                <w:szCs w:val="21"/>
              </w:rPr>
              <w:t>应付款项</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34,597</w:t>
            </w:r>
          </w:p>
        </w:tc>
        <w:tc>
          <w:tcPr>
            <w:tcW w:w="372" w:type="pct"/>
            <w:vAlign w:val="center"/>
          </w:tcPr>
          <w:p>
            <w:pPr>
              <w:spacing w:line="360" w:lineRule="exact"/>
              <w:jc w:val="right"/>
              <w:rPr>
                <w:szCs w:val="21"/>
              </w:rPr>
            </w:pPr>
            <w:r>
              <w:rPr>
                <w:szCs w:val="21"/>
              </w:rPr>
              <w:t>34,597</w:t>
            </w:r>
          </w:p>
        </w:tc>
        <w:tc>
          <w:tcPr>
            <w:tcW w:w="470" w:type="pct"/>
            <w:vAlign w:val="center"/>
          </w:tcPr>
          <w:p>
            <w:pPr>
              <w:spacing w:line="360" w:lineRule="exact"/>
              <w:jc w:val="right"/>
              <w:rPr>
                <w:szCs w:val="21"/>
              </w:rPr>
            </w:pPr>
            <w:r>
              <w:rPr>
                <w:szCs w:val="21"/>
              </w:rPr>
              <w:t>43,430</w:t>
            </w:r>
          </w:p>
        </w:tc>
        <w:tc>
          <w:tcPr>
            <w:tcW w:w="470" w:type="pct"/>
            <w:vAlign w:val="center"/>
          </w:tcPr>
          <w:p>
            <w:pPr>
              <w:spacing w:line="360" w:lineRule="exact"/>
              <w:jc w:val="right"/>
              <w:rPr>
                <w:szCs w:val="21"/>
              </w:rPr>
            </w:pPr>
            <w:r>
              <w:rPr>
                <w:szCs w:val="21"/>
              </w:rPr>
              <w:t>43,430</w:t>
            </w:r>
          </w:p>
        </w:tc>
        <w:tc>
          <w:tcPr>
            <w:tcW w:w="372" w:type="pct"/>
            <w:vAlign w:val="center"/>
          </w:tcPr>
          <w:p>
            <w:pPr>
              <w:spacing w:line="360" w:lineRule="exact"/>
              <w:jc w:val="right"/>
              <w:rPr>
                <w:szCs w:val="21"/>
              </w:rPr>
            </w:pPr>
            <w:r>
              <w:rPr>
                <w:szCs w:val="21"/>
              </w:rPr>
              <w:t>5,718</w:t>
            </w:r>
          </w:p>
        </w:tc>
        <w:tc>
          <w:tcPr>
            <w:tcW w:w="372" w:type="pct"/>
            <w:vAlign w:val="center"/>
          </w:tcPr>
          <w:p>
            <w:pPr>
              <w:spacing w:line="360" w:lineRule="exact"/>
              <w:jc w:val="right"/>
              <w:rPr>
                <w:szCs w:val="21"/>
              </w:rPr>
            </w:pPr>
            <w:r>
              <w:rPr>
                <w:szCs w:val="21"/>
              </w:rPr>
              <w:t>5,718</w:t>
            </w:r>
          </w:p>
        </w:tc>
        <w:tc>
          <w:tcPr>
            <w:tcW w:w="470" w:type="pct"/>
            <w:vAlign w:val="center"/>
          </w:tcPr>
          <w:p>
            <w:pPr>
              <w:spacing w:line="360" w:lineRule="exact"/>
              <w:jc w:val="right"/>
              <w:rPr>
                <w:szCs w:val="21"/>
              </w:rPr>
            </w:pPr>
            <w:r>
              <w:rPr>
                <w:szCs w:val="21"/>
              </w:rPr>
              <w:t>679,089</w:t>
            </w:r>
          </w:p>
        </w:tc>
        <w:tc>
          <w:tcPr>
            <w:tcW w:w="597" w:type="pct"/>
            <w:vAlign w:val="center"/>
          </w:tcPr>
          <w:p>
            <w:pPr>
              <w:spacing w:line="360" w:lineRule="exact"/>
              <w:jc w:val="right"/>
              <w:rPr>
                <w:szCs w:val="21"/>
              </w:rPr>
            </w:pPr>
            <w:r>
              <w:rPr>
                <w:szCs w:val="21"/>
              </w:rPr>
              <w:t>679,089</w:t>
            </w:r>
          </w:p>
        </w:tc>
      </w:tr>
      <w:tr>
        <w:trPr>
          <w:jc w:val="center"/>
        </w:trPr>
        <w:tc>
          <w:tcPr>
            <w:tcW w:w="761" w:type="pct"/>
            <w:vAlign w:val="center"/>
          </w:tcPr>
          <w:p>
            <w:pPr>
              <w:spacing w:line="360" w:lineRule="exact"/>
              <w:rPr>
                <w:szCs w:val="21"/>
              </w:rPr>
            </w:pPr>
            <w:r>
              <w:rPr>
                <w:rFonts w:hint="eastAsia"/>
                <w:szCs w:val="21"/>
              </w:rPr>
              <w:t>预收款项</w:t>
            </w:r>
          </w:p>
        </w:tc>
        <w:tc>
          <w:tcPr>
            <w:tcW w:w="372" w:type="pct"/>
            <w:vAlign w:val="center"/>
          </w:tcPr>
          <w:p>
            <w:pPr>
              <w:spacing w:line="360" w:lineRule="exact"/>
              <w:jc w:val="right"/>
              <w:rPr>
                <w:szCs w:val="21"/>
              </w:rPr>
            </w:pPr>
            <w:r>
              <w:rPr>
                <w:szCs w:val="21"/>
              </w:rPr>
              <w:t>12,342</w:t>
            </w:r>
          </w:p>
        </w:tc>
        <w:tc>
          <w:tcPr>
            <w:tcW w:w="372" w:type="pct"/>
            <w:vAlign w:val="center"/>
          </w:tcPr>
          <w:p>
            <w:pPr>
              <w:spacing w:line="360" w:lineRule="exact"/>
              <w:jc w:val="right"/>
              <w:rPr>
                <w:szCs w:val="21"/>
              </w:rPr>
            </w:pPr>
            <w:r>
              <w:rPr>
                <w:szCs w:val="21"/>
              </w:rPr>
              <w:t>12,342</w:t>
            </w:r>
          </w:p>
        </w:tc>
        <w:tc>
          <w:tcPr>
            <w:tcW w:w="372" w:type="pct"/>
            <w:vAlign w:val="center"/>
          </w:tcPr>
          <w:p>
            <w:pPr>
              <w:spacing w:line="360" w:lineRule="exact"/>
              <w:jc w:val="right"/>
              <w:rPr>
                <w:szCs w:val="21"/>
              </w:rPr>
            </w:pPr>
            <w:r>
              <w:rPr>
                <w:szCs w:val="21"/>
              </w:rPr>
              <w:t>5,000</w:t>
            </w:r>
          </w:p>
        </w:tc>
        <w:tc>
          <w:tcPr>
            <w:tcW w:w="372" w:type="pct"/>
            <w:vAlign w:val="center"/>
          </w:tcPr>
          <w:p>
            <w:pPr>
              <w:spacing w:line="360" w:lineRule="exact"/>
              <w:jc w:val="right"/>
              <w:rPr>
                <w:szCs w:val="21"/>
              </w:rPr>
            </w:pPr>
            <w:r>
              <w:rPr>
                <w:szCs w:val="21"/>
              </w:rPr>
              <w:t>5,000</w:t>
            </w: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253,114</w:t>
            </w:r>
          </w:p>
        </w:tc>
        <w:tc>
          <w:tcPr>
            <w:tcW w:w="597" w:type="pct"/>
            <w:vAlign w:val="center"/>
          </w:tcPr>
          <w:p>
            <w:pPr>
              <w:spacing w:line="360" w:lineRule="exact"/>
              <w:jc w:val="right"/>
              <w:rPr>
                <w:szCs w:val="21"/>
              </w:rPr>
            </w:pPr>
            <w:r>
              <w:rPr>
                <w:szCs w:val="21"/>
              </w:rPr>
              <w:t>253,114</w:t>
            </w:r>
          </w:p>
        </w:tc>
      </w:tr>
      <w:tr>
        <w:trPr>
          <w:jc w:val="center"/>
        </w:trPr>
        <w:tc>
          <w:tcPr>
            <w:tcW w:w="761" w:type="pct"/>
            <w:vAlign w:val="center"/>
          </w:tcPr>
          <w:p>
            <w:pPr>
              <w:spacing w:line="360" w:lineRule="exact"/>
              <w:rPr>
                <w:szCs w:val="21"/>
              </w:rPr>
            </w:pPr>
            <w:r>
              <w:rPr>
                <w:rFonts w:hint="eastAsia"/>
                <w:szCs w:val="21"/>
              </w:rPr>
              <w:t>合同负债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69,704</w:t>
            </w:r>
          </w:p>
        </w:tc>
        <w:tc>
          <w:tcPr>
            <w:tcW w:w="470" w:type="pct"/>
            <w:vAlign w:val="center"/>
          </w:tcPr>
          <w:p>
            <w:pPr>
              <w:spacing w:line="360" w:lineRule="exact"/>
              <w:jc w:val="right"/>
              <w:rPr>
                <w:szCs w:val="21"/>
              </w:rPr>
            </w:pPr>
            <w:r>
              <w:rPr>
                <w:szCs w:val="21"/>
              </w:rPr>
              <w:t>69,704</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1,090</w:t>
            </w:r>
          </w:p>
        </w:tc>
        <w:tc>
          <w:tcPr>
            <w:tcW w:w="597" w:type="pct"/>
            <w:vAlign w:val="center"/>
          </w:tcPr>
          <w:p>
            <w:pPr>
              <w:spacing w:line="360" w:lineRule="exact"/>
              <w:jc w:val="right"/>
              <w:rPr>
                <w:szCs w:val="21"/>
              </w:rPr>
            </w:pPr>
            <w:r>
              <w:rPr>
                <w:szCs w:val="21"/>
              </w:rPr>
              <w:t>1,090</w:t>
            </w:r>
          </w:p>
        </w:tc>
      </w:tr>
      <w:tr>
        <w:trPr>
          <w:jc w:val="center"/>
        </w:trPr>
        <w:tc>
          <w:tcPr>
            <w:tcW w:w="761" w:type="pct"/>
            <w:vAlign w:val="center"/>
          </w:tcPr>
          <w:p>
            <w:pPr>
              <w:spacing w:line="360" w:lineRule="exact"/>
              <w:rPr>
                <w:szCs w:val="21"/>
              </w:rPr>
            </w:pPr>
            <w:r>
              <w:rPr>
                <w:rFonts w:hint="eastAsia"/>
                <w:szCs w:val="21"/>
              </w:rPr>
              <w:t>应付职工薪酬</w:t>
            </w:r>
          </w:p>
        </w:tc>
        <w:tc>
          <w:tcPr>
            <w:tcW w:w="372" w:type="pct"/>
            <w:vAlign w:val="center"/>
          </w:tcPr>
          <w:p>
            <w:pPr>
              <w:spacing w:line="360" w:lineRule="exact"/>
              <w:jc w:val="right"/>
              <w:rPr>
                <w:szCs w:val="21"/>
              </w:rPr>
            </w:pPr>
            <w:r>
              <w:rPr>
                <w:szCs w:val="21"/>
              </w:rPr>
              <w:t>405</w:t>
            </w:r>
          </w:p>
        </w:tc>
        <w:tc>
          <w:tcPr>
            <w:tcW w:w="372" w:type="pct"/>
            <w:vAlign w:val="center"/>
          </w:tcPr>
          <w:p>
            <w:pPr>
              <w:spacing w:line="360" w:lineRule="exact"/>
              <w:jc w:val="right"/>
              <w:rPr>
                <w:szCs w:val="21"/>
              </w:rPr>
            </w:pPr>
            <w:r>
              <w:rPr>
                <w:szCs w:val="21"/>
              </w:rPr>
              <w:t>405</w:t>
            </w:r>
          </w:p>
        </w:tc>
        <w:tc>
          <w:tcPr>
            <w:tcW w:w="372" w:type="pct"/>
            <w:vAlign w:val="center"/>
          </w:tcPr>
          <w:p>
            <w:pPr>
              <w:spacing w:line="360" w:lineRule="exact"/>
              <w:jc w:val="right"/>
              <w:rPr>
                <w:szCs w:val="21"/>
              </w:rPr>
            </w:pPr>
            <w:r>
              <w:rPr>
                <w:szCs w:val="21"/>
              </w:rPr>
              <w:t>2,751</w:t>
            </w:r>
          </w:p>
        </w:tc>
        <w:tc>
          <w:tcPr>
            <w:tcW w:w="372" w:type="pct"/>
            <w:vAlign w:val="center"/>
          </w:tcPr>
          <w:p>
            <w:pPr>
              <w:spacing w:line="360" w:lineRule="exact"/>
              <w:jc w:val="right"/>
              <w:rPr>
                <w:szCs w:val="21"/>
              </w:rPr>
            </w:pPr>
            <w:r>
              <w:rPr>
                <w:szCs w:val="21"/>
              </w:rPr>
              <w:t>2,751</w:t>
            </w:r>
          </w:p>
        </w:tc>
        <w:tc>
          <w:tcPr>
            <w:tcW w:w="470" w:type="pct"/>
            <w:vAlign w:val="center"/>
          </w:tcPr>
          <w:p>
            <w:pPr>
              <w:spacing w:line="360" w:lineRule="exact"/>
              <w:jc w:val="right"/>
              <w:rPr>
                <w:szCs w:val="21"/>
              </w:rPr>
            </w:pPr>
            <w:r>
              <w:rPr>
                <w:szCs w:val="21"/>
              </w:rPr>
              <w:t>22,460</w:t>
            </w:r>
          </w:p>
        </w:tc>
        <w:tc>
          <w:tcPr>
            <w:tcW w:w="470" w:type="pct"/>
            <w:vAlign w:val="center"/>
          </w:tcPr>
          <w:p>
            <w:pPr>
              <w:spacing w:line="360" w:lineRule="exact"/>
              <w:jc w:val="right"/>
              <w:rPr>
                <w:szCs w:val="21"/>
              </w:rPr>
            </w:pPr>
            <w:r>
              <w:rPr>
                <w:szCs w:val="21"/>
              </w:rPr>
              <w:t>22,460</w:t>
            </w:r>
          </w:p>
        </w:tc>
        <w:tc>
          <w:tcPr>
            <w:tcW w:w="372" w:type="pct"/>
            <w:vAlign w:val="center"/>
          </w:tcPr>
          <w:p>
            <w:pPr>
              <w:spacing w:line="360" w:lineRule="exact"/>
              <w:jc w:val="right"/>
              <w:rPr>
                <w:szCs w:val="21"/>
              </w:rPr>
            </w:pPr>
            <w:r>
              <w:rPr>
                <w:szCs w:val="21"/>
              </w:rPr>
              <w:t>-7</w:t>
            </w:r>
          </w:p>
        </w:tc>
        <w:tc>
          <w:tcPr>
            <w:tcW w:w="372" w:type="pct"/>
            <w:vAlign w:val="center"/>
          </w:tcPr>
          <w:p>
            <w:pPr>
              <w:spacing w:line="360" w:lineRule="exact"/>
              <w:jc w:val="right"/>
              <w:rPr>
                <w:szCs w:val="21"/>
              </w:rPr>
            </w:pPr>
            <w:r>
              <w:rPr>
                <w:szCs w:val="21"/>
              </w:rPr>
              <w:t>-7</w:t>
            </w:r>
          </w:p>
        </w:tc>
        <w:tc>
          <w:tcPr>
            <w:tcW w:w="470" w:type="pct"/>
            <w:vAlign w:val="center"/>
          </w:tcPr>
          <w:p>
            <w:pPr>
              <w:spacing w:line="360" w:lineRule="exact"/>
              <w:jc w:val="right"/>
              <w:rPr>
                <w:szCs w:val="21"/>
              </w:rPr>
            </w:pPr>
            <w:r>
              <w:rPr>
                <w:szCs w:val="21"/>
              </w:rPr>
              <w:t>4,609</w:t>
            </w:r>
          </w:p>
        </w:tc>
        <w:tc>
          <w:tcPr>
            <w:tcW w:w="597" w:type="pct"/>
            <w:vAlign w:val="center"/>
          </w:tcPr>
          <w:p>
            <w:pPr>
              <w:spacing w:line="360" w:lineRule="exact"/>
              <w:jc w:val="right"/>
              <w:rPr>
                <w:szCs w:val="21"/>
              </w:rPr>
            </w:pPr>
            <w:r>
              <w:rPr>
                <w:szCs w:val="21"/>
              </w:rPr>
              <w:t>4,609</w:t>
            </w:r>
          </w:p>
        </w:tc>
      </w:tr>
      <w:tr>
        <w:trPr>
          <w:jc w:val="center"/>
        </w:trPr>
        <w:tc>
          <w:tcPr>
            <w:tcW w:w="761" w:type="pct"/>
            <w:vAlign w:val="center"/>
          </w:tcPr>
          <w:p>
            <w:pPr>
              <w:spacing w:line="360" w:lineRule="exact"/>
              <w:rPr>
                <w:szCs w:val="21"/>
              </w:rPr>
            </w:pPr>
            <w:r>
              <w:rPr>
                <w:rFonts w:hint="eastAsia"/>
                <w:szCs w:val="21"/>
              </w:rPr>
              <w:t>应交税费</w:t>
            </w:r>
          </w:p>
        </w:tc>
        <w:tc>
          <w:tcPr>
            <w:tcW w:w="372" w:type="pct"/>
            <w:vAlign w:val="center"/>
          </w:tcPr>
          <w:p>
            <w:pPr>
              <w:spacing w:line="360" w:lineRule="exact"/>
              <w:jc w:val="right"/>
              <w:rPr>
                <w:szCs w:val="21"/>
              </w:rPr>
            </w:pPr>
            <w:r>
              <w:rPr>
                <w:szCs w:val="21"/>
              </w:rPr>
              <w:t>43</w:t>
            </w:r>
          </w:p>
        </w:tc>
        <w:tc>
          <w:tcPr>
            <w:tcW w:w="372" w:type="pct"/>
            <w:vAlign w:val="center"/>
          </w:tcPr>
          <w:p>
            <w:pPr>
              <w:spacing w:line="360" w:lineRule="exact"/>
              <w:jc w:val="right"/>
              <w:rPr>
                <w:szCs w:val="21"/>
              </w:rPr>
            </w:pPr>
            <w:r>
              <w:rPr>
                <w:szCs w:val="21"/>
              </w:rPr>
              <w:t>43</w:t>
            </w:r>
          </w:p>
        </w:tc>
        <w:tc>
          <w:tcPr>
            <w:tcW w:w="372" w:type="pct"/>
            <w:vAlign w:val="center"/>
          </w:tcPr>
          <w:p>
            <w:pPr>
              <w:spacing w:line="360" w:lineRule="exact"/>
              <w:jc w:val="right"/>
              <w:rPr>
                <w:szCs w:val="21"/>
              </w:rPr>
            </w:pPr>
            <w:r>
              <w:rPr>
                <w:szCs w:val="21"/>
              </w:rPr>
              <w:t>816</w:t>
            </w:r>
          </w:p>
        </w:tc>
        <w:tc>
          <w:tcPr>
            <w:tcW w:w="372" w:type="pct"/>
            <w:vAlign w:val="center"/>
          </w:tcPr>
          <w:p>
            <w:pPr>
              <w:spacing w:line="360" w:lineRule="exact"/>
              <w:jc w:val="right"/>
              <w:rPr>
                <w:szCs w:val="21"/>
              </w:rPr>
            </w:pPr>
            <w:r>
              <w:rPr>
                <w:szCs w:val="21"/>
              </w:rPr>
              <w:t>816</w:t>
            </w:r>
          </w:p>
        </w:tc>
        <w:tc>
          <w:tcPr>
            <w:tcW w:w="470" w:type="pct"/>
            <w:vAlign w:val="center"/>
          </w:tcPr>
          <w:p>
            <w:pPr>
              <w:spacing w:line="360" w:lineRule="exact"/>
              <w:jc w:val="right"/>
              <w:rPr>
                <w:szCs w:val="21"/>
              </w:rPr>
            </w:pPr>
            <w:r>
              <w:rPr>
                <w:szCs w:val="21"/>
              </w:rPr>
              <w:t>13,416</w:t>
            </w:r>
          </w:p>
        </w:tc>
        <w:tc>
          <w:tcPr>
            <w:tcW w:w="470" w:type="pct"/>
            <w:vAlign w:val="center"/>
          </w:tcPr>
          <w:p>
            <w:pPr>
              <w:spacing w:line="360" w:lineRule="exact"/>
              <w:jc w:val="right"/>
              <w:rPr>
                <w:szCs w:val="21"/>
              </w:rPr>
            </w:pPr>
            <w:r>
              <w:rPr>
                <w:szCs w:val="21"/>
              </w:rPr>
              <w:t>13,416</w:t>
            </w:r>
          </w:p>
        </w:tc>
        <w:tc>
          <w:tcPr>
            <w:tcW w:w="372" w:type="pct"/>
            <w:vAlign w:val="center"/>
          </w:tcPr>
          <w:p>
            <w:pPr>
              <w:spacing w:line="360" w:lineRule="exact"/>
              <w:jc w:val="right"/>
              <w:rPr>
                <w:szCs w:val="21"/>
              </w:rPr>
            </w:pPr>
            <w:r>
              <w:rPr>
                <w:szCs w:val="21"/>
              </w:rPr>
              <w:t>-536</w:t>
            </w:r>
          </w:p>
        </w:tc>
        <w:tc>
          <w:tcPr>
            <w:tcW w:w="372" w:type="pct"/>
            <w:vAlign w:val="center"/>
          </w:tcPr>
          <w:p>
            <w:pPr>
              <w:spacing w:line="360" w:lineRule="exact"/>
              <w:jc w:val="right"/>
              <w:rPr>
                <w:szCs w:val="21"/>
              </w:rPr>
            </w:pPr>
            <w:r>
              <w:rPr>
                <w:szCs w:val="21"/>
              </w:rPr>
              <w:t>-536</w:t>
            </w:r>
          </w:p>
        </w:tc>
        <w:tc>
          <w:tcPr>
            <w:tcW w:w="470" w:type="pct"/>
            <w:vAlign w:val="center"/>
          </w:tcPr>
          <w:p>
            <w:pPr>
              <w:spacing w:line="360" w:lineRule="exact"/>
              <w:jc w:val="right"/>
              <w:rPr>
                <w:szCs w:val="21"/>
              </w:rPr>
            </w:pPr>
            <w:r>
              <w:rPr>
                <w:szCs w:val="21"/>
              </w:rPr>
              <w:t>98,301</w:t>
            </w:r>
          </w:p>
        </w:tc>
        <w:tc>
          <w:tcPr>
            <w:tcW w:w="597" w:type="pct"/>
            <w:vAlign w:val="center"/>
          </w:tcPr>
          <w:p>
            <w:pPr>
              <w:spacing w:line="360" w:lineRule="exact"/>
              <w:jc w:val="right"/>
              <w:rPr>
                <w:szCs w:val="21"/>
              </w:rPr>
            </w:pPr>
            <w:r>
              <w:rPr>
                <w:szCs w:val="21"/>
              </w:rPr>
              <w:t>98,301</w:t>
            </w:r>
          </w:p>
        </w:tc>
      </w:tr>
      <w:tr>
        <w:trPr>
          <w:jc w:val="center"/>
        </w:trPr>
        <w:tc>
          <w:tcPr>
            <w:tcW w:w="761" w:type="pct"/>
            <w:vAlign w:val="center"/>
          </w:tcPr>
          <w:p>
            <w:pPr>
              <w:spacing w:line="360" w:lineRule="exact"/>
              <w:rPr>
                <w:szCs w:val="21"/>
              </w:rPr>
            </w:pPr>
            <w:r>
              <w:rPr>
                <w:rFonts w:hint="eastAsia"/>
                <w:szCs w:val="21"/>
              </w:rPr>
              <w:t>其他应付款</w:t>
            </w:r>
          </w:p>
        </w:tc>
        <w:tc>
          <w:tcPr>
            <w:tcW w:w="372" w:type="pct"/>
            <w:vAlign w:val="center"/>
          </w:tcPr>
          <w:p>
            <w:pPr>
              <w:spacing w:line="360" w:lineRule="exact"/>
              <w:jc w:val="right"/>
              <w:rPr>
                <w:szCs w:val="21"/>
              </w:rPr>
            </w:pPr>
            <w:r>
              <w:rPr>
                <w:szCs w:val="21"/>
              </w:rPr>
              <w:t>1,120</w:t>
            </w:r>
          </w:p>
        </w:tc>
        <w:tc>
          <w:tcPr>
            <w:tcW w:w="372" w:type="pct"/>
            <w:vAlign w:val="center"/>
          </w:tcPr>
          <w:p>
            <w:pPr>
              <w:spacing w:line="360" w:lineRule="exact"/>
              <w:jc w:val="right"/>
              <w:rPr>
                <w:szCs w:val="21"/>
              </w:rPr>
            </w:pPr>
            <w:r>
              <w:rPr>
                <w:szCs w:val="21"/>
              </w:rPr>
              <w:t>1,120</w:t>
            </w:r>
          </w:p>
        </w:tc>
        <w:tc>
          <w:tcPr>
            <w:tcW w:w="372" w:type="pct"/>
            <w:vAlign w:val="center"/>
          </w:tcPr>
          <w:p>
            <w:pPr>
              <w:spacing w:line="360" w:lineRule="exact"/>
              <w:jc w:val="right"/>
              <w:rPr>
                <w:szCs w:val="21"/>
              </w:rPr>
            </w:pPr>
            <w:r>
              <w:rPr>
                <w:szCs w:val="21"/>
              </w:rPr>
              <w:t>21,830</w:t>
            </w:r>
          </w:p>
        </w:tc>
        <w:tc>
          <w:tcPr>
            <w:tcW w:w="372" w:type="pct"/>
            <w:vAlign w:val="center"/>
          </w:tcPr>
          <w:p>
            <w:pPr>
              <w:spacing w:line="360" w:lineRule="exact"/>
              <w:jc w:val="right"/>
              <w:rPr>
                <w:szCs w:val="21"/>
              </w:rPr>
            </w:pPr>
            <w:r>
              <w:rPr>
                <w:szCs w:val="21"/>
              </w:rPr>
              <w:t>21,830</w:t>
            </w:r>
          </w:p>
        </w:tc>
        <w:tc>
          <w:tcPr>
            <w:tcW w:w="470" w:type="pct"/>
            <w:vAlign w:val="center"/>
          </w:tcPr>
          <w:p>
            <w:pPr>
              <w:spacing w:line="360" w:lineRule="exact"/>
              <w:jc w:val="right"/>
              <w:rPr>
                <w:szCs w:val="21"/>
              </w:rPr>
            </w:pPr>
            <w:r>
              <w:rPr>
                <w:szCs w:val="21"/>
              </w:rPr>
              <w:t>14,209</w:t>
            </w:r>
          </w:p>
        </w:tc>
        <w:tc>
          <w:tcPr>
            <w:tcW w:w="470" w:type="pct"/>
            <w:vAlign w:val="center"/>
          </w:tcPr>
          <w:p>
            <w:pPr>
              <w:spacing w:line="360" w:lineRule="exact"/>
              <w:jc w:val="right"/>
              <w:rPr>
                <w:szCs w:val="21"/>
              </w:rPr>
            </w:pPr>
            <w:r>
              <w:rPr>
                <w:szCs w:val="21"/>
              </w:rPr>
              <w:t>14,209</w:t>
            </w:r>
          </w:p>
        </w:tc>
        <w:tc>
          <w:tcPr>
            <w:tcW w:w="372" w:type="pct"/>
            <w:vAlign w:val="center"/>
          </w:tcPr>
          <w:p>
            <w:pPr>
              <w:spacing w:line="360" w:lineRule="exact"/>
              <w:jc w:val="right"/>
              <w:rPr>
                <w:szCs w:val="21"/>
              </w:rPr>
            </w:pPr>
            <w:r>
              <w:rPr>
                <w:szCs w:val="21"/>
              </w:rPr>
              <w:t>8,421</w:t>
            </w:r>
          </w:p>
        </w:tc>
        <w:tc>
          <w:tcPr>
            <w:tcW w:w="372" w:type="pct"/>
            <w:vAlign w:val="center"/>
          </w:tcPr>
          <w:p>
            <w:pPr>
              <w:spacing w:line="360" w:lineRule="exact"/>
              <w:jc w:val="right"/>
              <w:rPr>
                <w:szCs w:val="21"/>
              </w:rPr>
            </w:pPr>
            <w:r>
              <w:rPr>
                <w:szCs w:val="21"/>
              </w:rPr>
              <w:t>8,421</w:t>
            </w:r>
          </w:p>
        </w:tc>
        <w:tc>
          <w:tcPr>
            <w:tcW w:w="470" w:type="pct"/>
            <w:vAlign w:val="center"/>
          </w:tcPr>
          <w:p>
            <w:pPr>
              <w:spacing w:line="360" w:lineRule="exact"/>
              <w:jc w:val="right"/>
              <w:rPr>
                <w:szCs w:val="21"/>
              </w:rPr>
            </w:pPr>
            <w:r>
              <w:rPr>
                <w:szCs w:val="21"/>
              </w:rPr>
              <w:t>148,697</w:t>
            </w:r>
          </w:p>
        </w:tc>
        <w:tc>
          <w:tcPr>
            <w:tcW w:w="597" w:type="pct"/>
            <w:vAlign w:val="center"/>
          </w:tcPr>
          <w:p>
            <w:pPr>
              <w:spacing w:line="360" w:lineRule="exact"/>
              <w:jc w:val="right"/>
              <w:rPr>
                <w:szCs w:val="21"/>
              </w:rPr>
            </w:pPr>
            <w:r>
              <w:rPr>
                <w:szCs w:val="21"/>
              </w:rPr>
              <w:t>148,697</w:t>
            </w:r>
          </w:p>
        </w:tc>
      </w:tr>
      <w:tr>
        <w:trPr>
          <w:jc w:val="center"/>
        </w:trPr>
        <w:tc>
          <w:tcPr>
            <w:tcW w:w="761" w:type="pct"/>
            <w:vAlign w:val="center"/>
          </w:tcPr>
          <w:p>
            <w:pPr>
              <w:spacing w:line="360" w:lineRule="exact"/>
              <w:rPr>
                <w:szCs w:val="21"/>
              </w:rPr>
            </w:pPr>
            <w:r>
              <w:rPr>
                <w:rFonts w:hint="eastAsia"/>
                <w:szCs w:val="21"/>
              </w:rPr>
              <w:t>一年内到期的非流动负债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13,241</w:t>
            </w:r>
          </w:p>
        </w:tc>
        <w:tc>
          <w:tcPr>
            <w:tcW w:w="470" w:type="pct"/>
            <w:vAlign w:val="center"/>
          </w:tcPr>
          <w:p>
            <w:pPr>
              <w:spacing w:line="360" w:lineRule="exact"/>
              <w:jc w:val="right"/>
              <w:rPr>
                <w:szCs w:val="21"/>
              </w:rPr>
            </w:pPr>
            <w:r>
              <w:rPr>
                <w:szCs w:val="21"/>
              </w:rPr>
              <w:t>13,241</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7,026</w:t>
            </w:r>
          </w:p>
        </w:tc>
        <w:tc>
          <w:tcPr>
            <w:tcW w:w="597" w:type="pct"/>
            <w:vAlign w:val="center"/>
          </w:tcPr>
          <w:p>
            <w:pPr>
              <w:spacing w:line="360" w:lineRule="exact"/>
              <w:jc w:val="right"/>
              <w:rPr>
                <w:szCs w:val="21"/>
              </w:rPr>
            </w:pPr>
            <w:r>
              <w:rPr>
                <w:szCs w:val="21"/>
              </w:rPr>
              <w:t>7,026</w:t>
            </w:r>
          </w:p>
        </w:tc>
      </w:tr>
      <w:tr>
        <w:trPr>
          <w:jc w:val="center"/>
        </w:trPr>
        <w:tc>
          <w:tcPr>
            <w:tcW w:w="761" w:type="pct"/>
            <w:vAlign w:val="center"/>
          </w:tcPr>
          <w:p>
            <w:pPr>
              <w:spacing w:line="360" w:lineRule="exact"/>
              <w:rPr>
                <w:szCs w:val="21"/>
              </w:rPr>
            </w:pPr>
            <w:r>
              <w:rPr>
                <w:rFonts w:hint="eastAsia"/>
                <w:szCs w:val="21"/>
              </w:rPr>
              <w:t>其他流动负债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11</w:t>
            </w:r>
          </w:p>
        </w:tc>
        <w:tc>
          <w:tcPr>
            <w:tcW w:w="597" w:type="pct"/>
            <w:vAlign w:val="center"/>
          </w:tcPr>
          <w:p>
            <w:pPr>
              <w:spacing w:line="360" w:lineRule="exact"/>
              <w:jc w:val="right"/>
              <w:rPr>
                <w:szCs w:val="21"/>
              </w:rPr>
            </w:pPr>
            <w:r>
              <w:rPr>
                <w:szCs w:val="21"/>
              </w:rPr>
              <w:t>11</w:t>
            </w:r>
          </w:p>
        </w:tc>
      </w:tr>
      <w:tr>
        <w:trPr>
          <w:jc w:val="center"/>
        </w:trPr>
        <w:tc>
          <w:tcPr>
            <w:tcW w:w="761" w:type="pct"/>
            <w:vAlign w:val="center"/>
          </w:tcPr>
          <w:p>
            <w:pPr>
              <w:spacing w:line="360" w:lineRule="exact"/>
              <w:rPr>
                <w:szCs w:val="21"/>
              </w:rPr>
            </w:pPr>
            <w:r>
              <w:rPr>
                <w:rFonts w:hint="eastAsia"/>
                <w:szCs w:val="21"/>
              </w:rPr>
              <w:t>长期借款</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14,961</w:t>
            </w:r>
          </w:p>
        </w:tc>
        <w:tc>
          <w:tcPr>
            <w:tcW w:w="470" w:type="pct"/>
            <w:vAlign w:val="center"/>
          </w:tcPr>
          <w:p>
            <w:pPr>
              <w:spacing w:line="360" w:lineRule="exact"/>
              <w:jc w:val="right"/>
              <w:rPr>
                <w:szCs w:val="21"/>
              </w:rPr>
            </w:pPr>
            <w:r>
              <w:rPr>
                <w:szCs w:val="21"/>
              </w:rPr>
              <w:t>14,961</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vAlign w:val="center"/>
          </w:tcPr>
          <w:p>
            <w:pPr>
              <w:spacing w:line="360" w:lineRule="exact"/>
              <w:rPr>
                <w:szCs w:val="21"/>
              </w:rPr>
            </w:pPr>
            <w:r>
              <w:rPr>
                <w:rFonts w:hint="eastAsia"/>
                <w:szCs w:val="21"/>
              </w:rPr>
              <w:t>应付债券</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vAlign w:val="center"/>
          </w:tcPr>
          <w:p>
            <w:pPr>
              <w:spacing w:line="360" w:lineRule="exact"/>
              <w:rPr>
                <w:szCs w:val="21"/>
              </w:rPr>
            </w:pPr>
            <w:r>
              <w:rPr>
                <w:rFonts w:hint="eastAsia"/>
                <w:szCs w:val="21"/>
              </w:rPr>
              <w:t>租赁负债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16,858</w:t>
            </w:r>
          </w:p>
        </w:tc>
        <w:tc>
          <w:tcPr>
            <w:tcW w:w="470" w:type="pct"/>
            <w:vAlign w:val="center"/>
          </w:tcPr>
          <w:p>
            <w:pPr>
              <w:spacing w:line="360" w:lineRule="exact"/>
              <w:jc w:val="right"/>
              <w:rPr>
                <w:szCs w:val="21"/>
              </w:rPr>
            </w:pPr>
            <w:r>
              <w:rPr>
                <w:szCs w:val="21"/>
              </w:rPr>
              <w:t>16,858</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18,341</w:t>
            </w:r>
          </w:p>
        </w:tc>
        <w:tc>
          <w:tcPr>
            <w:tcW w:w="597" w:type="pct"/>
            <w:vAlign w:val="center"/>
          </w:tcPr>
          <w:p>
            <w:pPr>
              <w:spacing w:line="360" w:lineRule="exact"/>
              <w:jc w:val="right"/>
              <w:rPr>
                <w:szCs w:val="21"/>
              </w:rPr>
            </w:pPr>
            <w:r>
              <w:rPr>
                <w:szCs w:val="21"/>
              </w:rPr>
              <w:t>18,341</w:t>
            </w:r>
          </w:p>
        </w:tc>
      </w:tr>
      <w:tr>
        <w:trPr>
          <w:jc w:val="center"/>
        </w:trPr>
        <w:tc>
          <w:tcPr>
            <w:tcW w:w="761" w:type="pct"/>
            <w:vAlign w:val="center"/>
          </w:tcPr>
          <w:p>
            <w:pPr>
              <w:spacing w:line="360" w:lineRule="exact"/>
              <w:rPr>
                <w:szCs w:val="21"/>
              </w:rPr>
            </w:pPr>
            <w:r>
              <w:rPr>
                <w:rFonts w:hint="eastAsia"/>
                <w:szCs w:val="21"/>
              </w:rPr>
              <w:t>长期应付款</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9,356</w:t>
            </w:r>
          </w:p>
        </w:tc>
        <w:tc>
          <w:tcPr>
            <w:tcW w:w="597" w:type="pct"/>
            <w:vAlign w:val="center"/>
          </w:tcPr>
          <w:p>
            <w:pPr>
              <w:spacing w:line="360" w:lineRule="exact"/>
              <w:jc w:val="right"/>
              <w:rPr>
                <w:szCs w:val="21"/>
              </w:rPr>
            </w:pPr>
            <w:r>
              <w:rPr>
                <w:szCs w:val="21"/>
              </w:rPr>
              <w:t>9,356</w:t>
            </w:r>
          </w:p>
        </w:tc>
      </w:tr>
      <w:tr>
        <w:trPr>
          <w:jc w:val="center"/>
        </w:trPr>
        <w:tc>
          <w:tcPr>
            <w:tcW w:w="761" w:type="pct"/>
            <w:vAlign w:val="center"/>
          </w:tcPr>
          <w:p>
            <w:pPr>
              <w:spacing w:line="360" w:lineRule="exact"/>
              <w:rPr>
                <w:szCs w:val="21"/>
              </w:rPr>
            </w:pPr>
            <w:r>
              <w:rPr>
                <w:rFonts w:hint="eastAsia"/>
                <w:szCs w:val="21"/>
              </w:rPr>
              <w:t>长期应付职工薪酬</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19,957</w:t>
            </w:r>
          </w:p>
        </w:tc>
        <w:tc>
          <w:tcPr>
            <w:tcW w:w="470" w:type="pct"/>
            <w:vAlign w:val="center"/>
          </w:tcPr>
          <w:p>
            <w:pPr>
              <w:spacing w:line="360" w:lineRule="exact"/>
              <w:jc w:val="right"/>
              <w:rPr>
                <w:szCs w:val="21"/>
              </w:rPr>
            </w:pPr>
            <w:r>
              <w:rPr>
                <w:szCs w:val="21"/>
              </w:rPr>
              <w:t>19,957</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vAlign w:val="center"/>
          </w:tcPr>
          <w:p>
            <w:pPr>
              <w:spacing w:line="360" w:lineRule="exact"/>
              <w:rPr>
                <w:szCs w:val="21"/>
              </w:rPr>
            </w:pPr>
            <w:r>
              <w:rPr>
                <w:rFonts w:hint="eastAsia"/>
                <w:szCs w:val="21"/>
              </w:rPr>
              <w:t>预计负债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7,767</w:t>
            </w:r>
          </w:p>
        </w:tc>
        <w:tc>
          <w:tcPr>
            <w:tcW w:w="470" w:type="pct"/>
            <w:vAlign w:val="center"/>
          </w:tcPr>
          <w:p>
            <w:pPr>
              <w:spacing w:line="360" w:lineRule="exact"/>
              <w:jc w:val="right"/>
              <w:rPr>
                <w:szCs w:val="21"/>
              </w:rPr>
            </w:pPr>
            <w:r>
              <w:rPr>
                <w:szCs w:val="21"/>
              </w:rPr>
              <w:t>7,767</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p>
        </w:tc>
        <w:tc>
          <w:tcPr>
            <w:tcW w:w="597" w:type="pct"/>
            <w:vAlign w:val="center"/>
          </w:tcPr>
          <w:p>
            <w:pPr>
              <w:spacing w:line="360" w:lineRule="exact"/>
              <w:jc w:val="right"/>
              <w:rPr>
                <w:szCs w:val="21"/>
              </w:rPr>
            </w:pPr>
          </w:p>
        </w:tc>
      </w:tr>
      <w:tr>
        <w:trPr>
          <w:jc w:val="center"/>
        </w:trPr>
        <w:tc>
          <w:tcPr>
            <w:tcW w:w="761" w:type="pct"/>
            <w:vAlign w:val="center"/>
          </w:tcPr>
          <w:p>
            <w:pPr>
              <w:spacing w:line="360" w:lineRule="exact"/>
              <w:rPr>
                <w:szCs w:val="21"/>
              </w:rPr>
            </w:pPr>
            <w:r>
              <w:rPr>
                <w:rFonts w:hint="eastAsia"/>
                <w:szCs w:val="21"/>
              </w:rPr>
              <w:t>递延所得税负债</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r>
              <w:rPr>
                <w:szCs w:val="21"/>
              </w:rPr>
              <w:t>1,346</w:t>
            </w: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26,468</w:t>
            </w:r>
          </w:p>
        </w:tc>
        <w:tc>
          <w:tcPr>
            <w:tcW w:w="470" w:type="pct"/>
            <w:vAlign w:val="center"/>
          </w:tcPr>
          <w:p>
            <w:pPr>
              <w:spacing w:line="360" w:lineRule="exact"/>
              <w:jc w:val="right"/>
              <w:rPr>
                <w:szCs w:val="21"/>
              </w:rPr>
            </w:pPr>
            <w:r>
              <w:rPr>
                <w:szCs w:val="21"/>
              </w:rPr>
              <w:t>5,373</w:t>
            </w:r>
          </w:p>
        </w:tc>
        <w:tc>
          <w:tcPr>
            <w:tcW w:w="372" w:type="pct"/>
            <w:vAlign w:val="center"/>
          </w:tcPr>
          <w:p>
            <w:pPr>
              <w:spacing w:line="360" w:lineRule="exact"/>
              <w:jc w:val="right"/>
              <w:rPr>
                <w:szCs w:val="21"/>
              </w:rPr>
            </w:pPr>
            <w:r>
              <w:rPr>
                <w:szCs w:val="21"/>
              </w:rPr>
              <w:t>619</w:t>
            </w:r>
          </w:p>
        </w:tc>
        <w:tc>
          <w:tcPr>
            <w:tcW w:w="372" w:type="pct"/>
            <w:vAlign w:val="center"/>
          </w:tcPr>
          <w:p>
            <w:pPr>
              <w:spacing w:line="360" w:lineRule="exact"/>
              <w:jc w:val="right"/>
              <w:rPr>
                <w:szCs w:val="21"/>
              </w:rPr>
            </w:pPr>
            <w:r>
              <w:rPr>
                <w:szCs w:val="21"/>
              </w:rPr>
              <w:t>619</w:t>
            </w:r>
          </w:p>
        </w:tc>
        <w:tc>
          <w:tcPr>
            <w:tcW w:w="470" w:type="pct"/>
            <w:vAlign w:val="center"/>
          </w:tcPr>
          <w:p>
            <w:pPr>
              <w:spacing w:line="360" w:lineRule="exact"/>
              <w:jc w:val="right"/>
              <w:rPr>
                <w:szCs w:val="21"/>
              </w:rPr>
            </w:pPr>
            <w:r>
              <w:rPr>
                <w:szCs w:val="21"/>
              </w:rPr>
              <w:t>85,759</w:t>
            </w:r>
          </w:p>
        </w:tc>
        <w:tc>
          <w:tcPr>
            <w:tcW w:w="597" w:type="pct"/>
            <w:vAlign w:val="center"/>
          </w:tcPr>
          <w:p>
            <w:pPr>
              <w:spacing w:line="360" w:lineRule="exact"/>
              <w:jc w:val="right"/>
              <w:rPr>
                <w:szCs w:val="21"/>
              </w:rPr>
            </w:pPr>
            <w:r>
              <w:rPr>
                <w:szCs w:val="21"/>
              </w:rPr>
              <w:t>270</w:t>
            </w:r>
          </w:p>
        </w:tc>
      </w:tr>
      <w:tr>
        <w:trPr>
          <w:jc w:val="center"/>
        </w:trPr>
        <w:tc>
          <w:tcPr>
            <w:tcW w:w="761" w:type="pct"/>
            <w:vAlign w:val="center"/>
          </w:tcPr>
          <w:p>
            <w:pPr>
              <w:spacing w:line="360" w:lineRule="exact"/>
              <w:rPr>
                <w:szCs w:val="21"/>
              </w:rPr>
            </w:pPr>
            <w:r>
              <w:rPr>
                <w:rFonts w:hint="eastAsia"/>
                <w:szCs w:val="21"/>
              </w:rPr>
              <w:t>净资产</w:t>
            </w:r>
          </w:p>
        </w:tc>
        <w:tc>
          <w:tcPr>
            <w:tcW w:w="372" w:type="pct"/>
            <w:vAlign w:val="center"/>
          </w:tcPr>
          <w:p>
            <w:pPr>
              <w:spacing w:line="360" w:lineRule="exact"/>
              <w:jc w:val="right"/>
              <w:rPr>
                <w:szCs w:val="21"/>
              </w:rPr>
            </w:pPr>
            <w:r>
              <w:rPr>
                <w:szCs w:val="21"/>
              </w:rPr>
              <w:t>97,740</w:t>
            </w:r>
          </w:p>
        </w:tc>
        <w:tc>
          <w:tcPr>
            <w:tcW w:w="372" w:type="pct"/>
            <w:vAlign w:val="center"/>
          </w:tcPr>
          <w:p>
            <w:pPr>
              <w:spacing w:line="360" w:lineRule="exact"/>
              <w:jc w:val="right"/>
              <w:rPr>
                <w:szCs w:val="21"/>
              </w:rPr>
            </w:pPr>
            <w:r>
              <w:rPr>
                <w:szCs w:val="21"/>
              </w:rPr>
              <w:t>97,740</w:t>
            </w:r>
          </w:p>
        </w:tc>
        <w:tc>
          <w:tcPr>
            <w:tcW w:w="372" w:type="pct"/>
            <w:vAlign w:val="center"/>
          </w:tcPr>
          <w:p>
            <w:pPr>
              <w:spacing w:line="360" w:lineRule="exact"/>
              <w:jc w:val="right"/>
              <w:rPr>
                <w:szCs w:val="21"/>
              </w:rPr>
            </w:pPr>
            <w:r>
              <w:rPr>
                <w:szCs w:val="21"/>
              </w:rPr>
              <w:t>38,608</w:t>
            </w:r>
          </w:p>
        </w:tc>
        <w:tc>
          <w:tcPr>
            <w:tcW w:w="372" w:type="pct"/>
            <w:vAlign w:val="center"/>
          </w:tcPr>
          <w:p>
            <w:pPr>
              <w:spacing w:line="360" w:lineRule="exact"/>
              <w:jc w:val="right"/>
              <w:rPr>
                <w:szCs w:val="21"/>
              </w:rPr>
            </w:pPr>
            <w:r>
              <w:rPr>
                <w:szCs w:val="21"/>
              </w:rPr>
              <w:t>34,571</w:t>
            </w:r>
          </w:p>
        </w:tc>
        <w:tc>
          <w:tcPr>
            <w:tcW w:w="470" w:type="pct"/>
            <w:vAlign w:val="center"/>
          </w:tcPr>
          <w:p>
            <w:pPr>
              <w:spacing w:line="360" w:lineRule="exact"/>
              <w:jc w:val="right"/>
              <w:rPr>
                <w:szCs w:val="21"/>
              </w:rPr>
            </w:pPr>
            <w:r>
              <w:rPr>
                <w:szCs w:val="21"/>
              </w:rPr>
              <w:t>718,663</w:t>
            </w:r>
          </w:p>
        </w:tc>
        <w:tc>
          <w:tcPr>
            <w:tcW w:w="470" w:type="pct"/>
            <w:vAlign w:val="center"/>
          </w:tcPr>
          <w:p>
            <w:pPr>
              <w:spacing w:line="360" w:lineRule="exact"/>
              <w:jc w:val="right"/>
              <w:rPr>
                <w:szCs w:val="21"/>
              </w:rPr>
            </w:pPr>
            <w:r>
              <w:rPr>
                <w:szCs w:val="21"/>
              </w:rPr>
              <w:t>673,775</w:t>
            </w:r>
          </w:p>
        </w:tc>
        <w:tc>
          <w:tcPr>
            <w:tcW w:w="372" w:type="pct"/>
            <w:vAlign w:val="center"/>
          </w:tcPr>
          <w:p>
            <w:pPr>
              <w:spacing w:line="360" w:lineRule="exact"/>
              <w:jc w:val="right"/>
              <w:rPr>
                <w:szCs w:val="21"/>
              </w:rPr>
            </w:pPr>
            <w:r>
              <w:rPr>
                <w:szCs w:val="21"/>
              </w:rPr>
              <w:t>100,131</w:t>
            </w:r>
          </w:p>
        </w:tc>
        <w:tc>
          <w:tcPr>
            <w:tcW w:w="372" w:type="pct"/>
            <w:vAlign w:val="center"/>
          </w:tcPr>
          <w:p>
            <w:pPr>
              <w:spacing w:line="360" w:lineRule="exact"/>
              <w:jc w:val="right"/>
              <w:rPr>
                <w:szCs w:val="21"/>
              </w:rPr>
            </w:pPr>
            <w:r>
              <w:rPr>
                <w:szCs w:val="21"/>
              </w:rPr>
              <w:t>100,131</w:t>
            </w:r>
          </w:p>
        </w:tc>
        <w:tc>
          <w:tcPr>
            <w:tcW w:w="470" w:type="pct"/>
            <w:vAlign w:val="center"/>
          </w:tcPr>
          <w:p>
            <w:pPr>
              <w:spacing w:line="360" w:lineRule="exact"/>
              <w:jc w:val="right"/>
              <w:rPr>
                <w:szCs w:val="21"/>
              </w:rPr>
            </w:pPr>
            <w:r>
              <w:rPr>
                <w:szCs w:val="21"/>
              </w:rPr>
              <w:t>3,448,684</w:t>
            </w:r>
          </w:p>
        </w:tc>
        <w:tc>
          <w:tcPr>
            <w:tcW w:w="597" w:type="pct"/>
            <w:vAlign w:val="center"/>
          </w:tcPr>
          <w:p>
            <w:pPr>
              <w:spacing w:line="360" w:lineRule="exact"/>
              <w:jc w:val="right"/>
              <w:rPr>
                <w:szCs w:val="21"/>
              </w:rPr>
            </w:pPr>
            <w:r>
              <w:rPr>
                <w:szCs w:val="21"/>
              </w:rPr>
              <w:t>3,192,215</w:t>
            </w:r>
          </w:p>
        </w:tc>
      </w:tr>
      <w:tr>
        <w:trPr>
          <w:jc w:val="center"/>
        </w:trPr>
        <w:tc>
          <w:tcPr>
            <w:tcW w:w="761" w:type="pct"/>
            <w:vAlign w:val="center"/>
          </w:tcPr>
          <w:p>
            <w:pPr>
              <w:spacing w:line="360" w:lineRule="exact"/>
              <w:rPr>
                <w:szCs w:val="21"/>
              </w:rPr>
            </w:pPr>
            <w:r>
              <w:rPr>
                <w:rFonts w:hint="eastAsia"/>
                <w:szCs w:val="21"/>
              </w:rPr>
              <w:t>减：少数股东权益</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12,893</w:t>
            </w:r>
          </w:p>
        </w:tc>
        <w:tc>
          <w:tcPr>
            <w:tcW w:w="470" w:type="pct"/>
            <w:vAlign w:val="center"/>
          </w:tcPr>
          <w:p>
            <w:pPr>
              <w:spacing w:line="360" w:lineRule="exact"/>
              <w:jc w:val="right"/>
              <w:rPr>
                <w:szCs w:val="21"/>
              </w:rPr>
            </w:pPr>
            <w:r>
              <w:rPr>
                <w:szCs w:val="21"/>
              </w:rPr>
              <w:t>12,222</w:t>
            </w:r>
          </w:p>
        </w:tc>
        <w:tc>
          <w:tcPr>
            <w:tcW w:w="372" w:type="pct"/>
            <w:vAlign w:val="center"/>
          </w:tcPr>
          <w:p>
            <w:pPr>
              <w:spacing w:line="360" w:lineRule="exact"/>
              <w:jc w:val="right"/>
              <w:rPr>
                <w:szCs w:val="21"/>
              </w:rPr>
            </w:pPr>
          </w:p>
        </w:tc>
        <w:tc>
          <w:tcPr>
            <w:tcW w:w="372" w:type="pct"/>
            <w:vAlign w:val="center"/>
          </w:tcPr>
          <w:p>
            <w:pPr>
              <w:spacing w:line="360" w:lineRule="exact"/>
              <w:jc w:val="right"/>
              <w:rPr>
                <w:szCs w:val="21"/>
              </w:rPr>
            </w:pPr>
          </w:p>
        </w:tc>
        <w:tc>
          <w:tcPr>
            <w:tcW w:w="470" w:type="pct"/>
            <w:vAlign w:val="center"/>
          </w:tcPr>
          <w:p>
            <w:pPr>
              <w:spacing w:line="360" w:lineRule="exact"/>
              <w:jc w:val="right"/>
              <w:rPr>
                <w:szCs w:val="21"/>
              </w:rPr>
            </w:pPr>
            <w:r>
              <w:rPr>
                <w:szCs w:val="21"/>
              </w:rPr>
              <w:t>181,648</w:t>
            </w:r>
          </w:p>
        </w:tc>
        <w:tc>
          <w:tcPr>
            <w:tcW w:w="597" w:type="pct"/>
            <w:vAlign w:val="center"/>
          </w:tcPr>
          <w:p>
            <w:pPr>
              <w:spacing w:line="360" w:lineRule="exact"/>
              <w:jc w:val="right"/>
              <w:rPr>
                <w:szCs w:val="21"/>
              </w:rPr>
            </w:pPr>
            <w:r>
              <w:rPr>
                <w:szCs w:val="21"/>
              </w:rPr>
              <w:t>127,238</w:t>
            </w:r>
          </w:p>
        </w:tc>
      </w:tr>
      <w:tr>
        <w:trPr>
          <w:jc w:val="center"/>
        </w:trPr>
        <w:tc>
          <w:tcPr>
            <w:tcW w:w="761" w:type="pct"/>
            <w:vAlign w:val="center"/>
          </w:tcPr>
          <w:p>
            <w:pPr>
              <w:spacing w:line="360" w:lineRule="exact"/>
              <w:rPr>
                <w:szCs w:val="21"/>
              </w:rPr>
            </w:pPr>
            <w:r>
              <w:rPr>
                <w:rFonts w:hint="eastAsia"/>
                <w:szCs w:val="21"/>
              </w:rPr>
              <w:t>取得的净资产</w:t>
            </w:r>
          </w:p>
        </w:tc>
        <w:tc>
          <w:tcPr>
            <w:tcW w:w="372" w:type="pct"/>
            <w:vAlign w:val="center"/>
          </w:tcPr>
          <w:p>
            <w:pPr>
              <w:spacing w:line="360" w:lineRule="exact"/>
              <w:jc w:val="right"/>
              <w:rPr>
                <w:szCs w:val="21"/>
              </w:rPr>
            </w:pPr>
            <w:r>
              <w:rPr>
                <w:szCs w:val="21"/>
              </w:rPr>
              <w:t>97,740</w:t>
            </w:r>
          </w:p>
        </w:tc>
        <w:tc>
          <w:tcPr>
            <w:tcW w:w="372" w:type="pct"/>
            <w:vAlign w:val="center"/>
          </w:tcPr>
          <w:p>
            <w:pPr>
              <w:spacing w:line="360" w:lineRule="exact"/>
              <w:jc w:val="right"/>
              <w:rPr>
                <w:szCs w:val="21"/>
              </w:rPr>
            </w:pPr>
            <w:r>
              <w:rPr>
                <w:szCs w:val="21"/>
              </w:rPr>
              <w:t>97,740</w:t>
            </w:r>
          </w:p>
        </w:tc>
        <w:tc>
          <w:tcPr>
            <w:tcW w:w="372" w:type="pct"/>
            <w:vAlign w:val="center"/>
          </w:tcPr>
          <w:p>
            <w:pPr>
              <w:spacing w:line="360" w:lineRule="exact"/>
              <w:jc w:val="right"/>
              <w:rPr>
                <w:szCs w:val="21"/>
              </w:rPr>
            </w:pPr>
            <w:r>
              <w:rPr>
                <w:szCs w:val="21"/>
              </w:rPr>
              <w:t>38,608</w:t>
            </w:r>
          </w:p>
        </w:tc>
        <w:tc>
          <w:tcPr>
            <w:tcW w:w="372" w:type="pct"/>
            <w:vAlign w:val="center"/>
          </w:tcPr>
          <w:p>
            <w:pPr>
              <w:spacing w:line="360" w:lineRule="exact"/>
              <w:jc w:val="right"/>
              <w:rPr>
                <w:szCs w:val="21"/>
              </w:rPr>
            </w:pPr>
            <w:r>
              <w:rPr>
                <w:szCs w:val="21"/>
              </w:rPr>
              <w:t>34,571</w:t>
            </w:r>
          </w:p>
        </w:tc>
        <w:tc>
          <w:tcPr>
            <w:tcW w:w="470" w:type="pct"/>
            <w:vAlign w:val="center"/>
          </w:tcPr>
          <w:p>
            <w:pPr>
              <w:spacing w:line="360" w:lineRule="exact"/>
              <w:jc w:val="right"/>
              <w:rPr>
                <w:szCs w:val="21"/>
              </w:rPr>
            </w:pPr>
            <w:r>
              <w:rPr>
                <w:szCs w:val="21"/>
              </w:rPr>
              <w:t>705,770</w:t>
            </w:r>
          </w:p>
        </w:tc>
        <w:tc>
          <w:tcPr>
            <w:tcW w:w="470" w:type="pct"/>
            <w:vAlign w:val="center"/>
          </w:tcPr>
          <w:p>
            <w:pPr>
              <w:spacing w:line="360" w:lineRule="exact"/>
              <w:jc w:val="right"/>
              <w:rPr>
                <w:szCs w:val="21"/>
              </w:rPr>
            </w:pPr>
            <w:r>
              <w:rPr>
                <w:szCs w:val="21"/>
              </w:rPr>
              <w:t>661,553</w:t>
            </w:r>
          </w:p>
        </w:tc>
        <w:tc>
          <w:tcPr>
            <w:tcW w:w="372" w:type="pct"/>
            <w:vAlign w:val="center"/>
          </w:tcPr>
          <w:p>
            <w:pPr>
              <w:spacing w:line="360" w:lineRule="exact"/>
              <w:jc w:val="right"/>
              <w:rPr>
                <w:szCs w:val="21"/>
              </w:rPr>
            </w:pPr>
            <w:r>
              <w:rPr>
                <w:szCs w:val="21"/>
              </w:rPr>
              <w:t>100,131</w:t>
            </w:r>
          </w:p>
        </w:tc>
        <w:tc>
          <w:tcPr>
            <w:tcW w:w="372" w:type="pct"/>
            <w:vAlign w:val="center"/>
          </w:tcPr>
          <w:p>
            <w:pPr>
              <w:spacing w:line="360" w:lineRule="exact"/>
              <w:jc w:val="right"/>
              <w:rPr>
                <w:szCs w:val="21"/>
              </w:rPr>
            </w:pPr>
            <w:r>
              <w:rPr>
                <w:szCs w:val="21"/>
              </w:rPr>
              <w:t>100,131</w:t>
            </w:r>
          </w:p>
        </w:tc>
        <w:tc>
          <w:tcPr>
            <w:tcW w:w="470" w:type="pct"/>
            <w:vAlign w:val="center"/>
          </w:tcPr>
          <w:p>
            <w:pPr>
              <w:spacing w:line="360" w:lineRule="exact"/>
              <w:jc w:val="right"/>
              <w:rPr>
                <w:szCs w:val="21"/>
              </w:rPr>
            </w:pPr>
            <w:r>
              <w:rPr>
                <w:szCs w:val="21"/>
              </w:rPr>
              <w:t>3,267,036</w:t>
            </w:r>
          </w:p>
        </w:tc>
        <w:tc>
          <w:tcPr>
            <w:tcW w:w="597" w:type="pct"/>
            <w:vAlign w:val="center"/>
          </w:tcPr>
          <w:p>
            <w:pPr>
              <w:spacing w:line="360" w:lineRule="exact"/>
              <w:jc w:val="right"/>
              <w:rPr>
                <w:szCs w:val="21"/>
              </w:rPr>
            </w:pPr>
            <w:r>
              <w:rPr>
                <w:szCs w:val="21"/>
              </w:rPr>
              <w:t>3,064,977</w:t>
            </w:r>
          </w:p>
        </w:tc>
      </w:tr>
    </w:tbl>
    <w:p>
      <w:pPr>
        <w:spacing w:before="60" w:after="60"/>
        <w:rPr>
          <w:rFonts w:cs="Arial"/>
          <w:szCs w:val="21"/>
        </w:rPr>
      </w:pPr>
      <w:r>
        <w:rPr>
          <w:rFonts w:cs="Arial" w:hint="eastAsia"/>
          <w:szCs w:val="21"/>
        </w:rPr>
        <w:t>可辨认资产、负债公允价值的确定方法：</w:t>
      </w:r>
    </w:p>
    <w:sdt>
      <w:sdtPr>
        <w:rPr>
          <w:rFonts w:cs="Arial" w:hint="eastAsia"/>
          <w:szCs w:val="21"/>
        </w:rPr>
        <w:alias w:val="可辨认资产、负债公允价值的确定方法"/>
        <w:tag w:val="_GBC_697ae60f164648909c69949688877efc"/>
        <w:id w:val="-722441528"/>
        <w:placeholder>
          <w:docPart w:val="GBC22222222222222222222222222222"/>
        </w:placeholder>
      </w:sdtPr>
      <w:sdtContent>
        <w:p>
          <w:pPr>
            <w:spacing w:before="60" w:after="60"/>
            <w:rPr>
              <w:rFonts w:cs="Arial"/>
              <w:szCs w:val="21"/>
            </w:rPr>
          </w:pPr>
          <w:r>
            <w:rPr>
              <w:rFonts w:cs="Arial"/>
              <w:szCs w:val="21"/>
            </w:rPr>
            <w:t>-</w:t>
          </w:r>
        </w:p>
      </w:sdtContent>
    </w:sdt>
    <w:p>
      <w:pPr>
        <w:spacing w:before="60" w:after="60"/>
        <w:rPr>
          <w:rFonts w:cs="Arial"/>
          <w:szCs w:val="21"/>
        </w:rPr>
      </w:pPr>
      <w:r>
        <w:rPr>
          <w:rFonts w:cs="Arial" w:hint="eastAsia"/>
          <w:szCs w:val="21"/>
        </w:rPr>
        <w:t>企业合并中承担的被购买方的或有负债：</w:t>
      </w:r>
    </w:p>
    <w:sdt>
      <w:sdtPr>
        <w:rPr>
          <w:rFonts w:cs="Arial"/>
          <w:szCs w:val="21"/>
        </w:rPr>
        <w:alias w:val="企业合并中承担的被购买方的或有负债"/>
        <w:tag w:val="_GBC_2ee9245667e3468088cff37a16c9031b"/>
        <w:id w:val="-769389444"/>
        <w:placeholder>
          <w:docPart w:val="GBC22222222222222222222222222222"/>
        </w:placeholder>
      </w:sdtPr>
      <w:sdtContent>
        <w:p>
          <w:pPr>
            <w:rPr>
              <w:rFonts w:cs="Arial"/>
              <w:szCs w:val="21"/>
            </w:rPr>
          </w:pPr>
          <w:r>
            <w:rPr>
              <w:rFonts w:cs="Arial"/>
              <w:szCs w:val="21"/>
            </w:rPr>
            <w:t>-</w:t>
          </w:r>
        </w:p>
      </w:sdtContent>
    </w:sdt>
    <w:p>
      <w:pPr>
        <w:spacing w:before="60" w:after="60"/>
        <w:rPr>
          <w:rFonts w:cs="Arial"/>
          <w:szCs w:val="21"/>
        </w:rPr>
      </w:pPr>
      <w:r>
        <w:rPr>
          <w:rFonts w:cs="Arial" w:hint="eastAsia"/>
          <w:szCs w:val="21"/>
        </w:rPr>
        <w:t>其他说明：</w:t>
      </w:r>
    </w:p>
    <w:sdt>
      <w:sdtPr>
        <w:rPr>
          <w:rFonts w:cs="Arial"/>
          <w:szCs w:val="21"/>
        </w:rPr>
        <w:alias w:val="被购买方于购买日可辨认资产、负债的其他说明"/>
        <w:tag w:val="_GBC_12892ed0e2ce45268d99770060164a31"/>
        <w:id w:val="1204747852"/>
        <w:placeholder>
          <w:docPart w:val="GBC22222222222222222222222222222"/>
        </w:placeholder>
      </w:sdtPr>
      <w:sdtContent>
        <w:p>
          <w:pPr>
            <w:rPr>
              <w:rFonts w:cs="Arial"/>
              <w:szCs w:val="21"/>
            </w:rPr>
          </w:pPr>
          <w:r>
            <w:rPr>
              <w:rFonts w:cs="Arial"/>
              <w:szCs w:val="21"/>
            </w:rPr>
            <w:t>-</w:t>
          </w:r>
        </w:p>
      </w:sdtContent>
    </w:sdt>
    <w:p>
      <w:pPr>
        <w:pStyle w:val="affffffffffffffffffffffffffffffffe"/>
      </w:pPr>
    </w:p>
    <w:p>
      <w:pPr>
        <w:pStyle w:val="afffffffffffffffffffffffffffffffff1"/>
        <w:numPr>
          <w:ilvl w:val="0"/>
          <w:numId w:val="183"/>
        </w:numPr>
        <w:ind w:left="426" w:hanging="426"/>
        <w:rPr>
          <w:rFonts w:ascii="Calibri" w:hAnsi="Calibri"/>
          <w:szCs w:val="22"/>
        </w:rPr>
      </w:pPr>
      <w:r>
        <w:rPr>
          <w:rFonts w:hint="eastAsia"/>
        </w:rPr>
        <w:t>购买日之前持有的股权按照公允价值重新计量产生的利得或损失</w:t>
      </w:r>
    </w:p>
    <w:p>
      <w:pPr>
        <w:rPr>
          <w:rFonts w:ascii="Calibri" w:hAnsi="Calibri" w:cs="Times New Roman"/>
          <w:kern w:val="2"/>
          <w:szCs w:val="22"/>
        </w:rPr>
      </w:pPr>
      <w:r>
        <w:rPr>
          <w:rFonts w:hint="eastAsia"/>
        </w:rPr>
        <w:t>是否存在通过多次交易分步实现企业合并且在报告期内取得控制权的交易</w:t>
      </w:r>
    </w:p>
    <w:p>
      <w:pPr>
        <w:rPr>
          <w:rFonts w:cs="Arial"/>
          <w:szCs w:val="21"/>
        </w:rPr>
      </w:pPr>
      <w:sdt>
        <w:sdtPr>
          <w:alias w:val="是否存在通过多次交易分步实现企业合并且在本报告期取得控制权的情形[双击切换]"/>
          <w:tag w:val="_GBC_f16c6a756bf64379a37d1a5a881514ea"/>
          <w:id w:val="609554115"/>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rFonts w:cs="Arial"/>
          <w:szCs w:val="21"/>
        </w:rPr>
      </w:pPr>
    </w:p>
    <w:p>
      <w:pPr>
        <w:rPr>
          <w:rFonts w:cs="Arial"/>
          <w:szCs w:val="21"/>
        </w:rPr>
      </w:pPr>
    </w:p>
    <w:p>
      <w:pPr>
        <w:pStyle w:val="afffffffffffffffffffffffffffffffff1"/>
        <w:numPr>
          <w:ilvl w:val="0"/>
          <w:numId w:val="183"/>
        </w:numPr>
        <w:ind w:left="426" w:hanging="426"/>
      </w:pPr>
      <w:r>
        <w:rPr>
          <w:rFonts w:hint="eastAsia"/>
        </w:rPr>
        <w:t>购买日或合并当期期末无法合理确定合并对价或被购买方可辨认资产、负债公允价值的相关说明</w:t>
      </w:r>
    </w:p>
    <w:sdt>
      <w:sdtPr>
        <w:rPr>
          <w:rFonts w:cs="Arial" w:hint="eastAsia"/>
          <w:szCs w:val="21"/>
        </w:rPr>
        <w:alias w:val="是否适用：购买日或合并当期期末无法合理确定合并对价或被购买方可辨认资产、负债公允价值的相关说明[双击切换]"/>
        <w:tag w:val="_GBC_356c94258e3a4bd7bb489882bf311bd0"/>
        <w:id w:val="-2022154153"/>
        <w:placeholder>
          <w:docPart w:val="GBC22222222222222222222222222222"/>
        </w:placeholder>
      </w:sdtPr>
      <w:sdtContent>
        <w:p>
          <w:pPr>
            <w:rPr>
              <w:rFonts w:cs="Arial"/>
              <w:b/>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pStyle w:val="afffffffffffffffffffffffffffffffff1"/>
        <w:numPr>
          <w:ilvl w:val="0"/>
          <w:numId w:val="183"/>
        </w:numPr>
        <w:ind w:left="426" w:hanging="426"/>
      </w:pPr>
      <w:r>
        <w:rPr>
          <w:rFonts w:hint="eastAsia"/>
        </w:rPr>
        <w:t>其他说明</w:t>
      </w:r>
    </w:p>
    <w:sdt>
      <w:sdtPr>
        <w:rPr>
          <w:rFonts w:hint="eastAsia"/>
          <w:szCs w:val="21"/>
        </w:rPr>
        <w:alias w:val="是否适用：非同一控制下企业合并其他需要说明的事项[双击切换]"/>
        <w:tag w:val="_GBC_34e320a5c7264ae9995be47f5972ed90"/>
        <w:id w:val="1273982306"/>
        <w:placeholder>
          <w:docPart w:val="GBC22222222222222222222222222222"/>
        </w:placeholder>
      </w:sdtPr>
      <w:sdtContent>
        <w:p>
          <w:pPr>
            <w:rPr>
              <w:rFonts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32"/>
        </w:numPr>
        <w:rPr>
          <w:rFonts w:ascii="宋体" w:hAnsi="宋体" w:cs="Arial"/>
          <w:szCs w:val="21"/>
        </w:rPr>
      </w:pPr>
      <w:r>
        <w:rPr>
          <w:rFonts w:ascii="宋体" w:hAnsi="宋体" w:cs="Arial" w:hint="eastAsia"/>
          <w:szCs w:val="21"/>
        </w:rPr>
        <w:t>同一控制下企业合并</w:t>
      </w:r>
    </w:p>
    <w:sdt>
      <w:sdtPr>
        <w:alias w:val="是否适用：同一控制下企业合并[双击切换]"/>
        <w:tag w:val="_GBC_698d1a451f094ec0bf9c3a278d26a0d3"/>
        <w:id w:val="-1859344923"/>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1"/>
        <w:numPr>
          <w:ilvl w:val="0"/>
          <w:numId w:val="184"/>
        </w:numPr>
        <w:ind w:left="426" w:hanging="426"/>
      </w:pPr>
      <w:r>
        <w:rPr>
          <w:rFonts w:hint="eastAsia"/>
        </w:rPr>
        <w:t>本期发生的同一控制下企业合并</w:t>
      </w:r>
    </w:p>
    <w:sdt>
      <w:sdtPr>
        <w:alias w:val="是否适用：本期发生的同一控制下企业合并[双击切换]"/>
        <w:tag w:val="_GBC_50aeb159f0be4e099170131affd5d1bc"/>
        <w:id w:val="-160503003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发生的同一控制下企业合并"/>
          <w:tag w:val="_GBC_6c807af61b7c4d1dad8dbcd9238f2985"/>
          <w:id w:val="-8319146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发生的同一控制下企业合并"/>
          <w:tag w:val="_GBC_d0e9edec9a044027a7e3968e6e6224ea"/>
          <w:id w:val="-2971391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7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2"/>
        <w:gridCol w:w="991"/>
        <w:gridCol w:w="1132"/>
        <w:gridCol w:w="1267"/>
        <w:gridCol w:w="828"/>
        <w:gridCol w:w="944"/>
        <w:gridCol w:w="971"/>
        <w:gridCol w:w="971"/>
        <w:gridCol w:w="1353"/>
      </w:tblGrid>
      <w:tr>
        <w:trPr>
          <w:trHeight w:val="1113"/>
          <w:jc w:val="center"/>
        </w:trPr>
        <w:sdt>
          <w:sdtPr>
            <w:rPr>
              <w:szCs w:val="21"/>
            </w:rPr>
            <w:tag w:val="_PLD_cf4cad5fd924471dbbecdf354d5ad2e3"/>
            <w:id w:val="-1905526222"/>
          </w:sdtPr>
          <w:sdtContent>
            <w:tc>
              <w:tcPr>
                <w:tcW w:w="801" w:type="pct"/>
                <w:shd w:val="clear" w:color="auto" w:fill="auto"/>
                <w:vAlign w:val="center"/>
              </w:tcPr>
              <w:p>
                <w:pPr>
                  <w:jc w:val="center"/>
                  <w:rPr>
                    <w:szCs w:val="21"/>
                  </w:rPr>
                </w:pPr>
                <w:r>
                  <w:rPr>
                    <w:rFonts w:hint="eastAsia"/>
                    <w:szCs w:val="21"/>
                  </w:rPr>
                  <w:t>被合并方名称</w:t>
                </w:r>
              </w:p>
            </w:tc>
          </w:sdtContent>
        </w:sdt>
        <w:sdt>
          <w:sdtPr>
            <w:rPr>
              <w:szCs w:val="21"/>
            </w:rPr>
            <w:tag w:val="_PLD_ea6ca5b536474fc18ca1201904cdab3b"/>
            <w:id w:val="-1384793737"/>
          </w:sdtPr>
          <w:sdtContent>
            <w:tc>
              <w:tcPr>
                <w:tcW w:w="492" w:type="pct"/>
                <w:shd w:val="clear" w:color="auto" w:fill="auto"/>
                <w:vAlign w:val="center"/>
              </w:tcPr>
              <w:p>
                <w:pPr>
                  <w:jc w:val="center"/>
                  <w:rPr>
                    <w:szCs w:val="21"/>
                  </w:rPr>
                </w:pPr>
                <w:r>
                  <w:rPr>
                    <w:rFonts w:hint="eastAsia"/>
                    <w:szCs w:val="21"/>
                  </w:rPr>
                  <w:t>企业合并中取得的权益比例</w:t>
                </w:r>
              </w:p>
            </w:tc>
          </w:sdtContent>
        </w:sdt>
        <w:sdt>
          <w:sdtPr>
            <w:rPr>
              <w:szCs w:val="21"/>
            </w:rPr>
            <w:tag w:val="_PLD_3f424227b77145b18d7b5c46cc9dfab8"/>
            <w:id w:val="2071224251"/>
          </w:sdtPr>
          <w:sdtContent>
            <w:tc>
              <w:tcPr>
                <w:tcW w:w="562" w:type="pct"/>
                <w:shd w:val="clear" w:color="auto" w:fill="auto"/>
                <w:vAlign w:val="center"/>
              </w:tcPr>
              <w:p>
                <w:pPr>
                  <w:jc w:val="center"/>
                  <w:rPr>
                    <w:szCs w:val="21"/>
                  </w:rPr>
                </w:pPr>
                <w:r>
                  <w:rPr>
                    <w:rFonts w:hint="eastAsia"/>
                    <w:szCs w:val="21"/>
                  </w:rPr>
                  <w:t>构成同一控制下企业合并的依据</w:t>
                </w:r>
              </w:p>
            </w:tc>
          </w:sdtContent>
        </w:sdt>
        <w:sdt>
          <w:sdtPr>
            <w:rPr>
              <w:szCs w:val="21"/>
            </w:rPr>
            <w:tag w:val="_PLD_e8fd59ee75374533bfc1d1ff5c5dd604"/>
            <w:id w:val="-810094378"/>
          </w:sdtPr>
          <w:sdtContent>
            <w:tc>
              <w:tcPr>
                <w:tcW w:w="629" w:type="pct"/>
                <w:shd w:val="clear" w:color="auto" w:fill="auto"/>
                <w:vAlign w:val="center"/>
              </w:tcPr>
              <w:p>
                <w:pPr>
                  <w:jc w:val="center"/>
                  <w:rPr>
                    <w:szCs w:val="21"/>
                  </w:rPr>
                </w:pPr>
                <w:r>
                  <w:rPr>
                    <w:rFonts w:hint="eastAsia"/>
                    <w:szCs w:val="21"/>
                  </w:rPr>
                  <w:t>合并日</w:t>
                </w:r>
              </w:p>
            </w:tc>
          </w:sdtContent>
        </w:sdt>
        <w:sdt>
          <w:sdtPr>
            <w:rPr>
              <w:szCs w:val="21"/>
            </w:rPr>
            <w:tag w:val="_PLD_0e812ed2b27d40c2bc820568242609ea"/>
            <w:id w:val="-1158457772"/>
          </w:sdtPr>
          <w:sdtContent>
            <w:tc>
              <w:tcPr>
                <w:tcW w:w="411" w:type="pct"/>
                <w:shd w:val="clear" w:color="auto" w:fill="auto"/>
                <w:vAlign w:val="center"/>
              </w:tcPr>
              <w:p>
                <w:pPr>
                  <w:jc w:val="center"/>
                  <w:rPr>
                    <w:szCs w:val="21"/>
                  </w:rPr>
                </w:pPr>
                <w:r>
                  <w:rPr>
                    <w:rFonts w:hint="eastAsia"/>
                    <w:szCs w:val="21"/>
                  </w:rPr>
                  <w:t>合并日的确定依据</w:t>
                </w:r>
              </w:p>
            </w:tc>
          </w:sdtContent>
        </w:sdt>
        <w:sdt>
          <w:sdtPr>
            <w:rPr>
              <w:szCs w:val="21"/>
            </w:rPr>
            <w:tag w:val="_PLD_d625705be55e4fdd9e867728c1965db0"/>
            <w:id w:val="812676620"/>
          </w:sdtPr>
          <w:sdtContent>
            <w:tc>
              <w:tcPr>
                <w:tcW w:w="469" w:type="pct"/>
                <w:shd w:val="clear" w:color="auto" w:fill="auto"/>
                <w:vAlign w:val="center"/>
              </w:tcPr>
              <w:p>
                <w:pPr>
                  <w:jc w:val="center"/>
                  <w:rPr>
                    <w:szCs w:val="21"/>
                  </w:rPr>
                </w:pPr>
                <w:r>
                  <w:rPr>
                    <w:rFonts w:hint="eastAsia"/>
                    <w:szCs w:val="21"/>
                  </w:rPr>
                  <w:t>合并当期期初至合并日被合并方的收入</w:t>
                </w:r>
              </w:p>
            </w:tc>
          </w:sdtContent>
        </w:sdt>
        <w:sdt>
          <w:sdtPr>
            <w:rPr>
              <w:szCs w:val="21"/>
            </w:rPr>
            <w:tag w:val="_PLD_03b7d7d580ac4e22b699e2e17f8f3009"/>
            <w:id w:val="154656554"/>
          </w:sdtPr>
          <w:sdtContent>
            <w:tc>
              <w:tcPr>
                <w:tcW w:w="482" w:type="pct"/>
                <w:shd w:val="clear" w:color="auto" w:fill="auto"/>
                <w:vAlign w:val="center"/>
              </w:tcPr>
              <w:p>
                <w:pPr>
                  <w:jc w:val="center"/>
                  <w:rPr>
                    <w:szCs w:val="21"/>
                  </w:rPr>
                </w:pPr>
                <w:r>
                  <w:rPr>
                    <w:rFonts w:hint="eastAsia"/>
                    <w:szCs w:val="21"/>
                  </w:rPr>
                  <w:t>合并当期期初至合并日被合并方的净利润</w:t>
                </w:r>
              </w:p>
            </w:tc>
          </w:sdtContent>
        </w:sdt>
        <w:sdt>
          <w:sdtPr>
            <w:rPr>
              <w:szCs w:val="21"/>
            </w:rPr>
            <w:tag w:val="_PLD_a1bf6594ef214561a400037e9b2c868d"/>
            <w:id w:val="-1460880249"/>
          </w:sdtPr>
          <w:sdtContent>
            <w:tc>
              <w:tcPr>
                <w:tcW w:w="482" w:type="pct"/>
                <w:vAlign w:val="center"/>
              </w:tcPr>
              <w:p>
                <w:pPr>
                  <w:jc w:val="center"/>
                  <w:rPr>
                    <w:szCs w:val="21"/>
                  </w:rPr>
                </w:pPr>
                <w:r>
                  <w:rPr>
                    <w:rFonts w:hint="eastAsia"/>
                    <w:szCs w:val="21"/>
                  </w:rPr>
                  <w:t>比较期间被合并方的收入</w:t>
                </w:r>
              </w:p>
            </w:tc>
          </w:sdtContent>
        </w:sdt>
        <w:sdt>
          <w:sdtPr>
            <w:rPr>
              <w:szCs w:val="21"/>
            </w:rPr>
            <w:tag w:val="_PLD_c3156d36b4534057acbc9a11456c7f76"/>
            <w:id w:val="-34196411"/>
          </w:sdtPr>
          <w:sdtContent>
            <w:tc>
              <w:tcPr>
                <w:tcW w:w="673" w:type="pct"/>
                <w:vAlign w:val="center"/>
              </w:tcPr>
              <w:p>
                <w:pPr>
                  <w:jc w:val="center"/>
                  <w:rPr>
                    <w:szCs w:val="21"/>
                  </w:rPr>
                </w:pPr>
                <w:r>
                  <w:rPr>
                    <w:rFonts w:hint="eastAsia"/>
                    <w:szCs w:val="21"/>
                  </w:rPr>
                  <w:t>比较期间被合并方的净利润</w:t>
                </w:r>
              </w:p>
            </w:tc>
          </w:sdtContent>
        </w:sdt>
      </w:tr>
      <w:tr>
        <w:trPr>
          <w:trHeight w:val="301"/>
          <w:jc w:val="center"/>
        </w:trPr>
        <w:tc>
          <w:tcPr>
            <w:tcW w:w="801" w:type="pct"/>
            <w:shd w:val="clear" w:color="auto" w:fill="auto"/>
            <w:vAlign w:val="center"/>
          </w:tcPr>
          <w:p>
            <w:pPr>
              <w:rPr>
                <w:color w:val="000000"/>
                <w:szCs w:val="21"/>
              </w:rPr>
            </w:pPr>
            <w:r>
              <w:rPr>
                <w:rFonts w:hint="eastAsia"/>
                <w:color w:val="000000"/>
                <w:szCs w:val="21"/>
              </w:rPr>
              <w:t>山东兖矿国拓科技工程股份有限公司</w:t>
            </w:r>
          </w:p>
        </w:tc>
        <w:tc>
          <w:tcPr>
            <w:tcW w:w="492" w:type="pct"/>
            <w:shd w:val="clear" w:color="auto" w:fill="auto"/>
            <w:vAlign w:val="center"/>
          </w:tcPr>
          <w:p>
            <w:pPr>
              <w:rPr>
                <w:color w:val="000000"/>
                <w:szCs w:val="21"/>
              </w:rPr>
            </w:pPr>
            <w:r>
              <w:rPr>
                <w:rFonts w:hint="eastAsia"/>
                <w:color w:val="000000"/>
                <w:szCs w:val="21"/>
              </w:rPr>
              <w:t>90%</w:t>
            </w:r>
          </w:p>
        </w:tc>
        <w:tc>
          <w:tcPr>
            <w:tcW w:w="562" w:type="pct"/>
            <w:shd w:val="clear" w:color="auto" w:fill="auto"/>
            <w:vAlign w:val="center"/>
          </w:tcPr>
          <w:p>
            <w:pPr>
              <w:rPr>
                <w:color w:val="000000"/>
                <w:szCs w:val="21"/>
              </w:rPr>
            </w:pPr>
            <w:r>
              <w:rPr>
                <w:rFonts w:hint="eastAsia"/>
                <w:color w:val="000000"/>
                <w:szCs w:val="21"/>
              </w:rPr>
              <w:t>最终控制人为山东能源集团有限公司</w:t>
            </w:r>
          </w:p>
        </w:tc>
        <w:tc>
          <w:tcPr>
            <w:tcW w:w="629" w:type="pct"/>
            <w:shd w:val="clear" w:color="auto" w:fill="auto"/>
            <w:vAlign w:val="center"/>
          </w:tcPr>
          <w:p>
            <w:pPr>
              <w:rPr>
                <w:color w:val="000000"/>
                <w:szCs w:val="21"/>
              </w:rPr>
            </w:pPr>
            <w:r>
              <w:rPr>
                <w:rFonts w:hint="eastAsia"/>
                <w:color w:val="000000"/>
                <w:szCs w:val="21"/>
              </w:rPr>
              <w:t>2024</w:t>
            </w:r>
            <w:r>
              <w:rPr>
                <w:color w:val="000000"/>
                <w:szCs w:val="21"/>
              </w:rPr>
              <w:t>/</w:t>
            </w:r>
            <w:r>
              <w:rPr>
                <w:rFonts w:hint="eastAsia"/>
                <w:color w:val="000000"/>
                <w:szCs w:val="21"/>
              </w:rPr>
              <w:t>05</w:t>
            </w:r>
            <w:r>
              <w:rPr>
                <w:color w:val="000000"/>
                <w:szCs w:val="21"/>
              </w:rPr>
              <w:t>/</w:t>
            </w:r>
            <w:r>
              <w:rPr>
                <w:rFonts w:hint="eastAsia"/>
                <w:color w:val="000000"/>
                <w:szCs w:val="21"/>
              </w:rPr>
              <w:t>31</w:t>
            </w:r>
          </w:p>
        </w:tc>
        <w:tc>
          <w:tcPr>
            <w:tcW w:w="411" w:type="pct"/>
            <w:shd w:val="clear" w:color="auto" w:fill="auto"/>
            <w:vAlign w:val="center"/>
          </w:tcPr>
          <w:p>
            <w:pPr>
              <w:rPr>
                <w:color w:val="000000"/>
                <w:szCs w:val="21"/>
              </w:rPr>
            </w:pPr>
            <w:r>
              <w:rPr>
                <w:rFonts w:hint="eastAsia"/>
                <w:color w:val="000000"/>
                <w:szCs w:val="21"/>
              </w:rPr>
              <w:t>控制权的转移</w:t>
            </w:r>
          </w:p>
        </w:tc>
        <w:tc>
          <w:tcPr>
            <w:tcW w:w="469" w:type="pct"/>
            <w:shd w:val="clear" w:color="auto" w:fill="auto"/>
            <w:vAlign w:val="center"/>
          </w:tcPr>
          <w:p>
            <w:pPr>
              <w:jc w:val="right"/>
              <w:rPr>
                <w:color w:val="000000"/>
                <w:szCs w:val="21"/>
              </w:rPr>
            </w:pPr>
            <w:r>
              <w:rPr>
                <w:rFonts w:hint="eastAsia"/>
                <w:color w:val="000000"/>
                <w:szCs w:val="21"/>
              </w:rPr>
              <w:t>6,262</w:t>
            </w:r>
          </w:p>
        </w:tc>
        <w:tc>
          <w:tcPr>
            <w:tcW w:w="482" w:type="pct"/>
            <w:shd w:val="clear" w:color="auto" w:fill="auto"/>
            <w:vAlign w:val="center"/>
          </w:tcPr>
          <w:p>
            <w:pPr>
              <w:jc w:val="right"/>
              <w:rPr>
                <w:color w:val="000000"/>
                <w:szCs w:val="21"/>
              </w:rPr>
            </w:pPr>
            <w:r>
              <w:rPr>
                <w:rFonts w:hint="eastAsia"/>
                <w:color w:val="000000"/>
                <w:szCs w:val="21"/>
              </w:rPr>
              <w:t>-8,675</w:t>
            </w:r>
          </w:p>
        </w:tc>
        <w:tc>
          <w:tcPr>
            <w:tcW w:w="482" w:type="pct"/>
            <w:vAlign w:val="center"/>
          </w:tcPr>
          <w:p>
            <w:pPr>
              <w:jc w:val="right"/>
              <w:rPr>
                <w:color w:val="000000"/>
                <w:szCs w:val="21"/>
              </w:rPr>
            </w:pPr>
            <w:r>
              <w:rPr>
                <w:rFonts w:hint="eastAsia"/>
                <w:color w:val="000000"/>
                <w:szCs w:val="21"/>
              </w:rPr>
              <w:t>20,157</w:t>
            </w:r>
          </w:p>
        </w:tc>
        <w:tc>
          <w:tcPr>
            <w:tcW w:w="673" w:type="pct"/>
            <w:vAlign w:val="center"/>
          </w:tcPr>
          <w:p>
            <w:pPr>
              <w:jc w:val="right"/>
              <w:rPr>
                <w:color w:val="000000"/>
                <w:szCs w:val="21"/>
              </w:rPr>
            </w:pPr>
            <w:r>
              <w:rPr>
                <w:rFonts w:hint="eastAsia"/>
                <w:color w:val="000000"/>
                <w:szCs w:val="21"/>
              </w:rPr>
              <w:t>2,542</w:t>
            </w:r>
          </w:p>
        </w:tc>
      </w:tr>
      <w:tr>
        <w:trPr>
          <w:trHeight w:val="301"/>
          <w:jc w:val="center"/>
        </w:trPr>
        <w:tc>
          <w:tcPr>
            <w:tcW w:w="801" w:type="pct"/>
            <w:shd w:val="clear" w:color="auto" w:fill="auto"/>
            <w:vAlign w:val="center"/>
          </w:tcPr>
          <w:p>
            <w:pPr>
              <w:rPr>
                <w:szCs w:val="21"/>
              </w:rPr>
            </w:pPr>
            <w:r>
              <w:rPr>
                <w:rFonts w:hint="eastAsia"/>
                <w:szCs w:val="21"/>
              </w:rPr>
              <w:t>合计</w:t>
            </w:r>
          </w:p>
        </w:tc>
        <w:tc>
          <w:tcPr>
            <w:tcW w:w="492" w:type="pct"/>
            <w:shd w:val="clear" w:color="auto" w:fill="auto"/>
            <w:vAlign w:val="center"/>
          </w:tcPr>
          <w:p>
            <w:pPr>
              <w:jc w:val="right"/>
              <w:rPr>
                <w:szCs w:val="21"/>
              </w:rPr>
            </w:pPr>
          </w:p>
        </w:tc>
        <w:tc>
          <w:tcPr>
            <w:tcW w:w="562" w:type="pct"/>
            <w:shd w:val="clear" w:color="auto" w:fill="auto"/>
            <w:vAlign w:val="center"/>
          </w:tcPr>
          <w:p>
            <w:pPr>
              <w:rPr>
                <w:szCs w:val="21"/>
              </w:rPr>
            </w:pPr>
          </w:p>
        </w:tc>
        <w:tc>
          <w:tcPr>
            <w:tcW w:w="629" w:type="pct"/>
            <w:shd w:val="clear" w:color="auto" w:fill="auto"/>
            <w:vAlign w:val="center"/>
          </w:tcPr>
          <w:p>
            <w:pPr>
              <w:rPr>
                <w:szCs w:val="21"/>
              </w:rPr>
            </w:pPr>
          </w:p>
        </w:tc>
        <w:tc>
          <w:tcPr>
            <w:tcW w:w="411" w:type="pct"/>
            <w:shd w:val="clear" w:color="auto" w:fill="auto"/>
            <w:vAlign w:val="center"/>
          </w:tcPr>
          <w:p>
            <w:pPr>
              <w:rPr>
                <w:szCs w:val="21"/>
              </w:rPr>
            </w:pPr>
          </w:p>
        </w:tc>
        <w:tc>
          <w:tcPr>
            <w:tcW w:w="469" w:type="pct"/>
            <w:shd w:val="clear" w:color="auto" w:fill="auto"/>
            <w:vAlign w:val="center"/>
          </w:tcPr>
          <w:p>
            <w:pPr>
              <w:jc w:val="right"/>
              <w:rPr>
                <w:color w:val="000000"/>
                <w:szCs w:val="21"/>
              </w:rPr>
            </w:pPr>
            <w:r>
              <w:rPr>
                <w:rFonts w:hint="eastAsia"/>
                <w:color w:val="000000"/>
                <w:szCs w:val="21"/>
              </w:rPr>
              <w:t>6,262</w:t>
            </w:r>
          </w:p>
        </w:tc>
        <w:tc>
          <w:tcPr>
            <w:tcW w:w="482" w:type="pct"/>
            <w:shd w:val="clear" w:color="auto" w:fill="auto"/>
            <w:vAlign w:val="center"/>
          </w:tcPr>
          <w:p>
            <w:pPr>
              <w:jc w:val="right"/>
              <w:rPr>
                <w:color w:val="000000"/>
                <w:szCs w:val="21"/>
              </w:rPr>
            </w:pPr>
            <w:r>
              <w:rPr>
                <w:rFonts w:hint="eastAsia"/>
                <w:color w:val="000000"/>
                <w:szCs w:val="21"/>
              </w:rPr>
              <w:t>-8,675</w:t>
            </w:r>
          </w:p>
        </w:tc>
        <w:tc>
          <w:tcPr>
            <w:tcW w:w="482" w:type="pct"/>
            <w:vAlign w:val="center"/>
          </w:tcPr>
          <w:p>
            <w:pPr>
              <w:jc w:val="right"/>
              <w:rPr>
                <w:color w:val="000000"/>
                <w:szCs w:val="21"/>
              </w:rPr>
            </w:pPr>
            <w:r>
              <w:rPr>
                <w:rFonts w:hint="eastAsia"/>
                <w:color w:val="000000"/>
                <w:szCs w:val="21"/>
              </w:rPr>
              <w:t>20,157</w:t>
            </w:r>
          </w:p>
        </w:tc>
        <w:tc>
          <w:tcPr>
            <w:tcW w:w="673" w:type="pct"/>
            <w:vAlign w:val="center"/>
          </w:tcPr>
          <w:p>
            <w:pPr>
              <w:jc w:val="right"/>
              <w:rPr>
                <w:color w:val="000000"/>
                <w:szCs w:val="21"/>
              </w:rPr>
            </w:pPr>
            <w:r>
              <w:rPr>
                <w:rFonts w:hint="eastAsia"/>
                <w:color w:val="000000"/>
                <w:szCs w:val="21"/>
              </w:rPr>
              <w:t>2,542</w:t>
            </w:r>
          </w:p>
        </w:tc>
      </w:tr>
    </w:tbl>
    <w:p>
      <w:pPr>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2058537327"/>
        <w:placeholder>
          <w:docPart w:val="GBC22222222222222222222222222222"/>
        </w:placeholder>
      </w:sdtPr>
      <w:sdtContent>
        <w:p>
          <w:pPr>
            <w:rPr>
              <w:rFonts w:cs="Arial"/>
              <w:szCs w:val="21"/>
            </w:rPr>
          </w:pPr>
          <w:r>
            <w:rPr>
              <w:rFonts w:cs="Arial"/>
              <w:szCs w:val="21"/>
            </w:rPr>
            <w:t>-</w:t>
          </w:r>
        </w:p>
      </w:sdtContent>
    </w:sdt>
    <w:p>
      <w:pPr>
        <w:rPr>
          <w:szCs w:val="21"/>
        </w:rPr>
      </w:pPr>
    </w:p>
    <w:p>
      <w:pPr>
        <w:pStyle w:val="afffffffffffffffffffffffffffffffff1"/>
        <w:numPr>
          <w:ilvl w:val="0"/>
          <w:numId w:val="184"/>
        </w:numPr>
        <w:ind w:left="426" w:hanging="426"/>
      </w:pPr>
      <w:r>
        <w:rPr>
          <w:rFonts w:hint="eastAsia"/>
        </w:rPr>
        <w:t>合并成本</w:t>
      </w:r>
    </w:p>
    <w:sdt>
      <w:sdtPr>
        <w:alias w:val="是否适用：合并成本[双击切换]"/>
        <w:tag w:val="_GBC_5a2f1a0aa219473a9ea30bef3c2b1ffb"/>
        <w:id w:val="-173284277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合并成本"/>
          <w:tag w:val="_GBC_357520090212412ea44dcf12e5071db1"/>
          <w:id w:val="29919758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合并成本"/>
          <w:tag w:val="_GBC_bf160fe83cf848c7bc9823481e0c4b39"/>
          <w:id w:val="2646641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6"/>
        <w:gridCol w:w="4487"/>
      </w:tblGrid>
      <w:tr>
        <w:trPr>
          <w:jc w:val="center"/>
        </w:trPr>
        <w:sdt>
          <w:sdtPr>
            <w:rPr>
              <w:szCs w:val="21"/>
            </w:rPr>
            <w:tag w:val="_PLD_3861184c57a746659a54c9c232ed66d0"/>
            <w:id w:val="27226757"/>
          </w:sdtPr>
          <w:sdtContent>
            <w:tc>
              <w:tcPr>
                <w:tcW w:w="2457" w:type="pct"/>
                <w:shd w:val="clear" w:color="auto" w:fill="auto"/>
              </w:tcPr>
              <w:p>
                <w:pPr>
                  <w:rPr>
                    <w:rFonts w:cs="Arial"/>
                    <w:szCs w:val="21"/>
                  </w:rPr>
                </w:pPr>
                <w:r>
                  <w:rPr>
                    <w:rFonts w:cs="Arial" w:hint="eastAsia"/>
                    <w:szCs w:val="21"/>
                    <w:lang w:val="en-GB"/>
                  </w:rPr>
                  <w:t>项目</w:t>
                </w:r>
              </w:p>
            </w:tc>
          </w:sdtContent>
        </w:sdt>
        <w:sdt>
          <w:sdtPr>
            <w:rPr>
              <w:szCs w:val="21"/>
            </w:rPr>
            <w:alias w:val="同一控制下企业合并成本明细-公司名称"/>
            <w:tag w:val="_GBC_d09ee04f3f7d4790be8d5ece4cb0b451"/>
            <w:id w:val="-1569252072"/>
          </w:sdtPr>
          <w:sdtContent>
            <w:tc>
              <w:tcPr>
                <w:tcW w:w="2543" w:type="pct"/>
              </w:tcPr>
              <w:p>
                <w:pPr>
                  <w:rPr>
                    <w:szCs w:val="21"/>
                  </w:rPr>
                </w:pPr>
                <w:r>
                  <w:rPr>
                    <w:rFonts w:hint="eastAsia"/>
                    <w:b/>
                    <w:szCs w:val="21"/>
                  </w:rPr>
                  <w:t>山东兖矿国拓科技工程股份有限公司</w:t>
                </w:r>
              </w:p>
            </w:tc>
          </w:sdtContent>
        </w:sdt>
      </w:tr>
      <w:tr>
        <w:trPr>
          <w:jc w:val="center"/>
        </w:trPr>
        <w:tc>
          <w:tcPr>
            <w:tcW w:w="2457" w:type="pct"/>
            <w:shd w:val="clear" w:color="auto" w:fill="auto"/>
            <w:vAlign w:val="center"/>
          </w:tcPr>
          <w:p>
            <w:pPr>
              <w:spacing w:line="360" w:lineRule="exact"/>
              <w:rPr>
                <w:szCs w:val="21"/>
              </w:rPr>
            </w:pPr>
            <w:r>
              <w:rPr>
                <w:rFonts w:hint="eastAsia"/>
                <w:szCs w:val="21"/>
              </w:rPr>
              <w:t>合并成本</w:t>
            </w:r>
          </w:p>
        </w:tc>
        <w:tc>
          <w:tcPr>
            <w:tcW w:w="2543" w:type="pct"/>
            <w:vAlign w:val="center"/>
          </w:tcPr>
          <w:p>
            <w:pPr>
              <w:spacing w:line="360" w:lineRule="exact"/>
              <w:jc w:val="right"/>
              <w:rPr>
                <w:szCs w:val="21"/>
              </w:rPr>
            </w:pPr>
            <w:r>
              <w:rPr>
                <w:szCs w:val="21"/>
              </w:rPr>
              <w:t>142,728</w:t>
            </w:r>
          </w:p>
        </w:tc>
      </w:tr>
      <w:tr>
        <w:trPr>
          <w:jc w:val="center"/>
        </w:trPr>
        <w:tc>
          <w:tcPr>
            <w:tcW w:w="2457" w:type="pct"/>
            <w:shd w:val="clear" w:color="auto" w:fill="auto"/>
            <w:vAlign w:val="center"/>
          </w:tcPr>
          <w:p>
            <w:pPr>
              <w:spacing w:line="360" w:lineRule="exact"/>
              <w:ind w:firstLineChars="300" w:firstLine="630"/>
              <w:rPr>
                <w:szCs w:val="21"/>
              </w:rPr>
            </w:pPr>
            <w:r>
              <w:rPr>
                <w:szCs w:val="21"/>
              </w:rPr>
              <w:t>--现金</w:t>
            </w:r>
          </w:p>
        </w:tc>
        <w:tc>
          <w:tcPr>
            <w:tcW w:w="2543" w:type="pct"/>
            <w:vAlign w:val="center"/>
          </w:tcPr>
          <w:p>
            <w:pPr>
              <w:spacing w:line="360" w:lineRule="exact"/>
              <w:jc w:val="right"/>
              <w:rPr>
                <w:szCs w:val="21"/>
              </w:rPr>
            </w:pPr>
            <w:r>
              <w:rPr>
                <w:szCs w:val="21"/>
              </w:rPr>
              <w:t>142,728</w:t>
            </w:r>
          </w:p>
        </w:tc>
      </w:tr>
    </w:tbl>
    <w:p>
      <w:pPr>
        <w:rPr>
          <w:rFonts w:cs="Arial"/>
          <w:szCs w:val="21"/>
        </w:rPr>
      </w:pPr>
    </w:p>
    <w:p>
      <w:pPr>
        <w:rPr>
          <w:rFonts w:cs="Arial"/>
          <w:szCs w:val="21"/>
        </w:rPr>
      </w:pPr>
      <w:r>
        <w:rPr>
          <w:rFonts w:cs="Arial" w:hint="eastAsia"/>
          <w:szCs w:val="21"/>
        </w:rPr>
        <w:lastRenderedPageBreak/>
        <w:t>或有对价及其变动的说明：</w:t>
      </w:r>
    </w:p>
    <w:sdt>
      <w:sdtPr>
        <w:rPr>
          <w:rFonts w:cs="Arial"/>
          <w:szCs w:val="21"/>
        </w:rPr>
        <w:alias w:val="或有对价及其变动的说明"/>
        <w:tag w:val="_GBC_3d4ae752611c42a4a312dd4d84f71540"/>
        <w:id w:val="1955128763"/>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rPr>
          <w:rFonts w:cs="Arial"/>
          <w:szCs w:val="21"/>
        </w:rPr>
      </w:pPr>
      <w:r>
        <w:rPr>
          <w:rFonts w:cs="Arial" w:hint="eastAsia"/>
          <w:szCs w:val="21"/>
        </w:rPr>
        <w:t>其他说明：</w:t>
      </w:r>
    </w:p>
    <w:sdt>
      <w:sdtPr>
        <w:rPr>
          <w:rFonts w:cs="Arial"/>
          <w:szCs w:val="21"/>
        </w:rPr>
        <w:alias w:val="同一控制下企业合并成本的说明"/>
        <w:tag w:val="_GBC_db33048648eb484a8f6e8967e081eb8a"/>
        <w:id w:val="-1654516296"/>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pStyle w:val="afffffffffffffffffffffffffffffffff1"/>
        <w:numPr>
          <w:ilvl w:val="0"/>
          <w:numId w:val="184"/>
        </w:numPr>
        <w:ind w:left="426" w:hanging="426"/>
      </w:pPr>
      <w:r>
        <w:rPr>
          <w:rFonts w:hint="eastAsia"/>
        </w:rPr>
        <w:t>合并日被合并方资产、负债的账面价值</w:t>
      </w:r>
    </w:p>
    <w:p>
      <w:pPr>
        <w:pStyle w:val="affffffffffffffffffffffffffffffffe"/>
        <w:tabs>
          <w:tab w:val="left" w:pos="2454"/>
        </w:tabs>
      </w:pPr>
      <w:sdt>
        <w:sdtPr>
          <w:alias w:val="是否适用：合并日被合并方资产、负债的账面价值[双击切换]"/>
          <w:tag w:val="_GBC_5dec2961a29c4f7dba84a8d8fd453dab"/>
          <w:id w:val="1987890291"/>
          <w:placeholder>
            <w:docPart w:val="GBC22222222222222222222222222222"/>
          </w:placeholder>
        </w:sdtPr>
        <w:sdtContent>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sdtContent>
      </w:sdt>
      <w:r>
        <w:tab/>
      </w:r>
    </w:p>
    <w:p>
      <w:pPr>
        <w:pStyle w:val="affffffffffffffffffffffffffffffffe"/>
        <w:tabs>
          <w:tab w:val="left" w:pos="2454"/>
        </w:tabs>
      </w:pPr>
    </w:p>
    <w:p>
      <w:pPr>
        <w:jc w:val="right"/>
      </w:pPr>
      <w:r>
        <w:rPr>
          <w:rFonts w:hint="eastAsia"/>
        </w:rPr>
        <w:t>单位：</w:t>
      </w:r>
      <w:sdt>
        <w:sdtPr>
          <w:rPr>
            <w:rFonts w:hint="eastAsia"/>
          </w:rPr>
          <w:alias w:val="单位：财务附注：合并日被合并方资产、负债的账面价值"/>
          <w:tag w:val="_GBC_40ecb31d91524802888565cf5e740942"/>
          <w:id w:val="-13080860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合并日被合并方资产、负债的账面价值"/>
          <w:tag w:val="_GBC_10e87b9f74f84d0e9a09bd5eed205468"/>
          <w:id w:val="-18383760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2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5"/>
        <w:gridCol w:w="2409"/>
        <w:gridCol w:w="2455"/>
      </w:tblGrid>
      <w:tr>
        <w:trPr>
          <w:jc w:val="center"/>
        </w:trPr>
        <w:tc>
          <w:tcPr>
            <w:tcW w:w="2373" w:type="pct"/>
            <w:vMerge w:val="restart"/>
            <w:shd w:val="clear" w:color="auto" w:fill="auto"/>
            <w:vAlign w:val="center"/>
          </w:tcPr>
          <w:p>
            <w:pPr>
              <w:rPr>
                <w:rFonts w:cs="Arial"/>
                <w:szCs w:val="21"/>
              </w:rPr>
            </w:pPr>
          </w:p>
        </w:tc>
        <w:sdt>
          <w:sdtPr>
            <w:rPr>
              <w:rFonts w:cs="Arial" w:hint="eastAsia"/>
              <w:szCs w:val="21"/>
              <w:lang w:val="en-GB"/>
            </w:rPr>
            <w:alias w:val="被合并方的资产、负债明细-公司名称"/>
            <w:tag w:val="_GBC_e9b1593733f643f9a2c837eefae98a8d"/>
            <w:id w:val="-755831352"/>
          </w:sdtPr>
          <w:sdtContent>
            <w:tc>
              <w:tcPr>
                <w:tcW w:w="2627" w:type="pct"/>
                <w:gridSpan w:val="2"/>
                <w:shd w:val="clear" w:color="auto" w:fill="auto"/>
                <w:vAlign w:val="center"/>
              </w:tcPr>
              <w:p>
                <w:pPr>
                  <w:jc w:val="center"/>
                  <w:rPr>
                    <w:rFonts w:cs="Arial"/>
                    <w:szCs w:val="21"/>
                    <w:lang w:val="en-GB"/>
                  </w:rPr>
                </w:pPr>
                <w:r>
                  <w:rPr>
                    <w:rFonts w:hint="eastAsia"/>
                    <w:b/>
                    <w:szCs w:val="21"/>
                  </w:rPr>
                  <w:t>山东兖矿国拓科技工程股份有限公司</w:t>
                </w:r>
              </w:p>
            </w:tc>
          </w:sdtContent>
        </w:sdt>
      </w:tr>
      <w:tr>
        <w:trPr>
          <w:jc w:val="center"/>
        </w:trPr>
        <w:tc>
          <w:tcPr>
            <w:tcW w:w="2373" w:type="pct"/>
            <w:vMerge/>
            <w:shd w:val="clear" w:color="auto" w:fill="auto"/>
            <w:vAlign w:val="center"/>
          </w:tcPr>
          <w:p>
            <w:pPr>
              <w:rPr>
                <w:rFonts w:cs="Arial"/>
                <w:szCs w:val="21"/>
              </w:rPr>
            </w:pPr>
          </w:p>
        </w:tc>
        <w:sdt>
          <w:sdtPr>
            <w:rPr>
              <w:szCs w:val="21"/>
            </w:rPr>
            <w:tag w:val="_PLD_bee6c3563d97418a99a2ebc03e19e7e6"/>
            <w:id w:val="2109308153"/>
          </w:sdtPr>
          <w:sdtContent>
            <w:tc>
              <w:tcPr>
                <w:tcW w:w="1301" w:type="pct"/>
                <w:shd w:val="clear" w:color="auto" w:fill="auto"/>
                <w:vAlign w:val="center"/>
              </w:tcPr>
              <w:p>
                <w:pPr>
                  <w:jc w:val="center"/>
                  <w:rPr>
                    <w:rFonts w:cs="Arial"/>
                    <w:szCs w:val="21"/>
                  </w:rPr>
                </w:pPr>
                <w:r>
                  <w:rPr>
                    <w:rFonts w:cs="Arial" w:hint="eastAsia"/>
                    <w:szCs w:val="21"/>
                    <w:lang w:val="en-GB"/>
                  </w:rPr>
                  <w:t>合并日</w:t>
                </w:r>
              </w:p>
            </w:tc>
          </w:sdtContent>
        </w:sdt>
        <w:sdt>
          <w:sdtPr>
            <w:rPr>
              <w:szCs w:val="21"/>
            </w:rPr>
            <w:tag w:val="_PLD_d6af255a88be4e5e82a7e5c33e295842"/>
            <w:id w:val="-1385095740"/>
          </w:sdtPr>
          <w:sdtContent>
            <w:tc>
              <w:tcPr>
                <w:tcW w:w="1326" w:type="pct"/>
                <w:shd w:val="clear" w:color="auto" w:fill="auto"/>
                <w:vAlign w:val="center"/>
              </w:tcPr>
              <w:p>
                <w:pPr>
                  <w:jc w:val="center"/>
                  <w:rPr>
                    <w:rFonts w:cs="Arial"/>
                    <w:szCs w:val="21"/>
                    <w:lang w:val="en-GB"/>
                  </w:rPr>
                </w:pPr>
                <w:r>
                  <w:rPr>
                    <w:rFonts w:cs="Arial" w:hint="eastAsia"/>
                    <w:szCs w:val="21"/>
                    <w:lang w:val="en-GB"/>
                  </w:rPr>
                  <w:t>上期期末</w:t>
                </w:r>
              </w:p>
            </w:tc>
          </w:sdtContent>
        </w:sdt>
      </w:tr>
      <w:tr>
        <w:trPr>
          <w:jc w:val="center"/>
        </w:trPr>
        <w:tc>
          <w:tcPr>
            <w:tcW w:w="2373" w:type="pct"/>
            <w:shd w:val="clear" w:color="auto" w:fill="auto"/>
            <w:vAlign w:val="center"/>
          </w:tcPr>
          <w:p>
            <w:pPr>
              <w:spacing w:line="360" w:lineRule="exact"/>
              <w:rPr>
                <w:szCs w:val="21"/>
              </w:rPr>
            </w:pPr>
            <w:r>
              <w:rPr>
                <w:rFonts w:hint="eastAsia"/>
                <w:szCs w:val="21"/>
              </w:rPr>
              <w:t>资产</w:t>
            </w:r>
            <w:r>
              <w:rPr>
                <w:szCs w:val="21"/>
              </w:rPr>
              <w:t>：</w:t>
            </w:r>
          </w:p>
        </w:tc>
        <w:tc>
          <w:tcPr>
            <w:tcW w:w="1301" w:type="pct"/>
            <w:vAlign w:val="center"/>
          </w:tcPr>
          <w:p>
            <w:pPr>
              <w:spacing w:line="360" w:lineRule="exact"/>
              <w:jc w:val="right"/>
              <w:rPr>
                <w:szCs w:val="21"/>
              </w:rPr>
            </w:pPr>
            <w:r>
              <w:rPr>
                <w:szCs w:val="21"/>
              </w:rPr>
              <w:t>181,794</w:t>
            </w:r>
          </w:p>
        </w:tc>
        <w:tc>
          <w:tcPr>
            <w:tcW w:w="1326" w:type="pct"/>
            <w:vAlign w:val="center"/>
          </w:tcPr>
          <w:p>
            <w:pPr>
              <w:spacing w:line="360" w:lineRule="exact"/>
              <w:jc w:val="right"/>
              <w:rPr>
                <w:szCs w:val="21"/>
              </w:rPr>
            </w:pPr>
            <w:r>
              <w:rPr>
                <w:szCs w:val="21"/>
              </w:rPr>
              <w:t>188,548</w:t>
            </w:r>
          </w:p>
        </w:tc>
      </w:tr>
      <w:tr>
        <w:trPr>
          <w:jc w:val="center"/>
        </w:trPr>
        <w:tc>
          <w:tcPr>
            <w:tcW w:w="2373" w:type="pct"/>
            <w:shd w:val="clear" w:color="auto" w:fill="auto"/>
            <w:vAlign w:val="center"/>
          </w:tcPr>
          <w:p>
            <w:pPr>
              <w:spacing w:line="360" w:lineRule="exact"/>
              <w:rPr>
                <w:szCs w:val="21"/>
              </w:rPr>
            </w:pPr>
            <w:r>
              <w:rPr>
                <w:rFonts w:hint="eastAsia"/>
                <w:szCs w:val="21"/>
              </w:rPr>
              <w:t>货币资金</w:t>
            </w:r>
          </w:p>
        </w:tc>
        <w:tc>
          <w:tcPr>
            <w:tcW w:w="1301" w:type="pct"/>
            <w:vAlign w:val="center"/>
          </w:tcPr>
          <w:p>
            <w:pPr>
              <w:spacing w:line="360" w:lineRule="exact"/>
              <w:jc w:val="right"/>
              <w:rPr>
                <w:szCs w:val="21"/>
              </w:rPr>
            </w:pPr>
            <w:r>
              <w:rPr>
                <w:szCs w:val="21"/>
              </w:rPr>
              <w:t>97,907</w:t>
            </w:r>
          </w:p>
        </w:tc>
        <w:tc>
          <w:tcPr>
            <w:tcW w:w="1326" w:type="pct"/>
            <w:vAlign w:val="center"/>
          </w:tcPr>
          <w:p>
            <w:pPr>
              <w:spacing w:line="360" w:lineRule="exact"/>
              <w:jc w:val="right"/>
              <w:rPr>
                <w:szCs w:val="21"/>
              </w:rPr>
            </w:pPr>
            <w:r>
              <w:rPr>
                <w:szCs w:val="21"/>
              </w:rPr>
              <w:t>94,158</w:t>
            </w:r>
          </w:p>
        </w:tc>
      </w:tr>
      <w:tr>
        <w:trPr>
          <w:trHeight w:val="133"/>
          <w:jc w:val="center"/>
        </w:trPr>
        <w:tc>
          <w:tcPr>
            <w:tcW w:w="2373" w:type="pct"/>
            <w:shd w:val="clear" w:color="auto" w:fill="auto"/>
            <w:vAlign w:val="center"/>
          </w:tcPr>
          <w:p>
            <w:pPr>
              <w:spacing w:line="360" w:lineRule="exact"/>
              <w:rPr>
                <w:szCs w:val="21"/>
              </w:rPr>
            </w:pPr>
            <w:r>
              <w:rPr>
                <w:rFonts w:hint="eastAsia"/>
                <w:szCs w:val="21"/>
              </w:rPr>
              <w:t>应收票据</w:t>
            </w:r>
          </w:p>
        </w:tc>
        <w:tc>
          <w:tcPr>
            <w:tcW w:w="1301" w:type="pct"/>
            <w:vAlign w:val="center"/>
          </w:tcPr>
          <w:p>
            <w:pPr>
              <w:spacing w:line="360" w:lineRule="exact"/>
              <w:jc w:val="right"/>
              <w:rPr>
                <w:szCs w:val="21"/>
              </w:rPr>
            </w:pPr>
            <w:r>
              <w:rPr>
                <w:szCs w:val="21"/>
              </w:rPr>
              <w:t>2,367</w:t>
            </w:r>
          </w:p>
        </w:tc>
        <w:tc>
          <w:tcPr>
            <w:tcW w:w="1326" w:type="pct"/>
            <w:vAlign w:val="center"/>
          </w:tcPr>
          <w:p>
            <w:pPr>
              <w:spacing w:line="360" w:lineRule="exact"/>
              <w:jc w:val="right"/>
              <w:rPr>
                <w:szCs w:val="21"/>
              </w:rPr>
            </w:pPr>
            <w:r>
              <w:rPr>
                <w:szCs w:val="21"/>
              </w:rPr>
              <w:t>3,669</w:t>
            </w:r>
          </w:p>
        </w:tc>
      </w:tr>
      <w:tr>
        <w:trPr>
          <w:trHeight w:val="65"/>
          <w:jc w:val="center"/>
        </w:trPr>
        <w:tc>
          <w:tcPr>
            <w:tcW w:w="2373" w:type="pct"/>
            <w:shd w:val="clear" w:color="auto" w:fill="auto"/>
            <w:vAlign w:val="center"/>
          </w:tcPr>
          <w:p>
            <w:pPr>
              <w:spacing w:line="360" w:lineRule="exact"/>
              <w:rPr>
                <w:szCs w:val="21"/>
              </w:rPr>
            </w:pPr>
            <w:r>
              <w:rPr>
                <w:rFonts w:hint="eastAsia"/>
                <w:szCs w:val="21"/>
              </w:rPr>
              <w:t>应收账款</w:t>
            </w:r>
          </w:p>
        </w:tc>
        <w:tc>
          <w:tcPr>
            <w:tcW w:w="1301" w:type="pct"/>
            <w:vAlign w:val="center"/>
          </w:tcPr>
          <w:p>
            <w:pPr>
              <w:spacing w:line="360" w:lineRule="exact"/>
              <w:jc w:val="right"/>
              <w:rPr>
                <w:szCs w:val="21"/>
              </w:rPr>
            </w:pPr>
            <w:r>
              <w:rPr>
                <w:szCs w:val="21"/>
              </w:rPr>
              <w:t>24,020</w:t>
            </w:r>
          </w:p>
        </w:tc>
        <w:tc>
          <w:tcPr>
            <w:tcW w:w="1326" w:type="pct"/>
            <w:vAlign w:val="center"/>
          </w:tcPr>
          <w:p>
            <w:pPr>
              <w:spacing w:line="360" w:lineRule="exact"/>
              <w:jc w:val="right"/>
              <w:rPr>
                <w:szCs w:val="21"/>
              </w:rPr>
            </w:pPr>
            <w:r>
              <w:rPr>
                <w:szCs w:val="21"/>
              </w:rPr>
              <w:t>29,580</w:t>
            </w:r>
          </w:p>
        </w:tc>
      </w:tr>
      <w:tr>
        <w:trPr>
          <w:jc w:val="center"/>
        </w:trPr>
        <w:tc>
          <w:tcPr>
            <w:tcW w:w="2373" w:type="pct"/>
            <w:shd w:val="clear" w:color="auto" w:fill="auto"/>
            <w:vAlign w:val="center"/>
          </w:tcPr>
          <w:p>
            <w:pPr>
              <w:spacing w:line="360" w:lineRule="exact"/>
              <w:rPr>
                <w:szCs w:val="21"/>
              </w:rPr>
            </w:pPr>
            <w:r>
              <w:rPr>
                <w:rFonts w:hint="eastAsia"/>
                <w:szCs w:val="21"/>
              </w:rPr>
              <w:t>应收款项融资</w:t>
            </w:r>
          </w:p>
        </w:tc>
        <w:tc>
          <w:tcPr>
            <w:tcW w:w="1301" w:type="pct"/>
            <w:vAlign w:val="center"/>
          </w:tcPr>
          <w:p>
            <w:pPr>
              <w:spacing w:line="360" w:lineRule="exact"/>
              <w:jc w:val="right"/>
              <w:rPr>
                <w:szCs w:val="21"/>
              </w:rPr>
            </w:pPr>
            <w:r>
              <w:rPr>
                <w:szCs w:val="21"/>
              </w:rPr>
              <w:t>721</w:t>
            </w:r>
          </w:p>
        </w:tc>
        <w:tc>
          <w:tcPr>
            <w:tcW w:w="1326" w:type="pct"/>
            <w:vAlign w:val="center"/>
          </w:tcPr>
          <w:p>
            <w:pPr>
              <w:spacing w:line="360" w:lineRule="exact"/>
              <w:jc w:val="right"/>
              <w:rPr>
                <w:szCs w:val="21"/>
              </w:rPr>
            </w:pPr>
            <w:r>
              <w:rPr>
                <w:szCs w:val="21"/>
              </w:rPr>
              <w:t>108</w:t>
            </w:r>
          </w:p>
        </w:tc>
      </w:tr>
      <w:tr>
        <w:trPr>
          <w:trHeight w:val="65"/>
          <w:jc w:val="center"/>
        </w:trPr>
        <w:tc>
          <w:tcPr>
            <w:tcW w:w="2373" w:type="pct"/>
            <w:shd w:val="clear" w:color="auto" w:fill="auto"/>
            <w:vAlign w:val="center"/>
          </w:tcPr>
          <w:p>
            <w:pPr>
              <w:spacing w:line="360" w:lineRule="exact"/>
              <w:rPr>
                <w:szCs w:val="21"/>
              </w:rPr>
            </w:pPr>
            <w:r>
              <w:rPr>
                <w:rFonts w:hint="eastAsia"/>
                <w:szCs w:val="21"/>
              </w:rPr>
              <w:t>预付款项</w:t>
            </w:r>
          </w:p>
        </w:tc>
        <w:tc>
          <w:tcPr>
            <w:tcW w:w="1301" w:type="pct"/>
            <w:vAlign w:val="center"/>
          </w:tcPr>
          <w:p>
            <w:pPr>
              <w:spacing w:line="360" w:lineRule="exact"/>
              <w:jc w:val="right"/>
              <w:rPr>
                <w:szCs w:val="21"/>
              </w:rPr>
            </w:pPr>
            <w:r>
              <w:rPr>
                <w:szCs w:val="21"/>
              </w:rPr>
              <w:t>6,144</w:t>
            </w:r>
          </w:p>
        </w:tc>
        <w:tc>
          <w:tcPr>
            <w:tcW w:w="1326" w:type="pct"/>
            <w:vAlign w:val="center"/>
          </w:tcPr>
          <w:p>
            <w:pPr>
              <w:spacing w:line="360" w:lineRule="exact"/>
              <w:jc w:val="right"/>
              <w:rPr>
                <w:szCs w:val="21"/>
              </w:rPr>
            </w:pPr>
            <w:r>
              <w:rPr>
                <w:szCs w:val="21"/>
              </w:rPr>
              <w:t>9,018</w:t>
            </w:r>
          </w:p>
        </w:tc>
      </w:tr>
      <w:tr>
        <w:trPr>
          <w:jc w:val="center"/>
        </w:trPr>
        <w:tc>
          <w:tcPr>
            <w:tcW w:w="2373" w:type="pct"/>
            <w:shd w:val="clear" w:color="auto" w:fill="auto"/>
            <w:vAlign w:val="center"/>
          </w:tcPr>
          <w:p>
            <w:pPr>
              <w:spacing w:line="360" w:lineRule="exact"/>
              <w:rPr>
                <w:szCs w:val="21"/>
              </w:rPr>
            </w:pPr>
            <w:r>
              <w:rPr>
                <w:rFonts w:hint="eastAsia"/>
                <w:szCs w:val="21"/>
              </w:rPr>
              <w:t>其他应收款</w:t>
            </w:r>
          </w:p>
        </w:tc>
        <w:tc>
          <w:tcPr>
            <w:tcW w:w="1301" w:type="pct"/>
            <w:vAlign w:val="center"/>
          </w:tcPr>
          <w:p>
            <w:pPr>
              <w:spacing w:line="360" w:lineRule="exact"/>
              <w:jc w:val="right"/>
              <w:rPr>
                <w:szCs w:val="21"/>
              </w:rPr>
            </w:pPr>
            <w:r>
              <w:rPr>
                <w:szCs w:val="21"/>
              </w:rPr>
              <w:t>201</w:t>
            </w:r>
          </w:p>
        </w:tc>
        <w:tc>
          <w:tcPr>
            <w:tcW w:w="1326" w:type="pct"/>
            <w:vAlign w:val="center"/>
          </w:tcPr>
          <w:p>
            <w:pPr>
              <w:spacing w:line="360" w:lineRule="exact"/>
              <w:jc w:val="right"/>
              <w:rPr>
                <w:szCs w:val="21"/>
              </w:rPr>
            </w:pPr>
            <w:r>
              <w:rPr>
                <w:szCs w:val="21"/>
              </w:rPr>
              <w:t>155</w:t>
            </w:r>
          </w:p>
        </w:tc>
      </w:tr>
      <w:tr>
        <w:trPr>
          <w:jc w:val="center"/>
        </w:trPr>
        <w:tc>
          <w:tcPr>
            <w:tcW w:w="2373" w:type="pct"/>
            <w:shd w:val="clear" w:color="auto" w:fill="auto"/>
            <w:vAlign w:val="center"/>
          </w:tcPr>
          <w:p>
            <w:pPr>
              <w:spacing w:line="360" w:lineRule="exact"/>
              <w:rPr>
                <w:szCs w:val="21"/>
              </w:rPr>
            </w:pPr>
            <w:r>
              <w:rPr>
                <w:rFonts w:hint="eastAsia"/>
                <w:szCs w:val="21"/>
              </w:rPr>
              <w:t>存货</w:t>
            </w:r>
          </w:p>
        </w:tc>
        <w:tc>
          <w:tcPr>
            <w:tcW w:w="1301" w:type="pct"/>
            <w:vAlign w:val="center"/>
          </w:tcPr>
          <w:p>
            <w:pPr>
              <w:spacing w:line="360" w:lineRule="exact"/>
              <w:jc w:val="right"/>
              <w:rPr>
                <w:szCs w:val="21"/>
              </w:rPr>
            </w:pPr>
            <w:r>
              <w:rPr>
                <w:szCs w:val="21"/>
              </w:rPr>
              <w:t>2,356</w:t>
            </w:r>
          </w:p>
        </w:tc>
        <w:tc>
          <w:tcPr>
            <w:tcW w:w="1326" w:type="pct"/>
            <w:vAlign w:val="center"/>
          </w:tcPr>
          <w:p>
            <w:pPr>
              <w:spacing w:line="360" w:lineRule="exact"/>
              <w:jc w:val="right"/>
              <w:rPr>
                <w:szCs w:val="21"/>
              </w:rPr>
            </w:pPr>
            <w:r>
              <w:rPr>
                <w:szCs w:val="21"/>
              </w:rPr>
              <w:t>241</w:t>
            </w:r>
          </w:p>
        </w:tc>
      </w:tr>
      <w:tr>
        <w:trPr>
          <w:jc w:val="center"/>
        </w:trPr>
        <w:tc>
          <w:tcPr>
            <w:tcW w:w="2373" w:type="pct"/>
            <w:shd w:val="clear" w:color="auto" w:fill="auto"/>
            <w:vAlign w:val="center"/>
          </w:tcPr>
          <w:p>
            <w:pPr>
              <w:spacing w:line="360" w:lineRule="exact"/>
              <w:rPr>
                <w:szCs w:val="21"/>
              </w:rPr>
            </w:pPr>
            <w:r>
              <w:rPr>
                <w:rFonts w:hint="eastAsia"/>
                <w:szCs w:val="21"/>
              </w:rPr>
              <w:t>合同资产</w:t>
            </w:r>
          </w:p>
        </w:tc>
        <w:tc>
          <w:tcPr>
            <w:tcW w:w="1301" w:type="pct"/>
            <w:vAlign w:val="center"/>
          </w:tcPr>
          <w:p>
            <w:pPr>
              <w:spacing w:line="360" w:lineRule="exact"/>
              <w:jc w:val="right"/>
              <w:rPr>
                <w:szCs w:val="21"/>
              </w:rPr>
            </w:pPr>
            <w:r>
              <w:rPr>
                <w:szCs w:val="21"/>
              </w:rPr>
              <w:t>344</w:t>
            </w:r>
          </w:p>
        </w:tc>
        <w:tc>
          <w:tcPr>
            <w:tcW w:w="1326" w:type="pct"/>
            <w:vAlign w:val="center"/>
          </w:tcPr>
          <w:p>
            <w:pPr>
              <w:spacing w:line="360" w:lineRule="exact"/>
              <w:jc w:val="right"/>
              <w:rPr>
                <w:szCs w:val="21"/>
              </w:rPr>
            </w:pPr>
            <w:r>
              <w:rPr>
                <w:szCs w:val="21"/>
              </w:rPr>
              <w:t>376</w:t>
            </w:r>
          </w:p>
        </w:tc>
      </w:tr>
      <w:tr>
        <w:trPr>
          <w:jc w:val="center"/>
        </w:trPr>
        <w:tc>
          <w:tcPr>
            <w:tcW w:w="2373" w:type="pct"/>
            <w:shd w:val="clear" w:color="auto" w:fill="auto"/>
            <w:vAlign w:val="center"/>
          </w:tcPr>
          <w:p>
            <w:pPr>
              <w:spacing w:line="360" w:lineRule="exact"/>
              <w:rPr>
                <w:szCs w:val="21"/>
              </w:rPr>
            </w:pPr>
            <w:r>
              <w:rPr>
                <w:rFonts w:hint="eastAsia"/>
                <w:szCs w:val="21"/>
              </w:rPr>
              <w:t>其他流动资产</w:t>
            </w:r>
          </w:p>
        </w:tc>
        <w:tc>
          <w:tcPr>
            <w:tcW w:w="1301" w:type="pct"/>
            <w:vAlign w:val="center"/>
          </w:tcPr>
          <w:p>
            <w:pPr>
              <w:spacing w:line="360" w:lineRule="exact"/>
              <w:jc w:val="right"/>
              <w:rPr>
                <w:szCs w:val="21"/>
              </w:rPr>
            </w:pPr>
            <w:r>
              <w:rPr>
                <w:szCs w:val="21"/>
              </w:rPr>
              <w:t>111</w:t>
            </w:r>
          </w:p>
        </w:tc>
        <w:tc>
          <w:tcPr>
            <w:tcW w:w="1326" w:type="pct"/>
            <w:vAlign w:val="center"/>
          </w:tcPr>
          <w:p>
            <w:pPr>
              <w:spacing w:line="360" w:lineRule="exact"/>
              <w:jc w:val="right"/>
              <w:rPr>
                <w:szCs w:val="21"/>
              </w:rPr>
            </w:pPr>
            <w:r>
              <w:rPr>
                <w:szCs w:val="21"/>
              </w:rPr>
              <w:t>181</w:t>
            </w:r>
          </w:p>
        </w:tc>
      </w:tr>
      <w:tr>
        <w:trPr>
          <w:jc w:val="center"/>
        </w:trPr>
        <w:tc>
          <w:tcPr>
            <w:tcW w:w="2373" w:type="pct"/>
            <w:shd w:val="clear" w:color="auto" w:fill="auto"/>
            <w:vAlign w:val="center"/>
          </w:tcPr>
          <w:p>
            <w:pPr>
              <w:spacing w:line="360" w:lineRule="exact"/>
              <w:rPr>
                <w:szCs w:val="21"/>
              </w:rPr>
            </w:pPr>
            <w:r>
              <w:rPr>
                <w:rFonts w:hint="eastAsia"/>
                <w:szCs w:val="21"/>
              </w:rPr>
              <w:t>长期应收款</w:t>
            </w:r>
          </w:p>
        </w:tc>
        <w:tc>
          <w:tcPr>
            <w:tcW w:w="1301" w:type="pct"/>
            <w:vAlign w:val="center"/>
          </w:tcPr>
          <w:p>
            <w:pPr>
              <w:spacing w:line="360" w:lineRule="exact"/>
              <w:jc w:val="right"/>
              <w:rPr>
                <w:szCs w:val="21"/>
              </w:rPr>
            </w:pPr>
            <w:r>
              <w:rPr>
                <w:szCs w:val="21"/>
              </w:rPr>
              <w:t>92</w:t>
            </w:r>
          </w:p>
        </w:tc>
        <w:tc>
          <w:tcPr>
            <w:tcW w:w="1326" w:type="pct"/>
            <w:vAlign w:val="center"/>
          </w:tcPr>
          <w:p>
            <w:pPr>
              <w:spacing w:line="360" w:lineRule="exact"/>
              <w:jc w:val="right"/>
              <w:rPr>
                <w:szCs w:val="21"/>
              </w:rPr>
            </w:pPr>
            <w:r>
              <w:rPr>
                <w:szCs w:val="21"/>
              </w:rPr>
              <w:t>98</w:t>
            </w:r>
          </w:p>
        </w:tc>
      </w:tr>
      <w:tr>
        <w:trPr>
          <w:jc w:val="center"/>
        </w:trPr>
        <w:tc>
          <w:tcPr>
            <w:tcW w:w="2373" w:type="pct"/>
            <w:shd w:val="clear" w:color="auto" w:fill="auto"/>
            <w:vAlign w:val="center"/>
          </w:tcPr>
          <w:p>
            <w:pPr>
              <w:spacing w:line="360" w:lineRule="exact"/>
              <w:rPr>
                <w:szCs w:val="21"/>
              </w:rPr>
            </w:pPr>
            <w:r>
              <w:rPr>
                <w:rFonts w:hint="eastAsia"/>
                <w:szCs w:val="21"/>
              </w:rPr>
              <w:t>固定资产</w:t>
            </w:r>
          </w:p>
        </w:tc>
        <w:tc>
          <w:tcPr>
            <w:tcW w:w="1301" w:type="pct"/>
            <w:vAlign w:val="center"/>
          </w:tcPr>
          <w:p>
            <w:pPr>
              <w:spacing w:line="360" w:lineRule="exact"/>
              <w:jc w:val="right"/>
              <w:rPr>
                <w:szCs w:val="21"/>
              </w:rPr>
            </w:pPr>
            <w:r>
              <w:rPr>
                <w:szCs w:val="21"/>
              </w:rPr>
              <w:t>847</w:t>
            </w:r>
          </w:p>
        </w:tc>
        <w:tc>
          <w:tcPr>
            <w:tcW w:w="1326" w:type="pct"/>
            <w:vAlign w:val="center"/>
          </w:tcPr>
          <w:p>
            <w:pPr>
              <w:spacing w:line="360" w:lineRule="exact"/>
              <w:jc w:val="right"/>
              <w:rPr>
                <w:szCs w:val="21"/>
              </w:rPr>
            </w:pPr>
            <w:r>
              <w:rPr>
                <w:szCs w:val="21"/>
              </w:rPr>
              <w:t>906</w:t>
            </w:r>
          </w:p>
        </w:tc>
      </w:tr>
      <w:tr>
        <w:trPr>
          <w:jc w:val="center"/>
        </w:trPr>
        <w:tc>
          <w:tcPr>
            <w:tcW w:w="2373" w:type="pct"/>
            <w:shd w:val="clear" w:color="auto" w:fill="auto"/>
            <w:vAlign w:val="center"/>
          </w:tcPr>
          <w:p>
            <w:pPr>
              <w:spacing w:line="360" w:lineRule="exact"/>
              <w:rPr>
                <w:szCs w:val="21"/>
              </w:rPr>
            </w:pPr>
            <w:r>
              <w:rPr>
                <w:rFonts w:hint="eastAsia"/>
                <w:szCs w:val="21"/>
              </w:rPr>
              <w:t>使用权资产</w:t>
            </w:r>
          </w:p>
        </w:tc>
        <w:tc>
          <w:tcPr>
            <w:tcW w:w="1301" w:type="pct"/>
            <w:vAlign w:val="center"/>
          </w:tcPr>
          <w:p>
            <w:pPr>
              <w:spacing w:line="360" w:lineRule="exact"/>
              <w:jc w:val="right"/>
              <w:rPr>
                <w:szCs w:val="21"/>
              </w:rPr>
            </w:pPr>
            <w:r>
              <w:rPr>
                <w:szCs w:val="21"/>
              </w:rPr>
              <w:t>2,700</w:t>
            </w:r>
          </w:p>
        </w:tc>
        <w:tc>
          <w:tcPr>
            <w:tcW w:w="1326" w:type="pct"/>
            <w:vAlign w:val="center"/>
          </w:tcPr>
          <w:p>
            <w:pPr>
              <w:spacing w:line="360" w:lineRule="exact"/>
              <w:jc w:val="right"/>
              <w:rPr>
                <w:szCs w:val="21"/>
              </w:rPr>
            </w:pPr>
            <w:r>
              <w:rPr>
                <w:szCs w:val="21"/>
              </w:rPr>
              <w:t>3,182</w:t>
            </w:r>
          </w:p>
        </w:tc>
      </w:tr>
      <w:tr>
        <w:trPr>
          <w:jc w:val="center"/>
        </w:trPr>
        <w:tc>
          <w:tcPr>
            <w:tcW w:w="2373" w:type="pct"/>
            <w:shd w:val="clear" w:color="auto" w:fill="auto"/>
            <w:vAlign w:val="center"/>
          </w:tcPr>
          <w:p>
            <w:pPr>
              <w:spacing w:line="360" w:lineRule="exact"/>
              <w:rPr>
                <w:szCs w:val="21"/>
              </w:rPr>
            </w:pPr>
            <w:r>
              <w:rPr>
                <w:rFonts w:hint="eastAsia"/>
                <w:szCs w:val="21"/>
              </w:rPr>
              <w:t>递延所得税资产</w:t>
            </w:r>
          </w:p>
        </w:tc>
        <w:tc>
          <w:tcPr>
            <w:tcW w:w="1301" w:type="pct"/>
            <w:vAlign w:val="center"/>
          </w:tcPr>
          <w:p>
            <w:pPr>
              <w:spacing w:line="360" w:lineRule="exact"/>
              <w:jc w:val="right"/>
              <w:rPr>
                <w:szCs w:val="21"/>
              </w:rPr>
            </w:pPr>
            <w:r>
              <w:rPr>
                <w:szCs w:val="21"/>
              </w:rPr>
              <w:t>4,167</w:t>
            </w:r>
          </w:p>
        </w:tc>
        <w:tc>
          <w:tcPr>
            <w:tcW w:w="1326" w:type="pct"/>
            <w:vAlign w:val="center"/>
          </w:tcPr>
          <w:p>
            <w:pPr>
              <w:spacing w:line="360" w:lineRule="exact"/>
              <w:jc w:val="right"/>
              <w:rPr>
                <w:szCs w:val="21"/>
              </w:rPr>
            </w:pPr>
            <w:r>
              <w:rPr>
                <w:szCs w:val="21"/>
              </w:rPr>
              <w:t>4,151</w:t>
            </w:r>
          </w:p>
        </w:tc>
      </w:tr>
      <w:tr>
        <w:trPr>
          <w:jc w:val="center"/>
        </w:trPr>
        <w:tc>
          <w:tcPr>
            <w:tcW w:w="2373" w:type="pct"/>
            <w:shd w:val="clear" w:color="auto" w:fill="auto"/>
            <w:vAlign w:val="center"/>
          </w:tcPr>
          <w:p>
            <w:pPr>
              <w:spacing w:line="360" w:lineRule="exact"/>
              <w:rPr>
                <w:szCs w:val="21"/>
              </w:rPr>
            </w:pPr>
            <w:r>
              <w:rPr>
                <w:rFonts w:hint="eastAsia"/>
                <w:szCs w:val="21"/>
              </w:rPr>
              <w:t>其他非流动资产</w:t>
            </w:r>
          </w:p>
        </w:tc>
        <w:tc>
          <w:tcPr>
            <w:tcW w:w="1301" w:type="pct"/>
            <w:vAlign w:val="center"/>
          </w:tcPr>
          <w:p>
            <w:pPr>
              <w:spacing w:line="360" w:lineRule="exact"/>
              <w:jc w:val="right"/>
              <w:rPr>
                <w:szCs w:val="21"/>
              </w:rPr>
            </w:pPr>
            <w:r>
              <w:rPr>
                <w:szCs w:val="21"/>
              </w:rPr>
              <w:t>39,817</w:t>
            </w:r>
          </w:p>
        </w:tc>
        <w:tc>
          <w:tcPr>
            <w:tcW w:w="1326" w:type="pct"/>
            <w:vAlign w:val="center"/>
          </w:tcPr>
          <w:p>
            <w:pPr>
              <w:spacing w:line="360" w:lineRule="exact"/>
              <w:jc w:val="right"/>
              <w:rPr>
                <w:szCs w:val="21"/>
              </w:rPr>
            </w:pPr>
            <w:r>
              <w:rPr>
                <w:szCs w:val="21"/>
              </w:rPr>
              <w:t>42,725</w:t>
            </w:r>
          </w:p>
        </w:tc>
      </w:tr>
      <w:tr>
        <w:trPr>
          <w:jc w:val="center"/>
        </w:trPr>
        <w:tc>
          <w:tcPr>
            <w:tcW w:w="2373" w:type="pct"/>
            <w:shd w:val="clear" w:color="auto" w:fill="auto"/>
            <w:vAlign w:val="center"/>
          </w:tcPr>
          <w:p>
            <w:pPr>
              <w:spacing w:line="360" w:lineRule="exact"/>
              <w:rPr>
                <w:szCs w:val="21"/>
              </w:rPr>
            </w:pPr>
            <w:r>
              <w:rPr>
                <w:rFonts w:hint="eastAsia"/>
                <w:szCs w:val="21"/>
              </w:rPr>
              <w:t>负债</w:t>
            </w:r>
          </w:p>
        </w:tc>
        <w:tc>
          <w:tcPr>
            <w:tcW w:w="1301" w:type="pct"/>
            <w:vAlign w:val="center"/>
          </w:tcPr>
          <w:p>
            <w:pPr>
              <w:spacing w:line="360" w:lineRule="exact"/>
              <w:jc w:val="right"/>
              <w:rPr>
                <w:szCs w:val="21"/>
              </w:rPr>
            </w:pPr>
            <w:r>
              <w:rPr>
                <w:szCs w:val="21"/>
              </w:rPr>
              <w:t>41,858</w:t>
            </w:r>
          </w:p>
        </w:tc>
        <w:tc>
          <w:tcPr>
            <w:tcW w:w="1326" w:type="pct"/>
            <w:vAlign w:val="center"/>
          </w:tcPr>
          <w:p>
            <w:pPr>
              <w:spacing w:line="360" w:lineRule="exact"/>
              <w:jc w:val="right"/>
              <w:rPr>
                <w:szCs w:val="21"/>
              </w:rPr>
            </w:pPr>
            <w:r>
              <w:rPr>
                <w:szCs w:val="21"/>
              </w:rPr>
              <w:t>39,938</w:t>
            </w:r>
          </w:p>
        </w:tc>
      </w:tr>
      <w:tr>
        <w:trPr>
          <w:jc w:val="center"/>
        </w:trPr>
        <w:tc>
          <w:tcPr>
            <w:tcW w:w="2373" w:type="pct"/>
            <w:shd w:val="clear" w:color="auto" w:fill="auto"/>
            <w:vAlign w:val="center"/>
          </w:tcPr>
          <w:p>
            <w:pPr>
              <w:spacing w:line="360" w:lineRule="exact"/>
              <w:rPr>
                <w:szCs w:val="21"/>
              </w:rPr>
            </w:pPr>
            <w:r>
              <w:rPr>
                <w:rFonts w:hint="eastAsia"/>
                <w:szCs w:val="21"/>
              </w:rPr>
              <w:t>应付票据</w:t>
            </w:r>
          </w:p>
        </w:tc>
        <w:tc>
          <w:tcPr>
            <w:tcW w:w="1301" w:type="pct"/>
            <w:vAlign w:val="center"/>
          </w:tcPr>
          <w:p>
            <w:pPr>
              <w:spacing w:line="360" w:lineRule="exact"/>
              <w:jc w:val="right"/>
              <w:rPr>
                <w:szCs w:val="21"/>
              </w:rPr>
            </w:pPr>
            <w:r>
              <w:rPr>
                <w:szCs w:val="21"/>
              </w:rPr>
              <w:t>14,358</w:t>
            </w:r>
          </w:p>
        </w:tc>
        <w:tc>
          <w:tcPr>
            <w:tcW w:w="1326" w:type="pct"/>
            <w:vAlign w:val="center"/>
          </w:tcPr>
          <w:p>
            <w:pPr>
              <w:spacing w:line="360" w:lineRule="exact"/>
              <w:jc w:val="right"/>
              <w:rPr>
                <w:szCs w:val="21"/>
              </w:rPr>
            </w:pPr>
            <w:r>
              <w:rPr>
                <w:szCs w:val="21"/>
              </w:rPr>
              <w:t>10,369</w:t>
            </w:r>
          </w:p>
        </w:tc>
      </w:tr>
      <w:tr>
        <w:trPr>
          <w:jc w:val="center"/>
        </w:trPr>
        <w:tc>
          <w:tcPr>
            <w:tcW w:w="2373" w:type="pct"/>
            <w:shd w:val="clear" w:color="auto" w:fill="auto"/>
            <w:vAlign w:val="center"/>
          </w:tcPr>
          <w:p>
            <w:pPr>
              <w:spacing w:line="360" w:lineRule="exact"/>
              <w:rPr>
                <w:szCs w:val="21"/>
              </w:rPr>
            </w:pPr>
            <w:r>
              <w:rPr>
                <w:rFonts w:hint="eastAsia"/>
                <w:szCs w:val="21"/>
              </w:rPr>
              <w:t>应付账款</w:t>
            </w:r>
          </w:p>
        </w:tc>
        <w:tc>
          <w:tcPr>
            <w:tcW w:w="1301" w:type="pct"/>
            <w:vAlign w:val="center"/>
          </w:tcPr>
          <w:p>
            <w:pPr>
              <w:spacing w:line="360" w:lineRule="exact"/>
              <w:jc w:val="right"/>
              <w:rPr>
                <w:szCs w:val="21"/>
              </w:rPr>
            </w:pPr>
            <w:r>
              <w:rPr>
                <w:szCs w:val="21"/>
              </w:rPr>
              <w:t>16,404</w:t>
            </w:r>
          </w:p>
        </w:tc>
        <w:tc>
          <w:tcPr>
            <w:tcW w:w="1326" w:type="pct"/>
            <w:vAlign w:val="center"/>
          </w:tcPr>
          <w:p>
            <w:pPr>
              <w:spacing w:line="360" w:lineRule="exact"/>
              <w:jc w:val="right"/>
              <w:rPr>
                <w:szCs w:val="21"/>
              </w:rPr>
            </w:pPr>
            <w:r>
              <w:rPr>
                <w:szCs w:val="21"/>
              </w:rPr>
              <w:t>17,216</w:t>
            </w:r>
          </w:p>
        </w:tc>
      </w:tr>
      <w:tr>
        <w:trPr>
          <w:jc w:val="center"/>
        </w:trPr>
        <w:tc>
          <w:tcPr>
            <w:tcW w:w="2373" w:type="pct"/>
            <w:shd w:val="clear" w:color="auto" w:fill="auto"/>
            <w:vAlign w:val="center"/>
          </w:tcPr>
          <w:p>
            <w:pPr>
              <w:spacing w:line="360" w:lineRule="exact"/>
              <w:rPr>
                <w:szCs w:val="21"/>
              </w:rPr>
            </w:pPr>
            <w:r>
              <w:rPr>
                <w:rFonts w:hint="eastAsia"/>
                <w:szCs w:val="21"/>
              </w:rPr>
              <w:t>预收款项</w:t>
            </w:r>
          </w:p>
        </w:tc>
        <w:tc>
          <w:tcPr>
            <w:tcW w:w="1301" w:type="pct"/>
            <w:vAlign w:val="center"/>
          </w:tcPr>
          <w:p>
            <w:pPr>
              <w:spacing w:line="360" w:lineRule="exact"/>
              <w:jc w:val="right"/>
              <w:rPr>
                <w:szCs w:val="21"/>
              </w:rPr>
            </w:pPr>
            <w:r>
              <w:rPr>
                <w:szCs w:val="21"/>
              </w:rPr>
              <w:t>9</w:t>
            </w:r>
          </w:p>
        </w:tc>
        <w:tc>
          <w:tcPr>
            <w:tcW w:w="1326" w:type="pct"/>
            <w:vAlign w:val="center"/>
          </w:tcPr>
          <w:p>
            <w:pPr>
              <w:spacing w:line="360" w:lineRule="exact"/>
              <w:jc w:val="right"/>
              <w:rPr>
                <w:szCs w:val="21"/>
              </w:rPr>
            </w:pPr>
            <w:r>
              <w:rPr>
                <w:szCs w:val="21"/>
              </w:rPr>
              <w:t>3</w:t>
            </w:r>
          </w:p>
        </w:tc>
      </w:tr>
      <w:tr>
        <w:trPr>
          <w:jc w:val="center"/>
        </w:trPr>
        <w:tc>
          <w:tcPr>
            <w:tcW w:w="2373" w:type="pct"/>
            <w:shd w:val="clear" w:color="auto" w:fill="auto"/>
            <w:vAlign w:val="center"/>
          </w:tcPr>
          <w:p>
            <w:pPr>
              <w:spacing w:line="360" w:lineRule="exact"/>
              <w:rPr>
                <w:szCs w:val="21"/>
              </w:rPr>
            </w:pPr>
            <w:r>
              <w:rPr>
                <w:rFonts w:hint="eastAsia"/>
                <w:szCs w:val="21"/>
              </w:rPr>
              <w:t>应付职工薪酬</w:t>
            </w:r>
          </w:p>
        </w:tc>
        <w:tc>
          <w:tcPr>
            <w:tcW w:w="1301" w:type="pct"/>
            <w:vAlign w:val="center"/>
          </w:tcPr>
          <w:p>
            <w:pPr>
              <w:spacing w:line="360" w:lineRule="exact"/>
              <w:jc w:val="right"/>
              <w:rPr>
                <w:szCs w:val="21"/>
              </w:rPr>
            </w:pPr>
            <w:r>
              <w:rPr>
                <w:szCs w:val="21"/>
              </w:rPr>
              <w:t>2,007</w:t>
            </w:r>
          </w:p>
        </w:tc>
        <w:tc>
          <w:tcPr>
            <w:tcW w:w="1326" w:type="pct"/>
            <w:vAlign w:val="center"/>
          </w:tcPr>
          <w:p>
            <w:pPr>
              <w:spacing w:line="360" w:lineRule="exact"/>
              <w:jc w:val="right"/>
              <w:rPr>
                <w:szCs w:val="21"/>
              </w:rPr>
            </w:pPr>
            <w:r>
              <w:rPr>
                <w:szCs w:val="21"/>
              </w:rPr>
              <w:t>2,110</w:t>
            </w:r>
          </w:p>
        </w:tc>
      </w:tr>
      <w:tr>
        <w:trPr>
          <w:jc w:val="center"/>
        </w:trPr>
        <w:tc>
          <w:tcPr>
            <w:tcW w:w="2373" w:type="pct"/>
            <w:shd w:val="clear" w:color="auto" w:fill="auto"/>
            <w:vAlign w:val="center"/>
          </w:tcPr>
          <w:p>
            <w:pPr>
              <w:spacing w:line="360" w:lineRule="exact"/>
              <w:rPr>
                <w:szCs w:val="21"/>
              </w:rPr>
            </w:pPr>
            <w:r>
              <w:rPr>
                <w:rFonts w:hint="eastAsia"/>
                <w:szCs w:val="21"/>
              </w:rPr>
              <w:t>应交税费</w:t>
            </w:r>
          </w:p>
        </w:tc>
        <w:tc>
          <w:tcPr>
            <w:tcW w:w="1301" w:type="pct"/>
            <w:vAlign w:val="center"/>
          </w:tcPr>
          <w:p>
            <w:pPr>
              <w:spacing w:line="360" w:lineRule="exact"/>
              <w:jc w:val="right"/>
              <w:rPr>
                <w:szCs w:val="21"/>
              </w:rPr>
            </w:pPr>
            <w:r>
              <w:rPr>
                <w:szCs w:val="21"/>
              </w:rPr>
              <w:t>11</w:t>
            </w:r>
          </w:p>
        </w:tc>
        <w:tc>
          <w:tcPr>
            <w:tcW w:w="1326" w:type="pct"/>
            <w:vAlign w:val="center"/>
          </w:tcPr>
          <w:p>
            <w:pPr>
              <w:spacing w:line="360" w:lineRule="exact"/>
              <w:jc w:val="right"/>
              <w:rPr>
                <w:szCs w:val="21"/>
              </w:rPr>
            </w:pPr>
            <w:r>
              <w:rPr>
                <w:szCs w:val="21"/>
              </w:rPr>
              <w:t>289</w:t>
            </w:r>
          </w:p>
        </w:tc>
      </w:tr>
      <w:tr>
        <w:trPr>
          <w:jc w:val="center"/>
        </w:trPr>
        <w:tc>
          <w:tcPr>
            <w:tcW w:w="2373" w:type="pct"/>
            <w:shd w:val="clear" w:color="auto" w:fill="auto"/>
            <w:vAlign w:val="center"/>
          </w:tcPr>
          <w:p>
            <w:pPr>
              <w:spacing w:line="360" w:lineRule="exact"/>
              <w:rPr>
                <w:szCs w:val="21"/>
              </w:rPr>
            </w:pPr>
            <w:r>
              <w:rPr>
                <w:rFonts w:hint="eastAsia"/>
                <w:szCs w:val="21"/>
              </w:rPr>
              <w:t>其他应付款</w:t>
            </w:r>
          </w:p>
        </w:tc>
        <w:tc>
          <w:tcPr>
            <w:tcW w:w="1301" w:type="pct"/>
            <w:vAlign w:val="center"/>
          </w:tcPr>
          <w:p>
            <w:pPr>
              <w:spacing w:line="360" w:lineRule="exact"/>
              <w:jc w:val="right"/>
              <w:rPr>
                <w:szCs w:val="21"/>
              </w:rPr>
            </w:pPr>
            <w:r>
              <w:rPr>
                <w:szCs w:val="21"/>
              </w:rPr>
              <w:t>690</w:t>
            </w:r>
          </w:p>
        </w:tc>
        <w:tc>
          <w:tcPr>
            <w:tcW w:w="1326" w:type="pct"/>
            <w:vAlign w:val="center"/>
          </w:tcPr>
          <w:p>
            <w:pPr>
              <w:spacing w:line="360" w:lineRule="exact"/>
              <w:jc w:val="right"/>
              <w:rPr>
                <w:szCs w:val="21"/>
              </w:rPr>
            </w:pPr>
            <w:r>
              <w:rPr>
                <w:szCs w:val="21"/>
              </w:rPr>
              <w:t>715</w:t>
            </w:r>
          </w:p>
        </w:tc>
      </w:tr>
      <w:tr>
        <w:trPr>
          <w:jc w:val="center"/>
        </w:trPr>
        <w:tc>
          <w:tcPr>
            <w:tcW w:w="2373" w:type="pct"/>
            <w:shd w:val="clear" w:color="auto" w:fill="auto"/>
            <w:vAlign w:val="center"/>
          </w:tcPr>
          <w:p>
            <w:pPr>
              <w:spacing w:line="360" w:lineRule="exact"/>
              <w:rPr>
                <w:szCs w:val="21"/>
              </w:rPr>
            </w:pPr>
            <w:r>
              <w:rPr>
                <w:rFonts w:hint="eastAsia"/>
                <w:szCs w:val="21"/>
              </w:rPr>
              <w:t>一年内到期的非流动负债</w:t>
            </w:r>
          </w:p>
        </w:tc>
        <w:tc>
          <w:tcPr>
            <w:tcW w:w="1301" w:type="pct"/>
            <w:vAlign w:val="center"/>
          </w:tcPr>
          <w:p>
            <w:pPr>
              <w:spacing w:line="360" w:lineRule="exact"/>
              <w:jc w:val="right"/>
              <w:rPr>
                <w:szCs w:val="21"/>
              </w:rPr>
            </w:pPr>
            <w:r>
              <w:rPr>
                <w:szCs w:val="21"/>
              </w:rPr>
              <w:t>1,851</w:t>
            </w:r>
          </w:p>
        </w:tc>
        <w:tc>
          <w:tcPr>
            <w:tcW w:w="1326" w:type="pct"/>
            <w:vAlign w:val="center"/>
          </w:tcPr>
          <w:p>
            <w:pPr>
              <w:spacing w:line="360" w:lineRule="exact"/>
              <w:jc w:val="right"/>
              <w:rPr>
                <w:szCs w:val="21"/>
              </w:rPr>
            </w:pPr>
            <w:r>
              <w:rPr>
                <w:szCs w:val="21"/>
              </w:rPr>
              <w:t>1,171</w:t>
            </w:r>
          </w:p>
        </w:tc>
      </w:tr>
      <w:tr>
        <w:trPr>
          <w:jc w:val="center"/>
        </w:trPr>
        <w:tc>
          <w:tcPr>
            <w:tcW w:w="2373" w:type="pct"/>
            <w:shd w:val="clear" w:color="auto" w:fill="auto"/>
            <w:vAlign w:val="center"/>
          </w:tcPr>
          <w:p>
            <w:pPr>
              <w:spacing w:line="360" w:lineRule="exact"/>
              <w:rPr>
                <w:szCs w:val="21"/>
              </w:rPr>
            </w:pPr>
            <w:r>
              <w:rPr>
                <w:rFonts w:hint="eastAsia"/>
                <w:szCs w:val="21"/>
              </w:rPr>
              <w:t>其他流动负债</w:t>
            </w:r>
          </w:p>
        </w:tc>
        <w:tc>
          <w:tcPr>
            <w:tcW w:w="1301" w:type="pct"/>
            <w:vAlign w:val="center"/>
          </w:tcPr>
          <w:p>
            <w:pPr>
              <w:spacing w:line="360" w:lineRule="exact"/>
              <w:jc w:val="right"/>
              <w:rPr>
                <w:szCs w:val="21"/>
              </w:rPr>
            </w:pPr>
            <w:r>
              <w:rPr>
                <w:szCs w:val="21"/>
              </w:rPr>
              <w:t>3,463</w:t>
            </w:r>
          </w:p>
        </w:tc>
        <w:tc>
          <w:tcPr>
            <w:tcW w:w="1326" w:type="pct"/>
            <w:vAlign w:val="center"/>
          </w:tcPr>
          <w:p>
            <w:pPr>
              <w:spacing w:line="360" w:lineRule="exact"/>
              <w:jc w:val="right"/>
              <w:rPr>
                <w:szCs w:val="21"/>
              </w:rPr>
            </w:pPr>
            <w:r>
              <w:rPr>
                <w:szCs w:val="21"/>
              </w:rPr>
              <w:t>3,617</w:t>
            </w:r>
          </w:p>
        </w:tc>
      </w:tr>
      <w:tr>
        <w:trPr>
          <w:jc w:val="center"/>
        </w:trPr>
        <w:tc>
          <w:tcPr>
            <w:tcW w:w="2373" w:type="pct"/>
            <w:shd w:val="clear" w:color="auto" w:fill="auto"/>
            <w:vAlign w:val="center"/>
          </w:tcPr>
          <w:p>
            <w:pPr>
              <w:spacing w:line="360" w:lineRule="exact"/>
              <w:rPr>
                <w:szCs w:val="21"/>
              </w:rPr>
            </w:pPr>
            <w:r>
              <w:rPr>
                <w:rFonts w:hint="eastAsia"/>
                <w:szCs w:val="21"/>
              </w:rPr>
              <w:t>租赁负债</w:t>
            </w:r>
          </w:p>
        </w:tc>
        <w:tc>
          <w:tcPr>
            <w:tcW w:w="1301" w:type="pct"/>
            <w:vAlign w:val="center"/>
          </w:tcPr>
          <w:p>
            <w:pPr>
              <w:spacing w:line="360" w:lineRule="exact"/>
              <w:jc w:val="right"/>
              <w:rPr>
                <w:szCs w:val="21"/>
              </w:rPr>
            </w:pPr>
            <w:r>
              <w:rPr>
                <w:szCs w:val="21"/>
              </w:rPr>
              <w:t>1,276</w:t>
            </w:r>
          </w:p>
        </w:tc>
        <w:tc>
          <w:tcPr>
            <w:tcW w:w="1326" w:type="pct"/>
            <w:vAlign w:val="center"/>
          </w:tcPr>
          <w:p>
            <w:pPr>
              <w:spacing w:line="360" w:lineRule="exact"/>
              <w:jc w:val="right"/>
              <w:rPr>
                <w:szCs w:val="21"/>
              </w:rPr>
            </w:pPr>
            <w:r>
              <w:rPr>
                <w:szCs w:val="21"/>
              </w:rPr>
              <w:t>1,901</w:t>
            </w:r>
          </w:p>
        </w:tc>
      </w:tr>
      <w:tr>
        <w:trPr>
          <w:jc w:val="center"/>
        </w:trPr>
        <w:tc>
          <w:tcPr>
            <w:tcW w:w="2373" w:type="pct"/>
            <w:shd w:val="clear" w:color="auto" w:fill="auto"/>
            <w:vAlign w:val="center"/>
          </w:tcPr>
          <w:p>
            <w:pPr>
              <w:spacing w:line="360" w:lineRule="exact"/>
              <w:rPr>
                <w:szCs w:val="21"/>
              </w:rPr>
            </w:pPr>
            <w:r>
              <w:rPr>
                <w:rFonts w:hint="eastAsia"/>
                <w:szCs w:val="21"/>
              </w:rPr>
              <w:t>递延所得税负债</w:t>
            </w:r>
          </w:p>
        </w:tc>
        <w:tc>
          <w:tcPr>
            <w:tcW w:w="1301" w:type="pct"/>
            <w:vAlign w:val="center"/>
          </w:tcPr>
          <w:p>
            <w:pPr>
              <w:spacing w:line="360" w:lineRule="exact"/>
              <w:jc w:val="right"/>
              <w:rPr>
                <w:szCs w:val="21"/>
              </w:rPr>
            </w:pPr>
            <w:r>
              <w:rPr>
                <w:szCs w:val="21"/>
              </w:rPr>
              <w:t>405</w:t>
            </w:r>
          </w:p>
        </w:tc>
        <w:tc>
          <w:tcPr>
            <w:tcW w:w="1326" w:type="pct"/>
            <w:vAlign w:val="center"/>
          </w:tcPr>
          <w:p>
            <w:pPr>
              <w:spacing w:line="360" w:lineRule="exact"/>
              <w:jc w:val="right"/>
              <w:rPr>
                <w:szCs w:val="21"/>
              </w:rPr>
            </w:pPr>
            <w:r>
              <w:rPr>
                <w:szCs w:val="21"/>
              </w:rPr>
              <w:t>428</w:t>
            </w:r>
          </w:p>
        </w:tc>
      </w:tr>
      <w:tr>
        <w:trPr>
          <w:jc w:val="center"/>
        </w:trPr>
        <w:tc>
          <w:tcPr>
            <w:tcW w:w="2373" w:type="pct"/>
            <w:shd w:val="clear" w:color="auto" w:fill="auto"/>
            <w:vAlign w:val="center"/>
          </w:tcPr>
          <w:p>
            <w:pPr>
              <w:spacing w:line="360" w:lineRule="exact"/>
              <w:rPr>
                <w:szCs w:val="21"/>
              </w:rPr>
            </w:pPr>
            <w:r>
              <w:rPr>
                <w:rFonts w:hint="eastAsia"/>
                <w:szCs w:val="21"/>
              </w:rPr>
              <w:t>其他非流动负债</w:t>
            </w:r>
          </w:p>
        </w:tc>
        <w:tc>
          <w:tcPr>
            <w:tcW w:w="1301" w:type="pct"/>
            <w:vAlign w:val="center"/>
          </w:tcPr>
          <w:p>
            <w:pPr>
              <w:spacing w:line="360" w:lineRule="exact"/>
              <w:jc w:val="right"/>
              <w:rPr>
                <w:szCs w:val="21"/>
              </w:rPr>
            </w:pPr>
            <w:r>
              <w:rPr>
                <w:szCs w:val="21"/>
              </w:rPr>
              <w:t>1,384</w:t>
            </w:r>
          </w:p>
        </w:tc>
        <w:tc>
          <w:tcPr>
            <w:tcW w:w="1326" w:type="pct"/>
            <w:vAlign w:val="center"/>
          </w:tcPr>
          <w:p>
            <w:pPr>
              <w:spacing w:line="360" w:lineRule="exact"/>
              <w:jc w:val="right"/>
              <w:rPr>
                <w:szCs w:val="21"/>
              </w:rPr>
            </w:pPr>
            <w:r>
              <w:rPr>
                <w:szCs w:val="21"/>
              </w:rPr>
              <w:t>2,119</w:t>
            </w:r>
          </w:p>
        </w:tc>
      </w:tr>
      <w:tr>
        <w:trPr>
          <w:jc w:val="center"/>
        </w:trPr>
        <w:tc>
          <w:tcPr>
            <w:tcW w:w="2373" w:type="pct"/>
            <w:shd w:val="clear" w:color="auto" w:fill="auto"/>
            <w:vAlign w:val="center"/>
          </w:tcPr>
          <w:p>
            <w:pPr>
              <w:spacing w:line="360" w:lineRule="exact"/>
              <w:rPr>
                <w:szCs w:val="21"/>
              </w:rPr>
            </w:pPr>
            <w:r>
              <w:rPr>
                <w:rFonts w:hint="eastAsia"/>
                <w:szCs w:val="21"/>
              </w:rPr>
              <w:t>净资产</w:t>
            </w:r>
          </w:p>
        </w:tc>
        <w:tc>
          <w:tcPr>
            <w:tcW w:w="1301" w:type="pct"/>
            <w:vAlign w:val="center"/>
          </w:tcPr>
          <w:p>
            <w:pPr>
              <w:spacing w:line="360" w:lineRule="exact"/>
              <w:jc w:val="right"/>
              <w:rPr>
                <w:szCs w:val="21"/>
              </w:rPr>
            </w:pPr>
            <w:r>
              <w:rPr>
                <w:szCs w:val="21"/>
              </w:rPr>
              <w:t>139,936</w:t>
            </w:r>
          </w:p>
        </w:tc>
        <w:tc>
          <w:tcPr>
            <w:tcW w:w="1326" w:type="pct"/>
            <w:vAlign w:val="center"/>
          </w:tcPr>
          <w:p>
            <w:pPr>
              <w:spacing w:line="360" w:lineRule="exact"/>
              <w:jc w:val="right"/>
              <w:rPr>
                <w:szCs w:val="21"/>
              </w:rPr>
            </w:pPr>
            <w:r>
              <w:rPr>
                <w:szCs w:val="21"/>
              </w:rPr>
              <w:t>148,610</w:t>
            </w:r>
          </w:p>
        </w:tc>
      </w:tr>
      <w:tr>
        <w:trPr>
          <w:jc w:val="center"/>
        </w:trPr>
        <w:tc>
          <w:tcPr>
            <w:tcW w:w="2373" w:type="pct"/>
            <w:shd w:val="clear" w:color="auto" w:fill="auto"/>
            <w:vAlign w:val="center"/>
          </w:tcPr>
          <w:p>
            <w:pPr>
              <w:spacing w:line="360" w:lineRule="exact"/>
              <w:rPr>
                <w:szCs w:val="21"/>
              </w:rPr>
            </w:pPr>
            <w:r>
              <w:rPr>
                <w:rFonts w:hint="eastAsia"/>
                <w:szCs w:val="21"/>
              </w:rPr>
              <w:lastRenderedPageBreak/>
              <w:t>减：少数股东权益</w:t>
            </w:r>
          </w:p>
        </w:tc>
        <w:tc>
          <w:tcPr>
            <w:tcW w:w="1301" w:type="pct"/>
            <w:vAlign w:val="center"/>
          </w:tcPr>
          <w:p>
            <w:pPr>
              <w:spacing w:line="360" w:lineRule="exact"/>
              <w:jc w:val="right"/>
              <w:rPr>
                <w:szCs w:val="21"/>
              </w:rPr>
            </w:pPr>
          </w:p>
        </w:tc>
        <w:tc>
          <w:tcPr>
            <w:tcW w:w="1326" w:type="pct"/>
            <w:vAlign w:val="center"/>
          </w:tcPr>
          <w:p>
            <w:pPr>
              <w:spacing w:line="360" w:lineRule="exact"/>
              <w:jc w:val="right"/>
              <w:rPr>
                <w:szCs w:val="21"/>
              </w:rPr>
            </w:pPr>
          </w:p>
        </w:tc>
      </w:tr>
      <w:tr>
        <w:trPr>
          <w:jc w:val="center"/>
        </w:trPr>
        <w:tc>
          <w:tcPr>
            <w:tcW w:w="2373" w:type="pct"/>
            <w:shd w:val="clear" w:color="auto" w:fill="auto"/>
            <w:vAlign w:val="center"/>
          </w:tcPr>
          <w:p>
            <w:pPr>
              <w:spacing w:line="360" w:lineRule="exact"/>
              <w:rPr>
                <w:szCs w:val="21"/>
              </w:rPr>
            </w:pPr>
            <w:r>
              <w:rPr>
                <w:rFonts w:hint="eastAsia"/>
                <w:szCs w:val="21"/>
              </w:rPr>
              <w:t>取得的净资产</w:t>
            </w:r>
          </w:p>
        </w:tc>
        <w:tc>
          <w:tcPr>
            <w:tcW w:w="1301" w:type="pct"/>
            <w:vAlign w:val="center"/>
          </w:tcPr>
          <w:p>
            <w:pPr>
              <w:spacing w:line="360" w:lineRule="exact"/>
              <w:jc w:val="right"/>
              <w:rPr>
                <w:szCs w:val="21"/>
              </w:rPr>
            </w:pPr>
            <w:r>
              <w:rPr>
                <w:szCs w:val="21"/>
              </w:rPr>
              <w:t>139,936</w:t>
            </w:r>
          </w:p>
        </w:tc>
        <w:tc>
          <w:tcPr>
            <w:tcW w:w="1326" w:type="pct"/>
            <w:vAlign w:val="center"/>
          </w:tcPr>
          <w:p>
            <w:pPr>
              <w:spacing w:line="360" w:lineRule="exact"/>
              <w:jc w:val="right"/>
              <w:rPr>
                <w:szCs w:val="21"/>
              </w:rPr>
            </w:pPr>
            <w:r>
              <w:rPr>
                <w:szCs w:val="21"/>
              </w:rPr>
              <w:t>148,610</w:t>
            </w:r>
          </w:p>
        </w:tc>
      </w:tr>
    </w:tbl>
    <w:p>
      <w:pPr>
        <w:rPr>
          <w:rFonts w:cs="Arial"/>
          <w:szCs w:val="21"/>
        </w:rPr>
      </w:pPr>
      <w:r>
        <w:rPr>
          <w:rFonts w:cs="Arial" w:hint="eastAsia"/>
          <w:szCs w:val="21"/>
        </w:rPr>
        <w:t>企业合并中承担的被合并方的或有负债：</w:t>
      </w:r>
    </w:p>
    <w:sdt>
      <w:sdtPr>
        <w:rPr>
          <w:rFonts w:cs="Arial"/>
          <w:szCs w:val="21"/>
        </w:rPr>
        <w:alias w:val="企业合并中承担的被合并方的或有负债"/>
        <w:tag w:val="_GBC_1c86a5391c3b4cb380960d316ff372fe"/>
        <w:id w:val="993452280"/>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rPr>
          <w:rFonts w:cs="Arial"/>
          <w:szCs w:val="21"/>
        </w:rPr>
      </w:pPr>
      <w:r>
        <w:rPr>
          <w:rFonts w:cs="Arial" w:hint="eastAsia"/>
          <w:szCs w:val="21"/>
        </w:rPr>
        <w:t>其他说明：</w:t>
      </w:r>
    </w:p>
    <w:p>
      <w:pPr>
        <w:rPr>
          <w:rFonts w:cs="Arial"/>
          <w:szCs w:val="21"/>
        </w:rPr>
      </w:pPr>
      <w:sdt>
        <w:sdtPr>
          <w:rPr>
            <w:rFonts w:cs="Arial"/>
            <w:szCs w:val="21"/>
          </w:rPr>
          <w:alias w:val="被合并方的资产、负债的说明"/>
          <w:tag w:val="_GBC_a5a71573b5aa4c7fa78cb0423d690d33"/>
          <w:id w:val="-440151612"/>
          <w:placeholder>
            <w:docPart w:val="GBC22222222222222222222222222222"/>
          </w:placeholder>
        </w:sdtPr>
        <w:sdtContent>
          <w:r>
            <w:rPr>
              <w:rFonts w:cs="Arial"/>
              <w:szCs w:val="21"/>
            </w:rPr>
            <w:t>-</w:t>
          </w:r>
        </w:sdtContent>
      </w:sdt>
    </w:p>
    <w:p>
      <w:pPr>
        <w:pStyle w:val="afffffffffffffffffffffffffffffffff0"/>
        <w:numPr>
          <w:ilvl w:val="0"/>
          <w:numId w:val="132"/>
        </w:numPr>
        <w:rPr>
          <w:rFonts w:ascii="宋体" w:hAnsi="宋体" w:cs="Arial"/>
          <w:szCs w:val="21"/>
        </w:rPr>
      </w:pPr>
      <w:r>
        <w:rPr>
          <w:rFonts w:ascii="宋体" w:hAnsi="宋体" w:cs="Arial" w:hint="eastAsia"/>
          <w:szCs w:val="21"/>
        </w:rPr>
        <w:t>反向购买</w:t>
      </w:r>
    </w:p>
    <w:sdt>
      <w:sdtPr>
        <w:alias w:val="是否适用：反向购买[双击切换]"/>
        <w:tag w:val="_GBC_717fa638fefe45c09c1f2627ba167ee4"/>
        <w:id w:val="-1247574839"/>
        <w:placeholder>
          <w:docPart w:val="GBC22222222222222222222222222222"/>
        </w:placeholder>
      </w:sdtPr>
      <w:sdtContent>
        <w:p>
          <w:pPr>
            <w:rPr>
              <w:rFonts w:cs="Arial"/>
              <w:szCs w:val="21"/>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lang w:val="en-GB"/>
        </w:rPr>
      </w:pPr>
    </w:p>
    <w:p>
      <w:pPr>
        <w:rPr>
          <w:rFonts w:cs="Arial"/>
          <w:szCs w:val="21"/>
        </w:rPr>
      </w:pPr>
    </w:p>
    <w:p>
      <w:pPr>
        <w:rPr>
          <w:rFonts w:cs="Arial"/>
          <w:szCs w:val="21"/>
        </w:rPr>
        <w:sectPr>
          <w:pgSz w:w="11906" w:h="16838"/>
          <w:pgMar w:top="1440" w:right="1797" w:bottom="1525" w:left="1276" w:header="856" w:footer="992" w:gutter="0"/>
          <w:cols w:space="425"/>
          <w:docGrid w:linePitch="312"/>
        </w:sectPr>
      </w:pPr>
    </w:p>
    <w:p>
      <w:pPr>
        <w:pStyle w:val="afffffffffffffffffffffffffffffffff0"/>
        <w:numPr>
          <w:ilvl w:val="0"/>
          <w:numId w:val="132"/>
        </w:numPr>
        <w:rPr>
          <w:rFonts w:ascii="宋体" w:hAnsi="宋体" w:cs="Arial"/>
          <w:szCs w:val="21"/>
        </w:rPr>
      </w:pPr>
      <w:r>
        <w:rPr>
          <w:rFonts w:ascii="宋体" w:hAnsi="宋体" w:cs="Arial" w:hint="eastAsia"/>
          <w:szCs w:val="21"/>
        </w:rPr>
        <w:lastRenderedPageBreak/>
        <w:t>处置子公司</w:t>
      </w:r>
    </w:p>
    <w:p>
      <w:pPr>
        <w:pStyle w:val="affffffffffffffffffffffffffffffffe"/>
      </w:pPr>
      <w:r>
        <w:rPr>
          <w:rFonts w:hint="eastAsia"/>
        </w:rPr>
        <w:t>本期是否存在</w:t>
      </w:r>
      <w:r>
        <w:t>丧失</w:t>
      </w:r>
      <w:r>
        <w:rPr>
          <w:rFonts w:hint="eastAsia"/>
        </w:rPr>
        <w:t>子公司</w:t>
      </w:r>
      <w:r>
        <w:t>控制权</w:t>
      </w:r>
      <w:r>
        <w:rPr>
          <w:rFonts w:hint="eastAsia"/>
        </w:rPr>
        <w:t>的交易或事项</w:t>
      </w:r>
    </w:p>
    <w:sdt>
      <w:sdtPr>
        <w:rPr>
          <w:rFonts w:cs="Arial" w:hint="eastAsia"/>
          <w:szCs w:val="21"/>
        </w:rPr>
        <w:alias w:val="是否存在单次交易处置对子公司投资即丧失控制权的情形[双击切换]"/>
        <w:tag w:val="_GBC_34b271ee01844be4a0580269d95adcf3"/>
        <w:id w:val="-2128377171"/>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pStyle w:val="affffffffffffffffffffffffffffffffe"/>
      </w:pPr>
    </w:p>
    <w:p>
      <w:pPr>
        <w:rPr>
          <w:rFonts w:cs="Arial"/>
          <w:color w:val="000000"/>
          <w:szCs w:val="21"/>
        </w:rPr>
      </w:pPr>
      <w:r>
        <w:rPr>
          <w:rFonts w:cs="Arial" w:hint="eastAsia"/>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054341413"/>
        <w:placeholder>
          <w:docPart w:val="GBC22222222222222222222222222222"/>
        </w:placeholder>
      </w:sdtPr>
      <w:sdtContent>
        <w:p>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pPr>
        <w:pStyle w:val="affffffffffffffffffffffffffffffffff0"/>
        <w:rPr>
          <w:color w:val="000000"/>
        </w:rPr>
      </w:pPr>
    </w:p>
    <w:p>
      <w:pPr>
        <w:rPr>
          <w:rFonts w:cs="Arial"/>
          <w:szCs w:val="21"/>
        </w:rPr>
      </w:pPr>
      <w:bookmarkStart w:id="484" w:name="_Hlk153549147"/>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074892483"/>
        <w:placeholder>
          <w:docPart w:val="GBC22222222222222222222222222222"/>
        </w:placeholder>
      </w:sdtPr>
      <w:sdtContent>
        <w:p>
          <w:pPr>
            <w:pStyle w:val="affffffffffffffffffffffffffffffffff0"/>
          </w:pPr>
          <w:r>
            <w:rPr>
              <w:color w:val="000000"/>
            </w:rPr>
            <w:fldChar w:fldCharType="begin"/>
          </w:r>
          <w:r>
            <w:rPr>
              <w:rFonts w:hint="eastAsia"/>
              <w:color w:val="000000"/>
            </w:rPr>
            <w:instrText xml:space="preserve">MACROBUTTON  SnrToggleCheckbox </w:instrText>
          </w:r>
          <w:r>
            <w:rPr>
              <w:rFonts w:hint="eastAsia"/>
              <w:color w:val="000000"/>
            </w:rPr>
            <w:instrText>□适用</w:instrText>
          </w:r>
          <w:r>
            <w:rPr>
              <w:rFonts w:hint="eastAsia"/>
              <w:color w:val="000000"/>
            </w:rPr>
            <w:instrText xml:space="preserve"> </w:instrText>
          </w:r>
          <w:r>
            <w:rPr>
              <w:color w:val="000000"/>
            </w:rPr>
            <w:fldChar w:fldCharType="end"/>
          </w:r>
          <w:r>
            <w:rPr>
              <w:rFonts w:ascii="宋体" w:hAnsi="宋体"/>
              <w:color w:val="000000"/>
            </w:rPr>
            <w:fldChar w:fldCharType="begin"/>
          </w:r>
          <w:r>
            <w:rPr>
              <w:rFonts w:ascii="宋体" w:hAnsi="宋体"/>
              <w:color w:val="000000"/>
            </w:rPr>
            <w:instrText xml:space="preserve"> MACROBUTTON  SnrToggleCheckbox √不适用 </w:instrText>
          </w:r>
          <w:r>
            <w:rPr>
              <w:rFonts w:ascii="宋体" w:hAnsi="宋体"/>
              <w:color w:val="000000"/>
            </w:rPr>
            <w:fldChar w:fldCharType="end"/>
          </w:r>
        </w:p>
      </w:sdtContent>
    </w:sdt>
    <w:p>
      <w:pPr>
        <w:pStyle w:val="affffffffffffffffffffffffffffffffe"/>
      </w:pPr>
    </w:p>
    <w:bookmarkEnd w:id="484"/>
    <w:p>
      <w:pPr>
        <w:rPr>
          <w:rFonts w:cs="Arial"/>
          <w:color w:val="000000"/>
          <w:szCs w:val="21"/>
        </w:rPr>
      </w:pPr>
      <w:r>
        <w:rPr>
          <w:rFonts w:cs="Arial" w:hint="eastAsia"/>
          <w:color w:val="000000"/>
          <w:szCs w:val="21"/>
        </w:rPr>
        <w:t>其他说明：</w:t>
      </w:r>
    </w:p>
    <w:sdt>
      <w:sdtPr>
        <w:rPr>
          <w:rFonts w:cs="Arial"/>
          <w:color w:val="000000"/>
          <w:szCs w:val="21"/>
        </w:rPr>
        <w:alias w:val="是否适用：是否存在通过多次交易分步处置对子公司投资且在本期丧失控制权的情形的说明[双击切换]"/>
        <w:tag w:val="_GBC_c934ae55b23744bba8048538d6771d0e"/>
        <w:id w:val="2028443375"/>
        <w:placeholder>
          <w:docPart w:val="GBC22222222222222222222222222222"/>
        </w:placeholder>
      </w:sdtPr>
      <w:sdtContent>
        <w:p>
          <w:pPr>
            <w:rPr>
              <w:rFonts w:ascii="Calibri" w:hAnsi="Calibri" w:cs="Arial"/>
              <w:color w:val="000000"/>
            </w:rPr>
          </w:pPr>
          <w:r>
            <w:rPr>
              <w:rFonts w:cs="Arial"/>
              <w:color w:val="000000"/>
              <w:szCs w:val="21"/>
            </w:rPr>
            <w:fldChar w:fldCharType="begin"/>
          </w:r>
          <w:r>
            <w:rPr>
              <w:rFonts w:cs="Arial"/>
              <w:color w:val="000000"/>
              <w:szCs w:val="21"/>
            </w:rPr>
            <w:instrText xml:space="preserve"> 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p>
      <w:pPr>
        <w:rPr>
          <w:rFonts w:ascii="Calibri" w:hAnsi="Calibri" w:cs="Arial"/>
          <w:color w:val="000000"/>
        </w:rPr>
      </w:pPr>
    </w:p>
    <w:p>
      <w:pPr>
        <w:pStyle w:val="afffffffffffffffffffffffffffffffff0"/>
        <w:numPr>
          <w:ilvl w:val="0"/>
          <w:numId w:val="132"/>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pPr>
        <w:pStyle w:val="affffffffffffffffffffffffffffffffe"/>
      </w:pPr>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61434719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Ansi="宋体" w:cs="Arial"/>
          <w:color w:val="000000"/>
          <w:kern w:val="0"/>
          <w14:ligatures w14:val="none"/>
        </w:rPr>
        <w:alias w:val="其他原因的合并范围变动"/>
        <w:tag w:val="_GBC_3146fc6fdcf14cec8af7bcae81e1ef18"/>
        <w:id w:val="-1910380060"/>
        <w:placeholder>
          <w:docPart w:val="GBC22222222222222222222222222222"/>
        </w:placeholder>
      </w:sdtPr>
      <w:sdtEndPr>
        <w:rPr>
          <w:rFonts w:asciiTheme="minorHAnsi" w:eastAsiaTheme="minorEastAsia"/>
        </w:rPr>
      </w:sdtEndPr>
      <w:sdtContent>
        <w:p>
          <w:pPr>
            <w:pStyle w:val="afffa"/>
            <w:numPr>
              <w:ilvl w:val="2"/>
              <w:numId w:val="133"/>
            </w:numPr>
          </w:pPr>
          <w:r>
            <w:rPr>
              <w:rFonts w:hint="eastAsia"/>
            </w:rPr>
            <w:t>减少子公司</w:t>
          </w:r>
        </w:p>
        <w:tbl>
          <w:tblPr>
            <w:tblStyle w:val="affffffffff8"/>
            <w:tblW w:w="5000" w:type="pct"/>
            <w:jc w:val="center"/>
            <w:tblLook w:val="04A0" w:firstRow="1" w:lastRow="0" w:firstColumn="1" w:lastColumn="0" w:noHBand="0" w:noVBand="1"/>
            <w:tblCaption w:val="D:\Users\202435566\Desktop\0-兖矿能源2024年TB（内蒙古金控）-0320\2024兖矿职衡tb|TB-合：兖矿能源.xlsx|披露附注|_jds2QLqXNpGO0CQ1ar90rccw|0|desc|||0|1"/>
          </w:tblPr>
          <w:tblGrid>
            <w:gridCol w:w="3167"/>
            <w:gridCol w:w="2827"/>
            <w:gridCol w:w="2829"/>
          </w:tblGrid>
          <w:tr>
            <w:trPr>
              <w:trHeight w:val="397"/>
              <w:tblHeader/>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公司名称</w:t>
                </w:r>
              </w:p>
            </w:tc>
            <w:tc>
              <w:tcPr>
                <w:tcW w:w="160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原持股比例（%）</w:t>
                </w:r>
              </w:p>
            </w:tc>
            <w:tc>
              <w:tcPr>
                <w:tcW w:w="160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减少的原因</w:t>
                </w:r>
              </w:p>
            </w:tc>
          </w:tr>
          <w:tr>
            <w:trPr>
              <w:trHeight w:val="397"/>
              <w:jc w:val="center"/>
            </w:trPr>
            <w:tc>
              <w:tcPr>
                <w:tcW w:w="179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鄂尔多斯市绿能光电有限公司</w:t>
                </w:r>
              </w:p>
            </w:tc>
            <w:tc>
              <w:tcPr>
                <w:tcW w:w="160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90.29</w:t>
                </w:r>
              </w:p>
            </w:tc>
            <w:tc>
              <w:tcPr>
                <w:tcW w:w="160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破产清算</w:t>
                </w:r>
              </w:p>
            </w:tc>
          </w:tr>
        </w:tbl>
        <w:p>
          <w:pPr>
            <w:rPr>
              <w:rFonts w:asciiTheme="minorHAnsi" w:eastAsiaTheme="minorEastAsia" w:hAnsiTheme="minorHAnsi" w:cs="Arial"/>
              <w:color w:val="000000"/>
            </w:rPr>
          </w:pPr>
        </w:p>
      </w:sdtContent>
    </w:sdt>
    <w:p>
      <w:pPr>
        <w:rPr>
          <w:rFonts w:asciiTheme="minorHAnsi" w:eastAsiaTheme="minorEastAsia" w:hAnsiTheme="minorHAnsi" w:cs="Arial"/>
          <w:color w:val="000000"/>
        </w:rPr>
      </w:pPr>
    </w:p>
    <w:p>
      <w:pPr>
        <w:pStyle w:val="afffffffffffffffffffffffffffffffff0"/>
        <w:numPr>
          <w:ilvl w:val="0"/>
          <w:numId w:val="132"/>
        </w:numPr>
        <w:rPr>
          <w:rFonts w:ascii="宋体" w:hAnsi="宋体" w:cs="Arial"/>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735432312"/>
        <w:placeholder>
          <w:docPart w:val="GBC22222222222222222222222222222"/>
        </w:placeholder>
      </w:sdtPr>
      <w:sdtContent>
        <w:p>
          <w:pPr>
            <w:rPr>
              <w:rFonts w:asciiTheme="minorHAnsi" w:eastAsiaTheme="minorEastAsia" w:hAnsiTheme="minorHAnsi" w:cs="Arial"/>
              <w:color w:val="000000"/>
            </w:rPr>
          </w:pPr>
          <w:r>
            <w:rPr>
              <w:rFonts w:cs="Arial"/>
              <w:color w:val="000000"/>
            </w:rPr>
            <w:fldChar w:fldCharType="begin"/>
          </w:r>
          <w:r>
            <w:rPr>
              <w:rFonts w:cs="Arial"/>
              <w:color w:val="000000"/>
            </w:rPr>
            <w:instrText xml:space="preserve"> 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p>
      <w:pPr>
        <w:rPr>
          <w:rFonts w:cs="Arial"/>
          <w:color w:val="000000"/>
        </w:rPr>
      </w:pPr>
    </w:p>
    <w:p>
      <w:pPr>
        <w:rPr>
          <w:rFonts w:cs="Arial"/>
          <w:color w:val="000000"/>
        </w:rPr>
        <w:sectPr>
          <w:pgSz w:w="11906" w:h="16838"/>
          <w:pgMar w:top="1525" w:right="1276" w:bottom="1440" w:left="1797" w:header="856" w:footer="992" w:gutter="0"/>
          <w:cols w:space="425"/>
          <w:docGrid w:linePitch="312"/>
        </w:sectPr>
      </w:pPr>
    </w:p>
    <w:p>
      <w:pPr>
        <w:pStyle w:val="affffffffffffffffffffff2"/>
        <w:numPr>
          <w:ilvl w:val="0"/>
          <w:numId w:val="155"/>
        </w:numPr>
        <w:rPr>
          <w:rFonts w:ascii="宋体" w:hAnsi="宋体"/>
        </w:rPr>
      </w:pPr>
      <w:r>
        <w:rPr>
          <w:rFonts w:ascii="宋体" w:hAnsi="宋体" w:hint="eastAsia"/>
        </w:rPr>
        <w:lastRenderedPageBreak/>
        <w:t>在</w:t>
      </w:r>
      <w:r>
        <w:rPr>
          <w:rFonts w:hint="eastAsia"/>
        </w:rPr>
        <w:t>其他</w:t>
      </w:r>
      <w:r>
        <w:rPr>
          <w:rFonts w:ascii="宋体" w:hAnsi="宋体" w:hint="eastAsia"/>
        </w:rPr>
        <w:t>主体中的权益</w:t>
      </w:r>
    </w:p>
    <w:p>
      <w:pPr>
        <w:pStyle w:val="afffffffffffffffffffffffffffffffff0"/>
        <w:numPr>
          <w:ilvl w:val="2"/>
          <w:numId w:val="134"/>
        </w:numPr>
        <w:ind w:left="420"/>
      </w:pPr>
      <w:r>
        <w:rPr>
          <w:rFonts w:hint="eastAsia"/>
        </w:rPr>
        <w:t>在子公司中的权益</w:t>
      </w:r>
    </w:p>
    <w:p>
      <w:pPr>
        <w:pStyle w:val="afffffffffffffffffffffffffffffffff1"/>
        <w:numPr>
          <w:ilvl w:val="3"/>
          <w:numId w:val="185"/>
        </w:numPr>
        <w:ind w:left="426" w:hangingChars="202" w:hanging="426"/>
      </w:pPr>
      <w:r>
        <w:rPr>
          <w:rFonts w:hint="eastAsia"/>
        </w:rPr>
        <w:t>企业集团的构成</w:t>
      </w:r>
    </w:p>
    <w:sdt>
      <w:sdtPr>
        <w:alias w:val="是否适用：企业集团的构成[双击切换]"/>
        <w:tag w:val="_GBC_f4dcd24cd0a6465f817fe278addb6568"/>
        <w:id w:val="78153998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  币种：-</w:t>
      </w:r>
    </w:p>
    <w:tbl>
      <w:tblPr>
        <w:tblStyle w:val="affffffffff8"/>
        <w:tblW w:w="6369"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1281"/>
        <w:gridCol w:w="1133"/>
        <w:gridCol w:w="1987"/>
        <w:gridCol w:w="851"/>
        <w:gridCol w:w="854"/>
        <w:gridCol w:w="1412"/>
      </w:tblGrid>
      <w:tr>
        <w:trPr>
          <w:trHeight w:val="247"/>
        </w:trPr>
        <w:sdt>
          <w:sdtPr>
            <w:rPr>
              <w:szCs w:val="21"/>
            </w:rPr>
            <w:tag w:val="_PLD_d102f36c2e2645ad9579603ca28588c8"/>
            <w:id w:val="1014884764"/>
          </w:sdtPr>
          <w:sdtContent>
            <w:tc>
              <w:tcPr>
                <w:tcW w:w="1556" w:type="pct"/>
                <w:vMerge w:val="restart"/>
                <w:shd w:val="clear" w:color="auto" w:fill="auto"/>
                <w:vAlign w:val="center"/>
              </w:tcPr>
              <w:p>
                <w:pPr>
                  <w:jc w:val="center"/>
                  <w:rPr>
                    <w:rFonts w:cs="Arial"/>
                    <w:szCs w:val="21"/>
                    <w:lang w:val="en-GB"/>
                  </w:rPr>
                </w:pPr>
                <w:r>
                  <w:rPr>
                    <w:rFonts w:cs="Arial" w:hint="eastAsia"/>
                    <w:szCs w:val="21"/>
                    <w:lang w:val="en-GB"/>
                  </w:rPr>
                  <w:t>子公司</w:t>
                </w:r>
              </w:p>
              <w:p>
                <w:pPr>
                  <w:jc w:val="center"/>
                  <w:rPr>
                    <w:rFonts w:cs="Arial"/>
                    <w:szCs w:val="21"/>
                  </w:rPr>
                </w:pPr>
                <w:r>
                  <w:rPr>
                    <w:rFonts w:cs="Arial" w:hint="eastAsia"/>
                    <w:szCs w:val="21"/>
                    <w:lang w:val="en-GB"/>
                  </w:rPr>
                  <w:t>名称</w:t>
                </w:r>
              </w:p>
            </w:tc>
          </w:sdtContent>
        </w:sdt>
        <w:sdt>
          <w:sdtPr>
            <w:rPr>
              <w:szCs w:val="21"/>
            </w:rPr>
            <w:tag w:val="_PLD_f2f68356b5494ce8941038ba206c0e79"/>
            <w:id w:val="1695337156"/>
          </w:sdtPr>
          <w:sdtContent>
            <w:tc>
              <w:tcPr>
                <w:tcW w:w="587" w:type="pct"/>
                <w:vMerge w:val="restart"/>
                <w:shd w:val="clear" w:color="auto" w:fill="auto"/>
                <w:vAlign w:val="center"/>
              </w:tcPr>
              <w:p>
                <w:pPr>
                  <w:jc w:val="center"/>
                  <w:rPr>
                    <w:rFonts w:cs="Arial"/>
                    <w:szCs w:val="21"/>
                  </w:rPr>
                </w:pPr>
                <w:r>
                  <w:rPr>
                    <w:rFonts w:cs="Arial" w:hint="eastAsia"/>
                    <w:szCs w:val="21"/>
                    <w:lang w:val="en-GB"/>
                  </w:rPr>
                  <w:t>主要经营地</w:t>
                </w:r>
              </w:p>
            </w:tc>
          </w:sdtContent>
        </w:sdt>
        <w:sdt>
          <w:sdtPr>
            <w:rPr>
              <w:szCs w:val="21"/>
            </w:rPr>
            <w:tag w:val="_PLD_e9cbfd017bcc45b9be4599d5ee950f92"/>
            <w:id w:val="859243616"/>
          </w:sdtPr>
          <w:sdtContent>
            <w:tc>
              <w:tcPr>
                <w:tcW w:w="519" w:type="pct"/>
                <w:vMerge w:val="restart"/>
                <w:shd w:val="clear" w:color="auto" w:fill="auto"/>
                <w:vAlign w:val="center"/>
              </w:tcPr>
              <w:p>
                <w:pPr>
                  <w:jc w:val="center"/>
                  <w:rPr>
                    <w:rFonts w:cs="Arial"/>
                    <w:szCs w:val="21"/>
                  </w:rPr>
                </w:pPr>
                <w:r>
                  <w:rPr>
                    <w:rFonts w:cs="Arial" w:hint="eastAsia"/>
                    <w:szCs w:val="21"/>
                    <w:lang w:val="en-GB"/>
                  </w:rPr>
                  <w:t>注册地</w:t>
                </w:r>
              </w:p>
            </w:tc>
          </w:sdtContent>
        </w:sdt>
        <w:sdt>
          <w:sdtPr>
            <w:rPr>
              <w:szCs w:val="21"/>
            </w:rPr>
            <w:tag w:val="_PLD_da5558f3e8f24c30b756f825b0ebca03"/>
            <w:id w:val="518585895"/>
          </w:sdtPr>
          <w:sdtContent>
            <w:tc>
              <w:tcPr>
                <w:tcW w:w="910" w:type="pct"/>
                <w:vMerge w:val="restart"/>
                <w:shd w:val="clear" w:color="auto" w:fill="auto"/>
                <w:vAlign w:val="center"/>
              </w:tcPr>
              <w:p>
                <w:pPr>
                  <w:jc w:val="center"/>
                  <w:rPr>
                    <w:rFonts w:cs="Arial"/>
                    <w:szCs w:val="21"/>
                  </w:rPr>
                </w:pPr>
                <w:r>
                  <w:rPr>
                    <w:rFonts w:cs="Arial" w:hint="eastAsia"/>
                    <w:szCs w:val="21"/>
                    <w:lang w:val="en-GB"/>
                  </w:rPr>
                  <w:t>业务性质</w:t>
                </w:r>
              </w:p>
            </w:tc>
          </w:sdtContent>
        </w:sdt>
        <w:sdt>
          <w:sdtPr>
            <w:rPr>
              <w:szCs w:val="21"/>
            </w:rPr>
            <w:tag w:val="_PLD_817e427c8eff4fd1875d12860133e99e"/>
            <w:id w:val="-2033096526"/>
          </w:sdtPr>
          <w:sdtContent>
            <w:tc>
              <w:tcPr>
                <w:tcW w:w="781" w:type="pct"/>
                <w:gridSpan w:val="2"/>
                <w:shd w:val="clear" w:color="auto" w:fill="auto"/>
                <w:vAlign w:val="center"/>
              </w:tcPr>
              <w:p>
                <w:pPr>
                  <w:jc w:val="center"/>
                  <w:rPr>
                    <w:rFonts w:cs="Arial"/>
                    <w:szCs w:val="21"/>
                  </w:rPr>
                </w:pPr>
                <w:r>
                  <w:rPr>
                    <w:rFonts w:cs="Arial" w:hint="eastAsia"/>
                    <w:szCs w:val="21"/>
                    <w:lang w:val="en-GB"/>
                  </w:rPr>
                  <w:t>持股比例</w:t>
                </w:r>
                <w:r>
                  <w:rPr>
                    <w:rFonts w:cs="Arial"/>
                    <w:szCs w:val="21"/>
                  </w:rPr>
                  <w:t>(%)</w:t>
                </w:r>
              </w:p>
            </w:tc>
          </w:sdtContent>
        </w:sdt>
        <w:sdt>
          <w:sdtPr>
            <w:rPr>
              <w:szCs w:val="21"/>
            </w:rPr>
            <w:tag w:val="_PLD_0bb5e453efe4450ba0d853b98eb2c2b0"/>
            <w:id w:val="-743113525"/>
          </w:sdtPr>
          <w:sdtContent>
            <w:tc>
              <w:tcPr>
                <w:tcW w:w="647" w:type="pct"/>
                <w:vMerge w:val="restart"/>
                <w:shd w:val="clear" w:color="auto" w:fill="auto"/>
                <w:vAlign w:val="center"/>
              </w:tcPr>
              <w:p>
                <w:pPr>
                  <w:jc w:val="center"/>
                  <w:rPr>
                    <w:rFonts w:cs="Arial"/>
                    <w:szCs w:val="21"/>
                    <w:lang w:val="en-GB"/>
                  </w:rPr>
                </w:pPr>
                <w:r>
                  <w:rPr>
                    <w:rFonts w:cs="Arial" w:hint="eastAsia"/>
                    <w:szCs w:val="21"/>
                    <w:lang w:val="en-GB"/>
                  </w:rPr>
                  <w:t>取得</w:t>
                </w:r>
              </w:p>
              <w:p>
                <w:pPr>
                  <w:jc w:val="center"/>
                  <w:rPr>
                    <w:rFonts w:cs="Arial"/>
                    <w:szCs w:val="21"/>
                    <w:lang w:val="en-GB"/>
                  </w:rPr>
                </w:pPr>
                <w:r>
                  <w:rPr>
                    <w:rFonts w:cs="Arial" w:hint="eastAsia"/>
                    <w:szCs w:val="21"/>
                    <w:lang w:val="en-GB"/>
                  </w:rPr>
                  <w:t>方式</w:t>
                </w:r>
              </w:p>
            </w:tc>
          </w:sdtContent>
        </w:sdt>
      </w:tr>
      <w:tr>
        <w:trPr>
          <w:trHeight w:val="278"/>
        </w:trPr>
        <w:tc>
          <w:tcPr>
            <w:tcW w:w="1556" w:type="pct"/>
            <w:vMerge/>
            <w:shd w:val="clear" w:color="auto" w:fill="auto"/>
            <w:vAlign w:val="center"/>
          </w:tcPr>
          <w:p>
            <w:pPr>
              <w:rPr>
                <w:rFonts w:cs="Arial"/>
                <w:szCs w:val="21"/>
              </w:rPr>
            </w:pPr>
          </w:p>
        </w:tc>
        <w:tc>
          <w:tcPr>
            <w:tcW w:w="587" w:type="pct"/>
            <w:vMerge/>
            <w:shd w:val="clear" w:color="auto" w:fill="auto"/>
            <w:vAlign w:val="center"/>
          </w:tcPr>
          <w:p>
            <w:pPr>
              <w:rPr>
                <w:rFonts w:cs="Arial"/>
                <w:szCs w:val="21"/>
              </w:rPr>
            </w:pPr>
          </w:p>
        </w:tc>
        <w:tc>
          <w:tcPr>
            <w:tcW w:w="519" w:type="pct"/>
            <w:vMerge/>
            <w:shd w:val="clear" w:color="auto" w:fill="auto"/>
            <w:vAlign w:val="center"/>
          </w:tcPr>
          <w:p>
            <w:pPr>
              <w:rPr>
                <w:rFonts w:cs="Arial"/>
                <w:szCs w:val="21"/>
              </w:rPr>
            </w:pPr>
          </w:p>
        </w:tc>
        <w:tc>
          <w:tcPr>
            <w:tcW w:w="910" w:type="pct"/>
            <w:vMerge/>
            <w:shd w:val="clear" w:color="auto" w:fill="auto"/>
            <w:vAlign w:val="center"/>
          </w:tcPr>
          <w:p>
            <w:pPr>
              <w:rPr>
                <w:rFonts w:cs="Arial"/>
                <w:szCs w:val="21"/>
              </w:rPr>
            </w:pPr>
          </w:p>
        </w:tc>
        <w:sdt>
          <w:sdtPr>
            <w:rPr>
              <w:szCs w:val="21"/>
            </w:rPr>
            <w:tag w:val="_PLD_3f641d83162f4ae3a8840b93258d7ced"/>
            <w:id w:val="1941482168"/>
          </w:sdtPr>
          <w:sdtContent>
            <w:tc>
              <w:tcPr>
                <w:tcW w:w="390" w:type="pct"/>
                <w:shd w:val="clear" w:color="auto" w:fill="auto"/>
                <w:vAlign w:val="center"/>
              </w:tcPr>
              <w:p>
                <w:pPr>
                  <w:jc w:val="center"/>
                  <w:rPr>
                    <w:rFonts w:cs="Arial"/>
                    <w:szCs w:val="21"/>
                  </w:rPr>
                </w:pPr>
                <w:r>
                  <w:rPr>
                    <w:rFonts w:cs="Arial" w:hint="eastAsia"/>
                    <w:szCs w:val="21"/>
                    <w:lang w:val="en-GB"/>
                  </w:rPr>
                  <w:t>直接</w:t>
                </w:r>
              </w:p>
            </w:tc>
          </w:sdtContent>
        </w:sdt>
        <w:sdt>
          <w:sdtPr>
            <w:rPr>
              <w:szCs w:val="21"/>
            </w:rPr>
            <w:tag w:val="_PLD_ebc96648c2794ae08bfb57e63f0a34c5"/>
            <w:id w:val="-1066721408"/>
          </w:sdtPr>
          <w:sdtContent>
            <w:tc>
              <w:tcPr>
                <w:tcW w:w="391" w:type="pct"/>
                <w:shd w:val="clear" w:color="auto" w:fill="auto"/>
                <w:vAlign w:val="center"/>
              </w:tcPr>
              <w:p>
                <w:pPr>
                  <w:jc w:val="center"/>
                  <w:rPr>
                    <w:rFonts w:cs="Arial"/>
                    <w:szCs w:val="21"/>
                  </w:rPr>
                </w:pPr>
                <w:r>
                  <w:rPr>
                    <w:rFonts w:cs="Arial" w:hint="eastAsia"/>
                    <w:szCs w:val="21"/>
                    <w:lang w:val="en-GB"/>
                  </w:rPr>
                  <w:t>间接</w:t>
                </w:r>
              </w:p>
            </w:tc>
          </w:sdtContent>
        </w:sdt>
        <w:tc>
          <w:tcPr>
            <w:tcW w:w="647" w:type="pct"/>
            <w:vMerge/>
          </w:tcPr>
          <w:p>
            <w:pPr>
              <w:rPr>
                <w:rFonts w:cs="Arial"/>
                <w:szCs w:val="21"/>
              </w:rPr>
            </w:pPr>
          </w:p>
        </w:tc>
      </w:tr>
      <w:tr>
        <w:tc>
          <w:tcPr>
            <w:tcW w:w="1556" w:type="pct"/>
            <w:vAlign w:val="center"/>
          </w:tcPr>
          <w:p>
            <w:pPr>
              <w:rPr>
                <w:color w:val="000000"/>
                <w:szCs w:val="21"/>
              </w:rPr>
            </w:pPr>
            <w:r>
              <w:rPr>
                <w:rFonts w:hint="eastAsia"/>
                <w:color w:val="000000"/>
                <w:szCs w:val="21"/>
              </w:rPr>
              <w:t>兖州煤业澳大利亚有限公司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投资控股</w:t>
            </w:r>
          </w:p>
        </w:tc>
        <w:tc>
          <w:tcPr>
            <w:tcW w:w="390" w:type="pct"/>
            <w:vAlign w:val="center"/>
          </w:tcPr>
          <w:p>
            <w:pPr>
              <w:jc w:val="center"/>
              <w:rPr>
                <w:color w:val="000000"/>
                <w:szCs w:val="21"/>
              </w:rPr>
            </w:pPr>
            <w:r>
              <w:rPr>
                <w:rFonts w:hint="eastAsia"/>
                <w:color w:val="000000"/>
                <w:szCs w:val="21"/>
              </w:rPr>
              <w:t>62.26</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格罗斯特煤炭有限公司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煤炭及煤炭相关资源的开发和运营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兖煤澳大利亚资源有限公司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煤炭开采与勘探</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兖煤澳大利亚配煤销售有限公司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兖煤矿业服务有限公司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矿业服务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联合煤炭工业有限公司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煤炭开采和煤矿经营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兖煤澳洲莫拉本私有有限公司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煤炭开采和煤矿经营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沃特岗矿业有限公司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煤炭开采和煤矿经营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兖煤保险股份有限公司</w:t>
            </w:r>
          </w:p>
        </w:tc>
        <w:tc>
          <w:tcPr>
            <w:tcW w:w="587" w:type="pct"/>
            <w:vAlign w:val="center"/>
          </w:tcPr>
          <w:p>
            <w:pPr>
              <w:jc w:val="center"/>
              <w:rPr>
                <w:color w:val="000000"/>
                <w:szCs w:val="21"/>
              </w:rPr>
            </w:pPr>
            <w:r>
              <w:rPr>
                <w:rFonts w:hint="eastAsia"/>
                <w:color w:val="000000"/>
                <w:szCs w:val="21"/>
              </w:rPr>
              <w:t>根西岛</w:t>
            </w:r>
          </w:p>
        </w:tc>
        <w:tc>
          <w:tcPr>
            <w:tcW w:w="519" w:type="pct"/>
            <w:vAlign w:val="center"/>
          </w:tcPr>
          <w:p>
            <w:pPr>
              <w:jc w:val="center"/>
              <w:rPr>
                <w:color w:val="000000"/>
                <w:szCs w:val="21"/>
              </w:rPr>
            </w:pPr>
            <w:r>
              <w:rPr>
                <w:rFonts w:hint="eastAsia"/>
                <w:color w:val="000000"/>
                <w:szCs w:val="21"/>
              </w:rPr>
              <w:t>根西岛</w:t>
            </w:r>
          </w:p>
        </w:tc>
        <w:tc>
          <w:tcPr>
            <w:tcW w:w="910" w:type="pct"/>
            <w:vAlign w:val="center"/>
          </w:tcPr>
          <w:p>
            <w:pPr>
              <w:rPr>
                <w:color w:val="000000"/>
                <w:szCs w:val="21"/>
              </w:rPr>
            </w:pPr>
            <w:r>
              <w:rPr>
                <w:rFonts w:hint="eastAsia"/>
                <w:color w:val="000000"/>
                <w:szCs w:val="21"/>
              </w:rPr>
              <w:t>资产保险服务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兖煤国际（控股）有限公司</w:t>
            </w:r>
          </w:p>
        </w:tc>
        <w:tc>
          <w:tcPr>
            <w:tcW w:w="587" w:type="pct"/>
            <w:vAlign w:val="center"/>
          </w:tcPr>
          <w:p>
            <w:pPr>
              <w:jc w:val="center"/>
              <w:rPr>
                <w:color w:val="000000"/>
                <w:szCs w:val="21"/>
              </w:rPr>
            </w:pPr>
            <w:r>
              <w:rPr>
                <w:rFonts w:hint="eastAsia"/>
                <w:color w:val="000000"/>
                <w:szCs w:val="21"/>
              </w:rPr>
              <w:t>香港</w:t>
            </w:r>
          </w:p>
        </w:tc>
        <w:tc>
          <w:tcPr>
            <w:tcW w:w="519" w:type="pct"/>
            <w:vAlign w:val="center"/>
          </w:tcPr>
          <w:p>
            <w:pPr>
              <w:jc w:val="center"/>
              <w:rPr>
                <w:color w:val="000000"/>
                <w:szCs w:val="21"/>
              </w:rPr>
            </w:pPr>
            <w:r>
              <w:rPr>
                <w:rFonts w:hint="eastAsia"/>
                <w:color w:val="000000"/>
                <w:szCs w:val="21"/>
              </w:rPr>
              <w:t>香港</w:t>
            </w:r>
          </w:p>
        </w:tc>
        <w:tc>
          <w:tcPr>
            <w:tcW w:w="910" w:type="pct"/>
            <w:vAlign w:val="center"/>
          </w:tcPr>
          <w:p>
            <w:pPr>
              <w:rPr>
                <w:color w:val="000000"/>
                <w:szCs w:val="21"/>
              </w:rPr>
            </w:pPr>
            <w:r>
              <w:rPr>
                <w:rFonts w:hint="eastAsia"/>
                <w:color w:val="000000"/>
                <w:szCs w:val="21"/>
              </w:rPr>
              <w:t>投资控股</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兖煤国际技术开发有限公司</w:t>
            </w:r>
          </w:p>
        </w:tc>
        <w:tc>
          <w:tcPr>
            <w:tcW w:w="587" w:type="pct"/>
            <w:vAlign w:val="center"/>
          </w:tcPr>
          <w:p>
            <w:pPr>
              <w:jc w:val="center"/>
              <w:rPr>
                <w:color w:val="000000"/>
                <w:szCs w:val="21"/>
              </w:rPr>
            </w:pPr>
            <w:r>
              <w:rPr>
                <w:rFonts w:hint="eastAsia"/>
                <w:color w:val="000000"/>
                <w:szCs w:val="21"/>
              </w:rPr>
              <w:t>香港</w:t>
            </w:r>
          </w:p>
        </w:tc>
        <w:tc>
          <w:tcPr>
            <w:tcW w:w="519" w:type="pct"/>
            <w:vAlign w:val="center"/>
          </w:tcPr>
          <w:p>
            <w:pPr>
              <w:jc w:val="center"/>
              <w:rPr>
                <w:color w:val="000000"/>
                <w:szCs w:val="21"/>
              </w:rPr>
            </w:pPr>
            <w:r>
              <w:rPr>
                <w:rFonts w:hint="eastAsia"/>
                <w:color w:val="000000"/>
                <w:szCs w:val="21"/>
              </w:rPr>
              <w:t>香港</w:t>
            </w:r>
          </w:p>
        </w:tc>
        <w:tc>
          <w:tcPr>
            <w:tcW w:w="910" w:type="pct"/>
            <w:vAlign w:val="center"/>
          </w:tcPr>
          <w:p>
            <w:pPr>
              <w:rPr>
                <w:color w:val="000000"/>
                <w:szCs w:val="21"/>
              </w:rPr>
            </w:pPr>
            <w:r>
              <w:rPr>
                <w:rFonts w:hint="eastAsia"/>
                <w:color w:val="000000"/>
                <w:szCs w:val="21"/>
              </w:rPr>
              <w:t>矿山开采技术的开发、转让与咨询服务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兖煤国际资源开发有限公司</w:t>
            </w:r>
          </w:p>
        </w:tc>
        <w:tc>
          <w:tcPr>
            <w:tcW w:w="587" w:type="pct"/>
            <w:vAlign w:val="center"/>
          </w:tcPr>
          <w:p>
            <w:pPr>
              <w:jc w:val="center"/>
              <w:rPr>
                <w:color w:val="000000"/>
                <w:szCs w:val="21"/>
              </w:rPr>
            </w:pPr>
            <w:r>
              <w:rPr>
                <w:rFonts w:hint="eastAsia"/>
                <w:color w:val="000000"/>
                <w:szCs w:val="21"/>
              </w:rPr>
              <w:t>香港</w:t>
            </w:r>
          </w:p>
        </w:tc>
        <w:tc>
          <w:tcPr>
            <w:tcW w:w="519" w:type="pct"/>
            <w:vAlign w:val="center"/>
          </w:tcPr>
          <w:p>
            <w:pPr>
              <w:jc w:val="center"/>
              <w:rPr>
                <w:color w:val="000000"/>
                <w:szCs w:val="21"/>
              </w:rPr>
            </w:pPr>
            <w:r>
              <w:rPr>
                <w:rFonts w:hint="eastAsia"/>
                <w:color w:val="000000"/>
                <w:szCs w:val="21"/>
              </w:rPr>
              <w:t>香港</w:t>
            </w:r>
          </w:p>
        </w:tc>
        <w:tc>
          <w:tcPr>
            <w:tcW w:w="910" w:type="pct"/>
            <w:vAlign w:val="center"/>
          </w:tcPr>
          <w:p>
            <w:pPr>
              <w:rPr>
                <w:color w:val="000000"/>
                <w:szCs w:val="21"/>
              </w:rPr>
            </w:pPr>
            <w:r>
              <w:rPr>
                <w:rFonts w:hint="eastAsia"/>
                <w:color w:val="000000"/>
                <w:szCs w:val="21"/>
              </w:rPr>
              <w:t>矿产资源勘探开发</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兖煤卢森堡资源有限公司</w:t>
            </w:r>
          </w:p>
        </w:tc>
        <w:tc>
          <w:tcPr>
            <w:tcW w:w="587" w:type="pct"/>
            <w:vAlign w:val="center"/>
          </w:tcPr>
          <w:p>
            <w:pPr>
              <w:jc w:val="center"/>
              <w:rPr>
                <w:color w:val="000000"/>
                <w:szCs w:val="21"/>
              </w:rPr>
            </w:pPr>
            <w:r>
              <w:rPr>
                <w:rFonts w:hint="eastAsia"/>
                <w:color w:val="000000"/>
                <w:szCs w:val="21"/>
              </w:rPr>
              <w:t>卢森堡</w:t>
            </w:r>
          </w:p>
        </w:tc>
        <w:tc>
          <w:tcPr>
            <w:tcW w:w="519" w:type="pct"/>
            <w:vAlign w:val="center"/>
          </w:tcPr>
          <w:p>
            <w:pPr>
              <w:jc w:val="center"/>
              <w:rPr>
                <w:color w:val="000000"/>
                <w:szCs w:val="21"/>
              </w:rPr>
            </w:pPr>
            <w:r>
              <w:rPr>
                <w:rFonts w:hint="eastAsia"/>
                <w:color w:val="000000"/>
                <w:szCs w:val="21"/>
              </w:rPr>
              <w:t>卢森堡</w:t>
            </w:r>
          </w:p>
        </w:tc>
        <w:tc>
          <w:tcPr>
            <w:tcW w:w="910" w:type="pct"/>
            <w:vAlign w:val="center"/>
          </w:tcPr>
          <w:p>
            <w:pPr>
              <w:rPr>
                <w:color w:val="000000"/>
                <w:szCs w:val="21"/>
              </w:rPr>
            </w:pPr>
            <w:r>
              <w:rPr>
                <w:rFonts w:hint="eastAsia"/>
                <w:color w:val="000000"/>
                <w:szCs w:val="21"/>
              </w:rPr>
              <w:t>对外投资</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亚森纳（控股）有限公司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汤佛（控股）有限公司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维尔皮纳（控股）有限公司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普力马（控股）有限公司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兖煤能源有限公司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兖矿东平陆港有限公司</w:t>
            </w:r>
          </w:p>
        </w:tc>
        <w:tc>
          <w:tcPr>
            <w:tcW w:w="587" w:type="pct"/>
            <w:vAlign w:val="center"/>
          </w:tcPr>
          <w:p>
            <w:pPr>
              <w:jc w:val="center"/>
              <w:rPr>
                <w:color w:val="000000"/>
                <w:szCs w:val="21"/>
              </w:rPr>
            </w:pPr>
            <w:r>
              <w:rPr>
                <w:rFonts w:hint="eastAsia"/>
                <w:color w:val="000000"/>
                <w:szCs w:val="21"/>
              </w:rPr>
              <w:t>山东泰安</w:t>
            </w:r>
          </w:p>
        </w:tc>
        <w:tc>
          <w:tcPr>
            <w:tcW w:w="519" w:type="pct"/>
            <w:vAlign w:val="center"/>
          </w:tcPr>
          <w:p>
            <w:pPr>
              <w:jc w:val="center"/>
              <w:rPr>
                <w:color w:val="000000"/>
                <w:szCs w:val="21"/>
              </w:rPr>
            </w:pPr>
            <w:r>
              <w:rPr>
                <w:rFonts w:hint="eastAsia"/>
                <w:color w:val="000000"/>
                <w:szCs w:val="21"/>
              </w:rPr>
              <w:t>山东泰安</w:t>
            </w:r>
          </w:p>
        </w:tc>
        <w:tc>
          <w:tcPr>
            <w:tcW w:w="910" w:type="pct"/>
            <w:vAlign w:val="center"/>
          </w:tcPr>
          <w:p>
            <w:pPr>
              <w:rPr>
                <w:color w:val="000000"/>
                <w:szCs w:val="21"/>
              </w:rPr>
            </w:pPr>
            <w:r>
              <w:rPr>
                <w:rFonts w:hint="eastAsia"/>
                <w:color w:val="000000"/>
                <w:szCs w:val="21"/>
              </w:rPr>
              <w:t>煤炭贸易，港口、铁路运输</w:t>
            </w:r>
          </w:p>
        </w:tc>
        <w:tc>
          <w:tcPr>
            <w:tcW w:w="390" w:type="pct"/>
            <w:vAlign w:val="center"/>
          </w:tcPr>
          <w:p>
            <w:pPr>
              <w:jc w:val="center"/>
              <w:rPr>
                <w:color w:val="000000"/>
                <w:szCs w:val="21"/>
              </w:rPr>
            </w:pPr>
            <w:r>
              <w:rPr>
                <w:rFonts w:hint="eastAsia"/>
                <w:color w:val="000000"/>
                <w:szCs w:val="21"/>
              </w:rPr>
              <w:t>6.52</w:t>
            </w:r>
          </w:p>
        </w:tc>
        <w:tc>
          <w:tcPr>
            <w:tcW w:w="391" w:type="pct"/>
            <w:vAlign w:val="center"/>
          </w:tcPr>
          <w:p>
            <w:pPr>
              <w:jc w:val="center"/>
              <w:rPr>
                <w:color w:val="000000"/>
                <w:szCs w:val="21"/>
              </w:rPr>
            </w:pPr>
            <w:r>
              <w:rPr>
                <w:rFonts w:hint="eastAsia"/>
                <w:color w:val="000000"/>
                <w:szCs w:val="21"/>
              </w:rPr>
              <w:t>39.78</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兖煤技术发展（控股）有限公司</w:t>
            </w:r>
          </w:p>
        </w:tc>
        <w:tc>
          <w:tcPr>
            <w:tcW w:w="587" w:type="pct"/>
            <w:vAlign w:val="center"/>
          </w:tcPr>
          <w:p>
            <w:pPr>
              <w:jc w:val="center"/>
              <w:rPr>
                <w:color w:val="000000"/>
                <w:szCs w:val="21"/>
              </w:rPr>
            </w:pPr>
            <w:r>
              <w:rPr>
                <w:rFonts w:hint="eastAsia"/>
                <w:color w:val="000000"/>
                <w:szCs w:val="21"/>
              </w:rPr>
              <w:t>澳大利亚</w:t>
            </w:r>
          </w:p>
        </w:tc>
        <w:tc>
          <w:tcPr>
            <w:tcW w:w="519" w:type="pct"/>
            <w:vAlign w:val="center"/>
          </w:tcPr>
          <w:p>
            <w:pPr>
              <w:jc w:val="center"/>
              <w:rPr>
                <w:color w:val="000000"/>
                <w:szCs w:val="21"/>
              </w:rPr>
            </w:pPr>
            <w:r>
              <w:rPr>
                <w:rFonts w:hint="eastAsia"/>
                <w:color w:val="000000"/>
                <w:szCs w:val="21"/>
              </w:rPr>
              <w:t>澳大利亚</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中垠（济宁）融资租赁有限公司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融资租赁业务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兖矿能源（鄂尔多斯）有限公司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内蒙古荣信化工有限公司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甲醇生产及销售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内蒙古鑫泰煤炭有限公司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lastRenderedPageBreak/>
              <w:t>鄂尔多斯市转龙湾煤炭有限公司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兖矿东华重工有限公司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矿用设备、机电设备、橡胶制品等的生产销售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兖矿集团唐村实业有限公司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橡胶输送带、电缆制造</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兖州东方机电有限公司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矿用电器、高低压开关设备制造</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94.34</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兖矿集团邹城金通橡胶有限公司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高、中、低压橡胶软管制造</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54.55</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山东兖矿智能制造有限公司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设备制造、机械制造修理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山东兖矿集团长龙电缆制造有限公司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电缆、电线、电缆附件及原料的制造，销售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95</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兖州煤业山西能化有限公司</w:t>
            </w:r>
          </w:p>
        </w:tc>
        <w:tc>
          <w:tcPr>
            <w:tcW w:w="587" w:type="pct"/>
            <w:vAlign w:val="center"/>
          </w:tcPr>
          <w:p>
            <w:pPr>
              <w:jc w:val="center"/>
              <w:rPr>
                <w:color w:val="000000"/>
                <w:szCs w:val="21"/>
              </w:rPr>
            </w:pPr>
            <w:r>
              <w:rPr>
                <w:rFonts w:hint="eastAsia"/>
                <w:color w:val="000000"/>
                <w:szCs w:val="21"/>
              </w:rPr>
              <w:t>山西晋中</w:t>
            </w:r>
          </w:p>
        </w:tc>
        <w:tc>
          <w:tcPr>
            <w:tcW w:w="519" w:type="pct"/>
            <w:vAlign w:val="center"/>
          </w:tcPr>
          <w:p>
            <w:pPr>
              <w:jc w:val="center"/>
              <w:rPr>
                <w:color w:val="000000"/>
                <w:szCs w:val="21"/>
              </w:rPr>
            </w:pPr>
            <w:r>
              <w:rPr>
                <w:rFonts w:hint="eastAsia"/>
                <w:color w:val="000000"/>
                <w:szCs w:val="21"/>
              </w:rPr>
              <w:t>山西晋中</w:t>
            </w:r>
          </w:p>
        </w:tc>
        <w:tc>
          <w:tcPr>
            <w:tcW w:w="910" w:type="pct"/>
            <w:vAlign w:val="center"/>
          </w:tcPr>
          <w:p>
            <w:pPr>
              <w:rPr>
                <w:color w:val="000000"/>
                <w:szCs w:val="21"/>
              </w:rPr>
            </w:pPr>
            <w:r>
              <w:rPr>
                <w:rFonts w:hint="eastAsia"/>
                <w:color w:val="000000"/>
                <w:szCs w:val="21"/>
              </w:rPr>
              <w:t>热电投资、煤炭技术服务</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山西和顺天池能源有限责任公司</w:t>
            </w:r>
          </w:p>
        </w:tc>
        <w:tc>
          <w:tcPr>
            <w:tcW w:w="587" w:type="pct"/>
            <w:vAlign w:val="center"/>
          </w:tcPr>
          <w:p>
            <w:pPr>
              <w:jc w:val="center"/>
              <w:rPr>
                <w:color w:val="000000"/>
                <w:szCs w:val="21"/>
              </w:rPr>
            </w:pPr>
            <w:r>
              <w:rPr>
                <w:rFonts w:hint="eastAsia"/>
                <w:color w:val="000000"/>
                <w:szCs w:val="21"/>
              </w:rPr>
              <w:t>山西和顺</w:t>
            </w:r>
          </w:p>
        </w:tc>
        <w:tc>
          <w:tcPr>
            <w:tcW w:w="519" w:type="pct"/>
            <w:vAlign w:val="center"/>
          </w:tcPr>
          <w:p>
            <w:pPr>
              <w:jc w:val="center"/>
              <w:rPr>
                <w:color w:val="000000"/>
                <w:szCs w:val="21"/>
              </w:rPr>
            </w:pPr>
            <w:r>
              <w:rPr>
                <w:rFonts w:hint="eastAsia"/>
                <w:color w:val="000000"/>
                <w:szCs w:val="21"/>
              </w:rPr>
              <w:t>山西和顺</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r>
              <w:rPr>
                <w:rFonts w:hint="eastAsia"/>
                <w:color w:val="000000"/>
                <w:szCs w:val="21"/>
              </w:rPr>
              <w:t>81.31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兖州煤业榆林能化有限公司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甲醇生产及销售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兖煤菏泽能化有限公司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r>
              <w:rPr>
                <w:rFonts w:hint="eastAsia"/>
                <w:color w:val="000000"/>
                <w:szCs w:val="21"/>
              </w:rPr>
              <w:t>98.33</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兖煤万福能源有限公司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90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内蒙古昊盛煤业有限公司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r>
              <w:rPr>
                <w:rFonts w:hint="eastAsia"/>
                <w:color w:val="000000"/>
                <w:szCs w:val="21"/>
              </w:rPr>
              <w:t>59.38</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兖矿能源集团国际贸易有限公司</w:t>
            </w:r>
          </w:p>
        </w:tc>
        <w:tc>
          <w:tcPr>
            <w:tcW w:w="587" w:type="pct"/>
            <w:vAlign w:val="center"/>
          </w:tcPr>
          <w:p>
            <w:pPr>
              <w:jc w:val="center"/>
              <w:rPr>
                <w:color w:val="000000"/>
                <w:szCs w:val="21"/>
              </w:rPr>
            </w:pPr>
            <w:r>
              <w:rPr>
                <w:rFonts w:hint="eastAsia"/>
                <w:color w:val="000000"/>
                <w:szCs w:val="21"/>
              </w:rPr>
              <w:t>山东济南</w:t>
            </w:r>
          </w:p>
        </w:tc>
        <w:tc>
          <w:tcPr>
            <w:tcW w:w="519" w:type="pct"/>
            <w:vAlign w:val="center"/>
          </w:tcPr>
          <w:p>
            <w:pPr>
              <w:jc w:val="center"/>
              <w:rPr>
                <w:color w:val="000000"/>
                <w:szCs w:val="21"/>
              </w:rPr>
            </w:pPr>
            <w:r>
              <w:rPr>
                <w:rFonts w:hint="eastAsia"/>
                <w:color w:val="000000"/>
                <w:szCs w:val="21"/>
              </w:rPr>
              <w:t>山东济南</w:t>
            </w:r>
          </w:p>
        </w:tc>
        <w:tc>
          <w:tcPr>
            <w:tcW w:w="910" w:type="pct"/>
            <w:vAlign w:val="center"/>
          </w:tcPr>
          <w:p>
            <w:pPr>
              <w:rPr>
                <w:color w:val="000000"/>
                <w:szCs w:val="21"/>
              </w:rPr>
            </w:pPr>
            <w:r>
              <w:rPr>
                <w:rFonts w:hint="eastAsia"/>
                <w:color w:val="000000"/>
                <w:szCs w:val="21"/>
              </w:rPr>
              <w:t>煤炭、电解铜贸易</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山东中垠物流贸易有限公司</w:t>
            </w:r>
          </w:p>
        </w:tc>
        <w:tc>
          <w:tcPr>
            <w:tcW w:w="587" w:type="pct"/>
            <w:vAlign w:val="center"/>
          </w:tcPr>
          <w:p>
            <w:pPr>
              <w:jc w:val="center"/>
              <w:rPr>
                <w:color w:val="000000"/>
                <w:szCs w:val="21"/>
              </w:rPr>
            </w:pPr>
            <w:r>
              <w:rPr>
                <w:rFonts w:hint="eastAsia"/>
                <w:color w:val="000000"/>
                <w:szCs w:val="21"/>
              </w:rPr>
              <w:t>山东济南</w:t>
            </w:r>
          </w:p>
        </w:tc>
        <w:tc>
          <w:tcPr>
            <w:tcW w:w="519" w:type="pct"/>
            <w:vAlign w:val="center"/>
          </w:tcPr>
          <w:p>
            <w:pPr>
              <w:jc w:val="center"/>
              <w:rPr>
                <w:color w:val="000000"/>
                <w:szCs w:val="21"/>
              </w:rPr>
            </w:pPr>
            <w:r>
              <w:rPr>
                <w:rFonts w:hint="eastAsia"/>
                <w:color w:val="000000"/>
                <w:szCs w:val="21"/>
              </w:rPr>
              <w:t>山东济南</w:t>
            </w:r>
          </w:p>
        </w:tc>
        <w:tc>
          <w:tcPr>
            <w:tcW w:w="910" w:type="pct"/>
            <w:vAlign w:val="center"/>
          </w:tcPr>
          <w:p>
            <w:pPr>
              <w:rPr>
                <w:color w:val="000000"/>
                <w:szCs w:val="21"/>
              </w:rPr>
            </w:pPr>
            <w:r>
              <w:rPr>
                <w:rFonts w:hint="eastAsia"/>
                <w:color w:val="000000"/>
                <w:szCs w:val="21"/>
              </w:rPr>
              <w:t>煤炭销售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兖矿瑞丰国际贸易有限公司</w:t>
            </w:r>
          </w:p>
        </w:tc>
        <w:tc>
          <w:tcPr>
            <w:tcW w:w="587" w:type="pct"/>
            <w:vAlign w:val="center"/>
          </w:tcPr>
          <w:p>
            <w:pPr>
              <w:jc w:val="center"/>
              <w:rPr>
                <w:color w:val="000000"/>
                <w:szCs w:val="21"/>
              </w:rPr>
            </w:pPr>
            <w:r>
              <w:rPr>
                <w:rFonts w:hint="eastAsia"/>
                <w:color w:val="000000"/>
                <w:szCs w:val="21"/>
              </w:rPr>
              <w:t>山东青岛</w:t>
            </w:r>
          </w:p>
        </w:tc>
        <w:tc>
          <w:tcPr>
            <w:tcW w:w="519" w:type="pct"/>
            <w:vAlign w:val="center"/>
          </w:tcPr>
          <w:p>
            <w:pPr>
              <w:jc w:val="center"/>
              <w:rPr>
                <w:color w:val="000000"/>
                <w:szCs w:val="21"/>
              </w:rPr>
            </w:pPr>
            <w:r>
              <w:rPr>
                <w:rFonts w:hint="eastAsia"/>
                <w:color w:val="000000"/>
                <w:szCs w:val="21"/>
              </w:rPr>
              <w:t>山东青岛</w:t>
            </w:r>
          </w:p>
        </w:tc>
        <w:tc>
          <w:tcPr>
            <w:tcW w:w="910" w:type="pct"/>
            <w:vAlign w:val="center"/>
          </w:tcPr>
          <w:p>
            <w:pPr>
              <w:rPr>
                <w:color w:val="000000"/>
                <w:szCs w:val="21"/>
              </w:rPr>
            </w:pPr>
            <w:r>
              <w:rPr>
                <w:rFonts w:hint="eastAsia"/>
                <w:color w:val="000000"/>
                <w:szCs w:val="21"/>
              </w:rPr>
              <w:t>国际贸易、转口贸易</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兖矿瑞丰（香港）有限公司</w:t>
            </w:r>
          </w:p>
        </w:tc>
        <w:tc>
          <w:tcPr>
            <w:tcW w:w="587" w:type="pct"/>
            <w:vAlign w:val="center"/>
          </w:tcPr>
          <w:p>
            <w:pPr>
              <w:jc w:val="center"/>
              <w:rPr>
                <w:color w:val="000000"/>
                <w:szCs w:val="21"/>
              </w:rPr>
            </w:pPr>
            <w:r>
              <w:rPr>
                <w:rFonts w:hint="eastAsia"/>
                <w:color w:val="000000"/>
                <w:szCs w:val="21"/>
              </w:rPr>
              <w:t>香港</w:t>
            </w:r>
          </w:p>
        </w:tc>
        <w:tc>
          <w:tcPr>
            <w:tcW w:w="519" w:type="pct"/>
            <w:vAlign w:val="center"/>
          </w:tcPr>
          <w:p>
            <w:pPr>
              <w:jc w:val="center"/>
              <w:rPr>
                <w:color w:val="000000"/>
                <w:szCs w:val="21"/>
              </w:rPr>
            </w:pPr>
            <w:r>
              <w:rPr>
                <w:rFonts w:hint="eastAsia"/>
                <w:color w:val="000000"/>
                <w:szCs w:val="21"/>
              </w:rPr>
              <w:t>香港</w:t>
            </w:r>
          </w:p>
        </w:tc>
        <w:tc>
          <w:tcPr>
            <w:tcW w:w="910" w:type="pct"/>
            <w:vAlign w:val="center"/>
          </w:tcPr>
          <w:p>
            <w:pPr>
              <w:rPr>
                <w:color w:val="000000"/>
                <w:szCs w:val="21"/>
              </w:rPr>
            </w:pPr>
            <w:r>
              <w:rPr>
                <w:rFonts w:hint="eastAsia"/>
                <w:color w:val="000000"/>
                <w:szCs w:val="21"/>
              </w:rPr>
              <w:t>国际贸易、转口贸易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兖矿再生资源有限公司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废弃资源综合利用</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端信投资控股（北京）有限公司</w:t>
            </w:r>
          </w:p>
        </w:tc>
        <w:tc>
          <w:tcPr>
            <w:tcW w:w="587" w:type="pct"/>
            <w:vAlign w:val="center"/>
          </w:tcPr>
          <w:p>
            <w:pPr>
              <w:jc w:val="center"/>
              <w:rPr>
                <w:color w:val="000000"/>
                <w:szCs w:val="21"/>
              </w:rPr>
            </w:pPr>
            <w:r>
              <w:rPr>
                <w:rFonts w:hint="eastAsia"/>
                <w:color w:val="000000"/>
                <w:szCs w:val="21"/>
              </w:rPr>
              <w:t>北京</w:t>
            </w:r>
          </w:p>
        </w:tc>
        <w:tc>
          <w:tcPr>
            <w:tcW w:w="519" w:type="pct"/>
            <w:vAlign w:val="center"/>
          </w:tcPr>
          <w:p>
            <w:pPr>
              <w:jc w:val="center"/>
              <w:rPr>
                <w:color w:val="000000"/>
                <w:szCs w:val="21"/>
              </w:rPr>
            </w:pPr>
            <w:r>
              <w:rPr>
                <w:rFonts w:hint="eastAsia"/>
                <w:color w:val="000000"/>
                <w:szCs w:val="21"/>
              </w:rPr>
              <w:t>北京</w:t>
            </w:r>
          </w:p>
        </w:tc>
        <w:tc>
          <w:tcPr>
            <w:tcW w:w="910" w:type="pct"/>
            <w:vAlign w:val="center"/>
          </w:tcPr>
          <w:p>
            <w:pPr>
              <w:rPr>
                <w:color w:val="000000"/>
                <w:szCs w:val="21"/>
              </w:rPr>
            </w:pPr>
            <w:r>
              <w:rPr>
                <w:rFonts w:hint="eastAsia"/>
                <w:color w:val="000000"/>
                <w:szCs w:val="21"/>
              </w:rPr>
              <w:t>投资管理</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天津端信云链永盛投资管理合伙企业（有限合伙）</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财务管理咨询</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13</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端信投资控股（深圳）有限公司</w:t>
            </w:r>
          </w:p>
        </w:tc>
        <w:tc>
          <w:tcPr>
            <w:tcW w:w="587" w:type="pct"/>
            <w:vAlign w:val="center"/>
          </w:tcPr>
          <w:p>
            <w:pPr>
              <w:jc w:val="center"/>
              <w:rPr>
                <w:color w:val="000000"/>
                <w:szCs w:val="21"/>
              </w:rPr>
            </w:pPr>
            <w:r>
              <w:rPr>
                <w:rFonts w:hint="eastAsia"/>
                <w:color w:val="000000"/>
                <w:szCs w:val="21"/>
              </w:rPr>
              <w:t>广东深圳</w:t>
            </w:r>
          </w:p>
        </w:tc>
        <w:tc>
          <w:tcPr>
            <w:tcW w:w="519" w:type="pct"/>
            <w:vAlign w:val="center"/>
          </w:tcPr>
          <w:p>
            <w:pPr>
              <w:jc w:val="center"/>
              <w:rPr>
                <w:color w:val="000000"/>
                <w:szCs w:val="21"/>
              </w:rPr>
            </w:pPr>
            <w:r>
              <w:rPr>
                <w:rFonts w:hint="eastAsia"/>
                <w:color w:val="000000"/>
                <w:szCs w:val="21"/>
              </w:rPr>
              <w:t>广东深圳</w:t>
            </w:r>
          </w:p>
        </w:tc>
        <w:tc>
          <w:tcPr>
            <w:tcW w:w="910" w:type="pct"/>
            <w:vAlign w:val="center"/>
          </w:tcPr>
          <w:p>
            <w:pPr>
              <w:rPr>
                <w:color w:val="000000"/>
                <w:szCs w:val="21"/>
              </w:rPr>
            </w:pPr>
            <w:r>
              <w:rPr>
                <w:rFonts w:hint="eastAsia"/>
                <w:color w:val="000000"/>
                <w:szCs w:val="21"/>
              </w:rPr>
              <w:t>投资管理</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端信商业保理（深圳）有限公司</w:t>
            </w:r>
          </w:p>
        </w:tc>
        <w:tc>
          <w:tcPr>
            <w:tcW w:w="587" w:type="pct"/>
            <w:vAlign w:val="center"/>
          </w:tcPr>
          <w:p>
            <w:pPr>
              <w:jc w:val="center"/>
              <w:rPr>
                <w:color w:val="000000"/>
                <w:szCs w:val="21"/>
              </w:rPr>
            </w:pPr>
            <w:r>
              <w:rPr>
                <w:rFonts w:hint="eastAsia"/>
                <w:color w:val="000000"/>
                <w:szCs w:val="21"/>
              </w:rPr>
              <w:t>广东深圳</w:t>
            </w:r>
          </w:p>
        </w:tc>
        <w:tc>
          <w:tcPr>
            <w:tcW w:w="519" w:type="pct"/>
            <w:vAlign w:val="center"/>
          </w:tcPr>
          <w:p>
            <w:pPr>
              <w:jc w:val="center"/>
              <w:rPr>
                <w:color w:val="000000"/>
                <w:szCs w:val="21"/>
              </w:rPr>
            </w:pPr>
            <w:r>
              <w:rPr>
                <w:rFonts w:hint="eastAsia"/>
                <w:color w:val="000000"/>
                <w:szCs w:val="21"/>
              </w:rPr>
              <w:t>广东深圳</w:t>
            </w:r>
          </w:p>
        </w:tc>
        <w:tc>
          <w:tcPr>
            <w:tcW w:w="910" w:type="pct"/>
            <w:vAlign w:val="center"/>
          </w:tcPr>
          <w:p>
            <w:pPr>
              <w:rPr>
                <w:color w:val="000000"/>
                <w:szCs w:val="21"/>
              </w:rPr>
            </w:pPr>
            <w:r>
              <w:rPr>
                <w:rFonts w:hint="eastAsia"/>
                <w:color w:val="000000"/>
                <w:szCs w:val="21"/>
              </w:rPr>
              <w:t>保理业务、投资兴办实业</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端信供应链（深圳）有限公司</w:t>
            </w:r>
          </w:p>
        </w:tc>
        <w:tc>
          <w:tcPr>
            <w:tcW w:w="587" w:type="pct"/>
            <w:vAlign w:val="center"/>
          </w:tcPr>
          <w:p>
            <w:pPr>
              <w:jc w:val="center"/>
              <w:rPr>
                <w:color w:val="000000"/>
                <w:szCs w:val="21"/>
              </w:rPr>
            </w:pPr>
            <w:r>
              <w:rPr>
                <w:rFonts w:hint="eastAsia"/>
                <w:color w:val="000000"/>
                <w:szCs w:val="21"/>
              </w:rPr>
              <w:t>广东深圳</w:t>
            </w:r>
          </w:p>
        </w:tc>
        <w:tc>
          <w:tcPr>
            <w:tcW w:w="519" w:type="pct"/>
            <w:vAlign w:val="center"/>
          </w:tcPr>
          <w:p>
            <w:pPr>
              <w:jc w:val="center"/>
              <w:rPr>
                <w:color w:val="000000"/>
                <w:szCs w:val="21"/>
              </w:rPr>
            </w:pPr>
            <w:r>
              <w:rPr>
                <w:rFonts w:hint="eastAsia"/>
                <w:color w:val="000000"/>
                <w:szCs w:val="21"/>
              </w:rPr>
              <w:t>广东深圳</w:t>
            </w:r>
          </w:p>
        </w:tc>
        <w:tc>
          <w:tcPr>
            <w:tcW w:w="910" w:type="pct"/>
            <w:vAlign w:val="center"/>
          </w:tcPr>
          <w:p>
            <w:pPr>
              <w:rPr>
                <w:color w:val="000000"/>
                <w:szCs w:val="21"/>
              </w:rPr>
            </w:pPr>
            <w:r>
              <w:rPr>
                <w:rFonts w:hint="eastAsia"/>
                <w:color w:val="000000"/>
                <w:szCs w:val="21"/>
              </w:rPr>
              <w:t>普通货物运输、建筑材料销售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山东端信供应链管理有限公司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普货运输、货运代理</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菏泽端信供应链管理有限公司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普货运输、货运代理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lastRenderedPageBreak/>
              <w:t>达拉特旗端信供应链管理有限公司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普货运输、货运代理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伊金霍洛旗端信供应链管理有限公司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普货运输、货运代理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乌审旗端信供应链管理有限公司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普通货物运输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巨野县端信供应链管理有限公司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普通货物运输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榆林端信供应链管理有限公司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普通货物运输、货运场服务、煤炭销售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62</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山东华聚能源股份有限公司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火力发电及发电余热综合利用</w:t>
            </w:r>
          </w:p>
        </w:tc>
        <w:tc>
          <w:tcPr>
            <w:tcW w:w="390" w:type="pct"/>
            <w:vAlign w:val="center"/>
          </w:tcPr>
          <w:p>
            <w:pPr>
              <w:jc w:val="center"/>
              <w:rPr>
                <w:color w:val="000000"/>
                <w:szCs w:val="21"/>
              </w:rPr>
            </w:pPr>
            <w:r>
              <w:rPr>
                <w:rFonts w:hint="eastAsia"/>
                <w:color w:val="000000"/>
                <w:szCs w:val="21"/>
              </w:rPr>
              <w:t>95.14</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青岛中兖贸易有限公司</w:t>
            </w:r>
          </w:p>
        </w:tc>
        <w:tc>
          <w:tcPr>
            <w:tcW w:w="587" w:type="pct"/>
            <w:vAlign w:val="center"/>
          </w:tcPr>
          <w:p>
            <w:pPr>
              <w:jc w:val="center"/>
              <w:rPr>
                <w:color w:val="000000"/>
                <w:szCs w:val="21"/>
              </w:rPr>
            </w:pPr>
            <w:r>
              <w:rPr>
                <w:rFonts w:hint="eastAsia"/>
                <w:color w:val="000000"/>
                <w:szCs w:val="21"/>
              </w:rPr>
              <w:t>山东青岛</w:t>
            </w:r>
          </w:p>
        </w:tc>
        <w:tc>
          <w:tcPr>
            <w:tcW w:w="519" w:type="pct"/>
            <w:vAlign w:val="center"/>
          </w:tcPr>
          <w:p>
            <w:pPr>
              <w:jc w:val="center"/>
              <w:rPr>
                <w:color w:val="000000"/>
                <w:szCs w:val="21"/>
              </w:rPr>
            </w:pPr>
            <w:r>
              <w:rPr>
                <w:rFonts w:hint="eastAsia"/>
                <w:color w:val="000000"/>
                <w:szCs w:val="21"/>
              </w:rPr>
              <w:t>山东青岛</w:t>
            </w:r>
          </w:p>
        </w:tc>
        <w:tc>
          <w:tcPr>
            <w:tcW w:w="910" w:type="pct"/>
            <w:vAlign w:val="center"/>
          </w:tcPr>
          <w:p>
            <w:pPr>
              <w:rPr>
                <w:color w:val="000000"/>
                <w:szCs w:val="21"/>
              </w:rPr>
            </w:pPr>
            <w:r>
              <w:rPr>
                <w:rFonts w:hint="eastAsia"/>
                <w:color w:val="000000"/>
                <w:szCs w:val="21"/>
              </w:rPr>
              <w:t>保税区内贸易及仓储</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山东兖煤日照港储配煤有限公司</w:t>
            </w:r>
          </w:p>
        </w:tc>
        <w:tc>
          <w:tcPr>
            <w:tcW w:w="587" w:type="pct"/>
            <w:vAlign w:val="center"/>
          </w:tcPr>
          <w:p>
            <w:pPr>
              <w:jc w:val="center"/>
              <w:rPr>
                <w:color w:val="000000"/>
                <w:szCs w:val="21"/>
              </w:rPr>
            </w:pPr>
            <w:r>
              <w:rPr>
                <w:rFonts w:hint="eastAsia"/>
                <w:color w:val="000000"/>
                <w:szCs w:val="21"/>
              </w:rPr>
              <w:t>山东日照</w:t>
            </w:r>
          </w:p>
        </w:tc>
        <w:tc>
          <w:tcPr>
            <w:tcW w:w="519" w:type="pct"/>
            <w:vAlign w:val="center"/>
          </w:tcPr>
          <w:p>
            <w:pPr>
              <w:jc w:val="center"/>
              <w:rPr>
                <w:color w:val="000000"/>
                <w:szCs w:val="21"/>
              </w:rPr>
            </w:pPr>
            <w:r>
              <w:rPr>
                <w:rFonts w:hint="eastAsia"/>
                <w:color w:val="000000"/>
                <w:szCs w:val="21"/>
              </w:rPr>
              <w:t>山东日照</w:t>
            </w:r>
          </w:p>
        </w:tc>
        <w:tc>
          <w:tcPr>
            <w:tcW w:w="910" w:type="pct"/>
            <w:vAlign w:val="center"/>
          </w:tcPr>
          <w:p>
            <w:pPr>
              <w:rPr>
                <w:color w:val="000000"/>
                <w:szCs w:val="21"/>
              </w:rPr>
            </w:pPr>
            <w:r>
              <w:rPr>
                <w:rFonts w:hint="eastAsia"/>
                <w:color w:val="000000"/>
                <w:szCs w:val="21"/>
              </w:rPr>
              <w:t>煤炭批发经营</w:t>
            </w:r>
          </w:p>
        </w:tc>
        <w:tc>
          <w:tcPr>
            <w:tcW w:w="390" w:type="pct"/>
            <w:vAlign w:val="center"/>
          </w:tcPr>
          <w:p>
            <w:pPr>
              <w:jc w:val="center"/>
              <w:rPr>
                <w:color w:val="000000"/>
                <w:szCs w:val="21"/>
              </w:rPr>
            </w:pPr>
            <w:r>
              <w:rPr>
                <w:rFonts w:hint="eastAsia"/>
                <w:color w:val="000000"/>
                <w:szCs w:val="21"/>
              </w:rPr>
              <w:t>71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青岛兖煤东启能源有限公司</w:t>
            </w:r>
          </w:p>
        </w:tc>
        <w:tc>
          <w:tcPr>
            <w:tcW w:w="587" w:type="pct"/>
            <w:vAlign w:val="center"/>
          </w:tcPr>
          <w:p>
            <w:pPr>
              <w:jc w:val="center"/>
              <w:rPr>
                <w:color w:val="000000"/>
                <w:szCs w:val="21"/>
              </w:rPr>
            </w:pPr>
            <w:r>
              <w:rPr>
                <w:rFonts w:hint="eastAsia"/>
                <w:color w:val="000000"/>
                <w:szCs w:val="21"/>
              </w:rPr>
              <w:t>山东青岛</w:t>
            </w:r>
          </w:p>
        </w:tc>
        <w:tc>
          <w:tcPr>
            <w:tcW w:w="519" w:type="pct"/>
            <w:vAlign w:val="center"/>
          </w:tcPr>
          <w:p>
            <w:pPr>
              <w:jc w:val="center"/>
              <w:rPr>
                <w:color w:val="000000"/>
                <w:szCs w:val="21"/>
              </w:rPr>
            </w:pPr>
            <w:r>
              <w:rPr>
                <w:rFonts w:hint="eastAsia"/>
                <w:color w:val="000000"/>
                <w:szCs w:val="21"/>
              </w:rPr>
              <w:t>山东青岛</w:t>
            </w:r>
          </w:p>
        </w:tc>
        <w:tc>
          <w:tcPr>
            <w:tcW w:w="910" w:type="pct"/>
            <w:vAlign w:val="center"/>
          </w:tcPr>
          <w:p>
            <w:pPr>
              <w:rPr>
                <w:color w:val="000000"/>
                <w:szCs w:val="21"/>
              </w:rPr>
            </w:pPr>
            <w:r>
              <w:rPr>
                <w:rFonts w:hint="eastAsia"/>
                <w:color w:val="000000"/>
                <w:szCs w:val="21"/>
              </w:rPr>
              <w:t>国际贸易、转口贸易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兖矿融资租赁有限公司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融资租赁业务</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上海兖矿能源发展有限公司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新兴能源技术研发、物业管理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兖矿商业保理（上海）有限公司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商业保理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中垠（香港）有限公司</w:t>
            </w:r>
          </w:p>
        </w:tc>
        <w:tc>
          <w:tcPr>
            <w:tcW w:w="587" w:type="pct"/>
            <w:vAlign w:val="center"/>
          </w:tcPr>
          <w:p>
            <w:pPr>
              <w:jc w:val="center"/>
              <w:rPr>
                <w:color w:val="000000"/>
                <w:szCs w:val="21"/>
              </w:rPr>
            </w:pPr>
            <w:r>
              <w:rPr>
                <w:rFonts w:hint="eastAsia"/>
                <w:color w:val="000000"/>
                <w:szCs w:val="21"/>
              </w:rPr>
              <w:t>香港</w:t>
            </w:r>
          </w:p>
        </w:tc>
        <w:tc>
          <w:tcPr>
            <w:tcW w:w="519" w:type="pct"/>
            <w:vAlign w:val="center"/>
          </w:tcPr>
          <w:p>
            <w:pPr>
              <w:jc w:val="center"/>
              <w:rPr>
                <w:color w:val="000000"/>
                <w:szCs w:val="21"/>
              </w:rPr>
            </w:pPr>
            <w:r>
              <w:rPr>
                <w:rFonts w:hint="eastAsia"/>
                <w:color w:val="000000"/>
                <w:szCs w:val="21"/>
              </w:rPr>
              <w:t>香港</w:t>
            </w:r>
          </w:p>
        </w:tc>
        <w:tc>
          <w:tcPr>
            <w:tcW w:w="910" w:type="pct"/>
            <w:vAlign w:val="center"/>
          </w:tcPr>
          <w:p>
            <w:pPr>
              <w:rPr>
                <w:color w:val="000000"/>
                <w:szCs w:val="21"/>
              </w:rPr>
            </w:pPr>
            <w:r>
              <w:rPr>
                <w:rFonts w:hint="eastAsia"/>
                <w:color w:val="000000"/>
                <w:szCs w:val="21"/>
              </w:rPr>
              <w:t>融资租赁业务、租赁、贸易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兖矿融资租赁（泰安）有限公司</w:t>
            </w:r>
          </w:p>
        </w:tc>
        <w:tc>
          <w:tcPr>
            <w:tcW w:w="587" w:type="pct"/>
            <w:vAlign w:val="center"/>
          </w:tcPr>
          <w:p>
            <w:pPr>
              <w:jc w:val="center"/>
              <w:rPr>
                <w:color w:val="000000"/>
                <w:szCs w:val="21"/>
              </w:rPr>
            </w:pPr>
            <w:r>
              <w:rPr>
                <w:rFonts w:hint="eastAsia"/>
                <w:color w:val="000000"/>
                <w:szCs w:val="21"/>
              </w:rPr>
              <w:t>山东泰安</w:t>
            </w:r>
          </w:p>
        </w:tc>
        <w:tc>
          <w:tcPr>
            <w:tcW w:w="519" w:type="pct"/>
            <w:vAlign w:val="center"/>
          </w:tcPr>
          <w:p>
            <w:pPr>
              <w:jc w:val="center"/>
              <w:rPr>
                <w:color w:val="000000"/>
                <w:szCs w:val="21"/>
              </w:rPr>
            </w:pPr>
            <w:r>
              <w:rPr>
                <w:rFonts w:hint="eastAsia"/>
                <w:color w:val="000000"/>
                <w:szCs w:val="21"/>
              </w:rPr>
              <w:t>山东泰安</w:t>
            </w:r>
          </w:p>
        </w:tc>
        <w:tc>
          <w:tcPr>
            <w:tcW w:w="910" w:type="pct"/>
            <w:vAlign w:val="center"/>
          </w:tcPr>
          <w:p>
            <w:pPr>
              <w:rPr>
                <w:color w:val="000000"/>
                <w:szCs w:val="21"/>
              </w:rPr>
            </w:pPr>
            <w:r>
              <w:rPr>
                <w:rFonts w:hint="eastAsia"/>
                <w:color w:val="000000"/>
                <w:szCs w:val="21"/>
              </w:rPr>
              <w:t>融资租赁业务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兖矿商业保理（天津）有限公司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商业保理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75.99</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山东中鼎云联科技有限公司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房地产开发</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山东兖煤航运有限公司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货物运输煤炭销售</w:t>
            </w:r>
          </w:p>
        </w:tc>
        <w:tc>
          <w:tcPr>
            <w:tcW w:w="390" w:type="pct"/>
            <w:vAlign w:val="center"/>
          </w:tcPr>
          <w:p>
            <w:pPr>
              <w:jc w:val="center"/>
              <w:rPr>
                <w:color w:val="000000"/>
                <w:szCs w:val="21"/>
              </w:rPr>
            </w:pPr>
            <w:r>
              <w:rPr>
                <w:rFonts w:hint="eastAsia"/>
                <w:color w:val="000000"/>
                <w:szCs w:val="21"/>
              </w:rPr>
              <w:t>92</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兖煤矿业工程有限公司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矿业工程</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兖煤蓝天清洁能源有限公司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洁净型煤生产、销售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兖矿能源（无锡）有限公司</w:t>
            </w:r>
          </w:p>
        </w:tc>
        <w:tc>
          <w:tcPr>
            <w:tcW w:w="587" w:type="pct"/>
            <w:vAlign w:val="center"/>
          </w:tcPr>
          <w:p>
            <w:pPr>
              <w:jc w:val="center"/>
              <w:rPr>
                <w:color w:val="000000"/>
                <w:szCs w:val="21"/>
              </w:rPr>
            </w:pPr>
            <w:r>
              <w:rPr>
                <w:rFonts w:hint="eastAsia"/>
                <w:color w:val="000000"/>
                <w:szCs w:val="21"/>
              </w:rPr>
              <w:t>江苏无锡</w:t>
            </w:r>
          </w:p>
        </w:tc>
        <w:tc>
          <w:tcPr>
            <w:tcW w:w="519" w:type="pct"/>
            <w:vAlign w:val="center"/>
          </w:tcPr>
          <w:p>
            <w:pPr>
              <w:jc w:val="center"/>
              <w:rPr>
                <w:color w:val="000000"/>
                <w:szCs w:val="21"/>
              </w:rPr>
            </w:pPr>
            <w:r>
              <w:rPr>
                <w:rFonts w:hint="eastAsia"/>
                <w:color w:val="000000"/>
                <w:szCs w:val="21"/>
              </w:rPr>
              <w:t>江苏无锡</w:t>
            </w:r>
          </w:p>
        </w:tc>
        <w:tc>
          <w:tcPr>
            <w:tcW w:w="910" w:type="pct"/>
            <w:vAlign w:val="center"/>
          </w:tcPr>
          <w:p>
            <w:pPr>
              <w:rPr>
                <w:color w:val="000000"/>
                <w:szCs w:val="21"/>
              </w:rPr>
            </w:pPr>
            <w:r>
              <w:rPr>
                <w:rFonts w:hint="eastAsia"/>
                <w:color w:val="000000"/>
                <w:szCs w:val="21"/>
              </w:rPr>
              <w:t>煤炭批发、房地产开发经营等</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上海巨匠资产管理有限公司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资产投资管理</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青岛端信资产管理有限公司</w:t>
            </w:r>
          </w:p>
        </w:tc>
        <w:tc>
          <w:tcPr>
            <w:tcW w:w="587" w:type="pct"/>
            <w:vAlign w:val="center"/>
          </w:tcPr>
          <w:p>
            <w:pPr>
              <w:jc w:val="center"/>
              <w:rPr>
                <w:color w:val="000000"/>
                <w:szCs w:val="21"/>
              </w:rPr>
            </w:pPr>
            <w:r>
              <w:rPr>
                <w:rFonts w:hint="eastAsia"/>
                <w:color w:val="000000"/>
                <w:szCs w:val="21"/>
              </w:rPr>
              <w:t>山东青岛</w:t>
            </w:r>
          </w:p>
        </w:tc>
        <w:tc>
          <w:tcPr>
            <w:tcW w:w="519" w:type="pct"/>
            <w:vAlign w:val="center"/>
          </w:tcPr>
          <w:p>
            <w:pPr>
              <w:jc w:val="center"/>
              <w:rPr>
                <w:color w:val="000000"/>
                <w:szCs w:val="21"/>
              </w:rPr>
            </w:pPr>
            <w:r>
              <w:rPr>
                <w:rFonts w:hint="eastAsia"/>
                <w:color w:val="000000"/>
                <w:szCs w:val="21"/>
              </w:rPr>
              <w:t>山东青岛</w:t>
            </w:r>
          </w:p>
        </w:tc>
        <w:tc>
          <w:tcPr>
            <w:tcW w:w="910" w:type="pct"/>
            <w:vAlign w:val="center"/>
          </w:tcPr>
          <w:p>
            <w:pPr>
              <w:rPr>
                <w:color w:val="000000"/>
                <w:szCs w:val="21"/>
              </w:rPr>
            </w:pPr>
            <w:r>
              <w:rPr>
                <w:rFonts w:hint="eastAsia"/>
                <w:color w:val="000000"/>
                <w:szCs w:val="21"/>
              </w:rPr>
              <w:t>受托管理股权投资基金</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青岛东方盛隆实业有限公司</w:t>
            </w:r>
          </w:p>
        </w:tc>
        <w:tc>
          <w:tcPr>
            <w:tcW w:w="587" w:type="pct"/>
            <w:vAlign w:val="center"/>
          </w:tcPr>
          <w:p>
            <w:pPr>
              <w:jc w:val="center"/>
              <w:rPr>
                <w:color w:val="000000"/>
                <w:szCs w:val="21"/>
              </w:rPr>
            </w:pPr>
            <w:r>
              <w:rPr>
                <w:rFonts w:hint="eastAsia"/>
                <w:color w:val="000000"/>
                <w:szCs w:val="21"/>
              </w:rPr>
              <w:t>山东青岛</w:t>
            </w:r>
          </w:p>
        </w:tc>
        <w:tc>
          <w:tcPr>
            <w:tcW w:w="519" w:type="pct"/>
            <w:vAlign w:val="center"/>
          </w:tcPr>
          <w:p>
            <w:pPr>
              <w:jc w:val="center"/>
              <w:rPr>
                <w:color w:val="000000"/>
                <w:szCs w:val="21"/>
              </w:rPr>
            </w:pPr>
            <w:r>
              <w:rPr>
                <w:rFonts w:hint="eastAsia"/>
                <w:color w:val="000000"/>
                <w:szCs w:val="21"/>
              </w:rPr>
              <w:t>山东青岛</w:t>
            </w:r>
          </w:p>
        </w:tc>
        <w:tc>
          <w:tcPr>
            <w:tcW w:w="910" w:type="pct"/>
            <w:vAlign w:val="center"/>
          </w:tcPr>
          <w:p>
            <w:pPr>
              <w:rPr>
                <w:color w:val="000000"/>
                <w:szCs w:val="21"/>
              </w:rPr>
            </w:pPr>
            <w:r>
              <w:rPr>
                <w:rFonts w:hint="eastAsia"/>
                <w:color w:val="000000"/>
                <w:szCs w:val="21"/>
              </w:rPr>
              <w:t>煤炭批发经营，房屋租赁</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兖矿智慧生态有限责任公司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环境污染治理、生态修复</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内蒙古矿业（集团）有限责任公司</w:t>
            </w:r>
          </w:p>
        </w:tc>
        <w:tc>
          <w:tcPr>
            <w:tcW w:w="587" w:type="pct"/>
            <w:vAlign w:val="center"/>
          </w:tcPr>
          <w:p>
            <w:pPr>
              <w:jc w:val="center"/>
              <w:rPr>
                <w:color w:val="000000"/>
                <w:szCs w:val="21"/>
              </w:rPr>
            </w:pPr>
            <w:r>
              <w:rPr>
                <w:rFonts w:hint="eastAsia"/>
                <w:color w:val="000000"/>
                <w:szCs w:val="21"/>
              </w:rPr>
              <w:t>呼和浩特</w:t>
            </w:r>
          </w:p>
        </w:tc>
        <w:tc>
          <w:tcPr>
            <w:tcW w:w="519" w:type="pct"/>
            <w:vAlign w:val="center"/>
          </w:tcPr>
          <w:p>
            <w:pPr>
              <w:jc w:val="center"/>
              <w:rPr>
                <w:color w:val="000000"/>
                <w:szCs w:val="21"/>
              </w:rPr>
            </w:pPr>
            <w:r>
              <w:rPr>
                <w:rFonts w:hint="eastAsia"/>
                <w:color w:val="000000"/>
                <w:szCs w:val="21"/>
              </w:rPr>
              <w:t>呼和浩特</w:t>
            </w:r>
          </w:p>
        </w:tc>
        <w:tc>
          <w:tcPr>
            <w:tcW w:w="910" w:type="pct"/>
            <w:vAlign w:val="center"/>
          </w:tcPr>
          <w:p>
            <w:pPr>
              <w:rPr>
                <w:color w:val="000000"/>
                <w:szCs w:val="21"/>
              </w:rPr>
            </w:pPr>
            <w:r>
              <w:rPr>
                <w:rFonts w:hint="eastAsia"/>
                <w:color w:val="000000"/>
                <w:szCs w:val="21"/>
              </w:rPr>
              <w:t>控股公司</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lastRenderedPageBreak/>
              <w:t>乌兰察布市宏大实业有限公司</w:t>
            </w:r>
          </w:p>
        </w:tc>
        <w:tc>
          <w:tcPr>
            <w:tcW w:w="587" w:type="pct"/>
            <w:vAlign w:val="center"/>
          </w:tcPr>
          <w:p>
            <w:pPr>
              <w:jc w:val="center"/>
              <w:rPr>
                <w:color w:val="000000"/>
                <w:szCs w:val="21"/>
              </w:rPr>
            </w:pPr>
            <w:r>
              <w:rPr>
                <w:rFonts w:hint="eastAsia"/>
                <w:color w:val="000000"/>
                <w:szCs w:val="21"/>
              </w:rPr>
              <w:t>乌兰察布</w:t>
            </w:r>
          </w:p>
        </w:tc>
        <w:tc>
          <w:tcPr>
            <w:tcW w:w="519" w:type="pct"/>
            <w:vAlign w:val="center"/>
          </w:tcPr>
          <w:p>
            <w:pPr>
              <w:jc w:val="center"/>
              <w:rPr>
                <w:color w:val="000000"/>
                <w:szCs w:val="21"/>
              </w:rPr>
            </w:pPr>
            <w:r>
              <w:rPr>
                <w:rFonts w:hint="eastAsia"/>
                <w:color w:val="000000"/>
                <w:szCs w:val="21"/>
              </w:rPr>
              <w:t>乌兰察布</w:t>
            </w:r>
          </w:p>
        </w:tc>
        <w:tc>
          <w:tcPr>
            <w:tcW w:w="910" w:type="pct"/>
            <w:vAlign w:val="center"/>
          </w:tcPr>
          <w:p>
            <w:pPr>
              <w:rPr>
                <w:color w:val="000000"/>
                <w:szCs w:val="21"/>
              </w:rPr>
            </w:pPr>
            <w:r>
              <w:rPr>
                <w:rFonts w:hint="eastAsia"/>
                <w:color w:val="000000"/>
                <w:szCs w:val="21"/>
              </w:rPr>
              <w:t>运营电力</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鄂尔多斯市锋威光电有限公司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太阳能、风能发电项目建设及生产运营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内蒙古矿业资源投资控股有限公司</w:t>
            </w:r>
          </w:p>
        </w:tc>
        <w:tc>
          <w:tcPr>
            <w:tcW w:w="587" w:type="pct"/>
            <w:vAlign w:val="center"/>
          </w:tcPr>
          <w:p>
            <w:pPr>
              <w:jc w:val="center"/>
              <w:rPr>
                <w:color w:val="000000"/>
                <w:szCs w:val="21"/>
              </w:rPr>
            </w:pPr>
            <w:r>
              <w:rPr>
                <w:rFonts w:hint="eastAsia"/>
                <w:color w:val="000000"/>
                <w:szCs w:val="21"/>
              </w:rPr>
              <w:t>呼和浩特</w:t>
            </w:r>
          </w:p>
        </w:tc>
        <w:tc>
          <w:tcPr>
            <w:tcW w:w="519" w:type="pct"/>
            <w:vAlign w:val="center"/>
          </w:tcPr>
          <w:p>
            <w:pPr>
              <w:jc w:val="center"/>
              <w:rPr>
                <w:color w:val="000000"/>
                <w:szCs w:val="21"/>
              </w:rPr>
            </w:pPr>
            <w:r>
              <w:rPr>
                <w:rFonts w:hint="eastAsia"/>
                <w:color w:val="000000"/>
                <w:szCs w:val="21"/>
              </w:rPr>
              <w:t>呼和浩特</w:t>
            </w:r>
          </w:p>
        </w:tc>
        <w:tc>
          <w:tcPr>
            <w:tcW w:w="910" w:type="pct"/>
            <w:vAlign w:val="center"/>
          </w:tcPr>
          <w:p>
            <w:pPr>
              <w:rPr>
                <w:color w:val="000000"/>
                <w:szCs w:val="21"/>
              </w:rPr>
            </w:pPr>
            <w:r>
              <w:rPr>
                <w:rFonts w:hint="eastAsia"/>
                <w:color w:val="000000"/>
                <w:szCs w:val="21"/>
              </w:rPr>
              <w:t>投资与资产管理</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鄂尔多斯市绿能光电有限公司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光能、电能设备材料销售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90.29</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鄂尔多斯文化产业园文化教育有限公司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教育软件研发、活动策划</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63.3</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内蒙古金控融资租赁有限公司</w:t>
            </w:r>
          </w:p>
        </w:tc>
        <w:tc>
          <w:tcPr>
            <w:tcW w:w="587" w:type="pct"/>
            <w:vAlign w:val="center"/>
          </w:tcPr>
          <w:p>
            <w:pPr>
              <w:jc w:val="center"/>
              <w:rPr>
                <w:color w:val="000000"/>
                <w:szCs w:val="21"/>
              </w:rPr>
            </w:pPr>
            <w:r>
              <w:rPr>
                <w:rFonts w:hint="eastAsia"/>
                <w:color w:val="000000"/>
                <w:szCs w:val="21"/>
              </w:rPr>
              <w:t>呼伦贝尔</w:t>
            </w:r>
          </w:p>
        </w:tc>
        <w:tc>
          <w:tcPr>
            <w:tcW w:w="519" w:type="pct"/>
            <w:vAlign w:val="center"/>
          </w:tcPr>
          <w:p>
            <w:pPr>
              <w:jc w:val="center"/>
              <w:rPr>
                <w:color w:val="000000"/>
                <w:szCs w:val="21"/>
              </w:rPr>
            </w:pPr>
            <w:r>
              <w:rPr>
                <w:rFonts w:hint="eastAsia"/>
                <w:color w:val="000000"/>
                <w:szCs w:val="21"/>
              </w:rPr>
              <w:t>呼伦贝尔</w:t>
            </w:r>
          </w:p>
        </w:tc>
        <w:tc>
          <w:tcPr>
            <w:tcW w:w="910" w:type="pct"/>
            <w:vAlign w:val="center"/>
          </w:tcPr>
          <w:p>
            <w:pPr>
              <w:rPr>
                <w:color w:val="000000"/>
                <w:szCs w:val="21"/>
              </w:rPr>
            </w:pPr>
            <w:r>
              <w:rPr>
                <w:rFonts w:hint="eastAsia"/>
                <w:color w:val="000000"/>
                <w:szCs w:val="21"/>
              </w:rPr>
              <w:t>租赁业务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55</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内蒙古伊泰嘎鲁图矿业有限公司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煤炭开采和洗选业</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52.77</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鄂尔多斯市营盘壕煤炭有限公司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71.7</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内蒙古博珢泰煤炭有限公司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煤炭开采和洗选业</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陕西未来能源化工有限公司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化工产品、油品的研发、煤炭开采</w:t>
            </w:r>
          </w:p>
        </w:tc>
        <w:tc>
          <w:tcPr>
            <w:tcW w:w="390" w:type="pct"/>
            <w:vAlign w:val="center"/>
          </w:tcPr>
          <w:p>
            <w:pPr>
              <w:jc w:val="center"/>
              <w:rPr>
                <w:color w:val="000000"/>
                <w:szCs w:val="21"/>
              </w:rPr>
            </w:pPr>
            <w:r>
              <w:rPr>
                <w:rFonts w:hint="eastAsia"/>
                <w:color w:val="000000"/>
                <w:szCs w:val="21"/>
              </w:rPr>
              <w:t>73.97</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陕西未来清洁油品与化学品销售有限公司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石油制品、化工产品、煤炭及制品销售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陕西未来清洁化学品有限公司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石油制品、化工产品、煤炭及制品销售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兖矿榆林精细化工有限公司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费托合成催化剂等生产及销售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兖矿鲁南化工有限公司</w:t>
            </w:r>
          </w:p>
        </w:tc>
        <w:tc>
          <w:tcPr>
            <w:tcW w:w="587" w:type="pct"/>
            <w:vAlign w:val="center"/>
          </w:tcPr>
          <w:p>
            <w:pPr>
              <w:jc w:val="center"/>
              <w:rPr>
                <w:color w:val="000000"/>
                <w:szCs w:val="21"/>
              </w:rPr>
            </w:pPr>
            <w:r>
              <w:rPr>
                <w:rFonts w:hint="eastAsia"/>
                <w:color w:val="000000"/>
                <w:szCs w:val="21"/>
              </w:rPr>
              <w:t>山东滕州</w:t>
            </w:r>
          </w:p>
        </w:tc>
        <w:tc>
          <w:tcPr>
            <w:tcW w:w="519" w:type="pct"/>
            <w:vAlign w:val="center"/>
          </w:tcPr>
          <w:p>
            <w:pPr>
              <w:jc w:val="center"/>
              <w:rPr>
                <w:color w:val="000000"/>
                <w:szCs w:val="21"/>
              </w:rPr>
            </w:pPr>
            <w:r>
              <w:rPr>
                <w:rFonts w:hint="eastAsia"/>
                <w:color w:val="000000"/>
                <w:szCs w:val="21"/>
              </w:rPr>
              <w:t>山东滕州</w:t>
            </w:r>
          </w:p>
        </w:tc>
        <w:tc>
          <w:tcPr>
            <w:tcW w:w="910" w:type="pct"/>
            <w:vAlign w:val="center"/>
          </w:tcPr>
          <w:p>
            <w:pPr>
              <w:rPr>
                <w:color w:val="000000"/>
                <w:szCs w:val="21"/>
              </w:rPr>
            </w:pPr>
            <w:r>
              <w:rPr>
                <w:rFonts w:hint="eastAsia"/>
                <w:color w:val="000000"/>
                <w:szCs w:val="21"/>
              </w:rPr>
              <w:t>化工产品生产、销售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兖矿济宁化工装备有限公司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化工产品生产、销售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兖矿煤化供销有限公司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化工产品销售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山东兖矿济三电力有限公司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火力发电及发电余热综合利用</w:t>
            </w:r>
          </w:p>
        </w:tc>
        <w:tc>
          <w:tcPr>
            <w:tcW w:w="390" w:type="pct"/>
            <w:vAlign w:val="center"/>
          </w:tcPr>
          <w:p>
            <w:pPr>
              <w:jc w:val="center"/>
              <w:rPr>
                <w:color w:val="000000"/>
                <w:szCs w:val="21"/>
              </w:rPr>
            </w:pPr>
            <w:r>
              <w:rPr>
                <w:rFonts w:hint="eastAsia"/>
                <w:color w:val="000000"/>
                <w:szCs w:val="21"/>
              </w:rPr>
              <w:t>99</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兖矿物流科技有限公司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公共铁路运输；铁路机车车辆维修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兖矿铁路物流(榆林)有限公司</w:t>
            </w:r>
          </w:p>
        </w:tc>
        <w:tc>
          <w:tcPr>
            <w:tcW w:w="587" w:type="pct"/>
            <w:vAlign w:val="center"/>
          </w:tcPr>
          <w:p>
            <w:pPr>
              <w:jc w:val="center"/>
              <w:rPr>
                <w:color w:val="000000"/>
                <w:szCs w:val="21"/>
              </w:rPr>
            </w:pPr>
            <w:r>
              <w:rPr>
                <w:rFonts w:hint="eastAsia"/>
                <w:color w:val="000000"/>
                <w:szCs w:val="21"/>
              </w:rPr>
              <w:t>陕西榆林</w:t>
            </w:r>
          </w:p>
        </w:tc>
        <w:tc>
          <w:tcPr>
            <w:tcW w:w="519" w:type="pct"/>
            <w:vAlign w:val="center"/>
          </w:tcPr>
          <w:p>
            <w:pPr>
              <w:jc w:val="center"/>
              <w:rPr>
                <w:color w:val="000000"/>
                <w:szCs w:val="21"/>
              </w:rPr>
            </w:pPr>
            <w:r>
              <w:rPr>
                <w:rFonts w:hint="eastAsia"/>
                <w:color w:val="000000"/>
                <w:szCs w:val="21"/>
              </w:rPr>
              <w:t>陕西榆林</w:t>
            </w:r>
          </w:p>
        </w:tc>
        <w:tc>
          <w:tcPr>
            <w:tcW w:w="910" w:type="pct"/>
            <w:vAlign w:val="center"/>
          </w:tcPr>
          <w:p>
            <w:pPr>
              <w:rPr>
                <w:color w:val="000000"/>
                <w:szCs w:val="21"/>
              </w:rPr>
            </w:pPr>
            <w:r>
              <w:rPr>
                <w:rFonts w:hint="eastAsia"/>
                <w:color w:val="000000"/>
                <w:szCs w:val="21"/>
              </w:rPr>
              <w:t>公共铁路运输、铁路机车车辆维修；煤炭及制品销售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62</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内蒙古蒙通铁路有限公司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煤炭加工、销售运输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lastRenderedPageBreak/>
              <w:t>内蒙古蒙达铁路有限公司</w:t>
            </w:r>
          </w:p>
        </w:tc>
        <w:tc>
          <w:tcPr>
            <w:tcW w:w="587" w:type="pct"/>
            <w:vAlign w:val="center"/>
          </w:tcPr>
          <w:p>
            <w:pPr>
              <w:jc w:val="center"/>
              <w:rPr>
                <w:color w:val="000000"/>
                <w:szCs w:val="21"/>
              </w:rPr>
            </w:pPr>
            <w:r>
              <w:rPr>
                <w:rFonts w:hint="eastAsia"/>
                <w:color w:val="000000"/>
                <w:szCs w:val="21"/>
              </w:rPr>
              <w:t>鄂尔多斯</w:t>
            </w:r>
          </w:p>
        </w:tc>
        <w:tc>
          <w:tcPr>
            <w:tcW w:w="519" w:type="pct"/>
            <w:vAlign w:val="center"/>
          </w:tcPr>
          <w:p>
            <w:pPr>
              <w:jc w:val="center"/>
              <w:rPr>
                <w:color w:val="000000"/>
                <w:szCs w:val="21"/>
              </w:rPr>
            </w:pPr>
            <w:r>
              <w:rPr>
                <w:rFonts w:hint="eastAsia"/>
                <w:color w:val="000000"/>
                <w:szCs w:val="21"/>
              </w:rPr>
              <w:t>鄂尔多斯</w:t>
            </w:r>
          </w:p>
        </w:tc>
        <w:tc>
          <w:tcPr>
            <w:tcW w:w="910" w:type="pct"/>
            <w:vAlign w:val="center"/>
          </w:tcPr>
          <w:p>
            <w:pPr>
              <w:rPr>
                <w:color w:val="000000"/>
                <w:szCs w:val="21"/>
              </w:rPr>
            </w:pPr>
            <w:r>
              <w:rPr>
                <w:rFonts w:hint="eastAsia"/>
                <w:color w:val="000000"/>
                <w:szCs w:val="21"/>
              </w:rPr>
              <w:t>煤炭加工、销售运输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67</w:t>
            </w: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山东能源大厦上海有限公司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酒店管理</w:t>
            </w:r>
          </w:p>
        </w:tc>
        <w:tc>
          <w:tcPr>
            <w:tcW w:w="390" w:type="pct"/>
            <w:vAlign w:val="center"/>
          </w:tcPr>
          <w:p>
            <w:pPr>
              <w:jc w:val="center"/>
              <w:rPr>
                <w:color w:val="000000"/>
                <w:szCs w:val="21"/>
              </w:rPr>
            </w:pPr>
            <w:r>
              <w:rPr>
                <w:rFonts w:hint="eastAsia"/>
                <w:color w:val="000000"/>
                <w:szCs w:val="21"/>
              </w:rPr>
              <w:t>75</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上海洲海工贸有限公司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化工原料及产品销售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山东能源集团鲁西矿业有限公司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山东李楼煤业有限公司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肥城矿业集团梁宝寺能源有限责任公司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85</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山东新巨龙能源有限责任公司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新矿巨野选煤有限公司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煤炭产品洗选加工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临沂矿业集团菏泽煤电有限公司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83.59</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肥城矿业集团单县能源有限责任公司</w:t>
            </w:r>
          </w:p>
        </w:tc>
        <w:tc>
          <w:tcPr>
            <w:tcW w:w="587" w:type="pct"/>
            <w:vAlign w:val="center"/>
          </w:tcPr>
          <w:p>
            <w:pPr>
              <w:jc w:val="center"/>
              <w:rPr>
                <w:color w:val="000000"/>
                <w:szCs w:val="21"/>
              </w:rPr>
            </w:pPr>
            <w:r>
              <w:rPr>
                <w:rFonts w:hint="eastAsia"/>
                <w:color w:val="000000"/>
                <w:szCs w:val="21"/>
              </w:rPr>
              <w:t>山东菏泽</w:t>
            </w:r>
          </w:p>
        </w:tc>
        <w:tc>
          <w:tcPr>
            <w:tcW w:w="519" w:type="pct"/>
            <w:vAlign w:val="center"/>
          </w:tcPr>
          <w:p>
            <w:pPr>
              <w:jc w:val="center"/>
              <w:rPr>
                <w:color w:val="000000"/>
                <w:szCs w:val="21"/>
              </w:rPr>
            </w:pPr>
            <w:r>
              <w:rPr>
                <w:rFonts w:hint="eastAsia"/>
                <w:color w:val="000000"/>
                <w:szCs w:val="21"/>
              </w:rPr>
              <w:t>山东菏泽</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山东唐口煤业有限公司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卡松科技股份有限公司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化学原料和化学制品制造</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山东淄矿铁路运输有限公司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物流贸易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山东盟鲁采矿工程有限公司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建筑安装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龙口矿业集团工程建设有限公司</w:t>
            </w:r>
          </w:p>
        </w:tc>
        <w:tc>
          <w:tcPr>
            <w:tcW w:w="587" w:type="pct"/>
            <w:vAlign w:val="center"/>
          </w:tcPr>
          <w:p>
            <w:pPr>
              <w:jc w:val="center"/>
              <w:rPr>
                <w:color w:val="000000"/>
                <w:szCs w:val="21"/>
              </w:rPr>
            </w:pPr>
            <w:r>
              <w:rPr>
                <w:rFonts w:hint="eastAsia"/>
                <w:color w:val="000000"/>
                <w:szCs w:val="21"/>
              </w:rPr>
              <w:t>山东烟台</w:t>
            </w:r>
          </w:p>
        </w:tc>
        <w:tc>
          <w:tcPr>
            <w:tcW w:w="519" w:type="pct"/>
            <w:vAlign w:val="center"/>
          </w:tcPr>
          <w:p>
            <w:pPr>
              <w:jc w:val="center"/>
              <w:rPr>
                <w:color w:val="000000"/>
                <w:szCs w:val="21"/>
              </w:rPr>
            </w:pPr>
            <w:r>
              <w:rPr>
                <w:rFonts w:hint="eastAsia"/>
                <w:color w:val="000000"/>
                <w:szCs w:val="21"/>
              </w:rPr>
              <w:t>山东烟台</w:t>
            </w:r>
          </w:p>
        </w:tc>
        <w:tc>
          <w:tcPr>
            <w:tcW w:w="910" w:type="pct"/>
            <w:vAlign w:val="center"/>
          </w:tcPr>
          <w:p>
            <w:pPr>
              <w:rPr>
                <w:color w:val="000000"/>
                <w:szCs w:val="21"/>
              </w:rPr>
            </w:pPr>
            <w:r>
              <w:rPr>
                <w:rFonts w:hint="eastAsia"/>
                <w:color w:val="000000"/>
                <w:szCs w:val="21"/>
              </w:rPr>
              <w:t>工程建设</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兖矿新疆能化有限公司</w:t>
            </w:r>
          </w:p>
        </w:tc>
        <w:tc>
          <w:tcPr>
            <w:tcW w:w="587" w:type="pct"/>
            <w:vAlign w:val="center"/>
          </w:tcPr>
          <w:p>
            <w:pPr>
              <w:jc w:val="center"/>
              <w:rPr>
                <w:color w:val="000000"/>
                <w:szCs w:val="21"/>
              </w:rPr>
            </w:pPr>
            <w:r>
              <w:rPr>
                <w:rFonts w:hint="eastAsia"/>
                <w:color w:val="000000"/>
                <w:szCs w:val="21"/>
              </w:rPr>
              <w:t>新疆乌鲁木齐</w:t>
            </w:r>
          </w:p>
        </w:tc>
        <w:tc>
          <w:tcPr>
            <w:tcW w:w="519" w:type="pct"/>
            <w:vAlign w:val="center"/>
          </w:tcPr>
          <w:p>
            <w:pPr>
              <w:jc w:val="center"/>
              <w:rPr>
                <w:color w:val="000000"/>
                <w:szCs w:val="21"/>
              </w:rPr>
            </w:pPr>
            <w:r>
              <w:rPr>
                <w:rFonts w:hint="eastAsia"/>
                <w:color w:val="000000"/>
                <w:szCs w:val="21"/>
              </w:rPr>
              <w:t>新疆乌鲁木齐</w:t>
            </w:r>
          </w:p>
        </w:tc>
        <w:tc>
          <w:tcPr>
            <w:tcW w:w="910" w:type="pct"/>
            <w:vAlign w:val="center"/>
          </w:tcPr>
          <w:p>
            <w:pPr>
              <w:rPr>
                <w:color w:val="000000"/>
                <w:szCs w:val="21"/>
              </w:rPr>
            </w:pPr>
            <w:r>
              <w:rPr>
                <w:rFonts w:hint="eastAsia"/>
                <w:color w:val="000000"/>
                <w:szCs w:val="21"/>
              </w:rPr>
              <w:t>项目投资、煤炭开采洗选等</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新疆兖矿其能煤业有限公司</w:t>
            </w:r>
          </w:p>
        </w:tc>
        <w:tc>
          <w:tcPr>
            <w:tcW w:w="587" w:type="pct"/>
            <w:vAlign w:val="center"/>
          </w:tcPr>
          <w:p>
            <w:pPr>
              <w:jc w:val="center"/>
              <w:rPr>
                <w:color w:val="000000"/>
                <w:szCs w:val="21"/>
              </w:rPr>
            </w:pPr>
            <w:r>
              <w:rPr>
                <w:rFonts w:hint="eastAsia"/>
                <w:color w:val="000000"/>
                <w:szCs w:val="21"/>
              </w:rPr>
              <w:t>新疆昌吉</w:t>
            </w:r>
          </w:p>
        </w:tc>
        <w:tc>
          <w:tcPr>
            <w:tcW w:w="519" w:type="pct"/>
            <w:vAlign w:val="center"/>
          </w:tcPr>
          <w:p>
            <w:pPr>
              <w:jc w:val="center"/>
              <w:rPr>
                <w:color w:val="000000"/>
                <w:szCs w:val="21"/>
              </w:rPr>
            </w:pPr>
            <w:r>
              <w:rPr>
                <w:rFonts w:hint="eastAsia"/>
                <w:color w:val="000000"/>
                <w:szCs w:val="21"/>
              </w:rPr>
              <w:t>新疆昌吉</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76</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兖矿新疆矿业有限公司</w:t>
            </w:r>
          </w:p>
        </w:tc>
        <w:tc>
          <w:tcPr>
            <w:tcW w:w="587" w:type="pct"/>
            <w:vAlign w:val="center"/>
          </w:tcPr>
          <w:p>
            <w:pPr>
              <w:jc w:val="center"/>
              <w:rPr>
                <w:color w:val="000000"/>
                <w:szCs w:val="21"/>
              </w:rPr>
            </w:pPr>
            <w:r>
              <w:rPr>
                <w:rFonts w:hint="eastAsia"/>
                <w:color w:val="000000"/>
                <w:szCs w:val="21"/>
              </w:rPr>
              <w:t>新疆昌吉</w:t>
            </w:r>
          </w:p>
        </w:tc>
        <w:tc>
          <w:tcPr>
            <w:tcW w:w="519" w:type="pct"/>
            <w:vAlign w:val="center"/>
          </w:tcPr>
          <w:p>
            <w:pPr>
              <w:jc w:val="center"/>
              <w:rPr>
                <w:color w:val="000000"/>
                <w:szCs w:val="21"/>
              </w:rPr>
            </w:pPr>
            <w:r>
              <w:rPr>
                <w:rFonts w:hint="eastAsia"/>
                <w:color w:val="000000"/>
                <w:szCs w:val="21"/>
              </w:rPr>
              <w:t>新疆昌吉</w:t>
            </w:r>
          </w:p>
        </w:tc>
        <w:tc>
          <w:tcPr>
            <w:tcW w:w="910" w:type="pct"/>
            <w:vAlign w:val="center"/>
          </w:tcPr>
          <w:p>
            <w:pPr>
              <w:rPr>
                <w:color w:val="000000"/>
                <w:szCs w:val="21"/>
              </w:rPr>
            </w:pPr>
            <w:r>
              <w:rPr>
                <w:rFonts w:hint="eastAsia"/>
                <w:color w:val="000000"/>
                <w:szCs w:val="21"/>
              </w:rPr>
              <w:t>煤炭开采及销售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兖矿新疆煤化工有限公司</w:t>
            </w:r>
          </w:p>
        </w:tc>
        <w:tc>
          <w:tcPr>
            <w:tcW w:w="587" w:type="pct"/>
            <w:vAlign w:val="center"/>
          </w:tcPr>
          <w:p>
            <w:pPr>
              <w:jc w:val="center"/>
              <w:rPr>
                <w:color w:val="000000"/>
                <w:szCs w:val="21"/>
              </w:rPr>
            </w:pPr>
            <w:r>
              <w:rPr>
                <w:rFonts w:hint="eastAsia"/>
                <w:color w:val="000000"/>
                <w:szCs w:val="21"/>
              </w:rPr>
              <w:t>新疆乌鲁木齐</w:t>
            </w:r>
          </w:p>
        </w:tc>
        <w:tc>
          <w:tcPr>
            <w:tcW w:w="519" w:type="pct"/>
            <w:vAlign w:val="center"/>
          </w:tcPr>
          <w:p>
            <w:pPr>
              <w:jc w:val="center"/>
              <w:rPr>
                <w:color w:val="000000"/>
                <w:szCs w:val="21"/>
              </w:rPr>
            </w:pPr>
            <w:r>
              <w:rPr>
                <w:rFonts w:hint="eastAsia"/>
                <w:color w:val="000000"/>
                <w:szCs w:val="21"/>
              </w:rPr>
              <w:t>新疆乌鲁木齐</w:t>
            </w:r>
          </w:p>
        </w:tc>
        <w:tc>
          <w:tcPr>
            <w:tcW w:w="910" w:type="pct"/>
            <w:vAlign w:val="center"/>
          </w:tcPr>
          <w:p>
            <w:pPr>
              <w:rPr>
                <w:color w:val="000000"/>
                <w:szCs w:val="21"/>
              </w:rPr>
            </w:pPr>
            <w:r>
              <w:rPr>
                <w:rFonts w:hint="eastAsia"/>
                <w:color w:val="000000"/>
                <w:szCs w:val="21"/>
              </w:rPr>
              <w:t>化学原料和化学制品制造业</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中垠新疆房地产开发有限公司</w:t>
            </w:r>
          </w:p>
        </w:tc>
        <w:tc>
          <w:tcPr>
            <w:tcW w:w="587" w:type="pct"/>
            <w:vAlign w:val="center"/>
          </w:tcPr>
          <w:p>
            <w:pPr>
              <w:jc w:val="center"/>
              <w:rPr>
                <w:color w:val="000000"/>
                <w:szCs w:val="21"/>
              </w:rPr>
            </w:pPr>
            <w:r>
              <w:rPr>
                <w:rFonts w:hint="eastAsia"/>
                <w:color w:val="000000"/>
                <w:szCs w:val="21"/>
              </w:rPr>
              <w:t>新疆乌鲁木齐</w:t>
            </w:r>
          </w:p>
        </w:tc>
        <w:tc>
          <w:tcPr>
            <w:tcW w:w="519" w:type="pct"/>
            <w:vAlign w:val="center"/>
          </w:tcPr>
          <w:p>
            <w:pPr>
              <w:jc w:val="center"/>
              <w:rPr>
                <w:color w:val="000000"/>
                <w:szCs w:val="21"/>
              </w:rPr>
            </w:pPr>
            <w:r>
              <w:rPr>
                <w:rFonts w:hint="eastAsia"/>
                <w:color w:val="000000"/>
                <w:szCs w:val="21"/>
              </w:rPr>
              <w:t>新疆乌鲁木齐</w:t>
            </w:r>
          </w:p>
        </w:tc>
        <w:tc>
          <w:tcPr>
            <w:tcW w:w="910" w:type="pct"/>
            <w:vAlign w:val="center"/>
          </w:tcPr>
          <w:p>
            <w:pPr>
              <w:rPr>
                <w:color w:val="000000"/>
                <w:szCs w:val="21"/>
              </w:rPr>
            </w:pPr>
            <w:r>
              <w:rPr>
                <w:rFonts w:hint="eastAsia"/>
                <w:color w:val="000000"/>
                <w:szCs w:val="21"/>
              </w:rPr>
              <w:t>房地产开发与租赁</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新疆山能化工有限公司</w:t>
            </w:r>
          </w:p>
        </w:tc>
        <w:tc>
          <w:tcPr>
            <w:tcW w:w="587" w:type="pct"/>
            <w:vAlign w:val="center"/>
          </w:tcPr>
          <w:p>
            <w:pPr>
              <w:jc w:val="center"/>
              <w:rPr>
                <w:color w:val="000000"/>
                <w:szCs w:val="21"/>
              </w:rPr>
            </w:pPr>
            <w:r>
              <w:rPr>
                <w:rFonts w:hint="eastAsia"/>
                <w:color w:val="000000"/>
                <w:szCs w:val="21"/>
              </w:rPr>
              <w:t>新疆乌鲁木齐</w:t>
            </w:r>
          </w:p>
        </w:tc>
        <w:tc>
          <w:tcPr>
            <w:tcW w:w="519" w:type="pct"/>
            <w:vAlign w:val="center"/>
          </w:tcPr>
          <w:p>
            <w:pPr>
              <w:jc w:val="center"/>
              <w:rPr>
                <w:color w:val="000000"/>
                <w:szCs w:val="21"/>
              </w:rPr>
            </w:pPr>
            <w:r>
              <w:rPr>
                <w:rFonts w:hint="eastAsia"/>
                <w:color w:val="000000"/>
                <w:szCs w:val="21"/>
              </w:rPr>
              <w:t>新疆乌鲁木齐</w:t>
            </w:r>
          </w:p>
        </w:tc>
        <w:tc>
          <w:tcPr>
            <w:tcW w:w="910" w:type="pct"/>
            <w:vAlign w:val="center"/>
          </w:tcPr>
          <w:p>
            <w:pPr>
              <w:rPr>
                <w:color w:val="000000"/>
                <w:szCs w:val="21"/>
              </w:rPr>
            </w:pPr>
            <w:r>
              <w:rPr>
                <w:rFonts w:hint="eastAsia"/>
                <w:color w:val="000000"/>
                <w:szCs w:val="21"/>
              </w:rPr>
              <w:t>甲醇、尿素等产品的生产与销售</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86.67</w:t>
            </w:r>
          </w:p>
        </w:tc>
        <w:tc>
          <w:tcPr>
            <w:tcW w:w="647" w:type="pct"/>
            <w:vAlign w:val="center"/>
          </w:tcPr>
          <w:p>
            <w:pPr>
              <w:rPr>
                <w:color w:val="000000"/>
                <w:szCs w:val="21"/>
              </w:rPr>
            </w:pPr>
            <w:r>
              <w:rPr>
                <w:rFonts w:hint="eastAsia"/>
                <w:color w:val="000000"/>
                <w:szCs w:val="21"/>
              </w:rPr>
              <w:t>同一控制下企业合并</w:t>
            </w:r>
          </w:p>
        </w:tc>
      </w:tr>
      <w:tr>
        <w:tc>
          <w:tcPr>
            <w:tcW w:w="1556" w:type="pct"/>
            <w:vAlign w:val="center"/>
          </w:tcPr>
          <w:p>
            <w:pPr>
              <w:rPr>
                <w:color w:val="000000"/>
                <w:szCs w:val="21"/>
              </w:rPr>
            </w:pPr>
            <w:r>
              <w:rPr>
                <w:rFonts w:hint="eastAsia"/>
                <w:color w:val="000000"/>
                <w:szCs w:val="21"/>
              </w:rPr>
              <w:t>新汶矿业集团（伊犁）能源开发有限责任公司</w:t>
            </w:r>
          </w:p>
        </w:tc>
        <w:tc>
          <w:tcPr>
            <w:tcW w:w="587" w:type="pct"/>
            <w:vAlign w:val="center"/>
          </w:tcPr>
          <w:p>
            <w:pPr>
              <w:jc w:val="center"/>
              <w:rPr>
                <w:color w:val="000000"/>
                <w:szCs w:val="21"/>
              </w:rPr>
            </w:pPr>
            <w:r>
              <w:rPr>
                <w:rFonts w:hint="eastAsia"/>
                <w:color w:val="000000"/>
                <w:szCs w:val="21"/>
              </w:rPr>
              <w:t>新疆昌吉</w:t>
            </w:r>
          </w:p>
        </w:tc>
        <w:tc>
          <w:tcPr>
            <w:tcW w:w="519" w:type="pct"/>
            <w:vAlign w:val="center"/>
          </w:tcPr>
          <w:p>
            <w:pPr>
              <w:jc w:val="center"/>
              <w:rPr>
                <w:color w:val="000000"/>
                <w:szCs w:val="21"/>
              </w:rPr>
            </w:pPr>
            <w:r>
              <w:rPr>
                <w:rFonts w:hint="eastAsia"/>
                <w:color w:val="000000"/>
                <w:szCs w:val="21"/>
              </w:rPr>
              <w:t>新疆昌吉</w:t>
            </w:r>
          </w:p>
        </w:tc>
        <w:tc>
          <w:tcPr>
            <w:tcW w:w="910" w:type="pct"/>
            <w:vAlign w:val="center"/>
          </w:tcPr>
          <w:p>
            <w:pPr>
              <w:rPr>
                <w:color w:val="000000"/>
                <w:szCs w:val="21"/>
              </w:rPr>
            </w:pPr>
            <w:r>
              <w:rPr>
                <w:rFonts w:hint="eastAsia"/>
                <w:color w:val="000000"/>
                <w:szCs w:val="21"/>
              </w:rPr>
              <w:t>煤炭化工</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同一控制下合并</w:t>
            </w:r>
          </w:p>
        </w:tc>
      </w:tr>
      <w:tr>
        <w:tc>
          <w:tcPr>
            <w:tcW w:w="1556" w:type="pct"/>
            <w:vAlign w:val="center"/>
          </w:tcPr>
          <w:p>
            <w:pPr>
              <w:rPr>
                <w:color w:val="000000"/>
                <w:szCs w:val="21"/>
              </w:rPr>
            </w:pPr>
            <w:r>
              <w:rPr>
                <w:rFonts w:hint="eastAsia"/>
                <w:color w:val="000000"/>
                <w:szCs w:val="21"/>
              </w:rPr>
              <w:lastRenderedPageBreak/>
              <w:t>兖矿煤化工程有限公司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煤化机械加工、安装、维修</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同一控制下合并</w:t>
            </w:r>
          </w:p>
        </w:tc>
      </w:tr>
      <w:tr>
        <w:tc>
          <w:tcPr>
            <w:tcW w:w="1556" w:type="pct"/>
            <w:vAlign w:val="center"/>
          </w:tcPr>
          <w:p>
            <w:pPr>
              <w:rPr>
                <w:color w:val="000000"/>
                <w:szCs w:val="21"/>
              </w:rPr>
            </w:pPr>
            <w:r>
              <w:rPr>
                <w:rFonts w:hint="eastAsia"/>
                <w:color w:val="000000"/>
                <w:szCs w:val="21"/>
              </w:rPr>
              <w:t>邹城诚验材料检测试验有限公司</w:t>
            </w:r>
          </w:p>
        </w:tc>
        <w:tc>
          <w:tcPr>
            <w:tcW w:w="587" w:type="pct"/>
            <w:vAlign w:val="center"/>
          </w:tcPr>
          <w:p>
            <w:pPr>
              <w:jc w:val="center"/>
              <w:rPr>
                <w:color w:val="000000"/>
                <w:szCs w:val="21"/>
              </w:rPr>
            </w:pPr>
            <w:r>
              <w:rPr>
                <w:rFonts w:hint="eastAsia"/>
                <w:color w:val="000000"/>
                <w:szCs w:val="21"/>
              </w:rPr>
              <w:t>山东邹城</w:t>
            </w:r>
          </w:p>
        </w:tc>
        <w:tc>
          <w:tcPr>
            <w:tcW w:w="519" w:type="pct"/>
            <w:vAlign w:val="center"/>
          </w:tcPr>
          <w:p>
            <w:pPr>
              <w:jc w:val="center"/>
              <w:rPr>
                <w:color w:val="000000"/>
                <w:szCs w:val="21"/>
              </w:rPr>
            </w:pPr>
            <w:r>
              <w:rPr>
                <w:rFonts w:hint="eastAsia"/>
                <w:color w:val="000000"/>
                <w:szCs w:val="21"/>
              </w:rPr>
              <w:t>山东邹城</w:t>
            </w:r>
          </w:p>
        </w:tc>
        <w:tc>
          <w:tcPr>
            <w:tcW w:w="910" w:type="pct"/>
            <w:vAlign w:val="center"/>
          </w:tcPr>
          <w:p>
            <w:pPr>
              <w:rPr>
                <w:color w:val="000000"/>
                <w:szCs w:val="21"/>
              </w:rPr>
            </w:pPr>
            <w:r>
              <w:rPr>
                <w:rFonts w:hint="eastAsia"/>
                <w:color w:val="000000"/>
                <w:szCs w:val="21"/>
              </w:rPr>
              <w:t>矿用产品支护材料检测试验等</w:t>
            </w:r>
          </w:p>
        </w:tc>
        <w:tc>
          <w:tcPr>
            <w:tcW w:w="390" w:type="pct"/>
            <w:vAlign w:val="center"/>
          </w:tcPr>
          <w:p>
            <w:pPr>
              <w:jc w:val="center"/>
              <w:rPr>
                <w:color w:val="000000"/>
                <w:szCs w:val="21"/>
              </w:rPr>
            </w:pPr>
            <w:r>
              <w:rPr>
                <w:rFonts w:hint="eastAsia"/>
                <w:color w:val="000000"/>
                <w:szCs w:val="21"/>
              </w:rPr>
              <w:t>100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投资设立</w:t>
            </w:r>
          </w:p>
        </w:tc>
      </w:tr>
      <w:tr>
        <w:tc>
          <w:tcPr>
            <w:tcW w:w="1556" w:type="pct"/>
            <w:vAlign w:val="center"/>
          </w:tcPr>
          <w:p>
            <w:pPr>
              <w:rPr>
                <w:color w:val="000000"/>
                <w:szCs w:val="21"/>
              </w:rPr>
            </w:pPr>
            <w:r>
              <w:rPr>
                <w:rFonts w:hint="eastAsia"/>
                <w:color w:val="000000"/>
                <w:szCs w:val="21"/>
              </w:rPr>
              <w:t>山东能源集团财务有限公司</w:t>
            </w:r>
          </w:p>
        </w:tc>
        <w:tc>
          <w:tcPr>
            <w:tcW w:w="587" w:type="pct"/>
            <w:vAlign w:val="center"/>
          </w:tcPr>
          <w:p>
            <w:pPr>
              <w:jc w:val="center"/>
              <w:rPr>
                <w:color w:val="000000"/>
                <w:szCs w:val="21"/>
              </w:rPr>
            </w:pPr>
            <w:r>
              <w:rPr>
                <w:rFonts w:hint="eastAsia"/>
                <w:color w:val="000000"/>
                <w:szCs w:val="21"/>
              </w:rPr>
              <w:t>山东济南</w:t>
            </w:r>
          </w:p>
        </w:tc>
        <w:tc>
          <w:tcPr>
            <w:tcW w:w="519" w:type="pct"/>
            <w:vAlign w:val="center"/>
          </w:tcPr>
          <w:p>
            <w:pPr>
              <w:jc w:val="center"/>
              <w:rPr>
                <w:color w:val="000000"/>
                <w:szCs w:val="21"/>
              </w:rPr>
            </w:pPr>
            <w:r>
              <w:rPr>
                <w:rFonts w:hint="eastAsia"/>
                <w:color w:val="000000"/>
                <w:szCs w:val="21"/>
              </w:rPr>
              <w:t>山东济南</w:t>
            </w:r>
          </w:p>
        </w:tc>
        <w:tc>
          <w:tcPr>
            <w:tcW w:w="910" w:type="pct"/>
            <w:vAlign w:val="center"/>
          </w:tcPr>
          <w:p>
            <w:pPr>
              <w:rPr>
                <w:color w:val="000000"/>
                <w:szCs w:val="21"/>
              </w:rPr>
            </w:pPr>
            <w:r>
              <w:rPr>
                <w:rFonts w:hint="eastAsia"/>
                <w:color w:val="000000"/>
                <w:szCs w:val="21"/>
              </w:rPr>
              <w:t>企业集团财务公司服务</w:t>
            </w:r>
          </w:p>
        </w:tc>
        <w:tc>
          <w:tcPr>
            <w:tcW w:w="390" w:type="pct"/>
            <w:vAlign w:val="center"/>
          </w:tcPr>
          <w:p>
            <w:pPr>
              <w:jc w:val="center"/>
              <w:rPr>
                <w:color w:val="000000"/>
                <w:szCs w:val="21"/>
              </w:rPr>
            </w:pPr>
            <w:r>
              <w:rPr>
                <w:rFonts w:hint="eastAsia"/>
                <w:color w:val="000000"/>
                <w:szCs w:val="21"/>
              </w:rPr>
              <w:t>53.92</w:t>
            </w:r>
          </w:p>
        </w:tc>
        <w:tc>
          <w:tcPr>
            <w:tcW w:w="391" w:type="pct"/>
            <w:vAlign w:val="center"/>
          </w:tcPr>
          <w:p>
            <w:pPr>
              <w:jc w:val="center"/>
              <w:rPr>
                <w:color w:val="000000"/>
                <w:szCs w:val="21"/>
              </w:rPr>
            </w:pPr>
            <w:r>
              <w:rPr>
                <w:rFonts w:hint="eastAsia"/>
                <w:color w:val="000000"/>
                <w:szCs w:val="21"/>
              </w:rPr>
              <w:t>0.88</w:t>
            </w:r>
          </w:p>
        </w:tc>
        <w:tc>
          <w:tcPr>
            <w:tcW w:w="647" w:type="pct"/>
            <w:vAlign w:val="center"/>
          </w:tcPr>
          <w:p>
            <w:pPr>
              <w:rPr>
                <w:color w:val="000000"/>
                <w:szCs w:val="21"/>
              </w:rPr>
            </w:pPr>
            <w:r>
              <w:rPr>
                <w:rFonts w:hint="eastAsia"/>
                <w:color w:val="000000"/>
                <w:szCs w:val="21"/>
              </w:rPr>
              <w:t>同一控制下合并</w:t>
            </w:r>
          </w:p>
        </w:tc>
      </w:tr>
      <w:tr>
        <w:tc>
          <w:tcPr>
            <w:tcW w:w="1556" w:type="pct"/>
            <w:vAlign w:val="center"/>
          </w:tcPr>
          <w:p>
            <w:pPr>
              <w:rPr>
                <w:color w:val="000000"/>
                <w:szCs w:val="21"/>
              </w:rPr>
            </w:pPr>
            <w:r>
              <w:rPr>
                <w:rFonts w:hint="eastAsia"/>
                <w:color w:val="000000"/>
                <w:szCs w:val="21"/>
              </w:rPr>
              <w:t>山东兖矿国拓科技工程股份有限公司</w:t>
            </w:r>
          </w:p>
        </w:tc>
        <w:tc>
          <w:tcPr>
            <w:tcW w:w="587" w:type="pct"/>
            <w:vAlign w:val="center"/>
          </w:tcPr>
          <w:p>
            <w:pPr>
              <w:jc w:val="center"/>
              <w:rPr>
                <w:color w:val="000000"/>
                <w:szCs w:val="21"/>
              </w:rPr>
            </w:pPr>
            <w:r>
              <w:rPr>
                <w:rFonts w:hint="eastAsia"/>
                <w:color w:val="000000"/>
                <w:szCs w:val="21"/>
              </w:rPr>
              <w:t>山东济南</w:t>
            </w:r>
          </w:p>
        </w:tc>
        <w:tc>
          <w:tcPr>
            <w:tcW w:w="519" w:type="pct"/>
            <w:vAlign w:val="center"/>
          </w:tcPr>
          <w:p>
            <w:pPr>
              <w:jc w:val="center"/>
              <w:rPr>
                <w:color w:val="000000"/>
                <w:szCs w:val="21"/>
              </w:rPr>
            </w:pPr>
            <w:r>
              <w:rPr>
                <w:rFonts w:hint="eastAsia"/>
                <w:color w:val="000000"/>
                <w:szCs w:val="21"/>
              </w:rPr>
              <w:t>山东济南</w:t>
            </w:r>
          </w:p>
        </w:tc>
        <w:tc>
          <w:tcPr>
            <w:tcW w:w="910" w:type="pct"/>
            <w:vAlign w:val="center"/>
          </w:tcPr>
          <w:p>
            <w:pPr>
              <w:rPr>
                <w:color w:val="000000"/>
                <w:szCs w:val="21"/>
              </w:rPr>
            </w:pPr>
            <w:r>
              <w:rPr>
                <w:rFonts w:hint="eastAsia"/>
                <w:color w:val="000000"/>
                <w:szCs w:val="21"/>
              </w:rPr>
              <w:t>科技推广和应用服务业</w:t>
            </w:r>
          </w:p>
        </w:tc>
        <w:tc>
          <w:tcPr>
            <w:tcW w:w="390" w:type="pct"/>
            <w:vAlign w:val="center"/>
          </w:tcPr>
          <w:p>
            <w:pPr>
              <w:jc w:val="center"/>
              <w:rPr>
                <w:color w:val="000000"/>
                <w:szCs w:val="21"/>
              </w:rPr>
            </w:pPr>
            <w:r>
              <w:rPr>
                <w:rFonts w:hint="eastAsia"/>
                <w:color w:val="000000"/>
                <w:szCs w:val="21"/>
              </w:rPr>
              <w:t>90</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同一控制下合并</w:t>
            </w:r>
          </w:p>
        </w:tc>
      </w:tr>
      <w:tr>
        <w:tc>
          <w:tcPr>
            <w:tcW w:w="1556" w:type="pct"/>
            <w:vAlign w:val="center"/>
          </w:tcPr>
          <w:p>
            <w:pPr>
              <w:rPr>
                <w:color w:val="000000"/>
                <w:szCs w:val="21"/>
              </w:rPr>
            </w:pPr>
            <w:r>
              <w:rPr>
                <w:rFonts w:hint="eastAsia"/>
                <w:color w:val="000000"/>
                <w:szCs w:val="21"/>
              </w:rPr>
              <w:t>德伯特机械(山东)有限公司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通用设备制造业</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SMTScharfAG(沙尔夫股份公司)</w:t>
            </w:r>
          </w:p>
        </w:tc>
        <w:tc>
          <w:tcPr>
            <w:tcW w:w="587" w:type="pct"/>
            <w:vAlign w:val="center"/>
          </w:tcPr>
          <w:p>
            <w:pPr>
              <w:jc w:val="center"/>
              <w:rPr>
                <w:color w:val="000000"/>
                <w:szCs w:val="21"/>
              </w:rPr>
            </w:pPr>
            <w:r>
              <w:rPr>
                <w:rFonts w:hint="eastAsia"/>
                <w:color w:val="000000"/>
                <w:szCs w:val="21"/>
              </w:rPr>
              <w:t>德国</w:t>
            </w:r>
          </w:p>
        </w:tc>
        <w:tc>
          <w:tcPr>
            <w:tcW w:w="519" w:type="pct"/>
            <w:vAlign w:val="center"/>
          </w:tcPr>
          <w:p>
            <w:pPr>
              <w:jc w:val="center"/>
              <w:rPr>
                <w:color w:val="000000"/>
                <w:szCs w:val="21"/>
              </w:rPr>
            </w:pPr>
            <w:r>
              <w:rPr>
                <w:rFonts w:hint="eastAsia"/>
                <w:color w:val="000000"/>
                <w:szCs w:val="21"/>
              </w:rPr>
              <w:t>德国</w:t>
            </w:r>
          </w:p>
        </w:tc>
        <w:tc>
          <w:tcPr>
            <w:tcW w:w="910" w:type="pct"/>
            <w:vAlign w:val="center"/>
          </w:tcPr>
          <w:p>
            <w:pPr>
              <w:rPr>
                <w:color w:val="000000"/>
                <w:szCs w:val="21"/>
              </w:rPr>
            </w:pPr>
            <w:r>
              <w:rPr>
                <w:rFonts w:hint="eastAsia"/>
                <w:color w:val="000000"/>
                <w:szCs w:val="21"/>
              </w:rPr>
              <w:t>设备制造业</w:t>
            </w:r>
          </w:p>
        </w:tc>
        <w:tc>
          <w:tcPr>
            <w:tcW w:w="390" w:type="pct"/>
            <w:vAlign w:val="center"/>
          </w:tcPr>
          <w:p>
            <w:pPr>
              <w:jc w:val="center"/>
              <w:rPr>
                <w:color w:val="000000"/>
                <w:szCs w:val="21"/>
              </w:rPr>
            </w:pPr>
            <w:r>
              <w:rPr>
                <w:rFonts w:hint="eastAsia"/>
                <w:color w:val="000000"/>
                <w:szCs w:val="21"/>
              </w:rPr>
              <w:t>51</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SMTScharfGmbH</w:t>
            </w:r>
          </w:p>
        </w:tc>
        <w:tc>
          <w:tcPr>
            <w:tcW w:w="587" w:type="pct"/>
            <w:vAlign w:val="center"/>
          </w:tcPr>
          <w:p>
            <w:pPr>
              <w:jc w:val="center"/>
              <w:rPr>
                <w:color w:val="000000"/>
                <w:szCs w:val="21"/>
              </w:rPr>
            </w:pPr>
            <w:r>
              <w:rPr>
                <w:rFonts w:hint="eastAsia"/>
                <w:color w:val="000000"/>
                <w:szCs w:val="21"/>
              </w:rPr>
              <w:t>德国</w:t>
            </w:r>
          </w:p>
        </w:tc>
        <w:tc>
          <w:tcPr>
            <w:tcW w:w="519" w:type="pct"/>
            <w:vAlign w:val="center"/>
          </w:tcPr>
          <w:p>
            <w:pPr>
              <w:jc w:val="center"/>
              <w:rPr>
                <w:color w:val="000000"/>
                <w:szCs w:val="21"/>
              </w:rPr>
            </w:pPr>
            <w:r>
              <w:rPr>
                <w:rFonts w:hint="eastAsia"/>
                <w:color w:val="000000"/>
                <w:szCs w:val="21"/>
              </w:rPr>
              <w:t>德国</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SerelektronikGmbH</w:t>
            </w:r>
          </w:p>
        </w:tc>
        <w:tc>
          <w:tcPr>
            <w:tcW w:w="587" w:type="pct"/>
            <w:vAlign w:val="center"/>
          </w:tcPr>
          <w:p>
            <w:pPr>
              <w:jc w:val="center"/>
              <w:rPr>
                <w:color w:val="000000"/>
                <w:szCs w:val="21"/>
              </w:rPr>
            </w:pPr>
            <w:r>
              <w:rPr>
                <w:rFonts w:hint="eastAsia"/>
                <w:color w:val="000000"/>
                <w:szCs w:val="21"/>
              </w:rPr>
              <w:t>德国</w:t>
            </w:r>
          </w:p>
        </w:tc>
        <w:tc>
          <w:tcPr>
            <w:tcW w:w="519" w:type="pct"/>
            <w:vAlign w:val="center"/>
          </w:tcPr>
          <w:p>
            <w:pPr>
              <w:jc w:val="center"/>
              <w:rPr>
                <w:color w:val="000000"/>
                <w:szCs w:val="21"/>
              </w:rPr>
            </w:pPr>
            <w:r>
              <w:rPr>
                <w:rFonts w:hint="eastAsia"/>
                <w:color w:val="000000"/>
                <w:szCs w:val="21"/>
              </w:rPr>
              <w:t>德国</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SMTScharfPolskaSp.z.o.o.</w:t>
            </w:r>
          </w:p>
        </w:tc>
        <w:tc>
          <w:tcPr>
            <w:tcW w:w="587" w:type="pct"/>
            <w:vAlign w:val="center"/>
          </w:tcPr>
          <w:p>
            <w:pPr>
              <w:jc w:val="center"/>
              <w:rPr>
                <w:color w:val="000000"/>
                <w:szCs w:val="21"/>
              </w:rPr>
            </w:pPr>
            <w:r>
              <w:rPr>
                <w:rFonts w:hint="eastAsia"/>
                <w:color w:val="000000"/>
                <w:szCs w:val="21"/>
              </w:rPr>
              <w:t>波兰</w:t>
            </w:r>
          </w:p>
        </w:tc>
        <w:tc>
          <w:tcPr>
            <w:tcW w:w="519" w:type="pct"/>
            <w:vAlign w:val="center"/>
          </w:tcPr>
          <w:p>
            <w:pPr>
              <w:jc w:val="center"/>
              <w:rPr>
                <w:color w:val="000000"/>
                <w:szCs w:val="21"/>
              </w:rPr>
            </w:pPr>
            <w:r>
              <w:rPr>
                <w:rFonts w:hint="eastAsia"/>
                <w:color w:val="000000"/>
                <w:szCs w:val="21"/>
              </w:rPr>
              <w:t>波兰</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SMTScharfAfrica(Pty.)Ltd</w:t>
            </w:r>
          </w:p>
        </w:tc>
        <w:tc>
          <w:tcPr>
            <w:tcW w:w="587" w:type="pct"/>
            <w:vAlign w:val="center"/>
          </w:tcPr>
          <w:p>
            <w:pPr>
              <w:jc w:val="center"/>
              <w:rPr>
                <w:color w:val="000000"/>
                <w:szCs w:val="21"/>
              </w:rPr>
            </w:pPr>
            <w:r>
              <w:rPr>
                <w:rFonts w:hint="eastAsia"/>
                <w:color w:val="000000"/>
                <w:szCs w:val="21"/>
              </w:rPr>
              <w:t>南非</w:t>
            </w:r>
          </w:p>
        </w:tc>
        <w:tc>
          <w:tcPr>
            <w:tcW w:w="519" w:type="pct"/>
            <w:vAlign w:val="center"/>
          </w:tcPr>
          <w:p>
            <w:pPr>
              <w:jc w:val="center"/>
              <w:rPr>
                <w:color w:val="000000"/>
                <w:szCs w:val="21"/>
              </w:rPr>
            </w:pPr>
            <w:r>
              <w:rPr>
                <w:rFonts w:hint="eastAsia"/>
                <w:color w:val="000000"/>
                <w:szCs w:val="21"/>
              </w:rPr>
              <w:t>南非</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SMTScharfSudamericaSpA</w:t>
            </w:r>
          </w:p>
        </w:tc>
        <w:tc>
          <w:tcPr>
            <w:tcW w:w="587" w:type="pct"/>
            <w:vAlign w:val="center"/>
          </w:tcPr>
          <w:p>
            <w:pPr>
              <w:jc w:val="center"/>
              <w:rPr>
                <w:color w:val="000000"/>
                <w:szCs w:val="21"/>
              </w:rPr>
            </w:pPr>
            <w:r>
              <w:rPr>
                <w:rFonts w:hint="eastAsia"/>
                <w:color w:val="000000"/>
                <w:szCs w:val="21"/>
              </w:rPr>
              <w:t>智利</w:t>
            </w:r>
          </w:p>
        </w:tc>
        <w:tc>
          <w:tcPr>
            <w:tcW w:w="519" w:type="pct"/>
            <w:vAlign w:val="center"/>
          </w:tcPr>
          <w:p>
            <w:pPr>
              <w:jc w:val="center"/>
              <w:rPr>
                <w:color w:val="000000"/>
                <w:szCs w:val="21"/>
              </w:rPr>
            </w:pPr>
            <w:r>
              <w:rPr>
                <w:rFonts w:hint="eastAsia"/>
                <w:color w:val="000000"/>
                <w:szCs w:val="21"/>
              </w:rPr>
              <w:t>智利</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RDHMiningEquipment</w:t>
            </w:r>
          </w:p>
        </w:tc>
        <w:tc>
          <w:tcPr>
            <w:tcW w:w="587" w:type="pct"/>
            <w:vAlign w:val="center"/>
          </w:tcPr>
          <w:p>
            <w:pPr>
              <w:jc w:val="center"/>
              <w:rPr>
                <w:color w:val="000000"/>
                <w:szCs w:val="21"/>
              </w:rPr>
            </w:pPr>
            <w:r>
              <w:rPr>
                <w:rFonts w:hint="eastAsia"/>
                <w:color w:val="000000"/>
                <w:szCs w:val="21"/>
              </w:rPr>
              <w:t>加拿大</w:t>
            </w:r>
          </w:p>
        </w:tc>
        <w:tc>
          <w:tcPr>
            <w:tcW w:w="519" w:type="pct"/>
            <w:vAlign w:val="center"/>
          </w:tcPr>
          <w:p>
            <w:pPr>
              <w:jc w:val="center"/>
              <w:rPr>
                <w:color w:val="000000"/>
                <w:szCs w:val="21"/>
              </w:rPr>
            </w:pPr>
            <w:r>
              <w:rPr>
                <w:rFonts w:hint="eastAsia"/>
                <w:color w:val="000000"/>
                <w:szCs w:val="21"/>
              </w:rPr>
              <w:t>加拿大</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OOOSMTScharf</w:t>
            </w:r>
          </w:p>
        </w:tc>
        <w:tc>
          <w:tcPr>
            <w:tcW w:w="587" w:type="pct"/>
            <w:vAlign w:val="center"/>
          </w:tcPr>
          <w:p>
            <w:pPr>
              <w:jc w:val="center"/>
              <w:rPr>
                <w:color w:val="000000"/>
                <w:szCs w:val="21"/>
              </w:rPr>
            </w:pPr>
            <w:r>
              <w:rPr>
                <w:rFonts w:hint="eastAsia"/>
                <w:color w:val="000000"/>
                <w:szCs w:val="21"/>
              </w:rPr>
              <w:t>俄罗斯</w:t>
            </w:r>
          </w:p>
        </w:tc>
        <w:tc>
          <w:tcPr>
            <w:tcW w:w="519" w:type="pct"/>
            <w:vAlign w:val="center"/>
          </w:tcPr>
          <w:p>
            <w:pPr>
              <w:jc w:val="center"/>
              <w:rPr>
                <w:color w:val="000000"/>
                <w:szCs w:val="21"/>
              </w:rPr>
            </w:pPr>
            <w:r>
              <w:rPr>
                <w:rFonts w:hint="eastAsia"/>
                <w:color w:val="000000"/>
                <w:szCs w:val="21"/>
              </w:rPr>
              <w:t>俄罗斯</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OOOSMTScharfService</w:t>
            </w:r>
          </w:p>
        </w:tc>
        <w:tc>
          <w:tcPr>
            <w:tcW w:w="587" w:type="pct"/>
            <w:vAlign w:val="center"/>
          </w:tcPr>
          <w:p>
            <w:pPr>
              <w:jc w:val="center"/>
              <w:rPr>
                <w:color w:val="000000"/>
                <w:szCs w:val="21"/>
              </w:rPr>
            </w:pPr>
            <w:r>
              <w:rPr>
                <w:rFonts w:hint="eastAsia"/>
                <w:color w:val="000000"/>
                <w:szCs w:val="21"/>
              </w:rPr>
              <w:t>俄罗斯</w:t>
            </w:r>
          </w:p>
        </w:tc>
        <w:tc>
          <w:tcPr>
            <w:tcW w:w="519" w:type="pct"/>
            <w:vAlign w:val="center"/>
          </w:tcPr>
          <w:p>
            <w:pPr>
              <w:jc w:val="center"/>
              <w:rPr>
                <w:color w:val="000000"/>
                <w:szCs w:val="21"/>
              </w:rPr>
            </w:pPr>
            <w:r>
              <w:rPr>
                <w:rFonts w:hint="eastAsia"/>
                <w:color w:val="000000"/>
                <w:szCs w:val="21"/>
              </w:rPr>
              <w:t>俄罗斯</w:t>
            </w:r>
          </w:p>
        </w:tc>
        <w:tc>
          <w:tcPr>
            <w:tcW w:w="910" w:type="pct"/>
            <w:vAlign w:val="center"/>
          </w:tcPr>
          <w:p>
            <w:pPr>
              <w:rPr>
                <w:color w:val="000000"/>
                <w:szCs w:val="21"/>
              </w:rPr>
            </w:pPr>
            <w:r>
              <w:rPr>
                <w:rFonts w:hint="eastAsia"/>
                <w:color w:val="000000"/>
                <w:szCs w:val="21"/>
              </w:rPr>
              <w:t>设备安装及服务</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沙尔夫矿山机械（北京）有限公司</w:t>
            </w:r>
          </w:p>
        </w:tc>
        <w:tc>
          <w:tcPr>
            <w:tcW w:w="587" w:type="pct"/>
            <w:vAlign w:val="center"/>
          </w:tcPr>
          <w:p>
            <w:pPr>
              <w:jc w:val="center"/>
              <w:rPr>
                <w:color w:val="000000"/>
                <w:szCs w:val="21"/>
              </w:rPr>
            </w:pPr>
            <w:r>
              <w:rPr>
                <w:rFonts w:hint="eastAsia"/>
                <w:color w:val="000000"/>
                <w:szCs w:val="21"/>
              </w:rPr>
              <w:t>北京</w:t>
            </w:r>
          </w:p>
        </w:tc>
        <w:tc>
          <w:tcPr>
            <w:tcW w:w="519" w:type="pct"/>
            <w:vAlign w:val="center"/>
          </w:tcPr>
          <w:p>
            <w:pPr>
              <w:jc w:val="center"/>
              <w:rPr>
                <w:color w:val="000000"/>
                <w:szCs w:val="21"/>
              </w:rPr>
            </w:pPr>
            <w:r>
              <w:rPr>
                <w:rFonts w:hint="eastAsia"/>
                <w:color w:val="000000"/>
                <w:szCs w:val="21"/>
              </w:rPr>
              <w:t>北京</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沙尔夫矿山机械（徐州）有限公司</w:t>
            </w:r>
          </w:p>
        </w:tc>
        <w:tc>
          <w:tcPr>
            <w:tcW w:w="587" w:type="pct"/>
            <w:vAlign w:val="center"/>
          </w:tcPr>
          <w:p>
            <w:pPr>
              <w:jc w:val="center"/>
              <w:rPr>
                <w:color w:val="000000"/>
                <w:szCs w:val="21"/>
              </w:rPr>
            </w:pPr>
            <w:r>
              <w:rPr>
                <w:rFonts w:hint="eastAsia"/>
                <w:color w:val="000000"/>
                <w:szCs w:val="21"/>
              </w:rPr>
              <w:t>江苏徐州</w:t>
            </w:r>
          </w:p>
        </w:tc>
        <w:tc>
          <w:tcPr>
            <w:tcW w:w="519" w:type="pct"/>
            <w:vAlign w:val="center"/>
          </w:tcPr>
          <w:p>
            <w:pPr>
              <w:jc w:val="center"/>
              <w:rPr>
                <w:color w:val="000000"/>
                <w:szCs w:val="21"/>
              </w:rPr>
            </w:pPr>
            <w:r>
              <w:rPr>
                <w:rFonts w:hint="eastAsia"/>
                <w:color w:val="000000"/>
                <w:szCs w:val="21"/>
              </w:rPr>
              <w:t>江苏徐州</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山东新沙单轨运输装备有限公司</w:t>
            </w:r>
          </w:p>
        </w:tc>
        <w:tc>
          <w:tcPr>
            <w:tcW w:w="587" w:type="pct"/>
            <w:vAlign w:val="center"/>
          </w:tcPr>
          <w:p>
            <w:pPr>
              <w:jc w:val="center"/>
              <w:rPr>
                <w:color w:val="000000"/>
                <w:szCs w:val="21"/>
              </w:rPr>
            </w:pPr>
            <w:r>
              <w:rPr>
                <w:rFonts w:hint="eastAsia"/>
                <w:color w:val="000000"/>
                <w:szCs w:val="21"/>
              </w:rPr>
              <w:t>山东泰安</w:t>
            </w:r>
          </w:p>
        </w:tc>
        <w:tc>
          <w:tcPr>
            <w:tcW w:w="519" w:type="pct"/>
            <w:vAlign w:val="center"/>
          </w:tcPr>
          <w:p>
            <w:pPr>
              <w:jc w:val="center"/>
              <w:rPr>
                <w:color w:val="000000"/>
                <w:szCs w:val="21"/>
              </w:rPr>
            </w:pPr>
            <w:r>
              <w:rPr>
                <w:rFonts w:hint="eastAsia"/>
                <w:color w:val="000000"/>
                <w:szCs w:val="21"/>
              </w:rPr>
              <w:t>山东泰安</w:t>
            </w:r>
          </w:p>
        </w:tc>
        <w:tc>
          <w:tcPr>
            <w:tcW w:w="910" w:type="pct"/>
            <w:vAlign w:val="center"/>
          </w:tcPr>
          <w:p>
            <w:pPr>
              <w:rPr>
                <w:color w:val="000000"/>
                <w:szCs w:val="21"/>
              </w:rPr>
            </w:pPr>
            <w:r>
              <w:rPr>
                <w:rFonts w:hint="eastAsia"/>
                <w:color w:val="000000"/>
                <w:szCs w:val="21"/>
              </w:rPr>
              <w:t>机械制造及设备安装</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山东天玛智能控制技术有限公司</w:t>
            </w:r>
          </w:p>
        </w:tc>
        <w:tc>
          <w:tcPr>
            <w:tcW w:w="587" w:type="pct"/>
            <w:vAlign w:val="center"/>
          </w:tcPr>
          <w:p>
            <w:pPr>
              <w:jc w:val="center"/>
              <w:rPr>
                <w:color w:val="000000"/>
                <w:szCs w:val="21"/>
              </w:rPr>
            </w:pPr>
            <w:r>
              <w:rPr>
                <w:rFonts w:hint="eastAsia"/>
                <w:color w:val="000000"/>
                <w:szCs w:val="21"/>
              </w:rPr>
              <w:t>山东济宁</w:t>
            </w:r>
          </w:p>
        </w:tc>
        <w:tc>
          <w:tcPr>
            <w:tcW w:w="519" w:type="pct"/>
            <w:vAlign w:val="center"/>
          </w:tcPr>
          <w:p>
            <w:pPr>
              <w:jc w:val="center"/>
              <w:rPr>
                <w:color w:val="000000"/>
                <w:szCs w:val="21"/>
              </w:rPr>
            </w:pPr>
            <w:r>
              <w:rPr>
                <w:rFonts w:hint="eastAsia"/>
                <w:color w:val="000000"/>
                <w:szCs w:val="21"/>
              </w:rPr>
              <w:t>山东济宁</w:t>
            </w:r>
          </w:p>
        </w:tc>
        <w:tc>
          <w:tcPr>
            <w:tcW w:w="910" w:type="pct"/>
            <w:vAlign w:val="center"/>
          </w:tcPr>
          <w:p>
            <w:pPr>
              <w:rPr>
                <w:color w:val="000000"/>
                <w:szCs w:val="21"/>
              </w:rPr>
            </w:pPr>
            <w:r>
              <w:rPr>
                <w:rFonts w:hint="eastAsia"/>
                <w:color w:val="000000"/>
                <w:szCs w:val="21"/>
              </w:rPr>
              <w:t>仪器仪表制造</w:t>
            </w:r>
          </w:p>
        </w:tc>
        <w:tc>
          <w:tcPr>
            <w:tcW w:w="390" w:type="pct"/>
            <w:vAlign w:val="center"/>
          </w:tcPr>
          <w:p>
            <w:pPr>
              <w:jc w:val="center"/>
              <w:rPr>
                <w:color w:val="000000"/>
                <w:szCs w:val="21"/>
              </w:rPr>
            </w:pPr>
            <w:r>
              <w:rPr>
                <w:rFonts w:hint="eastAsia"/>
                <w:color w:val="000000"/>
                <w:szCs w:val="21"/>
              </w:rPr>
              <w:t>47.35</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物泊科技有限公司</w:t>
            </w:r>
          </w:p>
        </w:tc>
        <w:tc>
          <w:tcPr>
            <w:tcW w:w="587" w:type="pct"/>
            <w:vAlign w:val="center"/>
          </w:tcPr>
          <w:p>
            <w:pPr>
              <w:jc w:val="center"/>
              <w:rPr>
                <w:color w:val="000000"/>
                <w:szCs w:val="21"/>
              </w:rPr>
            </w:pPr>
            <w:r>
              <w:rPr>
                <w:rFonts w:hint="eastAsia"/>
                <w:color w:val="000000"/>
                <w:szCs w:val="21"/>
              </w:rPr>
              <w:t>福建莆田</w:t>
            </w:r>
          </w:p>
        </w:tc>
        <w:tc>
          <w:tcPr>
            <w:tcW w:w="519" w:type="pct"/>
            <w:vAlign w:val="center"/>
          </w:tcPr>
          <w:p>
            <w:pPr>
              <w:jc w:val="center"/>
              <w:rPr>
                <w:color w:val="000000"/>
                <w:szCs w:val="21"/>
              </w:rPr>
            </w:pPr>
            <w:r>
              <w:rPr>
                <w:rFonts w:hint="eastAsia"/>
                <w:color w:val="000000"/>
                <w:szCs w:val="21"/>
              </w:rPr>
              <w:t>福建莆田</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r>
              <w:rPr>
                <w:rFonts w:hint="eastAsia"/>
                <w:color w:val="000000"/>
                <w:szCs w:val="21"/>
              </w:rPr>
              <w:t>45</w:t>
            </w:r>
          </w:p>
        </w:tc>
        <w:tc>
          <w:tcPr>
            <w:tcW w:w="391" w:type="pct"/>
            <w:vAlign w:val="center"/>
          </w:tcPr>
          <w:p>
            <w:pPr>
              <w:jc w:val="center"/>
              <w:rPr>
                <w:color w:val="000000"/>
                <w:szCs w:val="21"/>
              </w:rPr>
            </w:pP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山西聚鑫物云科技有限公司</w:t>
            </w:r>
          </w:p>
        </w:tc>
        <w:tc>
          <w:tcPr>
            <w:tcW w:w="587" w:type="pct"/>
            <w:vAlign w:val="center"/>
          </w:tcPr>
          <w:p>
            <w:pPr>
              <w:jc w:val="center"/>
              <w:rPr>
                <w:color w:val="000000"/>
                <w:szCs w:val="21"/>
              </w:rPr>
            </w:pPr>
            <w:r>
              <w:rPr>
                <w:rFonts w:hint="eastAsia"/>
                <w:color w:val="000000"/>
                <w:szCs w:val="21"/>
              </w:rPr>
              <w:t>山西临汾</w:t>
            </w:r>
          </w:p>
        </w:tc>
        <w:tc>
          <w:tcPr>
            <w:tcW w:w="519" w:type="pct"/>
            <w:vAlign w:val="center"/>
          </w:tcPr>
          <w:p>
            <w:pPr>
              <w:jc w:val="center"/>
              <w:rPr>
                <w:color w:val="000000"/>
                <w:szCs w:val="21"/>
              </w:rPr>
            </w:pPr>
            <w:r>
              <w:rPr>
                <w:rFonts w:hint="eastAsia"/>
                <w:color w:val="000000"/>
                <w:szCs w:val="21"/>
              </w:rPr>
              <w:t>山西临汾</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日照物泊物流有限公司</w:t>
            </w:r>
          </w:p>
        </w:tc>
        <w:tc>
          <w:tcPr>
            <w:tcW w:w="587" w:type="pct"/>
            <w:vAlign w:val="center"/>
          </w:tcPr>
          <w:p>
            <w:pPr>
              <w:jc w:val="center"/>
              <w:rPr>
                <w:color w:val="000000"/>
                <w:szCs w:val="21"/>
              </w:rPr>
            </w:pPr>
            <w:r>
              <w:rPr>
                <w:rFonts w:hint="eastAsia"/>
                <w:color w:val="000000"/>
                <w:szCs w:val="21"/>
              </w:rPr>
              <w:t>山东日照</w:t>
            </w:r>
          </w:p>
        </w:tc>
        <w:tc>
          <w:tcPr>
            <w:tcW w:w="519" w:type="pct"/>
            <w:vAlign w:val="center"/>
          </w:tcPr>
          <w:p>
            <w:pPr>
              <w:jc w:val="center"/>
              <w:rPr>
                <w:color w:val="000000"/>
                <w:szCs w:val="21"/>
              </w:rPr>
            </w:pPr>
            <w:r>
              <w:rPr>
                <w:rFonts w:hint="eastAsia"/>
                <w:color w:val="000000"/>
                <w:szCs w:val="21"/>
              </w:rPr>
              <w:t>山东日照</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福建物泊科技有限公司</w:t>
            </w:r>
          </w:p>
        </w:tc>
        <w:tc>
          <w:tcPr>
            <w:tcW w:w="587" w:type="pct"/>
            <w:vAlign w:val="center"/>
          </w:tcPr>
          <w:p>
            <w:pPr>
              <w:jc w:val="center"/>
              <w:rPr>
                <w:color w:val="000000"/>
                <w:szCs w:val="21"/>
              </w:rPr>
            </w:pPr>
            <w:r>
              <w:rPr>
                <w:rFonts w:hint="eastAsia"/>
                <w:color w:val="000000"/>
                <w:szCs w:val="21"/>
              </w:rPr>
              <w:t>福建福州</w:t>
            </w:r>
          </w:p>
        </w:tc>
        <w:tc>
          <w:tcPr>
            <w:tcW w:w="519" w:type="pct"/>
            <w:vAlign w:val="center"/>
          </w:tcPr>
          <w:p>
            <w:pPr>
              <w:jc w:val="center"/>
              <w:rPr>
                <w:color w:val="000000"/>
                <w:szCs w:val="21"/>
              </w:rPr>
            </w:pPr>
            <w:r>
              <w:rPr>
                <w:rFonts w:hint="eastAsia"/>
                <w:color w:val="000000"/>
                <w:szCs w:val="21"/>
              </w:rPr>
              <w:t>福建福州</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lastRenderedPageBreak/>
              <w:t>河南中原云工有限责任公司</w:t>
            </w:r>
          </w:p>
        </w:tc>
        <w:tc>
          <w:tcPr>
            <w:tcW w:w="587" w:type="pct"/>
            <w:vAlign w:val="center"/>
          </w:tcPr>
          <w:p>
            <w:pPr>
              <w:jc w:val="center"/>
              <w:rPr>
                <w:color w:val="000000"/>
                <w:szCs w:val="21"/>
              </w:rPr>
            </w:pPr>
            <w:r>
              <w:rPr>
                <w:rFonts w:hint="eastAsia"/>
                <w:color w:val="000000"/>
                <w:szCs w:val="21"/>
              </w:rPr>
              <w:t>河南济源</w:t>
            </w:r>
          </w:p>
        </w:tc>
        <w:tc>
          <w:tcPr>
            <w:tcW w:w="519" w:type="pct"/>
            <w:vAlign w:val="center"/>
          </w:tcPr>
          <w:p>
            <w:pPr>
              <w:jc w:val="center"/>
              <w:rPr>
                <w:color w:val="000000"/>
                <w:szCs w:val="21"/>
              </w:rPr>
            </w:pPr>
            <w:r>
              <w:rPr>
                <w:rFonts w:hint="eastAsia"/>
                <w:color w:val="000000"/>
                <w:szCs w:val="21"/>
              </w:rPr>
              <w:t>河南济源</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80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内蒙古物泊科技有限公司</w:t>
            </w:r>
          </w:p>
        </w:tc>
        <w:tc>
          <w:tcPr>
            <w:tcW w:w="587" w:type="pct"/>
            <w:vAlign w:val="center"/>
          </w:tcPr>
          <w:p>
            <w:pPr>
              <w:jc w:val="center"/>
              <w:rPr>
                <w:color w:val="000000"/>
                <w:szCs w:val="21"/>
              </w:rPr>
            </w:pPr>
            <w:r>
              <w:rPr>
                <w:rFonts w:hint="eastAsia"/>
                <w:color w:val="000000"/>
                <w:szCs w:val="21"/>
              </w:rPr>
              <w:t>内蒙古鄂尔多斯</w:t>
            </w:r>
          </w:p>
        </w:tc>
        <w:tc>
          <w:tcPr>
            <w:tcW w:w="519" w:type="pct"/>
            <w:vAlign w:val="center"/>
          </w:tcPr>
          <w:p>
            <w:pPr>
              <w:jc w:val="center"/>
              <w:rPr>
                <w:color w:val="000000"/>
                <w:szCs w:val="21"/>
              </w:rPr>
            </w:pPr>
            <w:r>
              <w:rPr>
                <w:rFonts w:hint="eastAsia"/>
                <w:color w:val="000000"/>
                <w:szCs w:val="21"/>
              </w:rPr>
              <w:t>内蒙古鄂尔多斯</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连云港物云智能科技有限公司</w:t>
            </w:r>
          </w:p>
        </w:tc>
        <w:tc>
          <w:tcPr>
            <w:tcW w:w="587" w:type="pct"/>
            <w:vAlign w:val="center"/>
          </w:tcPr>
          <w:p>
            <w:pPr>
              <w:jc w:val="center"/>
              <w:rPr>
                <w:color w:val="000000"/>
                <w:szCs w:val="21"/>
              </w:rPr>
            </w:pPr>
            <w:r>
              <w:rPr>
                <w:rFonts w:hint="eastAsia"/>
                <w:color w:val="000000"/>
                <w:szCs w:val="21"/>
              </w:rPr>
              <w:t>江苏连云港</w:t>
            </w:r>
          </w:p>
        </w:tc>
        <w:tc>
          <w:tcPr>
            <w:tcW w:w="519" w:type="pct"/>
            <w:vAlign w:val="center"/>
          </w:tcPr>
          <w:p>
            <w:pPr>
              <w:jc w:val="center"/>
              <w:rPr>
                <w:color w:val="000000"/>
                <w:szCs w:val="21"/>
              </w:rPr>
            </w:pPr>
            <w:r>
              <w:rPr>
                <w:rFonts w:hint="eastAsia"/>
                <w:color w:val="000000"/>
                <w:szCs w:val="21"/>
              </w:rPr>
              <w:t>江苏连云港</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天津东铭融资租赁有限公司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75</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山东物泊科技有限公司</w:t>
            </w:r>
          </w:p>
        </w:tc>
        <w:tc>
          <w:tcPr>
            <w:tcW w:w="587" w:type="pct"/>
            <w:vAlign w:val="center"/>
          </w:tcPr>
          <w:p>
            <w:pPr>
              <w:jc w:val="center"/>
              <w:rPr>
                <w:color w:val="000000"/>
                <w:szCs w:val="21"/>
              </w:rPr>
            </w:pPr>
            <w:r>
              <w:rPr>
                <w:rFonts w:hint="eastAsia"/>
                <w:color w:val="000000"/>
                <w:szCs w:val="21"/>
              </w:rPr>
              <w:t>山东德州</w:t>
            </w:r>
          </w:p>
        </w:tc>
        <w:tc>
          <w:tcPr>
            <w:tcW w:w="519" w:type="pct"/>
            <w:vAlign w:val="center"/>
          </w:tcPr>
          <w:p>
            <w:pPr>
              <w:jc w:val="center"/>
              <w:rPr>
                <w:color w:val="000000"/>
                <w:szCs w:val="21"/>
              </w:rPr>
            </w:pPr>
            <w:r>
              <w:rPr>
                <w:rFonts w:hint="eastAsia"/>
                <w:color w:val="000000"/>
                <w:szCs w:val="21"/>
              </w:rPr>
              <w:t>山东德州</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上海钢软信息技术工程股份有限公司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邯郸市物泊物流科技有限公司</w:t>
            </w:r>
          </w:p>
        </w:tc>
        <w:tc>
          <w:tcPr>
            <w:tcW w:w="587" w:type="pct"/>
            <w:vAlign w:val="center"/>
          </w:tcPr>
          <w:p>
            <w:pPr>
              <w:jc w:val="center"/>
              <w:rPr>
                <w:color w:val="000000"/>
                <w:szCs w:val="21"/>
              </w:rPr>
            </w:pPr>
            <w:r>
              <w:rPr>
                <w:rFonts w:hint="eastAsia"/>
                <w:color w:val="000000"/>
                <w:szCs w:val="21"/>
              </w:rPr>
              <w:t>河北邯郸</w:t>
            </w:r>
          </w:p>
        </w:tc>
        <w:tc>
          <w:tcPr>
            <w:tcW w:w="519" w:type="pct"/>
            <w:vAlign w:val="center"/>
          </w:tcPr>
          <w:p>
            <w:pPr>
              <w:jc w:val="center"/>
              <w:rPr>
                <w:color w:val="000000"/>
                <w:szCs w:val="21"/>
              </w:rPr>
            </w:pPr>
            <w:r>
              <w:rPr>
                <w:rFonts w:hint="eastAsia"/>
                <w:color w:val="000000"/>
                <w:szCs w:val="21"/>
              </w:rPr>
              <w:t>河北邯郸</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仙游物泊科技有限公司</w:t>
            </w:r>
          </w:p>
        </w:tc>
        <w:tc>
          <w:tcPr>
            <w:tcW w:w="587" w:type="pct"/>
            <w:vAlign w:val="center"/>
          </w:tcPr>
          <w:p>
            <w:pPr>
              <w:jc w:val="center"/>
              <w:rPr>
                <w:color w:val="000000"/>
                <w:szCs w:val="21"/>
              </w:rPr>
            </w:pPr>
            <w:r>
              <w:rPr>
                <w:rFonts w:hint="eastAsia"/>
                <w:color w:val="000000"/>
                <w:szCs w:val="21"/>
              </w:rPr>
              <w:t>福建莆田</w:t>
            </w:r>
          </w:p>
        </w:tc>
        <w:tc>
          <w:tcPr>
            <w:tcW w:w="519" w:type="pct"/>
            <w:vAlign w:val="center"/>
          </w:tcPr>
          <w:p>
            <w:pPr>
              <w:jc w:val="center"/>
              <w:rPr>
                <w:color w:val="000000"/>
                <w:szCs w:val="21"/>
              </w:rPr>
            </w:pPr>
            <w:r>
              <w:rPr>
                <w:rFonts w:hint="eastAsia"/>
                <w:color w:val="000000"/>
                <w:szCs w:val="21"/>
              </w:rPr>
              <w:t>福建莆田</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北京物泊科技有限公司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天津物泊科技有限公司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物泊(福建)外轮代理有限公司</w:t>
            </w:r>
          </w:p>
        </w:tc>
        <w:tc>
          <w:tcPr>
            <w:tcW w:w="587" w:type="pct"/>
            <w:vAlign w:val="center"/>
          </w:tcPr>
          <w:p>
            <w:pPr>
              <w:jc w:val="center"/>
              <w:rPr>
                <w:color w:val="000000"/>
                <w:szCs w:val="21"/>
              </w:rPr>
            </w:pPr>
            <w:r>
              <w:rPr>
                <w:rFonts w:hint="eastAsia"/>
                <w:color w:val="000000"/>
                <w:szCs w:val="21"/>
              </w:rPr>
              <w:t>福建莆田</w:t>
            </w:r>
          </w:p>
        </w:tc>
        <w:tc>
          <w:tcPr>
            <w:tcW w:w="519" w:type="pct"/>
            <w:vAlign w:val="center"/>
          </w:tcPr>
          <w:p>
            <w:pPr>
              <w:jc w:val="center"/>
              <w:rPr>
                <w:color w:val="000000"/>
                <w:szCs w:val="21"/>
              </w:rPr>
            </w:pPr>
            <w:r>
              <w:rPr>
                <w:rFonts w:hint="eastAsia"/>
                <w:color w:val="000000"/>
                <w:szCs w:val="21"/>
              </w:rPr>
              <w:t>福建莆田</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物泊车联网(深圳)有限公司</w:t>
            </w:r>
          </w:p>
        </w:tc>
        <w:tc>
          <w:tcPr>
            <w:tcW w:w="587" w:type="pct"/>
            <w:vAlign w:val="center"/>
          </w:tcPr>
          <w:p>
            <w:pPr>
              <w:jc w:val="center"/>
              <w:rPr>
                <w:color w:val="000000"/>
                <w:szCs w:val="21"/>
              </w:rPr>
            </w:pPr>
            <w:r>
              <w:rPr>
                <w:rFonts w:hint="eastAsia"/>
                <w:color w:val="000000"/>
                <w:szCs w:val="21"/>
              </w:rPr>
              <w:t>广东深圳</w:t>
            </w:r>
          </w:p>
        </w:tc>
        <w:tc>
          <w:tcPr>
            <w:tcW w:w="519" w:type="pct"/>
            <w:vAlign w:val="center"/>
          </w:tcPr>
          <w:p>
            <w:pPr>
              <w:jc w:val="center"/>
              <w:rPr>
                <w:color w:val="000000"/>
                <w:szCs w:val="21"/>
              </w:rPr>
            </w:pPr>
            <w:r>
              <w:rPr>
                <w:rFonts w:hint="eastAsia"/>
                <w:color w:val="000000"/>
                <w:szCs w:val="21"/>
              </w:rPr>
              <w:t>广东深圳</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天津物泊能源科技有限公司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连云港星链物流有限公司</w:t>
            </w:r>
          </w:p>
        </w:tc>
        <w:tc>
          <w:tcPr>
            <w:tcW w:w="587" w:type="pct"/>
            <w:vAlign w:val="center"/>
          </w:tcPr>
          <w:p>
            <w:pPr>
              <w:jc w:val="center"/>
              <w:rPr>
                <w:color w:val="000000"/>
                <w:szCs w:val="21"/>
              </w:rPr>
            </w:pPr>
            <w:r>
              <w:rPr>
                <w:rFonts w:hint="eastAsia"/>
                <w:color w:val="000000"/>
                <w:szCs w:val="21"/>
              </w:rPr>
              <w:t>江苏连云港</w:t>
            </w:r>
          </w:p>
        </w:tc>
        <w:tc>
          <w:tcPr>
            <w:tcW w:w="519" w:type="pct"/>
            <w:vAlign w:val="center"/>
          </w:tcPr>
          <w:p>
            <w:pPr>
              <w:jc w:val="center"/>
              <w:rPr>
                <w:color w:val="000000"/>
                <w:szCs w:val="21"/>
              </w:rPr>
            </w:pPr>
            <w:r>
              <w:rPr>
                <w:rFonts w:hint="eastAsia"/>
                <w:color w:val="000000"/>
                <w:szCs w:val="21"/>
              </w:rPr>
              <w:t>江苏连云港</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物泊科技(临汾)有限公司</w:t>
            </w:r>
          </w:p>
        </w:tc>
        <w:tc>
          <w:tcPr>
            <w:tcW w:w="587" w:type="pct"/>
            <w:vAlign w:val="center"/>
          </w:tcPr>
          <w:p>
            <w:pPr>
              <w:jc w:val="center"/>
              <w:rPr>
                <w:color w:val="000000"/>
                <w:szCs w:val="21"/>
              </w:rPr>
            </w:pPr>
            <w:r>
              <w:rPr>
                <w:rFonts w:hint="eastAsia"/>
                <w:color w:val="000000"/>
                <w:szCs w:val="21"/>
              </w:rPr>
              <w:t>山西临汾</w:t>
            </w:r>
          </w:p>
        </w:tc>
        <w:tc>
          <w:tcPr>
            <w:tcW w:w="519" w:type="pct"/>
            <w:vAlign w:val="center"/>
          </w:tcPr>
          <w:p>
            <w:pPr>
              <w:jc w:val="center"/>
              <w:rPr>
                <w:color w:val="000000"/>
                <w:szCs w:val="21"/>
              </w:rPr>
            </w:pPr>
            <w:r>
              <w:rPr>
                <w:rFonts w:hint="eastAsia"/>
                <w:color w:val="000000"/>
                <w:szCs w:val="21"/>
              </w:rPr>
              <w:t>山西临汾</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四川物泊科技有限公司</w:t>
            </w:r>
          </w:p>
        </w:tc>
        <w:tc>
          <w:tcPr>
            <w:tcW w:w="587" w:type="pct"/>
            <w:vAlign w:val="center"/>
          </w:tcPr>
          <w:p>
            <w:pPr>
              <w:jc w:val="center"/>
              <w:rPr>
                <w:color w:val="000000"/>
                <w:szCs w:val="21"/>
              </w:rPr>
            </w:pPr>
            <w:r>
              <w:rPr>
                <w:rFonts w:hint="eastAsia"/>
                <w:color w:val="000000"/>
                <w:szCs w:val="21"/>
              </w:rPr>
              <w:t>四川雅安</w:t>
            </w:r>
          </w:p>
        </w:tc>
        <w:tc>
          <w:tcPr>
            <w:tcW w:w="519" w:type="pct"/>
            <w:vAlign w:val="center"/>
          </w:tcPr>
          <w:p>
            <w:pPr>
              <w:jc w:val="center"/>
              <w:rPr>
                <w:color w:val="000000"/>
                <w:szCs w:val="21"/>
              </w:rPr>
            </w:pPr>
            <w:r>
              <w:rPr>
                <w:rFonts w:hint="eastAsia"/>
                <w:color w:val="000000"/>
                <w:szCs w:val="21"/>
              </w:rPr>
              <w:t>四川雅安</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连云港奥泊源物流科技有限公司</w:t>
            </w:r>
          </w:p>
        </w:tc>
        <w:tc>
          <w:tcPr>
            <w:tcW w:w="587" w:type="pct"/>
            <w:vAlign w:val="center"/>
          </w:tcPr>
          <w:p>
            <w:pPr>
              <w:jc w:val="center"/>
              <w:rPr>
                <w:color w:val="000000"/>
                <w:szCs w:val="21"/>
              </w:rPr>
            </w:pPr>
            <w:r>
              <w:rPr>
                <w:rFonts w:hint="eastAsia"/>
                <w:color w:val="000000"/>
                <w:szCs w:val="21"/>
              </w:rPr>
              <w:t>江苏连云港</w:t>
            </w:r>
          </w:p>
        </w:tc>
        <w:tc>
          <w:tcPr>
            <w:tcW w:w="519" w:type="pct"/>
            <w:vAlign w:val="center"/>
          </w:tcPr>
          <w:p>
            <w:pPr>
              <w:jc w:val="center"/>
              <w:rPr>
                <w:color w:val="000000"/>
                <w:szCs w:val="21"/>
              </w:rPr>
            </w:pPr>
            <w:r>
              <w:rPr>
                <w:rFonts w:hint="eastAsia"/>
                <w:color w:val="000000"/>
                <w:szCs w:val="21"/>
              </w:rPr>
              <w:t>江苏连云港</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40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湖南物泊科技有限公司</w:t>
            </w:r>
          </w:p>
        </w:tc>
        <w:tc>
          <w:tcPr>
            <w:tcW w:w="587" w:type="pct"/>
            <w:vAlign w:val="center"/>
          </w:tcPr>
          <w:p>
            <w:pPr>
              <w:jc w:val="center"/>
              <w:rPr>
                <w:color w:val="000000"/>
                <w:szCs w:val="21"/>
              </w:rPr>
            </w:pPr>
            <w:r>
              <w:rPr>
                <w:rFonts w:hint="eastAsia"/>
                <w:color w:val="000000"/>
                <w:szCs w:val="21"/>
              </w:rPr>
              <w:t>湖南岳阳</w:t>
            </w:r>
          </w:p>
        </w:tc>
        <w:tc>
          <w:tcPr>
            <w:tcW w:w="519" w:type="pct"/>
            <w:vAlign w:val="center"/>
          </w:tcPr>
          <w:p>
            <w:pPr>
              <w:jc w:val="center"/>
              <w:rPr>
                <w:color w:val="000000"/>
                <w:szCs w:val="21"/>
              </w:rPr>
            </w:pPr>
            <w:r>
              <w:rPr>
                <w:rFonts w:hint="eastAsia"/>
                <w:color w:val="000000"/>
                <w:szCs w:val="21"/>
              </w:rPr>
              <w:t>湖南岳阳</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山东山港舟道物泊信息科技有限公司</w:t>
            </w:r>
          </w:p>
        </w:tc>
        <w:tc>
          <w:tcPr>
            <w:tcW w:w="587" w:type="pct"/>
            <w:vAlign w:val="center"/>
          </w:tcPr>
          <w:p>
            <w:pPr>
              <w:jc w:val="center"/>
              <w:rPr>
                <w:color w:val="000000"/>
                <w:szCs w:val="21"/>
              </w:rPr>
            </w:pPr>
            <w:r>
              <w:rPr>
                <w:rFonts w:hint="eastAsia"/>
                <w:color w:val="000000"/>
                <w:szCs w:val="21"/>
              </w:rPr>
              <w:t>山东日照</w:t>
            </w:r>
          </w:p>
        </w:tc>
        <w:tc>
          <w:tcPr>
            <w:tcW w:w="519" w:type="pct"/>
            <w:vAlign w:val="center"/>
          </w:tcPr>
          <w:p>
            <w:pPr>
              <w:jc w:val="center"/>
              <w:rPr>
                <w:color w:val="000000"/>
                <w:szCs w:val="21"/>
              </w:rPr>
            </w:pPr>
            <w:r>
              <w:rPr>
                <w:rFonts w:hint="eastAsia"/>
                <w:color w:val="000000"/>
                <w:szCs w:val="21"/>
              </w:rPr>
              <w:t>山东日照</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徐州祺湖网络科技有限公司</w:t>
            </w:r>
          </w:p>
        </w:tc>
        <w:tc>
          <w:tcPr>
            <w:tcW w:w="587" w:type="pct"/>
            <w:vAlign w:val="center"/>
          </w:tcPr>
          <w:p>
            <w:pPr>
              <w:jc w:val="center"/>
              <w:rPr>
                <w:color w:val="000000"/>
                <w:szCs w:val="21"/>
              </w:rPr>
            </w:pPr>
            <w:r>
              <w:rPr>
                <w:rFonts w:hint="eastAsia"/>
                <w:color w:val="000000"/>
                <w:szCs w:val="21"/>
              </w:rPr>
              <w:t>江苏徐州</w:t>
            </w:r>
          </w:p>
        </w:tc>
        <w:tc>
          <w:tcPr>
            <w:tcW w:w="519" w:type="pct"/>
            <w:vAlign w:val="center"/>
          </w:tcPr>
          <w:p>
            <w:pPr>
              <w:jc w:val="center"/>
              <w:rPr>
                <w:color w:val="000000"/>
                <w:szCs w:val="21"/>
              </w:rPr>
            </w:pPr>
            <w:r>
              <w:rPr>
                <w:rFonts w:hint="eastAsia"/>
                <w:color w:val="000000"/>
                <w:szCs w:val="21"/>
              </w:rPr>
              <w:t>江苏徐州</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物泊科技(祁县)有限公司</w:t>
            </w:r>
          </w:p>
        </w:tc>
        <w:tc>
          <w:tcPr>
            <w:tcW w:w="587" w:type="pct"/>
            <w:vAlign w:val="center"/>
          </w:tcPr>
          <w:p>
            <w:pPr>
              <w:jc w:val="center"/>
              <w:rPr>
                <w:color w:val="000000"/>
                <w:szCs w:val="21"/>
              </w:rPr>
            </w:pPr>
            <w:r>
              <w:rPr>
                <w:rFonts w:hint="eastAsia"/>
                <w:color w:val="000000"/>
                <w:szCs w:val="21"/>
              </w:rPr>
              <w:t>山西晋中</w:t>
            </w:r>
          </w:p>
        </w:tc>
        <w:tc>
          <w:tcPr>
            <w:tcW w:w="519" w:type="pct"/>
            <w:vAlign w:val="center"/>
          </w:tcPr>
          <w:p>
            <w:pPr>
              <w:jc w:val="center"/>
              <w:rPr>
                <w:color w:val="000000"/>
                <w:szCs w:val="21"/>
              </w:rPr>
            </w:pPr>
            <w:r>
              <w:rPr>
                <w:rFonts w:hint="eastAsia"/>
                <w:color w:val="000000"/>
                <w:szCs w:val="21"/>
              </w:rPr>
              <w:t>山西晋中</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聚鑫物云科技(曲沃)有限公司</w:t>
            </w:r>
          </w:p>
        </w:tc>
        <w:tc>
          <w:tcPr>
            <w:tcW w:w="587" w:type="pct"/>
            <w:vAlign w:val="center"/>
          </w:tcPr>
          <w:p>
            <w:pPr>
              <w:jc w:val="center"/>
              <w:rPr>
                <w:color w:val="000000"/>
                <w:szCs w:val="21"/>
              </w:rPr>
            </w:pPr>
            <w:r>
              <w:rPr>
                <w:rFonts w:hint="eastAsia"/>
                <w:color w:val="000000"/>
                <w:szCs w:val="21"/>
              </w:rPr>
              <w:t>山西临汾</w:t>
            </w:r>
          </w:p>
        </w:tc>
        <w:tc>
          <w:tcPr>
            <w:tcW w:w="519" w:type="pct"/>
            <w:vAlign w:val="center"/>
          </w:tcPr>
          <w:p>
            <w:pPr>
              <w:jc w:val="center"/>
              <w:rPr>
                <w:color w:val="000000"/>
                <w:szCs w:val="21"/>
              </w:rPr>
            </w:pPr>
            <w:r>
              <w:rPr>
                <w:rFonts w:hint="eastAsia"/>
                <w:color w:val="000000"/>
                <w:szCs w:val="21"/>
              </w:rPr>
              <w:t>山西临汾</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lastRenderedPageBreak/>
              <w:t>唐山物泊供应链管理有限公司</w:t>
            </w:r>
          </w:p>
        </w:tc>
        <w:tc>
          <w:tcPr>
            <w:tcW w:w="587" w:type="pct"/>
            <w:vAlign w:val="center"/>
          </w:tcPr>
          <w:p>
            <w:pPr>
              <w:jc w:val="center"/>
              <w:rPr>
                <w:color w:val="000000"/>
                <w:szCs w:val="21"/>
              </w:rPr>
            </w:pPr>
            <w:r>
              <w:rPr>
                <w:rFonts w:hint="eastAsia"/>
                <w:color w:val="000000"/>
                <w:szCs w:val="21"/>
              </w:rPr>
              <w:t>河北唐山</w:t>
            </w:r>
          </w:p>
        </w:tc>
        <w:tc>
          <w:tcPr>
            <w:tcW w:w="519" w:type="pct"/>
            <w:vAlign w:val="center"/>
          </w:tcPr>
          <w:p>
            <w:pPr>
              <w:jc w:val="center"/>
              <w:rPr>
                <w:color w:val="000000"/>
                <w:szCs w:val="21"/>
              </w:rPr>
            </w:pPr>
            <w:r>
              <w:rPr>
                <w:rFonts w:hint="eastAsia"/>
                <w:color w:val="000000"/>
                <w:szCs w:val="21"/>
              </w:rPr>
              <w:t>河北唐山</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宁波物泊明程物流有限公司</w:t>
            </w:r>
          </w:p>
        </w:tc>
        <w:tc>
          <w:tcPr>
            <w:tcW w:w="587" w:type="pct"/>
            <w:vAlign w:val="center"/>
          </w:tcPr>
          <w:p>
            <w:pPr>
              <w:jc w:val="center"/>
              <w:rPr>
                <w:color w:val="000000"/>
                <w:szCs w:val="21"/>
              </w:rPr>
            </w:pPr>
            <w:r>
              <w:rPr>
                <w:rFonts w:hint="eastAsia"/>
                <w:color w:val="000000"/>
                <w:szCs w:val="21"/>
              </w:rPr>
              <w:t>浙江宁波</w:t>
            </w:r>
          </w:p>
        </w:tc>
        <w:tc>
          <w:tcPr>
            <w:tcW w:w="519" w:type="pct"/>
            <w:vAlign w:val="center"/>
          </w:tcPr>
          <w:p>
            <w:pPr>
              <w:jc w:val="center"/>
              <w:rPr>
                <w:color w:val="000000"/>
                <w:szCs w:val="21"/>
              </w:rPr>
            </w:pPr>
            <w:r>
              <w:rPr>
                <w:rFonts w:hint="eastAsia"/>
                <w:color w:val="000000"/>
                <w:szCs w:val="21"/>
              </w:rPr>
              <w:t>浙江宁波</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65</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江苏星链智能科技有限公司</w:t>
            </w:r>
          </w:p>
        </w:tc>
        <w:tc>
          <w:tcPr>
            <w:tcW w:w="587" w:type="pct"/>
            <w:vAlign w:val="center"/>
          </w:tcPr>
          <w:p>
            <w:pPr>
              <w:jc w:val="center"/>
              <w:rPr>
                <w:color w:val="000000"/>
                <w:szCs w:val="21"/>
              </w:rPr>
            </w:pPr>
            <w:r>
              <w:rPr>
                <w:rFonts w:hint="eastAsia"/>
                <w:color w:val="000000"/>
                <w:szCs w:val="21"/>
              </w:rPr>
              <w:t>江苏南通</w:t>
            </w:r>
          </w:p>
        </w:tc>
        <w:tc>
          <w:tcPr>
            <w:tcW w:w="519" w:type="pct"/>
            <w:vAlign w:val="center"/>
          </w:tcPr>
          <w:p>
            <w:pPr>
              <w:jc w:val="center"/>
              <w:rPr>
                <w:color w:val="000000"/>
                <w:szCs w:val="21"/>
              </w:rPr>
            </w:pPr>
            <w:r>
              <w:rPr>
                <w:rFonts w:hint="eastAsia"/>
                <w:color w:val="000000"/>
                <w:szCs w:val="21"/>
              </w:rPr>
              <w:t>江苏南通</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50.16</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福建星链智行科技有限公司</w:t>
            </w:r>
          </w:p>
        </w:tc>
        <w:tc>
          <w:tcPr>
            <w:tcW w:w="587" w:type="pct"/>
            <w:vAlign w:val="center"/>
          </w:tcPr>
          <w:p>
            <w:pPr>
              <w:jc w:val="center"/>
              <w:rPr>
                <w:color w:val="000000"/>
                <w:szCs w:val="21"/>
              </w:rPr>
            </w:pPr>
            <w:r>
              <w:rPr>
                <w:rFonts w:hint="eastAsia"/>
                <w:color w:val="000000"/>
                <w:szCs w:val="21"/>
              </w:rPr>
              <w:t>福建莆田</w:t>
            </w:r>
          </w:p>
        </w:tc>
        <w:tc>
          <w:tcPr>
            <w:tcW w:w="519" w:type="pct"/>
            <w:vAlign w:val="center"/>
          </w:tcPr>
          <w:p>
            <w:pPr>
              <w:jc w:val="center"/>
              <w:rPr>
                <w:color w:val="000000"/>
                <w:szCs w:val="21"/>
              </w:rPr>
            </w:pPr>
            <w:r>
              <w:rPr>
                <w:rFonts w:hint="eastAsia"/>
                <w:color w:val="000000"/>
                <w:szCs w:val="21"/>
              </w:rPr>
              <w:t>福建莆田</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山西晋钢物泊运输有限公司</w:t>
            </w:r>
          </w:p>
        </w:tc>
        <w:tc>
          <w:tcPr>
            <w:tcW w:w="587" w:type="pct"/>
            <w:vAlign w:val="center"/>
          </w:tcPr>
          <w:p>
            <w:pPr>
              <w:jc w:val="center"/>
              <w:rPr>
                <w:color w:val="000000"/>
                <w:szCs w:val="21"/>
              </w:rPr>
            </w:pPr>
            <w:r>
              <w:rPr>
                <w:rFonts w:hint="eastAsia"/>
                <w:color w:val="000000"/>
                <w:szCs w:val="21"/>
              </w:rPr>
              <w:t>山西晋城</w:t>
            </w:r>
          </w:p>
        </w:tc>
        <w:tc>
          <w:tcPr>
            <w:tcW w:w="519" w:type="pct"/>
            <w:vAlign w:val="center"/>
          </w:tcPr>
          <w:p>
            <w:pPr>
              <w:jc w:val="center"/>
              <w:rPr>
                <w:color w:val="000000"/>
                <w:szCs w:val="21"/>
              </w:rPr>
            </w:pPr>
            <w:r>
              <w:rPr>
                <w:rFonts w:hint="eastAsia"/>
                <w:color w:val="000000"/>
                <w:szCs w:val="21"/>
              </w:rPr>
              <w:t>山西晋城</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40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福建仙悦投资有限责任公司</w:t>
            </w:r>
          </w:p>
        </w:tc>
        <w:tc>
          <w:tcPr>
            <w:tcW w:w="587" w:type="pct"/>
            <w:vAlign w:val="center"/>
          </w:tcPr>
          <w:p>
            <w:pPr>
              <w:jc w:val="center"/>
              <w:rPr>
                <w:color w:val="000000"/>
                <w:szCs w:val="21"/>
              </w:rPr>
            </w:pPr>
            <w:r>
              <w:rPr>
                <w:rFonts w:hint="eastAsia"/>
                <w:color w:val="000000"/>
                <w:szCs w:val="21"/>
              </w:rPr>
              <w:t>福建莆田</w:t>
            </w:r>
          </w:p>
        </w:tc>
        <w:tc>
          <w:tcPr>
            <w:tcW w:w="519" w:type="pct"/>
            <w:vAlign w:val="center"/>
          </w:tcPr>
          <w:p>
            <w:pPr>
              <w:jc w:val="center"/>
              <w:rPr>
                <w:color w:val="000000"/>
                <w:szCs w:val="21"/>
              </w:rPr>
            </w:pPr>
            <w:r>
              <w:rPr>
                <w:rFonts w:hint="eastAsia"/>
                <w:color w:val="000000"/>
                <w:szCs w:val="21"/>
              </w:rPr>
              <w:t>福建莆田</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物泊国际物流(营口)有限公司</w:t>
            </w:r>
          </w:p>
        </w:tc>
        <w:tc>
          <w:tcPr>
            <w:tcW w:w="587" w:type="pct"/>
            <w:vAlign w:val="center"/>
          </w:tcPr>
          <w:p>
            <w:pPr>
              <w:jc w:val="center"/>
              <w:rPr>
                <w:color w:val="000000"/>
                <w:szCs w:val="21"/>
              </w:rPr>
            </w:pPr>
            <w:r>
              <w:rPr>
                <w:rFonts w:hint="eastAsia"/>
                <w:color w:val="000000"/>
                <w:szCs w:val="21"/>
              </w:rPr>
              <w:t>辽宁营口</w:t>
            </w:r>
          </w:p>
        </w:tc>
        <w:tc>
          <w:tcPr>
            <w:tcW w:w="519" w:type="pct"/>
            <w:vAlign w:val="center"/>
          </w:tcPr>
          <w:p>
            <w:pPr>
              <w:jc w:val="center"/>
              <w:rPr>
                <w:color w:val="000000"/>
                <w:szCs w:val="21"/>
              </w:rPr>
            </w:pPr>
            <w:r>
              <w:rPr>
                <w:rFonts w:hint="eastAsia"/>
                <w:color w:val="000000"/>
                <w:szCs w:val="21"/>
              </w:rPr>
              <w:t>辽宁营口</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物泊科技(武安)有限公司</w:t>
            </w:r>
          </w:p>
        </w:tc>
        <w:tc>
          <w:tcPr>
            <w:tcW w:w="587" w:type="pct"/>
            <w:vAlign w:val="center"/>
          </w:tcPr>
          <w:p>
            <w:pPr>
              <w:jc w:val="center"/>
              <w:rPr>
                <w:color w:val="000000"/>
                <w:szCs w:val="21"/>
              </w:rPr>
            </w:pPr>
            <w:r>
              <w:rPr>
                <w:rFonts w:hint="eastAsia"/>
                <w:color w:val="000000"/>
                <w:szCs w:val="21"/>
              </w:rPr>
              <w:t>河北邯郸</w:t>
            </w:r>
          </w:p>
        </w:tc>
        <w:tc>
          <w:tcPr>
            <w:tcW w:w="519" w:type="pct"/>
            <w:vAlign w:val="center"/>
          </w:tcPr>
          <w:p>
            <w:pPr>
              <w:jc w:val="center"/>
              <w:rPr>
                <w:color w:val="000000"/>
                <w:szCs w:val="21"/>
              </w:rPr>
            </w:pPr>
            <w:r>
              <w:rPr>
                <w:rFonts w:hint="eastAsia"/>
                <w:color w:val="000000"/>
                <w:szCs w:val="21"/>
              </w:rPr>
              <w:t>河北邯郸</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66</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物泊科技(乌鲁木齐)有限公司</w:t>
            </w:r>
          </w:p>
        </w:tc>
        <w:tc>
          <w:tcPr>
            <w:tcW w:w="587" w:type="pct"/>
            <w:vAlign w:val="center"/>
          </w:tcPr>
          <w:p>
            <w:pPr>
              <w:jc w:val="center"/>
              <w:rPr>
                <w:color w:val="000000"/>
                <w:szCs w:val="21"/>
              </w:rPr>
            </w:pPr>
            <w:r>
              <w:rPr>
                <w:rFonts w:hint="eastAsia"/>
                <w:color w:val="000000"/>
                <w:szCs w:val="21"/>
              </w:rPr>
              <w:t>新疆乌鲁木齐</w:t>
            </w:r>
          </w:p>
        </w:tc>
        <w:tc>
          <w:tcPr>
            <w:tcW w:w="519" w:type="pct"/>
            <w:vAlign w:val="center"/>
          </w:tcPr>
          <w:p>
            <w:pPr>
              <w:jc w:val="center"/>
              <w:rPr>
                <w:color w:val="000000"/>
                <w:szCs w:val="21"/>
              </w:rPr>
            </w:pPr>
            <w:r>
              <w:rPr>
                <w:rFonts w:hint="eastAsia"/>
                <w:color w:val="000000"/>
                <w:szCs w:val="21"/>
              </w:rPr>
              <w:t>新疆乌鲁木齐</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物泊科技(新疆)有限公司</w:t>
            </w:r>
          </w:p>
        </w:tc>
        <w:tc>
          <w:tcPr>
            <w:tcW w:w="587" w:type="pct"/>
            <w:vAlign w:val="center"/>
          </w:tcPr>
          <w:p>
            <w:pPr>
              <w:jc w:val="center"/>
              <w:rPr>
                <w:color w:val="000000"/>
                <w:szCs w:val="21"/>
              </w:rPr>
            </w:pPr>
            <w:r>
              <w:rPr>
                <w:rFonts w:hint="eastAsia"/>
                <w:color w:val="000000"/>
                <w:szCs w:val="21"/>
              </w:rPr>
              <w:t>新疆喀什</w:t>
            </w:r>
          </w:p>
        </w:tc>
        <w:tc>
          <w:tcPr>
            <w:tcW w:w="519" w:type="pct"/>
            <w:vAlign w:val="center"/>
          </w:tcPr>
          <w:p>
            <w:pPr>
              <w:jc w:val="center"/>
              <w:rPr>
                <w:color w:val="000000"/>
                <w:szCs w:val="21"/>
              </w:rPr>
            </w:pPr>
            <w:r>
              <w:rPr>
                <w:rFonts w:hint="eastAsia"/>
                <w:color w:val="000000"/>
                <w:szCs w:val="21"/>
              </w:rPr>
              <w:t>新疆喀什</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物泊(上海)数字科技有限公司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天津物泊网络科技有限公司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物泊科技(江苏)有限公司</w:t>
            </w:r>
          </w:p>
        </w:tc>
        <w:tc>
          <w:tcPr>
            <w:tcW w:w="587" w:type="pct"/>
            <w:vAlign w:val="center"/>
          </w:tcPr>
          <w:p>
            <w:pPr>
              <w:jc w:val="center"/>
              <w:rPr>
                <w:color w:val="000000"/>
                <w:szCs w:val="21"/>
              </w:rPr>
            </w:pPr>
            <w:r>
              <w:rPr>
                <w:rFonts w:hint="eastAsia"/>
                <w:color w:val="000000"/>
                <w:szCs w:val="21"/>
              </w:rPr>
              <w:t>江苏盐城</w:t>
            </w:r>
          </w:p>
        </w:tc>
        <w:tc>
          <w:tcPr>
            <w:tcW w:w="519" w:type="pct"/>
            <w:vAlign w:val="center"/>
          </w:tcPr>
          <w:p>
            <w:pPr>
              <w:jc w:val="center"/>
              <w:rPr>
                <w:color w:val="000000"/>
                <w:szCs w:val="21"/>
              </w:rPr>
            </w:pPr>
            <w:r>
              <w:rPr>
                <w:rFonts w:hint="eastAsia"/>
                <w:color w:val="000000"/>
                <w:szCs w:val="21"/>
              </w:rPr>
              <w:t>江苏盐城</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天津物泊航运科技有限公司</w:t>
            </w:r>
          </w:p>
        </w:tc>
        <w:tc>
          <w:tcPr>
            <w:tcW w:w="587" w:type="pct"/>
            <w:vAlign w:val="center"/>
          </w:tcPr>
          <w:p>
            <w:pPr>
              <w:jc w:val="center"/>
              <w:rPr>
                <w:color w:val="000000"/>
                <w:szCs w:val="21"/>
              </w:rPr>
            </w:pPr>
            <w:r>
              <w:rPr>
                <w:rFonts w:hint="eastAsia"/>
                <w:color w:val="000000"/>
                <w:szCs w:val="21"/>
              </w:rPr>
              <w:t>天津</w:t>
            </w:r>
          </w:p>
        </w:tc>
        <w:tc>
          <w:tcPr>
            <w:tcW w:w="519" w:type="pct"/>
            <w:vAlign w:val="center"/>
          </w:tcPr>
          <w:p>
            <w:pPr>
              <w:jc w:val="center"/>
              <w:rPr>
                <w:color w:val="000000"/>
                <w:szCs w:val="21"/>
              </w:rPr>
            </w:pPr>
            <w:r>
              <w:rPr>
                <w:rFonts w:hint="eastAsia"/>
                <w:color w:val="000000"/>
                <w:szCs w:val="21"/>
              </w:rPr>
              <w:t>天津</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安徽物泊科技有限公司</w:t>
            </w:r>
          </w:p>
        </w:tc>
        <w:tc>
          <w:tcPr>
            <w:tcW w:w="587" w:type="pct"/>
            <w:vAlign w:val="center"/>
          </w:tcPr>
          <w:p>
            <w:pPr>
              <w:jc w:val="center"/>
              <w:rPr>
                <w:color w:val="000000"/>
                <w:szCs w:val="21"/>
              </w:rPr>
            </w:pPr>
            <w:r>
              <w:rPr>
                <w:rFonts w:hint="eastAsia"/>
                <w:color w:val="000000"/>
                <w:szCs w:val="21"/>
              </w:rPr>
              <w:t>安徽芜湖</w:t>
            </w:r>
          </w:p>
        </w:tc>
        <w:tc>
          <w:tcPr>
            <w:tcW w:w="519" w:type="pct"/>
            <w:vAlign w:val="center"/>
          </w:tcPr>
          <w:p>
            <w:pPr>
              <w:jc w:val="center"/>
              <w:rPr>
                <w:color w:val="000000"/>
                <w:szCs w:val="21"/>
              </w:rPr>
            </w:pPr>
            <w:r>
              <w:rPr>
                <w:rFonts w:hint="eastAsia"/>
                <w:color w:val="000000"/>
                <w:szCs w:val="21"/>
              </w:rPr>
              <w:t>安徽芜湖</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安徽东铭物泊科技有限公司</w:t>
            </w:r>
          </w:p>
        </w:tc>
        <w:tc>
          <w:tcPr>
            <w:tcW w:w="587" w:type="pct"/>
            <w:vAlign w:val="center"/>
          </w:tcPr>
          <w:p>
            <w:pPr>
              <w:jc w:val="center"/>
              <w:rPr>
                <w:color w:val="000000"/>
                <w:szCs w:val="21"/>
              </w:rPr>
            </w:pPr>
            <w:r>
              <w:rPr>
                <w:rFonts w:hint="eastAsia"/>
                <w:color w:val="000000"/>
                <w:szCs w:val="21"/>
              </w:rPr>
              <w:t>安徽马鞍山</w:t>
            </w:r>
          </w:p>
        </w:tc>
        <w:tc>
          <w:tcPr>
            <w:tcW w:w="519" w:type="pct"/>
            <w:vAlign w:val="center"/>
          </w:tcPr>
          <w:p>
            <w:pPr>
              <w:jc w:val="center"/>
              <w:rPr>
                <w:color w:val="000000"/>
                <w:szCs w:val="21"/>
              </w:rPr>
            </w:pPr>
            <w:r>
              <w:rPr>
                <w:rFonts w:hint="eastAsia"/>
                <w:color w:val="000000"/>
                <w:szCs w:val="21"/>
              </w:rPr>
              <w:t>安徽马鞍山</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甘肃物泊科技有限公司</w:t>
            </w:r>
          </w:p>
        </w:tc>
        <w:tc>
          <w:tcPr>
            <w:tcW w:w="587" w:type="pct"/>
            <w:vAlign w:val="center"/>
          </w:tcPr>
          <w:p>
            <w:pPr>
              <w:jc w:val="center"/>
              <w:rPr>
                <w:color w:val="000000"/>
                <w:szCs w:val="21"/>
              </w:rPr>
            </w:pPr>
            <w:r>
              <w:rPr>
                <w:rFonts w:hint="eastAsia"/>
                <w:color w:val="000000"/>
                <w:szCs w:val="21"/>
              </w:rPr>
              <w:t>甘肃金昌</w:t>
            </w:r>
          </w:p>
        </w:tc>
        <w:tc>
          <w:tcPr>
            <w:tcW w:w="519" w:type="pct"/>
            <w:vAlign w:val="center"/>
          </w:tcPr>
          <w:p>
            <w:pPr>
              <w:jc w:val="center"/>
              <w:rPr>
                <w:color w:val="000000"/>
                <w:szCs w:val="21"/>
              </w:rPr>
            </w:pPr>
            <w:r>
              <w:rPr>
                <w:rFonts w:hint="eastAsia"/>
                <w:color w:val="000000"/>
                <w:szCs w:val="21"/>
              </w:rPr>
              <w:t>甘肃金昌</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100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贵州物泊科技有限公司</w:t>
            </w:r>
          </w:p>
        </w:tc>
        <w:tc>
          <w:tcPr>
            <w:tcW w:w="587" w:type="pct"/>
            <w:vAlign w:val="center"/>
          </w:tcPr>
          <w:p>
            <w:pPr>
              <w:jc w:val="center"/>
              <w:rPr>
                <w:color w:val="000000"/>
                <w:szCs w:val="21"/>
              </w:rPr>
            </w:pPr>
            <w:r>
              <w:rPr>
                <w:rFonts w:hint="eastAsia"/>
                <w:color w:val="000000"/>
                <w:szCs w:val="21"/>
              </w:rPr>
              <w:t>贵州铜仁</w:t>
            </w:r>
          </w:p>
        </w:tc>
        <w:tc>
          <w:tcPr>
            <w:tcW w:w="519" w:type="pct"/>
            <w:vAlign w:val="center"/>
          </w:tcPr>
          <w:p>
            <w:pPr>
              <w:jc w:val="center"/>
              <w:rPr>
                <w:color w:val="000000"/>
                <w:szCs w:val="21"/>
              </w:rPr>
            </w:pPr>
            <w:r>
              <w:rPr>
                <w:rFonts w:hint="eastAsia"/>
                <w:color w:val="000000"/>
                <w:szCs w:val="21"/>
              </w:rPr>
              <w:t>贵州铜仁</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70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甘肃旬安物泊数字科技有限公司</w:t>
            </w:r>
          </w:p>
        </w:tc>
        <w:tc>
          <w:tcPr>
            <w:tcW w:w="587" w:type="pct"/>
            <w:vAlign w:val="center"/>
          </w:tcPr>
          <w:p>
            <w:pPr>
              <w:jc w:val="center"/>
              <w:rPr>
                <w:color w:val="000000"/>
                <w:szCs w:val="21"/>
              </w:rPr>
            </w:pPr>
            <w:r>
              <w:rPr>
                <w:rFonts w:hint="eastAsia"/>
                <w:color w:val="000000"/>
                <w:szCs w:val="21"/>
              </w:rPr>
              <w:t>甘肃金昌</w:t>
            </w:r>
          </w:p>
        </w:tc>
        <w:tc>
          <w:tcPr>
            <w:tcW w:w="519" w:type="pct"/>
            <w:vAlign w:val="center"/>
          </w:tcPr>
          <w:p>
            <w:pPr>
              <w:jc w:val="center"/>
              <w:rPr>
                <w:color w:val="000000"/>
                <w:szCs w:val="21"/>
              </w:rPr>
            </w:pPr>
            <w:r>
              <w:rPr>
                <w:rFonts w:hint="eastAsia"/>
                <w:color w:val="000000"/>
                <w:szCs w:val="21"/>
              </w:rPr>
              <w:t>甘肃金昌</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40</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重庆物泊快一点科技有限公司</w:t>
            </w:r>
          </w:p>
        </w:tc>
        <w:tc>
          <w:tcPr>
            <w:tcW w:w="587" w:type="pct"/>
            <w:vAlign w:val="center"/>
          </w:tcPr>
          <w:p>
            <w:pPr>
              <w:jc w:val="center"/>
              <w:rPr>
                <w:color w:val="000000"/>
                <w:szCs w:val="21"/>
              </w:rPr>
            </w:pPr>
            <w:r>
              <w:rPr>
                <w:rFonts w:hint="eastAsia"/>
                <w:color w:val="000000"/>
                <w:szCs w:val="21"/>
              </w:rPr>
              <w:t>重庆奉节</w:t>
            </w:r>
          </w:p>
        </w:tc>
        <w:tc>
          <w:tcPr>
            <w:tcW w:w="519" w:type="pct"/>
            <w:vAlign w:val="center"/>
          </w:tcPr>
          <w:p>
            <w:pPr>
              <w:jc w:val="center"/>
              <w:rPr>
                <w:color w:val="000000"/>
                <w:szCs w:val="21"/>
              </w:rPr>
            </w:pPr>
            <w:r>
              <w:rPr>
                <w:rFonts w:hint="eastAsia"/>
                <w:color w:val="000000"/>
                <w:szCs w:val="21"/>
              </w:rPr>
              <w:t>重庆奉节</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51</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湖南物泊智慧物流科技有限公司</w:t>
            </w:r>
          </w:p>
        </w:tc>
        <w:tc>
          <w:tcPr>
            <w:tcW w:w="587" w:type="pct"/>
            <w:vAlign w:val="center"/>
          </w:tcPr>
          <w:p>
            <w:pPr>
              <w:jc w:val="center"/>
              <w:rPr>
                <w:color w:val="000000"/>
                <w:szCs w:val="21"/>
              </w:rPr>
            </w:pPr>
            <w:r>
              <w:rPr>
                <w:rFonts w:hint="eastAsia"/>
                <w:color w:val="000000"/>
                <w:szCs w:val="21"/>
              </w:rPr>
              <w:t>湖南岳阳</w:t>
            </w:r>
          </w:p>
        </w:tc>
        <w:tc>
          <w:tcPr>
            <w:tcW w:w="519" w:type="pct"/>
            <w:vAlign w:val="center"/>
          </w:tcPr>
          <w:p>
            <w:pPr>
              <w:jc w:val="center"/>
              <w:rPr>
                <w:color w:val="000000"/>
                <w:szCs w:val="21"/>
              </w:rPr>
            </w:pPr>
            <w:r>
              <w:rPr>
                <w:rFonts w:hint="eastAsia"/>
                <w:color w:val="000000"/>
                <w:szCs w:val="21"/>
              </w:rPr>
              <w:t>湖南岳阳</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32</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t>山西物泊绿能第一运输有限公司</w:t>
            </w:r>
          </w:p>
        </w:tc>
        <w:tc>
          <w:tcPr>
            <w:tcW w:w="587" w:type="pct"/>
            <w:vAlign w:val="center"/>
          </w:tcPr>
          <w:p>
            <w:pPr>
              <w:jc w:val="center"/>
              <w:rPr>
                <w:color w:val="000000"/>
                <w:szCs w:val="21"/>
              </w:rPr>
            </w:pPr>
            <w:r>
              <w:rPr>
                <w:rFonts w:hint="eastAsia"/>
                <w:color w:val="000000"/>
                <w:szCs w:val="21"/>
              </w:rPr>
              <w:t>山西晋中</w:t>
            </w:r>
          </w:p>
        </w:tc>
        <w:tc>
          <w:tcPr>
            <w:tcW w:w="519" w:type="pct"/>
            <w:vAlign w:val="center"/>
          </w:tcPr>
          <w:p>
            <w:pPr>
              <w:jc w:val="center"/>
              <w:rPr>
                <w:color w:val="000000"/>
                <w:szCs w:val="21"/>
              </w:rPr>
            </w:pPr>
            <w:r>
              <w:rPr>
                <w:rFonts w:hint="eastAsia"/>
                <w:color w:val="000000"/>
                <w:szCs w:val="21"/>
              </w:rPr>
              <w:t>山西晋中</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45</w:t>
            </w:r>
          </w:p>
        </w:tc>
        <w:tc>
          <w:tcPr>
            <w:tcW w:w="647" w:type="pct"/>
            <w:vAlign w:val="center"/>
          </w:tcPr>
          <w:p>
            <w:pPr>
              <w:rPr>
                <w:color w:val="000000"/>
                <w:szCs w:val="21"/>
              </w:rPr>
            </w:pPr>
            <w:r>
              <w:rPr>
                <w:rFonts w:hint="eastAsia"/>
                <w:color w:val="000000"/>
                <w:szCs w:val="21"/>
              </w:rPr>
              <w:t>非同一控制下企业合并</w:t>
            </w:r>
          </w:p>
        </w:tc>
      </w:tr>
      <w:tr>
        <w:tc>
          <w:tcPr>
            <w:tcW w:w="1556" w:type="pct"/>
            <w:vAlign w:val="center"/>
          </w:tcPr>
          <w:p>
            <w:pPr>
              <w:rPr>
                <w:color w:val="000000"/>
                <w:szCs w:val="21"/>
              </w:rPr>
            </w:pPr>
            <w:r>
              <w:rPr>
                <w:rFonts w:hint="eastAsia"/>
                <w:color w:val="000000"/>
                <w:szCs w:val="21"/>
              </w:rPr>
              <w:lastRenderedPageBreak/>
              <w:t>物泊(上海)供应链科技有限公司</w:t>
            </w:r>
          </w:p>
        </w:tc>
        <w:tc>
          <w:tcPr>
            <w:tcW w:w="587" w:type="pct"/>
            <w:vAlign w:val="center"/>
          </w:tcPr>
          <w:p>
            <w:pPr>
              <w:jc w:val="center"/>
              <w:rPr>
                <w:color w:val="000000"/>
                <w:szCs w:val="21"/>
              </w:rPr>
            </w:pPr>
            <w:r>
              <w:rPr>
                <w:rFonts w:hint="eastAsia"/>
                <w:color w:val="000000"/>
                <w:szCs w:val="21"/>
              </w:rPr>
              <w:t>上海</w:t>
            </w:r>
          </w:p>
        </w:tc>
        <w:tc>
          <w:tcPr>
            <w:tcW w:w="519" w:type="pct"/>
            <w:vAlign w:val="center"/>
          </w:tcPr>
          <w:p>
            <w:pPr>
              <w:jc w:val="center"/>
              <w:rPr>
                <w:color w:val="000000"/>
                <w:szCs w:val="21"/>
              </w:rPr>
            </w:pPr>
            <w:r>
              <w:rPr>
                <w:rFonts w:hint="eastAsia"/>
                <w:color w:val="000000"/>
                <w:szCs w:val="21"/>
              </w:rPr>
              <w:t>上海</w:t>
            </w:r>
          </w:p>
        </w:tc>
        <w:tc>
          <w:tcPr>
            <w:tcW w:w="910" w:type="pct"/>
            <w:vAlign w:val="center"/>
          </w:tcPr>
          <w:p>
            <w:pPr>
              <w:rPr>
                <w:color w:val="000000"/>
                <w:szCs w:val="21"/>
              </w:rPr>
            </w:pPr>
            <w:r>
              <w:rPr>
                <w:rFonts w:hint="eastAsia"/>
                <w:color w:val="000000"/>
                <w:szCs w:val="21"/>
              </w:rPr>
              <w:t>物流运输</w:t>
            </w:r>
          </w:p>
        </w:tc>
        <w:tc>
          <w:tcPr>
            <w:tcW w:w="390" w:type="pct"/>
            <w:vAlign w:val="center"/>
          </w:tcPr>
          <w:p>
            <w:pPr>
              <w:jc w:val="center"/>
              <w:rPr>
                <w:color w:val="000000"/>
                <w:szCs w:val="21"/>
              </w:rPr>
            </w:pPr>
          </w:p>
        </w:tc>
        <w:tc>
          <w:tcPr>
            <w:tcW w:w="391" w:type="pct"/>
            <w:vAlign w:val="center"/>
          </w:tcPr>
          <w:p>
            <w:pPr>
              <w:jc w:val="center"/>
              <w:rPr>
                <w:color w:val="000000"/>
                <w:szCs w:val="21"/>
              </w:rPr>
            </w:pPr>
            <w:r>
              <w:rPr>
                <w:rFonts w:hint="eastAsia"/>
                <w:color w:val="000000"/>
                <w:szCs w:val="21"/>
              </w:rPr>
              <w:t>45</w:t>
            </w:r>
          </w:p>
        </w:tc>
        <w:tc>
          <w:tcPr>
            <w:tcW w:w="647" w:type="pct"/>
            <w:vAlign w:val="center"/>
          </w:tcPr>
          <w:p>
            <w:pPr>
              <w:rPr>
                <w:color w:val="000000"/>
                <w:szCs w:val="21"/>
              </w:rPr>
            </w:pPr>
            <w:r>
              <w:rPr>
                <w:rFonts w:hint="eastAsia"/>
                <w:color w:val="000000"/>
                <w:szCs w:val="21"/>
              </w:rPr>
              <w:t>非同一控制下企业合并</w:t>
            </w:r>
          </w:p>
        </w:tc>
      </w:tr>
    </w:tbl>
    <w:p>
      <w:pPr>
        <w:pStyle w:val="affffffffffffffffff3"/>
      </w:pPr>
    </w:p>
    <w:p>
      <w:pPr>
        <w:rPr>
          <w:rFonts w:cs="Arial"/>
          <w:szCs w:val="21"/>
        </w:rPr>
      </w:pPr>
      <w:r>
        <w:rPr>
          <w:rFonts w:cs="Arial" w:hint="eastAsia"/>
          <w:szCs w:val="21"/>
        </w:rPr>
        <w:t>在子公司的持股比例不同于表决权比例的说明：</w:t>
      </w:r>
    </w:p>
    <w:p>
      <w:pPr>
        <w:rPr>
          <w:rFonts w:cs="Arial"/>
          <w:szCs w:val="21"/>
        </w:rPr>
      </w:pPr>
      <w:sdt>
        <w:sdtPr>
          <w:rPr>
            <w:rFonts w:cs="Arial"/>
            <w:szCs w:val="21"/>
          </w:rPr>
          <w:alias w:val="在子公司的持股比例不同于表决权比例的说明"/>
          <w:tag w:val="_GBC_b7be591163dc47e4b00f98006e6fbb0b"/>
          <w:id w:val="-928116005"/>
          <w:placeholder>
            <w:docPart w:val="GBC22222222222222222222222222222"/>
          </w:placeholder>
        </w:sdtPr>
        <w:sdtContent>
          <w:r>
            <w:rPr>
              <w:rFonts w:cs="Arial"/>
              <w:szCs w:val="21"/>
            </w:rPr>
            <w:t>-</w:t>
          </w:r>
        </w:sdtContent>
      </w:sdt>
    </w:p>
    <w:p>
      <w:pPr>
        <w:rPr>
          <w:rFonts w:cs="Arial"/>
          <w:szCs w:val="21"/>
        </w:rPr>
      </w:pPr>
    </w:p>
    <w:p>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1376082495"/>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rPr>
          <w:rFonts w:cs="Arial"/>
          <w:szCs w:val="21"/>
        </w:rPr>
      </w:pPr>
      <w:r>
        <w:rPr>
          <w:rFonts w:cs="Arial" w:hint="eastAsia"/>
          <w:szCs w:val="21"/>
        </w:rPr>
        <w:t>对于纳入合并范围的重要的结构化主体，控制的依据：</w:t>
      </w:r>
    </w:p>
    <w:sdt>
      <w:sdtPr>
        <w:rPr>
          <w:rFonts w:cs="Arial" w:hint="eastAsia"/>
          <w:szCs w:val="21"/>
        </w:rPr>
        <w:alias w:val="对于纳入合并范围的重要的结构化主体，控制的依据"/>
        <w:tag w:val="_GBC_254d83ec47cd4003902f2d0f6017d432"/>
        <w:id w:val="1161269795"/>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rPr>
          <w:rFonts w:cs="Arial"/>
          <w:szCs w:val="21"/>
        </w:rPr>
      </w:pPr>
      <w:r>
        <w:rPr>
          <w:rFonts w:cs="Arial" w:hint="eastAsia"/>
          <w:szCs w:val="21"/>
        </w:rPr>
        <w:t>确定公司是代理人还是委托人的依据：</w:t>
      </w:r>
    </w:p>
    <w:sdt>
      <w:sdtPr>
        <w:rPr>
          <w:rFonts w:cs="Arial" w:hint="eastAsia"/>
          <w:szCs w:val="21"/>
        </w:rPr>
        <w:alias w:val="确定公司是代理人还是委托人的依据"/>
        <w:tag w:val="_GBC_f515cb0c8a654271b5991b0accabe800"/>
        <w:id w:val="-1750111608"/>
        <w:placeholder>
          <w:docPart w:val="GBC22222222222222222222222222222"/>
        </w:placeholder>
      </w:sdtPr>
      <w:sdtContent>
        <w:p>
          <w:pPr>
            <w:rPr>
              <w:rFonts w:cs="Arial"/>
              <w:szCs w:val="21"/>
            </w:rPr>
          </w:pPr>
          <w:r>
            <w:rPr>
              <w:rFonts w:cs="Arial"/>
              <w:szCs w:val="21"/>
            </w:rPr>
            <w:t>-</w:t>
          </w:r>
        </w:p>
      </w:sdtContent>
    </w:sdt>
    <w:p>
      <w:pPr>
        <w:rPr>
          <w:rFonts w:cs="Arial"/>
          <w:szCs w:val="21"/>
        </w:rPr>
      </w:pPr>
    </w:p>
    <w:p>
      <w:pPr>
        <w:rPr>
          <w:rFonts w:cs="Arial"/>
          <w:szCs w:val="21"/>
        </w:rPr>
      </w:pPr>
      <w:r>
        <w:rPr>
          <w:rFonts w:cs="Arial" w:hint="eastAsia"/>
          <w:szCs w:val="21"/>
        </w:rPr>
        <w:t>其他说明：</w:t>
      </w:r>
    </w:p>
    <w:sdt>
      <w:sdtPr>
        <w:rPr>
          <w:rFonts w:cs="Arial"/>
          <w:szCs w:val="21"/>
        </w:rPr>
        <w:alias w:val="企业集团的构成的其他需要说明的事项"/>
        <w:tag w:val="_GBC_7dc3099f920f4546b2a983c0eb4c2ce0"/>
        <w:id w:val="1300804293"/>
        <w:placeholder>
          <w:docPart w:val="GBC22222222222222222222222222222"/>
        </w:placeholder>
      </w:sdtPr>
      <w:sdtContent>
        <w:p>
          <w:pPr>
            <w:autoSpaceDE w:val="0"/>
            <w:autoSpaceDN w:val="0"/>
            <w:adjustRightInd w:val="0"/>
            <w:spacing w:afterLines="50" w:after="156" w:line="360" w:lineRule="exact"/>
            <w:ind w:firstLineChars="200" w:firstLine="420"/>
          </w:pPr>
          <w:r>
            <w:rPr>
              <w:rFonts w:hint="eastAsia"/>
            </w:rPr>
            <w:t>主要子公司简介如下：</w:t>
          </w:r>
        </w:p>
        <w:p>
          <w:pPr>
            <w:autoSpaceDE w:val="0"/>
            <w:autoSpaceDN w:val="0"/>
            <w:adjustRightInd w:val="0"/>
            <w:spacing w:afterLines="50" w:after="156" w:line="360" w:lineRule="exact"/>
            <w:ind w:firstLineChars="200" w:firstLine="420"/>
          </w:pPr>
          <w:r>
            <w:rPr>
              <w:rFonts w:hint="eastAsia"/>
            </w:rPr>
            <w:t>1)兖州煤业澳大利亚有限公司</w:t>
          </w:r>
        </w:p>
        <w:p>
          <w:pPr>
            <w:autoSpaceDE w:val="0"/>
            <w:autoSpaceDN w:val="0"/>
            <w:adjustRightInd w:val="0"/>
            <w:spacing w:afterLines="50" w:after="156" w:line="360" w:lineRule="exact"/>
            <w:ind w:firstLineChars="200" w:firstLine="420"/>
          </w:pPr>
          <w:r>
            <w:rPr>
              <w:rFonts w:hint="eastAsia"/>
            </w:rPr>
            <w:t>兖州煤业澳大利亚有限公司系本集团控股子公司，成立于2004年11月，实收资本6,400万澳元。2011年9月，本集团对澳洲公司增资90,900万澳元，澳洲公司注册资本增加为97,300万澳元。2012年6月，澳洲公司剥离部分资产至兖煤国际（控股）有限公司，导致注册资本减少65,314万澳元，为子公司收购格罗斯特发行股票增加注册资本33,684万澳元后，澳洲公司注册资本变更为65,670万澳元，2014年，澳洲公司通过发行可转换混合资本票据及实现或有期权（CVR）使注册资本增加至310,556万澳元，本集团持有澳洲公司股权变更为78%。同时澳洲公司取代格罗斯特于2012年6月28日在澳大利亚证券交易所上市交易。澳洲公司注册登记号为111859119，主要负责本集团在澳大利亚的营运、预算、投融资等活动。</w:t>
          </w:r>
        </w:p>
        <w:p>
          <w:pPr>
            <w:autoSpaceDE w:val="0"/>
            <w:autoSpaceDN w:val="0"/>
            <w:adjustRightInd w:val="0"/>
            <w:spacing w:afterLines="50" w:after="156" w:line="360" w:lineRule="exact"/>
            <w:ind w:firstLineChars="200" w:firstLine="420"/>
          </w:pPr>
          <w:r>
            <w:rPr>
              <w:rFonts w:hint="eastAsia"/>
            </w:rPr>
            <w:t>于2017年8月31日，本集团将其持有的1,800,003,100美元，折合人民币11,014,218,969元澳洲公司混合债以每股0.1美元的价格转换为澳洲公司18,000,031,000股股份。同时澳洲公司以每股0.1美元的价格配股发行了23,464,929,520股股份，并向机构投资者以每股0.1美元定向增发了1,500,000,000股股份，本集团以10亿美元，折合人民币6,629,300,000元认购取得澳洲公司100亿股股份。澳洲公司完成混合债转股、配股、定向增发后，本集团持有澳洲公司的股份由77,548,899股增加至28,775,519,994股，持股比例由78%下降至65.46%。</w:t>
          </w:r>
        </w:p>
        <w:p>
          <w:pPr>
            <w:autoSpaceDE w:val="0"/>
            <w:autoSpaceDN w:val="0"/>
            <w:adjustRightInd w:val="0"/>
            <w:spacing w:afterLines="50" w:after="156" w:line="360" w:lineRule="exact"/>
            <w:ind w:firstLineChars="200" w:firstLine="420"/>
          </w:pPr>
          <w:r>
            <w:rPr>
              <w:rFonts w:hint="eastAsia"/>
            </w:rPr>
            <w:t>经本集团于2018年6月29日召开的第七届董事会第十五次会议审议批准，澳洲公司于2018年6月29日向香港联交所有限公司保密递交了上市申请。于2018年12月6日，澳洲公司实现了香港联交所上市，澳洲公司为实现上市而发售澳洲公司股份，并经全球发售、配股及超额配售权部分行使全部完成后，澳洲公司已发行股份总数由1,256,071,756股增加至1,320,439,437股，本集团持有澳洲公司的股份数量仍为822,157,715股，持股比例由约65.45%稀释为约62.26%。</w:t>
          </w:r>
        </w:p>
        <w:p>
          <w:pPr>
            <w:autoSpaceDE w:val="0"/>
            <w:autoSpaceDN w:val="0"/>
            <w:adjustRightInd w:val="0"/>
            <w:spacing w:afterLines="50" w:after="156" w:line="360" w:lineRule="exact"/>
            <w:ind w:firstLineChars="200" w:firstLine="420"/>
          </w:pPr>
          <w:r>
            <w:rPr>
              <w:rFonts w:hint="eastAsia"/>
            </w:rPr>
            <w:lastRenderedPageBreak/>
            <w:t>澳洲公司主要控股子公司如下：</w:t>
          </w:r>
        </w:p>
        <w:tbl>
          <w:tblPr>
            <w:tblStyle w:val="affffffffff8"/>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aAcBeUvucUOhGGgAo8nuWA|0|desc|||0|1"/>
          </w:tblPr>
          <w:tblGrid>
            <w:gridCol w:w="3156"/>
            <w:gridCol w:w="1056"/>
            <w:gridCol w:w="1739"/>
            <w:gridCol w:w="3366"/>
            <w:gridCol w:w="1377"/>
          </w:tblGrid>
          <w:tr>
            <w:trPr>
              <w:trHeight w:val="397"/>
              <w:tblHeader/>
              <w:jc w:val="center"/>
            </w:trPr>
            <w:tc>
              <w:tcPr>
                <w:tcW w:w="1520" w:type="pct"/>
                <w:shd w:val="clear" w:color="auto" w:fill="auto"/>
                <w:noWrap/>
                <w:vAlign w:val="center"/>
              </w:tcPr>
              <w:p>
                <w:pPr>
                  <w:jc w:val="center"/>
                  <w:rPr>
                    <w:b/>
                    <w:bCs/>
                    <w:color w:val="000000"/>
                    <w:szCs w:val="21"/>
                  </w:rPr>
                </w:pPr>
                <w:r>
                  <w:rPr>
                    <w:rFonts w:hint="eastAsia"/>
                    <w:b/>
                    <w:bCs/>
                    <w:color w:val="000000"/>
                    <w:szCs w:val="21"/>
                  </w:rPr>
                  <w:t>公司名称</w:t>
                </w:r>
              </w:p>
            </w:tc>
            <w:tc>
              <w:tcPr>
                <w:tcW w:w="499" w:type="pct"/>
                <w:shd w:val="clear" w:color="auto" w:fill="auto"/>
                <w:noWrap/>
                <w:vAlign w:val="center"/>
              </w:tcPr>
              <w:p>
                <w:pPr>
                  <w:jc w:val="center"/>
                  <w:rPr>
                    <w:b/>
                    <w:bCs/>
                    <w:color w:val="000000"/>
                    <w:szCs w:val="21"/>
                  </w:rPr>
                </w:pPr>
                <w:r>
                  <w:rPr>
                    <w:rFonts w:hint="eastAsia"/>
                    <w:b/>
                    <w:bCs/>
                    <w:color w:val="000000"/>
                    <w:szCs w:val="21"/>
                  </w:rPr>
                  <w:t>注册地</w:t>
                </w:r>
              </w:p>
            </w:tc>
            <w:tc>
              <w:tcPr>
                <w:tcW w:w="805" w:type="pct"/>
                <w:shd w:val="clear" w:color="auto" w:fill="auto"/>
                <w:noWrap/>
                <w:vAlign w:val="center"/>
              </w:tcPr>
              <w:p>
                <w:pPr>
                  <w:jc w:val="center"/>
                  <w:rPr>
                    <w:b/>
                    <w:bCs/>
                    <w:color w:val="000000"/>
                    <w:szCs w:val="21"/>
                  </w:rPr>
                </w:pPr>
                <w:r>
                  <w:rPr>
                    <w:rFonts w:hint="eastAsia"/>
                    <w:b/>
                    <w:bCs/>
                    <w:color w:val="000000"/>
                    <w:szCs w:val="21"/>
                  </w:rPr>
                  <w:t>注册资本</w:t>
                </w:r>
              </w:p>
            </w:tc>
            <w:tc>
              <w:tcPr>
                <w:tcW w:w="1533" w:type="pct"/>
                <w:shd w:val="clear" w:color="auto" w:fill="auto"/>
                <w:noWrap/>
                <w:vAlign w:val="center"/>
              </w:tcPr>
              <w:p>
                <w:pPr>
                  <w:jc w:val="center"/>
                  <w:rPr>
                    <w:b/>
                    <w:bCs/>
                    <w:color w:val="000000"/>
                    <w:szCs w:val="21"/>
                  </w:rPr>
                </w:pPr>
                <w:r>
                  <w:rPr>
                    <w:rFonts w:hint="eastAsia"/>
                    <w:b/>
                    <w:bCs/>
                    <w:color w:val="000000"/>
                    <w:szCs w:val="21"/>
                  </w:rPr>
                  <w:t>经营范围</w:t>
                </w:r>
              </w:p>
            </w:tc>
            <w:tc>
              <w:tcPr>
                <w:tcW w:w="643"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格罗斯特煤炭有限公司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71,972万澳元</w:t>
                </w:r>
              </w:p>
            </w:tc>
            <w:tc>
              <w:tcPr>
                <w:tcW w:w="1533" w:type="pct"/>
                <w:shd w:val="clear" w:color="auto" w:fill="auto"/>
                <w:noWrap/>
                <w:vAlign w:val="center"/>
              </w:tcPr>
              <w:p>
                <w:pPr>
                  <w:rPr>
                    <w:color w:val="000000"/>
                    <w:szCs w:val="21"/>
                  </w:rPr>
                </w:pPr>
                <w:r>
                  <w:rPr>
                    <w:rFonts w:hint="eastAsia"/>
                    <w:color w:val="000000"/>
                    <w:szCs w:val="21"/>
                  </w:rPr>
                  <w:t>煤炭及煤炭相关资源的开发和运营</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兖煤澳大利亚资源有限公司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44,641万澳元</w:t>
                </w:r>
              </w:p>
            </w:tc>
            <w:tc>
              <w:tcPr>
                <w:tcW w:w="1533" w:type="pct"/>
                <w:shd w:val="clear" w:color="auto" w:fill="auto"/>
                <w:noWrap/>
                <w:vAlign w:val="center"/>
              </w:tcPr>
              <w:p>
                <w:pPr>
                  <w:rPr>
                    <w:color w:val="000000"/>
                    <w:szCs w:val="21"/>
                  </w:rPr>
                </w:pPr>
                <w:r>
                  <w:rPr>
                    <w:rFonts w:hint="eastAsia"/>
                    <w:color w:val="000000"/>
                    <w:szCs w:val="21"/>
                  </w:rPr>
                  <w:t>煤炭开采与勘探</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兖煤澳大利亚配煤销售有限公司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100澳元</w:t>
                </w:r>
              </w:p>
            </w:tc>
            <w:tc>
              <w:tcPr>
                <w:tcW w:w="1533" w:type="pct"/>
                <w:shd w:val="clear" w:color="auto" w:fill="auto"/>
                <w:noWrap/>
                <w:vAlign w:val="center"/>
              </w:tcPr>
              <w:p>
                <w:pPr>
                  <w:rPr>
                    <w:color w:val="000000"/>
                    <w:szCs w:val="21"/>
                  </w:rPr>
                </w:pPr>
                <w:r>
                  <w:rPr>
                    <w:rFonts w:hint="eastAsia"/>
                    <w:color w:val="000000"/>
                    <w:szCs w:val="21"/>
                  </w:rPr>
                  <w:t>混煤的销售</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兖煤矿业服务有限公司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100澳元</w:t>
                </w:r>
              </w:p>
            </w:tc>
            <w:tc>
              <w:tcPr>
                <w:tcW w:w="1533" w:type="pct"/>
                <w:shd w:val="clear" w:color="auto" w:fill="auto"/>
                <w:noWrap/>
                <w:vAlign w:val="center"/>
              </w:tcPr>
              <w:p>
                <w:pPr>
                  <w:rPr>
                    <w:color w:val="000000"/>
                    <w:szCs w:val="21"/>
                  </w:rPr>
                </w:pPr>
                <w:r>
                  <w:rPr>
                    <w:rFonts w:hint="eastAsia"/>
                    <w:color w:val="000000"/>
                    <w:szCs w:val="21"/>
                  </w:rPr>
                  <w:t>矿业服务</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联合煤炭工业有限公司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86,584,735澳元</w:t>
                </w:r>
              </w:p>
            </w:tc>
            <w:tc>
              <w:tcPr>
                <w:tcW w:w="1533" w:type="pct"/>
                <w:shd w:val="clear" w:color="auto" w:fill="auto"/>
                <w:noWrap/>
                <w:vAlign w:val="center"/>
              </w:tcPr>
              <w:p>
                <w:pPr>
                  <w:rPr>
                    <w:color w:val="000000"/>
                    <w:szCs w:val="21"/>
                  </w:rPr>
                </w:pPr>
                <w:r>
                  <w:rPr>
                    <w:rFonts w:hint="eastAsia"/>
                    <w:color w:val="000000"/>
                    <w:szCs w:val="21"/>
                  </w:rPr>
                  <w:t>煤炭开采和煤矿经营</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兖煤澳洲莫拉本私有有限公司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100澳元</w:t>
                </w:r>
              </w:p>
            </w:tc>
            <w:tc>
              <w:tcPr>
                <w:tcW w:w="1533" w:type="pct"/>
                <w:shd w:val="clear" w:color="auto" w:fill="auto"/>
                <w:noWrap/>
                <w:vAlign w:val="center"/>
              </w:tcPr>
              <w:p>
                <w:pPr>
                  <w:rPr>
                    <w:color w:val="000000"/>
                    <w:szCs w:val="21"/>
                  </w:rPr>
                </w:pPr>
                <w:r>
                  <w:rPr>
                    <w:rFonts w:hint="eastAsia"/>
                    <w:color w:val="000000"/>
                    <w:szCs w:val="21"/>
                  </w:rPr>
                  <w:t>煤炭开采和煤矿经营</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沃特岗矿业有限公司</w:t>
                </w:r>
              </w:p>
            </w:tc>
            <w:tc>
              <w:tcPr>
                <w:tcW w:w="499" w:type="pct"/>
                <w:shd w:val="clear" w:color="auto" w:fill="auto"/>
                <w:noWrap/>
                <w:vAlign w:val="center"/>
              </w:tcPr>
              <w:p>
                <w:pPr>
                  <w:jc w:val="center"/>
                  <w:rPr>
                    <w:color w:val="000000"/>
                    <w:szCs w:val="21"/>
                  </w:rPr>
                </w:pPr>
                <w:r>
                  <w:rPr>
                    <w:rFonts w:hint="eastAsia"/>
                    <w:color w:val="000000"/>
                    <w:szCs w:val="21"/>
                  </w:rPr>
                  <w:t>澳大利亚</w:t>
                </w:r>
              </w:p>
            </w:tc>
            <w:tc>
              <w:tcPr>
                <w:tcW w:w="805" w:type="pct"/>
                <w:shd w:val="clear" w:color="auto" w:fill="auto"/>
                <w:noWrap/>
                <w:vAlign w:val="center"/>
              </w:tcPr>
              <w:p>
                <w:pPr>
                  <w:jc w:val="center"/>
                  <w:rPr>
                    <w:color w:val="000000"/>
                    <w:szCs w:val="21"/>
                  </w:rPr>
                </w:pPr>
                <w:r>
                  <w:rPr>
                    <w:rFonts w:hint="eastAsia"/>
                    <w:color w:val="000000"/>
                    <w:szCs w:val="21"/>
                  </w:rPr>
                  <w:t>100澳元</w:t>
                </w:r>
              </w:p>
            </w:tc>
            <w:tc>
              <w:tcPr>
                <w:tcW w:w="1533" w:type="pct"/>
                <w:shd w:val="clear" w:color="auto" w:fill="auto"/>
                <w:noWrap/>
                <w:vAlign w:val="center"/>
              </w:tcPr>
              <w:p>
                <w:pPr>
                  <w:rPr>
                    <w:color w:val="000000"/>
                    <w:szCs w:val="21"/>
                  </w:rPr>
                </w:pPr>
                <w:r>
                  <w:rPr>
                    <w:rFonts w:hint="eastAsia"/>
                    <w:color w:val="000000"/>
                    <w:szCs w:val="21"/>
                  </w:rPr>
                  <w:t>煤炭开采和煤矿经营</w:t>
                </w:r>
              </w:p>
            </w:tc>
            <w:tc>
              <w:tcPr>
                <w:tcW w:w="643"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20" w:type="pct"/>
                <w:shd w:val="clear" w:color="auto" w:fill="auto"/>
                <w:noWrap/>
                <w:vAlign w:val="center"/>
              </w:tcPr>
              <w:p>
                <w:pPr>
                  <w:rPr>
                    <w:color w:val="000000"/>
                    <w:szCs w:val="21"/>
                  </w:rPr>
                </w:pPr>
                <w:r>
                  <w:rPr>
                    <w:rFonts w:hint="eastAsia"/>
                    <w:color w:val="000000"/>
                    <w:szCs w:val="21"/>
                  </w:rPr>
                  <w:t>兖煤保险股份有限公司</w:t>
                </w:r>
              </w:p>
            </w:tc>
            <w:tc>
              <w:tcPr>
                <w:tcW w:w="499" w:type="pct"/>
                <w:shd w:val="clear" w:color="auto" w:fill="auto"/>
                <w:noWrap/>
                <w:vAlign w:val="center"/>
              </w:tcPr>
              <w:p>
                <w:pPr>
                  <w:jc w:val="center"/>
                  <w:rPr>
                    <w:color w:val="000000"/>
                    <w:szCs w:val="21"/>
                  </w:rPr>
                </w:pPr>
                <w:r>
                  <w:rPr>
                    <w:rFonts w:hint="eastAsia"/>
                    <w:color w:val="000000"/>
                    <w:szCs w:val="21"/>
                  </w:rPr>
                  <w:t>根西岛</w:t>
                </w:r>
              </w:p>
            </w:tc>
            <w:tc>
              <w:tcPr>
                <w:tcW w:w="805" w:type="pct"/>
                <w:shd w:val="clear" w:color="auto" w:fill="auto"/>
                <w:noWrap/>
                <w:vAlign w:val="center"/>
              </w:tcPr>
              <w:p>
                <w:pPr>
                  <w:jc w:val="center"/>
                  <w:rPr>
                    <w:color w:val="000000"/>
                    <w:szCs w:val="21"/>
                  </w:rPr>
                </w:pPr>
                <w:r>
                  <w:rPr>
                    <w:rFonts w:hint="eastAsia"/>
                    <w:color w:val="000000"/>
                    <w:szCs w:val="21"/>
                  </w:rPr>
                  <w:t>19,000,000澳元</w:t>
                </w:r>
              </w:p>
            </w:tc>
            <w:tc>
              <w:tcPr>
                <w:tcW w:w="1533" w:type="pct"/>
                <w:shd w:val="clear" w:color="auto" w:fill="auto"/>
                <w:noWrap/>
                <w:vAlign w:val="center"/>
              </w:tcPr>
              <w:p>
                <w:pPr>
                  <w:rPr>
                    <w:color w:val="000000"/>
                    <w:szCs w:val="21"/>
                  </w:rPr>
                </w:pPr>
                <w:r>
                  <w:rPr>
                    <w:rFonts w:hint="eastAsia"/>
                    <w:color w:val="000000"/>
                    <w:szCs w:val="21"/>
                  </w:rPr>
                  <w:t>资产保险服务</w:t>
                </w:r>
              </w:p>
            </w:tc>
            <w:tc>
              <w:tcPr>
                <w:tcW w:w="643" w:type="pct"/>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2)兖煤国际（控股）有限公司</w:t>
          </w:r>
        </w:p>
        <w:p>
          <w:pPr>
            <w:autoSpaceDE w:val="0"/>
            <w:autoSpaceDN w:val="0"/>
            <w:adjustRightInd w:val="0"/>
            <w:spacing w:afterLines="50" w:after="156" w:line="360" w:lineRule="exact"/>
            <w:ind w:firstLineChars="200" w:firstLine="420"/>
          </w:pPr>
          <w:r>
            <w:rPr>
              <w:rFonts w:hint="eastAsia"/>
            </w:rPr>
            <w:t>兖煤国际（控股）有限公司（以下简称“香港公司”）系本集团全资子公司，成立于2011年7月13日，注册资本280万美元。2014年6月，本集团将应收香港公司款项419,460万元人民币作为对其的增资，香港公司的注册资本增加至68,931万美元。香港公司注册登记号为58665579-000-07-20-9，主要从事对外投资、矿山技术开发、转让与咨询服务和进出口贸易等。</w:t>
          </w:r>
        </w:p>
        <w:p>
          <w:pPr>
            <w:autoSpaceDE w:val="0"/>
            <w:autoSpaceDN w:val="0"/>
            <w:adjustRightInd w:val="0"/>
            <w:spacing w:afterLines="50" w:after="156" w:line="360" w:lineRule="exact"/>
            <w:ind w:firstLineChars="200" w:firstLine="420"/>
          </w:pPr>
          <w:r>
            <w:rPr>
              <w:rFonts w:hint="eastAsia"/>
            </w:rPr>
            <w:t>香港公司主要控股子公司如下：</w:t>
          </w:r>
        </w:p>
        <w:tbl>
          <w:tblPr>
            <w:tblStyle w:val="affffffffff8"/>
            <w:tblW w:w="5998" w:type="pct"/>
            <w:jc w:val="center"/>
            <w:tblLayout w:type="fixed"/>
            <w:tblLook w:val="04A0" w:firstRow="1" w:lastRow="0" w:firstColumn="1" w:lastColumn="0" w:noHBand="0" w:noVBand="1"/>
            <w:tblCaption w:val="D:\Users\202435566\Desktop\0-兖矿能源2024年TB（内蒙古金控）-0320\2024兖矿职衡tb|TB-合：兖矿能源.xlsx|披露附注|_jdsqlZby2hGk2fCR1rigqJw|0|desc|||0|1"/>
          </w:tblPr>
          <w:tblGrid>
            <w:gridCol w:w="3402"/>
            <w:gridCol w:w="1277"/>
            <w:gridCol w:w="1842"/>
            <w:gridCol w:w="2835"/>
            <w:gridCol w:w="923"/>
          </w:tblGrid>
          <w:tr>
            <w:trPr>
              <w:trHeight w:val="397"/>
              <w:tblHeader/>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公司名称</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注册地</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注册资本</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经营范围</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兖煤国际技术开发有限公司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香港</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100万美元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从事矿山开采技术的开发、转让与咨询服务</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兖煤国际资源开发有限公司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香港</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60万美元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从事矿产资源的勘探开发</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兖煤卢森堡资源有限公司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卢森堡</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50万美元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从事对外投资等</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兖煤加拿大资源有限公司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加拿大</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29,000万美元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从事矿产资源开采与销售</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亚森纳（控股）有限公司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2,445万澳元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汤佛（控股）有限公司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4,641万澳元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维尔皮纳（控股）有限公司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346万澳元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普力马（控股）有限公司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32,161万澳元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兖煤能源有限公司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20,298万澳元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兖煤技术发展（控股）有限公司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澳大利亚</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7,541万澳元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控股公司</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兖矿东平陆港有限公司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山东泰安</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91,997万人民币</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煤炭贸易，港口、铁路运输</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46.3</w:t>
                </w:r>
              </w:p>
            </w:tc>
          </w:tr>
          <w:tr>
            <w:trPr>
              <w:trHeight w:val="397"/>
              <w:jc w:val="center"/>
            </w:trPr>
            <w:tc>
              <w:tcPr>
                <w:tcW w:w="165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中垠（济宁）融资租赁有限公司</w:t>
                </w:r>
              </w:p>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山东济宁</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1,400万美元</w:t>
                </w:r>
              </w:p>
            </w:tc>
            <w:tc>
              <w:tcPr>
                <w:tcW w:w="137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融资租赁业务</w:t>
                </w:r>
              </w:p>
            </w:tc>
            <w:tc>
              <w:tcPr>
                <w:tcW w:w="4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lastRenderedPageBreak/>
            <w:t>3)兖矿能源（鄂尔多斯）有限公司</w:t>
          </w:r>
        </w:p>
        <w:p>
          <w:pPr>
            <w:autoSpaceDE w:val="0"/>
            <w:autoSpaceDN w:val="0"/>
            <w:adjustRightInd w:val="0"/>
            <w:spacing w:afterLines="50" w:after="156" w:line="360" w:lineRule="exact"/>
            <w:ind w:firstLineChars="200" w:firstLine="420"/>
          </w:pPr>
          <w:r>
            <w:rPr>
              <w:rFonts w:hint="eastAsia"/>
            </w:rPr>
            <w:t>兖矿能源（鄂尔多斯）有限公司（以下简称“鄂尔多斯公司”）系本集团全资子公司，成立于2009年12月18日，注册资本人民币50,000万元。2011年1月，本集团对鄂尔多斯公司增资260,000万元，注册资本增加至310,000万元。2014年11月，本集团再次对鄂尔多斯公司增资500,000万元，注册资本增加至810,000万元。2019年9月2日，本集团再次对鄂尔多斯公司增资270,000万元，注册资本增加至1,080,000万元。公司法人营业执照统一社会信用代码：91150691695945851D，法定代表人：王九红，主要业务为煤炭、铁矿石销售，对煤炭、化工企业投资，煤矿机械设备、材料销售，煤矿器械设备维修租赁。</w:t>
          </w:r>
        </w:p>
        <w:p>
          <w:pPr>
            <w:autoSpaceDE w:val="0"/>
            <w:autoSpaceDN w:val="0"/>
            <w:adjustRightInd w:val="0"/>
            <w:spacing w:afterLines="50" w:after="156" w:line="360" w:lineRule="exact"/>
            <w:ind w:firstLineChars="200" w:firstLine="420"/>
          </w:pPr>
          <w:r>
            <w:rPr>
              <w:rFonts w:hint="eastAsia"/>
            </w:rPr>
            <w:t>鄂尔多斯公司主要控股子公司如下：</w:t>
          </w:r>
        </w:p>
        <w:tbl>
          <w:tblPr>
            <w:tblStyle w:val="affffffffff8"/>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btvQz7JeH0G7FkUqh5wIhw|0|desc|||0|1"/>
          </w:tblPr>
          <w:tblGrid>
            <w:gridCol w:w="2837"/>
            <w:gridCol w:w="1136"/>
            <w:gridCol w:w="1697"/>
            <w:gridCol w:w="2262"/>
            <w:gridCol w:w="1067"/>
          </w:tblGrid>
          <w:tr>
            <w:trPr>
              <w:trHeight w:val="397"/>
              <w:tblHeader/>
              <w:jc w:val="center"/>
            </w:trPr>
            <w:tc>
              <w:tcPr>
                <w:tcW w:w="1576" w:type="pct"/>
                <w:shd w:val="clear" w:color="auto" w:fill="auto"/>
                <w:noWrap/>
                <w:vAlign w:val="center"/>
              </w:tcPr>
              <w:p>
                <w:pPr>
                  <w:jc w:val="center"/>
                  <w:rPr>
                    <w:b/>
                    <w:bCs/>
                    <w:color w:val="000000"/>
                    <w:szCs w:val="21"/>
                  </w:rPr>
                </w:pPr>
                <w:r>
                  <w:rPr>
                    <w:rFonts w:hint="eastAsia"/>
                    <w:b/>
                    <w:bCs/>
                    <w:color w:val="000000"/>
                    <w:szCs w:val="21"/>
                  </w:rPr>
                  <w:t>公司名称</w:t>
                </w:r>
              </w:p>
            </w:tc>
            <w:tc>
              <w:tcPr>
                <w:tcW w:w="631" w:type="pct"/>
                <w:shd w:val="clear" w:color="auto" w:fill="auto"/>
                <w:noWrap/>
                <w:vAlign w:val="center"/>
              </w:tcPr>
              <w:p>
                <w:pPr>
                  <w:jc w:val="center"/>
                  <w:rPr>
                    <w:b/>
                    <w:bCs/>
                    <w:color w:val="000000"/>
                    <w:szCs w:val="21"/>
                  </w:rPr>
                </w:pPr>
                <w:r>
                  <w:rPr>
                    <w:rFonts w:hint="eastAsia"/>
                    <w:b/>
                    <w:bCs/>
                    <w:color w:val="000000"/>
                    <w:szCs w:val="21"/>
                  </w:rPr>
                  <w:t>注册地</w:t>
                </w:r>
              </w:p>
            </w:tc>
            <w:tc>
              <w:tcPr>
                <w:tcW w:w="943" w:type="pct"/>
                <w:shd w:val="clear" w:color="auto" w:fill="auto"/>
                <w:noWrap/>
                <w:vAlign w:val="center"/>
              </w:tcPr>
              <w:p>
                <w:pPr>
                  <w:jc w:val="center"/>
                  <w:rPr>
                    <w:b/>
                    <w:bCs/>
                    <w:color w:val="000000"/>
                    <w:szCs w:val="21"/>
                  </w:rPr>
                </w:pPr>
                <w:r>
                  <w:rPr>
                    <w:rFonts w:hint="eastAsia"/>
                    <w:b/>
                    <w:bCs/>
                    <w:color w:val="000000"/>
                    <w:szCs w:val="21"/>
                  </w:rPr>
                  <w:t>注册资本</w:t>
                </w:r>
              </w:p>
              <w:p>
                <w:pPr>
                  <w:jc w:val="center"/>
                  <w:rPr>
                    <w:b/>
                    <w:bCs/>
                    <w:color w:val="000000"/>
                    <w:szCs w:val="21"/>
                  </w:rPr>
                </w:pPr>
                <w:r>
                  <w:rPr>
                    <w:rFonts w:hint="eastAsia"/>
                    <w:b/>
                    <w:bCs/>
                    <w:color w:val="000000"/>
                    <w:szCs w:val="21"/>
                  </w:rPr>
                  <w:t>（人民币）</w:t>
                </w:r>
              </w:p>
            </w:tc>
            <w:tc>
              <w:tcPr>
                <w:tcW w:w="1257" w:type="pct"/>
                <w:shd w:val="clear" w:color="auto" w:fill="auto"/>
                <w:noWrap/>
                <w:vAlign w:val="center"/>
              </w:tcPr>
              <w:p>
                <w:pPr>
                  <w:jc w:val="center"/>
                  <w:rPr>
                    <w:b/>
                    <w:bCs/>
                    <w:color w:val="000000"/>
                    <w:szCs w:val="21"/>
                  </w:rPr>
                </w:pPr>
                <w:r>
                  <w:rPr>
                    <w:rFonts w:hint="eastAsia"/>
                    <w:b/>
                    <w:bCs/>
                    <w:color w:val="000000"/>
                    <w:szCs w:val="21"/>
                  </w:rPr>
                  <w:t>经营范围</w:t>
                </w:r>
              </w:p>
            </w:tc>
            <w:tc>
              <w:tcPr>
                <w:tcW w:w="594"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576" w:type="pct"/>
                <w:shd w:val="clear" w:color="auto" w:fill="auto"/>
                <w:noWrap/>
                <w:vAlign w:val="center"/>
              </w:tcPr>
              <w:p>
                <w:pPr>
                  <w:rPr>
                    <w:color w:val="000000"/>
                    <w:szCs w:val="21"/>
                  </w:rPr>
                </w:pPr>
                <w:r>
                  <w:rPr>
                    <w:rFonts w:hint="eastAsia"/>
                    <w:color w:val="000000"/>
                    <w:szCs w:val="21"/>
                  </w:rPr>
                  <w:t>内蒙古荣信化工有限公司</w:t>
                </w:r>
              </w:p>
            </w:tc>
            <w:tc>
              <w:tcPr>
                <w:tcW w:w="631" w:type="pct"/>
                <w:shd w:val="clear" w:color="auto" w:fill="auto"/>
                <w:noWrap/>
                <w:vAlign w:val="center"/>
              </w:tcPr>
              <w:p>
                <w:pPr>
                  <w:jc w:val="center"/>
                  <w:rPr>
                    <w:color w:val="000000"/>
                    <w:szCs w:val="21"/>
                  </w:rPr>
                </w:pPr>
                <w:r>
                  <w:rPr>
                    <w:rFonts w:hint="eastAsia"/>
                    <w:color w:val="000000"/>
                    <w:szCs w:val="21"/>
                  </w:rPr>
                  <w:t>鄂尔多斯</w:t>
                </w:r>
              </w:p>
            </w:tc>
            <w:tc>
              <w:tcPr>
                <w:tcW w:w="943" w:type="pct"/>
                <w:shd w:val="clear" w:color="auto" w:fill="auto"/>
                <w:noWrap/>
                <w:vAlign w:val="center"/>
              </w:tcPr>
              <w:p>
                <w:pPr>
                  <w:jc w:val="center"/>
                  <w:rPr>
                    <w:color w:val="000000"/>
                    <w:szCs w:val="21"/>
                  </w:rPr>
                </w:pPr>
                <w:r>
                  <w:rPr>
                    <w:rFonts w:hint="eastAsia"/>
                    <w:color w:val="000000"/>
                    <w:szCs w:val="21"/>
                  </w:rPr>
                  <w:t>153,335万元</w:t>
                </w:r>
              </w:p>
            </w:tc>
            <w:tc>
              <w:tcPr>
                <w:tcW w:w="1257" w:type="pct"/>
                <w:shd w:val="clear" w:color="auto" w:fill="auto"/>
                <w:noWrap/>
                <w:vAlign w:val="center"/>
              </w:tcPr>
              <w:p>
                <w:pPr>
                  <w:rPr>
                    <w:color w:val="000000"/>
                    <w:szCs w:val="21"/>
                  </w:rPr>
                </w:pPr>
                <w:r>
                  <w:rPr>
                    <w:rFonts w:hint="eastAsia"/>
                    <w:color w:val="000000"/>
                    <w:szCs w:val="21"/>
                  </w:rPr>
                  <w:t>从事煤制甲醇生产、销售</w:t>
                </w:r>
              </w:p>
            </w:tc>
            <w:tc>
              <w:tcPr>
                <w:tcW w:w="594"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76" w:type="pct"/>
                <w:shd w:val="clear" w:color="auto" w:fill="auto"/>
                <w:noWrap/>
                <w:vAlign w:val="center"/>
              </w:tcPr>
              <w:p>
                <w:pPr>
                  <w:rPr>
                    <w:color w:val="000000"/>
                    <w:szCs w:val="21"/>
                  </w:rPr>
                </w:pPr>
                <w:r>
                  <w:rPr>
                    <w:rFonts w:hint="eastAsia"/>
                    <w:color w:val="000000"/>
                    <w:szCs w:val="21"/>
                  </w:rPr>
                  <w:t>内蒙古鑫泰煤炭有限公司</w:t>
                </w:r>
              </w:p>
            </w:tc>
            <w:tc>
              <w:tcPr>
                <w:tcW w:w="631" w:type="pct"/>
                <w:shd w:val="clear" w:color="auto" w:fill="auto"/>
                <w:noWrap/>
                <w:vAlign w:val="center"/>
              </w:tcPr>
              <w:p>
                <w:pPr>
                  <w:jc w:val="center"/>
                  <w:rPr>
                    <w:color w:val="000000"/>
                    <w:szCs w:val="21"/>
                  </w:rPr>
                </w:pPr>
                <w:r>
                  <w:rPr>
                    <w:rFonts w:hint="eastAsia"/>
                    <w:color w:val="000000"/>
                    <w:szCs w:val="21"/>
                  </w:rPr>
                  <w:t>鄂尔多斯</w:t>
                </w:r>
              </w:p>
            </w:tc>
            <w:tc>
              <w:tcPr>
                <w:tcW w:w="943" w:type="pct"/>
                <w:shd w:val="clear" w:color="auto" w:fill="auto"/>
                <w:noWrap/>
                <w:vAlign w:val="center"/>
              </w:tcPr>
              <w:p>
                <w:pPr>
                  <w:jc w:val="center"/>
                  <w:rPr>
                    <w:color w:val="000000"/>
                    <w:szCs w:val="21"/>
                  </w:rPr>
                </w:pPr>
                <w:r>
                  <w:rPr>
                    <w:rFonts w:hint="eastAsia"/>
                    <w:color w:val="000000"/>
                    <w:szCs w:val="21"/>
                  </w:rPr>
                  <w:t>500万元</w:t>
                </w:r>
              </w:p>
            </w:tc>
            <w:tc>
              <w:tcPr>
                <w:tcW w:w="1257" w:type="pct"/>
                <w:shd w:val="clear" w:color="auto" w:fill="auto"/>
                <w:noWrap/>
                <w:vAlign w:val="center"/>
              </w:tcPr>
              <w:p>
                <w:pPr>
                  <w:rPr>
                    <w:color w:val="000000"/>
                    <w:szCs w:val="21"/>
                  </w:rPr>
                </w:pPr>
                <w:r>
                  <w:rPr>
                    <w:rFonts w:hint="eastAsia"/>
                    <w:color w:val="000000"/>
                    <w:szCs w:val="21"/>
                  </w:rPr>
                  <w:t>从事煤炭采掘与销售</w:t>
                </w:r>
              </w:p>
            </w:tc>
            <w:tc>
              <w:tcPr>
                <w:tcW w:w="594"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576" w:type="pct"/>
                <w:shd w:val="clear" w:color="auto" w:fill="auto"/>
                <w:noWrap/>
                <w:vAlign w:val="center"/>
              </w:tcPr>
              <w:p>
                <w:pPr>
                  <w:rPr>
                    <w:color w:val="000000"/>
                    <w:szCs w:val="21"/>
                  </w:rPr>
                </w:pPr>
                <w:r>
                  <w:rPr>
                    <w:rFonts w:hint="eastAsia"/>
                    <w:color w:val="000000"/>
                    <w:szCs w:val="21"/>
                  </w:rPr>
                  <w:t>鄂尔多斯市转龙湾煤炭有限公司</w:t>
                </w:r>
              </w:p>
            </w:tc>
            <w:tc>
              <w:tcPr>
                <w:tcW w:w="631" w:type="pct"/>
                <w:shd w:val="clear" w:color="auto" w:fill="auto"/>
                <w:noWrap/>
                <w:vAlign w:val="center"/>
              </w:tcPr>
              <w:p>
                <w:pPr>
                  <w:jc w:val="center"/>
                  <w:rPr>
                    <w:color w:val="000000"/>
                    <w:szCs w:val="21"/>
                  </w:rPr>
                </w:pPr>
                <w:r>
                  <w:rPr>
                    <w:rFonts w:hint="eastAsia"/>
                    <w:color w:val="000000"/>
                    <w:szCs w:val="21"/>
                  </w:rPr>
                  <w:t>鄂尔多斯</w:t>
                </w:r>
              </w:p>
            </w:tc>
            <w:tc>
              <w:tcPr>
                <w:tcW w:w="943" w:type="pct"/>
                <w:shd w:val="clear" w:color="auto" w:fill="auto"/>
                <w:noWrap/>
                <w:vAlign w:val="center"/>
              </w:tcPr>
              <w:p>
                <w:pPr>
                  <w:jc w:val="center"/>
                  <w:rPr>
                    <w:color w:val="000000"/>
                    <w:szCs w:val="21"/>
                  </w:rPr>
                </w:pPr>
                <w:r>
                  <w:rPr>
                    <w:rFonts w:hint="eastAsia"/>
                    <w:color w:val="000000"/>
                    <w:szCs w:val="21"/>
                  </w:rPr>
                  <w:t>505,000万元</w:t>
                </w:r>
              </w:p>
            </w:tc>
            <w:tc>
              <w:tcPr>
                <w:tcW w:w="1257" w:type="pct"/>
                <w:shd w:val="clear" w:color="auto" w:fill="auto"/>
                <w:noWrap/>
                <w:vAlign w:val="center"/>
              </w:tcPr>
              <w:p>
                <w:pPr>
                  <w:rPr>
                    <w:color w:val="000000"/>
                    <w:szCs w:val="21"/>
                  </w:rPr>
                </w:pPr>
                <w:r>
                  <w:rPr>
                    <w:rFonts w:hint="eastAsia"/>
                    <w:color w:val="000000"/>
                    <w:szCs w:val="21"/>
                  </w:rPr>
                  <w:t>煤炭销售、煤矿机械设备生产与销售</w:t>
                </w:r>
              </w:p>
            </w:tc>
            <w:tc>
              <w:tcPr>
                <w:tcW w:w="594" w:type="pct"/>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4)兖矿东华重工有限公司</w:t>
          </w:r>
        </w:p>
        <w:p>
          <w:pPr>
            <w:autoSpaceDE w:val="0"/>
            <w:autoSpaceDN w:val="0"/>
            <w:adjustRightInd w:val="0"/>
            <w:spacing w:afterLines="50" w:after="156" w:line="360" w:lineRule="exact"/>
            <w:ind w:firstLineChars="200" w:firstLine="420"/>
          </w:pPr>
          <w:r>
            <w:rPr>
              <w:rFonts w:hint="eastAsia"/>
            </w:rPr>
            <w:t>兖矿东华重工有限公司（以下简称“东华重工”）成立于2013年1月，由兖矿东华集团有限公司出资成立，2015年7月兖矿东华集团有限公司持有的东华重工100%股权全部转让给本集团之控股股东山东能源集团有限公司，本集团之控股股东山东能源集团有限公司持有的东华重工100%股权全部转让给本集团。注册资本为127,789万元，2021年11月，本集团再次对东华重工增资100,000万元，注册资本增加至227,789万元。公司法人营业执照统一社会信用代码：91370883061983346A，公司法定代表人：张立，公司注册地址：邹城市西外环路5289号。主要从事矿用设备、机电设备、橡胶制品等的生产销售。</w:t>
          </w:r>
        </w:p>
        <w:p>
          <w:pPr>
            <w:autoSpaceDE w:val="0"/>
            <w:autoSpaceDN w:val="0"/>
            <w:adjustRightInd w:val="0"/>
            <w:spacing w:afterLines="50" w:after="156" w:line="360" w:lineRule="exact"/>
            <w:ind w:firstLineChars="200" w:firstLine="420"/>
          </w:pPr>
          <w:r>
            <w:rPr>
              <w:rFonts w:hint="eastAsia"/>
            </w:rPr>
            <w:t>东华重工主要控股子公司如下：</w:t>
          </w:r>
        </w:p>
        <w:tbl>
          <w:tblPr>
            <w:tblStyle w:val="affffffffff8"/>
            <w:tblW w:w="5869" w:type="pct"/>
            <w:jc w:val="center"/>
            <w:tblLayout w:type="fixed"/>
            <w:tblLook w:val="04A0" w:firstRow="1" w:lastRow="0" w:firstColumn="1" w:lastColumn="0" w:noHBand="0" w:noVBand="1"/>
            <w:tblCaption w:val="D:\Users\202435566\Desktop\0-兖矿能源2024年TB（内蒙古金控）-0320\2024兖矿职衡tb|TB-合：兖矿能源.xlsx|披露附注|_jdsMfycnOAtfkS0DKPGKjmMTA|0|desc|||0|1"/>
          </w:tblPr>
          <w:tblGrid>
            <w:gridCol w:w="4105"/>
            <w:gridCol w:w="1205"/>
            <w:gridCol w:w="1495"/>
            <w:gridCol w:w="2404"/>
            <w:gridCol w:w="849"/>
          </w:tblGrid>
          <w:tr>
            <w:trPr>
              <w:trHeight w:val="397"/>
              <w:tblHeader/>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公司名称</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注册地</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注册资本</w:t>
                </w:r>
              </w:p>
              <w:p>
                <w:pPr>
                  <w:jc w:val="center"/>
                  <w:rPr>
                    <w:b/>
                    <w:bCs/>
                    <w:color w:val="000000"/>
                    <w:szCs w:val="21"/>
                  </w:rPr>
                </w:pPr>
                <w:r>
                  <w:rPr>
                    <w:rFonts w:hint="eastAsia"/>
                    <w:b/>
                    <w:bCs/>
                    <w:color w:val="000000"/>
                    <w:szCs w:val="21"/>
                  </w:rPr>
                  <w:t>（人民币）</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经营范围</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兖州东方机电有限公司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山东邹城</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5,000万元</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矿用电器、高低压开关设备制造</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94.34</w:t>
                </w:r>
              </w:p>
            </w:tc>
          </w:tr>
          <w:tr>
            <w:trPr>
              <w:trHeight w:val="39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兖矿集团邹城金通橡胶有限公司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山东邹城</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660万元</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高、中、低压橡胶软管制造</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54.55</w:t>
                </w:r>
              </w:p>
            </w:tc>
          </w:tr>
          <w:tr>
            <w:trPr>
              <w:trHeight w:val="39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兖矿集团唐村实业有限公司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山东邹城</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5,100万元</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橡胶输送带、电缆制造</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山东兖矿智能制造有限公司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山东邹城</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120,000万元</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设备制造、修理</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041"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山东兖矿集团长龙电缆制造有限公司</w:t>
                </w:r>
              </w:p>
            </w:tc>
            <w:tc>
              <w:tcPr>
                <w:tcW w:w="59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山东邹城</w:t>
                </w:r>
              </w:p>
            </w:tc>
            <w:tc>
              <w:tcPr>
                <w:tcW w:w="743"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2,000万元</w:t>
                </w:r>
              </w:p>
            </w:tc>
            <w:tc>
              <w:tcPr>
                <w:tcW w:w="119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电缆、电线、电缆附件及原料的制造，销售</w:t>
                </w:r>
              </w:p>
            </w:tc>
            <w:tc>
              <w:tcPr>
                <w:tcW w:w="422"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95</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5)兖煤菏泽能化有限公司</w:t>
          </w:r>
        </w:p>
        <w:p>
          <w:pPr>
            <w:autoSpaceDE w:val="0"/>
            <w:autoSpaceDN w:val="0"/>
            <w:adjustRightInd w:val="0"/>
            <w:spacing w:afterLines="50" w:after="156" w:line="360" w:lineRule="exact"/>
            <w:ind w:firstLineChars="200" w:firstLine="420"/>
          </w:pPr>
          <w:r>
            <w:rPr>
              <w:rFonts w:hint="eastAsia"/>
            </w:rPr>
            <w:t>兖煤菏泽能化有限公司（以下简称“菏泽能化”）系由本集团、煤炭工业济南设计研究院有限公司、山东省煤炭地质局于2002年10月共同出资设立之公司，实收资本60,000万元，本集团持有其95.67%股权；2007年7月，菏泽能化增资扩股，注册资本增加至150,000万元，本集团股权占比增加至96.67%。2010年5月，本集团对菏泽能化增资150,000万元，注册资本增加至300,000万元，本集团股权占比增加至98.33%。公司法人营业执照统一社会信用代码：91370000754456581B，法定代表人：姚刚，主要从事巨野煤田煤炭开采及销售。</w:t>
          </w:r>
        </w:p>
        <w:p>
          <w:pPr>
            <w:autoSpaceDE w:val="0"/>
            <w:autoSpaceDN w:val="0"/>
            <w:adjustRightInd w:val="0"/>
            <w:spacing w:afterLines="50" w:after="156" w:line="360" w:lineRule="exact"/>
            <w:ind w:firstLineChars="200" w:firstLine="420"/>
          </w:pPr>
          <w:r>
            <w:rPr>
              <w:rFonts w:hint="eastAsia"/>
            </w:rPr>
            <w:t>菏泽能化主要控股子公司如下：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NT3487u9JES3uZzbun20Q|0|desc|||0|1"/>
          </w:tblPr>
          <w:tblGrid>
            <w:gridCol w:w="2316"/>
            <w:gridCol w:w="1056"/>
            <w:gridCol w:w="2114"/>
            <w:gridCol w:w="1686"/>
            <w:gridCol w:w="1397"/>
          </w:tblGrid>
          <w:tr>
            <w:trPr>
              <w:trHeight w:val="397"/>
              <w:tblHeader/>
              <w:jc w:val="center"/>
            </w:trPr>
            <w:tc>
              <w:tcPr>
                <w:tcW w:w="1350" w:type="pct"/>
                <w:shd w:val="clear" w:color="auto" w:fill="auto"/>
                <w:noWrap/>
                <w:vAlign w:val="center"/>
              </w:tcPr>
              <w:p>
                <w:pPr>
                  <w:jc w:val="center"/>
                  <w:rPr>
                    <w:b/>
                    <w:bCs/>
                    <w:color w:val="000000"/>
                    <w:szCs w:val="21"/>
                  </w:rPr>
                </w:pPr>
                <w:r>
                  <w:rPr>
                    <w:rFonts w:hint="eastAsia"/>
                    <w:b/>
                    <w:bCs/>
                    <w:color w:val="000000"/>
                    <w:szCs w:val="21"/>
                  </w:rPr>
                  <w:t>公司名称</w:t>
                </w:r>
              </w:p>
            </w:tc>
            <w:tc>
              <w:tcPr>
                <w:tcW w:w="615" w:type="pct"/>
                <w:shd w:val="clear" w:color="auto" w:fill="auto"/>
                <w:noWrap/>
                <w:vAlign w:val="center"/>
              </w:tcPr>
              <w:p>
                <w:pPr>
                  <w:jc w:val="center"/>
                  <w:rPr>
                    <w:b/>
                    <w:bCs/>
                    <w:color w:val="000000"/>
                    <w:szCs w:val="21"/>
                  </w:rPr>
                </w:pPr>
                <w:r>
                  <w:rPr>
                    <w:rFonts w:hint="eastAsia"/>
                    <w:b/>
                    <w:bCs/>
                    <w:color w:val="000000"/>
                    <w:szCs w:val="21"/>
                  </w:rPr>
                  <w:t>注册地</w:t>
                </w:r>
              </w:p>
            </w:tc>
            <w:tc>
              <w:tcPr>
                <w:tcW w:w="1231" w:type="pct"/>
                <w:shd w:val="clear" w:color="auto" w:fill="auto"/>
                <w:noWrap/>
                <w:vAlign w:val="center"/>
              </w:tcPr>
              <w:p>
                <w:pPr>
                  <w:jc w:val="center"/>
                  <w:rPr>
                    <w:b/>
                    <w:bCs/>
                    <w:color w:val="000000"/>
                    <w:szCs w:val="21"/>
                  </w:rPr>
                </w:pPr>
                <w:r>
                  <w:rPr>
                    <w:rFonts w:hint="eastAsia"/>
                    <w:b/>
                    <w:bCs/>
                    <w:color w:val="000000"/>
                    <w:szCs w:val="21"/>
                  </w:rPr>
                  <w:t>注册资本（人民币）</w:t>
                </w:r>
              </w:p>
            </w:tc>
            <w:tc>
              <w:tcPr>
                <w:tcW w:w="983" w:type="pct"/>
                <w:shd w:val="clear" w:color="auto" w:fill="auto"/>
                <w:noWrap/>
                <w:vAlign w:val="center"/>
              </w:tcPr>
              <w:p>
                <w:pPr>
                  <w:jc w:val="center"/>
                  <w:rPr>
                    <w:b/>
                    <w:bCs/>
                    <w:color w:val="000000"/>
                    <w:szCs w:val="21"/>
                  </w:rPr>
                </w:pPr>
                <w:r>
                  <w:rPr>
                    <w:rFonts w:hint="eastAsia"/>
                    <w:b/>
                    <w:bCs/>
                    <w:color w:val="000000"/>
                    <w:szCs w:val="21"/>
                  </w:rPr>
                  <w:t>经营范围</w:t>
                </w:r>
              </w:p>
            </w:tc>
            <w:tc>
              <w:tcPr>
                <w:tcW w:w="821"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350" w:type="pct"/>
                <w:shd w:val="clear" w:color="auto" w:fill="auto"/>
                <w:noWrap/>
                <w:vAlign w:val="center"/>
              </w:tcPr>
              <w:p>
                <w:pPr>
                  <w:rPr>
                    <w:color w:val="000000"/>
                    <w:szCs w:val="21"/>
                  </w:rPr>
                </w:pPr>
                <w:r>
                  <w:rPr>
                    <w:rFonts w:hint="eastAsia"/>
                    <w:color w:val="000000"/>
                    <w:szCs w:val="21"/>
                  </w:rPr>
                  <w:t>兖煤万福能源有限公司</w:t>
                </w:r>
              </w:p>
            </w:tc>
            <w:tc>
              <w:tcPr>
                <w:tcW w:w="615" w:type="pct"/>
                <w:shd w:val="clear" w:color="auto" w:fill="auto"/>
                <w:noWrap/>
                <w:vAlign w:val="center"/>
              </w:tcPr>
              <w:p>
                <w:pPr>
                  <w:jc w:val="center"/>
                  <w:rPr>
                    <w:color w:val="000000"/>
                    <w:szCs w:val="21"/>
                  </w:rPr>
                </w:pPr>
                <w:r>
                  <w:rPr>
                    <w:rFonts w:hint="eastAsia"/>
                    <w:color w:val="000000"/>
                    <w:szCs w:val="21"/>
                  </w:rPr>
                  <w:t>山东菏泽</w:t>
                </w:r>
              </w:p>
            </w:tc>
            <w:tc>
              <w:tcPr>
                <w:tcW w:w="1231" w:type="pct"/>
                <w:shd w:val="clear" w:color="auto" w:fill="auto"/>
                <w:noWrap/>
                <w:vAlign w:val="center"/>
              </w:tcPr>
              <w:p>
                <w:pPr>
                  <w:jc w:val="center"/>
                  <w:rPr>
                    <w:color w:val="000000"/>
                    <w:szCs w:val="21"/>
                  </w:rPr>
                </w:pPr>
                <w:r>
                  <w:rPr>
                    <w:rFonts w:hint="eastAsia"/>
                    <w:color w:val="000000"/>
                    <w:szCs w:val="21"/>
                  </w:rPr>
                  <w:t>60,000万元</w:t>
                </w:r>
              </w:p>
            </w:tc>
            <w:tc>
              <w:tcPr>
                <w:tcW w:w="983" w:type="pct"/>
                <w:shd w:val="clear" w:color="auto" w:fill="auto"/>
                <w:noWrap/>
                <w:vAlign w:val="center"/>
              </w:tcPr>
              <w:p>
                <w:pPr>
                  <w:rPr>
                    <w:color w:val="000000"/>
                    <w:szCs w:val="21"/>
                  </w:rPr>
                </w:pPr>
                <w:r>
                  <w:rPr>
                    <w:rFonts w:hint="eastAsia"/>
                    <w:color w:val="000000"/>
                    <w:szCs w:val="21"/>
                  </w:rPr>
                  <w:t>煤炭开采及销售</w:t>
                </w:r>
              </w:p>
            </w:tc>
            <w:tc>
              <w:tcPr>
                <w:tcW w:w="821" w:type="pct"/>
                <w:shd w:val="clear" w:color="auto" w:fill="auto"/>
                <w:noWrap/>
                <w:vAlign w:val="center"/>
              </w:tcPr>
              <w:p>
                <w:pPr>
                  <w:jc w:val="center"/>
                  <w:rPr>
                    <w:color w:val="000000"/>
                    <w:szCs w:val="21"/>
                  </w:rPr>
                </w:pPr>
                <w:r>
                  <w:rPr>
                    <w:rFonts w:hint="eastAsia"/>
                    <w:color w:val="000000"/>
                    <w:szCs w:val="21"/>
                  </w:rPr>
                  <w:t>90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6)内蒙古昊盛煤业有限公司</w:t>
          </w:r>
        </w:p>
        <w:p>
          <w:pPr>
            <w:autoSpaceDE w:val="0"/>
            <w:autoSpaceDN w:val="0"/>
            <w:adjustRightInd w:val="0"/>
            <w:spacing w:afterLines="50" w:after="156" w:line="360" w:lineRule="exact"/>
            <w:ind w:firstLineChars="200" w:firstLine="420"/>
          </w:pPr>
          <w:r>
            <w:rPr>
              <w:rFonts w:hint="eastAsia"/>
            </w:rPr>
            <w:t>内蒙古昊盛煤业有限公司（以下简称“昊盛公司”），由上海华谊（集团）公司、鄂尔多斯市久泰满来煤业有限公司、鄂尔多斯市金诚泰化工有限责任公司于2010年3月共同出资组建，初期注册资本15,000万元，后经多次股权变动及增资，截至2023年12月31日，昊盛公司注册资本为118,462万元，本集团持股比例为59.38%。公司法人营业执照统一社会信用代码：91150627552806504A，法定代表人为陈虎，主要从事煤炭洗选、销售；煤矿机械设备及配件销售。</w:t>
          </w:r>
        </w:p>
        <w:p>
          <w:pPr>
            <w:autoSpaceDE w:val="0"/>
            <w:autoSpaceDN w:val="0"/>
            <w:adjustRightInd w:val="0"/>
            <w:spacing w:afterLines="50" w:after="156" w:line="360" w:lineRule="exact"/>
            <w:ind w:firstLineChars="200" w:firstLine="420"/>
          </w:pPr>
          <w:r>
            <w:rPr>
              <w:rFonts w:hint="eastAsia"/>
            </w:rPr>
            <w:t>7)兖矿能源集团国际贸易有限公司</w:t>
          </w:r>
        </w:p>
        <w:p>
          <w:pPr>
            <w:autoSpaceDE w:val="0"/>
            <w:autoSpaceDN w:val="0"/>
            <w:adjustRightInd w:val="0"/>
            <w:spacing w:afterLines="50" w:after="156" w:line="360" w:lineRule="exact"/>
            <w:ind w:firstLineChars="200" w:firstLine="420"/>
          </w:pPr>
          <w:r>
            <w:rPr>
              <w:rFonts w:hint="eastAsia"/>
            </w:rPr>
            <w:t>兖矿能源集团国际贸易有限公司（以下简称“兖矿国贸”）系本集团全资子公司，成立于2015年9月17日，注册资本30,000万元。公司法人营业执照统一社会信用代码：91370100353493269U，2022年变更法定代表人为徐长厚，主要从事煤炭、煤矿机械设备及配件、采矿专用设备、金属材料、矿用材料等的销售。</w:t>
          </w:r>
        </w:p>
        <w:p>
          <w:pPr>
            <w:autoSpaceDE w:val="0"/>
            <w:autoSpaceDN w:val="0"/>
            <w:adjustRightInd w:val="0"/>
            <w:spacing w:afterLines="50" w:after="156" w:line="360" w:lineRule="exact"/>
            <w:ind w:firstLineChars="200" w:firstLine="420"/>
          </w:pPr>
          <w:r>
            <w:rPr>
              <w:rFonts w:hint="eastAsia"/>
            </w:rPr>
            <w:t>兖矿国贸主要控股子公司如下：</w:t>
          </w:r>
        </w:p>
        <w:tbl>
          <w:tblPr>
            <w:tblStyle w:val="affffffffff8"/>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zxnVHdDotEqliHEu5bTUQ|0|desc|||0|1"/>
          </w:tblPr>
          <w:tblGrid>
            <w:gridCol w:w="2661"/>
            <w:gridCol w:w="936"/>
            <w:gridCol w:w="1843"/>
            <w:gridCol w:w="2498"/>
            <w:gridCol w:w="989"/>
          </w:tblGrid>
          <w:tr>
            <w:trPr>
              <w:trHeight w:val="397"/>
              <w:tblHeader/>
              <w:jc w:val="center"/>
            </w:trPr>
            <w:tc>
              <w:tcPr>
                <w:tcW w:w="1491" w:type="pct"/>
                <w:shd w:val="clear" w:color="auto" w:fill="auto"/>
                <w:noWrap/>
                <w:vAlign w:val="center"/>
              </w:tcPr>
              <w:p>
                <w:pPr>
                  <w:jc w:val="center"/>
                  <w:rPr>
                    <w:b/>
                    <w:bCs/>
                    <w:color w:val="000000"/>
                    <w:szCs w:val="21"/>
                  </w:rPr>
                </w:pPr>
                <w:r>
                  <w:rPr>
                    <w:rFonts w:hint="eastAsia"/>
                    <w:b/>
                    <w:bCs/>
                    <w:color w:val="000000"/>
                    <w:szCs w:val="21"/>
                  </w:rPr>
                  <w:t>公司名称</w:t>
                </w:r>
              </w:p>
            </w:tc>
            <w:tc>
              <w:tcPr>
                <w:tcW w:w="524" w:type="pct"/>
                <w:shd w:val="clear" w:color="auto" w:fill="auto"/>
                <w:noWrap/>
                <w:vAlign w:val="center"/>
              </w:tcPr>
              <w:p>
                <w:pPr>
                  <w:jc w:val="center"/>
                  <w:rPr>
                    <w:b/>
                    <w:bCs/>
                    <w:color w:val="000000"/>
                    <w:szCs w:val="21"/>
                  </w:rPr>
                </w:pPr>
                <w:r>
                  <w:rPr>
                    <w:rFonts w:hint="eastAsia"/>
                    <w:b/>
                    <w:bCs/>
                    <w:color w:val="000000"/>
                    <w:szCs w:val="21"/>
                  </w:rPr>
                  <w:t>注册地</w:t>
                </w:r>
              </w:p>
            </w:tc>
            <w:tc>
              <w:tcPr>
                <w:tcW w:w="1032" w:type="pct"/>
                <w:shd w:val="clear" w:color="auto" w:fill="auto"/>
                <w:noWrap/>
                <w:vAlign w:val="center"/>
              </w:tcPr>
              <w:p>
                <w:pPr>
                  <w:jc w:val="center"/>
                  <w:rPr>
                    <w:b/>
                    <w:bCs/>
                    <w:color w:val="000000"/>
                    <w:szCs w:val="21"/>
                  </w:rPr>
                </w:pPr>
                <w:r>
                  <w:rPr>
                    <w:rFonts w:hint="eastAsia"/>
                    <w:b/>
                    <w:bCs/>
                    <w:color w:val="000000"/>
                    <w:szCs w:val="21"/>
                  </w:rPr>
                  <w:t>注册资本（人民币）</w:t>
                </w:r>
              </w:p>
            </w:tc>
            <w:tc>
              <w:tcPr>
                <w:tcW w:w="1399" w:type="pct"/>
                <w:shd w:val="clear" w:color="auto" w:fill="auto"/>
                <w:noWrap/>
                <w:vAlign w:val="center"/>
              </w:tcPr>
              <w:p>
                <w:pPr>
                  <w:jc w:val="center"/>
                  <w:rPr>
                    <w:b/>
                    <w:bCs/>
                    <w:color w:val="000000"/>
                    <w:szCs w:val="21"/>
                  </w:rPr>
                </w:pPr>
                <w:r>
                  <w:rPr>
                    <w:rFonts w:hint="eastAsia"/>
                    <w:b/>
                    <w:bCs/>
                    <w:color w:val="000000"/>
                    <w:szCs w:val="21"/>
                  </w:rPr>
                  <w:t>经营范围</w:t>
                </w:r>
              </w:p>
            </w:tc>
            <w:tc>
              <w:tcPr>
                <w:tcW w:w="554"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491" w:type="pct"/>
                <w:shd w:val="clear" w:color="auto" w:fill="auto"/>
                <w:noWrap/>
                <w:vAlign w:val="center"/>
              </w:tcPr>
              <w:p>
                <w:pPr>
                  <w:rPr>
                    <w:color w:val="000000"/>
                    <w:szCs w:val="21"/>
                  </w:rPr>
                </w:pPr>
                <w:r>
                  <w:rPr>
                    <w:rFonts w:hint="eastAsia"/>
                    <w:color w:val="000000"/>
                    <w:szCs w:val="21"/>
                  </w:rPr>
                  <w:t>山东中垠物流贸易有限公司</w:t>
                </w:r>
              </w:p>
            </w:tc>
            <w:tc>
              <w:tcPr>
                <w:tcW w:w="524" w:type="pct"/>
                <w:shd w:val="clear" w:color="auto" w:fill="auto"/>
                <w:noWrap/>
                <w:vAlign w:val="center"/>
              </w:tcPr>
              <w:p>
                <w:pPr>
                  <w:jc w:val="center"/>
                  <w:rPr>
                    <w:color w:val="000000"/>
                    <w:szCs w:val="21"/>
                  </w:rPr>
                </w:pPr>
                <w:r>
                  <w:rPr>
                    <w:rFonts w:hint="eastAsia"/>
                    <w:color w:val="000000"/>
                    <w:szCs w:val="21"/>
                  </w:rPr>
                  <w:t>山东济南</w:t>
                </w:r>
              </w:p>
            </w:tc>
            <w:tc>
              <w:tcPr>
                <w:tcW w:w="1032" w:type="pct"/>
                <w:shd w:val="clear" w:color="auto" w:fill="auto"/>
                <w:noWrap/>
                <w:vAlign w:val="center"/>
              </w:tcPr>
              <w:p>
                <w:pPr>
                  <w:jc w:val="center"/>
                  <w:rPr>
                    <w:color w:val="000000"/>
                    <w:szCs w:val="21"/>
                  </w:rPr>
                </w:pPr>
                <w:r>
                  <w:rPr>
                    <w:rFonts w:hint="eastAsia"/>
                    <w:color w:val="000000"/>
                    <w:szCs w:val="21"/>
                  </w:rPr>
                  <w:t>30,000万元</w:t>
                </w:r>
              </w:p>
            </w:tc>
            <w:tc>
              <w:tcPr>
                <w:tcW w:w="1399" w:type="pct"/>
                <w:shd w:val="clear" w:color="auto" w:fill="auto"/>
                <w:noWrap/>
                <w:vAlign w:val="center"/>
              </w:tcPr>
              <w:p>
                <w:pPr>
                  <w:rPr>
                    <w:color w:val="000000"/>
                    <w:szCs w:val="21"/>
                  </w:rPr>
                </w:pPr>
                <w:r>
                  <w:rPr>
                    <w:rFonts w:hint="eastAsia"/>
                    <w:color w:val="000000"/>
                    <w:szCs w:val="21"/>
                  </w:rPr>
                  <w:t>从事煤炭、煤矿机械设备及配件、采矿专用设备的销售</w:t>
                </w:r>
              </w:p>
            </w:tc>
            <w:tc>
              <w:tcPr>
                <w:tcW w:w="554" w:type="pct"/>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8)兖矿瑞丰国际贸易有限公司</w:t>
          </w:r>
        </w:p>
        <w:p>
          <w:pPr>
            <w:autoSpaceDE w:val="0"/>
            <w:autoSpaceDN w:val="0"/>
            <w:adjustRightInd w:val="0"/>
            <w:spacing w:afterLines="50" w:after="156" w:line="360" w:lineRule="exact"/>
            <w:ind w:firstLineChars="200" w:firstLine="420"/>
          </w:pPr>
          <w:r>
            <w:rPr>
              <w:rFonts w:hint="eastAsia"/>
            </w:rPr>
            <w:lastRenderedPageBreak/>
            <w:t>兖矿瑞丰国际贸易有限公司（以下简称“兖矿瑞丰”）系本集团和青岛世纪瑞丰集团有限公司共同出资设立，成立于2015年11月，注册资本20,000万元，其中本集团出资10,200万元，持股51%，青岛世纪瑞丰集团有限公司出资9,800万元，持股49%。公司法人营业执照统一社会信用代码：91370220MA3COK0918，法定代表人为任义飞，主要从事国际贸易、转口贸易、区内企业之间贸易及贸易项下加工整理等。</w:t>
          </w:r>
        </w:p>
        <w:p>
          <w:pPr>
            <w:autoSpaceDE w:val="0"/>
            <w:autoSpaceDN w:val="0"/>
            <w:adjustRightInd w:val="0"/>
            <w:spacing w:afterLines="50" w:after="156" w:line="360" w:lineRule="exact"/>
            <w:ind w:firstLineChars="200" w:firstLine="420"/>
          </w:pPr>
          <w:r>
            <w:rPr>
              <w:rFonts w:hint="eastAsia"/>
            </w:rPr>
            <w:t>兖矿瑞丰主要控股子公司如下：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GEkpo9kfqEyBqqEX5i1dhw|0|desc|||0|1"/>
          </w:tblPr>
          <w:tblGrid>
            <w:gridCol w:w="2856"/>
            <w:gridCol w:w="1177"/>
            <w:gridCol w:w="1536"/>
            <w:gridCol w:w="1536"/>
            <w:gridCol w:w="1464"/>
          </w:tblGrid>
          <w:tr>
            <w:trPr>
              <w:trHeight w:val="397"/>
              <w:tblHeader/>
              <w:jc w:val="center"/>
            </w:trPr>
            <w:tc>
              <w:tcPr>
                <w:tcW w:w="1667" w:type="pct"/>
                <w:shd w:val="clear" w:color="auto" w:fill="auto"/>
                <w:noWrap/>
                <w:vAlign w:val="center"/>
              </w:tcPr>
              <w:p>
                <w:pPr>
                  <w:jc w:val="center"/>
                  <w:rPr>
                    <w:b/>
                    <w:bCs/>
                    <w:color w:val="000000"/>
                    <w:szCs w:val="21"/>
                  </w:rPr>
                </w:pPr>
                <w:r>
                  <w:rPr>
                    <w:rFonts w:hint="eastAsia"/>
                    <w:b/>
                    <w:bCs/>
                    <w:color w:val="000000"/>
                    <w:szCs w:val="21"/>
                  </w:rPr>
                  <w:t>公司名称</w:t>
                </w:r>
              </w:p>
            </w:tc>
            <w:tc>
              <w:tcPr>
                <w:tcW w:w="687" w:type="pct"/>
                <w:shd w:val="clear" w:color="auto" w:fill="auto"/>
                <w:noWrap/>
                <w:vAlign w:val="center"/>
              </w:tcPr>
              <w:p>
                <w:pPr>
                  <w:jc w:val="center"/>
                  <w:rPr>
                    <w:b/>
                    <w:bCs/>
                    <w:color w:val="000000"/>
                    <w:szCs w:val="21"/>
                  </w:rPr>
                </w:pPr>
                <w:r>
                  <w:rPr>
                    <w:rFonts w:hint="eastAsia"/>
                    <w:b/>
                    <w:bCs/>
                    <w:color w:val="000000"/>
                    <w:szCs w:val="21"/>
                  </w:rPr>
                  <w:t>注册地</w:t>
                </w:r>
              </w:p>
            </w:tc>
            <w:tc>
              <w:tcPr>
                <w:tcW w:w="896" w:type="pct"/>
                <w:shd w:val="clear" w:color="auto" w:fill="auto"/>
                <w:noWrap/>
                <w:vAlign w:val="center"/>
              </w:tcPr>
              <w:p>
                <w:pPr>
                  <w:jc w:val="center"/>
                  <w:rPr>
                    <w:b/>
                    <w:bCs/>
                    <w:color w:val="000000"/>
                    <w:szCs w:val="21"/>
                  </w:rPr>
                </w:pPr>
                <w:r>
                  <w:rPr>
                    <w:rFonts w:hint="eastAsia"/>
                    <w:b/>
                    <w:bCs/>
                    <w:color w:val="000000"/>
                    <w:szCs w:val="21"/>
                  </w:rPr>
                  <w:t>注册资本</w:t>
                </w:r>
              </w:p>
            </w:tc>
            <w:tc>
              <w:tcPr>
                <w:tcW w:w="896" w:type="pct"/>
                <w:shd w:val="clear" w:color="auto" w:fill="auto"/>
                <w:noWrap/>
                <w:vAlign w:val="center"/>
              </w:tcPr>
              <w:p>
                <w:pPr>
                  <w:jc w:val="center"/>
                  <w:rPr>
                    <w:b/>
                    <w:bCs/>
                    <w:color w:val="000000"/>
                    <w:szCs w:val="21"/>
                  </w:rPr>
                </w:pPr>
                <w:r>
                  <w:rPr>
                    <w:rFonts w:hint="eastAsia"/>
                    <w:b/>
                    <w:bCs/>
                    <w:color w:val="000000"/>
                    <w:szCs w:val="21"/>
                  </w:rPr>
                  <w:t>经营范围</w:t>
                </w:r>
              </w:p>
            </w:tc>
            <w:tc>
              <w:tcPr>
                <w:tcW w:w="854"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667" w:type="pct"/>
                <w:shd w:val="clear" w:color="auto" w:fill="auto"/>
                <w:noWrap/>
                <w:vAlign w:val="center"/>
              </w:tcPr>
              <w:p>
                <w:pPr>
                  <w:rPr>
                    <w:color w:val="000000"/>
                    <w:szCs w:val="21"/>
                  </w:rPr>
                </w:pPr>
                <w:r>
                  <w:rPr>
                    <w:rFonts w:hint="eastAsia"/>
                    <w:color w:val="000000"/>
                    <w:szCs w:val="21"/>
                  </w:rPr>
                  <w:t>兖矿瑞丰（香港）有限公司</w:t>
                </w:r>
              </w:p>
            </w:tc>
            <w:tc>
              <w:tcPr>
                <w:tcW w:w="687" w:type="pct"/>
                <w:shd w:val="clear" w:color="auto" w:fill="auto"/>
                <w:noWrap/>
                <w:vAlign w:val="center"/>
              </w:tcPr>
              <w:p>
                <w:pPr>
                  <w:jc w:val="center"/>
                  <w:rPr>
                    <w:color w:val="000000"/>
                    <w:szCs w:val="21"/>
                  </w:rPr>
                </w:pPr>
                <w:r>
                  <w:rPr>
                    <w:rFonts w:hint="eastAsia"/>
                    <w:color w:val="000000"/>
                    <w:szCs w:val="21"/>
                  </w:rPr>
                  <w:t>香港</w:t>
                </w:r>
              </w:p>
            </w:tc>
            <w:tc>
              <w:tcPr>
                <w:tcW w:w="896" w:type="pct"/>
                <w:shd w:val="clear" w:color="auto" w:fill="auto"/>
                <w:noWrap/>
                <w:vAlign w:val="center"/>
              </w:tcPr>
              <w:p>
                <w:pPr>
                  <w:jc w:val="center"/>
                  <w:rPr>
                    <w:color w:val="000000"/>
                    <w:szCs w:val="21"/>
                  </w:rPr>
                </w:pPr>
                <w:r>
                  <w:rPr>
                    <w:rFonts w:hint="eastAsia"/>
                    <w:color w:val="000000"/>
                    <w:szCs w:val="21"/>
                  </w:rPr>
                  <w:t>128.52万美元</w:t>
                </w:r>
              </w:p>
            </w:tc>
            <w:tc>
              <w:tcPr>
                <w:tcW w:w="896" w:type="pct"/>
                <w:shd w:val="clear" w:color="auto" w:fill="auto"/>
                <w:noWrap/>
                <w:vAlign w:val="center"/>
              </w:tcPr>
              <w:p>
                <w:pPr>
                  <w:rPr>
                    <w:color w:val="000000"/>
                    <w:szCs w:val="21"/>
                  </w:rPr>
                </w:pPr>
                <w:r>
                  <w:rPr>
                    <w:rFonts w:hint="eastAsia"/>
                    <w:color w:val="000000"/>
                    <w:szCs w:val="21"/>
                  </w:rPr>
                  <w:t>国际贸易</w:t>
                </w:r>
              </w:p>
            </w:tc>
            <w:tc>
              <w:tcPr>
                <w:tcW w:w="854"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67" w:type="pct"/>
                <w:shd w:val="clear" w:color="auto" w:fill="auto"/>
                <w:noWrap/>
                <w:vAlign w:val="center"/>
              </w:tcPr>
              <w:p>
                <w:pPr>
                  <w:rPr>
                    <w:color w:val="000000"/>
                    <w:szCs w:val="21"/>
                  </w:rPr>
                </w:pPr>
                <w:r>
                  <w:rPr>
                    <w:rFonts w:hint="eastAsia"/>
                    <w:color w:val="000000"/>
                    <w:szCs w:val="21"/>
                  </w:rPr>
                  <w:t>兖矿再生资源有限公司</w:t>
                </w:r>
              </w:p>
            </w:tc>
            <w:tc>
              <w:tcPr>
                <w:tcW w:w="687" w:type="pct"/>
                <w:shd w:val="clear" w:color="auto" w:fill="auto"/>
                <w:noWrap/>
                <w:vAlign w:val="center"/>
              </w:tcPr>
              <w:p>
                <w:pPr>
                  <w:jc w:val="center"/>
                  <w:rPr>
                    <w:color w:val="000000"/>
                    <w:szCs w:val="21"/>
                  </w:rPr>
                </w:pPr>
                <w:r>
                  <w:rPr>
                    <w:rFonts w:hint="eastAsia"/>
                    <w:color w:val="000000"/>
                    <w:szCs w:val="21"/>
                  </w:rPr>
                  <w:t>山东邹城</w:t>
                </w:r>
              </w:p>
            </w:tc>
            <w:tc>
              <w:tcPr>
                <w:tcW w:w="896" w:type="pct"/>
                <w:shd w:val="clear" w:color="auto" w:fill="auto"/>
                <w:noWrap/>
                <w:vAlign w:val="center"/>
              </w:tcPr>
              <w:p>
                <w:pPr>
                  <w:jc w:val="center"/>
                  <w:rPr>
                    <w:color w:val="000000"/>
                    <w:szCs w:val="21"/>
                  </w:rPr>
                </w:pPr>
                <w:r>
                  <w:rPr>
                    <w:rFonts w:hint="eastAsia"/>
                    <w:color w:val="000000"/>
                    <w:szCs w:val="21"/>
                  </w:rPr>
                  <w:t>10,000万元</w:t>
                </w:r>
              </w:p>
            </w:tc>
            <w:tc>
              <w:tcPr>
                <w:tcW w:w="896" w:type="pct"/>
                <w:shd w:val="clear" w:color="auto" w:fill="auto"/>
                <w:noWrap/>
                <w:vAlign w:val="center"/>
              </w:tcPr>
              <w:p>
                <w:pPr>
                  <w:rPr>
                    <w:color w:val="000000"/>
                    <w:szCs w:val="21"/>
                  </w:rPr>
                </w:pPr>
                <w:r>
                  <w:rPr>
                    <w:rFonts w:hint="eastAsia"/>
                    <w:color w:val="000000"/>
                    <w:szCs w:val="21"/>
                  </w:rPr>
                  <w:t>再生资源回收</w:t>
                </w:r>
              </w:p>
            </w:tc>
            <w:tc>
              <w:tcPr>
                <w:tcW w:w="854" w:type="pct"/>
                <w:shd w:val="clear" w:color="auto" w:fill="auto"/>
                <w:noWrap/>
                <w:vAlign w:val="center"/>
              </w:tcPr>
              <w:p>
                <w:pPr>
                  <w:jc w:val="center"/>
                  <w:rPr>
                    <w:color w:val="000000"/>
                    <w:szCs w:val="21"/>
                  </w:rPr>
                </w:pPr>
                <w:r>
                  <w:rPr>
                    <w:rFonts w:hint="eastAsia"/>
                    <w:color w:val="000000"/>
                    <w:szCs w:val="21"/>
                  </w:rPr>
                  <w:t>70</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9)兖矿融资租赁有限公司</w:t>
          </w:r>
        </w:p>
        <w:p>
          <w:pPr>
            <w:autoSpaceDE w:val="0"/>
            <w:autoSpaceDN w:val="0"/>
            <w:adjustRightInd w:val="0"/>
            <w:spacing w:afterLines="50" w:after="156" w:line="360" w:lineRule="exact"/>
            <w:ind w:firstLineChars="200" w:firstLine="420"/>
          </w:pPr>
          <w:r>
            <w:rPr>
              <w:rFonts w:hint="eastAsia"/>
            </w:rPr>
            <w:t>兖矿融资租赁有限公司（以下简称“兖矿融资租赁”）成立于2014年5月，由本集团及本集团之子公司香港公司共同出资设立，注册资本合计50,000万元，其中本集团以现金出资37,500万元，持股75%；香港公司以现金出资12,500万元，持股25%。</w:t>
          </w:r>
        </w:p>
        <w:p>
          <w:pPr>
            <w:autoSpaceDE w:val="0"/>
            <w:autoSpaceDN w:val="0"/>
            <w:adjustRightInd w:val="0"/>
            <w:spacing w:afterLines="50" w:after="156" w:line="360" w:lineRule="exact"/>
            <w:ind w:firstLineChars="200" w:firstLine="420"/>
          </w:pPr>
          <w:r>
            <w:rPr>
              <w:rFonts w:hint="eastAsia"/>
            </w:rPr>
            <w:t>2015年，兖矿融资租赁增加注册资本156,000万元，增资后注册资本合计206,000万元，其中本集团增资112,500万元，增资后为150,000万元，持股72.82%；香港公司增资37,500万元，增资后为50,000万元，持股24.27%；第三方山东永正投资发展有限公司投资6,000万元，持股2.91%。2016年，兖矿融资租赁增加注册资本500,000万元，增资后注册资本合计706,000万元。2017年，兖矿融资租赁召开第一届董事会第四次会议，通过议案同意山东永正投资发展有限公司于2017年12月31日减资6,000万元，减资后为700,000万元，本集团持股100%。公司法人营业执照统一社会信用代码：91310000094402317P，法定代表人：李士鹏，主要从事融资租赁业务等。</w:t>
          </w:r>
        </w:p>
        <w:p>
          <w:pPr>
            <w:autoSpaceDE w:val="0"/>
            <w:autoSpaceDN w:val="0"/>
            <w:adjustRightInd w:val="0"/>
            <w:spacing w:afterLines="50" w:after="156" w:line="360" w:lineRule="exact"/>
            <w:ind w:firstLineChars="200" w:firstLine="420"/>
          </w:pPr>
          <w:r>
            <w:rPr>
              <w:rFonts w:hint="eastAsia"/>
            </w:rPr>
            <w:t>兖矿融资租赁主要控股子公司如下：</w:t>
          </w:r>
        </w:p>
        <w:tbl>
          <w:tblPr>
            <w:tblStyle w:val="affffffffff8"/>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XjifvQKC60FpK4GU4TuMg|0|desc|||0|1"/>
          </w:tblPr>
          <w:tblGrid>
            <w:gridCol w:w="3156"/>
            <w:gridCol w:w="849"/>
            <w:gridCol w:w="1424"/>
            <w:gridCol w:w="3366"/>
            <w:gridCol w:w="1377"/>
          </w:tblGrid>
          <w:tr>
            <w:trPr>
              <w:trHeight w:val="397"/>
              <w:tblHeader/>
              <w:jc w:val="center"/>
            </w:trPr>
            <w:tc>
              <w:tcPr>
                <w:tcW w:w="1650" w:type="pct"/>
                <w:shd w:val="clear" w:color="auto" w:fill="auto"/>
                <w:noWrap/>
                <w:vAlign w:val="center"/>
              </w:tcPr>
              <w:p>
                <w:pPr>
                  <w:jc w:val="center"/>
                  <w:rPr>
                    <w:b/>
                    <w:bCs/>
                    <w:color w:val="000000"/>
                    <w:szCs w:val="21"/>
                  </w:rPr>
                </w:pPr>
                <w:r>
                  <w:rPr>
                    <w:rFonts w:hint="eastAsia"/>
                    <w:b/>
                    <w:bCs/>
                    <w:color w:val="000000"/>
                    <w:szCs w:val="21"/>
                  </w:rPr>
                  <w:t>公司名称</w:t>
                </w:r>
              </w:p>
            </w:tc>
            <w:tc>
              <w:tcPr>
                <w:tcW w:w="417" w:type="pct"/>
                <w:shd w:val="clear" w:color="auto" w:fill="auto"/>
                <w:noWrap/>
                <w:vAlign w:val="center"/>
              </w:tcPr>
              <w:p>
                <w:pPr>
                  <w:jc w:val="center"/>
                  <w:rPr>
                    <w:b/>
                    <w:bCs/>
                    <w:color w:val="000000"/>
                    <w:szCs w:val="21"/>
                  </w:rPr>
                </w:pPr>
                <w:r>
                  <w:rPr>
                    <w:rFonts w:hint="eastAsia"/>
                    <w:b/>
                    <w:bCs/>
                    <w:color w:val="000000"/>
                    <w:szCs w:val="21"/>
                  </w:rPr>
                  <w:t>注册地</w:t>
                </w:r>
              </w:p>
            </w:tc>
            <w:tc>
              <w:tcPr>
                <w:tcW w:w="684" w:type="pct"/>
                <w:shd w:val="clear" w:color="auto" w:fill="auto"/>
                <w:noWrap/>
                <w:vAlign w:val="center"/>
              </w:tcPr>
              <w:p>
                <w:pPr>
                  <w:jc w:val="center"/>
                  <w:rPr>
                    <w:b/>
                    <w:bCs/>
                    <w:color w:val="000000"/>
                    <w:szCs w:val="21"/>
                  </w:rPr>
                </w:pPr>
                <w:r>
                  <w:rPr>
                    <w:rFonts w:hint="eastAsia"/>
                    <w:b/>
                    <w:bCs/>
                    <w:color w:val="000000"/>
                    <w:szCs w:val="21"/>
                  </w:rPr>
                  <w:t>注册资本</w:t>
                </w:r>
              </w:p>
            </w:tc>
            <w:tc>
              <w:tcPr>
                <w:tcW w:w="1587" w:type="pct"/>
                <w:shd w:val="clear" w:color="auto" w:fill="auto"/>
                <w:noWrap/>
                <w:vAlign w:val="center"/>
              </w:tcPr>
              <w:p>
                <w:pPr>
                  <w:jc w:val="center"/>
                  <w:rPr>
                    <w:b/>
                    <w:bCs/>
                    <w:color w:val="000000"/>
                    <w:szCs w:val="21"/>
                  </w:rPr>
                </w:pPr>
                <w:r>
                  <w:rPr>
                    <w:rFonts w:hint="eastAsia"/>
                    <w:b/>
                    <w:bCs/>
                    <w:color w:val="000000"/>
                    <w:szCs w:val="21"/>
                  </w:rPr>
                  <w:t>经营范围</w:t>
                </w:r>
              </w:p>
            </w:tc>
            <w:tc>
              <w:tcPr>
                <w:tcW w:w="662"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650" w:type="pct"/>
                <w:shd w:val="clear" w:color="auto" w:fill="auto"/>
                <w:noWrap/>
                <w:vAlign w:val="center"/>
              </w:tcPr>
              <w:p>
                <w:pPr>
                  <w:rPr>
                    <w:color w:val="000000"/>
                    <w:szCs w:val="21"/>
                  </w:rPr>
                </w:pPr>
                <w:r>
                  <w:rPr>
                    <w:rFonts w:hint="eastAsia"/>
                    <w:color w:val="000000"/>
                    <w:szCs w:val="21"/>
                  </w:rPr>
                  <w:t>上海兖矿能源发展有限公司</w:t>
                </w:r>
              </w:p>
            </w:tc>
            <w:tc>
              <w:tcPr>
                <w:tcW w:w="417" w:type="pct"/>
                <w:shd w:val="clear" w:color="auto" w:fill="auto"/>
                <w:noWrap/>
                <w:vAlign w:val="center"/>
              </w:tcPr>
              <w:p>
                <w:pPr>
                  <w:jc w:val="center"/>
                  <w:rPr>
                    <w:color w:val="000000"/>
                    <w:szCs w:val="21"/>
                  </w:rPr>
                </w:pPr>
                <w:r>
                  <w:rPr>
                    <w:rFonts w:hint="eastAsia"/>
                    <w:color w:val="000000"/>
                    <w:szCs w:val="21"/>
                  </w:rPr>
                  <w:t>上海</w:t>
                </w:r>
              </w:p>
            </w:tc>
            <w:tc>
              <w:tcPr>
                <w:tcW w:w="684" w:type="pct"/>
                <w:shd w:val="clear" w:color="auto" w:fill="auto"/>
                <w:noWrap/>
                <w:vAlign w:val="center"/>
              </w:tcPr>
              <w:p>
                <w:pPr>
                  <w:jc w:val="center"/>
                  <w:rPr>
                    <w:color w:val="000000"/>
                    <w:szCs w:val="21"/>
                  </w:rPr>
                </w:pPr>
                <w:r>
                  <w:rPr>
                    <w:rFonts w:hint="eastAsia"/>
                    <w:color w:val="000000"/>
                    <w:szCs w:val="21"/>
                  </w:rPr>
                  <w:t>8,000万元</w:t>
                </w:r>
              </w:p>
            </w:tc>
            <w:tc>
              <w:tcPr>
                <w:tcW w:w="1587" w:type="pct"/>
                <w:shd w:val="clear" w:color="auto" w:fill="auto"/>
                <w:noWrap/>
                <w:vAlign w:val="center"/>
              </w:tcPr>
              <w:p>
                <w:pPr>
                  <w:rPr>
                    <w:color w:val="000000"/>
                    <w:szCs w:val="21"/>
                  </w:rPr>
                </w:pPr>
                <w:r>
                  <w:rPr>
                    <w:rFonts w:hint="eastAsia"/>
                    <w:color w:val="000000"/>
                    <w:szCs w:val="21"/>
                  </w:rPr>
                  <w:t>房地产开发经营、物业管理</w:t>
                </w:r>
              </w:p>
            </w:tc>
            <w:tc>
              <w:tcPr>
                <w:tcW w:w="662"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0" w:type="pct"/>
                <w:shd w:val="clear" w:color="auto" w:fill="auto"/>
                <w:noWrap/>
                <w:vAlign w:val="center"/>
              </w:tcPr>
              <w:p>
                <w:pPr>
                  <w:rPr>
                    <w:color w:val="000000"/>
                    <w:szCs w:val="21"/>
                  </w:rPr>
                </w:pPr>
                <w:r>
                  <w:rPr>
                    <w:rFonts w:hint="eastAsia"/>
                    <w:color w:val="000000"/>
                    <w:szCs w:val="21"/>
                  </w:rPr>
                  <w:t>兖矿融资租赁（泰安）有限公司</w:t>
                </w:r>
              </w:p>
            </w:tc>
            <w:tc>
              <w:tcPr>
                <w:tcW w:w="417" w:type="pct"/>
                <w:shd w:val="clear" w:color="auto" w:fill="auto"/>
                <w:noWrap/>
                <w:vAlign w:val="center"/>
              </w:tcPr>
              <w:p>
                <w:pPr>
                  <w:jc w:val="center"/>
                  <w:rPr>
                    <w:color w:val="000000"/>
                    <w:szCs w:val="21"/>
                  </w:rPr>
                </w:pPr>
                <w:r>
                  <w:rPr>
                    <w:rFonts w:hint="eastAsia"/>
                    <w:color w:val="000000"/>
                    <w:szCs w:val="21"/>
                  </w:rPr>
                  <w:t>山东</w:t>
                </w:r>
              </w:p>
            </w:tc>
            <w:tc>
              <w:tcPr>
                <w:tcW w:w="684" w:type="pct"/>
                <w:shd w:val="clear" w:color="auto" w:fill="auto"/>
                <w:noWrap/>
                <w:vAlign w:val="center"/>
              </w:tcPr>
              <w:p>
                <w:pPr>
                  <w:jc w:val="center"/>
                  <w:rPr>
                    <w:color w:val="000000"/>
                    <w:szCs w:val="21"/>
                  </w:rPr>
                </w:pPr>
                <w:r>
                  <w:rPr>
                    <w:rFonts w:hint="eastAsia"/>
                    <w:color w:val="000000"/>
                    <w:szCs w:val="21"/>
                  </w:rPr>
                  <w:t>159,300万元</w:t>
                </w:r>
              </w:p>
            </w:tc>
            <w:tc>
              <w:tcPr>
                <w:tcW w:w="1587" w:type="pct"/>
                <w:shd w:val="clear" w:color="auto" w:fill="auto"/>
                <w:noWrap/>
                <w:vAlign w:val="center"/>
              </w:tcPr>
              <w:p>
                <w:pPr>
                  <w:rPr>
                    <w:color w:val="000000"/>
                    <w:szCs w:val="21"/>
                  </w:rPr>
                </w:pPr>
                <w:r>
                  <w:rPr>
                    <w:rFonts w:hint="eastAsia"/>
                    <w:color w:val="000000"/>
                    <w:szCs w:val="21"/>
                  </w:rPr>
                  <w:t>商务服务业</w:t>
                </w:r>
              </w:p>
            </w:tc>
            <w:tc>
              <w:tcPr>
                <w:tcW w:w="662" w:type="pct"/>
                <w:shd w:val="clear" w:color="auto" w:fill="auto"/>
                <w:noWrap/>
                <w:vAlign w:val="center"/>
              </w:tcPr>
              <w:p>
                <w:pPr>
                  <w:jc w:val="center"/>
                  <w:rPr>
                    <w:color w:val="000000"/>
                    <w:szCs w:val="21"/>
                  </w:rPr>
                </w:pPr>
                <w:r>
                  <w:rPr>
                    <w:rFonts w:hint="eastAsia"/>
                    <w:color w:val="000000"/>
                    <w:szCs w:val="21"/>
                  </w:rPr>
                  <w:t>28.25</w:t>
                </w:r>
              </w:p>
            </w:tc>
          </w:tr>
          <w:tr>
            <w:trPr>
              <w:trHeight w:val="397"/>
              <w:jc w:val="center"/>
            </w:trPr>
            <w:tc>
              <w:tcPr>
                <w:tcW w:w="1650" w:type="pct"/>
                <w:shd w:val="clear" w:color="auto" w:fill="auto"/>
                <w:noWrap/>
                <w:vAlign w:val="center"/>
              </w:tcPr>
              <w:p>
                <w:pPr>
                  <w:rPr>
                    <w:color w:val="000000"/>
                    <w:szCs w:val="21"/>
                  </w:rPr>
                </w:pPr>
                <w:r>
                  <w:rPr>
                    <w:rFonts w:hint="eastAsia"/>
                    <w:color w:val="000000"/>
                    <w:szCs w:val="21"/>
                  </w:rPr>
                  <w:t>中垠（香港）有限公司</w:t>
                </w:r>
              </w:p>
            </w:tc>
            <w:tc>
              <w:tcPr>
                <w:tcW w:w="417" w:type="pct"/>
                <w:shd w:val="clear" w:color="auto" w:fill="auto"/>
                <w:noWrap/>
                <w:vAlign w:val="center"/>
              </w:tcPr>
              <w:p>
                <w:pPr>
                  <w:jc w:val="center"/>
                  <w:rPr>
                    <w:color w:val="000000"/>
                    <w:szCs w:val="21"/>
                  </w:rPr>
                </w:pPr>
                <w:r>
                  <w:rPr>
                    <w:rFonts w:hint="eastAsia"/>
                    <w:color w:val="000000"/>
                    <w:szCs w:val="21"/>
                  </w:rPr>
                  <w:t>香港</w:t>
                </w:r>
              </w:p>
            </w:tc>
            <w:tc>
              <w:tcPr>
                <w:tcW w:w="684" w:type="pct"/>
                <w:shd w:val="clear" w:color="auto" w:fill="auto"/>
                <w:noWrap/>
                <w:vAlign w:val="center"/>
              </w:tcPr>
              <w:p>
                <w:pPr>
                  <w:jc w:val="center"/>
                  <w:rPr>
                    <w:color w:val="000000"/>
                    <w:szCs w:val="21"/>
                  </w:rPr>
                </w:pPr>
                <w:r>
                  <w:rPr>
                    <w:rFonts w:hint="eastAsia"/>
                    <w:color w:val="000000"/>
                    <w:szCs w:val="21"/>
                  </w:rPr>
                  <w:t>9,857万元</w:t>
                </w:r>
              </w:p>
            </w:tc>
            <w:tc>
              <w:tcPr>
                <w:tcW w:w="1587" w:type="pct"/>
                <w:shd w:val="clear" w:color="auto" w:fill="auto"/>
                <w:noWrap/>
                <w:vAlign w:val="center"/>
              </w:tcPr>
              <w:p>
                <w:pPr>
                  <w:rPr>
                    <w:color w:val="000000"/>
                    <w:szCs w:val="21"/>
                  </w:rPr>
                </w:pPr>
                <w:r>
                  <w:rPr>
                    <w:rFonts w:hint="eastAsia"/>
                    <w:color w:val="000000"/>
                    <w:szCs w:val="21"/>
                  </w:rPr>
                  <w:t>融资租赁、租赁、贸易、商业保理</w:t>
                </w:r>
              </w:p>
            </w:tc>
            <w:tc>
              <w:tcPr>
                <w:tcW w:w="662"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0" w:type="pct"/>
                <w:shd w:val="clear" w:color="auto" w:fill="auto"/>
                <w:noWrap/>
                <w:vAlign w:val="center"/>
              </w:tcPr>
              <w:p>
                <w:pPr>
                  <w:rPr>
                    <w:color w:val="000000"/>
                    <w:szCs w:val="21"/>
                  </w:rPr>
                </w:pPr>
                <w:r>
                  <w:rPr>
                    <w:rFonts w:hint="eastAsia"/>
                    <w:color w:val="000000"/>
                    <w:szCs w:val="21"/>
                  </w:rPr>
                  <w:t>兖矿商业保理（上海）有限公司</w:t>
                </w:r>
              </w:p>
            </w:tc>
            <w:tc>
              <w:tcPr>
                <w:tcW w:w="417" w:type="pct"/>
                <w:shd w:val="clear" w:color="auto" w:fill="auto"/>
                <w:noWrap/>
                <w:vAlign w:val="center"/>
              </w:tcPr>
              <w:p>
                <w:pPr>
                  <w:jc w:val="center"/>
                  <w:rPr>
                    <w:color w:val="000000"/>
                    <w:szCs w:val="21"/>
                  </w:rPr>
                </w:pPr>
                <w:r>
                  <w:rPr>
                    <w:rFonts w:hint="eastAsia"/>
                    <w:color w:val="000000"/>
                    <w:szCs w:val="21"/>
                  </w:rPr>
                  <w:t>上海</w:t>
                </w:r>
              </w:p>
            </w:tc>
            <w:tc>
              <w:tcPr>
                <w:tcW w:w="684" w:type="pct"/>
                <w:shd w:val="clear" w:color="auto" w:fill="auto"/>
                <w:noWrap/>
                <w:vAlign w:val="center"/>
              </w:tcPr>
              <w:p>
                <w:pPr>
                  <w:jc w:val="center"/>
                  <w:rPr>
                    <w:color w:val="000000"/>
                    <w:szCs w:val="21"/>
                  </w:rPr>
                </w:pPr>
                <w:r>
                  <w:rPr>
                    <w:rFonts w:hint="eastAsia"/>
                    <w:color w:val="000000"/>
                    <w:szCs w:val="21"/>
                  </w:rPr>
                  <w:t>9,800万元</w:t>
                </w:r>
              </w:p>
            </w:tc>
            <w:tc>
              <w:tcPr>
                <w:tcW w:w="1587" w:type="pct"/>
                <w:shd w:val="clear" w:color="auto" w:fill="auto"/>
                <w:noWrap/>
                <w:vAlign w:val="center"/>
              </w:tcPr>
              <w:p>
                <w:pPr>
                  <w:rPr>
                    <w:color w:val="000000"/>
                    <w:szCs w:val="21"/>
                  </w:rPr>
                </w:pPr>
                <w:r>
                  <w:rPr>
                    <w:rFonts w:hint="eastAsia"/>
                    <w:color w:val="000000"/>
                    <w:szCs w:val="21"/>
                  </w:rPr>
                  <w:t>融资租赁、租赁、贸易、商业保理</w:t>
                </w:r>
              </w:p>
            </w:tc>
            <w:tc>
              <w:tcPr>
                <w:tcW w:w="662"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50" w:type="pct"/>
                <w:shd w:val="clear" w:color="auto" w:fill="auto"/>
                <w:noWrap/>
                <w:vAlign w:val="center"/>
              </w:tcPr>
              <w:p>
                <w:pPr>
                  <w:rPr>
                    <w:color w:val="000000"/>
                    <w:szCs w:val="21"/>
                  </w:rPr>
                </w:pPr>
                <w:r>
                  <w:rPr>
                    <w:rFonts w:hint="eastAsia"/>
                    <w:color w:val="000000"/>
                    <w:szCs w:val="21"/>
                  </w:rPr>
                  <w:t>兖矿商业保理（天津）有限公司</w:t>
                </w:r>
              </w:p>
            </w:tc>
            <w:tc>
              <w:tcPr>
                <w:tcW w:w="417" w:type="pct"/>
                <w:shd w:val="clear" w:color="auto" w:fill="auto"/>
                <w:noWrap/>
                <w:vAlign w:val="center"/>
              </w:tcPr>
              <w:p>
                <w:pPr>
                  <w:jc w:val="center"/>
                  <w:rPr>
                    <w:color w:val="000000"/>
                    <w:szCs w:val="21"/>
                  </w:rPr>
                </w:pPr>
                <w:r>
                  <w:rPr>
                    <w:rFonts w:hint="eastAsia"/>
                    <w:color w:val="000000"/>
                    <w:szCs w:val="21"/>
                  </w:rPr>
                  <w:t>天津</w:t>
                </w:r>
              </w:p>
            </w:tc>
            <w:tc>
              <w:tcPr>
                <w:tcW w:w="684" w:type="pct"/>
                <w:shd w:val="clear" w:color="auto" w:fill="auto"/>
                <w:noWrap/>
                <w:vAlign w:val="center"/>
              </w:tcPr>
              <w:p>
                <w:pPr>
                  <w:jc w:val="center"/>
                  <w:rPr>
                    <w:color w:val="000000"/>
                    <w:szCs w:val="21"/>
                  </w:rPr>
                </w:pPr>
                <w:r>
                  <w:rPr>
                    <w:rFonts w:hint="eastAsia"/>
                    <w:color w:val="000000"/>
                    <w:szCs w:val="21"/>
                  </w:rPr>
                  <w:t>9,000万元</w:t>
                </w:r>
              </w:p>
            </w:tc>
            <w:tc>
              <w:tcPr>
                <w:tcW w:w="1587" w:type="pct"/>
                <w:shd w:val="clear" w:color="auto" w:fill="auto"/>
                <w:noWrap/>
                <w:vAlign w:val="center"/>
              </w:tcPr>
              <w:p>
                <w:pPr>
                  <w:rPr>
                    <w:color w:val="000000"/>
                    <w:szCs w:val="21"/>
                  </w:rPr>
                </w:pPr>
                <w:r>
                  <w:rPr>
                    <w:rFonts w:hint="eastAsia"/>
                    <w:color w:val="000000"/>
                    <w:szCs w:val="21"/>
                  </w:rPr>
                  <w:t>融资租赁、租赁、贸易、商业保理</w:t>
                </w:r>
              </w:p>
            </w:tc>
            <w:tc>
              <w:tcPr>
                <w:tcW w:w="662" w:type="pct"/>
                <w:shd w:val="clear" w:color="auto" w:fill="auto"/>
                <w:noWrap/>
                <w:vAlign w:val="center"/>
              </w:tcPr>
              <w:p>
                <w:pPr>
                  <w:jc w:val="center"/>
                  <w:rPr>
                    <w:color w:val="000000"/>
                    <w:szCs w:val="21"/>
                  </w:rPr>
                </w:pPr>
                <w:r>
                  <w:rPr>
                    <w:rFonts w:hint="eastAsia"/>
                    <w:color w:val="000000"/>
                    <w:szCs w:val="21"/>
                  </w:rPr>
                  <w:t>51</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10)陕西未来能源化工有限公司</w:t>
          </w:r>
        </w:p>
        <w:p>
          <w:pPr>
            <w:autoSpaceDE w:val="0"/>
            <w:autoSpaceDN w:val="0"/>
            <w:adjustRightInd w:val="0"/>
            <w:spacing w:afterLines="50" w:after="156" w:line="360" w:lineRule="exact"/>
            <w:ind w:firstLineChars="200" w:firstLine="420"/>
          </w:pPr>
          <w:r>
            <w:rPr>
              <w:rFonts w:hint="eastAsia"/>
            </w:rPr>
            <w:lastRenderedPageBreak/>
            <w:t>陕西未来能源化工有限公司（以下简称“未来能源”）系本集团之子公司，成立于2011年，注册资本540,000万元。公司法人营业执照统一社会信用代码：9161000056714796XP。法定代表人：马洪光，主要从事化工产品、油品的研发，电力生产销售，煤炭开采等。</w:t>
          </w:r>
        </w:p>
        <w:p>
          <w:pPr>
            <w:autoSpaceDE w:val="0"/>
            <w:autoSpaceDN w:val="0"/>
            <w:adjustRightInd w:val="0"/>
            <w:spacing w:afterLines="50" w:after="156" w:line="360" w:lineRule="exact"/>
            <w:ind w:firstLineChars="200" w:firstLine="420"/>
          </w:pPr>
          <w:r>
            <w:rPr>
              <w:rFonts w:hint="eastAsia"/>
            </w:rPr>
            <w:t>未来能源主要控股子公司如下：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v6imD8lHvk3YXMzTZC6kg|0|desc|||0|1"/>
          </w:tblPr>
          <w:tblGrid>
            <w:gridCol w:w="2856"/>
            <w:gridCol w:w="1177"/>
            <w:gridCol w:w="1536"/>
            <w:gridCol w:w="1536"/>
            <w:gridCol w:w="1464"/>
          </w:tblGrid>
          <w:tr>
            <w:trPr>
              <w:trHeight w:val="397"/>
              <w:tblHeader/>
              <w:jc w:val="center"/>
            </w:trPr>
            <w:tc>
              <w:tcPr>
                <w:tcW w:w="1667" w:type="pct"/>
                <w:shd w:val="clear" w:color="auto" w:fill="auto"/>
                <w:noWrap/>
                <w:vAlign w:val="center"/>
              </w:tcPr>
              <w:p>
                <w:pPr>
                  <w:jc w:val="center"/>
                  <w:rPr>
                    <w:b/>
                    <w:bCs/>
                    <w:color w:val="000000"/>
                    <w:szCs w:val="21"/>
                  </w:rPr>
                </w:pPr>
                <w:r>
                  <w:rPr>
                    <w:rFonts w:hint="eastAsia"/>
                    <w:b/>
                    <w:bCs/>
                    <w:color w:val="000000"/>
                    <w:szCs w:val="21"/>
                  </w:rPr>
                  <w:t>公司名称</w:t>
                </w:r>
              </w:p>
            </w:tc>
            <w:tc>
              <w:tcPr>
                <w:tcW w:w="687" w:type="pct"/>
                <w:shd w:val="clear" w:color="auto" w:fill="auto"/>
                <w:noWrap/>
                <w:vAlign w:val="center"/>
              </w:tcPr>
              <w:p>
                <w:pPr>
                  <w:jc w:val="center"/>
                  <w:rPr>
                    <w:b/>
                    <w:bCs/>
                    <w:color w:val="000000"/>
                    <w:szCs w:val="21"/>
                  </w:rPr>
                </w:pPr>
                <w:r>
                  <w:rPr>
                    <w:rFonts w:hint="eastAsia"/>
                    <w:b/>
                    <w:bCs/>
                    <w:color w:val="000000"/>
                    <w:szCs w:val="21"/>
                  </w:rPr>
                  <w:t>注册地</w:t>
                </w:r>
              </w:p>
            </w:tc>
            <w:tc>
              <w:tcPr>
                <w:tcW w:w="896" w:type="pct"/>
                <w:shd w:val="clear" w:color="auto" w:fill="auto"/>
                <w:noWrap/>
                <w:vAlign w:val="center"/>
              </w:tcPr>
              <w:p>
                <w:pPr>
                  <w:jc w:val="center"/>
                  <w:rPr>
                    <w:b/>
                    <w:bCs/>
                    <w:color w:val="000000"/>
                    <w:szCs w:val="21"/>
                  </w:rPr>
                </w:pPr>
                <w:r>
                  <w:rPr>
                    <w:rFonts w:hint="eastAsia"/>
                    <w:b/>
                    <w:bCs/>
                    <w:color w:val="000000"/>
                    <w:szCs w:val="21"/>
                  </w:rPr>
                  <w:t>注册资本</w:t>
                </w:r>
              </w:p>
            </w:tc>
            <w:tc>
              <w:tcPr>
                <w:tcW w:w="896" w:type="pct"/>
                <w:shd w:val="clear" w:color="auto" w:fill="auto"/>
                <w:noWrap/>
                <w:vAlign w:val="center"/>
              </w:tcPr>
              <w:p>
                <w:pPr>
                  <w:jc w:val="center"/>
                  <w:rPr>
                    <w:b/>
                    <w:bCs/>
                    <w:color w:val="000000"/>
                    <w:szCs w:val="21"/>
                  </w:rPr>
                </w:pPr>
                <w:r>
                  <w:rPr>
                    <w:rFonts w:hint="eastAsia"/>
                    <w:b/>
                    <w:bCs/>
                    <w:color w:val="000000"/>
                    <w:szCs w:val="21"/>
                  </w:rPr>
                  <w:t>经营范围</w:t>
                </w:r>
              </w:p>
            </w:tc>
            <w:tc>
              <w:tcPr>
                <w:tcW w:w="854"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667" w:type="pct"/>
                <w:shd w:val="clear" w:color="auto" w:fill="auto"/>
                <w:noWrap/>
                <w:vAlign w:val="center"/>
              </w:tcPr>
              <w:p>
                <w:pPr>
                  <w:rPr>
                    <w:color w:val="000000"/>
                    <w:szCs w:val="21"/>
                  </w:rPr>
                </w:pPr>
                <w:r>
                  <w:rPr>
                    <w:rFonts w:hint="eastAsia"/>
                    <w:color w:val="000000"/>
                    <w:szCs w:val="21"/>
                  </w:rPr>
                  <w:t>兖矿瑞丰（香港）有限公司</w:t>
                </w:r>
              </w:p>
            </w:tc>
            <w:tc>
              <w:tcPr>
                <w:tcW w:w="687" w:type="pct"/>
                <w:shd w:val="clear" w:color="auto" w:fill="auto"/>
                <w:noWrap/>
                <w:vAlign w:val="center"/>
              </w:tcPr>
              <w:p>
                <w:pPr>
                  <w:jc w:val="center"/>
                  <w:rPr>
                    <w:color w:val="000000"/>
                    <w:szCs w:val="21"/>
                  </w:rPr>
                </w:pPr>
                <w:r>
                  <w:rPr>
                    <w:rFonts w:hint="eastAsia"/>
                    <w:color w:val="000000"/>
                    <w:szCs w:val="21"/>
                  </w:rPr>
                  <w:t>香港</w:t>
                </w:r>
              </w:p>
            </w:tc>
            <w:tc>
              <w:tcPr>
                <w:tcW w:w="896" w:type="pct"/>
                <w:shd w:val="clear" w:color="auto" w:fill="auto"/>
                <w:noWrap/>
                <w:vAlign w:val="center"/>
              </w:tcPr>
              <w:p>
                <w:pPr>
                  <w:jc w:val="center"/>
                  <w:rPr>
                    <w:color w:val="000000"/>
                    <w:szCs w:val="21"/>
                  </w:rPr>
                </w:pPr>
                <w:r>
                  <w:rPr>
                    <w:rFonts w:hint="eastAsia"/>
                    <w:color w:val="000000"/>
                    <w:szCs w:val="21"/>
                  </w:rPr>
                  <w:t>128.52万美元</w:t>
                </w:r>
              </w:p>
            </w:tc>
            <w:tc>
              <w:tcPr>
                <w:tcW w:w="896" w:type="pct"/>
                <w:shd w:val="clear" w:color="auto" w:fill="auto"/>
                <w:noWrap/>
                <w:vAlign w:val="center"/>
              </w:tcPr>
              <w:p>
                <w:pPr>
                  <w:rPr>
                    <w:color w:val="000000"/>
                    <w:szCs w:val="21"/>
                  </w:rPr>
                </w:pPr>
                <w:r>
                  <w:rPr>
                    <w:rFonts w:hint="eastAsia"/>
                    <w:color w:val="000000"/>
                    <w:szCs w:val="21"/>
                  </w:rPr>
                  <w:t>国际贸易</w:t>
                </w:r>
              </w:p>
            </w:tc>
            <w:tc>
              <w:tcPr>
                <w:tcW w:w="854"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67" w:type="pct"/>
                <w:shd w:val="clear" w:color="auto" w:fill="auto"/>
                <w:noWrap/>
                <w:vAlign w:val="center"/>
              </w:tcPr>
              <w:p>
                <w:pPr>
                  <w:rPr>
                    <w:color w:val="000000"/>
                    <w:szCs w:val="21"/>
                  </w:rPr>
                </w:pPr>
                <w:r>
                  <w:rPr>
                    <w:rFonts w:hint="eastAsia"/>
                    <w:color w:val="000000"/>
                    <w:szCs w:val="21"/>
                  </w:rPr>
                  <w:t>兖矿再生资源有限公司</w:t>
                </w:r>
              </w:p>
            </w:tc>
            <w:tc>
              <w:tcPr>
                <w:tcW w:w="687" w:type="pct"/>
                <w:shd w:val="clear" w:color="auto" w:fill="auto"/>
                <w:noWrap/>
                <w:vAlign w:val="center"/>
              </w:tcPr>
              <w:p>
                <w:pPr>
                  <w:jc w:val="center"/>
                  <w:rPr>
                    <w:color w:val="000000"/>
                    <w:szCs w:val="21"/>
                  </w:rPr>
                </w:pPr>
                <w:r>
                  <w:rPr>
                    <w:rFonts w:hint="eastAsia"/>
                    <w:color w:val="000000"/>
                    <w:szCs w:val="21"/>
                  </w:rPr>
                  <w:t>山东邹城</w:t>
                </w:r>
              </w:p>
            </w:tc>
            <w:tc>
              <w:tcPr>
                <w:tcW w:w="896" w:type="pct"/>
                <w:shd w:val="clear" w:color="auto" w:fill="auto"/>
                <w:noWrap/>
                <w:vAlign w:val="center"/>
              </w:tcPr>
              <w:p>
                <w:pPr>
                  <w:jc w:val="center"/>
                  <w:rPr>
                    <w:color w:val="000000"/>
                    <w:szCs w:val="21"/>
                  </w:rPr>
                </w:pPr>
                <w:r>
                  <w:rPr>
                    <w:rFonts w:hint="eastAsia"/>
                    <w:color w:val="000000"/>
                    <w:szCs w:val="21"/>
                  </w:rPr>
                  <w:t>10,000万元</w:t>
                </w:r>
              </w:p>
            </w:tc>
            <w:tc>
              <w:tcPr>
                <w:tcW w:w="896" w:type="pct"/>
                <w:shd w:val="clear" w:color="auto" w:fill="auto"/>
                <w:noWrap/>
                <w:vAlign w:val="center"/>
              </w:tcPr>
              <w:p>
                <w:pPr>
                  <w:rPr>
                    <w:color w:val="000000"/>
                    <w:szCs w:val="21"/>
                  </w:rPr>
                </w:pPr>
                <w:r>
                  <w:rPr>
                    <w:rFonts w:hint="eastAsia"/>
                    <w:color w:val="000000"/>
                    <w:szCs w:val="21"/>
                  </w:rPr>
                  <w:t>再生资源回收</w:t>
                </w:r>
              </w:p>
            </w:tc>
            <w:tc>
              <w:tcPr>
                <w:tcW w:w="854" w:type="pct"/>
                <w:shd w:val="clear" w:color="auto" w:fill="auto"/>
                <w:noWrap/>
                <w:vAlign w:val="center"/>
              </w:tcPr>
              <w:p>
                <w:pPr>
                  <w:jc w:val="center"/>
                  <w:rPr>
                    <w:color w:val="000000"/>
                    <w:szCs w:val="21"/>
                  </w:rPr>
                </w:pPr>
                <w:r>
                  <w:rPr>
                    <w:rFonts w:hint="eastAsia"/>
                    <w:color w:val="000000"/>
                    <w:szCs w:val="21"/>
                  </w:rPr>
                  <w:t>70</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11)兖矿鲁南化工有限公司</w:t>
          </w:r>
        </w:p>
        <w:p>
          <w:pPr>
            <w:autoSpaceDE w:val="0"/>
            <w:autoSpaceDN w:val="0"/>
            <w:adjustRightInd w:val="0"/>
            <w:spacing w:afterLines="50" w:after="156" w:line="360" w:lineRule="exact"/>
            <w:ind w:firstLineChars="200" w:firstLine="420"/>
          </w:pPr>
          <w:r>
            <w:rPr>
              <w:rFonts w:hint="eastAsia"/>
            </w:rPr>
            <w:t>兖矿鲁南化工有限公司（以下简称“鲁南化工”）系本集团之子公司，成立于2007年，注册资本504,069万元。公司法人营业执照统一社会信用代码：913704006644327461。法定代表人：张岭，主要从事化工产品生产、销售等。</w:t>
          </w:r>
        </w:p>
        <w:p>
          <w:pPr>
            <w:autoSpaceDE w:val="0"/>
            <w:autoSpaceDN w:val="0"/>
            <w:adjustRightInd w:val="0"/>
            <w:spacing w:afterLines="50" w:after="156" w:line="360" w:lineRule="exact"/>
            <w:ind w:firstLineChars="200" w:firstLine="420"/>
          </w:pPr>
          <w:r>
            <w:rPr>
              <w:rFonts w:hint="eastAsia"/>
            </w:rPr>
            <w:t>12)内蒙古矿业（集团）有限责任公司</w:t>
          </w:r>
        </w:p>
        <w:p>
          <w:pPr>
            <w:autoSpaceDE w:val="0"/>
            <w:autoSpaceDN w:val="0"/>
            <w:adjustRightInd w:val="0"/>
            <w:spacing w:afterLines="50" w:after="156" w:line="360" w:lineRule="exact"/>
            <w:ind w:firstLineChars="200" w:firstLine="420"/>
          </w:pPr>
          <w:r>
            <w:rPr>
              <w:rFonts w:hint="eastAsia"/>
            </w:rPr>
            <w:t>内蒙古矿业（集团）有限责任公司（以下简称“内蒙矿业”）系本集团之子公司，成立于2013年，注册资本699,730万元。公司法人营业执照统一社会信用代码：91150000065019167L。本集团于2020年10月与内蒙古地质矿产（集团）有限责任公司（以下简称“地矿集团”）签订《增资协议》，以人民币3,962,290千元认缴内蒙矿业新增注册资本3,568,626千元，本次增资后，本集团、地矿集团持股比例分别51%、49%。法定代表人：王九红。内蒙矿业主要从事对矿产资源的投资与管理、煤炭开采和洗选业等。</w:t>
          </w:r>
        </w:p>
        <w:p>
          <w:pPr>
            <w:autoSpaceDE w:val="0"/>
            <w:autoSpaceDN w:val="0"/>
            <w:adjustRightInd w:val="0"/>
            <w:spacing w:afterLines="50" w:after="156" w:line="360" w:lineRule="exact"/>
            <w:ind w:firstLineChars="200" w:firstLine="420"/>
          </w:pPr>
          <w:r>
            <w:rPr>
              <w:rFonts w:hint="eastAsia"/>
            </w:rPr>
            <w:t>内蒙矿业主要控股子公司如下：</w:t>
          </w:r>
        </w:p>
        <w:tbl>
          <w:tblPr>
            <w:tblStyle w:val="affffffffff8"/>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UJK90XqVH0morWJkCLBqZw|0|desc|||0|1"/>
          </w:tblPr>
          <w:tblGrid>
            <w:gridCol w:w="3786"/>
            <w:gridCol w:w="1056"/>
            <w:gridCol w:w="1424"/>
            <w:gridCol w:w="3786"/>
            <w:gridCol w:w="1377"/>
          </w:tblGrid>
          <w:tr>
            <w:trPr>
              <w:trHeight w:val="397"/>
              <w:tblHeader/>
              <w:jc w:val="center"/>
            </w:trPr>
            <w:tc>
              <w:tcPr>
                <w:tcW w:w="1688" w:type="pct"/>
                <w:shd w:val="clear" w:color="auto" w:fill="auto"/>
                <w:noWrap/>
                <w:vAlign w:val="center"/>
              </w:tcPr>
              <w:p>
                <w:pPr>
                  <w:jc w:val="center"/>
                  <w:rPr>
                    <w:b/>
                    <w:bCs/>
                    <w:color w:val="000000"/>
                    <w:szCs w:val="21"/>
                  </w:rPr>
                </w:pPr>
                <w:r>
                  <w:rPr>
                    <w:rFonts w:hint="eastAsia"/>
                    <w:b/>
                    <w:bCs/>
                    <w:color w:val="000000"/>
                    <w:szCs w:val="21"/>
                  </w:rPr>
                  <w:t>公司名称</w:t>
                </w:r>
              </w:p>
            </w:tc>
            <w:tc>
              <w:tcPr>
                <w:tcW w:w="473" w:type="pct"/>
                <w:shd w:val="clear" w:color="auto" w:fill="auto"/>
                <w:noWrap/>
                <w:vAlign w:val="center"/>
              </w:tcPr>
              <w:p>
                <w:pPr>
                  <w:jc w:val="center"/>
                  <w:rPr>
                    <w:b/>
                    <w:bCs/>
                    <w:color w:val="000000"/>
                    <w:szCs w:val="21"/>
                  </w:rPr>
                </w:pPr>
                <w:r>
                  <w:rPr>
                    <w:rFonts w:hint="eastAsia"/>
                    <w:b/>
                    <w:bCs/>
                    <w:color w:val="000000"/>
                    <w:szCs w:val="21"/>
                  </w:rPr>
                  <w:t>注册地</w:t>
                </w:r>
              </w:p>
            </w:tc>
            <w:tc>
              <w:tcPr>
                <w:tcW w:w="626" w:type="pct"/>
                <w:shd w:val="clear" w:color="auto" w:fill="auto"/>
                <w:noWrap/>
                <w:vAlign w:val="center"/>
              </w:tcPr>
              <w:p>
                <w:pPr>
                  <w:jc w:val="center"/>
                  <w:rPr>
                    <w:b/>
                    <w:bCs/>
                    <w:color w:val="000000"/>
                    <w:szCs w:val="21"/>
                  </w:rPr>
                </w:pPr>
                <w:r>
                  <w:rPr>
                    <w:rFonts w:hint="eastAsia"/>
                    <w:b/>
                    <w:bCs/>
                    <w:color w:val="000000"/>
                    <w:szCs w:val="21"/>
                  </w:rPr>
                  <w:t>注册资本</w:t>
                </w:r>
              </w:p>
            </w:tc>
            <w:tc>
              <w:tcPr>
                <w:tcW w:w="1607" w:type="pct"/>
                <w:shd w:val="clear" w:color="auto" w:fill="auto"/>
                <w:noWrap/>
                <w:vAlign w:val="center"/>
              </w:tcPr>
              <w:p>
                <w:pPr>
                  <w:jc w:val="center"/>
                  <w:rPr>
                    <w:b/>
                    <w:bCs/>
                    <w:color w:val="000000"/>
                    <w:szCs w:val="21"/>
                  </w:rPr>
                </w:pPr>
                <w:r>
                  <w:rPr>
                    <w:rFonts w:hint="eastAsia"/>
                    <w:b/>
                    <w:bCs/>
                    <w:color w:val="000000"/>
                    <w:szCs w:val="21"/>
                  </w:rPr>
                  <w:t>经营范围</w:t>
                </w:r>
              </w:p>
            </w:tc>
            <w:tc>
              <w:tcPr>
                <w:tcW w:w="606" w:type="pct"/>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乌兰察布市宏大实业有限公司</w:t>
                </w:r>
              </w:p>
            </w:tc>
            <w:tc>
              <w:tcPr>
                <w:tcW w:w="473" w:type="pct"/>
                <w:shd w:val="clear" w:color="auto" w:fill="auto"/>
                <w:noWrap/>
                <w:vAlign w:val="center"/>
              </w:tcPr>
              <w:p>
                <w:pPr>
                  <w:jc w:val="center"/>
                  <w:rPr>
                    <w:color w:val="000000"/>
                    <w:szCs w:val="21"/>
                  </w:rPr>
                </w:pPr>
                <w:r>
                  <w:rPr>
                    <w:rFonts w:hint="eastAsia"/>
                    <w:color w:val="000000"/>
                    <w:szCs w:val="21"/>
                  </w:rPr>
                  <w:t>乌兰察布</w:t>
                </w:r>
              </w:p>
            </w:tc>
            <w:tc>
              <w:tcPr>
                <w:tcW w:w="626" w:type="pct"/>
                <w:shd w:val="clear" w:color="auto" w:fill="auto"/>
                <w:noWrap/>
                <w:vAlign w:val="center"/>
              </w:tcPr>
              <w:p>
                <w:pPr>
                  <w:jc w:val="center"/>
                  <w:rPr>
                    <w:color w:val="000000"/>
                    <w:szCs w:val="21"/>
                  </w:rPr>
                </w:pPr>
                <w:r>
                  <w:rPr>
                    <w:rFonts w:hint="eastAsia"/>
                    <w:color w:val="000000"/>
                    <w:szCs w:val="21"/>
                  </w:rPr>
                  <w:t>55,000万元</w:t>
                </w:r>
              </w:p>
            </w:tc>
            <w:tc>
              <w:tcPr>
                <w:tcW w:w="1607" w:type="pct"/>
                <w:shd w:val="clear" w:color="auto" w:fill="auto"/>
                <w:noWrap/>
                <w:vAlign w:val="center"/>
              </w:tcPr>
              <w:p>
                <w:pPr>
                  <w:rPr>
                    <w:color w:val="000000"/>
                    <w:szCs w:val="21"/>
                  </w:rPr>
                </w:pPr>
                <w:r>
                  <w:rPr>
                    <w:rFonts w:hint="eastAsia"/>
                    <w:color w:val="000000"/>
                    <w:szCs w:val="21"/>
                  </w:rPr>
                  <w:t>运营电力</w:t>
                </w:r>
              </w:p>
            </w:tc>
            <w:tc>
              <w:tcPr>
                <w:tcW w:w="606"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鄂尔多斯市锋威光电有限公司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18,000万元</w:t>
                </w:r>
              </w:p>
            </w:tc>
            <w:tc>
              <w:tcPr>
                <w:tcW w:w="1607" w:type="pct"/>
                <w:shd w:val="clear" w:color="auto" w:fill="auto"/>
                <w:noWrap/>
                <w:vAlign w:val="center"/>
              </w:tcPr>
              <w:p>
                <w:pPr>
                  <w:rPr>
                    <w:color w:val="000000"/>
                    <w:szCs w:val="21"/>
                  </w:rPr>
                </w:pPr>
                <w:r>
                  <w:rPr>
                    <w:rFonts w:hint="eastAsia"/>
                    <w:color w:val="000000"/>
                    <w:szCs w:val="21"/>
                  </w:rPr>
                  <w:t>太阳能、风能发电项目建设及生产运营</w:t>
                </w:r>
              </w:p>
            </w:tc>
            <w:tc>
              <w:tcPr>
                <w:tcW w:w="606"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内蒙古矿业资源投资控股有限公司</w:t>
                </w:r>
              </w:p>
            </w:tc>
            <w:tc>
              <w:tcPr>
                <w:tcW w:w="473" w:type="pct"/>
                <w:shd w:val="clear" w:color="auto" w:fill="auto"/>
                <w:noWrap/>
                <w:vAlign w:val="center"/>
              </w:tcPr>
              <w:p>
                <w:pPr>
                  <w:jc w:val="center"/>
                  <w:rPr>
                    <w:color w:val="000000"/>
                    <w:szCs w:val="21"/>
                  </w:rPr>
                </w:pPr>
                <w:r>
                  <w:rPr>
                    <w:rFonts w:hint="eastAsia"/>
                    <w:color w:val="000000"/>
                    <w:szCs w:val="21"/>
                  </w:rPr>
                  <w:t>呼和浩特</w:t>
                </w:r>
              </w:p>
            </w:tc>
            <w:tc>
              <w:tcPr>
                <w:tcW w:w="626" w:type="pct"/>
                <w:shd w:val="clear" w:color="auto" w:fill="auto"/>
                <w:noWrap/>
                <w:vAlign w:val="center"/>
              </w:tcPr>
              <w:p>
                <w:pPr>
                  <w:jc w:val="center"/>
                  <w:rPr>
                    <w:color w:val="000000"/>
                    <w:szCs w:val="21"/>
                  </w:rPr>
                </w:pPr>
                <w:r>
                  <w:rPr>
                    <w:rFonts w:hint="eastAsia"/>
                    <w:color w:val="000000"/>
                    <w:szCs w:val="21"/>
                  </w:rPr>
                  <w:t>40,000万元</w:t>
                </w:r>
              </w:p>
            </w:tc>
            <w:tc>
              <w:tcPr>
                <w:tcW w:w="1607" w:type="pct"/>
                <w:shd w:val="clear" w:color="auto" w:fill="auto"/>
                <w:noWrap/>
                <w:vAlign w:val="center"/>
              </w:tcPr>
              <w:p>
                <w:pPr>
                  <w:rPr>
                    <w:color w:val="000000"/>
                    <w:szCs w:val="21"/>
                  </w:rPr>
                </w:pPr>
                <w:r>
                  <w:rPr>
                    <w:rFonts w:hint="eastAsia"/>
                    <w:color w:val="000000"/>
                    <w:szCs w:val="21"/>
                  </w:rPr>
                  <w:t>投资与资产管理</w:t>
                </w:r>
              </w:p>
            </w:tc>
            <w:tc>
              <w:tcPr>
                <w:tcW w:w="606" w:type="pct"/>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鄂尔多斯市绿能光电有限公司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120,000万元</w:t>
                </w:r>
              </w:p>
            </w:tc>
            <w:tc>
              <w:tcPr>
                <w:tcW w:w="1607" w:type="pct"/>
                <w:shd w:val="clear" w:color="auto" w:fill="auto"/>
                <w:noWrap/>
                <w:vAlign w:val="center"/>
              </w:tcPr>
              <w:p>
                <w:pPr>
                  <w:rPr>
                    <w:color w:val="000000"/>
                    <w:szCs w:val="21"/>
                  </w:rPr>
                </w:pPr>
                <w:r>
                  <w:rPr>
                    <w:rFonts w:hint="eastAsia"/>
                    <w:color w:val="000000"/>
                    <w:szCs w:val="21"/>
                  </w:rPr>
                  <w:t>光能、电能设备材料销售</w:t>
                </w:r>
              </w:p>
            </w:tc>
            <w:tc>
              <w:tcPr>
                <w:tcW w:w="606" w:type="pct"/>
                <w:shd w:val="clear" w:color="auto" w:fill="auto"/>
                <w:noWrap/>
                <w:vAlign w:val="center"/>
              </w:tcPr>
              <w:p>
                <w:pPr>
                  <w:jc w:val="center"/>
                  <w:rPr>
                    <w:color w:val="000000"/>
                    <w:szCs w:val="21"/>
                  </w:rPr>
                </w:pPr>
                <w:r>
                  <w:rPr>
                    <w:rFonts w:hint="eastAsia"/>
                    <w:color w:val="000000"/>
                    <w:szCs w:val="21"/>
                  </w:rPr>
                  <w:t>90.29</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鄂尔多斯文化产业园文化教育有限公司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20,903万元</w:t>
                </w:r>
              </w:p>
            </w:tc>
            <w:tc>
              <w:tcPr>
                <w:tcW w:w="1607" w:type="pct"/>
                <w:shd w:val="clear" w:color="auto" w:fill="auto"/>
                <w:noWrap/>
                <w:vAlign w:val="center"/>
              </w:tcPr>
              <w:p>
                <w:pPr>
                  <w:rPr>
                    <w:color w:val="000000"/>
                    <w:szCs w:val="21"/>
                  </w:rPr>
                </w:pPr>
                <w:r>
                  <w:rPr>
                    <w:rFonts w:hint="eastAsia"/>
                    <w:color w:val="000000"/>
                    <w:szCs w:val="21"/>
                  </w:rPr>
                  <w:t>教育软件研发、活动策划</w:t>
                </w:r>
              </w:p>
            </w:tc>
            <w:tc>
              <w:tcPr>
                <w:tcW w:w="606" w:type="pct"/>
                <w:shd w:val="clear" w:color="auto" w:fill="auto"/>
                <w:noWrap/>
                <w:vAlign w:val="center"/>
              </w:tcPr>
              <w:p>
                <w:pPr>
                  <w:jc w:val="center"/>
                  <w:rPr>
                    <w:color w:val="000000"/>
                    <w:szCs w:val="21"/>
                  </w:rPr>
                </w:pPr>
                <w:r>
                  <w:rPr>
                    <w:rFonts w:hint="eastAsia"/>
                    <w:color w:val="000000"/>
                    <w:szCs w:val="21"/>
                  </w:rPr>
                  <w:t>63.3</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内蒙古金控融资租赁有限公司</w:t>
                </w:r>
              </w:p>
            </w:tc>
            <w:tc>
              <w:tcPr>
                <w:tcW w:w="473" w:type="pct"/>
                <w:shd w:val="clear" w:color="auto" w:fill="auto"/>
                <w:noWrap/>
                <w:vAlign w:val="center"/>
              </w:tcPr>
              <w:p>
                <w:pPr>
                  <w:jc w:val="center"/>
                  <w:rPr>
                    <w:color w:val="000000"/>
                    <w:szCs w:val="21"/>
                  </w:rPr>
                </w:pPr>
                <w:r>
                  <w:rPr>
                    <w:rFonts w:hint="eastAsia"/>
                    <w:color w:val="000000"/>
                    <w:szCs w:val="21"/>
                  </w:rPr>
                  <w:t>呼伦贝尔</w:t>
                </w:r>
              </w:p>
            </w:tc>
            <w:tc>
              <w:tcPr>
                <w:tcW w:w="626" w:type="pct"/>
                <w:shd w:val="clear" w:color="auto" w:fill="auto"/>
                <w:noWrap/>
                <w:vAlign w:val="center"/>
              </w:tcPr>
              <w:p>
                <w:pPr>
                  <w:jc w:val="center"/>
                  <w:rPr>
                    <w:color w:val="000000"/>
                    <w:szCs w:val="21"/>
                  </w:rPr>
                </w:pPr>
                <w:r>
                  <w:rPr>
                    <w:rFonts w:hint="eastAsia"/>
                    <w:color w:val="000000"/>
                    <w:szCs w:val="21"/>
                  </w:rPr>
                  <w:t>120,000万元</w:t>
                </w:r>
              </w:p>
            </w:tc>
            <w:tc>
              <w:tcPr>
                <w:tcW w:w="1607" w:type="pct"/>
                <w:shd w:val="clear" w:color="auto" w:fill="auto"/>
                <w:noWrap/>
                <w:vAlign w:val="center"/>
              </w:tcPr>
              <w:p>
                <w:pPr>
                  <w:rPr>
                    <w:color w:val="000000"/>
                    <w:szCs w:val="21"/>
                  </w:rPr>
                </w:pPr>
                <w:r>
                  <w:rPr>
                    <w:rFonts w:hint="eastAsia"/>
                    <w:color w:val="000000"/>
                    <w:szCs w:val="21"/>
                  </w:rPr>
                  <w:t>租赁业务</w:t>
                </w:r>
              </w:p>
            </w:tc>
            <w:tc>
              <w:tcPr>
                <w:tcW w:w="606" w:type="pct"/>
                <w:shd w:val="clear" w:color="auto" w:fill="auto"/>
                <w:noWrap/>
                <w:vAlign w:val="center"/>
              </w:tcPr>
              <w:p>
                <w:pPr>
                  <w:jc w:val="center"/>
                  <w:rPr>
                    <w:color w:val="000000"/>
                    <w:szCs w:val="21"/>
                  </w:rPr>
                </w:pPr>
                <w:r>
                  <w:rPr>
                    <w:rFonts w:hint="eastAsia"/>
                    <w:color w:val="000000"/>
                    <w:szCs w:val="21"/>
                  </w:rPr>
                  <w:t>55</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内蒙古伊泰嘎鲁图矿业有限公司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100,000万元</w:t>
                </w:r>
              </w:p>
            </w:tc>
            <w:tc>
              <w:tcPr>
                <w:tcW w:w="1607" w:type="pct"/>
                <w:shd w:val="clear" w:color="auto" w:fill="auto"/>
                <w:noWrap/>
                <w:vAlign w:val="center"/>
              </w:tcPr>
              <w:p>
                <w:pPr>
                  <w:rPr>
                    <w:color w:val="000000"/>
                    <w:szCs w:val="21"/>
                  </w:rPr>
                </w:pPr>
                <w:r>
                  <w:rPr>
                    <w:rFonts w:hint="eastAsia"/>
                    <w:color w:val="000000"/>
                    <w:szCs w:val="21"/>
                  </w:rPr>
                  <w:t>煤炭开采和洗选业</w:t>
                </w:r>
              </w:p>
            </w:tc>
            <w:tc>
              <w:tcPr>
                <w:tcW w:w="606" w:type="pct"/>
                <w:shd w:val="clear" w:color="auto" w:fill="auto"/>
                <w:noWrap/>
                <w:vAlign w:val="center"/>
              </w:tcPr>
              <w:p>
                <w:pPr>
                  <w:jc w:val="center"/>
                  <w:rPr>
                    <w:color w:val="000000"/>
                    <w:szCs w:val="21"/>
                  </w:rPr>
                </w:pPr>
                <w:r>
                  <w:rPr>
                    <w:rFonts w:hint="eastAsia"/>
                    <w:color w:val="000000"/>
                    <w:szCs w:val="21"/>
                  </w:rPr>
                  <w:t>52.77</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鄂尔多斯市营盘壕煤炭有限公司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300,000万元</w:t>
                </w:r>
              </w:p>
            </w:tc>
            <w:tc>
              <w:tcPr>
                <w:tcW w:w="1607" w:type="pct"/>
                <w:shd w:val="clear" w:color="auto" w:fill="auto"/>
                <w:noWrap/>
                <w:vAlign w:val="center"/>
              </w:tcPr>
              <w:p>
                <w:pPr>
                  <w:rPr>
                    <w:color w:val="000000"/>
                    <w:szCs w:val="21"/>
                  </w:rPr>
                </w:pPr>
                <w:r>
                  <w:rPr>
                    <w:rFonts w:hint="eastAsia"/>
                    <w:color w:val="000000"/>
                    <w:szCs w:val="21"/>
                  </w:rPr>
                  <w:t>煤炭销售、煤矿机械设备生产与销售</w:t>
                </w:r>
              </w:p>
            </w:tc>
            <w:tc>
              <w:tcPr>
                <w:tcW w:w="606" w:type="pct"/>
                <w:shd w:val="clear" w:color="auto" w:fill="auto"/>
                <w:noWrap/>
                <w:vAlign w:val="center"/>
              </w:tcPr>
              <w:p>
                <w:pPr>
                  <w:jc w:val="center"/>
                  <w:rPr>
                    <w:color w:val="000000"/>
                    <w:szCs w:val="21"/>
                  </w:rPr>
                </w:pPr>
                <w:r>
                  <w:rPr>
                    <w:rFonts w:hint="eastAsia"/>
                    <w:color w:val="000000"/>
                    <w:szCs w:val="21"/>
                  </w:rPr>
                  <w:t>57.75</w:t>
                </w:r>
              </w:p>
            </w:tc>
          </w:tr>
          <w:tr>
            <w:trPr>
              <w:trHeight w:val="397"/>
              <w:jc w:val="center"/>
            </w:trPr>
            <w:tc>
              <w:tcPr>
                <w:tcW w:w="1688" w:type="pct"/>
                <w:shd w:val="clear" w:color="auto" w:fill="auto"/>
                <w:noWrap/>
                <w:vAlign w:val="center"/>
              </w:tcPr>
              <w:p>
                <w:pPr>
                  <w:rPr>
                    <w:color w:val="000000"/>
                    <w:szCs w:val="21"/>
                  </w:rPr>
                </w:pPr>
                <w:r>
                  <w:rPr>
                    <w:rFonts w:hint="eastAsia"/>
                    <w:color w:val="000000"/>
                    <w:szCs w:val="21"/>
                  </w:rPr>
                  <w:t>内蒙古博珢泰煤炭有限公司</w:t>
                </w:r>
              </w:p>
            </w:tc>
            <w:tc>
              <w:tcPr>
                <w:tcW w:w="473" w:type="pct"/>
                <w:shd w:val="clear" w:color="auto" w:fill="auto"/>
                <w:noWrap/>
                <w:vAlign w:val="center"/>
              </w:tcPr>
              <w:p>
                <w:pPr>
                  <w:jc w:val="center"/>
                  <w:rPr>
                    <w:color w:val="000000"/>
                    <w:szCs w:val="21"/>
                  </w:rPr>
                </w:pPr>
                <w:r>
                  <w:rPr>
                    <w:rFonts w:hint="eastAsia"/>
                    <w:color w:val="000000"/>
                    <w:szCs w:val="21"/>
                  </w:rPr>
                  <w:t>鄂尔多斯</w:t>
                </w:r>
              </w:p>
            </w:tc>
            <w:tc>
              <w:tcPr>
                <w:tcW w:w="626" w:type="pct"/>
                <w:shd w:val="clear" w:color="auto" w:fill="auto"/>
                <w:noWrap/>
                <w:vAlign w:val="center"/>
              </w:tcPr>
              <w:p>
                <w:pPr>
                  <w:jc w:val="center"/>
                  <w:rPr>
                    <w:color w:val="000000"/>
                    <w:szCs w:val="21"/>
                  </w:rPr>
                </w:pPr>
                <w:r>
                  <w:rPr>
                    <w:rFonts w:hint="eastAsia"/>
                    <w:color w:val="000000"/>
                    <w:szCs w:val="21"/>
                  </w:rPr>
                  <w:t>300,000万元</w:t>
                </w:r>
              </w:p>
            </w:tc>
            <w:tc>
              <w:tcPr>
                <w:tcW w:w="1607" w:type="pct"/>
                <w:shd w:val="clear" w:color="auto" w:fill="auto"/>
                <w:noWrap/>
                <w:vAlign w:val="center"/>
              </w:tcPr>
              <w:p>
                <w:pPr>
                  <w:rPr>
                    <w:color w:val="000000"/>
                    <w:szCs w:val="21"/>
                  </w:rPr>
                </w:pPr>
                <w:r>
                  <w:rPr>
                    <w:rFonts w:hint="eastAsia"/>
                    <w:color w:val="000000"/>
                    <w:szCs w:val="21"/>
                  </w:rPr>
                  <w:t>煤炭开采和洗选业</w:t>
                </w:r>
              </w:p>
            </w:tc>
            <w:tc>
              <w:tcPr>
                <w:tcW w:w="606" w:type="pct"/>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13)青岛中兖贸易有限公司</w:t>
          </w:r>
        </w:p>
        <w:p>
          <w:pPr>
            <w:autoSpaceDE w:val="0"/>
            <w:autoSpaceDN w:val="0"/>
            <w:adjustRightInd w:val="0"/>
            <w:spacing w:afterLines="50" w:after="156" w:line="360" w:lineRule="exact"/>
            <w:ind w:firstLineChars="200" w:firstLine="420"/>
          </w:pPr>
          <w:r>
            <w:rPr>
              <w:rFonts w:hint="eastAsia"/>
            </w:rPr>
            <w:lastRenderedPageBreak/>
            <w:t>青岛中兖贸易有限公司（以下简称“青岛中兖”)系本集团之子公司，成立于1997年，注册资本5,000万元人民币，公司法人营业执照统一社会信用代码：91370220163625005T,法定代表人:岳良。主要从事保税区内贸易及仓储。</w:t>
          </w:r>
        </w:p>
        <w:p>
          <w:pPr>
            <w:autoSpaceDE w:val="0"/>
            <w:autoSpaceDN w:val="0"/>
            <w:adjustRightInd w:val="0"/>
            <w:spacing w:afterLines="50" w:after="156" w:line="360" w:lineRule="exact"/>
            <w:ind w:firstLineChars="200" w:firstLine="420"/>
          </w:pPr>
          <w:r>
            <w:rPr>
              <w:rFonts w:hint="eastAsia"/>
            </w:rPr>
            <w:t>14)兖州煤业榆林能化有限公司</w:t>
          </w:r>
        </w:p>
        <w:p>
          <w:pPr>
            <w:autoSpaceDE w:val="0"/>
            <w:autoSpaceDN w:val="0"/>
            <w:adjustRightInd w:val="0"/>
            <w:spacing w:afterLines="50" w:after="156" w:line="360" w:lineRule="exact"/>
            <w:ind w:firstLineChars="200" w:firstLine="420"/>
          </w:pPr>
          <w:r>
            <w:rPr>
              <w:rFonts w:hint="eastAsia"/>
            </w:rPr>
            <w:t>兖州煤业榆林能化有限公司（以下简称“榆林能化”)系本集团之子公司，成立于2004年，注册资本140,000万人民币，公司法人营业执照统一社会信用代码：916108007588160388,法定代表人:孙清涛。主要从事热力生产和供应；煤炭及制品销售。</w:t>
          </w:r>
        </w:p>
        <w:p>
          <w:pPr>
            <w:autoSpaceDE w:val="0"/>
            <w:autoSpaceDN w:val="0"/>
            <w:adjustRightInd w:val="0"/>
            <w:spacing w:afterLines="50" w:after="156" w:line="360" w:lineRule="exact"/>
            <w:ind w:firstLineChars="200" w:firstLine="420"/>
          </w:pPr>
          <w:r>
            <w:rPr>
              <w:rFonts w:hint="eastAsia"/>
            </w:rPr>
            <w:t>15)山东能源集团鲁西矿业有限公司</w:t>
          </w:r>
        </w:p>
        <w:p>
          <w:pPr>
            <w:autoSpaceDE w:val="0"/>
            <w:autoSpaceDN w:val="0"/>
            <w:adjustRightInd w:val="0"/>
            <w:spacing w:afterLines="50" w:after="156" w:line="360" w:lineRule="exact"/>
            <w:ind w:firstLineChars="200" w:firstLine="420"/>
          </w:pPr>
          <w:r>
            <w:rPr>
              <w:rFonts w:hint="eastAsia"/>
            </w:rPr>
            <w:t>山东能源集团鲁西矿业有限公司（以下简称“鲁西矿业”）系本集团之子公司，成立于2021年，注册资本500,000万元。公司法人营业执照统一社会信用代码：91371725MA7EK74Q90。本集团于2023年以支付现金的方式收购鲁西矿业51%股权，本次变更后，本集团持股比例为51.00%，新汶矿业集团有限责任公司持股比例为27.00%、淄博矿业集团有限责任公司持股比例为7.00%、龙口矿业集团有限公司持股比例为5.00%、肥城肥矿煤业有限公司持股比例为10.00%。鲁西矿业主要从事煤炭开采和洗选业等。</w:t>
          </w:r>
        </w:p>
        <w:p>
          <w:pPr>
            <w:autoSpaceDE w:val="0"/>
            <w:autoSpaceDN w:val="0"/>
            <w:adjustRightInd w:val="0"/>
            <w:spacing w:afterLines="50" w:after="156" w:line="360" w:lineRule="exact"/>
            <w:ind w:firstLineChars="200" w:firstLine="420"/>
          </w:pPr>
          <w:r>
            <w:rPr>
              <w:rFonts w:hint="eastAsia"/>
            </w:rPr>
            <w:t>鲁西矿业主要控股子公司如下：</w:t>
          </w:r>
        </w:p>
        <w:tbl>
          <w:tblPr>
            <w:tblStyle w:val="affffffffff8"/>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dJVUFCn3EbsI6ZmzpD8g|0|desc|||0|1"/>
          </w:tblPr>
          <w:tblGrid>
            <w:gridCol w:w="2830"/>
            <w:gridCol w:w="1276"/>
            <w:gridCol w:w="1537"/>
            <w:gridCol w:w="2376"/>
            <w:gridCol w:w="1391"/>
          </w:tblGrid>
          <w:tr>
            <w:trPr>
              <w:trHeight w:val="397"/>
              <w:tblHeader/>
              <w:jc w:val="center"/>
            </w:trPr>
            <w:tc>
              <w:tcPr>
                <w:tcW w:w="2830" w:type="dxa"/>
                <w:shd w:val="clear" w:color="auto" w:fill="auto"/>
                <w:noWrap/>
                <w:vAlign w:val="center"/>
              </w:tcPr>
              <w:p>
                <w:pPr>
                  <w:jc w:val="center"/>
                  <w:rPr>
                    <w:b/>
                    <w:bCs/>
                    <w:color w:val="000000"/>
                    <w:szCs w:val="21"/>
                  </w:rPr>
                </w:pPr>
                <w:r>
                  <w:rPr>
                    <w:rFonts w:hint="eastAsia"/>
                    <w:b/>
                    <w:bCs/>
                    <w:color w:val="000000"/>
                    <w:szCs w:val="21"/>
                  </w:rPr>
                  <w:t>公司名称</w:t>
                </w:r>
              </w:p>
            </w:tc>
            <w:tc>
              <w:tcPr>
                <w:tcW w:w="1276" w:type="dxa"/>
                <w:shd w:val="clear" w:color="auto" w:fill="auto"/>
                <w:noWrap/>
                <w:vAlign w:val="center"/>
              </w:tcPr>
              <w:p>
                <w:pPr>
                  <w:jc w:val="center"/>
                  <w:rPr>
                    <w:b/>
                    <w:bCs/>
                    <w:color w:val="000000"/>
                    <w:szCs w:val="21"/>
                  </w:rPr>
                </w:pPr>
                <w:r>
                  <w:rPr>
                    <w:rFonts w:hint="eastAsia"/>
                    <w:b/>
                    <w:bCs/>
                    <w:color w:val="000000"/>
                    <w:szCs w:val="21"/>
                  </w:rPr>
                  <w:t>注册地</w:t>
                </w:r>
              </w:p>
            </w:tc>
            <w:tc>
              <w:tcPr>
                <w:tcW w:w="1537" w:type="dxa"/>
                <w:shd w:val="clear" w:color="auto" w:fill="auto"/>
                <w:noWrap/>
                <w:vAlign w:val="center"/>
              </w:tcPr>
              <w:p>
                <w:pPr>
                  <w:jc w:val="center"/>
                  <w:rPr>
                    <w:b/>
                    <w:bCs/>
                    <w:color w:val="000000"/>
                    <w:szCs w:val="21"/>
                  </w:rPr>
                </w:pPr>
                <w:r>
                  <w:rPr>
                    <w:rFonts w:hint="eastAsia"/>
                    <w:b/>
                    <w:bCs/>
                    <w:color w:val="000000"/>
                    <w:szCs w:val="21"/>
                  </w:rPr>
                  <w:t>注册资本</w:t>
                </w:r>
              </w:p>
            </w:tc>
            <w:tc>
              <w:tcPr>
                <w:tcW w:w="2376" w:type="dxa"/>
                <w:shd w:val="clear" w:color="auto" w:fill="auto"/>
                <w:noWrap/>
                <w:vAlign w:val="center"/>
              </w:tcPr>
              <w:p>
                <w:pPr>
                  <w:jc w:val="center"/>
                  <w:rPr>
                    <w:b/>
                    <w:bCs/>
                    <w:color w:val="000000"/>
                    <w:szCs w:val="21"/>
                  </w:rPr>
                </w:pPr>
                <w:r>
                  <w:rPr>
                    <w:rFonts w:hint="eastAsia"/>
                    <w:b/>
                    <w:bCs/>
                    <w:color w:val="000000"/>
                    <w:szCs w:val="21"/>
                  </w:rPr>
                  <w:t>经营范围</w:t>
                </w:r>
              </w:p>
            </w:tc>
            <w:tc>
              <w:tcPr>
                <w:tcW w:w="1391" w:type="dxa"/>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山东李楼煤业有限公司</w:t>
                </w:r>
              </w:p>
            </w:tc>
            <w:tc>
              <w:tcPr>
                <w:tcW w:w="1276" w:type="dxa"/>
                <w:shd w:val="clear" w:color="auto" w:fill="auto"/>
                <w:noWrap/>
                <w:vAlign w:val="center"/>
              </w:tcPr>
              <w:p>
                <w:pPr>
                  <w:jc w:val="center"/>
                  <w:rPr>
                    <w:color w:val="000000"/>
                    <w:szCs w:val="21"/>
                  </w:rPr>
                </w:pPr>
                <w:r>
                  <w:rPr>
                    <w:rFonts w:hint="eastAsia"/>
                    <w:color w:val="000000"/>
                    <w:szCs w:val="21"/>
                  </w:rPr>
                  <w:t>山东菏泽</w:t>
                </w:r>
              </w:p>
            </w:tc>
            <w:tc>
              <w:tcPr>
                <w:tcW w:w="1537" w:type="dxa"/>
                <w:shd w:val="clear" w:color="auto" w:fill="auto"/>
                <w:noWrap/>
                <w:vAlign w:val="center"/>
              </w:tcPr>
              <w:p>
                <w:pPr>
                  <w:jc w:val="center"/>
                  <w:rPr>
                    <w:color w:val="000000"/>
                    <w:szCs w:val="21"/>
                  </w:rPr>
                </w:pPr>
                <w:r>
                  <w:rPr>
                    <w:color w:val="000000"/>
                    <w:szCs w:val="21"/>
                  </w:rPr>
                  <w:t>64,352.6万元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color w:val="000000"/>
                    <w:szCs w:val="21"/>
                  </w:rPr>
                  <w:t>100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肥城矿业集团梁宝寺能源有限责任公司</w:t>
                </w:r>
              </w:p>
            </w:tc>
            <w:tc>
              <w:tcPr>
                <w:tcW w:w="1276" w:type="dxa"/>
                <w:shd w:val="clear" w:color="auto" w:fill="auto"/>
                <w:noWrap/>
                <w:vAlign w:val="center"/>
              </w:tcPr>
              <w:p>
                <w:pPr>
                  <w:jc w:val="center"/>
                  <w:rPr>
                    <w:color w:val="000000"/>
                    <w:szCs w:val="21"/>
                  </w:rPr>
                </w:pPr>
                <w:r>
                  <w:rPr>
                    <w:rFonts w:hint="eastAsia"/>
                    <w:color w:val="000000"/>
                    <w:szCs w:val="21"/>
                  </w:rPr>
                  <w:t>山东济宁</w:t>
                </w:r>
              </w:p>
            </w:tc>
            <w:tc>
              <w:tcPr>
                <w:tcW w:w="1537" w:type="dxa"/>
                <w:shd w:val="clear" w:color="auto" w:fill="auto"/>
                <w:noWrap/>
                <w:vAlign w:val="center"/>
              </w:tcPr>
              <w:p>
                <w:pPr>
                  <w:jc w:val="center"/>
                  <w:rPr>
                    <w:color w:val="000000"/>
                    <w:szCs w:val="21"/>
                  </w:rPr>
                </w:pPr>
                <w:r>
                  <w:rPr>
                    <w:color w:val="000000"/>
                    <w:szCs w:val="21"/>
                  </w:rPr>
                  <w:t>50,000万元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color w:val="000000"/>
                    <w:szCs w:val="21"/>
                  </w:rPr>
                  <w:t>85</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山东新巨龙能源有限责任公司</w:t>
                </w:r>
              </w:p>
            </w:tc>
            <w:tc>
              <w:tcPr>
                <w:tcW w:w="1276" w:type="dxa"/>
                <w:shd w:val="clear" w:color="auto" w:fill="auto"/>
                <w:noWrap/>
                <w:vAlign w:val="center"/>
              </w:tcPr>
              <w:p>
                <w:pPr>
                  <w:jc w:val="center"/>
                  <w:rPr>
                    <w:color w:val="000000"/>
                    <w:szCs w:val="21"/>
                  </w:rPr>
                </w:pPr>
                <w:r>
                  <w:rPr>
                    <w:rFonts w:hint="eastAsia"/>
                    <w:color w:val="000000"/>
                    <w:szCs w:val="21"/>
                  </w:rPr>
                  <w:t>山东菏泽</w:t>
                </w:r>
              </w:p>
            </w:tc>
            <w:tc>
              <w:tcPr>
                <w:tcW w:w="1537" w:type="dxa"/>
                <w:shd w:val="clear" w:color="auto" w:fill="auto"/>
                <w:noWrap/>
                <w:vAlign w:val="center"/>
              </w:tcPr>
              <w:p>
                <w:pPr>
                  <w:jc w:val="center"/>
                  <w:rPr>
                    <w:color w:val="000000"/>
                    <w:szCs w:val="21"/>
                  </w:rPr>
                </w:pPr>
                <w:r>
                  <w:rPr>
                    <w:color w:val="000000"/>
                    <w:szCs w:val="21"/>
                  </w:rPr>
                  <w:t>100,000万元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color w:val="000000"/>
                    <w:szCs w:val="21"/>
                  </w:rPr>
                  <w:t>60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新矿巨野选煤有限公司</w:t>
                </w:r>
              </w:p>
            </w:tc>
            <w:tc>
              <w:tcPr>
                <w:tcW w:w="1276" w:type="dxa"/>
                <w:shd w:val="clear" w:color="auto" w:fill="auto"/>
                <w:noWrap/>
                <w:vAlign w:val="center"/>
              </w:tcPr>
              <w:p>
                <w:pPr>
                  <w:jc w:val="center"/>
                  <w:rPr>
                    <w:color w:val="000000"/>
                    <w:szCs w:val="21"/>
                  </w:rPr>
                </w:pPr>
                <w:r>
                  <w:rPr>
                    <w:rFonts w:hint="eastAsia"/>
                    <w:color w:val="000000"/>
                    <w:szCs w:val="21"/>
                  </w:rPr>
                  <w:t>山东菏泽</w:t>
                </w:r>
              </w:p>
            </w:tc>
            <w:tc>
              <w:tcPr>
                <w:tcW w:w="1537" w:type="dxa"/>
                <w:shd w:val="clear" w:color="auto" w:fill="auto"/>
                <w:noWrap/>
                <w:vAlign w:val="center"/>
              </w:tcPr>
              <w:p>
                <w:pPr>
                  <w:jc w:val="center"/>
                  <w:rPr>
                    <w:color w:val="000000"/>
                    <w:szCs w:val="21"/>
                  </w:rPr>
                </w:pPr>
                <w:r>
                  <w:rPr>
                    <w:color w:val="000000"/>
                    <w:szCs w:val="21"/>
                  </w:rPr>
                  <w:t>1,000万元</w:t>
                </w:r>
              </w:p>
            </w:tc>
            <w:tc>
              <w:tcPr>
                <w:tcW w:w="2376" w:type="dxa"/>
                <w:shd w:val="clear" w:color="auto" w:fill="auto"/>
                <w:noWrap/>
                <w:vAlign w:val="center"/>
              </w:tcPr>
              <w:p>
                <w:pPr>
                  <w:rPr>
                    <w:color w:val="000000"/>
                    <w:szCs w:val="21"/>
                  </w:rPr>
                </w:pPr>
                <w:r>
                  <w:rPr>
                    <w:rFonts w:hint="eastAsia"/>
                    <w:color w:val="000000"/>
                    <w:szCs w:val="21"/>
                  </w:rPr>
                  <w:t>煤炭产品的洗选加工</w:t>
                </w:r>
              </w:p>
            </w:tc>
            <w:tc>
              <w:tcPr>
                <w:tcW w:w="1391" w:type="dxa"/>
                <w:shd w:val="clear" w:color="auto" w:fill="auto"/>
                <w:noWrap/>
                <w:vAlign w:val="center"/>
              </w:tcPr>
              <w:p>
                <w:pPr>
                  <w:jc w:val="center"/>
                  <w:rPr>
                    <w:color w:val="000000"/>
                    <w:szCs w:val="21"/>
                  </w:rPr>
                </w:pPr>
                <w:r>
                  <w:rPr>
                    <w:color w:val="000000"/>
                    <w:szCs w:val="21"/>
                  </w:rPr>
                  <w:t>100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临沂矿业集团菏泽煤电有限公司</w:t>
                </w:r>
              </w:p>
            </w:tc>
            <w:tc>
              <w:tcPr>
                <w:tcW w:w="1276" w:type="dxa"/>
                <w:shd w:val="clear" w:color="auto" w:fill="auto"/>
                <w:noWrap/>
                <w:vAlign w:val="center"/>
              </w:tcPr>
              <w:p>
                <w:pPr>
                  <w:jc w:val="center"/>
                  <w:rPr>
                    <w:color w:val="000000"/>
                    <w:szCs w:val="21"/>
                  </w:rPr>
                </w:pPr>
                <w:r>
                  <w:rPr>
                    <w:rFonts w:hint="eastAsia"/>
                    <w:color w:val="000000"/>
                    <w:szCs w:val="21"/>
                  </w:rPr>
                  <w:t>山东菏泽</w:t>
                </w:r>
              </w:p>
            </w:tc>
            <w:tc>
              <w:tcPr>
                <w:tcW w:w="1537" w:type="dxa"/>
                <w:shd w:val="clear" w:color="auto" w:fill="auto"/>
                <w:noWrap/>
                <w:vAlign w:val="center"/>
              </w:tcPr>
              <w:p>
                <w:pPr>
                  <w:jc w:val="center"/>
                  <w:rPr>
                    <w:color w:val="000000"/>
                    <w:szCs w:val="21"/>
                  </w:rPr>
                </w:pPr>
                <w:r>
                  <w:rPr>
                    <w:color w:val="000000"/>
                    <w:szCs w:val="21"/>
                  </w:rPr>
                  <w:t>85,000万元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color w:val="000000"/>
                    <w:szCs w:val="21"/>
                  </w:rPr>
                  <w:t>83.59</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肥城矿业集团单县能源有限责任公司</w:t>
                </w:r>
              </w:p>
            </w:tc>
            <w:tc>
              <w:tcPr>
                <w:tcW w:w="1276" w:type="dxa"/>
                <w:shd w:val="clear" w:color="auto" w:fill="auto"/>
                <w:noWrap/>
                <w:vAlign w:val="center"/>
              </w:tcPr>
              <w:p>
                <w:pPr>
                  <w:jc w:val="center"/>
                  <w:rPr>
                    <w:color w:val="000000"/>
                    <w:szCs w:val="21"/>
                  </w:rPr>
                </w:pPr>
                <w:r>
                  <w:rPr>
                    <w:rFonts w:hint="eastAsia"/>
                    <w:color w:val="000000"/>
                    <w:szCs w:val="21"/>
                  </w:rPr>
                  <w:t>山东菏泽</w:t>
                </w:r>
              </w:p>
            </w:tc>
            <w:tc>
              <w:tcPr>
                <w:tcW w:w="1537" w:type="dxa"/>
                <w:shd w:val="clear" w:color="auto" w:fill="auto"/>
                <w:noWrap/>
                <w:vAlign w:val="center"/>
              </w:tcPr>
              <w:p>
                <w:pPr>
                  <w:jc w:val="center"/>
                  <w:rPr>
                    <w:color w:val="000000"/>
                    <w:szCs w:val="21"/>
                  </w:rPr>
                </w:pPr>
                <w:r>
                  <w:rPr>
                    <w:color w:val="000000"/>
                    <w:szCs w:val="21"/>
                  </w:rPr>
                  <w:t>70,000万元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山东唐口煤业有限公司</w:t>
                </w:r>
              </w:p>
            </w:tc>
            <w:tc>
              <w:tcPr>
                <w:tcW w:w="1276" w:type="dxa"/>
                <w:shd w:val="clear" w:color="auto" w:fill="auto"/>
                <w:noWrap/>
                <w:vAlign w:val="center"/>
              </w:tcPr>
              <w:p>
                <w:pPr>
                  <w:jc w:val="center"/>
                  <w:rPr>
                    <w:color w:val="000000"/>
                    <w:szCs w:val="21"/>
                  </w:rPr>
                </w:pPr>
                <w:r>
                  <w:rPr>
                    <w:rFonts w:hint="eastAsia"/>
                    <w:color w:val="000000"/>
                    <w:szCs w:val="21"/>
                  </w:rPr>
                  <w:t>山东济宁</w:t>
                </w:r>
              </w:p>
            </w:tc>
            <w:tc>
              <w:tcPr>
                <w:tcW w:w="1537" w:type="dxa"/>
                <w:shd w:val="clear" w:color="auto" w:fill="auto"/>
                <w:noWrap/>
                <w:vAlign w:val="center"/>
              </w:tcPr>
              <w:p>
                <w:pPr>
                  <w:jc w:val="center"/>
                  <w:rPr>
                    <w:color w:val="000000"/>
                    <w:szCs w:val="21"/>
                  </w:rPr>
                </w:pPr>
                <w:r>
                  <w:rPr>
                    <w:color w:val="000000"/>
                    <w:szCs w:val="21"/>
                  </w:rPr>
                  <w:t>51,382.85万元</w:t>
                </w:r>
              </w:p>
            </w:tc>
            <w:tc>
              <w:tcPr>
                <w:tcW w:w="2376" w:type="dxa"/>
                <w:shd w:val="clear" w:color="auto" w:fill="auto"/>
                <w:noWrap/>
                <w:vAlign w:val="center"/>
              </w:tcPr>
              <w:p>
                <w:pPr>
                  <w:rPr>
                    <w:color w:val="000000"/>
                    <w:szCs w:val="21"/>
                  </w:rPr>
                </w:pPr>
                <w:r>
                  <w:rPr>
                    <w:rFonts w:hint="eastAsia"/>
                    <w:color w:val="000000"/>
                    <w:szCs w:val="21"/>
                  </w:rPr>
                  <w:t>煤炭开采及销售</w:t>
                </w:r>
              </w:p>
            </w:tc>
            <w:tc>
              <w:tcPr>
                <w:tcW w:w="1391" w:type="dxa"/>
                <w:shd w:val="clear" w:color="auto" w:fill="auto"/>
                <w:noWrap/>
                <w:vAlign w:val="center"/>
              </w:tcPr>
              <w:p>
                <w:pPr>
                  <w:jc w:val="center"/>
                  <w:rPr>
                    <w:color w:val="000000"/>
                    <w:szCs w:val="21"/>
                  </w:rPr>
                </w:pPr>
                <w:r>
                  <w:rPr>
                    <w:color w:val="000000"/>
                    <w:szCs w:val="21"/>
                  </w:rPr>
                  <w:t>100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卡松科技股份有限公司</w:t>
                </w:r>
              </w:p>
            </w:tc>
            <w:tc>
              <w:tcPr>
                <w:tcW w:w="1276" w:type="dxa"/>
                <w:shd w:val="clear" w:color="auto" w:fill="auto"/>
                <w:noWrap/>
                <w:vAlign w:val="center"/>
              </w:tcPr>
              <w:p>
                <w:pPr>
                  <w:jc w:val="center"/>
                  <w:rPr>
                    <w:color w:val="000000"/>
                    <w:szCs w:val="21"/>
                  </w:rPr>
                </w:pPr>
                <w:r>
                  <w:rPr>
                    <w:rFonts w:hint="eastAsia"/>
                    <w:color w:val="000000"/>
                    <w:szCs w:val="21"/>
                  </w:rPr>
                  <w:t>山东济宁</w:t>
                </w:r>
              </w:p>
            </w:tc>
            <w:tc>
              <w:tcPr>
                <w:tcW w:w="1537" w:type="dxa"/>
                <w:shd w:val="clear" w:color="auto" w:fill="auto"/>
                <w:noWrap/>
                <w:vAlign w:val="center"/>
              </w:tcPr>
              <w:p>
                <w:pPr>
                  <w:jc w:val="center"/>
                  <w:rPr>
                    <w:color w:val="000000"/>
                    <w:szCs w:val="21"/>
                  </w:rPr>
                </w:pPr>
                <w:r>
                  <w:rPr>
                    <w:color w:val="000000"/>
                    <w:szCs w:val="21"/>
                  </w:rPr>
                  <w:t>7,639.31万元</w:t>
                </w:r>
              </w:p>
            </w:tc>
            <w:tc>
              <w:tcPr>
                <w:tcW w:w="2376" w:type="dxa"/>
                <w:shd w:val="clear" w:color="auto" w:fill="auto"/>
                <w:noWrap/>
                <w:vAlign w:val="center"/>
              </w:tcPr>
              <w:p>
                <w:pPr>
                  <w:rPr>
                    <w:color w:val="000000"/>
                    <w:szCs w:val="21"/>
                  </w:rPr>
                </w:pPr>
                <w:r>
                  <w:rPr>
                    <w:rFonts w:hint="eastAsia"/>
                    <w:color w:val="000000"/>
                    <w:szCs w:val="21"/>
                  </w:rPr>
                  <w:t>化学原料和化学制品制造业</w:t>
                </w:r>
              </w:p>
            </w:tc>
            <w:tc>
              <w:tcPr>
                <w:tcW w:w="1391" w:type="dxa"/>
                <w:shd w:val="clear" w:color="auto" w:fill="auto"/>
                <w:noWrap/>
                <w:vAlign w:val="center"/>
              </w:tcPr>
              <w:p>
                <w:pPr>
                  <w:jc w:val="center"/>
                  <w:rPr>
                    <w:color w:val="000000"/>
                    <w:szCs w:val="21"/>
                  </w:rPr>
                </w:pPr>
                <w:r>
                  <w:rPr>
                    <w:color w:val="000000"/>
                    <w:szCs w:val="21"/>
                  </w:rPr>
                  <w:t>51</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山东盟鲁采矿工程有限公司</w:t>
                </w:r>
              </w:p>
            </w:tc>
            <w:tc>
              <w:tcPr>
                <w:tcW w:w="1276" w:type="dxa"/>
                <w:shd w:val="clear" w:color="auto" w:fill="auto"/>
                <w:noWrap/>
                <w:vAlign w:val="center"/>
              </w:tcPr>
              <w:p>
                <w:pPr>
                  <w:jc w:val="center"/>
                  <w:rPr>
                    <w:color w:val="000000"/>
                    <w:szCs w:val="21"/>
                  </w:rPr>
                </w:pPr>
                <w:r>
                  <w:rPr>
                    <w:rFonts w:hint="eastAsia"/>
                    <w:color w:val="000000"/>
                    <w:szCs w:val="21"/>
                  </w:rPr>
                  <w:t>山东济宁</w:t>
                </w:r>
              </w:p>
            </w:tc>
            <w:tc>
              <w:tcPr>
                <w:tcW w:w="1537" w:type="dxa"/>
                <w:shd w:val="clear" w:color="auto" w:fill="auto"/>
                <w:noWrap/>
                <w:vAlign w:val="center"/>
              </w:tcPr>
              <w:p>
                <w:pPr>
                  <w:jc w:val="center"/>
                  <w:rPr>
                    <w:color w:val="000000"/>
                    <w:szCs w:val="21"/>
                  </w:rPr>
                </w:pPr>
                <w:r>
                  <w:rPr>
                    <w:rFonts w:hint="eastAsia"/>
                    <w:color w:val="000000"/>
                    <w:szCs w:val="21"/>
                  </w:rPr>
                  <w:t>5,000万元</w:t>
                </w:r>
              </w:p>
            </w:tc>
            <w:tc>
              <w:tcPr>
                <w:tcW w:w="2376" w:type="dxa"/>
                <w:shd w:val="clear" w:color="auto" w:fill="auto"/>
                <w:noWrap/>
                <w:vAlign w:val="center"/>
              </w:tcPr>
              <w:p>
                <w:pPr>
                  <w:rPr>
                    <w:color w:val="000000"/>
                    <w:szCs w:val="21"/>
                  </w:rPr>
                </w:pPr>
                <w:r>
                  <w:rPr>
                    <w:rFonts w:hint="eastAsia"/>
                    <w:color w:val="000000"/>
                    <w:szCs w:val="21"/>
                  </w:rPr>
                  <w:t>建筑安装</w:t>
                </w:r>
              </w:p>
            </w:tc>
            <w:tc>
              <w:tcPr>
                <w:tcW w:w="1391" w:type="dxa"/>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830" w:type="dxa"/>
                <w:shd w:val="clear" w:color="auto" w:fill="auto"/>
                <w:noWrap/>
                <w:vAlign w:val="center"/>
              </w:tcPr>
              <w:p>
                <w:pPr>
                  <w:rPr>
                    <w:color w:val="000000"/>
                    <w:szCs w:val="21"/>
                  </w:rPr>
                </w:pPr>
                <w:r>
                  <w:rPr>
                    <w:rFonts w:hint="eastAsia"/>
                    <w:color w:val="000000"/>
                    <w:szCs w:val="21"/>
                  </w:rPr>
                  <w:t>龙口矿业集团工程建设有限公司</w:t>
                </w:r>
              </w:p>
            </w:tc>
            <w:tc>
              <w:tcPr>
                <w:tcW w:w="1276" w:type="dxa"/>
                <w:shd w:val="clear" w:color="auto" w:fill="auto"/>
                <w:noWrap/>
                <w:vAlign w:val="center"/>
              </w:tcPr>
              <w:p>
                <w:pPr>
                  <w:jc w:val="center"/>
                  <w:rPr>
                    <w:color w:val="000000"/>
                    <w:szCs w:val="21"/>
                  </w:rPr>
                </w:pPr>
                <w:r>
                  <w:rPr>
                    <w:rFonts w:hint="eastAsia"/>
                    <w:color w:val="000000"/>
                    <w:szCs w:val="21"/>
                  </w:rPr>
                  <w:t>山东烟台</w:t>
                </w:r>
              </w:p>
            </w:tc>
            <w:tc>
              <w:tcPr>
                <w:tcW w:w="1537" w:type="dxa"/>
                <w:shd w:val="clear" w:color="auto" w:fill="auto"/>
                <w:noWrap/>
                <w:vAlign w:val="center"/>
              </w:tcPr>
              <w:p>
                <w:pPr>
                  <w:jc w:val="center"/>
                  <w:rPr>
                    <w:color w:val="000000"/>
                    <w:szCs w:val="21"/>
                  </w:rPr>
                </w:pPr>
                <w:r>
                  <w:rPr>
                    <w:rFonts w:hint="eastAsia"/>
                    <w:color w:val="000000"/>
                    <w:szCs w:val="21"/>
                  </w:rPr>
                  <w:t>15,000万元</w:t>
                </w:r>
              </w:p>
            </w:tc>
            <w:tc>
              <w:tcPr>
                <w:tcW w:w="2376" w:type="dxa"/>
                <w:shd w:val="clear" w:color="auto" w:fill="auto"/>
                <w:noWrap/>
                <w:vAlign w:val="center"/>
              </w:tcPr>
              <w:p>
                <w:pPr>
                  <w:rPr>
                    <w:color w:val="000000"/>
                    <w:szCs w:val="21"/>
                  </w:rPr>
                </w:pPr>
                <w:r>
                  <w:rPr>
                    <w:rFonts w:hint="eastAsia"/>
                    <w:color w:val="000000"/>
                    <w:szCs w:val="21"/>
                  </w:rPr>
                  <w:t>工程建设</w:t>
                </w:r>
              </w:p>
            </w:tc>
            <w:tc>
              <w:tcPr>
                <w:tcW w:w="1391" w:type="dxa"/>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16)兖矿新疆能化有限公司</w:t>
          </w:r>
        </w:p>
        <w:p>
          <w:pPr>
            <w:autoSpaceDE w:val="0"/>
            <w:autoSpaceDN w:val="0"/>
            <w:adjustRightInd w:val="0"/>
            <w:spacing w:afterLines="50" w:after="156" w:line="360" w:lineRule="exact"/>
            <w:ind w:firstLineChars="200" w:firstLine="420"/>
          </w:pPr>
          <w:r>
            <w:rPr>
              <w:rFonts w:hint="eastAsia"/>
            </w:rPr>
            <w:lastRenderedPageBreak/>
            <w:t>兖矿新疆能化有限公司(以下简称新疆能化)由兖矿集团有限公司与兖矿鲁南化肥厂，根据山东省人民政府国有资产监督管理委员会《关于同意设立兖矿新疆能化有限公司的批复》（鲁国资企改函【2007】43号）于2007年8月3日共同出资设立。2023年4月28日，本集团与新矿集团、山东能源签署关于股权转让协议，以支付现金方式收购新矿集团持有的新疆能化7.84%股权以及山东能源持有的新疆能化43.16%股权。</w:t>
          </w:r>
        </w:p>
        <w:p>
          <w:pPr>
            <w:autoSpaceDE w:val="0"/>
            <w:autoSpaceDN w:val="0"/>
            <w:adjustRightInd w:val="0"/>
            <w:spacing w:afterLines="50" w:after="156" w:line="360" w:lineRule="exact"/>
            <w:ind w:firstLineChars="200" w:firstLine="420"/>
          </w:pPr>
          <w:r>
            <w:rPr>
              <w:rFonts w:hint="eastAsia"/>
            </w:rPr>
            <w:t>新疆能化主要控股子公司如下：</w:t>
          </w:r>
        </w:p>
        <w:tbl>
          <w:tblPr>
            <w:tblStyle w:val="affffffffff8"/>
            <w:tblW w:w="5248" w:type="pct"/>
            <w:jc w:val="center"/>
            <w:tblLook w:val="04A0" w:firstRow="1" w:lastRow="0" w:firstColumn="1" w:lastColumn="0" w:noHBand="0" w:noVBand="1"/>
            <w:tblCaption w:val="D:\Users\202435566\Desktop\0-兖矿能源2024年TB（内蒙古金控）-0320\2024兖矿职衡tb|TB-合：兖矿能源.xlsx|披露附注|_jdsYvhe6eTSU0ehMCTyXEAvKA|0|desc|||0|1"/>
          </w:tblPr>
          <w:tblGrid>
            <w:gridCol w:w="4416"/>
            <w:gridCol w:w="1476"/>
            <w:gridCol w:w="1424"/>
            <w:gridCol w:w="3156"/>
            <w:gridCol w:w="1587"/>
          </w:tblGrid>
          <w:tr>
            <w:trPr>
              <w:trHeight w:val="397"/>
              <w:tblHeader/>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公司名称</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注册地</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注册资本</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业务性质</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新疆兖矿其能煤业有限公司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新疆昌吉</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10,000万元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煤炭开采及销售</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76</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兖矿新疆矿业有限公司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新疆昌吉</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38,333万元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煤炭开采及销售</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51</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中垠新疆房地产开发有限公司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新疆乌鲁木齐</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15,000万元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房地产开发与租赁</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新疆山能化工有限公司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新疆乌鲁木齐</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500,000万元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甲醇、尿素等产品的生产与销售</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新汶矿业集团（伊犁）能源开发有限责任公司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新疆昌吉</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100,000万元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煤炭化工</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1949"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兖矿新疆煤化工有限公司</w:t>
                </w:r>
              </w:p>
            </w:tc>
            <w:tc>
              <w:tcPr>
                <w:tcW w:w="59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新疆乌鲁木齐</w:t>
                </w:r>
              </w:p>
            </w:tc>
            <w:tc>
              <w:tcPr>
                <w:tcW w:w="578"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313,000万元</w:t>
                </w:r>
              </w:p>
            </w:tc>
            <w:tc>
              <w:tcPr>
                <w:tcW w:w="1235"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化学原料和化学制品制造业</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bl>
        <w:p>
          <w:pPr>
            <w:autoSpaceDE w:val="0"/>
            <w:autoSpaceDN w:val="0"/>
            <w:adjustRightInd w:val="0"/>
            <w:spacing w:afterLines="50" w:after="156" w:line="360" w:lineRule="exact"/>
          </w:pPr>
        </w:p>
        <w:p>
          <w:pPr>
            <w:autoSpaceDE w:val="0"/>
            <w:autoSpaceDN w:val="0"/>
            <w:adjustRightInd w:val="0"/>
            <w:spacing w:afterLines="50" w:after="156" w:line="360" w:lineRule="exact"/>
            <w:ind w:firstLineChars="200" w:firstLine="420"/>
          </w:pPr>
          <w:r>
            <w:rPr>
              <w:rFonts w:hint="eastAsia"/>
            </w:rPr>
            <w:t>17)山东能源集团财务有限公司</w:t>
          </w:r>
        </w:p>
        <w:p>
          <w:pPr>
            <w:autoSpaceDE w:val="0"/>
            <w:autoSpaceDN w:val="0"/>
            <w:adjustRightInd w:val="0"/>
            <w:spacing w:afterLines="50" w:after="156" w:line="360" w:lineRule="exact"/>
            <w:ind w:firstLineChars="200" w:firstLine="420"/>
          </w:pPr>
          <w:r>
            <w:rPr>
              <w:rFonts w:hint="eastAsia"/>
            </w:rPr>
            <w:t>山东能源集团财务有限公司(以下简称山能财司)系由山东能源集团有限公司投资设立。2023年11月6日，山能财司吸收合并本集团之子公司兖矿财司。交易完成后兖矿财司注销，其资产、负债、业务以及人员全部由新山能财司依法承继，本集团完成对山能财司控股。山能财司注册资本700,000万元。公司法人营业执照统一社会信用代码：9137000008978789X0。主要提供企业集团财务公司服务。</w:t>
          </w:r>
        </w:p>
        <w:p>
          <w:pPr>
            <w:autoSpaceDE w:val="0"/>
            <w:autoSpaceDN w:val="0"/>
            <w:adjustRightInd w:val="0"/>
            <w:spacing w:afterLines="50" w:after="156" w:line="360" w:lineRule="exact"/>
            <w:ind w:firstLineChars="200" w:firstLine="420"/>
          </w:pPr>
          <w:r>
            <w:rPr>
              <w:rFonts w:hint="eastAsia"/>
            </w:rPr>
            <w:t>18)物泊科技有限公司</w:t>
          </w:r>
        </w:p>
        <w:p>
          <w:pPr>
            <w:autoSpaceDE w:val="0"/>
            <w:autoSpaceDN w:val="0"/>
            <w:adjustRightInd w:val="0"/>
            <w:spacing w:afterLines="50" w:after="156" w:line="360" w:lineRule="exact"/>
            <w:ind w:firstLineChars="200" w:firstLine="420"/>
          </w:pPr>
          <w:r>
            <w:rPr>
              <w:rFonts w:hint="eastAsia"/>
            </w:rPr>
            <w:t>物泊科技有限公司系本集团之子公司，成立于2018年，注册资本99,726.2231万元。公司法人营业执照统一社会信用代码：91350305MA31M7846M。本集团2024年5月与东铭实业集团有限公司、福建东聚科技有限公司（以下简称“福建东聚”）签订《增资协议》，以人民币1,554,545千元认购物泊科技新增注册资本448,768千元，本次增资后，本集团持有物泊科技45%股权。增资协议同时约定：福建东沃投资中心（有限合伙）、福建东创投资中心（有限合伙）一致同意分别将其实缴的33,000千元出资（占本次增资后物泊科技全部股权的3.31%）、30,000千元出资（占本次增资后物泊科技全部股权的3.01%）所对应的全部表决权独家无条件且不可撤销地全权授予受托方，自此本集团可实际行使的表决权物泊科技全部实缴出资对应表决权的51.32%。法定代表人：王怀宇。</w:t>
          </w:r>
        </w:p>
        <w:p>
          <w:pPr>
            <w:autoSpaceDE w:val="0"/>
            <w:autoSpaceDN w:val="0"/>
            <w:adjustRightInd w:val="0"/>
            <w:spacing w:afterLines="50" w:after="156" w:line="360" w:lineRule="exact"/>
            <w:ind w:firstLineChars="200" w:firstLine="420"/>
          </w:pPr>
          <w:r>
            <w:t>19)SMTScharfAG</w:t>
          </w:r>
        </w:p>
        <w:p>
          <w:pPr>
            <w:autoSpaceDE w:val="0"/>
            <w:autoSpaceDN w:val="0"/>
            <w:adjustRightInd w:val="0"/>
            <w:spacing w:afterLines="50" w:after="156" w:line="360" w:lineRule="exact"/>
            <w:ind w:firstLineChars="200" w:firstLine="420"/>
          </w:pPr>
          <w:r>
            <w:rPr>
              <w:rFonts w:hint="eastAsia"/>
            </w:rPr>
            <w:t>SMTScharfAG（以下简称“沙尔夫”）于2000年5月31日在德国注册成立，注册地址：Römerstrasse104,59075Hamm,Germany,本集团在哈姆地区法院进行商业登记，登记编号为5845。沙尔夫于2007年4月11日在慕尼黑证券交易所首次上市，股票ISIN编码为</w:t>
          </w:r>
          <w:r>
            <w:rPr>
              <w:rFonts w:hint="eastAsia"/>
            </w:rPr>
            <w:lastRenderedPageBreak/>
            <w:t>DE000A3DRAE2。沙尔夫及其子公司所属行业为机械制造业，主要应用于采矿行业。2024年</w:t>
          </w:r>
          <w:r>
            <w:t>9</w:t>
          </w:r>
          <w:r>
            <w:rPr>
              <w:rFonts w:hint="eastAsia"/>
            </w:rPr>
            <w:t>月，本集团分别向ShareholderValueManagementAktiengesellschaft牵头的10位股东和FamousHoldingGmbH收购沙尔夫5</w:t>
          </w:r>
          <w:r>
            <w:t>2.66</w:t>
          </w:r>
          <w:r>
            <w:rPr>
              <w:rFonts w:hint="eastAsia"/>
            </w:rPr>
            <w:t>%和1.66%的股份，完成对沙尔夫的控股。</w:t>
          </w:r>
        </w:p>
        <w:p>
          <w:pPr>
            <w:autoSpaceDE w:val="0"/>
            <w:autoSpaceDN w:val="0"/>
            <w:adjustRightInd w:val="0"/>
            <w:spacing w:afterLines="50" w:after="156" w:line="360" w:lineRule="exact"/>
            <w:ind w:firstLineChars="200" w:firstLine="420"/>
          </w:pPr>
          <w:r>
            <w:rPr>
              <w:rFonts w:hint="eastAsia"/>
            </w:rPr>
            <w:t>沙尔夫主要控股子公司如下：</w:t>
          </w:r>
        </w:p>
        <w:tbl>
          <w:tblPr>
            <w:tblStyle w:val="affffffffff8"/>
            <w:tblW w:w="8579" w:type="dxa"/>
            <w:jc w:val="center"/>
            <w:tblLayout w:type="fixed"/>
            <w:tblLook w:val="04A0" w:firstRow="1" w:lastRow="0" w:firstColumn="1" w:lastColumn="0" w:noHBand="0" w:noVBand="1"/>
            <w:tblCaption w:val="D:\Users\202435566\Desktop\0-兖矿能源2024年TB（内蒙古金控）-0320\2024兖矿职衡tb|TB-合：兖矿能源.xlsx|披露附注|_jdsWlgRFV6830aZmkEQMMo5sg|0|desc|||0|1"/>
          </w:tblPr>
          <w:tblGrid>
            <w:gridCol w:w="2917"/>
            <w:gridCol w:w="1048"/>
            <w:gridCol w:w="1386"/>
            <w:gridCol w:w="1836"/>
            <w:gridCol w:w="1392"/>
          </w:tblGrid>
          <w:tr>
            <w:trPr>
              <w:trHeight w:val="397"/>
              <w:tblHeader/>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bookmarkStart w:id="485" w:name="RANGE!C5147:G5157"/>
                <w:r>
                  <w:rPr>
                    <w:rFonts w:hint="eastAsia"/>
                    <w:b/>
                    <w:bCs/>
                    <w:color w:val="000000"/>
                    <w:szCs w:val="21"/>
                  </w:rPr>
                  <w:t>公司名称</w:t>
                </w:r>
                <w:bookmarkEnd w:id="485"/>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注册地</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注册资本</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业务性质</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b/>
                    <w:bCs/>
                    <w:color w:val="000000"/>
                    <w:szCs w:val="21"/>
                  </w:rPr>
                </w:pPr>
                <w:r>
                  <w:rPr>
                    <w:rFonts w:hint="eastAsia"/>
                    <w:b/>
                    <w:bCs/>
                    <w:color w:val="000000"/>
                    <w:szCs w:val="21"/>
                  </w:rPr>
                  <w:t>持股比例（%）</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SMTScharfGmbH</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德国</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EUR25,001</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SerelektronikGmbH</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德国</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EUR30,600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51</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SMTScharfPolskaSp.z.o.o.</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波兰</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PLN149,000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SMTScharfAfrica(Pty.)Ltd</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南非</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ZAR100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70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SMTScharfSudamericaSpA</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智利</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CLP75,221,158</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RDHMiningEquipment</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加拿大</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CAD400,004</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OOOSMTScharf</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俄罗斯</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RUB4,000,000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OOOSMTScharfService</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俄罗斯</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RUB10,000</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设备安装及服务</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沙尔夫矿山机械（北京）有限公司</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中国</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107.518万元</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沙尔夫矿山机械（徐州）有限公司</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中国</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100万元</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100</w:t>
                </w:r>
              </w:p>
            </w:tc>
          </w:tr>
          <w:tr>
            <w:trPr>
              <w:trHeight w:val="397"/>
              <w:jc w:val="center"/>
            </w:trPr>
            <w:tc>
              <w:tcPr>
                <w:tcW w:w="2917"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山东新沙单轨运输装备有限公司</w:t>
                </w:r>
              </w:p>
            </w:tc>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中国</w:t>
                </w:r>
              </w:p>
            </w:tc>
            <w:tc>
              <w:tcPr>
                <w:tcW w:w="138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7050万元</w:t>
                </w:r>
              </w:p>
            </w:tc>
            <w:tc>
              <w:tcPr>
                <w:tcW w:w="1836"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机械制造及设备安装</w:t>
                </w:r>
              </w:p>
            </w:tc>
            <w:tc>
              <w:tcPr>
                <w:tcW w:w="13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center"/>
                  <w:rPr>
                    <w:color w:val="000000"/>
                    <w:szCs w:val="21"/>
                  </w:rPr>
                </w:pPr>
                <w:r>
                  <w:rPr>
                    <w:rFonts w:hint="eastAsia"/>
                    <w:color w:val="000000"/>
                    <w:szCs w:val="21"/>
                  </w:rPr>
                  <w:t>50</w:t>
                </w:r>
              </w:p>
            </w:tc>
          </w:tr>
        </w:tbl>
        <w:p>
          <w:pPr>
            <w:rPr>
              <w:rFonts w:cstheme="minorBidi"/>
              <w:szCs w:val="21"/>
            </w:rPr>
          </w:pPr>
        </w:p>
      </w:sdtContent>
    </w:sdt>
    <w:p>
      <w:pPr>
        <w:rPr>
          <w:rFonts w:cs="Arial"/>
          <w:szCs w:val="21"/>
        </w:rPr>
      </w:pPr>
    </w:p>
    <w:p>
      <w:pPr>
        <w:pStyle w:val="afffffffffffffffffffffffffffffffff1"/>
        <w:numPr>
          <w:ilvl w:val="3"/>
          <w:numId w:val="185"/>
        </w:numPr>
        <w:ind w:left="426" w:hangingChars="202" w:hanging="426"/>
      </w:pPr>
      <w:r>
        <w:rPr>
          <w:rFonts w:hint="eastAsia"/>
        </w:rPr>
        <w:t>重要的非全资子公司</w:t>
      </w:r>
    </w:p>
    <w:sdt>
      <w:sdtPr>
        <w:alias w:val="是否适用：重要的非全资子公司[双击切换]"/>
        <w:tag w:val="_GBC_51a84bfe201248b8bd5edb53b6cd6283"/>
        <w:id w:val="-154120088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12582016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重要的非全资子公司"/>
          <w:tag w:val="_GBC_5ffac6aa0e464031b94de604fccc76c7"/>
          <w:id w:val="-51584772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718"/>
        <w:gridCol w:w="1835"/>
        <w:gridCol w:w="1840"/>
        <w:gridCol w:w="1650"/>
      </w:tblGrid>
      <w:tr>
        <w:trPr>
          <w:trHeight w:val="241"/>
        </w:trPr>
        <w:sdt>
          <w:sdtPr>
            <w:rPr>
              <w:szCs w:val="21"/>
            </w:rPr>
            <w:tag w:val="_PLD_5428bb469efb45b09d2152fb27b33f8a"/>
            <w:id w:val="316534781"/>
          </w:sdtPr>
          <w:sdtContent>
            <w:tc>
              <w:tcPr>
                <w:tcW w:w="890" w:type="pct"/>
                <w:shd w:val="clear" w:color="auto" w:fill="auto"/>
                <w:vAlign w:val="center"/>
              </w:tcPr>
              <w:p>
                <w:pPr>
                  <w:jc w:val="center"/>
                  <w:rPr>
                    <w:rFonts w:cs="Arial"/>
                    <w:szCs w:val="21"/>
                  </w:rPr>
                </w:pPr>
                <w:r>
                  <w:rPr>
                    <w:rFonts w:cs="Arial" w:hint="eastAsia"/>
                    <w:szCs w:val="21"/>
                    <w:lang w:val="en-GB"/>
                  </w:rPr>
                  <w:t>子公司名称</w:t>
                </w:r>
              </w:p>
            </w:tc>
          </w:sdtContent>
        </w:sdt>
        <w:sdt>
          <w:sdtPr>
            <w:rPr>
              <w:szCs w:val="21"/>
            </w:rPr>
            <w:tag w:val="_PLD_6f42810edcef4f808238b34484325c1a"/>
            <w:id w:val="993446854"/>
          </w:sdtPr>
          <w:sdtContent>
            <w:tc>
              <w:tcPr>
                <w:tcW w:w="1002" w:type="pct"/>
                <w:shd w:val="clear" w:color="auto" w:fill="auto"/>
                <w:vAlign w:val="center"/>
              </w:tcPr>
              <w:p>
                <w:pPr>
                  <w:jc w:val="center"/>
                  <w:rPr>
                    <w:rFonts w:cs="Arial"/>
                    <w:bCs/>
                    <w:szCs w:val="21"/>
                    <w:lang w:val="en-GB"/>
                  </w:rPr>
                </w:pPr>
                <w:r>
                  <w:rPr>
                    <w:rFonts w:cs="Arial" w:hint="eastAsia"/>
                    <w:bCs/>
                    <w:szCs w:val="21"/>
                    <w:lang w:val="en-GB"/>
                  </w:rPr>
                  <w:t>少数股东持股</w:t>
                </w:r>
              </w:p>
              <w:p>
                <w:pPr>
                  <w:jc w:val="center"/>
                  <w:rPr>
                    <w:rFonts w:cs="Arial"/>
                    <w:szCs w:val="21"/>
                  </w:rPr>
                </w:pPr>
                <w:r>
                  <w:rPr>
                    <w:rFonts w:cs="Arial" w:hint="eastAsia"/>
                    <w:bCs/>
                    <w:szCs w:val="21"/>
                    <w:lang w:val="en-GB"/>
                  </w:rPr>
                  <w:t>比例</w:t>
                </w:r>
              </w:p>
            </w:tc>
          </w:sdtContent>
        </w:sdt>
        <w:sdt>
          <w:sdtPr>
            <w:rPr>
              <w:szCs w:val="21"/>
            </w:rPr>
            <w:tag w:val="_PLD_5fe25832d2ec4782a2b0dd4183a7a18d"/>
            <w:id w:val="-964266919"/>
          </w:sdtPr>
          <w:sdtContent>
            <w:tc>
              <w:tcPr>
                <w:tcW w:w="1070" w:type="pct"/>
                <w:shd w:val="clear" w:color="auto" w:fill="auto"/>
                <w:vAlign w:val="center"/>
              </w:tcPr>
              <w:p>
                <w:pPr>
                  <w:jc w:val="center"/>
                  <w:rPr>
                    <w:rFonts w:cs="Arial"/>
                    <w:szCs w:val="21"/>
                  </w:rPr>
                </w:pPr>
                <w:r>
                  <w:rPr>
                    <w:rFonts w:cs="Arial" w:hint="eastAsia"/>
                    <w:bCs/>
                    <w:szCs w:val="21"/>
                    <w:lang w:val="en-GB"/>
                  </w:rPr>
                  <w:t>本期归属于少数股东的损益</w:t>
                </w:r>
              </w:p>
            </w:tc>
          </w:sdtContent>
        </w:sdt>
        <w:sdt>
          <w:sdtPr>
            <w:rPr>
              <w:szCs w:val="21"/>
            </w:rPr>
            <w:tag w:val="_PLD_2a49e43dba264aa2a5a6a65baca97c74"/>
            <w:id w:val="-889111753"/>
          </w:sdtPr>
          <w:sdtContent>
            <w:tc>
              <w:tcPr>
                <w:tcW w:w="1073" w:type="pct"/>
                <w:shd w:val="clear" w:color="auto" w:fill="auto"/>
                <w:vAlign w:val="center"/>
              </w:tcPr>
              <w:p>
                <w:pPr>
                  <w:jc w:val="center"/>
                  <w:rPr>
                    <w:rFonts w:cs="Arial"/>
                    <w:szCs w:val="21"/>
                  </w:rPr>
                </w:pPr>
                <w:r>
                  <w:rPr>
                    <w:rFonts w:cs="Arial" w:hint="eastAsia"/>
                    <w:bCs/>
                    <w:szCs w:val="21"/>
                    <w:lang w:val="en-GB"/>
                  </w:rPr>
                  <w:t>本期向少数股东宣告分派的股利</w:t>
                </w:r>
              </w:p>
            </w:tc>
          </w:sdtContent>
        </w:sdt>
        <w:sdt>
          <w:sdtPr>
            <w:rPr>
              <w:szCs w:val="21"/>
            </w:rPr>
            <w:tag w:val="_PLD_fb758b5ac95741fa930b476448e32371"/>
            <w:id w:val="-274708692"/>
          </w:sdtPr>
          <w:sdtContent>
            <w:tc>
              <w:tcPr>
                <w:tcW w:w="963" w:type="pct"/>
                <w:shd w:val="clear" w:color="auto" w:fill="auto"/>
                <w:vAlign w:val="center"/>
              </w:tcPr>
              <w:p>
                <w:pPr>
                  <w:ind w:right="-16"/>
                  <w:jc w:val="center"/>
                  <w:rPr>
                    <w:rFonts w:cs="Arial"/>
                    <w:bCs/>
                    <w:szCs w:val="21"/>
                  </w:rPr>
                </w:pPr>
                <w:r>
                  <w:rPr>
                    <w:rFonts w:cs="Arial" w:hint="eastAsia"/>
                    <w:bCs/>
                    <w:szCs w:val="21"/>
                    <w:lang w:val="en-GB"/>
                  </w:rPr>
                  <w:t>期末少数股东权益余额</w:t>
                </w:r>
              </w:p>
            </w:tc>
          </w:sdtContent>
        </w:sdt>
      </w:tr>
      <w:tr>
        <w:tc>
          <w:tcPr>
            <w:tcW w:w="890" w:type="pct"/>
            <w:vAlign w:val="center"/>
          </w:tcPr>
          <w:p>
            <w:pPr>
              <w:rPr>
                <w:color w:val="000000"/>
                <w:szCs w:val="21"/>
              </w:rPr>
            </w:pPr>
            <w:r>
              <w:rPr>
                <w:rFonts w:hint="eastAsia"/>
                <w:color w:val="000000"/>
                <w:szCs w:val="21"/>
              </w:rPr>
              <w:t>澳洲公司</w:t>
            </w:r>
          </w:p>
        </w:tc>
        <w:tc>
          <w:tcPr>
            <w:tcW w:w="1002" w:type="pct"/>
            <w:vAlign w:val="center"/>
          </w:tcPr>
          <w:p>
            <w:pPr>
              <w:jc w:val="center"/>
              <w:rPr>
                <w:color w:val="000000"/>
                <w:szCs w:val="21"/>
              </w:rPr>
            </w:pPr>
            <w:r>
              <w:rPr>
                <w:color w:val="000000"/>
                <w:szCs w:val="21"/>
              </w:rPr>
              <w:t>37.74%</w:t>
            </w:r>
          </w:p>
        </w:tc>
        <w:tc>
          <w:tcPr>
            <w:tcW w:w="1070" w:type="pct"/>
            <w:vAlign w:val="center"/>
          </w:tcPr>
          <w:p>
            <w:pPr>
              <w:jc w:val="right"/>
              <w:rPr>
                <w:color w:val="000000"/>
                <w:szCs w:val="21"/>
              </w:rPr>
            </w:pPr>
            <w:r>
              <w:rPr>
                <w:color w:val="000000"/>
                <w:szCs w:val="21"/>
              </w:rPr>
              <w:t>2,147,539</w:t>
            </w:r>
          </w:p>
        </w:tc>
        <w:tc>
          <w:tcPr>
            <w:tcW w:w="1073" w:type="pct"/>
            <w:vAlign w:val="center"/>
          </w:tcPr>
          <w:p>
            <w:pPr>
              <w:jc w:val="right"/>
              <w:rPr>
                <w:color w:val="000000"/>
                <w:szCs w:val="21"/>
              </w:rPr>
            </w:pPr>
            <w:r>
              <w:rPr>
                <w:color w:val="000000"/>
                <w:szCs w:val="21"/>
              </w:rPr>
              <w:t>759,666</w:t>
            </w:r>
          </w:p>
        </w:tc>
        <w:tc>
          <w:tcPr>
            <w:tcW w:w="963" w:type="pct"/>
            <w:vAlign w:val="center"/>
          </w:tcPr>
          <w:p>
            <w:pPr>
              <w:jc w:val="right"/>
              <w:rPr>
                <w:color w:val="000000"/>
                <w:szCs w:val="21"/>
              </w:rPr>
            </w:pPr>
            <w:r>
              <w:rPr>
                <w:color w:val="000000"/>
                <w:szCs w:val="21"/>
              </w:rPr>
              <w:t>15,845,350</w:t>
            </w:r>
          </w:p>
        </w:tc>
      </w:tr>
      <w:tr>
        <w:tc>
          <w:tcPr>
            <w:tcW w:w="890" w:type="pct"/>
            <w:vAlign w:val="center"/>
          </w:tcPr>
          <w:p>
            <w:pPr>
              <w:rPr>
                <w:color w:val="000000"/>
                <w:szCs w:val="21"/>
              </w:rPr>
            </w:pPr>
            <w:r>
              <w:rPr>
                <w:rFonts w:hint="eastAsia"/>
                <w:color w:val="000000"/>
                <w:szCs w:val="21"/>
              </w:rPr>
              <w:t>未来能源</w:t>
            </w:r>
          </w:p>
        </w:tc>
        <w:tc>
          <w:tcPr>
            <w:tcW w:w="1002" w:type="pct"/>
            <w:vAlign w:val="center"/>
          </w:tcPr>
          <w:p>
            <w:pPr>
              <w:jc w:val="center"/>
              <w:rPr>
                <w:color w:val="000000"/>
                <w:szCs w:val="21"/>
              </w:rPr>
            </w:pPr>
            <w:r>
              <w:rPr>
                <w:color w:val="000000"/>
                <w:szCs w:val="21"/>
              </w:rPr>
              <w:t>26.03%</w:t>
            </w:r>
          </w:p>
        </w:tc>
        <w:tc>
          <w:tcPr>
            <w:tcW w:w="1070" w:type="pct"/>
            <w:vAlign w:val="center"/>
          </w:tcPr>
          <w:p>
            <w:pPr>
              <w:jc w:val="right"/>
              <w:rPr>
                <w:color w:val="000000"/>
                <w:szCs w:val="21"/>
              </w:rPr>
            </w:pPr>
            <w:r>
              <w:rPr>
                <w:color w:val="000000"/>
                <w:szCs w:val="21"/>
              </w:rPr>
              <w:t>1,339,363</w:t>
            </w:r>
          </w:p>
        </w:tc>
        <w:tc>
          <w:tcPr>
            <w:tcW w:w="1073" w:type="pct"/>
            <w:vAlign w:val="center"/>
          </w:tcPr>
          <w:p>
            <w:pPr>
              <w:jc w:val="right"/>
              <w:rPr>
                <w:color w:val="000000"/>
                <w:szCs w:val="21"/>
              </w:rPr>
            </w:pPr>
            <w:r>
              <w:rPr>
                <w:color w:val="000000"/>
                <w:szCs w:val="21"/>
              </w:rPr>
              <w:t>780,825</w:t>
            </w:r>
          </w:p>
        </w:tc>
        <w:tc>
          <w:tcPr>
            <w:tcW w:w="963" w:type="pct"/>
            <w:vAlign w:val="center"/>
          </w:tcPr>
          <w:p>
            <w:pPr>
              <w:jc w:val="right"/>
              <w:rPr>
                <w:color w:val="000000"/>
                <w:szCs w:val="21"/>
              </w:rPr>
            </w:pPr>
            <w:r>
              <w:rPr>
                <w:color w:val="000000"/>
                <w:szCs w:val="21"/>
              </w:rPr>
              <w:t>7,086,360</w:t>
            </w:r>
          </w:p>
        </w:tc>
      </w:tr>
      <w:tr>
        <w:tc>
          <w:tcPr>
            <w:tcW w:w="890" w:type="pct"/>
            <w:vAlign w:val="center"/>
          </w:tcPr>
          <w:p>
            <w:pPr>
              <w:rPr>
                <w:color w:val="000000"/>
                <w:szCs w:val="21"/>
              </w:rPr>
            </w:pPr>
            <w:r>
              <w:rPr>
                <w:rFonts w:hint="eastAsia"/>
                <w:color w:val="000000"/>
                <w:szCs w:val="21"/>
              </w:rPr>
              <w:t>鲁西矿业</w:t>
            </w:r>
          </w:p>
        </w:tc>
        <w:tc>
          <w:tcPr>
            <w:tcW w:w="1002" w:type="pct"/>
            <w:vAlign w:val="center"/>
          </w:tcPr>
          <w:p>
            <w:pPr>
              <w:jc w:val="center"/>
              <w:rPr>
                <w:color w:val="000000"/>
                <w:szCs w:val="21"/>
              </w:rPr>
            </w:pPr>
            <w:r>
              <w:rPr>
                <w:color w:val="000000"/>
                <w:szCs w:val="21"/>
              </w:rPr>
              <w:t>49%</w:t>
            </w:r>
          </w:p>
        </w:tc>
        <w:tc>
          <w:tcPr>
            <w:tcW w:w="1070" w:type="pct"/>
            <w:vAlign w:val="center"/>
          </w:tcPr>
          <w:p>
            <w:pPr>
              <w:jc w:val="right"/>
              <w:rPr>
                <w:color w:val="000000"/>
                <w:szCs w:val="21"/>
              </w:rPr>
            </w:pPr>
            <w:r>
              <w:rPr>
                <w:color w:val="000000"/>
                <w:szCs w:val="21"/>
              </w:rPr>
              <w:t>1,061,164</w:t>
            </w:r>
          </w:p>
        </w:tc>
        <w:tc>
          <w:tcPr>
            <w:tcW w:w="1073" w:type="pct"/>
            <w:vAlign w:val="center"/>
          </w:tcPr>
          <w:p>
            <w:pPr>
              <w:jc w:val="right"/>
              <w:rPr>
                <w:color w:val="000000"/>
                <w:szCs w:val="21"/>
              </w:rPr>
            </w:pPr>
            <w:r>
              <w:rPr>
                <w:color w:val="000000"/>
                <w:szCs w:val="21"/>
              </w:rPr>
              <w:t>1,348,495</w:t>
            </w:r>
          </w:p>
        </w:tc>
        <w:tc>
          <w:tcPr>
            <w:tcW w:w="963" w:type="pct"/>
            <w:vAlign w:val="center"/>
          </w:tcPr>
          <w:p>
            <w:pPr>
              <w:jc w:val="right"/>
              <w:rPr>
                <w:color w:val="000000"/>
                <w:szCs w:val="21"/>
              </w:rPr>
            </w:pPr>
            <w:r>
              <w:rPr>
                <w:color w:val="000000"/>
                <w:szCs w:val="21"/>
              </w:rPr>
              <w:t>5,804,566</w:t>
            </w:r>
          </w:p>
        </w:tc>
      </w:tr>
    </w:tbl>
    <w:p>
      <w:pPr>
        <w:rPr>
          <w:rFonts w:cs="Arial"/>
          <w:szCs w:val="21"/>
        </w:rPr>
      </w:pPr>
      <w:r>
        <w:rPr>
          <w:rFonts w:cs="Arial" w:hint="eastAsia"/>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923639862"/>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r>
        <w:rPr>
          <w:rFonts w:cs="Arial" w:hint="eastAsia"/>
          <w:szCs w:val="21"/>
        </w:rPr>
        <w:t>其他说明：</w:t>
      </w:r>
    </w:p>
    <w:sdt>
      <w:sdtPr>
        <w:rPr>
          <w:rFonts w:cs="Arial"/>
          <w:szCs w:val="21"/>
        </w:rPr>
        <w:alias w:val="是否适用：重要的非全资子公司其他说明[双击切换]"/>
        <w:tag w:val="_GBC_eb65403cb5164cc9a0cf4afea08b150d"/>
        <w:id w:val="651557338"/>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sectPr>
          <w:pgSz w:w="11907" w:h="16840"/>
          <w:pgMar w:top="1440" w:right="1531" w:bottom="1440" w:left="1797" w:header="851" w:footer="992" w:gutter="0"/>
          <w:cols w:space="425"/>
          <w:docGrid w:type="lines" w:linePitch="312"/>
        </w:sectPr>
      </w:pPr>
    </w:p>
    <w:p>
      <w:pPr>
        <w:rPr>
          <w:rFonts w:cs="Arial"/>
          <w:szCs w:val="21"/>
        </w:rPr>
      </w:pPr>
    </w:p>
    <w:p>
      <w:pPr>
        <w:pStyle w:val="afffffffffffffffffffffffffffffffff1"/>
        <w:numPr>
          <w:ilvl w:val="3"/>
          <w:numId w:val="185"/>
        </w:numPr>
        <w:ind w:left="426" w:hangingChars="202" w:hanging="426"/>
      </w:pPr>
      <w:r>
        <w:rPr>
          <w:rFonts w:hint="eastAsia"/>
        </w:rPr>
        <w:t>重要非全资子公司的主要财务信息</w:t>
      </w:r>
    </w:p>
    <w:sdt>
      <w:sdtPr>
        <w:alias w:val="是否适用：重要非全资子公司的主要财务信息[双击切换]"/>
        <w:tag w:val="_GBC_04ab753eff3c46fda94161ee757bd1fa"/>
        <w:id w:val="-1590068560"/>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29929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重要非全资子公司的主要财务信息"/>
          <w:tag w:val="_GBC_af5cc4f1e7a74e3d8f9c9fea25fdf05f"/>
          <w:id w:val="7645059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2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91"/>
        <w:gridCol w:w="1106"/>
        <w:gridCol w:w="1106"/>
        <w:gridCol w:w="1106"/>
        <w:gridCol w:w="1106"/>
        <w:gridCol w:w="1106"/>
        <w:gridCol w:w="1107"/>
        <w:gridCol w:w="1106"/>
        <w:gridCol w:w="1106"/>
        <w:gridCol w:w="1106"/>
        <w:gridCol w:w="1106"/>
        <w:gridCol w:w="1106"/>
        <w:gridCol w:w="1106"/>
      </w:tblGrid>
      <w:tr>
        <w:trPr>
          <w:trHeight w:val="241"/>
          <w:jc w:val="center"/>
        </w:trPr>
        <w:sdt>
          <w:sdtPr>
            <w:rPr>
              <w:szCs w:val="21"/>
            </w:rPr>
            <w:tag w:val="_PLD_d5dae06c1d0c4fdea02e2f6e645a1e09"/>
            <w:id w:val="-1010445486"/>
          </w:sdtPr>
          <w:sdtContent>
            <w:tc>
              <w:tcPr>
                <w:tcW w:w="475" w:type="pct"/>
                <w:vMerge w:val="restart"/>
                <w:shd w:val="clear" w:color="auto" w:fill="auto"/>
                <w:vAlign w:val="center"/>
              </w:tcPr>
              <w:p>
                <w:pPr>
                  <w:ind w:right="-16"/>
                  <w:jc w:val="center"/>
                  <w:rPr>
                    <w:rFonts w:cs="Arial"/>
                    <w:bCs/>
                    <w:szCs w:val="21"/>
                  </w:rPr>
                </w:pPr>
                <w:r>
                  <w:rPr>
                    <w:rFonts w:cs="Arial" w:hint="eastAsia"/>
                    <w:bCs/>
                    <w:szCs w:val="21"/>
                    <w:lang w:val="en-GB"/>
                  </w:rPr>
                  <w:t>子公司名称</w:t>
                </w:r>
              </w:p>
            </w:tc>
          </w:sdtContent>
        </w:sdt>
        <w:sdt>
          <w:sdtPr>
            <w:rPr>
              <w:szCs w:val="21"/>
            </w:rPr>
            <w:tag w:val="_PLD_6cc7af9079654f428ee1cf0edd2c70b1"/>
            <w:id w:val="-1860651743"/>
          </w:sdtPr>
          <w:sdtContent>
            <w:tc>
              <w:tcPr>
                <w:tcW w:w="2263" w:type="pct"/>
                <w:gridSpan w:val="6"/>
                <w:shd w:val="clear" w:color="auto" w:fill="auto"/>
                <w:vAlign w:val="center"/>
              </w:tcPr>
              <w:p>
                <w:pPr>
                  <w:ind w:right="-16"/>
                  <w:jc w:val="center"/>
                  <w:rPr>
                    <w:rFonts w:cs="Arial"/>
                    <w:bCs/>
                    <w:szCs w:val="21"/>
                  </w:rPr>
                </w:pPr>
                <w:r>
                  <w:rPr>
                    <w:rFonts w:cs="Arial" w:hint="eastAsia"/>
                    <w:bCs/>
                    <w:szCs w:val="21"/>
                    <w:lang w:val="en-GB"/>
                  </w:rPr>
                  <w:t>期末余额</w:t>
                </w:r>
              </w:p>
            </w:tc>
          </w:sdtContent>
        </w:sdt>
        <w:sdt>
          <w:sdtPr>
            <w:rPr>
              <w:szCs w:val="21"/>
            </w:rPr>
            <w:tag w:val="_PLD_64749f66f68948bd92fb0a885f835f78"/>
            <w:id w:val="321626650"/>
          </w:sdtPr>
          <w:sdtContent>
            <w:tc>
              <w:tcPr>
                <w:tcW w:w="2263" w:type="pct"/>
                <w:gridSpan w:val="6"/>
                <w:shd w:val="clear" w:color="auto" w:fill="auto"/>
                <w:vAlign w:val="center"/>
              </w:tcPr>
              <w:p>
                <w:pPr>
                  <w:ind w:right="-16"/>
                  <w:jc w:val="center"/>
                  <w:rPr>
                    <w:rFonts w:cs="Arial"/>
                    <w:bCs/>
                    <w:szCs w:val="21"/>
                  </w:rPr>
                </w:pPr>
                <w:r>
                  <w:rPr>
                    <w:rFonts w:cs="Arial" w:hint="eastAsia"/>
                    <w:bCs/>
                    <w:szCs w:val="21"/>
                    <w:lang w:val="en-GB"/>
                  </w:rPr>
                  <w:t>期初余额</w:t>
                </w:r>
              </w:p>
            </w:tc>
          </w:sdtContent>
        </w:sdt>
      </w:tr>
      <w:tr>
        <w:trPr>
          <w:trHeight w:val="241"/>
          <w:jc w:val="center"/>
        </w:trPr>
        <w:tc>
          <w:tcPr>
            <w:tcW w:w="475" w:type="pct"/>
            <w:vMerge/>
            <w:shd w:val="clear" w:color="auto" w:fill="auto"/>
            <w:vAlign w:val="center"/>
          </w:tcPr>
          <w:p>
            <w:pPr>
              <w:rPr>
                <w:rFonts w:cs="Arial"/>
                <w:bCs/>
                <w:szCs w:val="21"/>
              </w:rPr>
            </w:pPr>
          </w:p>
        </w:tc>
        <w:sdt>
          <w:sdtPr>
            <w:rPr>
              <w:szCs w:val="21"/>
            </w:rPr>
            <w:tag w:val="_PLD_bfcbeed8b46d4b8da13c03613130a3c9"/>
            <w:id w:val="746383210"/>
          </w:sdtPr>
          <w:sdtContent>
            <w:tc>
              <w:tcPr>
                <w:tcW w:w="377" w:type="pct"/>
                <w:shd w:val="clear" w:color="auto" w:fill="auto"/>
                <w:vAlign w:val="center"/>
              </w:tcPr>
              <w:p>
                <w:pPr>
                  <w:jc w:val="center"/>
                  <w:rPr>
                    <w:rFonts w:cs="Arial"/>
                    <w:szCs w:val="21"/>
                  </w:rPr>
                </w:pPr>
                <w:r>
                  <w:rPr>
                    <w:rFonts w:cs="Arial" w:hint="eastAsia"/>
                    <w:szCs w:val="21"/>
                    <w:lang w:val="en-GB"/>
                  </w:rPr>
                  <w:t>流动资产</w:t>
                </w:r>
              </w:p>
            </w:tc>
          </w:sdtContent>
        </w:sdt>
        <w:sdt>
          <w:sdtPr>
            <w:rPr>
              <w:szCs w:val="21"/>
            </w:rPr>
            <w:tag w:val="_PLD_22bcaa48c51f400d9b2d6a387002778f"/>
            <w:id w:val="946041507"/>
          </w:sdtPr>
          <w:sdtContent>
            <w:tc>
              <w:tcPr>
                <w:tcW w:w="377" w:type="pct"/>
                <w:shd w:val="clear" w:color="auto" w:fill="auto"/>
                <w:vAlign w:val="center"/>
              </w:tcPr>
              <w:p>
                <w:pPr>
                  <w:ind w:left="-40" w:right="-97"/>
                  <w:jc w:val="center"/>
                  <w:rPr>
                    <w:rFonts w:cs="Arial"/>
                    <w:szCs w:val="21"/>
                  </w:rPr>
                </w:pPr>
                <w:r>
                  <w:rPr>
                    <w:rFonts w:cs="Arial" w:hint="eastAsia"/>
                    <w:szCs w:val="21"/>
                    <w:lang w:val="en-GB"/>
                  </w:rPr>
                  <w:t>非流动资产</w:t>
                </w:r>
              </w:p>
            </w:tc>
          </w:sdtContent>
        </w:sdt>
        <w:sdt>
          <w:sdtPr>
            <w:rPr>
              <w:szCs w:val="21"/>
            </w:rPr>
            <w:tag w:val="_PLD_a7790df686914e0f8cc8668009824e9e"/>
            <w:id w:val="962233802"/>
          </w:sdtPr>
          <w:sdtContent>
            <w:tc>
              <w:tcPr>
                <w:tcW w:w="377" w:type="pct"/>
                <w:shd w:val="clear" w:color="auto" w:fill="auto"/>
                <w:vAlign w:val="center"/>
              </w:tcPr>
              <w:p>
                <w:pPr>
                  <w:jc w:val="center"/>
                  <w:rPr>
                    <w:rFonts w:cs="Arial"/>
                    <w:szCs w:val="21"/>
                  </w:rPr>
                </w:pPr>
                <w:r>
                  <w:rPr>
                    <w:rFonts w:cs="Arial" w:hint="eastAsia"/>
                    <w:szCs w:val="21"/>
                    <w:lang w:val="en-GB"/>
                  </w:rPr>
                  <w:t>资产合计</w:t>
                </w:r>
              </w:p>
            </w:tc>
          </w:sdtContent>
        </w:sdt>
        <w:sdt>
          <w:sdtPr>
            <w:rPr>
              <w:szCs w:val="21"/>
            </w:rPr>
            <w:tag w:val="_PLD_a6a87cbf1eb046db9bbca57bcceaf08a"/>
            <w:id w:val="88898824"/>
          </w:sdtPr>
          <w:sdtContent>
            <w:tc>
              <w:tcPr>
                <w:tcW w:w="377" w:type="pct"/>
                <w:shd w:val="clear" w:color="auto" w:fill="auto"/>
                <w:vAlign w:val="center"/>
              </w:tcPr>
              <w:p>
                <w:pPr>
                  <w:jc w:val="center"/>
                  <w:rPr>
                    <w:rFonts w:cs="Arial"/>
                    <w:szCs w:val="21"/>
                  </w:rPr>
                </w:pPr>
                <w:r>
                  <w:rPr>
                    <w:rFonts w:cs="Arial" w:hint="eastAsia"/>
                    <w:szCs w:val="21"/>
                    <w:lang w:val="en-GB"/>
                  </w:rPr>
                  <w:t>流动负债</w:t>
                </w:r>
              </w:p>
            </w:tc>
          </w:sdtContent>
        </w:sdt>
        <w:sdt>
          <w:sdtPr>
            <w:rPr>
              <w:szCs w:val="21"/>
            </w:rPr>
            <w:tag w:val="_PLD_bed2f2ec1880450a93ab1b045e836c87"/>
            <w:id w:val="-272552557"/>
          </w:sdtPr>
          <w:sdtContent>
            <w:tc>
              <w:tcPr>
                <w:tcW w:w="377" w:type="pct"/>
                <w:shd w:val="clear" w:color="auto" w:fill="auto"/>
                <w:vAlign w:val="center"/>
              </w:tcPr>
              <w:p>
                <w:pPr>
                  <w:ind w:left="-40" w:right="-97"/>
                  <w:jc w:val="center"/>
                  <w:rPr>
                    <w:rFonts w:cs="Arial"/>
                    <w:szCs w:val="21"/>
                  </w:rPr>
                </w:pPr>
                <w:r>
                  <w:rPr>
                    <w:rFonts w:cs="Arial" w:hint="eastAsia"/>
                    <w:szCs w:val="21"/>
                    <w:lang w:val="en-GB"/>
                  </w:rPr>
                  <w:t>非流动负债</w:t>
                </w:r>
              </w:p>
            </w:tc>
          </w:sdtContent>
        </w:sdt>
        <w:sdt>
          <w:sdtPr>
            <w:rPr>
              <w:szCs w:val="21"/>
            </w:rPr>
            <w:tag w:val="_PLD_3609f15b31554b67a5a1ff617bd5582d"/>
            <w:id w:val="-1019929282"/>
          </w:sdtPr>
          <w:sdtContent>
            <w:tc>
              <w:tcPr>
                <w:tcW w:w="377" w:type="pct"/>
                <w:shd w:val="clear" w:color="auto" w:fill="auto"/>
                <w:vAlign w:val="center"/>
              </w:tcPr>
              <w:p>
                <w:pPr>
                  <w:jc w:val="center"/>
                  <w:rPr>
                    <w:rFonts w:cs="Arial"/>
                    <w:szCs w:val="21"/>
                  </w:rPr>
                </w:pPr>
                <w:r>
                  <w:rPr>
                    <w:rFonts w:cs="Arial" w:hint="eastAsia"/>
                    <w:szCs w:val="21"/>
                    <w:lang w:val="en-GB"/>
                  </w:rPr>
                  <w:t>负债合计</w:t>
                </w:r>
              </w:p>
            </w:tc>
          </w:sdtContent>
        </w:sdt>
        <w:sdt>
          <w:sdtPr>
            <w:rPr>
              <w:szCs w:val="21"/>
            </w:rPr>
            <w:tag w:val="_PLD_35c03e5c5e124d339d35180c4515f97a"/>
            <w:id w:val="512658806"/>
          </w:sdtPr>
          <w:sdtContent>
            <w:tc>
              <w:tcPr>
                <w:tcW w:w="377" w:type="pct"/>
                <w:shd w:val="clear" w:color="auto" w:fill="auto"/>
                <w:vAlign w:val="center"/>
              </w:tcPr>
              <w:p>
                <w:pPr>
                  <w:jc w:val="center"/>
                  <w:rPr>
                    <w:rFonts w:cs="Arial"/>
                    <w:szCs w:val="21"/>
                  </w:rPr>
                </w:pPr>
                <w:r>
                  <w:rPr>
                    <w:rFonts w:cs="Arial" w:hint="eastAsia"/>
                    <w:szCs w:val="21"/>
                    <w:lang w:val="en-GB"/>
                  </w:rPr>
                  <w:t>流动资产</w:t>
                </w:r>
              </w:p>
            </w:tc>
          </w:sdtContent>
        </w:sdt>
        <w:sdt>
          <w:sdtPr>
            <w:rPr>
              <w:szCs w:val="21"/>
            </w:rPr>
            <w:tag w:val="_PLD_c9852fe654ce474bb582d7b8dab46c0a"/>
            <w:id w:val="1122804160"/>
          </w:sdtPr>
          <w:sdtContent>
            <w:tc>
              <w:tcPr>
                <w:tcW w:w="377" w:type="pct"/>
                <w:shd w:val="clear" w:color="auto" w:fill="auto"/>
                <w:vAlign w:val="center"/>
              </w:tcPr>
              <w:p>
                <w:pPr>
                  <w:ind w:left="-40" w:right="-97"/>
                  <w:jc w:val="center"/>
                  <w:rPr>
                    <w:rFonts w:cs="Arial"/>
                    <w:szCs w:val="21"/>
                  </w:rPr>
                </w:pPr>
                <w:r>
                  <w:rPr>
                    <w:rFonts w:cs="Arial" w:hint="eastAsia"/>
                    <w:szCs w:val="21"/>
                    <w:lang w:val="en-GB"/>
                  </w:rPr>
                  <w:t>非流动资产</w:t>
                </w:r>
              </w:p>
            </w:tc>
          </w:sdtContent>
        </w:sdt>
        <w:sdt>
          <w:sdtPr>
            <w:rPr>
              <w:szCs w:val="21"/>
            </w:rPr>
            <w:tag w:val="_PLD_e7455f798f7740fdafaf89940e8195c3"/>
            <w:id w:val="-1357422998"/>
          </w:sdtPr>
          <w:sdtContent>
            <w:tc>
              <w:tcPr>
                <w:tcW w:w="377" w:type="pct"/>
                <w:shd w:val="clear" w:color="auto" w:fill="auto"/>
                <w:vAlign w:val="center"/>
              </w:tcPr>
              <w:p>
                <w:pPr>
                  <w:jc w:val="center"/>
                  <w:rPr>
                    <w:rFonts w:cs="Arial"/>
                    <w:szCs w:val="21"/>
                  </w:rPr>
                </w:pPr>
                <w:r>
                  <w:rPr>
                    <w:rFonts w:cs="Arial" w:hint="eastAsia"/>
                    <w:szCs w:val="21"/>
                    <w:lang w:val="en-GB"/>
                  </w:rPr>
                  <w:t>资产合计</w:t>
                </w:r>
              </w:p>
            </w:tc>
          </w:sdtContent>
        </w:sdt>
        <w:sdt>
          <w:sdtPr>
            <w:rPr>
              <w:szCs w:val="21"/>
            </w:rPr>
            <w:tag w:val="_PLD_b590bdfc5abd4f30a4b1c3cf13a2772b"/>
            <w:id w:val="1506019796"/>
          </w:sdtPr>
          <w:sdtContent>
            <w:tc>
              <w:tcPr>
                <w:tcW w:w="377" w:type="pct"/>
                <w:shd w:val="clear" w:color="auto" w:fill="auto"/>
                <w:vAlign w:val="center"/>
              </w:tcPr>
              <w:p>
                <w:pPr>
                  <w:jc w:val="center"/>
                  <w:rPr>
                    <w:rFonts w:cs="Arial"/>
                    <w:szCs w:val="21"/>
                  </w:rPr>
                </w:pPr>
                <w:r>
                  <w:rPr>
                    <w:rFonts w:cs="Arial" w:hint="eastAsia"/>
                    <w:szCs w:val="21"/>
                    <w:lang w:val="en-GB"/>
                  </w:rPr>
                  <w:t>流动负债</w:t>
                </w:r>
              </w:p>
            </w:tc>
          </w:sdtContent>
        </w:sdt>
        <w:sdt>
          <w:sdtPr>
            <w:rPr>
              <w:szCs w:val="21"/>
            </w:rPr>
            <w:tag w:val="_PLD_acc4c516f1954954b9ffdd4ee0900cfe"/>
            <w:id w:val="1518499518"/>
          </w:sdtPr>
          <w:sdtContent>
            <w:tc>
              <w:tcPr>
                <w:tcW w:w="377" w:type="pct"/>
                <w:shd w:val="clear" w:color="auto" w:fill="auto"/>
                <w:vAlign w:val="center"/>
              </w:tcPr>
              <w:p>
                <w:pPr>
                  <w:ind w:left="-40" w:right="-97"/>
                  <w:jc w:val="center"/>
                  <w:rPr>
                    <w:rFonts w:cs="Arial"/>
                    <w:szCs w:val="21"/>
                  </w:rPr>
                </w:pPr>
                <w:r>
                  <w:rPr>
                    <w:rFonts w:cs="Arial" w:hint="eastAsia"/>
                    <w:szCs w:val="21"/>
                    <w:lang w:val="en-GB"/>
                  </w:rPr>
                  <w:t>非流动负债</w:t>
                </w:r>
              </w:p>
            </w:tc>
          </w:sdtContent>
        </w:sdt>
        <w:sdt>
          <w:sdtPr>
            <w:rPr>
              <w:szCs w:val="21"/>
            </w:rPr>
            <w:tag w:val="_PLD_397eebedf0c14a0e8060aa378e6e579d"/>
            <w:id w:val="-1265770015"/>
          </w:sdtPr>
          <w:sdtContent>
            <w:tc>
              <w:tcPr>
                <w:tcW w:w="377" w:type="pct"/>
                <w:shd w:val="clear" w:color="auto" w:fill="auto"/>
                <w:vAlign w:val="center"/>
              </w:tcPr>
              <w:p>
                <w:pPr>
                  <w:jc w:val="center"/>
                  <w:rPr>
                    <w:rFonts w:cs="Arial"/>
                    <w:szCs w:val="21"/>
                  </w:rPr>
                </w:pPr>
                <w:r>
                  <w:rPr>
                    <w:rFonts w:cs="Arial" w:hint="eastAsia"/>
                    <w:szCs w:val="21"/>
                    <w:lang w:val="en-GB"/>
                  </w:rPr>
                  <w:t>负债合计</w:t>
                </w:r>
              </w:p>
            </w:tc>
          </w:sdtContent>
        </w:sdt>
      </w:tr>
      <w:tr>
        <w:trPr>
          <w:jc w:val="center"/>
        </w:trPr>
        <w:tc>
          <w:tcPr>
            <w:tcW w:w="475" w:type="pct"/>
            <w:vAlign w:val="center"/>
          </w:tcPr>
          <w:p>
            <w:pPr>
              <w:rPr>
                <w:color w:val="000000"/>
                <w:szCs w:val="21"/>
              </w:rPr>
            </w:pPr>
            <w:r>
              <w:rPr>
                <w:rFonts w:hint="eastAsia"/>
                <w:color w:val="000000"/>
                <w:szCs w:val="21"/>
              </w:rPr>
              <w:t>澳洲公司</w:t>
            </w:r>
          </w:p>
        </w:tc>
        <w:tc>
          <w:tcPr>
            <w:tcW w:w="377" w:type="pct"/>
            <w:vAlign w:val="center"/>
          </w:tcPr>
          <w:p>
            <w:pPr>
              <w:jc w:val="right"/>
              <w:rPr>
                <w:color w:val="000000"/>
                <w:szCs w:val="21"/>
              </w:rPr>
            </w:pPr>
            <w:r>
              <w:rPr>
                <w:rFonts w:hint="eastAsia"/>
                <w:color w:val="000000"/>
                <w:szCs w:val="21"/>
              </w:rPr>
              <w:t>15,761,234</w:t>
            </w:r>
          </w:p>
        </w:tc>
        <w:tc>
          <w:tcPr>
            <w:tcW w:w="377" w:type="pct"/>
            <w:vAlign w:val="center"/>
          </w:tcPr>
          <w:p>
            <w:pPr>
              <w:jc w:val="right"/>
              <w:rPr>
                <w:color w:val="000000"/>
                <w:szCs w:val="21"/>
              </w:rPr>
            </w:pPr>
            <w:r>
              <w:rPr>
                <w:rFonts w:hint="eastAsia"/>
                <w:color w:val="000000"/>
                <w:szCs w:val="21"/>
              </w:rPr>
              <w:t>39,733,653</w:t>
            </w:r>
          </w:p>
        </w:tc>
        <w:tc>
          <w:tcPr>
            <w:tcW w:w="377" w:type="pct"/>
            <w:vAlign w:val="center"/>
          </w:tcPr>
          <w:p>
            <w:pPr>
              <w:jc w:val="right"/>
              <w:rPr>
                <w:color w:val="000000"/>
                <w:szCs w:val="21"/>
              </w:rPr>
            </w:pPr>
            <w:r>
              <w:rPr>
                <w:rFonts w:hint="eastAsia"/>
                <w:color w:val="000000"/>
                <w:szCs w:val="21"/>
              </w:rPr>
              <w:t>55,494,887</w:t>
            </w:r>
          </w:p>
        </w:tc>
        <w:tc>
          <w:tcPr>
            <w:tcW w:w="377" w:type="pct"/>
            <w:vAlign w:val="center"/>
          </w:tcPr>
          <w:p>
            <w:pPr>
              <w:jc w:val="right"/>
              <w:rPr>
                <w:color w:val="000000"/>
                <w:szCs w:val="21"/>
              </w:rPr>
            </w:pPr>
            <w:r>
              <w:rPr>
                <w:rFonts w:hint="eastAsia"/>
                <w:color w:val="000000"/>
                <w:szCs w:val="21"/>
              </w:rPr>
              <w:t>5,901,232</w:t>
            </w:r>
          </w:p>
        </w:tc>
        <w:tc>
          <w:tcPr>
            <w:tcW w:w="377" w:type="pct"/>
            <w:vAlign w:val="center"/>
          </w:tcPr>
          <w:p>
            <w:pPr>
              <w:jc w:val="right"/>
              <w:rPr>
                <w:color w:val="000000"/>
                <w:szCs w:val="21"/>
              </w:rPr>
            </w:pPr>
            <w:r>
              <w:rPr>
                <w:rFonts w:hint="eastAsia"/>
                <w:color w:val="000000"/>
                <w:szCs w:val="21"/>
              </w:rPr>
              <w:t>7,605,498</w:t>
            </w:r>
          </w:p>
        </w:tc>
        <w:tc>
          <w:tcPr>
            <w:tcW w:w="377" w:type="pct"/>
            <w:vAlign w:val="center"/>
          </w:tcPr>
          <w:p>
            <w:pPr>
              <w:jc w:val="right"/>
              <w:rPr>
                <w:color w:val="000000"/>
                <w:szCs w:val="21"/>
              </w:rPr>
            </w:pPr>
            <w:r>
              <w:rPr>
                <w:rFonts w:hint="eastAsia"/>
                <w:color w:val="000000"/>
                <w:szCs w:val="21"/>
              </w:rPr>
              <w:t>13,506,730</w:t>
            </w:r>
          </w:p>
        </w:tc>
        <w:tc>
          <w:tcPr>
            <w:tcW w:w="377" w:type="pct"/>
            <w:vAlign w:val="center"/>
          </w:tcPr>
          <w:p>
            <w:pPr>
              <w:jc w:val="right"/>
              <w:rPr>
                <w:color w:val="000000"/>
                <w:szCs w:val="21"/>
              </w:rPr>
            </w:pPr>
            <w:r>
              <w:rPr>
                <w:rFonts w:hint="eastAsia"/>
                <w:color w:val="000000"/>
                <w:szCs w:val="21"/>
              </w:rPr>
              <w:t>11,992,635</w:t>
            </w:r>
          </w:p>
        </w:tc>
        <w:tc>
          <w:tcPr>
            <w:tcW w:w="377" w:type="pct"/>
            <w:vAlign w:val="center"/>
          </w:tcPr>
          <w:p>
            <w:pPr>
              <w:jc w:val="right"/>
              <w:rPr>
                <w:color w:val="000000"/>
                <w:szCs w:val="21"/>
              </w:rPr>
            </w:pPr>
            <w:r>
              <w:rPr>
                <w:rFonts w:hint="eastAsia"/>
                <w:color w:val="000000"/>
                <w:szCs w:val="21"/>
              </w:rPr>
              <w:t>42,286,495</w:t>
            </w:r>
          </w:p>
        </w:tc>
        <w:tc>
          <w:tcPr>
            <w:tcW w:w="377" w:type="pct"/>
            <w:vAlign w:val="center"/>
          </w:tcPr>
          <w:p>
            <w:pPr>
              <w:jc w:val="right"/>
              <w:rPr>
                <w:color w:val="000000"/>
                <w:szCs w:val="21"/>
              </w:rPr>
            </w:pPr>
            <w:r>
              <w:rPr>
                <w:rFonts w:hint="eastAsia"/>
                <w:color w:val="000000"/>
                <w:szCs w:val="21"/>
              </w:rPr>
              <w:t>54,279,130</w:t>
            </w:r>
          </w:p>
        </w:tc>
        <w:tc>
          <w:tcPr>
            <w:tcW w:w="377" w:type="pct"/>
            <w:vAlign w:val="center"/>
          </w:tcPr>
          <w:p>
            <w:pPr>
              <w:jc w:val="right"/>
              <w:rPr>
                <w:color w:val="000000"/>
                <w:szCs w:val="21"/>
              </w:rPr>
            </w:pPr>
            <w:r>
              <w:rPr>
                <w:rFonts w:hint="eastAsia"/>
                <w:color w:val="000000"/>
                <w:szCs w:val="21"/>
              </w:rPr>
              <w:t>5,334,239</w:t>
            </w:r>
          </w:p>
        </w:tc>
        <w:tc>
          <w:tcPr>
            <w:tcW w:w="377" w:type="pct"/>
            <w:vAlign w:val="center"/>
          </w:tcPr>
          <w:p>
            <w:pPr>
              <w:jc w:val="right"/>
              <w:rPr>
                <w:color w:val="000000"/>
                <w:szCs w:val="21"/>
              </w:rPr>
            </w:pPr>
            <w:r>
              <w:rPr>
                <w:rFonts w:hint="eastAsia"/>
                <w:color w:val="000000"/>
                <w:szCs w:val="21"/>
              </w:rPr>
              <w:t>8,003,875</w:t>
            </w:r>
          </w:p>
        </w:tc>
        <w:tc>
          <w:tcPr>
            <w:tcW w:w="377" w:type="pct"/>
            <w:vAlign w:val="center"/>
          </w:tcPr>
          <w:p>
            <w:pPr>
              <w:jc w:val="right"/>
              <w:rPr>
                <w:color w:val="000000"/>
                <w:szCs w:val="21"/>
              </w:rPr>
            </w:pPr>
            <w:r>
              <w:rPr>
                <w:rFonts w:hint="eastAsia"/>
                <w:color w:val="000000"/>
                <w:szCs w:val="21"/>
              </w:rPr>
              <w:t>13,338,114</w:t>
            </w:r>
          </w:p>
        </w:tc>
      </w:tr>
      <w:tr>
        <w:trPr>
          <w:jc w:val="center"/>
        </w:trPr>
        <w:tc>
          <w:tcPr>
            <w:tcW w:w="475" w:type="pct"/>
            <w:vAlign w:val="center"/>
          </w:tcPr>
          <w:p>
            <w:pPr>
              <w:rPr>
                <w:color w:val="000000"/>
                <w:szCs w:val="21"/>
              </w:rPr>
            </w:pPr>
            <w:r>
              <w:rPr>
                <w:rFonts w:hint="eastAsia"/>
                <w:color w:val="000000"/>
                <w:szCs w:val="21"/>
              </w:rPr>
              <w:t>未来能源</w:t>
            </w:r>
          </w:p>
        </w:tc>
        <w:tc>
          <w:tcPr>
            <w:tcW w:w="377" w:type="pct"/>
            <w:vAlign w:val="center"/>
          </w:tcPr>
          <w:p>
            <w:pPr>
              <w:jc w:val="right"/>
              <w:rPr>
                <w:color w:val="000000"/>
                <w:szCs w:val="21"/>
              </w:rPr>
            </w:pPr>
            <w:r>
              <w:rPr>
                <w:color w:val="000000"/>
                <w:szCs w:val="21"/>
              </w:rPr>
              <w:t>17,491,502</w:t>
            </w:r>
          </w:p>
        </w:tc>
        <w:tc>
          <w:tcPr>
            <w:tcW w:w="377" w:type="pct"/>
            <w:vAlign w:val="center"/>
          </w:tcPr>
          <w:p>
            <w:pPr>
              <w:jc w:val="right"/>
              <w:rPr>
                <w:color w:val="000000"/>
                <w:szCs w:val="21"/>
              </w:rPr>
            </w:pPr>
            <w:r>
              <w:rPr>
                <w:rFonts w:hint="eastAsia"/>
                <w:color w:val="000000"/>
                <w:szCs w:val="21"/>
              </w:rPr>
              <w:t>14,972,532</w:t>
            </w:r>
          </w:p>
        </w:tc>
        <w:tc>
          <w:tcPr>
            <w:tcW w:w="377" w:type="pct"/>
            <w:vAlign w:val="center"/>
          </w:tcPr>
          <w:p>
            <w:pPr>
              <w:jc w:val="right"/>
              <w:rPr>
                <w:color w:val="000000"/>
                <w:szCs w:val="21"/>
              </w:rPr>
            </w:pPr>
            <w:r>
              <w:rPr>
                <w:color w:val="000000"/>
                <w:szCs w:val="21"/>
              </w:rPr>
              <w:t>32,464,034</w:t>
            </w:r>
          </w:p>
        </w:tc>
        <w:tc>
          <w:tcPr>
            <w:tcW w:w="377" w:type="pct"/>
            <w:vAlign w:val="center"/>
          </w:tcPr>
          <w:p>
            <w:pPr>
              <w:jc w:val="right"/>
              <w:rPr>
                <w:color w:val="000000"/>
                <w:szCs w:val="21"/>
              </w:rPr>
            </w:pPr>
            <w:r>
              <w:rPr>
                <w:color w:val="000000"/>
                <w:szCs w:val="21"/>
              </w:rPr>
              <w:t>2,274,434</w:t>
            </w:r>
          </w:p>
        </w:tc>
        <w:tc>
          <w:tcPr>
            <w:tcW w:w="377" w:type="pct"/>
            <w:vAlign w:val="center"/>
          </w:tcPr>
          <w:p>
            <w:pPr>
              <w:jc w:val="right"/>
              <w:rPr>
                <w:color w:val="000000"/>
                <w:szCs w:val="21"/>
              </w:rPr>
            </w:pPr>
            <w:r>
              <w:rPr>
                <w:rFonts w:hint="eastAsia"/>
                <w:color w:val="000000"/>
                <w:szCs w:val="21"/>
              </w:rPr>
              <w:t>2,890,190</w:t>
            </w:r>
          </w:p>
        </w:tc>
        <w:tc>
          <w:tcPr>
            <w:tcW w:w="377" w:type="pct"/>
            <w:vAlign w:val="center"/>
          </w:tcPr>
          <w:p>
            <w:pPr>
              <w:jc w:val="right"/>
              <w:rPr>
                <w:color w:val="000000"/>
                <w:szCs w:val="21"/>
              </w:rPr>
            </w:pPr>
            <w:r>
              <w:rPr>
                <w:color w:val="000000"/>
                <w:szCs w:val="21"/>
              </w:rPr>
              <w:t>5,164,624</w:t>
            </w:r>
          </w:p>
        </w:tc>
        <w:tc>
          <w:tcPr>
            <w:tcW w:w="377" w:type="pct"/>
            <w:vAlign w:val="center"/>
          </w:tcPr>
          <w:p>
            <w:pPr>
              <w:jc w:val="right"/>
              <w:rPr>
                <w:color w:val="000000"/>
                <w:szCs w:val="21"/>
              </w:rPr>
            </w:pPr>
            <w:r>
              <w:rPr>
                <w:rFonts w:hint="eastAsia"/>
                <w:color w:val="000000"/>
                <w:szCs w:val="21"/>
              </w:rPr>
              <w:t>15,621,380</w:t>
            </w:r>
          </w:p>
        </w:tc>
        <w:tc>
          <w:tcPr>
            <w:tcW w:w="377" w:type="pct"/>
            <w:vAlign w:val="center"/>
          </w:tcPr>
          <w:p>
            <w:pPr>
              <w:jc w:val="right"/>
              <w:rPr>
                <w:color w:val="000000"/>
                <w:szCs w:val="21"/>
              </w:rPr>
            </w:pPr>
            <w:r>
              <w:rPr>
                <w:rFonts w:hint="eastAsia"/>
                <w:color w:val="000000"/>
                <w:szCs w:val="21"/>
              </w:rPr>
              <w:t>15,772,565</w:t>
            </w:r>
          </w:p>
        </w:tc>
        <w:tc>
          <w:tcPr>
            <w:tcW w:w="377" w:type="pct"/>
            <w:vAlign w:val="center"/>
          </w:tcPr>
          <w:p>
            <w:pPr>
              <w:jc w:val="right"/>
              <w:rPr>
                <w:color w:val="000000"/>
                <w:szCs w:val="21"/>
              </w:rPr>
            </w:pPr>
            <w:r>
              <w:rPr>
                <w:rFonts w:hint="eastAsia"/>
                <w:color w:val="000000"/>
                <w:szCs w:val="21"/>
              </w:rPr>
              <w:t>31,393,945</w:t>
            </w:r>
          </w:p>
        </w:tc>
        <w:tc>
          <w:tcPr>
            <w:tcW w:w="377" w:type="pct"/>
            <w:vAlign w:val="center"/>
          </w:tcPr>
          <w:p>
            <w:pPr>
              <w:jc w:val="right"/>
              <w:rPr>
                <w:color w:val="000000"/>
                <w:szCs w:val="21"/>
              </w:rPr>
            </w:pPr>
            <w:r>
              <w:rPr>
                <w:rFonts w:hint="eastAsia"/>
                <w:color w:val="000000"/>
                <w:szCs w:val="21"/>
              </w:rPr>
              <w:t>3,083,314</w:t>
            </w:r>
          </w:p>
        </w:tc>
        <w:tc>
          <w:tcPr>
            <w:tcW w:w="377" w:type="pct"/>
            <w:vAlign w:val="center"/>
          </w:tcPr>
          <w:p>
            <w:pPr>
              <w:jc w:val="right"/>
              <w:rPr>
                <w:color w:val="000000"/>
                <w:szCs w:val="21"/>
              </w:rPr>
            </w:pPr>
            <w:r>
              <w:rPr>
                <w:rFonts w:hint="eastAsia"/>
                <w:color w:val="000000"/>
                <w:szCs w:val="21"/>
              </w:rPr>
              <w:t>3,469,646</w:t>
            </w:r>
          </w:p>
        </w:tc>
        <w:tc>
          <w:tcPr>
            <w:tcW w:w="377" w:type="pct"/>
            <w:vAlign w:val="center"/>
          </w:tcPr>
          <w:p>
            <w:pPr>
              <w:jc w:val="right"/>
              <w:rPr>
                <w:color w:val="000000"/>
                <w:szCs w:val="21"/>
              </w:rPr>
            </w:pPr>
            <w:r>
              <w:rPr>
                <w:rFonts w:hint="eastAsia"/>
                <w:color w:val="000000"/>
                <w:szCs w:val="21"/>
              </w:rPr>
              <w:t>6,552,960</w:t>
            </w:r>
          </w:p>
        </w:tc>
      </w:tr>
      <w:tr>
        <w:trPr>
          <w:jc w:val="center"/>
        </w:trPr>
        <w:tc>
          <w:tcPr>
            <w:tcW w:w="475" w:type="pct"/>
            <w:vAlign w:val="center"/>
          </w:tcPr>
          <w:p>
            <w:pPr>
              <w:rPr>
                <w:color w:val="000000"/>
                <w:szCs w:val="21"/>
              </w:rPr>
            </w:pPr>
            <w:r>
              <w:rPr>
                <w:rFonts w:hint="eastAsia"/>
                <w:color w:val="000000"/>
                <w:szCs w:val="21"/>
              </w:rPr>
              <w:t>鲁西矿业</w:t>
            </w:r>
          </w:p>
        </w:tc>
        <w:tc>
          <w:tcPr>
            <w:tcW w:w="377" w:type="pct"/>
            <w:vAlign w:val="center"/>
          </w:tcPr>
          <w:p>
            <w:pPr>
              <w:jc w:val="right"/>
              <w:rPr>
                <w:color w:val="000000"/>
                <w:szCs w:val="21"/>
              </w:rPr>
            </w:pPr>
            <w:r>
              <w:rPr>
                <w:color w:val="000000"/>
                <w:szCs w:val="21"/>
              </w:rPr>
              <w:t>15,050,797</w:t>
            </w:r>
          </w:p>
        </w:tc>
        <w:tc>
          <w:tcPr>
            <w:tcW w:w="377" w:type="pct"/>
            <w:vAlign w:val="center"/>
          </w:tcPr>
          <w:p>
            <w:pPr>
              <w:jc w:val="right"/>
              <w:rPr>
                <w:color w:val="000000"/>
                <w:szCs w:val="21"/>
              </w:rPr>
            </w:pPr>
            <w:r>
              <w:rPr>
                <w:color w:val="000000"/>
                <w:szCs w:val="21"/>
              </w:rPr>
              <w:t>29,388,826</w:t>
            </w:r>
          </w:p>
        </w:tc>
        <w:tc>
          <w:tcPr>
            <w:tcW w:w="377" w:type="pct"/>
            <w:vAlign w:val="center"/>
          </w:tcPr>
          <w:p>
            <w:pPr>
              <w:jc w:val="right"/>
              <w:rPr>
                <w:color w:val="000000"/>
                <w:szCs w:val="21"/>
              </w:rPr>
            </w:pPr>
            <w:r>
              <w:rPr>
                <w:color w:val="000000"/>
                <w:szCs w:val="21"/>
              </w:rPr>
              <w:t>44,439,623</w:t>
            </w:r>
          </w:p>
        </w:tc>
        <w:tc>
          <w:tcPr>
            <w:tcW w:w="377" w:type="pct"/>
            <w:vAlign w:val="center"/>
          </w:tcPr>
          <w:p>
            <w:pPr>
              <w:jc w:val="right"/>
              <w:rPr>
                <w:color w:val="000000"/>
                <w:szCs w:val="21"/>
              </w:rPr>
            </w:pPr>
            <w:r>
              <w:rPr>
                <w:color w:val="000000"/>
                <w:szCs w:val="21"/>
              </w:rPr>
              <w:t>22,848,679</w:t>
            </w:r>
          </w:p>
        </w:tc>
        <w:tc>
          <w:tcPr>
            <w:tcW w:w="377" w:type="pct"/>
            <w:vAlign w:val="center"/>
          </w:tcPr>
          <w:p>
            <w:pPr>
              <w:jc w:val="right"/>
              <w:rPr>
                <w:color w:val="000000"/>
                <w:szCs w:val="21"/>
              </w:rPr>
            </w:pPr>
            <w:r>
              <w:rPr>
                <w:color w:val="000000"/>
                <w:szCs w:val="21"/>
              </w:rPr>
              <w:t>11,654,310</w:t>
            </w:r>
          </w:p>
        </w:tc>
        <w:tc>
          <w:tcPr>
            <w:tcW w:w="377" w:type="pct"/>
            <w:vAlign w:val="center"/>
          </w:tcPr>
          <w:p>
            <w:pPr>
              <w:jc w:val="right"/>
              <w:rPr>
                <w:color w:val="000000"/>
                <w:szCs w:val="21"/>
              </w:rPr>
            </w:pPr>
            <w:r>
              <w:rPr>
                <w:color w:val="000000"/>
                <w:szCs w:val="21"/>
              </w:rPr>
              <w:t>34,502,989</w:t>
            </w:r>
          </w:p>
        </w:tc>
        <w:tc>
          <w:tcPr>
            <w:tcW w:w="377" w:type="pct"/>
            <w:vAlign w:val="center"/>
          </w:tcPr>
          <w:p>
            <w:pPr>
              <w:jc w:val="right"/>
              <w:rPr>
                <w:color w:val="000000"/>
                <w:szCs w:val="21"/>
              </w:rPr>
            </w:pPr>
            <w:r>
              <w:rPr>
                <w:rFonts w:hint="eastAsia"/>
                <w:color w:val="000000"/>
                <w:szCs w:val="21"/>
              </w:rPr>
              <w:t>14,473,701</w:t>
            </w:r>
          </w:p>
        </w:tc>
        <w:tc>
          <w:tcPr>
            <w:tcW w:w="377" w:type="pct"/>
            <w:vAlign w:val="center"/>
          </w:tcPr>
          <w:p>
            <w:pPr>
              <w:jc w:val="right"/>
              <w:rPr>
                <w:color w:val="000000"/>
                <w:szCs w:val="21"/>
              </w:rPr>
            </w:pPr>
            <w:r>
              <w:rPr>
                <w:rFonts w:hint="eastAsia"/>
                <w:color w:val="000000"/>
                <w:szCs w:val="21"/>
              </w:rPr>
              <w:t>30,033,369</w:t>
            </w:r>
          </w:p>
        </w:tc>
        <w:tc>
          <w:tcPr>
            <w:tcW w:w="377" w:type="pct"/>
            <w:vAlign w:val="center"/>
          </w:tcPr>
          <w:p>
            <w:pPr>
              <w:jc w:val="right"/>
              <w:rPr>
                <w:color w:val="000000"/>
                <w:szCs w:val="21"/>
              </w:rPr>
            </w:pPr>
            <w:r>
              <w:rPr>
                <w:rFonts w:hint="eastAsia"/>
                <w:color w:val="000000"/>
                <w:szCs w:val="21"/>
              </w:rPr>
              <w:t>44,507,070</w:t>
            </w:r>
          </w:p>
        </w:tc>
        <w:tc>
          <w:tcPr>
            <w:tcW w:w="377" w:type="pct"/>
            <w:vAlign w:val="center"/>
          </w:tcPr>
          <w:p>
            <w:pPr>
              <w:jc w:val="right"/>
              <w:rPr>
                <w:color w:val="000000"/>
                <w:szCs w:val="21"/>
              </w:rPr>
            </w:pPr>
            <w:r>
              <w:rPr>
                <w:rFonts w:hint="eastAsia"/>
                <w:color w:val="000000"/>
                <w:szCs w:val="21"/>
              </w:rPr>
              <w:t>21,425,263</w:t>
            </w:r>
          </w:p>
        </w:tc>
        <w:tc>
          <w:tcPr>
            <w:tcW w:w="377" w:type="pct"/>
            <w:vAlign w:val="center"/>
          </w:tcPr>
          <w:p>
            <w:pPr>
              <w:jc w:val="right"/>
              <w:rPr>
                <w:color w:val="000000"/>
                <w:szCs w:val="21"/>
              </w:rPr>
            </w:pPr>
            <w:r>
              <w:rPr>
                <w:rFonts w:hint="eastAsia"/>
                <w:color w:val="000000"/>
                <w:szCs w:val="21"/>
              </w:rPr>
              <w:t>13,265,079</w:t>
            </w:r>
          </w:p>
        </w:tc>
        <w:tc>
          <w:tcPr>
            <w:tcW w:w="377" w:type="pct"/>
            <w:vAlign w:val="center"/>
          </w:tcPr>
          <w:p>
            <w:pPr>
              <w:jc w:val="right"/>
              <w:rPr>
                <w:color w:val="000000"/>
                <w:szCs w:val="21"/>
              </w:rPr>
            </w:pPr>
            <w:r>
              <w:rPr>
                <w:rFonts w:hint="eastAsia"/>
                <w:color w:val="000000"/>
                <w:szCs w:val="21"/>
              </w:rPr>
              <w:t>34,690,342</w:t>
            </w:r>
          </w:p>
        </w:tc>
      </w:tr>
    </w:tbl>
    <w:p>
      <w:pPr>
        <w:rPr>
          <w:rFonts w:cs="Arial"/>
          <w:szCs w:val="21"/>
        </w:rPr>
      </w:pPr>
    </w:p>
    <w:tbl>
      <w:tblPr>
        <w:tblStyle w:val="affffffffff8"/>
        <w:tblW w:w="52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5"/>
        <w:gridCol w:w="1752"/>
        <w:gridCol w:w="1614"/>
        <w:gridCol w:w="1612"/>
        <w:gridCol w:w="1752"/>
        <w:gridCol w:w="1752"/>
        <w:gridCol w:w="1612"/>
        <w:gridCol w:w="1612"/>
        <w:gridCol w:w="1609"/>
      </w:tblGrid>
      <w:tr>
        <w:trPr>
          <w:trHeight w:val="241"/>
          <w:jc w:val="center"/>
        </w:trPr>
        <w:sdt>
          <w:sdtPr>
            <w:rPr>
              <w:szCs w:val="21"/>
            </w:rPr>
            <w:tag w:val="_PLD_f862f5520ccd48d7b0fd3b875414eb44"/>
            <w:id w:val="-772094543"/>
          </w:sdtPr>
          <w:sdtContent>
            <w:tc>
              <w:tcPr>
                <w:tcW w:w="456" w:type="pct"/>
                <w:vMerge w:val="restart"/>
                <w:shd w:val="clear" w:color="auto" w:fill="auto"/>
                <w:vAlign w:val="center"/>
              </w:tcPr>
              <w:p>
                <w:pPr>
                  <w:spacing w:line="276" w:lineRule="auto"/>
                  <w:ind w:right="-16"/>
                  <w:jc w:val="center"/>
                  <w:rPr>
                    <w:rFonts w:cs="Arial"/>
                    <w:bCs/>
                    <w:szCs w:val="21"/>
                  </w:rPr>
                </w:pPr>
                <w:r>
                  <w:rPr>
                    <w:rFonts w:cs="Arial" w:hint="eastAsia"/>
                    <w:bCs/>
                    <w:szCs w:val="21"/>
                    <w:lang w:val="en-GB"/>
                  </w:rPr>
                  <w:t>子公司名称</w:t>
                </w:r>
              </w:p>
            </w:tc>
          </w:sdtContent>
        </w:sdt>
        <w:sdt>
          <w:sdtPr>
            <w:rPr>
              <w:szCs w:val="21"/>
            </w:rPr>
            <w:tag w:val="_PLD_5506f9b7657a4249a69db52c93f94b62"/>
            <w:id w:val="1948577129"/>
          </w:sdtPr>
          <w:sdtContent>
            <w:tc>
              <w:tcPr>
                <w:tcW w:w="2297" w:type="pct"/>
                <w:gridSpan w:val="4"/>
                <w:shd w:val="clear" w:color="auto" w:fill="auto"/>
                <w:vAlign w:val="center"/>
              </w:tcPr>
              <w:p>
                <w:pPr>
                  <w:spacing w:line="276" w:lineRule="auto"/>
                  <w:ind w:right="-16"/>
                  <w:jc w:val="center"/>
                  <w:rPr>
                    <w:rFonts w:cs="Arial"/>
                    <w:bCs/>
                    <w:szCs w:val="21"/>
                  </w:rPr>
                </w:pPr>
                <w:r>
                  <w:rPr>
                    <w:rFonts w:cs="Arial" w:hint="eastAsia"/>
                    <w:bCs/>
                    <w:szCs w:val="21"/>
                    <w:lang w:val="en-GB"/>
                  </w:rPr>
                  <w:t>本期发生额</w:t>
                </w:r>
              </w:p>
            </w:tc>
          </w:sdtContent>
        </w:sdt>
        <w:sdt>
          <w:sdtPr>
            <w:rPr>
              <w:szCs w:val="21"/>
            </w:rPr>
            <w:tag w:val="_PLD_063dddde33114bd0989718130d614207"/>
            <w:id w:val="961076125"/>
          </w:sdtPr>
          <w:sdtContent>
            <w:tc>
              <w:tcPr>
                <w:tcW w:w="2248" w:type="pct"/>
                <w:gridSpan w:val="4"/>
                <w:shd w:val="clear" w:color="auto" w:fill="auto"/>
                <w:vAlign w:val="center"/>
              </w:tcPr>
              <w:p>
                <w:pPr>
                  <w:spacing w:line="276" w:lineRule="auto"/>
                  <w:ind w:right="-16"/>
                  <w:jc w:val="center"/>
                  <w:rPr>
                    <w:rFonts w:cs="Arial"/>
                    <w:bCs/>
                    <w:szCs w:val="21"/>
                  </w:rPr>
                </w:pPr>
                <w:r>
                  <w:rPr>
                    <w:rFonts w:cs="Arial" w:hint="eastAsia"/>
                    <w:bCs/>
                    <w:szCs w:val="21"/>
                    <w:lang w:val="en-GB"/>
                  </w:rPr>
                  <w:t>上期发生额</w:t>
                </w:r>
              </w:p>
            </w:tc>
          </w:sdtContent>
        </w:sdt>
      </w:tr>
      <w:tr>
        <w:trPr>
          <w:trHeight w:val="241"/>
          <w:jc w:val="center"/>
        </w:trPr>
        <w:tc>
          <w:tcPr>
            <w:tcW w:w="456" w:type="pct"/>
            <w:vMerge/>
            <w:shd w:val="clear" w:color="auto" w:fill="auto"/>
            <w:vAlign w:val="center"/>
          </w:tcPr>
          <w:p>
            <w:pPr>
              <w:jc w:val="center"/>
              <w:rPr>
                <w:rFonts w:cs="Arial"/>
                <w:bCs/>
                <w:szCs w:val="21"/>
              </w:rPr>
            </w:pPr>
          </w:p>
        </w:tc>
        <w:sdt>
          <w:sdtPr>
            <w:rPr>
              <w:szCs w:val="21"/>
            </w:rPr>
            <w:tag w:val="_PLD_0ff6644b89fa49828839f84e0b320d2e"/>
            <w:id w:val="1854227915"/>
          </w:sdtPr>
          <w:sdtContent>
            <w:tc>
              <w:tcPr>
                <w:tcW w:w="598" w:type="pct"/>
                <w:shd w:val="clear" w:color="auto" w:fill="auto"/>
                <w:vAlign w:val="center"/>
              </w:tcPr>
              <w:p>
                <w:pPr>
                  <w:spacing w:line="276" w:lineRule="auto"/>
                  <w:jc w:val="center"/>
                  <w:rPr>
                    <w:rFonts w:cs="Arial"/>
                    <w:szCs w:val="21"/>
                  </w:rPr>
                </w:pPr>
                <w:r>
                  <w:rPr>
                    <w:rFonts w:cs="Arial" w:hint="eastAsia"/>
                    <w:szCs w:val="21"/>
                    <w:lang w:val="en-GB"/>
                  </w:rPr>
                  <w:t>营业收入</w:t>
                </w:r>
              </w:p>
            </w:tc>
          </w:sdtContent>
        </w:sdt>
        <w:sdt>
          <w:sdtPr>
            <w:rPr>
              <w:szCs w:val="21"/>
            </w:rPr>
            <w:tag w:val="_PLD_3ed6f54533ae4b35b5749cded650328b"/>
            <w:id w:val="-1091929006"/>
          </w:sdtPr>
          <w:sdtContent>
            <w:tc>
              <w:tcPr>
                <w:tcW w:w="551" w:type="pct"/>
                <w:shd w:val="clear" w:color="auto" w:fill="auto"/>
                <w:vAlign w:val="center"/>
              </w:tcPr>
              <w:p>
                <w:pPr>
                  <w:spacing w:line="276" w:lineRule="auto"/>
                  <w:jc w:val="center"/>
                  <w:rPr>
                    <w:rFonts w:cs="Arial"/>
                    <w:szCs w:val="21"/>
                  </w:rPr>
                </w:pPr>
                <w:r>
                  <w:rPr>
                    <w:rFonts w:cs="Arial" w:hint="eastAsia"/>
                    <w:szCs w:val="21"/>
                    <w:lang w:val="en-GB"/>
                  </w:rPr>
                  <w:t>净利润</w:t>
                </w:r>
              </w:p>
            </w:tc>
          </w:sdtContent>
        </w:sdt>
        <w:sdt>
          <w:sdtPr>
            <w:rPr>
              <w:szCs w:val="21"/>
            </w:rPr>
            <w:tag w:val="_PLD_f277e496f88240b8a09027ca500f53c9"/>
            <w:id w:val="-1463961351"/>
          </w:sdtPr>
          <w:sdtContent>
            <w:tc>
              <w:tcPr>
                <w:tcW w:w="550" w:type="pct"/>
                <w:shd w:val="clear" w:color="auto" w:fill="auto"/>
                <w:vAlign w:val="center"/>
              </w:tcPr>
              <w:p>
                <w:pPr>
                  <w:spacing w:line="276" w:lineRule="auto"/>
                  <w:jc w:val="center"/>
                  <w:rPr>
                    <w:rFonts w:cs="Arial"/>
                    <w:szCs w:val="21"/>
                  </w:rPr>
                </w:pPr>
                <w:r>
                  <w:rPr>
                    <w:rFonts w:cs="Arial" w:hint="eastAsia"/>
                    <w:szCs w:val="21"/>
                    <w:lang w:val="en-GB"/>
                  </w:rPr>
                  <w:t>综合收益总额</w:t>
                </w:r>
              </w:p>
            </w:tc>
          </w:sdtContent>
        </w:sdt>
        <w:sdt>
          <w:sdtPr>
            <w:rPr>
              <w:szCs w:val="21"/>
            </w:rPr>
            <w:tag w:val="_PLD_b06ad8ebb20b4c158ab41b3105f22658"/>
            <w:id w:val="-1620217431"/>
          </w:sdtPr>
          <w:sdtContent>
            <w:tc>
              <w:tcPr>
                <w:tcW w:w="598" w:type="pct"/>
                <w:shd w:val="clear" w:color="auto" w:fill="auto"/>
                <w:vAlign w:val="center"/>
              </w:tcPr>
              <w:p>
                <w:pPr>
                  <w:spacing w:line="276" w:lineRule="auto"/>
                  <w:jc w:val="center"/>
                  <w:rPr>
                    <w:rFonts w:cs="Arial"/>
                    <w:szCs w:val="21"/>
                  </w:rPr>
                </w:pPr>
                <w:r>
                  <w:rPr>
                    <w:rFonts w:cs="Arial" w:hint="eastAsia"/>
                    <w:szCs w:val="21"/>
                    <w:lang w:val="en-GB"/>
                  </w:rPr>
                  <w:t>经营活动现金流量</w:t>
                </w:r>
              </w:p>
            </w:tc>
          </w:sdtContent>
        </w:sdt>
        <w:sdt>
          <w:sdtPr>
            <w:rPr>
              <w:szCs w:val="21"/>
            </w:rPr>
            <w:tag w:val="_PLD_4fc4163d4ea74839b6634e2ab30a43dd"/>
            <w:id w:val="-1110737742"/>
          </w:sdtPr>
          <w:sdtContent>
            <w:tc>
              <w:tcPr>
                <w:tcW w:w="598" w:type="pct"/>
                <w:shd w:val="clear" w:color="auto" w:fill="auto"/>
                <w:vAlign w:val="center"/>
              </w:tcPr>
              <w:p>
                <w:pPr>
                  <w:spacing w:line="276" w:lineRule="auto"/>
                  <w:jc w:val="center"/>
                  <w:rPr>
                    <w:rFonts w:cs="Arial"/>
                    <w:szCs w:val="21"/>
                  </w:rPr>
                </w:pPr>
                <w:r>
                  <w:rPr>
                    <w:rFonts w:cs="Arial" w:hint="eastAsia"/>
                    <w:szCs w:val="21"/>
                    <w:lang w:val="en-GB"/>
                  </w:rPr>
                  <w:t>营业收入</w:t>
                </w:r>
              </w:p>
            </w:tc>
          </w:sdtContent>
        </w:sdt>
        <w:sdt>
          <w:sdtPr>
            <w:rPr>
              <w:szCs w:val="21"/>
            </w:rPr>
            <w:tag w:val="_PLD_afe353d057d34119880797ab0530197f"/>
            <w:id w:val="496079972"/>
          </w:sdtPr>
          <w:sdtContent>
            <w:tc>
              <w:tcPr>
                <w:tcW w:w="550" w:type="pct"/>
                <w:shd w:val="clear" w:color="auto" w:fill="auto"/>
                <w:vAlign w:val="center"/>
              </w:tcPr>
              <w:p>
                <w:pPr>
                  <w:spacing w:line="276" w:lineRule="auto"/>
                  <w:jc w:val="center"/>
                  <w:rPr>
                    <w:rFonts w:cs="Arial"/>
                    <w:szCs w:val="21"/>
                  </w:rPr>
                </w:pPr>
                <w:r>
                  <w:rPr>
                    <w:rFonts w:cs="Arial" w:hint="eastAsia"/>
                    <w:szCs w:val="21"/>
                    <w:lang w:val="en-GB"/>
                  </w:rPr>
                  <w:t>净利润</w:t>
                </w:r>
              </w:p>
            </w:tc>
          </w:sdtContent>
        </w:sdt>
        <w:sdt>
          <w:sdtPr>
            <w:rPr>
              <w:szCs w:val="21"/>
            </w:rPr>
            <w:tag w:val="_PLD_06c5ed8a09a8478bb7daf6526e9a9894"/>
            <w:id w:val="565687687"/>
          </w:sdtPr>
          <w:sdtContent>
            <w:tc>
              <w:tcPr>
                <w:tcW w:w="550" w:type="pct"/>
                <w:shd w:val="clear" w:color="auto" w:fill="auto"/>
                <w:vAlign w:val="center"/>
              </w:tcPr>
              <w:p>
                <w:pPr>
                  <w:spacing w:line="276" w:lineRule="auto"/>
                  <w:jc w:val="center"/>
                  <w:rPr>
                    <w:rFonts w:cs="Arial"/>
                    <w:szCs w:val="21"/>
                  </w:rPr>
                </w:pPr>
                <w:r>
                  <w:rPr>
                    <w:rFonts w:cs="Arial" w:hint="eastAsia"/>
                    <w:szCs w:val="21"/>
                    <w:lang w:val="en-GB"/>
                  </w:rPr>
                  <w:t>综合收益总额</w:t>
                </w:r>
              </w:p>
            </w:tc>
          </w:sdtContent>
        </w:sdt>
        <w:sdt>
          <w:sdtPr>
            <w:rPr>
              <w:szCs w:val="21"/>
            </w:rPr>
            <w:tag w:val="_PLD_4bb5318561af41709725de1d7e458dde"/>
            <w:id w:val="1635598317"/>
          </w:sdtPr>
          <w:sdtContent>
            <w:tc>
              <w:tcPr>
                <w:tcW w:w="550" w:type="pct"/>
                <w:shd w:val="clear" w:color="auto" w:fill="auto"/>
                <w:vAlign w:val="center"/>
              </w:tcPr>
              <w:p>
                <w:pPr>
                  <w:spacing w:line="276" w:lineRule="auto"/>
                  <w:jc w:val="center"/>
                  <w:rPr>
                    <w:rFonts w:cs="Arial"/>
                    <w:szCs w:val="21"/>
                  </w:rPr>
                </w:pPr>
                <w:r>
                  <w:rPr>
                    <w:rFonts w:cs="Arial" w:hint="eastAsia"/>
                    <w:szCs w:val="21"/>
                    <w:lang w:val="en-GB"/>
                  </w:rPr>
                  <w:t>经营活动现金流量</w:t>
                </w:r>
              </w:p>
            </w:tc>
          </w:sdtContent>
        </w:sdt>
      </w:tr>
      <w:tr>
        <w:trPr>
          <w:jc w:val="center"/>
        </w:trPr>
        <w:tc>
          <w:tcPr>
            <w:tcW w:w="456" w:type="pct"/>
            <w:vAlign w:val="center"/>
          </w:tcPr>
          <w:p>
            <w:pPr>
              <w:rPr>
                <w:color w:val="000000"/>
                <w:szCs w:val="21"/>
              </w:rPr>
            </w:pPr>
            <w:r>
              <w:rPr>
                <w:rFonts w:hint="eastAsia"/>
                <w:color w:val="000000"/>
                <w:szCs w:val="21"/>
              </w:rPr>
              <w:t>澳洲公司</w:t>
            </w:r>
          </w:p>
        </w:tc>
        <w:tc>
          <w:tcPr>
            <w:tcW w:w="598" w:type="pct"/>
            <w:vAlign w:val="center"/>
          </w:tcPr>
          <w:p>
            <w:pPr>
              <w:jc w:val="right"/>
              <w:rPr>
                <w:color w:val="000000"/>
                <w:szCs w:val="21"/>
              </w:rPr>
            </w:pPr>
            <w:r>
              <w:rPr>
                <w:color w:val="000000"/>
                <w:szCs w:val="21"/>
              </w:rPr>
              <w:t>32,213,609</w:t>
            </w:r>
          </w:p>
        </w:tc>
        <w:tc>
          <w:tcPr>
            <w:tcW w:w="551" w:type="pct"/>
            <w:vAlign w:val="center"/>
          </w:tcPr>
          <w:p>
            <w:pPr>
              <w:jc w:val="right"/>
              <w:rPr>
                <w:color w:val="000000"/>
                <w:szCs w:val="21"/>
              </w:rPr>
            </w:pPr>
            <w:r>
              <w:rPr>
                <w:color w:val="000000"/>
                <w:szCs w:val="21"/>
              </w:rPr>
              <w:t>5,690,354</w:t>
            </w:r>
          </w:p>
        </w:tc>
        <w:tc>
          <w:tcPr>
            <w:tcW w:w="550" w:type="pct"/>
            <w:vAlign w:val="center"/>
          </w:tcPr>
          <w:p>
            <w:pPr>
              <w:jc w:val="right"/>
              <w:rPr>
                <w:color w:val="000000"/>
                <w:szCs w:val="21"/>
              </w:rPr>
            </w:pPr>
            <w:r>
              <w:rPr>
                <w:color w:val="000000"/>
                <w:szCs w:val="21"/>
              </w:rPr>
              <w:t>3,061,535</w:t>
            </w:r>
          </w:p>
        </w:tc>
        <w:tc>
          <w:tcPr>
            <w:tcW w:w="598" w:type="pct"/>
            <w:vAlign w:val="center"/>
          </w:tcPr>
          <w:p>
            <w:pPr>
              <w:rPr>
                <w:color w:val="000000"/>
                <w:szCs w:val="21"/>
              </w:rPr>
            </w:pPr>
            <w:r>
              <w:rPr>
                <w:color w:val="000000"/>
                <w:szCs w:val="21"/>
              </w:rPr>
              <w:t>10,168,515</w:t>
            </w:r>
          </w:p>
        </w:tc>
        <w:tc>
          <w:tcPr>
            <w:tcW w:w="598" w:type="pct"/>
            <w:vAlign w:val="center"/>
          </w:tcPr>
          <w:p>
            <w:pPr>
              <w:jc w:val="right"/>
              <w:rPr>
                <w:color w:val="000000"/>
                <w:szCs w:val="21"/>
              </w:rPr>
            </w:pPr>
            <w:r>
              <w:rPr>
                <w:rFonts w:hint="eastAsia"/>
                <w:color w:val="000000"/>
                <w:szCs w:val="21"/>
              </w:rPr>
              <w:t>36,752,056</w:t>
            </w:r>
          </w:p>
        </w:tc>
        <w:tc>
          <w:tcPr>
            <w:tcW w:w="550" w:type="pct"/>
            <w:vAlign w:val="center"/>
          </w:tcPr>
          <w:p>
            <w:pPr>
              <w:jc w:val="right"/>
              <w:rPr>
                <w:color w:val="000000"/>
                <w:szCs w:val="21"/>
              </w:rPr>
            </w:pPr>
            <w:r>
              <w:rPr>
                <w:rFonts w:hint="eastAsia"/>
                <w:color w:val="000000"/>
                <w:szCs w:val="21"/>
              </w:rPr>
              <w:t>8,697,201</w:t>
            </w:r>
          </w:p>
        </w:tc>
        <w:tc>
          <w:tcPr>
            <w:tcW w:w="550" w:type="pct"/>
            <w:vAlign w:val="center"/>
          </w:tcPr>
          <w:p>
            <w:pPr>
              <w:jc w:val="right"/>
              <w:rPr>
                <w:color w:val="000000"/>
                <w:szCs w:val="21"/>
              </w:rPr>
            </w:pPr>
            <w:r>
              <w:rPr>
                <w:rFonts w:hint="eastAsia"/>
                <w:color w:val="000000"/>
                <w:szCs w:val="21"/>
              </w:rPr>
              <w:t>9,562,053</w:t>
            </w:r>
          </w:p>
        </w:tc>
        <w:tc>
          <w:tcPr>
            <w:tcW w:w="550" w:type="pct"/>
            <w:vAlign w:val="center"/>
          </w:tcPr>
          <w:p>
            <w:pPr>
              <w:jc w:val="right"/>
              <w:rPr>
                <w:color w:val="000000"/>
                <w:szCs w:val="21"/>
              </w:rPr>
            </w:pPr>
            <w:r>
              <w:rPr>
                <w:rFonts w:hint="eastAsia"/>
                <w:color w:val="000000"/>
                <w:szCs w:val="21"/>
              </w:rPr>
              <w:t>6,359,064</w:t>
            </w:r>
          </w:p>
        </w:tc>
      </w:tr>
      <w:tr>
        <w:trPr>
          <w:jc w:val="center"/>
        </w:trPr>
        <w:tc>
          <w:tcPr>
            <w:tcW w:w="456" w:type="pct"/>
            <w:vAlign w:val="center"/>
          </w:tcPr>
          <w:p>
            <w:pPr>
              <w:rPr>
                <w:color w:val="000000"/>
                <w:szCs w:val="21"/>
              </w:rPr>
            </w:pPr>
            <w:r>
              <w:rPr>
                <w:rFonts w:hint="eastAsia"/>
                <w:color w:val="000000"/>
                <w:szCs w:val="21"/>
              </w:rPr>
              <w:t>未来能源</w:t>
            </w:r>
          </w:p>
        </w:tc>
        <w:tc>
          <w:tcPr>
            <w:tcW w:w="598" w:type="pct"/>
            <w:vAlign w:val="center"/>
          </w:tcPr>
          <w:p>
            <w:pPr>
              <w:jc w:val="right"/>
              <w:rPr>
                <w:color w:val="000000"/>
                <w:szCs w:val="21"/>
              </w:rPr>
            </w:pPr>
            <w:r>
              <w:rPr>
                <w:color w:val="000000"/>
                <w:szCs w:val="21"/>
              </w:rPr>
              <w:t>14,267,821</w:t>
            </w:r>
          </w:p>
        </w:tc>
        <w:tc>
          <w:tcPr>
            <w:tcW w:w="551" w:type="pct"/>
            <w:vAlign w:val="center"/>
          </w:tcPr>
          <w:p>
            <w:pPr>
              <w:jc w:val="right"/>
              <w:rPr>
                <w:color w:val="000000"/>
                <w:szCs w:val="21"/>
              </w:rPr>
            </w:pPr>
            <w:r>
              <w:rPr>
                <w:color w:val="000000"/>
                <w:szCs w:val="21"/>
              </w:rPr>
              <w:t>5,178,684</w:t>
            </w:r>
          </w:p>
        </w:tc>
        <w:tc>
          <w:tcPr>
            <w:tcW w:w="550" w:type="pct"/>
            <w:vAlign w:val="center"/>
          </w:tcPr>
          <w:p>
            <w:pPr>
              <w:jc w:val="right"/>
              <w:rPr>
                <w:color w:val="000000"/>
                <w:szCs w:val="21"/>
              </w:rPr>
            </w:pPr>
            <w:r>
              <w:rPr>
                <w:color w:val="000000"/>
                <w:szCs w:val="21"/>
              </w:rPr>
              <w:t>5,178,684</w:t>
            </w:r>
          </w:p>
        </w:tc>
        <w:tc>
          <w:tcPr>
            <w:tcW w:w="598" w:type="pct"/>
            <w:vAlign w:val="center"/>
          </w:tcPr>
          <w:p>
            <w:pPr>
              <w:rPr>
                <w:color w:val="000000"/>
                <w:szCs w:val="21"/>
              </w:rPr>
            </w:pPr>
            <w:r>
              <w:rPr>
                <w:color w:val="000000"/>
                <w:szCs w:val="21"/>
              </w:rPr>
              <w:t>7,122,817</w:t>
            </w:r>
          </w:p>
        </w:tc>
        <w:tc>
          <w:tcPr>
            <w:tcW w:w="598" w:type="pct"/>
            <w:vAlign w:val="center"/>
          </w:tcPr>
          <w:p>
            <w:pPr>
              <w:jc w:val="right"/>
              <w:rPr>
                <w:color w:val="000000"/>
                <w:szCs w:val="21"/>
              </w:rPr>
            </w:pPr>
            <w:r>
              <w:rPr>
                <w:rFonts w:hint="eastAsia"/>
                <w:color w:val="000000"/>
                <w:szCs w:val="21"/>
              </w:rPr>
              <w:t>15,277,230</w:t>
            </w:r>
          </w:p>
        </w:tc>
        <w:tc>
          <w:tcPr>
            <w:tcW w:w="550" w:type="pct"/>
            <w:vAlign w:val="center"/>
          </w:tcPr>
          <w:p>
            <w:pPr>
              <w:jc w:val="right"/>
              <w:rPr>
                <w:color w:val="000000"/>
                <w:szCs w:val="21"/>
              </w:rPr>
            </w:pPr>
            <w:r>
              <w:rPr>
                <w:rFonts w:hint="eastAsia"/>
                <w:color w:val="000000"/>
                <w:szCs w:val="21"/>
              </w:rPr>
              <w:t>5,649,578</w:t>
            </w:r>
          </w:p>
        </w:tc>
        <w:tc>
          <w:tcPr>
            <w:tcW w:w="550" w:type="pct"/>
            <w:vAlign w:val="center"/>
          </w:tcPr>
          <w:p>
            <w:pPr>
              <w:jc w:val="right"/>
              <w:rPr>
                <w:color w:val="000000"/>
                <w:szCs w:val="21"/>
              </w:rPr>
            </w:pPr>
            <w:r>
              <w:rPr>
                <w:rFonts w:hint="eastAsia"/>
                <w:color w:val="000000"/>
                <w:szCs w:val="21"/>
              </w:rPr>
              <w:t>5,649,578</w:t>
            </w:r>
          </w:p>
        </w:tc>
        <w:tc>
          <w:tcPr>
            <w:tcW w:w="550" w:type="pct"/>
            <w:vAlign w:val="center"/>
          </w:tcPr>
          <w:p>
            <w:pPr>
              <w:jc w:val="right"/>
              <w:rPr>
                <w:color w:val="000000"/>
                <w:szCs w:val="21"/>
              </w:rPr>
            </w:pPr>
            <w:r>
              <w:rPr>
                <w:rFonts w:hint="eastAsia"/>
                <w:color w:val="000000"/>
                <w:szCs w:val="21"/>
              </w:rPr>
              <w:t>5,602,343</w:t>
            </w:r>
          </w:p>
        </w:tc>
      </w:tr>
      <w:tr>
        <w:trPr>
          <w:jc w:val="center"/>
        </w:trPr>
        <w:tc>
          <w:tcPr>
            <w:tcW w:w="456" w:type="pct"/>
            <w:vAlign w:val="center"/>
          </w:tcPr>
          <w:p>
            <w:pPr>
              <w:rPr>
                <w:color w:val="000000"/>
                <w:szCs w:val="21"/>
              </w:rPr>
            </w:pPr>
            <w:r>
              <w:rPr>
                <w:rFonts w:hint="eastAsia"/>
                <w:color w:val="000000"/>
                <w:szCs w:val="21"/>
              </w:rPr>
              <w:t>鲁西矿业</w:t>
            </w:r>
          </w:p>
        </w:tc>
        <w:tc>
          <w:tcPr>
            <w:tcW w:w="598" w:type="pct"/>
            <w:vAlign w:val="center"/>
          </w:tcPr>
          <w:p>
            <w:pPr>
              <w:jc w:val="right"/>
              <w:rPr>
                <w:color w:val="000000"/>
                <w:szCs w:val="21"/>
              </w:rPr>
            </w:pPr>
            <w:r>
              <w:rPr>
                <w:color w:val="000000"/>
                <w:szCs w:val="21"/>
              </w:rPr>
              <w:t>13,868,451</w:t>
            </w:r>
          </w:p>
        </w:tc>
        <w:tc>
          <w:tcPr>
            <w:tcW w:w="551" w:type="pct"/>
            <w:vAlign w:val="center"/>
          </w:tcPr>
          <w:p>
            <w:pPr>
              <w:jc w:val="right"/>
              <w:rPr>
                <w:color w:val="000000"/>
                <w:szCs w:val="21"/>
              </w:rPr>
            </w:pPr>
            <w:r>
              <w:rPr>
                <w:color w:val="000000"/>
                <w:szCs w:val="21"/>
              </w:rPr>
              <w:t>2,993,031</w:t>
            </w:r>
          </w:p>
        </w:tc>
        <w:tc>
          <w:tcPr>
            <w:tcW w:w="550" w:type="pct"/>
            <w:vAlign w:val="center"/>
          </w:tcPr>
          <w:p>
            <w:pPr>
              <w:jc w:val="right"/>
              <w:rPr>
                <w:color w:val="000000"/>
                <w:szCs w:val="21"/>
              </w:rPr>
            </w:pPr>
            <w:r>
              <w:rPr>
                <w:color w:val="000000"/>
                <w:szCs w:val="21"/>
              </w:rPr>
              <w:t>3,023,745</w:t>
            </w:r>
          </w:p>
        </w:tc>
        <w:tc>
          <w:tcPr>
            <w:tcW w:w="598" w:type="pct"/>
            <w:vAlign w:val="center"/>
          </w:tcPr>
          <w:p>
            <w:pPr>
              <w:rPr>
                <w:color w:val="000000"/>
                <w:szCs w:val="21"/>
              </w:rPr>
            </w:pPr>
            <w:r>
              <w:rPr>
                <w:color w:val="000000"/>
                <w:szCs w:val="21"/>
              </w:rPr>
              <w:t>16,228,991</w:t>
            </w:r>
          </w:p>
        </w:tc>
        <w:tc>
          <w:tcPr>
            <w:tcW w:w="598" w:type="pct"/>
            <w:vAlign w:val="center"/>
          </w:tcPr>
          <w:p>
            <w:pPr>
              <w:jc w:val="right"/>
              <w:rPr>
                <w:color w:val="000000"/>
                <w:szCs w:val="21"/>
              </w:rPr>
            </w:pPr>
            <w:r>
              <w:rPr>
                <w:rFonts w:hint="eastAsia"/>
                <w:color w:val="000000"/>
                <w:szCs w:val="21"/>
              </w:rPr>
              <w:t>15,628,117</w:t>
            </w:r>
          </w:p>
        </w:tc>
        <w:tc>
          <w:tcPr>
            <w:tcW w:w="550" w:type="pct"/>
            <w:vAlign w:val="center"/>
          </w:tcPr>
          <w:p>
            <w:pPr>
              <w:jc w:val="right"/>
              <w:rPr>
                <w:color w:val="000000"/>
                <w:szCs w:val="21"/>
              </w:rPr>
            </w:pPr>
            <w:r>
              <w:rPr>
                <w:rFonts w:hint="eastAsia"/>
                <w:color w:val="000000"/>
                <w:szCs w:val="21"/>
              </w:rPr>
              <w:t>2,433,298</w:t>
            </w:r>
          </w:p>
        </w:tc>
        <w:tc>
          <w:tcPr>
            <w:tcW w:w="550" w:type="pct"/>
            <w:vAlign w:val="center"/>
          </w:tcPr>
          <w:p>
            <w:pPr>
              <w:jc w:val="right"/>
              <w:rPr>
                <w:color w:val="000000"/>
                <w:szCs w:val="21"/>
              </w:rPr>
            </w:pPr>
            <w:r>
              <w:rPr>
                <w:rFonts w:hint="eastAsia"/>
                <w:color w:val="000000"/>
                <w:szCs w:val="21"/>
              </w:rPr>
              <w:t>2,456,932</w:t>
            </w:r>
          </w:p>
        </w:tc>
        <w:tc>
          <w:tcPr>
            <w:tcW w:w="550" w:type="pct"/>
            <w:vAlign w:val="center"/>
          </w:tcPr>
          <w:p>
            <w:pPr>
              <w:jc w:val="right"/>
              <w:rPr>
                <w:color w:val="000000"/>
                <w:szCs w:val="21"/>
              </w:rPr>
            </w:pPr>
            <w:r>
              <w:rPr>
                <w:rFonts w:hint="eastAsia"/>
                <w:color w:val="000000"/>
                <w:szCs w:val="21"/>
              </w:rPr>
              <w:t>1,677,148</w:t>
            </w:r>
          </w:p>
        </w:tc>
      </w:tr>
    </w:tbl>
    <w:p>
      <w:pPr>
        <w:rPr>
          <w:rFonts w:cs="Arial"/>
          <w:szCs w:val="21"/>
        </w:rPr>
      </w:pPr>
      <w:r>
        <w:rPr>
          <w:rFonts w:cs="Arial" w:hint="eastAsia"/>
          <w:szCs w:val="21"/>
        </w:rPr>
        <w:t>其他说明：</w:t>
      </w:r>
    </w:p>
    <w:sdt>
      <w:sdtPr>
        <w:rPr>
          <w:rFonts w:cs="Arial"/>
          <w:szCs w:val="21"/>
        </w:rPr>
        <w:alias w:val="重要非全资子公司的主要财务信息的其他说明"/>
        <w:tag w:val="_GBC_c6413d961dad488aae6fcf0fda2bf33a"/>
        <w:id w:val="-1252813956"/>
        <w:placeholder>
          <w:docPart w:val="GBC22222222222222222222222222222"/>
        </w:placeholder>
      </w:sdtPr>
      <w:sdtContent>
        <w:p>
          <w:pPr>
            <w:rPr>
              <w:rFonts w:cs="Arial"/>
              <w:szCs w:val="21"/>
            </w:rPr>
          </w:pPr>
          <w:r>
            <w:rPr>
              <w:rFonts w:cs="Arial"/>
              <w:szCs w:val="21"/>
            </w:rPr>
            <w:t>-</w:t>
          </w:r>
        </w:p>
      </w:sdtContent>
    </w:sdt>
    <w:p>
      <w:pPr>
        <w:rPr>
          <w:rFonts w:cs="Arial"/>
          <w:szCs w:val="21"/>
        </w:rPr>
        <w:sectPr>
          <w:pgSz w:w="16840" w:h="11907" w:orient="landscape"/>
          <w:pgMar w:top="1797" w:right="1440" w:bottom="1531" w:left="1440" w:header="851" w:footer="992" w:gutter="0"/>
          <w:cols w:space="425"/>
          <w:docGrid w:type="lines" w:linePitch="312"/>
        </w:sectPr>
      </w:pPr>
    </w:p>
    <w:p>
      <w:pPr>
        <w:rPr>
          <w:rFonts w:cs="Arial"/>
          <w:szCs w:val="21"/>
        </w:rPr>
      </w:pPr>
    </w:p>
    <w:p>
      <w:pPr>
        <w:pStyle w:val="afffffffffffffffffffffffffffffffff1"/>
        <w:numPr>
          <w:ilvl w:val="3"/>
          <w:numId w:val="185"/>
        </w:numPr>
        <w:ind w:left="426" w:hangingChars="202" w:hanging="426"/>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1638522666"/>
        <w:placeholder>
          <w:docPart w:val="GBC22222222222222222222222222222"/>
        </w:placeholder>
      </w:sdtPr>
      <w:sdtContent>
        <w:p>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pStyle w:val="afffffffffffffffffffffffffffffffff1"/>
        <w:numPr>
          <w:ilvl w:val="3"/>
          <w:numId w:val="185"/>
        </w:numPr>
        <w:ind w:left="426" w:hangingChars="202" w:hanging="426"/>
      </w:pPr>
      <w:r>
        <w:rPr>
          <w:rFonts w:hint="eastAsia"/>
        </w:rPr>
        <w:t>向纳入合并财务报表范围的结构化主体提供的财务支持或其他支持</w:t>
      </w:r>
    </w:p>
    <w:sdt>
      <w:sdtPr>
        <w:rPr>
          <w:rFonts w:cs="Arial" w:hint="eastAsia"/>
          <w:szCs w:val="21"/>
        </w:rPr>
        <w:alias w:val="是否适用：向纳入合并财务报表范围的结构化主体提供的财务支持或其他支持[双击切换]"/>
        <w:tag w:val="_GBC_395393741a9c49d1bd1b845f818ade1e"/>
        <w:id w:val="-1376229641"/>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b/>
          <w:szCs w:val="21"/>
        </w:rPr>
      </w:pPr>
    </w:p>
    <w:p>
      <w:pPr>
        <w:rPr>
          <w:szCs w:val="21"/>
        </w:rPr>
      </w:pPr>
      <w:r>
        <w:rPr>
          <w:rFonts w:hint="eastAsia"/>
          <w:szCs w:val="21"/>
        </w:rPr>
        <w:t>其他说明：</w:t>
      </w:r>
    </w:p>
    <w:sdt>
      <w:sdtPr>
        <w:rPr>
          <w:szCs w:val="21"/>
        </w:rPr>
        <w:alias w:val="是否适用：在子公司中的权益其他说明[双击切换]"/>
        <w:tag w:val="_GBC_b26ad9d381c8467f9c05b435b2cb6493"/>
        <w:id w:val="160052740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2"/>
          <w:numId w:val="13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786004350"/>
        <w:placeholder>
          <w:docPart w:val="GBC22222222222222222222222222222"/>
        </w:placeholder>
      </w:sdtPr>
      <w:sdtContent>
        <w:p>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szCs w:val="21"/>
        </w:rPr>
      </w:pPr>
    </w:p>
    <w:p>
      <w:pPr>
        <w:pStyle w:val="afffffffffffffffffffffffffffffffff0"/>
        <w:numPr>
          <w:ilvl w:val="2"/>
          <w:numId w:val="13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58411059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1"/>
        <w:numPr>
          <w:ilvl w:val="3"/>
          <w:numId w:val="186"/>
        </w:numPr>
        <w:ind w:left="426" w:hangingChars="202" w:hanging="426"/>
      </w:pPr>
      <w:r>
        <w:rPr>
          <w:rFonts w:hint="eastAsia"/>
        </w:rPr>
        <w:t>重要的合营企业或联营企业</w:t>
      </w:r>
    </w:p>
    <w:sdt>
      <w:sdtPr>
        <w:rPr>
          <w:rFonts w:hint="eastAsia"/>
        </w:rPr>
        <w:alias w:val="是否适用：重要的合营企业或联营企业[双击切换]"/>
        <w:tag w:val="_GBC_99df64ed4bb84c2da5fb54cda5ae039b"/>
        <w:id w:val="-1755202148"/>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p>
    <w:tbl>
      <w:tblPr>
        <w:tblStyle w:val="affffffffff8"/>
        <w:tblW w:w="6121"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0"/>
        <w:gridCol w:w="1256"/>
        <w:gridCol w:w="1184"/>
        <w:gridCol w:w="1796"/>
        <w:gridCol w:w="990"/>
        <w:gridCol w:w="992"/>
        <w:gridCol w:w="1842"/>
      </w:tblGrid>
      <w:tr>
        <w:trPr>
          <w:trHeight w:val="451"/>
        </w:trPr>
        <w:sdt>
          <w:sdtPr>
            <w:rPr>
              <w:szCs w:val="21"/>
            </w:rPr>
            <w:tag w:val="_PLD_6004d65b7e3443dc82381484e3885a6b"/>
            <w:id w:val="1941172684"/>
          </w:sdtPr>
          <w:sdtContent>
            <w:tc>
              <w:tcPr>
                <w:tcW w:w="1158" w:type="pct"/>
                <w:vMerge w:val="restart"/>
                <w:shd w:val="clear" w:color="auto" w:fill="auto"/>
                <w:vAlign w:val="center"/>
              </w:tcPr>
              <w:p>
                <w:pPr>
                  <w:jc w:val="center"/>
                  <w:rPr>
                    <w:rFonts w:cs="Arial"/>
                    <w:szCs w:val="21"/>
                  </w:rPr>
                </w:pPr>
                <w:r>
                  <w:rPr>
                    <w:rFonts w:cs="Arial" w:hint="eastAsia"/>
                    <w:szCs w:val="21"/>
                    <w:lang w:val="en-GB"/>
                  </w:rPr>
                  <w:t>合营企业或联营企业名称</w:t>
                </w:r>
              </w:p>
            </w:tc>
          </w:sdtContent>
        </w:sdt>
        <w:sdt>
          <w:sdtPr>
            <w:rPr>
              <w:szCs w:val="21"/>
            </w:rPr>
            <w:tag w:val="_PLD_2e148655e91e4b998bd7a7d0b10c96fd"/>
            <w:id w:val="-2025395846"/>
          </w:sdtPr>
          <w:sdtContent>
            <w:tc>
              <w:tcPr>
                <w:tcW w:w="598" w:type="pct"/>
                <w:vMerge w:val="restart"/>
                <w:shd w:val="clear" w:color="auto" w:fill="auto"/>
                <w:vAlign w:val="center"/>
              </w:tcPr>
              <w:p>
                <w:pPr>
                  <w:jc w:val="center"/>
                  <w:rPr>
                    <w:rFonts w:cs="Arial"/>
                    <w:szCs w:val="21"/>
                  </w:rPr>
                </w:pPr>
                <w:r>
                  <w:rPr>
                    <w:rFonts w:cs="Arial" w:hint="eastAsia"/>
                    <w:szCs w:val="21"/>
                    <w:lang w:val="en-GB"/>
                  </w:rPr>
                  <w:t>主要经营地</w:t>
                </w:r>
              </w:p>
            </w:tc>
          </w:sdtContent>
        </w:sdt>
        <w:sdt>
          <w:sdtPr>
            <w:rPr>
              <w:szCs w:val="21"/>
            </w:rPr>
            <w:tag w:val="_PLD_32e2714eb7074350886ae0d40b5c34b1"/>
            <w:id w:val="1680309740"/>
          </w:sdtPr>
          <w:sdtContent>
            <w:tc>
              <w:tcPr>
                <w:tcW w:w="564" w:type="pct"/>
                <w:vMerge w:val="restart"/>
                <w:shd w:val="clear" w:color="auto" w:fill="auto"/>
                <w:vAlign w:val="center"/>
              </w:tcPr>
              <w:p>
                <w:pPr>
                  <w:jc w:val="center"/>
                  <w:rPr>
                    <w:rFonts w:cs="Arial"/>
                    <w:szCs w:val="21"/>
                  </w:rPr>
                </w:pPr>
                <w:r>
                  <w:rPr>
                    <w:rFonts w:cs="Arial" w:hint="eastAsia"/>
                    <w:szCs w:val="21"/>
                    <w:lang w:val="en-GB"/>
                  </w:rPr>
                  <w:t>注册地</w:t>
                </w:r>
              </w:p>
            </w:tc>
          </w:sdtContent>
        </w:sdt>
        <w:sdt>
          <w:sdtPr>
            <w:rPr>
              <w:szCs w:val="21"/>
            </w:rPr>
            <w:tag w:val="_PLD_d429c77b8bef473a98608606ebcd4d75"/>
            <w:id w:val="438877465"/>
          </w:sdtPr>
          <w:sdtContent>
            <w:tc>
              <w:tcPr>
                <w:tcW w:w="856" w:type="pct"/>
                <w:vMerge w:val="restart"/>
                <w:shd w:val="clear" w:color="auto" w:fill="auto"/>
                <w:vAlign w:val="center"/>
              </w:tcPr>
              <w:p>
                <w:pPr>
                  <w:jc w:val="center"/>
                  <w:rPr>
                    <w:rFonts w:cs="Arial"/>
                    <w:szCs w:val="21"/>
                  </w:rPr>
                </w:pPr>
                <w:r>
                  <w:rPr>
                    <w:rFonts w:cs="Arial" w:hint="eastAsia"/>
                    <w:szCs w:val="21"/>
                    <w:lang w:val="en-GB"/>
                  </w:rPr>
                  <w:t>业务性质</w:t>
                </w:r>
              </w:p>
            </w:tc>
          </w:sdtContent>
        </w:sdt>
        <w:sdt>
          <w:sdtPr>
            <w:rPr>
              <w:szCs w:val="21"/>
            </w:rPr>
            <w:tag w:val="_PLD_bc055f9d5073401a85de2316f2a2b7ce"/>
            <w:id w:val="-904831022"/>
          </w:sdtPr>
          <w:sdtContent>
            <w:tc>
              <w:tcPr>
                <w:tcW w:w="945" w:type="pct"/>
                <w:gridSpan w:val="2"/>
                <w:shd w:val="clear" w:color="auto" w:fill="auto"/>
                <w:vAlign w:val="center"/>
              </w:tcPr>
              <w:p>
                <w:pPr>
                  <w:jc w:val="center"/>
                  <w:rPr>
                    <w:rFonts w:cs="Arial"/>
                    <w:szCs w:val="21"/>
                  </w:rPr>
                </w:pPr>
                <w:r>
                  <w:rPr>
                    <w:rFonts w:cs="Arial" w:hint="eastAsia"/>
                    <w:szCs w:val="21"/>
                    <w:lang w:val="en-GB"/>
                  </w:rPr>
                  <w:t>持股比例</w:t>
                </w:r>
                <w:r>
                  <w:rPr>
                    <w:rFonts w:cs="Arial"/>
                    <w:szCs w:val="21"/>
                  </w:rPr>
                  <w:t>(%)</w:t>
                </w:r>
              </w:p>
            </w:tc>
          </w:sdtContent>
        </w:sdt>
        <w:sdt>
          <w:sdtPr>
            <w:rPr>
              <w:szCs w:val="21"/>
            </w:rPr>
            <w:tag w:val="_PLD_96c57a3220e8432f8deedb4873fcf29c"/>
            <w:id w:val="1128136933"/>
          </w:sdtPr>
          <w:sdtContent>
            <w:tc>
              <w:tcPr>
                <w:tcW w:w="878" w:type="pct"/>
                <w:vMerge w:val="restart"/>
                <w:shd w:val="clear" w:color="auto" w:fill="auto"/>
                <w:vAlign w:val="center"/>
              </w:tcPr>
              <w:p>
                <w:pPr>
                  <w:jc w:val="center"/>
                  <w:rPr>
                    <w:rFonts w:cs="Arial"/>
                    <w:szCs w:val="21"/>
                  </w:rPr>
                </w:pPr>
                <w:r>
                  <w:rPr>
                    <w:rFonts w:cs="Arial" w:hint="eastAsia"/>
                    <w:szCs w:val="21"/>
                    <w:lang w:val="en-GB"/>
                  </w:rPr>
                  <w:t>对合营企业或联营企业投资的会计处理方法</w:t>
                </w:r>
              </w:p>
            </w:tc>
          </w:sdtContent>
        </w:sdt>
      </w:tr>
      <w:tr>
        <w:trPr>
          <w:trHeight w:val="278"/>
        </w:trPr>
        <w:tc>
          <w:tcPr>
            <w:tcW w:w="1158" w:type="pct"/>
            <w:vMerge/>
            <w:shd w:val="clear" w:color="auto" w:fill="auto"/>
            <w:vAlign w:val="center"/>
          </w:tcPr>
          <w:p>
            <w:pPr>
              <w:rPr>
                <w:rFonts w:cs="Arial"/>
                <w:szCs w:val="21"/>
              </w:rPr>
            </w:pPr>
          </w:p>
        </w:tc>
        <w:tc>
          <w:tcPr>
            <w:tcW w:w="598" w:type="pct"/>
            <w:vMerge/>
            <w:shd w:val="clear" w:color="auto" w:fill="auto"/>
            <w:vAlign w:val="center"/>
          </w:tcPr>
          <w:p>
            <w:pPr>
              <w:rPr>
                <w:rFonts w:cs="Arial"/>
                <w:szCs w:val="21"/>
              </w:rPr>
            </w:pPr>
          </w:p>
        </w:tc>
        <w:tc>
          <w:tcPr>
            <w:tcW w:w="564" w:type="pct"/>
            <w:vMerge/>
            <w:shd w:val="clear" w:color="auto" w:fill="auto"/>
            <w:vAlign w:val="center"/>
          </w:tcPr>
          <w:p>
            <w:pPr>
              <w:rPr>
                <w:rFonts w:cs="Arial"/>
                <w:szCs w:val="21"/>
              </w:rPr>
            </w:pPr>
          </w:p>
        </w:tc>
        <w:tc>
          <w:tcPr>
            <w:tcW w:w="856" w:type="pct"/>
            <w:vMerge/>
            <w:shd w:val="clear" w:color="auto" w:fill="auto"/>
            <w:vAlign w:val="center"/>
          </w:tcPr>
          <w:p>
            <w:pPr>
              <w:rPr>
                <w:rFonts w:cs="Arial"/>
                <w:szCs w:val="21"/>
              </w:rPr>
            </w:pPr>
          </w:p>
        </w:tc>
        <w:sdt>
          <w:sdtPr>
            <w:rPr>
              <w:szCs w:val="21"/>
            </w:rPr>
            <w:tag w:val="_PLD_076e5c9e7ab64e6db098592664f75c64"/>
            <w:id w:val="-1497185424"/>
          </w:sdtPr>
          <w:sdtContent>
            <w:tc>
              <w:tcPr>
                <w:tcW w:w="472" w:type="pct"/>
                <w:shd w:val="clear" w:color="auto" w:fill="auto"/>
                <w:vAlign w:val="center"/>
              </w:tcPr>
              <w:p>
                <w:pPr>
                  <w:jc w:val="center"/>
                  <w:rPr>
                    <w:rFonts w:cs="Arial"/>
                    <w:szCs w:val="21"/>
                  </w:rPr>
                </w:pPr>
                <w:r>
                  <w:rPr>
                    <w:rFonts w:cs="Arial" w:hint="eastAsia"/>
                    <w:szCs w:val="21"/>
                    <w:lang w:val="en-GB"/>
                  </w:rPr>
                  <w:t>直接</w:t>
                </w:r>
              </w:p>
            </w:tc>
          </w:sdtContent>
        </w:sdt>
        <w:sdt>
          <w:sdtPr>
            <w:rPr>
              <w:szCs w:val="21"/>
            </w:rPr>
            <w:tag w:val="_PLD_49b77f1690ee4cc88f829d510135f0bf"/>
            <w:id w:val="-22715895"/>
          </w:sdtPr>
          <w:sdtContent>
            <w:tc>
              <w:tcPr>
                <w:tcW w:w="473" w:type="pct"/>
                <w:shd w:val="clear" w:color="auto" w:fill="auto"/>
                <w:vAlign w:val="center"/>
              </w:tcPr>
              <w:p>
                <w:pPr>
                  <w:jc w:val="center"/>
                  <w:rPr>
                    <w:rFonts w:cs="Arial"/>
                    <w:szCs w:val="21"/>
                  </w:rPr>
                </w:pPr>
                <w:r>
                  <w:rPr>
                    <w:rFonts w:cs="Arial" w:hint="eastAsia"/>
                    <w:szCs w:val="21"/>
                    <w:lang w:val="en-GB"/>
                  </w:rPr>
                  <w:t>间接</w:t>
                </w:r>
              </w:p>
            </w:tc>
          </w:sdtContent>
        </w:sdt>
        <w:tc>
          <w:tcPr>
            <w:tcW w:w="878" w:type="pct"/>
            <w:vMerge/>
            <w:vAlign w:val="center"/>
          </w:tcPr>
          <w:p>
            <w:pPr>
              <w:rPr>
                <w:rFonts w:cs="Arial"/>
                <w:szCs w:val="21"/>
              </w:rPr>
            </w:pPr>
          </w:p>
        </w:tc>
      </w:tr>
      <w:tr>
        <w:tc>
          <w:tcPr>
            <w:tcW w:w="1158" w:type="pct"/>
            <w:vAlign w:val="center"/>
          </w:tcPr>
          <w:p>
            <w:pPr>
              <w:spacing w:line="360" w:lineRule="exact"/>
              <w:rPr>
                <w:szCs w:val="21"/>
              </w:rPr>
            </w:pPr>
            <w:r>
              <w:rPr>
                <w:rFonts w:hint="eastAsia"/>
                <w:szCs w:val="21"/>
              </w:rPr>
              <w:t>中山矿合营企业</w:t>
            </w:r>
          </w:p>
        </w:tc>
        <w:tc>
          <w:tcPr>
            <w:tcW w:w="598" w:type="pct"/>
            <w:vAlign w:val="center"/>
          </w:tcPr>
          <w:p>
            <w:pPr>
              <w:spacing w:line="360" w:lineRule="exact"/>
              <w:jc w:val="center"/>
              <w:rPr>
                <w:szCs w:val="21"/>
              </w:rPr>
            </w:pPr>
            <w:r>
              <w:rPr>
                <w:rFonts w:hint="eastAsia"/>
                <w:szCs w:val="21"/>
              </w:rPr>
              <w:t>澳大利亚</w:t>
            </w:r>
          </w:p>
        </w:tc>
        <w:tc>
          <w:tcPr>
            <w:tcW w:w="564" w:type="pct"/>
            <w:vAlign w:val="center"/>
          </w:tcPr>
          <w:p>
            <w:pPr>
              <w:spacing w:line="360" w:lineRule="exact"/>
              <w:jc w:val="center"/>
              <w:rPr>
                <w:szCs w:val="21"/>
              </w:rPr>
            </w:pPr>
            <w:r>
              <w:rPr>
                <w:rFonts w:hint="eastAsia"/>
                <w:szCs w:val="21"/>
              </w:rPr>
              <w:t>澳大利亚</w:t>
            </w:r>
          </w:p>
        </w:tc>
        <w:tc>
          <w:tcPr>
            <w:tcW w:w="856" w:type="pct"/>
            <w:vAlign w:val="center"/>
          </w:tcPr>
          <w:p>
            <w:pPr>
              <w:spacing w:line="360" w:lineRule="exact"/>
              <w:rPr>
                <w:szCs w:val="21"/>
              </w:rPr>
            </w:pPr>
            <w:r>
              <w:rPr>
                <w:rFonts w:hint="eastAsia"/>
                <w:szCs w:val="21"/>
              </w:rPr>
              <w:t>煤炭采掘及销售</w:t>
            </w:r>
          </w:p>
        </w:tc>
        <w:tc>
          <w:tcPr>
            <w:tcW w:w="472" w:type="pct"/>
            <w:vAlign w:val="center"/>
          </w:tcPr>
          <w:p>
            <w:pPr>
              <w:spacing w:line="360" w:lineRule="exact"/>
              <w:jc w:val="right"/>
              <w:rPr>
                <w:szCs w:val="21"/>
              </w:rPr>
            </w:pPr>
          </w:p>
        </w:tc>
        <w:tc>
          <w:tcPr>
            <w:tcW w:w="473" w:type="pct"/>
            <w:vAlign w:val="center"/>
          </w:tcPr>
          <w:p>
            <w:pPr>
              <w:spacing w:line="360" w:lineRule="exact"/>
              <w:jc w:val="right"/>
              <w:rPr>
                <w:szCs w:val="21"/>
              </w:rPr>
            </w:pPr>
            <w:r>
              <w:rPr>
                <w:rFonts w:hint="eastAsia"/>
                <w:szCs w:val="21"/>
              </w:rPr>
              <w:t>约</w:t>
            </w:r>
            <w:r>
              <w:rPr>
                <w:szCs w:val="21"/>
              </w:rPr>
              <w:t>50</w:t>
            </w:r>
          </w:p>
        </w:tc>
        <w:tc>
          <w:tcPr>
            <w:tcW w:w="878" w:type="pct"/>
            <w:vAlign w:val="center"/>
          </w:tcPr>
          <w:p>
            <w:pPr>
              <w:spacing w:line="360" w:lineRule="exact"/>
              <w:jc w:val="center"/>
              <w:rPr>
                <w:szCs w:val="21"/>
              </w:rPr>
            </w:pPr>
            <w:r>
              <w:rPr>
                <w:rFonts w:hint="eastAsia"/>
                <w:szCs w:val="21"/>
              </w:rPr>
              <w:t>权益法</w:t>
            </w:r>
          </w:p>
        </w:tc>
      </w:tr>
      <w:tr>
        <w:tc>
          <w:tcPr>
            <w:tcW w:w="1158" w:type="pct"/>
            <w:vAlign w:val="center"/>
          </w:tcPr>
          <w:p>
            <w:pPr>
              <w:spacing w:line="360" w:lineRule="exact"/>
              <w:rPr>
                <w:szCs w:val="21"/>
              </w:rPr>
            </w:pPr>
            <w:r>
              <w:rPr>
                <w:rFonts w:hint="eastAsia"/>
                <w:szCs w:val="21"/>
              </w:rPr>
              <w:t>华电邹县发电有限公司</w:t>
            </w:r>
          </w:p>
        </w:tc>
        <w:tc>
          <w:tcPr>
            <w:tcW w:w="598" w:type="pct"/>
            <w:vAlign w:val="center"/>
          </w:tcPr>
          <w:p>
            <w:pPr>
              <w:spacing w:line="360" w:lineRule="exact"/>
              <w:jc w:val="center"/>
              <w:rPr>
                <w:szCs w:val="21"/>
              </w:rPr>
            </w:pPr>
            <w:r>
              <w:rPr>
                <w:rFonts w:hint="eastAsia"/>
                <w:szCs w:val="21"/>
              </w:rPr>
              <w:t>山东</w:t>
            </w:r>
          </w:p>
        </w:tc>
        <w:tc>
          <w:tcPr>
            <w:tcW w:w="564" w:type="pct"/>
            <w:vAlign w:val="center"/>
          </w:tcPr>
          <w:p>
            <w:pPr>
              <w:spacing w:line="360" w:lineRule="exact"/>
              <w:jc w:val="center"/>
              <w:rPr>
                <w:szCs w:val="21"/>
              </w:rPr>
            </w:pPr>
            <w:r>
              <w:rPr>
                <w:rFonts w:hint="eastAsia"/>
                <w:szCs w:val="21"/>
              </w:rPr>
              <w:t>山东</w:t>
            </w:r>
          </w:p>
        </w:tc>
        <w:tc>
          <w:tcPr>
            <w:tcW w:w="856" w:type="pct"/>
            <w:vAlign w:val="center"/>
          </w:tcPr>
          <w:p>
            <w:pPr>
              <w:spacing w:line="360" w:lineRule="exact"/>
              <w:rPr>
                <w:szCs w:val="21"/>
              </w:rPr>
            </w:pPr>
            <w:r>
              <w:rPr>
                <w:rFonts w:hint="eastAsia"/>
                <w:szCs w:val="21"/>
              </w:rPr>
              <w:t>火力发电及发电余热综合利用</w:t>
            </w:r>
          </w:p>
        </w:tc>
        <w:tc>
          <w:tcPr>
            <w:tcW w:w="472" w:type="pct"/>
            <w:vAlign w:val="center"/>
          </w:tcPr>
          <w:p>
            <w:pPr>
              <w:spacing w:line="360" w:lineRule="exact"/>
              <w:jc w:val="right"/>
              <w:rPr>
                <w:szCs w:val="21"/>
              </w:rPr>
            </w:pPr>
            <w:r>
              <w:rPr>
                <w:szCs w:val="21"/>
              </w:rPr>
              <w:t>30</w:t>
            </w:r>
          </w:p>
        </w:tc>
        <w:tc>
          <w:tcPr>
            <w:tcW w:w="473" w:type="pct"/>
            <w:vAlign w:val="center"/>
          </w:tcPr>
          <w:p>
            <w:pPr>
              <w:spacing w:line="360" w:lineRule="exact"/>
              <w:jc w:val="right"/>
              <w:rPr>
                <w:szCs w:val="21"/>
              </w:rPr>
            </w:pPr>
          </w:p>
        </w:tc>
        <w:tc>
          <w:tcPr>
            <w:tcW w:w="878" w:type="pct"/>
            <w:vAlign w:val="center"/>
          </w:tcPr>
          <w:p>
            <w:pPr>
              <w:spacing w:line="360" w:lineRule="exact"/>
              <w:jc w:val="center"/>
              <w:rPr>
                <w:szCs w:val="21"/>
              </w:rPr>
            </w:pPr>
            <w:r>
              <w:rPr>
                <w:rFonts w:hint="eastAsia"/>
                <w:szCs w:val="21"/>
              </w:rPr>
              <w:t>权益法</w:t>
            </w:r>
          </w:p>
        </w:tc>
      </w:tr>
      <w:tr>
        <w:tc>
          <w:tcPr>
            <w:tcW w:w="1158" w:type="pct"/>
            <w:vAlign w:val="center"/>
          </w:tcPr>
          <w:p>
            <w:pPr>
              <w:spacing w:line="360" w:lineRule="exact"/>
              <w:rPr>
                <w:szCs w:val="21"/>
              </w:rPr>
            </w:pPr>
            <w:r>
              <w:rPr>
                <w:rFonts w:hint="eastAsia"/>
                <w:szCs w:val="21"/>
              </w:rPr>
              <w:t>内蒙古伊泰呼准铁路有限公司</w:t>
            </w:r>
          </w:p>
        </w:tc>
        <w:tc>
          <w:tcPr>
            <w:tcW w:w="598" w:type="pct"/>
            <w:vAlign w:val="center"/>
          </w:tcPr>
          <w:p>
            <w:pPr>
              <w:spacing w:line="360" w:lineRule="exact"/>
              <w:jc w:val="center"/>
              <w:rPr>
                <w:szCs w:val="21"/>
              </w:rPr>
            </w:pPr>
            <w:r>
              <w:rPr>
                <w:rFonts w:hint="eastAsia"/>
                <w:szCs w:val="21"/>
              </w:rPr>
              <w:t>内蒙古</w:t>
            </w:r>
          </w:p>
        </w:tc>
        <w:tc>
          <w:tcPr>
            <w:tcW w:w="564" w:type="pct"/>
            <w:vAlign w:val="center"/>
          </w:tcPr>
          <w:p>
            <w:pPr>
              <w:spacing w:line="360" w:lineRule="exact"/>
              <w:jc w:val="center"/>
              <w:rPr>
                <w:szCs w:val="21"/>
              </w:rPr>
            </w:pPr>
            <w:r>
              <w:rPr>
                <w:rFonts w:hint="eastAsia"/>
                <w:szCs w:val="21"/>
              </w:rPr>
              <w:t>内蒙古</w:t>
            </w:r>
          </w:p>
        </w:tc>
        <w:tc>
          <w:tcPr>
            <w:tcW w:w="856" w:type="pct"/>
            <w:vAlign w:val="center"/>
          </w:tcPr>
          <w:p>
            <w:pPr>
              <w:spacing w:line="360" w:lineRule="exact"/>
              <w:rPr>
                <w:szCs w:val="21"/>
              </w:rPr>
            </w:pPr>
            <w:r>
              <w:rPr>
                <w:rFonts w:hint="eastAsia"/>
                <w:szCs w:val="21"/>
              </w:rPr>
              <w:t>铁路建设及客货运输</w:t>
            </w:r>
          </w:p>
        </w:tc>
        <w:tc>
          <w:tcPr>
            <w:tcW w:w="472" w:type="pct"/>
            <w:vAlign w:val="center"/>
          </w:tcPr>
          <w:p>
            <w:pPr>
              <w:spacing w:line="360" w:lineRule="exact"/>
              <w:jc w:val="right"/>
              <w:rPr>
                <w:szCs w:val="21"/>
              </w:rPr>
            </w:pPr>
          </w:p>
        </w:tc>
        <w:tc>
          <w:tcPr>
            <w:tcW w:w="473" w:type="pct"/>
            <w:vAlign w:val="center"/>
          </w:tcPr>
          <w:p>
            <w:pPr>
              <w:spacing w:line="360" w:lineRule="exact"/>
              <w:jc w:val="right"/>
              <w:rPr>
                <w:szCs w:val="21"/>
              </w:rPr>
            </w:pPr>
            <w:r>
              <w:rPr>
                <w:szCs w:val="21"/>
              </w:rPr>
              <w:t>18.94</w:t>
            </w:r>
          </w:p>
        </w:tc>
        <w:tc>
          <w:tcPr>
            <w:tcW w:w="878" w:type="pct"/>
            <w:vAlign w:val="center"/>
          </w:tcPr>
          <w:p>
            <w:pPr>
              <w:spacing w:line="360" w:lineRule="exact"/>
              <w:jc w:val="center"/>
              <w:rPr>
                <w:szCs w:val="21"/>
              </w:rPr>
            </w:pPr>
            <w:r>
              <w:rPr>
                <w:rFonts w:hint="eastAsia"/>
                <w:szCs w:val="21"/>
              </w:rPr>
              <w:t>权益法</w:t>
            </w:r>
          </w:p>
        </w:tc>
      </w:tr>
      <w:tr>
        <w:tc>
          <w:tcPr>
            <w:tcW w:w="1158" w:type="pct"/>
            <w:vAlign w:val="center"/>
          </w:tcPr>
          <w:p>
            <w:pPr>
              <w:spacing w:line="360" w:lineRule="exact"/>
              <w:rPr>
                <w:szCs w:val="21"/>
              </w:rPr>
            </w:pPr>
            <w:r>
              <w:rPr>
                <w:rFonts w:hint="eastAsia"/>
                <w:szCs w:val="21"/>
              </w:rPr>
              <w:t>临商银行股份有限公司</w:t>
            </w:r>
          </w:p>
        </w:tc>
        <w:tc>
          <w:tcPr>
            <w:tcW w:w="598" w:type="pct"/>
            <w:vAlign w:val="center"/>
          </w:tcPr>
          <w:p>
            <w:pPr>
              <w:spacing w:line="360" w:lineRule="exact"/>
              <w:jc w:val="center"/>
              <w:rPr>
                <w:szCs w:val="21"/>
              </w:rPr>
            </w:pPr>
            <w:r>
              <w:rPr>
                <w:rFonts w:hint="eastAsia"/>
                <w:szCs w:val="21"/>
              </w:rPr>
              <w:t>山东</w:t>
            </w:r>
          </w:p>
        </w:tc>
        <w:tc>
          <w:tcPr>
            <w:tcW w:w="564" w:type="pct"/>
            <w:vAlign w:val="center"/>
          </w:tcPr>
          <w:p>
            <w:pPr>
              <w:spacing w:line="360" w:lineRule="exact"/>
              <w:jc w:val="center"/>
              <w:rPr>
                <w:szCs w:val="21"/>
              </w:rPr>
            </w:pPr>
            <w:r>
              <w:rPr>
                <w:rFonts w:hint="eastAsia"/>
                <w:szCs w:val="21"/>
              </w:rPr>
              <w:t>山东</w:t>
            </w:r>
          </w:p>
        </w:tc>
        <w:tc>
          <w:tcPr>
            <w:tcW w:w="856" w:type="pct"/>
            <w:vAlign w:val="center"/>
          </w:tcPr>
          <w:p>
            <w:pPr>
              <w:spacing w:line="360" w:lineRule="exact"/>
              <w:rPr>
                <w:szCs w:val="21"/>
              </w:rPr>
            </w:pPr>
            <w:r>
              <w:rPr>
                <w:rFonts w:hint="eastAsia"/>
                <w:szCs w:val="21"/>
              </w:rPr>
              <w:t>金融服务</w:t>
            </w:r>
          </w:p>
        </w:tc>
        <w:tc>
          <w:tcPr>
            <w:tcW w:w="472" w:type="pct"/>
            <w:vAlign w:val="center"/>
          </w:tcPr>
          <w:p>
            <w:pPr>
              <w:spacing w:line="360" w:lineRule="exact"/>
              <w:jc w:val="right"/>
              <w:rPr>
                <w:szCs w:val="21"/>
              </w:rPr>
            </w:pPr>
            <w:r>
              <w:rPr>
                <w:szCs w:val="21"/>
              </w:rPr>
              <w:t>17</w:t>
            </w:r>
          </w:p>
        </w:tc>
        <w:tc>
          <w:tcPr>
            <w:tcW w:w="473" w:type="pct"/>
            <w:vAlign w:val="center"/>
          </w:tcPr>
          <w:p>
            <w:pPr>
              <w:spacing w:line="360" w:lineRule="exact"/>
              <w:jc w:val="right"/>
              <w:rPr>
                <w:szCs w:val="21"/>
              </w:rPr>
            </w:pPr>
          </w:p>
        </w:tc>
        <w:tc>
          <w:tcPr>
            <w:tcW w:w="878" w:type="pct"/>
            <w:vAlign w:val="center"/>
          </w:tcPr>
          <w:p>
            <w:pPr>
              <w:spacing w:line="360" w:lineRule="exact"/>
              <w:jc w:val="center"/>
              <w:rPr>
                <w:szCs w:val="21"/>
              </w:rPr>
            </w:pPr>
            <w:r>
              <w:rPr>
                <w:rFonts w:hint="eastAsia"/>
                <w:szCs w:val="21"/>
              </w:rPr>
              <w:t>权益法</w:t>
            </w:r>
          </w:p>
        </w:tc>
      </w:tr>
      <w:tr>
        <w:tc>
          <w:tcPr>
            <w:tcW w:w="1158" w:type="pct"/>
            <w:vAlign w:val="center"/>
          </w:tcPr>
          <w:p>
            <w:pPr>
              <w:spacing w:line="360" w:lineRule="exact"/>
              <w:rPr>
                <w:szCs w:val="21"/>
              </w:rPr>
            </w:pPr>
            <w:r>
              <w:rPr>
                <w:rFonts w:hint="eastAsia"/>
                <w:szCs w:val="21"/>
              </w:rPr>
              <w:t>内蒙古锦联铝材有限公司</w:t>
            </w:r>
          </w:p>
        </w:tc>
        <w:tc>
          <w:tcPr>
            <w:tcW w:w="598" w:type="pct"/>
            <w:vAlign w:val="center"/>
          </w:tcPr>
          <w:p>
            <w:pPr>
              <w:spacing w:line="360" w:lineRule="exact"/>
              <w:jc w:val="center"/>
              <w:rPr>
                <w:szCs w:val="21"/>
              </w:rPr>
            </w:pPr>
            <w:r>
              <w:rPr>
                <w:rFonts w:hint="eastAsia"/>
                <w:szCs w:val="21"/>
              </w:rPr>
              <w:t>内蒙古</w:t>
            </w:r>
          </w:p>
        </w:tc>
        <w:tc>
          <w:tcPr>
            <w:tcW w:w="564" w:type="pct"/>
            <w:vAlign w:val="center"/>
          </w:tcPr>
          <w:p>
            <w:pPr>
              <w:spacing w:line="360" w:lineRule="exact"/>
              <w:jc w:val="center"/>
              <w:rPr>
                <w:szCs w:val="21"/>
              </w:rPr>
            </w:pPr>
            <w:r>
              <w:rPr>
                <w:rFonts w:hint="eastAsia"/>
                <w:szCs w:val="21"/>
              </w:rPr>
              <w:t>内蒙古</w:t>
            </w:r>
          </w:p>
        </w:tc>
        <w:tc>
          <w:tcPr>
            <w:tcW w:w="856" w:type="pct"/>
            <w:vAlign w:val="center"/>
          </w:tcPr>
          <w:p>
            <w:pPr>
              <w:spacing w:line="360" w:lineRule="exact"/>
              <w:rPr>
                <w:szCs w:val="21"/>
              </w:rPr>
            </w:pPr>
            <w:r>
              <w:rPr>
                <w:rFonts w:hint="eastAsia"/>
                <w:szCs w:val="21"/>
              </w:rPr>
              <w:t>铝后加工；铝锭、铝制品及衍生产品的生产销售</w:t>
            </w:r>
          </w:p>
        </w:tc>
        <w:tc>
          <w:tcPr>
            <w:tcW w:w="472" w:type="pct"/>
            <w:vAlign w:val="center"/>
          </w:tcPr>
          <w:p>
            <w:pPr>
              <w:spacing w:line="360" w:lineRule="exact"/>
              <w:jc w:val="right"/>
              <w:rPr>
                <w:szCs w:val="21"/>
              </w:rPr>
            </w:pPr>
          </w:p>
        </w:tc>
        <w:tc>
          <w:tcPr>
            <w:tcW w:w="473" w:type="pct"/>
            <w:vAlign w:val="center"/>
          </w:tcPr>
          <w:p>
            <w:pPr>
              <w:spacing w:line="360" w:lineRule="exact"/>
              <w:jc w:val="right"/>
              <w:rPr>
                <w:szCs w:val="21"/>
              </w:rPr>
            </w:pPr>
            <w:r>
              <w:rPr>
                <w:szCs w:val="21"/>
              </w:rPr>
              <w:t>44.24</w:t>
            </w:r>
          </w:p>
        </w:tc>
        <w:tc>
          <w:tcPr>
            <w:tcW w:w="878" w:type="pct"/>
            <w:vAlign w:val="center"/>
          </w:tcPr>
          <w:p>
            <w:pPr>
              <w:spacing w:line="360" w:lineRule="exact"/>
              <w:jc w:val="center"/>
              <w:rPr>
                <w:szCs w:val="21"/>
              </w:rPr>
            </w:pPr>
            <w:r>
              <w:rPr>
                <w:rFonts w:hint="eastAsia"/>
                <w:szCs w:val="21"/>
              </w:rPr>
              <w:t>权益法</w:t>
            </w:r>
          </w:p>
        </w:tc>
      </w:tr>
      <w:tr>
        <w:tc>
          <w:tcPr>
            <w:tcW w:w="1158" w:type="pct"/>
            <w:vAlign w:val="center"/>
          </w:tcPr>
          <w:p>
            <w:pPr>
              <w:spacing w:line="360" w:lineRule="exact"/>
              <w:rPr>
                <w:szCs w:val="21"/>
              </w:rPr>
            </w:pPr>
            <w:r>
              <w:rPr>
                <w:rFonts w:hint="eastAsia"/>
                <w:szCs w:val="21"/>
              </w:rPr>
              <w:t>伊犁新天煤化工有限责任公司</w:t>
            </w:r>
          </w:p>
        </w:tc>
        <w:tc>
          <w:tcPr>
            <w:tcW w:w="598" w:type="pct"/>
            <w:vAlign w:val="center"/>
          </w:tcPr>
          <w:p>
            <w:pPr>
              <w:spacing w:line="360" w:lineRule="exact"/>
              <w:jc w:val="center"/>
              <w:rPr>
                <w:szCs w:val="21"/>
              </w:rPr>
            </w:pPr>
            <w:r>
              <w:rPr>
                <w:rFonts w:hint="eastAsia"/>
                <w:szCs w:val="21"/>
              </w:rPr>
              <w:t>新疆</w:t>
            </w:r>
          </w:p>
        </w:tc>
        <w:tc>
          <w:tcPr>
            <w:tcW w:w="564" w:type="pct"/>
            <w:vAlign w:val="center"/>
          </w:tcPr>
          <w:p>
            <w:pPr>
              <w:spacing w:line="360" w:lineRule="exact"/>
              <w:jc w:val="center"/>
              <w:rPr>
                <w:szCs w:val="21"/>
              </w:rPr>
            </w:pPr>
            <w:r>
              <w:rPr>
                <w:rFonts w:hint="eastAsia"/>
                <w:szCs w:val="21"/>
              </w:rPr>
              <w:t>新疆</w:t>
            </w:r>
          </w:p>
        </w:tc>
        <w:tc>
          <w:tcPr>
            <w:tcW w:w="856" w:type="pct"/>
            <w:vAlign w:val="center"/>
          </w:tcPr>
          <w:p>
            <w:pPr>
              <w:spacing w:line="360" w:lineRule="exact"/>
              <w:rPr>
                <w:szCs w:val="21"/>
              </w:rPr>
            </w:pPr>
            <w:r>
              <w:rPr>
                <w:rFonts w:hint="eastAsia"/>
                <w:szCs w:val="21"/>
              </w:rPr>
              <w:t>煤制合成天然气等产品的生产与销售</w:t>
            </w:r>
          </w:p>
        </w:tc>
        <w:tc>
          <w:tcPr>
            <w:tcW w:w="472" w:type="pct"/>
            <w:vAlign w:val="center"/>
          </w:tcPr>
          <w:p>
            <w:pPr>
              <w:spacing w:line="360" w:lineRule="exact"/>
              <w:jc w:val="right"/>
              <w:rPr>
                <w:szCs w:val="21"/>
              </w:rPr>
            </w:pPr>
          </w:p>
        </w:tc>
        <w:tc>
          <w:tcPr>
            <w:tcW w:w="473" w:type="pct"/>
            <w:vAlign w:val="center"/>
          </w:tcPr>
          <w:p>
            <w:pPr>
              <w:spacing w:line="360" w:lineRule="exact"/>
              <w:jc w:val="right"/>
              <w:rPr>
                <w:szCs w:val="21"/>
              </w:rPr>
            </w:pPr>
            <w:r>
              <w:rPr>
                <w:szCs w:val="21"/>
              </w:rPr>
              <w:t>45</w:t>
            </w:r>
          </w:p>
        </w:tc>
        <w:tc>
          <w:tcPr>
            <w:tcW w:w="878" w:type="pct"/>
            <w:vAlign w:val="center"/>
          </w:tcPr>
          <w:p>
            <w:pPr>
              <w:spacing w:line="360" w:lineRule="exact"/>
              <w:jc w:val="center"/>
              <w:rPr>
                <w:szCs w:val="21"/>
              </w:rPr>
            </w:pPr>
            <w:r>
              <w:rPr>
                <w:rFonts w:hint="eastAsia"/>
                <w:szCs w:val="21"/>
              </w:rPr>
              <w:t>权益法</w:t>
            </w:r>
          </w:p>
        </w:tc>
      </w:tr>
    </w:tbl>
    <w:p>
      <w:pPr>
        <w:rPr>
          <w:rFonts w:cs="Arial"/>
          <w:szCs w:val="21"/>
        </w:rPr>
      </w:pPr>
      <w:r>
        <w:rPr>
          <w:rFonts w:cs="Arial" w:hint="eastAsia"/>
          <w:szCs w:val="21"/>
        </w:rPr>
        <w:t>在合营企业或联营企业的持股比例不同于表决权比例的说明：</w:t>
      </w:r>
    </w:p>
    <w:p>
      <w:pPr>
        <w:rPr>
          <w:rFonts w:cs="Arial"/>
          <w:szCs w:val="21"/>
        </w:rPr>
      </w:pPr>
      <w:sdt>
        <w:sdtPr>
          <w:rPr>
            <w:rFonts w:cs="Arial"/>
            <w:szCs w:val="21"/>
          </w:rPr>
          <w:alias w:val="在合营企业或联营企业的持股比例不同于表决权比例的说明"/>
          <w:tag w:val="_GBC_b18385c11aff4424b360bd0cb4f81376"/>
          <w:id w:val="1377197754"/>
        </w:sdtPr>
        <w:sdtContent>
          <w:r>
            <w:rPr>
              <w:rFonts w:cs="Arial"/>
              <w:szCs w:val="21"/>
            </w:rPr>
            <w:t>-</w:t>
          </w:r>
        </w:sdtContent>
      </w:sdt>
    </w:p>
    <w:p>
      <w:pPr>
        <w:rPr>
          <w:rFonts w:cs="Arial"/>
          <w:szCs w:val="21"/>
        </w:rPr>
      </w:pPr>
    </w:p>
    <w:p>
      <w:pPr>
        <w:rPr>
          <w:rFonts w:cs="Arial"/>
          <w:szCs w:val="21"/>
        </w:rPr>
      </w:pPr>
      <w:r>
        <w:rPr>
          <w:rFonts w:cs="Arial" w:hint="eastAsia"/>
          <w:szCs w:val="21"/>
        </w:rPr>
        <w:t>持有</w:t>
      </w:r>
      <w:r>
        <w:rPr>
          <w:rFonts w:cs="Arial"/>
          <w:szCs w:val="21"/>
        </w:rPr>
        <w:t>20%以下表决权但具有重大影响，或者持有20%或以上表决权但不具有重大影响的依据：</w:t>
      </w:r>
    </w:p>
    <w:p>
      <w:pPr>
        <w:rPr>
          <w:rFonts w:cs="Arial"/>
          <w:szCs w:val="21"/>
        </w:rPr>
      </w:pPr>
      <w:sdt>
        <w:sdtPr>
          <w:rPr>
            <w:rFonts w:cs="Arial"/>
            <w:szCs w:val="21"/>
          </w:rPr>
          <w:alias w:val="持有20%以下表决权但具有重大影响，或者持有20%或以上表决权但不具有重大影响的依据"/>
          <w:tag w:val="_GBC_08a71a8c491f4c758da0748f7570fb28"/>
          <w:id w:val="1862317550"/>
        </w:sdtPr>
        <w:sdtContent>
          <w:r>
            <w:rPr>
              <w:rFonts w:cs="Arial"/>
              <w:szCs w:val="21"/>
            </w:rPr>
            <w:t>-</w:t>
          </w:r>
        </w:sdtContent>
      </w:sdt>
    </w:p>
    <w:p>
      <w:pPr>
        <w:rPr>
          <w:szCs w:val="21"/>
        </w:rPr>
      </w:pPr>
    </w:p>
    <w:p>
      <w:pPr>
        <w:pStyle w:val="afffffffffffffffffffffffffffffffff1"/>
        <w:numPr>
          <w:ilvl w:val="3"/>
          <w:numId w:val="186"/>
        </w:numPr>
        <w:ind w:left="424" w:hangingChars="201" w:hanging="424"/>
      </w:pPr>
      <w:r>
        <w:rPr>
          <w:rFonts w:hint="eastAsia"/>
        </w:rPr>
        <w:t>重要合营企业的主要财务信息</w:t>
      </w:r>
    </w:p>
    <w:sdt>
      <w:sdtPr>
        <w:rPr>
          <w:rFonts w:hint="eastAsia"/>
        </w:rPr>
        <w:alias w:val="是否适用：重要合营企业的主要财务信息[双击切换]"/>
        <w:tag w:val="_GBC_8218a872fcd045d290940ccf3b3bdfa5"/>
        <w:id w:val="-856964322"/>
      </w:sdtPr>
      <w:sdtContent>
        <w:p>
          <w:pPr>
            <w:pStyle w:val="affffffffffffffffff3"/>
          </w:pPr>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重要合营企业的主要财务信息"/>
          <w:tag w:val="_GBC_c3e62c0d62494c0bb865a164a263a4c4"/>
          <w:id w:val="-1424791034"/>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重要合营企业的主要财务信息"/>
          <w:tag w:val="_GBC_dbf325e8ec10449ba127b878292f7bb1"/>
          <w:id w:val="-1167944158"/>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760"/>
        <w:gridCol w:w="2426"/>
        <w:gridCol w:w="2380"/>
      </w:tblGrid>
      <w:tr>
        <w:trPr>
          <w:trHeight w:val="120"/>
        </w:trPr>
        <w:tc>
          <w:tcPr>
            <w:tcW w:w="219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pPr>
              <w:jc w:val="center"/>
              <w:rPr>
                <w:rFonts w:cs="Arial"/>
                <w:szCs w:val="21"/>
              </w:rPr>
            </w:pPr>
            <w:r>
              <w:rPr>
                <w:rFonts w:cs="Arial" w:hint="eastAsia"/>
                <w:szCs w:val="21"/>
              </w:rPr>
              <w:t>项目</w:t>
            </w:r>
          </w:p>
        </w:tc>
        <w:tc>
          <w:tcPr>
            <w:tcW w:w="1416" w:type="pct"/>
            <w:tcBorders>
              <w:top w:val="single" w:sz="4" w:space="0" w:color="auto"/>
              <w:left w:val="single" w:sz="6" w:space="0" w:color="auto"/>
              <w:bottom w:val="single" w:sz="6" w:space="0" w:color="auto"/>
              <w:right w:val="single" w:sz="6" w:space="0" w:color="auto"/>
            </w:tcBorders>
            <w:shd w:val="clear" w:color="auto" w:fill="auto"/>
            <w:vAlign w:val="center"/>
          </w:tcPr>
          <w:sdt>
            <w:sdtPr>
              <w:rPr>
                <w:szCs w:val="21"/>
              </w:rPr>
              <w:tag w:val="_PLD_76a2785402e4473fa8d78414b853974b"/>
              <w:id w:val="-191463081"/>
            </w:sdtPr>
            <w:sdtContent>
              <w:p>
                <w:pPr>
                  <w:jc w:val="center"/>
                  <w:rPr>
                    <w:rFonts w:cs="Arial"/>
                    <w:szCs w:val="21"/>
                    <w:lang w:val="en-GB"/>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1389" w:type="pct"/>
            <w:tcBorders>
              <w:top w:val="single" w:sz="4" w:space="0" w:color="auto"/>
              <w:left w:val="single" w:sz="6" w:space="0" w:color="auto"/>
              <w:bottom w:val="single" w:sz="6" w:space="0" w:color="auto"/>
              <w:right w:val="single" w:sz="6" w:space="0" w:color="auto"/>
            </w:tcBorders>
            <w:shd w:val="clear" w:color="auto" w:fill="auto"/>
            <w:vAlign w:val="center"/>
          </w:tcPr>
          <w:sdt>
            <w:sdtPr>
              <w:rPr>
                <w:szCs w:val="21"/>
              </w:rPr>
              <w:tag w:val="_PLD_1e01bab448ec49c797c7281133f63f1e"/>
              <w:id w:val="1020118111"/>
            </w:sdtPr>
            <w:sdtContent>
              <w:p>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trPr>
          <w:trHeight w:val="120"/>
        </w:trPr>
        <w:tc>
          <w:tcPr>
            <w:tcW w:w="2195" w:type="pct"/>
            <w:vMerge/>
            <w:tcBorders>
              <w:top w:val="single" w:sz="4" w:space="0" w:color="auto"/>
              <w:left w:val="single" w:sz="4" w:space="0" w:color="auto"/>
              <w:bottom w:val="single" w:sz="6" w:space="0" w:color="auto"/>
              <w:right w:val="single" w:sz="6" w:space="0" w:color="auto"/>
            </w:tcBorders>
            <w:shd w:val="clear" w:color="auto" w:fill="auto"/>
            <w:vAlign w:val="center"/>
          </w:tcPr>
          <w:p>
            <w:pPr>
              <w:rPr>
                <w:rFonts w:cs="Arial"/>
                <w:szCs w:val="21"/>
              </w:rPr>
            </w:pPr>
          </w:p>
        </w:tc>
        <w:sdt>
          <w:sdtPr>
            <w:rPr>
              <w:szCs w:val="21"/>
            </w:rPr>
            <w:alias w:val="重要合营企业的主要财务信息明细-企业名称"/>
            <w:tag w:val="_GBC_d9a0ee9c16f4461bb0893d7696aafe61"/>
            <w:id w:val="-851341106"/>
          </w:sdtPr>
          <w:sdtContent>
            <w:tc>
              <w:tcPr>
                <w:tcW w:w="1416" w:type="pct"/>
                <w:tcBorders>
                  <w:top w:val="single" w:sz="6" w:space="0" w:color="auto"/>
                  <w:left w:val="single" w:sz="6" w:space="0" w:color="auto"/>
                  <w:bottom w:val="single" w:sz="4" w:space="0" w:color="auto"/>
                  <w:right w:val="single" w:sz="6" w:space="0" w:color="auto"/>
                </w:tcBorders>
                <w:vAlign w:val="center"/>
              </w:tcPr>
              <w:p>
                <w:pPr>
                  <w:jc w:val="center"/>
                  <w:rPr>
                    <w:szCs w:val="21"/>
                  </w:rPr>
                </w:pPr>
                <w:r>
                  <w:rPr>
                    <w:rFonts w:hint="eastAsia"/>
                    <w:szCs w:val="21"/>
                  </w:rPr>
                  <w:t>中山矿合营企业</w:t>
                </w:r>
              </w:p>
            </w:tc>
          </w:sdtContent>
        </w:sdt>
        <w:sdt>
          <w:sdtPr>
            <w:rPr>
              <w:szCs w:val="21"/>
            </w:rPr>
            <w:alias w:val="重要合营企业的主要财务信息明细-企业名称"/>
            <w:tag w:val="_GBC_f0a327068ce741c6ba092282ff5bc80d"/>
            <w:id w:val="-1599947680"/>
          </w:sdtPr>
          <w:sdtContent>
            <w:tc>
              <w:tcPr>
                <w:tcW w:w="1389" w:type="pct"/>
                <w:tcBorders>
                  <w:top w:val="single" w:sz="6" w:space="0" w:color="auto"/>
                  <w:left w:val="single" w:sz="6" w:space="0" w:color="auto"/>
                  <w:bottom w:val="single" w:sz="6" w:space="0" w:color="auto"/>
                  <w:right w:val="single" w:sz="6" w:space="0" w:color="auto"/>
                </w:tcBorders>
                <w:vAlign w:val="center"/>
              </w:tcPr>
              <w:p>
                <w:pPr>
                  <w:jc w:val="center"/>
                  <w:rPr>
                    <w:szCs w:val="21"/>
                  </w:rPr>
                </w:pPr>
                <w:r>
                  <w:rPr>
                    <w:rFonts w:hint="eastAsia"/>
                    <w:szCs w:val="21"/>
                  </w:rPr>
                  <w:t>中山矿合营企业</w:t>
                </w:r>
              </w:p>
            </w:tc>
          </w:sdtContent>
        </w:sdt>
      </w:tr>
      <w:tr>
        <w:sdt>
          <w:sdtPr>
            <w:rPr>
              <w:szCs w:val="21"/>
            </w:rPr>
            <w:tag w:val="_PLD_32642a66f61640e9b98a322cdac66bed"/>
            <w:id w:val="287714107"/>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流动资产</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912,081</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683,506</w:t>
            </w:r>
          </w:p>
        </w:tc>
      </w:tr>
      <w:tr>
        <w:sdt>
          <w:sdtPr>
            <w:rPr>
              <w:szCs w:val="21"/>
            </w:rPr>
            <w:tag w:val="_PLD_e63877a5d336428caf264d43288ba7fb"/>
            <w:id w:val="-649755473"/>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ind w:firstLineChars="200" w:firstLine="420"/>
                  <w:rPr>
                    <w:szCs w:val="21"/>
                  </w:rPr>
                </w:pPr>
                <w:r>
                  <w:rPr>
                    <w:rFonts w:hint="eastAsia"/>
                    <w:szCs w:val="21"/>
                  </w:rPr>
                  <w:t>其中：现金和现金等价物</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361,073</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167,786</w:t>
            </w:r>
          </w:p>
        </w:tc>
      </w:tr>
      <w:tr>
        <w:sdt>
          <w:sdtPr>
            <w:rPr>
              <w:szCs w:val="21"/>
            </w:rPr>
            <w:tag w:val="_PLD_e944fd5a6ce24f8c97c3a42f023c0f39"/>
            <w:id w:val="2042005474"/>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非流动资产</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4,306,861</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4,025,180</w:t>
            </w:r>
          </w:p>
        </w:tc>
      </w:tr>
      <w:tr>
        <w:sdt>
          <w:sdtPr>
            <w:rPr>
              <w:szCs w:val="21"/>
            </w:rPr>
            <w:tag w:val="_PLD_4fa01e89b5f1456483db2aa319b80672"/>
            <w:id w:val="1081105350"/>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资产合计</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5,218,942</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4,708,686</w:t>
            </w:r>
          </w:p>
        </w:tc>
      </w:tr>
      <w:tr>
        <w:sdt>
          <w:sdtPr>
            <w:rPr>
              <w:szCs w:val="21"/>
            </w:rPr>
            <w:tag w:val="_PLD_084457170184433b9a5f5609339839cb"/>
            <w:id w:val="169458716"/>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流动负债</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2,119,181</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1,086,345</w:t>
            </w:r>
          </w:p>
        </w:tc>
      </w:tr>
      <w:tr>
        <w:sdt>
          <w:sdtPr>
            <w:rPr>
              <w:szCs w:val="21"/>
            </w:rPr>
            <w:tag w:val="_PLD_6e8295b11dc049c39a385eb77ba9b095"/>
            <w:id w:val="-721907428"/>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非流动负债</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691,071</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1,184,806</w:t>
            </w:r>
          </w:p>
        </w:tc>
      </w:tr>
      <w:tr>
        <w:sdt>
          <w:sdtPr>
            <w:rPr>
              <w:szCs w:val="21"/>
            </w:rPr>
            <w:tag w:val="_PLD_5aca42c3646d4c479489b0fa0a3f4262"/>
            <w:id w:val="1080405392"/>
          </w:sdtPr>
          <w:sdtContent>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rPr>
                    <w:rFonts w:cs="Arial"/>
                    <w:color w:val="000000"/>
                    <w:szCs w:val="21"/>
                  </w:rPr>
                </w:pPr>
                <w:r>
                  <w:rPr>
                    <w:rFonts w:cs="Arial" w:hint="eastAsia"/>
                    <w:color w:val="000000"/>
                    <w:szCs w:val="21"/>
                    <w:lang w:val="en-GB"/>
                  </w:rPr>
                  <w:t>负债合计</w:t>
                </w:r>
              </w:p>
            </w:tc>
          </w:sdtContent>
        </w:sdt>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2,810,252</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2,271,151</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归属于母公司股东权益</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2,408,690</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2,437,535</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按持股比例计算的净资产份额</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1,204,338</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1,218,760</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对合营企业权益投资的账面价值</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1,205,004</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1,219,482</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营业收入</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3,245,776</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3,165,312</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财务费用</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-857</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-42,558</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所得税费用</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-79,968</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-2,478,245</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净利润</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146,352</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124,267</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综合收益总额</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146,352</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124,267</w:t>
            </w:r>
          </w:p>
        </w:tc>
      </w:tr>
      <w:tr>
        <w:tc>
          <w:tcPr>
            <w:tcW w:w="2195" w:type="pct"/>
            <w:tcBorders>
              <w:top w:val="single" w:sz="6" w:space="0" w:color="auto"/>
              <w:left w:val="single" w:sz="4" w:space="0" w:color="auto"/>
              <w:bottom w:val="single" w:sz="6" w:space="0" w:color="auto"/>
              <w:right w:val="single" w:sz="6" w:space="0" w:color="auto"/>
            </w:tcBorders>
            <w:shd w:val="clear" w:color="auto" w:fill="auto"/>
            <w:vAlign w:val="center"/>
          </w:tcPr>
          <w:p>
            <w:pPr>
              <w:spacing w:line="360" w:lineRule="exact"/>
              <w:rPr>
                <w:szCs w:val="21"/>
              </w:rPr>
            </w:pPr>
            <w:r>
              <w:rPr>
                <w:rFonts w:hint="eastAsia"/>
                <w:szCs w:val="21"/>
              </w:rPr>
              <w:t>本年度收到的来自合营企业的股利</w:t>
            </w:r>
          </w:p>
        </w:tc>
        <w:tc>
          <w:tcPr>
            <w:tcW w:w="1416" w:type="pct"/>
            <w:tcBorders>
              <w:top w:val="single" w:sz="6" w:space="0" w:color="auto"/>
              <w:left w:val="single" w:sz="6" w:space="0" w:color="auto"/>
              <w:bottom w:val="single" w:sz="4" w:space="0" w:color="auto"/>
              <w:right w:val="single" w:sz="6" w:space="0" w:color="auto"/>
            </w:tcBorders>
            <w:vAlign w:val="center"/>
          </w:tcPr>
          <w:p>
            <w:pPr>
              <w:spacing w:line="360" w:lineRule="exact"/>
              <w:jc w:val="right"/>
              <w:rPr>
                <w:szCs w:val="21"/>
              </w:rPr>
            </w:pPr>
            <w:r>
              <w:rPr>
                <w:szCs w:val="21"/>
              </w:rPr>
              <w:t>912,081</w:t>
            </w:r>
          </w:p>
        </w:tc>
        <w:tc>
          <w:tcPr>
            <w:tcW w:w="1389" w:type="pct"/>
            <w:tcBorders>
              <w:top w:val="single" w:sz="6" w:space="0" w:color="auto"/>
              <w:left w:val="single" w:sz="6" w:space="0" w:color="auto"/>
              <w:bottom w:val="single" w:sz="6" w:space="0" w:color="auto"/>
              <w:right w:val="single" w:sz="6" w:space="0" w:color="auto"/>
            </w:tcBorders>
            <w:vAlign w:val="center"/>
          </w:tcPr>
          <w:p>
            <w:pPr>
              <w:spacing w:line="360" w:lineRule="exact"/>
              <w:jc w:val="right"/>
              <w:rPr>
                <w:szCs w:val="21"/>
              </w:rPr>
            </w:pPr>
            <w:r>
              <w:rPr>
                <w:szCs w:val="21"/>
              </w:rPr>
              <w:t>683,506</w:t>
            </w:r>
          </w:p>
        </w:tc>
      </w:tr>
    </w:tbl>
    <w:p>
      <w:pPr>
        <w:pStyle w:val="affffffffffffffffff3"/>
      </w:pPr>
    </w:p>
    <w:p>
      <w:pPr>
        <w:rPr>
          <w:rFonts w:cs="Arial"/>
          <w:szCs w:val="21"/>
        </w:rPr>
      </w:pPr>
      <w:r>
        <w:rPr>
          <w:rFonts w:cs="Arial" w:hint="eastAsia"/>
          <w:szCs w:val="21"/>
        </w:rPr>
        <w:t>其他说明：</w:t>
      </w:r>
    </w:p>
    <w:sdt>
      <w:sdtPr>
        <w:rPr>
          <w:rFonts w:cs="Arial"/>
          <w:szCs w:val="21"/>
        </w:rPr>
        <w:alias w:val="重要合营企业的主要财务信息其他说明方法"/>
        <w:tag w:val="_GBC_2eee1d37a6f94778acc1b70493f48755"/>
        <w:id w:val="-891188081"/>
      </w:sdtPr>
      <w:sdtContent>
        <w:p>
          <w:pPr>
            <w:rPr>
              <w:rFonts w:cs="Arial"/>
              <w:szCs w:val="21"/>
            </w:rPr>
          </w:pPr>
          <w:r>
            <w:rPr>
              <w:rFonts w:cs="Arial"/>
              <w:szCs w:val="21"/>
            </w:rPr>
            <w:t>-</w:t>
          </w:r>
        </w:p>
      </w:sdtContent>
    </w:sdt>
    <w:p>
      <w:pPr>
        <w:rPr>
          <w:rFonts w:cstheme="minorBidi"/>
          <w:szCs w:val="21"/>
        </w:rPr>
        <w:sectPr>
          <w:pgSz w:w="11907" w:h="16840"/>
          <w:pgMar w:top="1440" w:right="1531" w:bottom="1440" w:left="1797" w:header="851" w:footer="992" w:gutter="0"/>
          <w:cols w:space="425"/>
          <w:docGrid w:type="lines" w:linePitch="312"/>
        </w:sectPr>
      </w:pPr>
    </w:p>
    <w:p>
      <w:pPr>
        <w:rPr>
          <w:szCs w:val="21"/>
        </w:rPr>
      </w:pPr>
    </w:p>
    <w:p>
      <w:pPr>
        <w:pStyle w:val="afffffffffffffffffffffffffffffffff1"/>
        <w:numPr>
          <w:ilvl w:val="3"/>
          <w:numId w:val="186"/>
        </w:numPr>
        <w:ind w:left="424" w:hangingChars="201" w:hanging="424"/>
      </w:pPr>
      <w:r>
        <w:rPr>
          <w:rFonts w:hint="eastAsia"/>
        </w:rPr>
        <w:t>重要联营企业的主要财务信息</w:t>
      </w:r>
    </w:p>
    <w:sdt>
      <w:sdtPr>
        <w:rPr>
          <w:rFonts w:hint="eastAsia"/>
        </w:rPr>
        <w:alias w:val="是否适用：重要联营企业的主要财务信息[双击切换]"/>
        <w:tag w:val="_GBC_e570958be6b64b7d8be73c12ea5135f1"/>
        <w:id w:val="-1333682579"/>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联营企业的主要财务信息"/>
          <w:tag w:val="_GBC_0306b30be35040cd86d2b964142011d4"/>
          <w:id w:val="651022283"/>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重要联营企业的主要财务信息"/>
          <w:tag w:val="_GBC_a2e655bae21746219bfd958c6f5b8be9"/>
          <w:id w:val="357630302"/>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4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71"/>
        <w:gridCol w:w="1225"/>
        <w:gridCol w:w="1322"/>
        <w:gridCol w:w="1422"/>
        <w:gridCol w:w="1322"/>
        <w:gridCol w:w="1325"/>
        <w:gridCol w:w="1225"/>
        <w:gridCol w:w="1322"/>
        <w:gridCol w:w="1422"/>
        <w:gridCol w:w="1322"/>
        <w:gridCol w:w="1313"/>
      </w:tblGrid>
      <w:tr>
        <w:trPr>
          <w:trHeight w:val="120"/>
          <w:jc w:val="center"/>
        </w:trPr>
        <w:tc>
          <w:tcPr>
            <w:tcW w:w="620" w:type="pct"/>
            <w:vMerge w:val="restart"/>
            <w:shd w:val="clear" w:color="auto" w:fill="auto"/>
            <w:vAlign w:val="center"/>
          </w:tcPr>
          <w:p>
            <w:pPr>
              <w:jc w:val="center"/>
              <w:rPr>
                <w:rFonts w:cs="Arial"/>
                <w:szCs w:val="21"/>
              </w:rPr>
            </w:pPr>
          </w:p>
        </w:tc>
        <w:tc>
          <w:tcPr>
            <w:tcW w:w="2191" w:type="pct"/>
            <w:gridSpan w:val="5"/>
            <w:shd w:val="clear" w:color="auto" w:fill="auto"/>
            <w:vAlign w:val="center"/>
          </w:tcPr>
          <w:sdt>
            <w:sdtPr>
              <w:rPr>
                <w:szCs w:val="21"/>
              </w:rPr>
              <w:tag w:val="_PLD_3f5fa209abb242d7b7cbb1f0a249e5ed"/>
              <w:id w:val="-1396661745"/>
            </w:sdtPr>
            <w:sdtContent>
              <w:p>
                <w:pPr>
                  <w:jc w:val="center"/>
                  <w:rPr>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sdtContent>
          </w:sdt>
        </w:tc>
        <w:tc>
          <w:tcPr>
            <w:tcW w:w="2189" w:type="pct"/>
            <w:gridSpan w:val="5"/>
          </w:tcPr>
          <w:sdt>
            <w:sdtPr>
              <w:rPr>
                <w:szCs w:val="21"/>
              </w:rPr>
              <w:tag w:val="_PLD_84be18983356408eb53d1d34932bd41a"/>
              <w:id w:val="-2101243589"/>
            </w:sdtPr>
            <w:sdtContent>
              <w:p>
                <w:pPr>
                  <w:jc w:val="center"/>
                  <w:rPr>
                    <w:rFonts w:cs="Arial"/>
                    <w:szCs w:val="21"/>
                    <w:lang w:val="en-GB"/>
                  </w:rPr>
                </w:pPr>
                <w:r>
                  <w:rPr>
                    <w:rFonts w:cs="Arial" w:hint="eastAsia"/>
                    <w:szCs w:val="21"/>
                    <w:lang w:val="en-GB"/>
                  </w:rPr>
                  <w:t>期初余额</w:t>
                </w:r>
                <w:r>
                  <w:rPr>
                    <w:rFonts w:cs="Arial"/>
                    <w:szCs w:val="21"/>
                  </w:rPr>
                  <w:t xml:space="preserve">/ </w:t>
                </w:r>
                <w:r>
                  <w:rPr>
                    <w:rFonts w:cs="Arial" w:hint="eastAsia"/>
                    <w:szCs w:val="21"/>
                    <w:lang w:val="en-GB"/>
                  </w:rPr>
                  <w:t>上期发生额</w:t>
                </w:r>
              </w:p>
            </w:sdtContent>
          </w:sdt>
        </w:tc>
      </w:tr>
      <w:tr>
        <w:trPr>
          <w:trHeight w:val="120"/>
          <w:jc w:val="center"/>
        </w:trPr>
        <w:tc>
          <w:tcPr>
            <w:tcW w:w="620" w:type="pct"/>
            <w:vMerge/>
            <w:shd w:val="clear" w:color="auto" w:fill="auto"/>
            <w:vAlign w:val="center"/>
          </w:tcPr>
          <w:p>
            <w:pPr>
              <w:rPr>
                <w:rFonts w:cs="Arial"/>
                <w:szCs w:val="21"/>
              </w:rPr>
            </w:pPr>
          </w:p>
        </w:tc>
        <w:tc>
          <w:tcPr>
            <w:tcW w:w="406" w:type="pct"/>
            <w:shd w:val="clear" w:color="auto" w:fill="auto"/>
            <w:vAlign w:val="center"/>
          </w:tcPr>
          <w:p>
            <w:pPr>
              <w:jc w:val="center"/>
              <w:rPr>
                <w:b/>
                <w:bCs/>
                <w:color w:val="000000"/>
                <w:szCs w:val="21"/>
              </w:rPr>
            </w:pPr>
            <w:r>
              <w:rPr>
                <w:rFonts w:hint="eastAsia"/>
                <w:b/>
                <w:bCs/>
                <w:color w:val="000000"/>
                <w:szCs w:val="21"/>
              </w:rPr>
              <w:t>华电邹县发电有限公司</w:t>
            </w:r>
          </w:p>
        </w:tc>
        <w:tc>
          <w:tcPr>
            <w:tcW w:w="438" w:type="pct"/>
            <w:shd w:val="clear" w:color="auto" w:fill="auto"/>
            <w:vAlign w:val="center"/>
          </w:tcPr>
          <w:p>
            <w:pPr>
              <w:jc w:val="center"/>
              <w:rPr>
                <w:b/>
                <w:bCs/>
                <w:color w:val="000000"/>
                <w:szCs w:val="21"/>
              </w:rPr>
            </w:pPr>
            <w:r>
              <w:rPr>
                <w:rFonts w:hint="eastAsia"/>
                <w:b/>
                <w:bCs/>
                <w:color w:val="000000"/>
                <w:szCs w:val="21"/>
              </w:rPr>
              <w:t>内蒙古伊泰呼准铁路有限公司</w:t>
            </w:r>
          </w:p>
        </w:tc>
        <w:tc>
          <w:tcPr>
            <w:tcW w:w="471" w:type="pct"/>
            <w:vAlign w:val="center"/>
          </w:tcPr>
          <w:p>
            <w:pPr>
              <w:jc w:val="center"/>
              <w:rPr>
                <w:b/>
                <w:bCs/>
                <w:color w:val="000000"/>
                <w:szCs w:val="21"/>
              </w:rPr>
            </w:pPr>
            <w:r>
              <w:rPr>
                <w:rFonts w:hint="eastAsia"/>
                <w:b/>
                <w:bCs/>
                <w:color w:val="000000"/>
                <w:szCs w:val="21"/>
              </w:rPr>
              <w:t>临商银行股份有限公司</w:t>
            </w:r>
          </w:p>
        </w:tc>
        <w:tc>
          <w:tcPr>
            <w:tcW w:w="438" w:type="pct"/>
            <w:vAlign w:val="center"/>
          </w:tcPr>
          <w:p>
            <w:pPr>
              <w:jc w:val="center"/>
              <w:rPr>
                <w:b/>
                <w:bCs/>
                <w:color w:val="000000"/>
                <w:szCs w:val="21"/>
              </w:rPr>
            </w:pPr>
            <w:r>
              <w:rPr>
                <w:rFonts w:hint="eastAsia"/>
                <w:b/>
                <w:bCs/>
                <w:color w:val="000000"/>
                <w:szCs w:val="21"/>
              </w:rPr>
              <w:t>伊犁新天煤化工有限责任公司</w:t>
            </w:r>
          </w:p>
        </w:tc>
        <w:tc>
          <w:tcPr>
            <w:tcW w:w="439" w:type="pct"/>
            <w:vAlign w:val="center"/>
          </w:tcPr>
          <w:p>
            <w:pPr>
              <w:jc w:val="center"/>
              <w:rPr>
                <w:b/>
                <w:bCs/>
                <w:color w:val="000000"/>
                <w:szCs w:val="21"/>
              </w:rPr>
            </w:pPr>
            <w:r>
              <w:rPr>
                <w:rFonts w:hint="eastAsia"/>
                <w:b/>
                <w:bCs/>
                <w:color w:val="000000"/>
                <w:szCs w:val="21"/>
              </w:rPr>
              <w:t>内蒙古锦联铝材有限公司</w:t>
            </w:r>
          </w:p>
        </w:tc>
        <w:tc>
          <w:tcPr>
            <w:tcW w:w="406" w:type="pct"/>
            <w:vAlign w:val="center"/>
          </w:tcPr>
          <w:p>
            <w:pPr>
              <w:jc w:val="center"/>
              <w:rPr>
                <w:b/>
                <w:bCs/>
                <w:color w:val="000000"/>
                <w:szCs w:val="21"/>
              </w:rPr>
            </w:pPr>
            <w:r>
              <w:rPr>
                <w:rFonts w:hint="eastAsia"/>
                <w:b/>
                <w:bCs/>
                <w:color w:val="000000"/>
                <w:szCs w:val="21"/>
              </w:rPr>
              <w:t>华电邹县发电有限公司</w:t>
            </w:r>
          </w:p>
        </w:tc>
        <w:tc>
          <w:tcPr>
            <w:tcW w:w="438" w:type="pct"/>
            <w:vAlign w:val="center"/>
          </w:tcPr>
          <w:p>
            <w:pPr>
              <w:jc w:val="center"/>
              <w:rPr>
                <w:b/>
                <w:bCs/>
                <w:color w:val="000000"/>
                <w:szCs w:val="21"/>
              </w:rPr>
            </w:pPr>
            <w:r>
              <w:rPr>
                <w:rFonts w:hint="eastAsia"/>
                <w:b/>
                <w:bCs/>
                <w:color w:val="000000"/>
                <w:szCs w:val="21"/>
              </w:rPr>
              <w:t>内蒙古伊泰呼准铁路有限公司</w:t>
            </w:r>
          </w:p>
        </w:tc>
        <w:tc>
          <w:tcPr>
            <w:tcW w:w="471" w:type="pct"/>
            <w:vAlign w:val="center"/>
          </w:tcPr>
          <w:p>
            <w:pPr>
              <w:jc w:val="center"/>
              <w:rPr>
                <w:b/>
                <w:bCs/>
                <w:color w:val="000000"/>
                <w:szCs w:val="21"/>
              </w:rPr>
            </w:pPr>
            <w:r>
              <w:rPr>
                <w:rFonts w:hint="eastAsia"/>
                <w:b/>
                <w:bCs/>
                <w:color w:val="000000"/>
                <w:szCs w:val="21"/>
              </w:rPr>
              <w:t>临商银行股份有限公司</w:t>
            </w:r>
          </w:p>
        </w:tc>
        <w:tc>
          <w:tcPr>
            <w:tcW w:w="438" w:type="pct"/>
            <w:shd w:val="clear" w:color="auto" w:fill="auto"/>
            <w:vAlign w:val="center"/>
          </w:tcPr>
          <w:p>
            <w:pPr>
              <w:jc w:val="center"/>
              <w:rPr>
                <w:b/>
                <w:bCs/>
                <w:color w:val="000000"/>
                <w:szCs w:val="21"/>
              </w:rPr>
            </w:pPr>
            <w:r>
              <w:rPr>
                <w:rFonts w:hint="eastAsia"/>
                <w:b/>
                <w:bCs/>
                <w:color w:val="000000"/>
                <w:szCs w:val="21"/>
              </w:rPr>
              <w:t>伊犁新天煤化工有限责任公司</w:t>
            </w:r>
          </w:p>
        </w:tc>
        <w:tc>
          <w:tcPr>
            <w:tcW w:w="437" w:type="pct"/>
            <w:shd w:val="clear" w:color="auto" w:fill="auto"/>
            <w:vAlign w:val="center"/>
          </w:tcPr>
          <w:p>
            <w:pPr>
              <w:jc w:val="center"/>
              <w:rPr>
                <w:b/>
                <w:bCs/>
                <w:color w:val="000000"/>
                <w:szCs w:val="21"/>
              </w:rPr>
            </w:pPr>
            <w:r>
              <w:rPr>
                <w:rFonts w:hint="eastAsia"/>
                <w:b/>
                <w:bCs/>
                <w:color w:val="000000"/>
                <w:szCs w:val="21"/>
              </w:rPr>
              <w:t>内蒙古锦联铝材有限公司</w:t>
            </w:r>
          </w:p>
        </w:tc>
      </w:tr>
      <w:tr>
        <w:trPr>
          <w:jc w:val="center"/>
        </w:trPr>
        <w:tc>
          <w:tcPr>
            <w:tcW w:w="620" w:type="pct"/>
            <w:shd w:val="clear" w:color="auto" w:fill="auto"/>
            <w:vAlign w:val="center"/>
          </w:tcPr>
          <w:p>
            <w:pPr>
              <w:rPr>
                <w:color w:val="000000"/>
                <w:szCs w:val="21"/>
              </w:rPr>
            </w:pPr>
            <w:r>
              <w:rPr>
                <w:rFonts w:hint="eastAsia"/>
                <w:color w:val="000000"/>
                <w:szCs w:val="21"/>
              </w:rPr>
              <w:t>流动资产</w:t>
            </w:r>
          </w:p>
        </w:tc>
        <w:tc>
          <w:tcPr>
            <w:tcW w:w="406" w:type="pct"/>
            <w:shd w:val="clear" w:color="auto" w:fill="auto"/>
            <w:vAlign w:val="center"/>
          </w:tcPr>
          <w:p>
            <w:pPr>
              <w:jc w:val="right"/>
              <w:rPr>
                <w:color w:val="000000"/>
                <w:szCs w:val="21"/>
              </w:rPr>
            </w:pPr>
            <w:r>
              <w:rPr>
                <w:color w:val="000000"/>
                <w:szCs w:val="21"/>
              </w:rPr>
              <w:t>963,966</w:t>
            </w:r>
          </w:p>
        </w:tc>
        <w:tc>
          <w:tcPr>
            <w:tcW w:w="438" w:type="pct"/>
            <w:shd w:val="clear" w:color="auto" w:fill="auto"/>
            <w:vAlign w:val="center"/>
          </w:tcPr>
          <w:p>
            <w:pPr>
              <w:jc w:val="right"/>
              <w:rPr>
                <w:color w:val="000000"/>
                <w:szCs w:val="21"/>
              </w:rPr>
            </w:pPr>
            <w:r>
              <w:rPr>
                <w:rFonts w:hint="eastAsia"/>
                <w:color w:val="000000"/>
                <w:szCs w:val="21"/>
              </w:rPr>
              <w:t>568,922</w:t>
            </w:r>
          </w:p>
        </w:tc>
        <w:tc>
          <w:tcPr>
            <w:tcW w:w="471" w:type="pct"/>
            <w:vAlign w:val="center"/>
          </w:tcPr>
          <w:p>
            <w:pPr>
              <w:jc w:val="right"/>
              <w:rPr>
                <w:color w:val="000000"/>
                <w:szCs w:val="21"/>
              </w:rPr>
            </w:pPr>
            <w:r>
              <w:rPr>
                <w:rFonts w:hint="eastAsia"/>
                <w:color w:val="000000"/>
                <w:szCs w:val="21"/>
              </w:rPr>
              <w:t>134,359,960</w:t>
            </w:r>
          </w:p>
        </w:tc>
        <w:tc>
          <w:tcPr>
            <w:tcW w:w="438" w:type="pct"/>
            <w:vAlign w:val="center"/>
          </w:tcPr>
          <w:p>
            <w:pPr>
              <w:jc w:val="right"/>
              <w:rPr>
                <w:color w:val="000000"/>
                <w:szCs w:val="21"/>
              </w:rPr>
            </w:pPr>
            <w:r>
              <w:rPr>
                <w:rFonts w:hint="eastAsia"/>
                <w:color w:val="000000"/>
                <w:szCs w:val="21"/>
              </w:rPr>
              <w:t>671,826</w:t>
            </w:r>
          </w:p>
        </w:tc>
        <w:tc>
          <w:tcPr>
            <w:tcW w:w="439" w:type="pct"/>
            <w:vAlign w:val="center"/>
          </w:tcPr>
          <w:p>
            <w:pPr>
              <w:jc w:val="right"/>
              <w:rPr>
                <w:color w:val="000000"/>
                <w:szCs w:val="21"/>
              </w:rPr>
            </w:pPr>
            <w:r>
              <w:rPr>
                <w:color w:val="000000"/>
                <w:szCs w:val="21"/>
              </w:rPr>
              <w:t>3,502,678</w:t>
            </w:r>
          </w:p>
        </w:tc>
        <w:tc>
          <w:tcPr>
            <w:tcW w:w="406" w:type="pct"/>
            <w:vAlign w:val="center"/>
          </w:tcPr>
          <w:p>
            <w:pPr>
              <w:jc w:val="right"/>
              <w:rPr>
                <w:color w:val="000000"/>
                <w:szCs w:val="21"/>
              </w:rPr>
            </w:pPr>
            <w:r>
              <w:rPr>
                <w:rFonts w:hint="eastAsia"/>
                <w:color w:val="000000"/>
                <w:szCs w:val="21"/>
              </w:rPr>
              <w:t>1,076,768</w:t>
            </w:r>
          </w:p>
        </w:tc>
        <w:tc>
          <w:tcPr>
            <w:tcW w:w="438" w:type="pct"/>
            <w:vAlign w:val="center"/>
          </w:tcPr>
          <w:p>
            <w:pPr>
              <w:jc w:val="right"/>
              <w:rPr>
                <w:color w:val="000000"/>
                <w:szCs w:val="21"/>
              </w:rPr>
            </w:pPr>
            <w:r>
              <w:rPr>
                <w:rFonts w:hint="eastAsia"/>
                <w:color w:val="000000"/>
                <w:szCs w:val="21"/>
              </w:rPr>
              <w:t>489,066</w:t>
            </w:r>
          </w:p>
        </w:tc>
        <w:tc>
          <w:tcPr>
            <w:tcW w:w="471" w:type="pct"/>
            <w:vAlign w:val="center"/>
          </w:tcPr>
          <w:p>
            <w:pPr>
              <w:jc w:val="right"/>
              <w:rPr>
                <w:color w:val="000000"/>
                <w:szCs w:val="21"/>
              </w:rPr>
            </w:pPr>
            <w:r>
              <w:rPr>
                <w:rFonts w:hint="eastAsia"/>
                <w:color w:val="000000"/>
                <w:szCs w:val="21"/>
              </w:rPr>
              <w:t>151,703,658</w:t>
            </w:r>
          </w:p>
        </w:tc>
        <w:tc>
          <w:tcPr>
            <w:tcW w:w="438" w:type="pct"/>
            <w:vAlign w:val="center"/>
          </w:tcPr>
          <w:p>
            <w:pPr>
              <w:jc w:val="right"/>
              <w:rPr>
                <w:color w:val="000000"/>
                <w:szCs w:val="21"/>
              </w:rPr>
            </w:pPr>
            <w:r>
              <w:rPr>
                <w:rFonts w:hint="eastAsia"/>
                <w:color w:val="000000"/>
                <w:szCs w:val="21"/>
              </w:rPr>
              <w:t>2,330,119</w:t>
            </w:r>
          </w:p>
        </w:tc>
        <w:tc>
          <w:tcPr>
            <w:tcW w:w="437" w:type="pct"/>
            <w:vAlign w:val="center"/>
          </w:tcPr>
          <w:p>
            <w:pPr>
              <w:jc w:val="right"/>
              <w:rPr>
                <w:color w:val="000000"/>
                <w:szCs w:val="21"/>
              </w:rPr>
            </w:pPr>
            <w:r>
              <w:rPr>
                <w:rFonts w:hint="eastAsia"/>
                <w:color w:val="000000"/>
                <w:szCs w:val="21"/>
              </w:rPr>
              <w:t>2,981,713</w:t>
            </w:r>
          </w:p>
        </w:tc>
      </w:tr>
      <w:tr>
        <w:trPr>
          <w:jc w:val="center"/>
        </w:trPr>
        <w:tc>
          <w:tcPr>
            <w:tcW w:w="620" w:type="pct"/>
            <w:shd w:val="clear" w:color="auto" w:fill="auto"/>
            <w:vAlign w:val="center"/>
          </w:tcPr>
          <w:p>
            <w:pPr>
              <w:rPr>
                <w:color w:val="000000"/>
                <w:szCs w:val="21"/>
              </w:rPr>
            </w:pPr>
            <w:r>
              <w:rPr>
                <w:rFonts w:hint="eastAsia"/>
                <w:color w:val="000000"/>
                <w:szCs w:val="21"/>
              </w:rPr>
              <w:t>其中：现金和现金等价物</w:t>
            </w:r>
          </w:p>
        </w:tc>
        <w:tc>
          <w:tcPr>
            <w:tcW w:w="406" w:type="pct"/>
            <w:shd w:val="clear" w:color="auto" w:fill="auto"/>
            <w:vAlign w:val="center"/>
          </w:tcPr>
          <w:p>
            <w:pPr>
              <w:jc w:val="right"/>
              <w:rPr>
                <w:color w:val="000000"/>
                <w:szCs w:val="21"/>
              </w:rPr>
            </w:pPr>
            <w:r>
              <w:rPr>
                <w:rFonts w:hint="eastAsia"/>
                <w:color w:val="000000"/>
                <w:szCs w:val="21"/>
              </w:rPr>
              <w:t>39,419</w:t>
            </w:r>
          </w:p>
        </w:tc>
        <w:tc>
          <w:tcPr>
            <w:tcW w:w="438" w:type="pct"/>
            <w:shd w:val="clear" w:color="auto" w:fill="auto"/>
            <w:vAlign w:val="center"/>
          </w:tcPr>
          <w:p>
            <w:pPr>
              <w:jc w:val="right"/>
              <w:rPr>
                <w:color w:val="000000"/>
                <w:szCs w:val="21"/>
              </w:rPr>
            </w:pPr>
            <w:r>
              <w:rPr>
                <w:rFonts w:hint="eastAsia"/>
                <w:color w:val="000000"/>
                <w:szCs w:val="21"/>
              </w:rPr>
              <w:t>456,842</w:t>
            </w:r>
          </w:p>
        </w:tc>
        <w:tc>
          <w:tcPr>
            <w:tcW w:w="471" w:type="pct"/>
            <w:vAlign w:val="center"/>
          </w:tcPr>
          <w:p>
            <w:pPr>
              <w:jc w:val="right"/>
              <w:rPr>
                <w:color w:val="000000"/>
                <w:szCs w:val="21"/>
              </w:rPr>
            </w:pPr>
            <w:r>
              <w:rPr>
                <w:rFonts w:hint="eastAsia"/>
                <w:color w:val="000000"/>
                <w:szCs w:val="21"/>
              </w:rPr>
              <w:t>12,077,288</w:t>
            </w:r>
          </w:p>
        </w:tc>
        <w:tc>
          <w:tcPr>
            <w:tcW w:w="438" w:type="pct"/>
            <w:vAlign w:val="center"/>
          </w:tcPr>
          <w:p>
            <w:pPr>
              <w:jc w:val="right"/>
              <w:rPr>
                <w:color w:val="000000"/>
                <w:szCs w:val="21"/>
              </w:rPr>
            </w:pPr>
            <w:r>
              <w:rPr>
                <w:rFonts w:hint="eastAsia"/>
                <w:color w:val="000000"/>
                <w:szCs w:val="21"/>
              </w:rPr>
              <w:t>454,275</w:t>
            </w:r>
          </w:p>
        </w:tc>
        <w:tc>
          <w:tcPr>
            <w:tcW w:w="439" w:type="pct"/>
            <w:vAlign w:val="center"/>
          </w:tcPr>
          <w:p>
            <w:pPr>
              <w:jc w:val="right"/>
              <w:rPr>
                <w:color w:val="000000"/>
                <w:szCs w:val="21"/>
              </w:rPr>
            </w:pPr>
            <w:r>
              <w:rPr>
                <w:rFonts w:hint="eastAsia"/>
                <w:color w:val="000000"/>
                <w:szCs w:val="21"/>
              </w:rPr>
              <w:t>1,127,380</w:t>
            </w:r>
          </w:p>
        </w:tc>
        <w:tc>
          <w:tcPr>
            <w:tcW w:w="406" w:type="pct"/>
            <w:vAlign w:val="center"/>
          </w:tcPr>
          <w:p>
            <w:pPr>
              <w:jc w:val="right"/>
              <w:rPr>
                <w:color w:val="000000"/>
                <w:szCs w:val="21"/>
              </w:rPr>
            </w:pPr>
            <w:r>
              <w:rPr>
                <w:rFonts w:hint="eastAsia"/>
                <w:color w:val="000000"/>
                <w:szCs w:val="21"/>
              </w:rPr>
              <w:t>260,969</w:t>
            </w:r>
          </w:p>
        </w:tc>
        <w:tc>
          <w:tcPr>
            <w:tcW w:w="438" w:type="pct"/>
            <w:vAlign w:val="center"/>
          </w:tcPr>
          <w:p>
            <w:pPr>
              <w:jc w:val="right"/>
              <w:rPr>
                <w:color w:val="000000"/>
                <w:szCs w:val="21"/>
              </w:rPr>
            </w:pPr>
            <w:r>
              <w:rPr>
                <w:rFonts w:hint="eastAsia"/>
                <w:color w:val="000000"/>
                <w:szCs w:val="21"/>
              </w:rPr>
              <w:t>259,273</w:t>
            </w:r>
          </w:p>
        </w:tc>
        <w:tc>
          <w:tcPr>
            <w:tcW w:w="471" w:type="pct"/>
            <w:vAlign w:val="center"/>
          </w:tcPr>
          <w:p>
            <w:pPr>
              <w:jc w:val="right"/>
              <w:rPr>
                <w:color w:val="000000"/>
                <w:szCs w:val="21"/>
              </w:rPr>
            </w:pPr>
            <w:r>
              <w:rPr>
                <w:rFonts w:hint="eastAsia"/>
                <w:color w:val="000000"/>
                <w:szCs w:val="21"/>
              </w:rPr>
              <w:t>12,046,721</w:t>
            </w:r>
          </w:p>
        </w:tc>
        <w:tc>
          <w:tcPr>
            <w:tcW w:w="438" w:type="pct"/>
            <w:vAlign w:val="center"/>
          </w:tcPr>
          <w:p>
            <w:pPr>
              <w:jc w:val="right"/>
              <w:rPr>
                <w:color w:val="000000"/>
                <w:szCs w:val="21"/>
              </w:rPr>
            </w:pPr>
            <w:r>
              <w:rPr>
                <w:rFonts w:hint="eastAsia"/>
                <w:color w:val="000000"/>
                <w:szCs w:val="21"/>
              </w:rPr>
              <w:t>1,783,708</w:t>
            </w:r>
          </w:p>
        </w:tc>
        <w:tc>
          <w:tcPr>
            <w:tcW w:w="437" w:type="pct"/>
            <w:vAlign w:val="center"/>
          </w:tcPr>
          <w:p>
            <w:pPr>
              <w:jc w:val="right"/>
              <w:rPr>
                <w:color w:val="000000"/>
                <w:szCs w:val="21"/>
              </w:rPr>
            </w:pPr>
          </w:p>
        </w:tc>
      </w:tr>
      <w:tr>
        <w:trPr>
          <w:jc w:val="center"/>
        </w:trPr>
        <w:tc>
          <w:tcPr>
            <w:tcW w:w="620" w:type="pct"/>
            <w:shd w:val="clear" w:color="auto" w:fill="auto"/>
            <w:vAlign w:val="center"/>
          </w:tcPr>
          <w:p>
            <w:pPr>
              <w:rPr>
                <w:color w:val="000000"/>
                <w:szCs w:val="21"/>
              </w:rPr>
            </w:pPr>
            <w:r>
              <w:rPr>
                <w:rFonts w:hint="eastAsia"/>
                <w:color w:val="000000"/>
                <w:szCs w:val="21"/>
              </w:rPr>
              <w:t>非流动资产</w:t>
            </w:r>
          </w:p>
        </w:tc>
        <w:tc>
          <w:tcPr>
            <w:tcW w:w="406" w:type="pct"/>
            <w:shd w:val="clear" w:color="auto" w:fill="auto"/>
            <w:vAlign w:val="center"/>
          </w:tcPr>
          <w:p>
            <w:pPr>
              <w:jc w:val="right"/>
              <w:rPr>
                <w:color w:val="000000"/>
                <w:szCs w:val="21"/>
              </w:rPr>
            </w:pPr>
            <w:r>
              <w:rPr>
                <w:color w:val="000000"/>
                <w:szCs w:val="21"/>
              </w:rPr>
              <w:t>3,320,330</w:t>
            </w:r>
          </w:p>
        </w:tc>
        <w:tc>
          <w:tcPr>
            <w:tcW w:w="438" w:type="pct"/>
            <w:shd w:val="clear" w:color="auto" w:fill="auto"/>
            <w:vAlign w:val="center"/>
          </w:tcPr>
          <w:p>
            <w:pPr>
              <w:jc w:val="right"/>
              <w:rPr>
                <w:color w:val="000000"/>
                <w:szCs w:val="21"/>
              </w:rPr>
            </w:pPr>
            <w:r>
              <w:rPr>
                <w:color w:val="000000"/>
                <w:szCs w:val="21"/>
              </w:rPr>
              <w:t>10,058,752</w:t>
            </w:r>
          </w:p>
        </w:tc>
        <w:tc>
          <w:tcPr>
            <w:tcW w:w="471" w:type="pct"/>
            <w:vAlign w:val="center"/>
          </w:tcPr>
          <w:p>
            <w:pPr>
              <w:jc w:val="right"/>
              <w:rPr>
                <w:color w:val="000000"/>
                <w:szCs w:val="21"/>
              </w:rPr>
            </w:pPr>
            <w:r>
              <w:rPr>
                <w:rFonts w:hint="eastAsia"/>
                <w:color w:val="000000"/>
                <w:szCs w:val="21"/>
              </w:rPr>
              <w:t>34,833,799</w:t>
            </w:r>
          </w:p>
        </w:tc>
        <w:tc>
          <w:tcPr>
            <w:tcW w:w="438" w:type="pct"/>
            <w:vAlign w:val="center"/>
          </w:tcPr>
          <w:p>
            <w:pPr>
              <w:jc w:val="right"/>
              <w:rPr>
                <w:color w:val="000000"/>
                <w:szCs w:val="21"/>
              </w:rPr>
            </w:pPr>
            <w:r>
              <w:rPr>
                <w:color w:val="000000"/>
                <w:szCs w:val="21"/>
              </w:rPr>
              <w:t>11,635,535</w:t>
            </w:r>
          </w:p>
        </w:tc>
        <w:tc>
          <w:tcPr>
            <w:tcW w:w="439" w:type="pct"/>
            <w:vAlign w:val="center"/>
          </w:tcPr>
          <w:p>
            <w:pPr>
              <w:jc w:val="right"/>
              <w:rPr>
                <w:color w:val="000000"/>
                <w:szCs w:val="21"/>
              </w:rPr>
            </w:pPr>
            <w:r>
              <w:rPr>
                <w:rFonts w:hint="eastAsia"/>
                <w:color w:val="000000"/>
                <w:szCs w:val="21"/>
              </w:rPr>
              <w:t>11,745,816</w:t>
            </w:r>
          </w:p>
        </w:tc>
        <w:tc>
          <w:tcPr>
            <w:tcW w:w="406" w:type="pct"/>
            <w:vAlign w:val="center"/>
          </w:tcPr>
          <w:p>
            <w:pPr>
              <w:jc w:val="right"/>
              <w:rPr>
                <w:color w:val="000000"/>
                <w:szCs w:val="21"/>
              </w:rPr>
            </w:pPr>
            <w:r>
              <w:rPr>
                <w:rFonts w:hint="eastAsia"/>
                <w:color w:val="000000"/>
                <w:szCs w:val="21"/>
              </w:rPr>
              <w:t>3,679,603</w:t>
            </w:r>
          </w:p>
        </w:tc>
        <w:tc>
          <w:tcPr>
            <w:tcW w:w="438" w:type="pct"/>
            <w:vAlign w:val="center"/>
          </w:tcPr>
          <w:p>
            <w:pPr>
              <w:jc w:val="right"/>
              <w:rPr>
                <w:color w:val="000000"/>
                <w:szCs w:val="21"/>
              </w:rPr>
            </w:pPr>
            <w:r>
              <w:rPr>
                <w:rFonts w:hint="eastAsia"/>
                <w:color w:val="000000"/>
                <w:szCs w:val="21"/>
              </w:rPr>
              <w:t>10,639,073</w:t>
            </w:r>
          </w:p>
        </w:tc>
        <w:tc>
          <w:tcPr>
            <w:tcW w:w="471" w:type="pct"/>
            <w:vAlign w:val="center"/>
          </w:tcPr>
          <w:p>
            <w:pPr>
              <w:jc w:val="right"/>
              <w:rPr>
                <w:color w:val="000000"/>
                <w:szCs w:val="21"/>
              </w:rPr>
            </w:pPr>
            <w:r>
              <w:rPr>
                <w:rFonts w:hint="eastAsia"/>
                <w:color w:val="000000"/>
                <w:szCs w:val="21"/>
              </w:rPr>
              <w:t>5,851,327</w:t>
            </w:r>
          </w:p>
        </w:tc>
        <w:tc>
          <w:tcPr>
            <w:tcW w:w="438" w:type="pct"/>
            <w:vAlign w:val="center"/>
          </w:tcPr>
          <w:p>
            <w:pPr>
              <w:jc w:val="right"/>
              <w:rPr>
                <w:color w:val="000000"/>
                <w:szCs w:val="21"/>
              </w:rPr>
            </w:pPr>
            <w:r>
              <w:rPr>
                <w:rFonts w:hint="eastAsia"/>
                <w:color w:val="000000"/>
                <w:szCs w:val="21"/>
              </w:rPr>
              <w:t>12,275,742</w:t>
            </w:r>
          </w:p>
        </w:tc>
        <w:tc>
          <w:tcPr>
            <w:tcW w:w="437" w:type="pct"/>
            <w:vAlign w:val="center"/>
          </w:tcPr>
          <w:p>
            <w:pPr>
              <w:jc w:val="right"/>
              <w:rPr>
                <w:color w:val="000000"/>
                <w:szCs w:val="21"/>
              </w:rPr>
            </w:pPr>
            <w:r>
              <w:rPr>
                <w:rFonts w:hint="eastAsia"/>
                <w:color w:val="000000"/>
                <w:szCs w:val="21"/>
              </w:rPr>
              <w:t>12,759,339</w:t>
            </w:r>
          </w:p>
        </w:tc>
      </w:tr>
      <w:tr>
        <w:trPr>
          <w:jc w:val="center"/>
        </w:trPr>
        <w:tc>
          <w:tcPr>
            <w:tcW w:w="620" w:type="pct"/>
            <w:shd w:val="clear" w:color="auto" w:fill="auto"/>
            <w:vAlign w:val="center"/>
          </w:tcPr>
          <w:p>
            <w:pPr>
              <w:rPr>
                <w:color w:val="000000"/>
                <w:szCs w:val="21"/>
              </w:rPr>
            </w:pPr>
            <w:r>
              <w:rPr>
                <w:rFonts w:hint="eastAsia"/>
                <w:color w:val="000000"/>
                <w:szCs w:val="21"/>
              </w:rPr>
              <w:t>资产合计</w:t>
            </w:r>
          </w:p>
        </w:tc>
        <w:tc>
          <w:tcPr>
            <w:tcW w:w="406" w:type="pct"/>
            <w:shd w:val="clear" w:color="auto" w:fill="auto"/>
            <w:vAlign w:val="center"/>
          </w:tcPr>
          <w:p>
            <w:pPr>
              <w:jc w:val="right"/>
              <w:rPr>
                <w:color w:val="000000"/>
                <w:szCs w:val="21"/>
              </w:rPr>
            </w:pPr>
            <w:r>
              <w:rPr>
                <w:color w:val="000000"/>
                <w:szCs w:val="21"/>
              </w:rPr>
              <w:t>4,284,296</w:t>
            </w:r>
          </w:p>
        </w:tc>
        <w:tc>
          <w:tcPr>
            <w:tcW w:w="438" w:type="pct"/>
            <w:shd w:val="clear" w:color="auto" w:fill="auto"/>
            <w:vAlign w:val="center"/>
          </w:tcPr>
          <w:p>
            <w:pPr>
              <w:jc w:val="right"/>
              <w:rPr>
                <w:color w:val="000000"/>
                <w:szCs w:val="21"/>
              </w:rPr>
            </w:pPr>
            <w:r>
              <w:rPr>
                <w:color w:val="000000"/>
                <w:szCs w:val="21"/>
              </w:rPr>
              <w:t>10,627,674</w:t>
            </w:r>
          </w:p>
        </w:tc>
        <w:tc>
          <w:tcPr>
            <w:tcW w:w="471" w:type="pct"/>
            <w:vAlign w:val="center"/>
          </w:tcPr>
          <w:p>
            <w:pPr>
              <w:jc w:val="right"/>
              <w:rPr>
                <w:color w:val="000000"/>
                <w:szCs w:val="21"/>
              </w:rPr>
            </w:pPr>
            <w:r>
              <w:rPr>
                <w:color w:val="000000"/>
                <w:szCs w:val="21"/>
              </w:rPr>
              <w:t>169,193,759</w:t>
            </w:r>
          </w:p>
        </w:tc>
        <w:tc>
          <w:tcPr>
            <w:tcW w:w="438" w:type="pct"/>
            <w:vAlign w:val="center"/>
          </w:tcPr>
          <w:p>
            <w:pPr>
              <w:jc w:val="right"/>
              <w:rPr>
                <w:color w:val="000000"/>
                <w:szCs w:val="21"/>
              </w:rPr>
            </w:pPr>
            <w:r>
              <w:rPr>
                <w:color w:val="000000"/>
                <w:szCs w:val="21"/>
              </w:rPr>
              <w:t>12,307,361</w:t>
            </w:r>
          </w:p>
        </w:tc>
        <w:tc>
          <w:tcPr>
            <w:tcW w:w="439" w:type="pct"/>
            <w:vAlign w:val="center"/>
          </w:tcPr>
          <w:p>
            <w:pPr>
              <w:jc w:val="right"/>
              <w:rPr>
                <w:color w:val="000000"/>
                <w:szCs w:val="21"/>
              </w:rPr>
            </w:pPr>
            <w:r>
              <w:rPr>
                <w:color w:val="000000"/>
                <w:szCs w:val="21"/>
              </w:rPr>
              <w:t>15,248,494</w:t>
            </w:r>
          </w:p>
        </w:tc>
        <w:tc>
          <w:tcPr>
            <w:tcW w:w="406" w:type="pct"/>
            <w:vAlign w:val="center"/>
          </w:tcPr>
          <w:p>
            <w:pPr>
              <w:jc w:val="right"/>
              <w:rPr>
                <w:color w:val="000000"/>
                <w:szCs w:val="21"/>
              </w:rPr>
            </w:pPr>
            <w:r>
              <w:rPr>
                <w:rFonts w:hint="eastAsia"/>
                <w:color w:val="000000"/>
                <w:szCs w:val="21"/>
              </w:rPr>
              <w:t>4,756,371</w:t>
            </w:r>
          </w:p>
        </w:tc>
        <w:tc>
          <w:tcPr>
            <w:tcW w:w="438" w:type="pct"/>
            <w:vAlign w:val="center"/>
          </w:tcPr>
          <w:p>
            <w:pPr>
              <w:jc w:val="right"/>
              <w:rPr>
                <w:color w:val="000000"/>
                <w:szCs w:val="21"/>
              </w:rPr>
            </w:pPr>
            <w:r>
              <w:rPr>
                <w:rFonts w:hint="eastAsia"/>
                <w:color w:val="000000"/>
                <w:szCs w:val="21"/>
              </w:rPr>
              <w:t>11,128,139</w:t>
            </w:r>
          </w:p>
        </w:tc>
        <w:tc>
          <w:tcPr>
            <w:tcW w:w="471" w:type="pct"/>
            <w:vAlign w:val="center"/>
          </w:tcPr>
          <w:p>
            <w:pPr>
              <w:jc w:val="right"/>
              <w:rPr>
                <w:color w:val="000000"/>
                <w:szCs w:val="21"/>
              </w:rPr>
            </w:pPr>
            <w:r>
              <w:rPr>
                <w:rFonts w:hint="eastAsia"/>
                <w:color w:val="000000"/>
                <w:szCs w:val="21"/>
              </w:rPr>
              <w:t>157,554,985</w:t>
            </w:r>
          </w:p>
        </w:tc>
        <w:tc>
          <w:tcPr>
            <w:tcW w:w="438" w:type="pct"/>
            <w:vAlign w:val="center"/>
          </w:tcPr>
          <w:p>
            <w:pPr>
              <w:jc w:val="right"/>
              <w:rPr>
                <w:color w:val="000000"/>
                <w:szCs w:val="21"/>
              </w:rPr>
            </w:pPr>
            <w:r>
              <w:rPr>
                <w:rFonts w:hint="eastAsia"/>
                <w:color w:val="000000"/>
                <w:szCs w:val="21"/>
              </w:rPr>
              <w:t>14,605,861</w:t>
            </w:r>
          </w:p>
        </w:tc>
        <w:tc>
          <w:tcPr>
            <w:tcW w:w="437" w:type="pct"/>
            <w:vAlign w:val="center"/>
          </w:tcPr>
          <w:p>
            <w:pPr>
              <w:jc w:val="right"/>
              <w:rPr>
                <w:color w:val="000000"/>
                <w:szCs w:val="21"/>
              </w:rPr>
            </w:pPr>
            <w:r>
              <w:rPr>
                <w:rFonts w:hint="eastAsia"/>
                <w:color w:val="000000"/>
                <w:szCs w:val="21"/>
              </w:rPr>
              <w:t>15,741,052</w:t>
            </w:r>
          </w:p>
        </w:tc>
      </w:tr>
      <w:tr>
        <w:trPr>
          <w:jc w:val="center"/>
        </w:trPr>
        <w:tc>
          <w:tcPr>
            <w:tcW w:w="620" w:type="pct"/>
            <w:shd w:val="clear" w:color="auto" w:fill="auto"/>
            <w:vAlign w:val="center"/>
          </w:tcPr>
          <w:p>
            <w:pPr>
              <w:rPr>
                <w:color w:val="000000"/>
                <w:szCs w:val="21"/>
              </w:rPr>
            </w:pPr>
            <w:r>
              <w:rPr>
                <w:rFonts w:hint="eastAsia"/>
                <w:color w:val="000000"/>
                <w:szCs w:val="21"/>
              </w:rPr>
              <w:t>流动负债</w:t>
            </w:r>
          </w:p>
        </w:tc>
        <w:tc>
          <w:tcPr>
            <w:tcW w:w="406" w:type="pct"/>
            <w:shd w:val="clear" w:color="auto" w:fill="auto"/>
            <w:vAlign w:val="center"/>
          </w:tcPr>
          <w:p>
            <w:pPr>
              <w:jc w:val="right"/>
              <w:rPr>
                <w:color w:val="000000"/>
                <w:szCs w:val="21"/>
              </w:rPr>
            </w:pPr>
            <w:r>
              <w:rPr>
                <w:rFonts w:hint="eastAsia"/>
                <w:color w:val="000000"/>
                <w:szCs w:val="21"/>
              </w:rPr>
              <w:t>519,007</w:t>
            </w:r>
          </w:p>
        </w:tc>
        <w:tc>
          <w:tcPr>
            <w:tcW w:w="438" w:type="pct"/>
            <w:shd w:val="clear" w:color="auto" w:fill="auto"/>
            <w:vAlign w:val="center"/>
          </w:tcPr>
          <w:p>
            <w:pPr>
              <w:jc w:val="right"/>
              <w:rPr>
                <w:color w:val="000000"/>
                <w:szCs w:val="21"/>
              </w:rPr>
            </w:pPr>
            <w:r>
              <w:rPr>
                <w:rFonts w:hint="eastAsia"/>
                <w:color w:val="000000"/>
                <w:szCs w:val="21"/>
              </w:rPr>
              <w:t>623,926</w:t>
            </w:r>
          </w:p>
        </w:tc>
        <w:tc>
          <w:tcPr>
            <w:tcW w:w="471" w:type="pct"/>
            <w:vAlign w:val="center"/>
          </w:tcPr>
          <w:p>
            <w:pPr>
              <w:jc w:val="right"/>
              <w:rPr>
                <w:color w:val="000000"/>
                <w:szCs w:val="21"/>
              </w:rPr>
            </w:pPr>
            <w:r>
              <w:rPr>
                <w:rFonts w:hint="eastAsia"/>
                <w:color w:val="000000"/>
                <w:szCs w:val="21"/>
              </w:rPr>
              <w:t>156,028,592</w:t>
            </w:r>
          </w:p>
        </w:tc>
        <w:tc>
          <w:tcPr>
            <w:tcW w:w="438" w:type="pct"/>
            <w:vAlign w:val="center"/>
          </w:tcPr>
          <w:p>
            <w:pPr>
              <w:jc w:val="right"/>
              <w:rPr>
                <w:color w:val="000000"/>
                <w:szCs w:val="21"/>
              </w:rPr>
            </w:pPr>
            <w:r>
              <w:rPr>
                <w:rFonts w:hint="eastAsia"/>
                <w:color w:val="000000"/>
                <w:szCs w:val="21"/>
              </w:rPr>
              <w:t>1,425,012</w:t>
            </w:r>
          </w:p>
        </w:tc>
        <w:tc>
          <w:tcPr>
            <w:tcW w:w="439" w:type="pct"/>
            <w:vAlign w:val="center"/>
          </w:tcPr>
          <w:p>
            <w:pPr>
              <w:jc w:val="right"/>
              <w:rPr>
                <w:color w:val="000000"/>
                <w:szCs w:val="21"/>
              </w:rPr>
            </w:pPr>
            <w:r>
              <w:rPr>
                <w:rFonts w:hint="eastAsia"/>
                <w:color w:val="000000"/>
                <w:szCs w:val="21"/>
              </w:rPr>
              <w:t>3,984,923</w:t>
            </w:r>
          </w:p>
        </w:tc>
        <w:tc>
          <w:tcPr>
            <w:tcW w:w="406" w:type="pct"/>
            <w:vAlign w:val="center"/>
          </w:tcPr>
          <w:p>
            <w:pPr>
              <w:jc w:val="right"/>
              <w:rPr>
                <w:color w:val="000000"/>
                <w:szCs w:val="21"/>
              </w:rPr>
            </w:pPr>
            <w:r>
              <w:rPr>
                <w:rFonts w:hint="eastAsia"/>
                <w:color w:val="000000"/>
                <w:szCs w:val="21"/>
              </w:rPr>
              <w:t>624,678</w:t>
            </w:r>
          </w:p>
        </w:tc>
        <w:tc>
          <w:tcPr>
            <w:tcW w:w="438" w:type="pct"/>
            <w:vAlign w:val="center"/>
          </w:tcPr>
          <w:p>
            <w:pPr>
              <w:jc w:val="right"/>
              <w:rPr>
                <w:color w:val="000000"/>
                <w:szCs w:val="21"/>
              </w:rPr>
            </w:pPr>
            <w:r>
              <w:rPr>
                <w:rFonts w:hint="eastAsia"/>
                <w:color w:val="000000"/>
                <w:szCs w:val="21"/>
              </w:rPr>
              <w:t>664,486</w:t>
            </w:r>
          </w:p>
        </w:tc>
        <w:tc>
          <w:tcPr>
            <w:tcW w:w="471" w:type="pct"/>
            <w:vAlign w:val="center"/>
          </w:tcPr>
          <w:p>
            <w:pPr>
              <w:jc w:val="right"/>
              <w:rPr>
                <w:color w:val="000000"/>
                <w:szCs w:val="21"/>
              </w:rPr>
            </w:pPr>
            <w:r>
              <w:rPr>
                <w:rFonts w:hint="eastAsia"/>
                <w:color w:val="000000"/>
                <w:szCs w:val="21"/>
              </w:rPr>
              <w:t>141,035,054</w:t>
            </w:r>
          </w:p>
        </w:tc>
        <w:tc>
          <w:tcPr>
            <w:tcW w:w="438" w:type="pct"/>
            <w:vAlign w:val="center"/>
          </w:tcPr>
          <w:p>
            <w:pPr>
              <w:jc w:val="right"/>
              <w:rPr>
                <w:color w:val="000000"/>
                <w:szCs w:val="21"/>
              </w:rPr>
            </w:pPr>
            <w:r>
              <w:rPr>
                <w:rFonts w:hint="eastAsia"/>
                <w:color w:val="000000"/>
                <w:szCs w:val="21"/>
              </w:rPr>
              <w:t>3,821,485</w:t>
            </w:r>
          </w:p>
        </w:tc>
        <w:tc>
          <w:tcPr>
            <w:tcW w:w="437" w:type="pct"/>
            <w:vAlign w:val="center"/>
          </w:tcPr>
          <w:p>
            <w:pPr>
              <w:jc w:val="right"/>
              <w:rPr>
                <w:color w:val="000000"/>
                <w:szCs w:val="21"/>
              </w:rPr>
            </w:pPr>
            <w:r>
              <w:rPr>
                <w:rFonts w:hint="eastAsia"/>
                <w:color w:val="000000"/>
                <w:szCs w:val="21"/>
              </w:rPr>
              <w:t>5,079,154</w:t>
            </w:r>
          </w:p>
        </w:tc>
      </w:tr>
      <w:tr>
        <w:trPr>
          <w:jc w:val="center"/>
        </w:trPr>
        <w:tc>
          <w:tcPr>
            <w:tcW w:w="620" w:type="pct"/>
            <w:shd w:val="clear" w:color="auto" w:fill="auto"/>
            <w:vAlign w:val="center"/>
          </w:tcPr>
          <w:p>
            <w:pPr>
              <w:rPr>
                <w:color w:val="000000"/>
                <w:szCs w:val="21"/>
              </w:rPr>
            </w:pPr>
            <w:r>
              <w:rPr>
                <w:rFonts w:hint="eastAsia"/>
                <w:color w:val="000000"/>
                <w:szCs w:val="21"/>
              </w:rPr>
              <w:t>非流动负债</w:t>
            </w:r>
          </w:p>
        </w:tc>
        <w:tc>
          <w:tcPr>
            <w:tcW w:w="406" w:type="pct"/>
            <w:shd w:val="clear" w:color="auto" w:fill="auto"/>
            <w:vAlign w:val="center"/>
          </w:tcPr>
          <w:p>
            <w:pPr>
              <w:jc w:val="right"/>
              <w:rPr>
                <w:color w:val="000000"/>
                <w:szCs w:val="21"/>
              </w:rPr>
            </w:pPr>
            <w:r>
              <w:rPr>
                <w:color w:val="000000"/>
                <w:szCs w:val="21"/>
              </w:rPr>
              <w:t>76,935</w:t>
            </w:r>
          </w:p>
        </w:tc>
        <w:tc>
          <w:tcPr>
            <w:tcW w:w="438" w:type="pct"/>
            <w:shd w:val="clear" w:color="auto" w:fill="auto"/>
            <w:vAlign w:val="center"/>
          </w:tcPr>
          <w:p>
            <w:pPr>
              <w:jc w:val="right"/>
              <w:rPr>
                <w:color w:val="000000"/>
                <w:szCs w:val="21"/>
              </w:rPr>
            </w:pPr>
            <w:r>
              <w:rPr>
                <w:rFonts w:hint="eastAsia"/>
                <w:color w:val="000000"/>
                <w:szCs w:val="21"/>
              </w:rPr>
              <w:t>1,010,950</w:t>
            </w:r>
          </w:p>
        </w:tc>
        <w:tc>
          <w:tcPr>
            <w:tcW w:w="471" w:type="pct"/>
            <w:vAlign w:val="center"/>
          </w:tcPr>
          <w:p>
            <w:pPr>
              <w:jc w:val="right"/>
              <w:rPr>
                <w:color w:val="000000"/>
                <w:szCs w:val="21"/>
              </w:rPr>
            </w:pPr>
            <w:r>
              <w:rPr>
                <w:rFonts w:hint="eastAsia"/>
                <w:color w:val="000000"/>
                <w:szCs w:val="21"/>
              </w:rPr>
              <w:t>1,368,979</w:t>
            </w:r>
          </w:p>
        </w:tc>
        <w:tc>
          <w:tcPr>
            <w:tcW w:w="438" w:type="pct"/>
            <w:vAlign w:val="center"/>
          </w:tcPr>
          <w:p>
            <w:pPr>
              <w:jc w:val="right"/>
              <w:rPr>
                <w:color w:val="000000"/>
                <w:szCs w:val="21"/>
              </w:rPr>
            </w:pPr>
            <w:r>
              <w:rPr>
                <w:rFonts w:hint="eastAsia"/>
                <w:color w:val="000000"/>
                <w:szCs w:val="21"/>
              </w:rPr>
              <w:t>5,857,785</w:t>
            </w:r>
          </w:p>
        </w:tc>
        <w:tc>
          <w:tcPr>
            <w:tcW w:w="439" w:type="pct"/>
            <w:vAlign w:val="center"/>
          </w:tcPr>
          <w:p>
            <w:pPr>
              <w:jc w:val="right"/>
              <w:rPr>
                <w:color w:val="000000"/>
                <w:szCs w:val="21"/>
              </w:rPr>
            </w:pPr>
            <w:r>
              <w:rPr>
                <w:color w:val="000000"/>
                <w:szCs w:val="21"/>
              </w:rPr>
              <w:t>2,352,262</w:t>
            </w:r>
          </w:p>
        </w:tc>
        <w:tc>
          <w:tcPr>
            <w:tcW w:w="406" w:type="pct"/>
            <w:vAlign w:val="center"/>
          </w:tcPr>
          <w:p>
            <w:pPr>
              <w:jc w:val="right"/>
              <w:rPr>
                <w:color w:val="000000"/>
                <w:szCs w:val="21"/>
              </w:rPr>
            </w:pPr>
            <w:r>
              <w:rPr>
                <w:rFonts w:hint="eastAsia"/>
                <w:color w:val="000000"/>
                <w:szCs w:val="21"/>
              </w:rPr>
              <w:t>478,518</w:t>
            </w:r>
          </w:p>
        </w:tc>
        <w:tc>
          <w:tcPr>
            <w:tcW w:w="438" w:type="pct"/>
            <w:vAlign w:val="center"/>
          </w:tcPr>
          <w:p>
            <w:pPr>
              <w:jc w:val="right"/>
              <w:rPr>
                <w:color w:val="000000"/>
                <w:szCs w:val="21"/>
              </w:rPr>
            </w:pPr>
            <w:r>
              <w:rPr>
                <w:rFonts w:hint="eastAsia"/>
                <w:color w:val="000000"/>
                <w:szCs w:val="21"/>
              </w:rPr>
              <w:t>1,462,457</w:t>
            </w:r>
          </w:p>
        </w:tc>
        <w:tc>
          <w:tcPr>
            <w:tcW w:w="471" w:type="pct"/>
            <w:vAlign w:val="center"/>
          </w:tcPr>
          <w:p>
            <w:pPr>
              <w:jc w:val="right"/>
              <w:rPr>
                <w:color w:val="000000"/>
                <w:szCs w:val="21"/>
              </w:rPr>
            </w:pPr>
            <w:r>
              <w:rPr>
                <w:rFonts w:hint="eastAsia"/>
                <w:color w:val="000000"/>
                <w:szCs w:val="21"/>
              </w:rPr>
              <w:t>5,377,923</w:t>
            </w:r>
          </w:p>
        </w:tc>
        <w:tc>
          <w:tcPr>
            <w:tcW w:w="438" w:type="pct"/>
            <w:vAlign w:val="center"/>
          </w:tcPr>
          <w:p>
            <w:pPr>
              <w:jc w:val="right"/>
              <w:rPr>
                <w:color w:val="000000"/>
                <w:szCs w:val="21"/>
              </w:rPr>
            </w:pPr>
            <w:r>
              <w:rPr>
                <w:rFonts w:hint="eastAsia"/>
                <w:color w:val="000000"/>
                <w:szCs w:val="21"/>
              </w:rPr>
              <w:t>6,556,860</w:t>
            </w:r>
          </w:p>
        </w:tc>
        <w:tc>
          <w:tcPr>
            <w:tcW w:w="437" w:type="pct"/>
            <w:vAlign w:val="center"/>
          </w:tcPr>
          <w:p>
            <w:pPr>
              <w:jc w:val="right"/>
              <w:rPr>
                <w:color w:val="000000"/>
                <w:szCs w:val="21"/>
              </w:rPr>
            </w:pPr>
            <w:r>
              <w:rPr>
                <w:rFonts w:hint="eastAsia"/>
                <w:color w:val="000000"/>
                <w:szCs w:val="21"/>
              </w:rPr>
              <w:t>2,548,843</w:t>
            </w:r>
          </w:p>
        </w:tc>
      </w:tr>
      <w:tr>
        <w:trPr>
          <w:jc w:val="center"/>
        </w:trPr>
        <w:tc>
          <w:tcPr>
            <w:tcW w:w="620" w:type="pct"/>
            <w:shd w:val="clear" w:color="auto" w:fill="auto"/>
            <w:vAlign w:val="center"/>
          </w:tcPr>
          <w:p>
            <w:pPr>
              <w:rPr>
                <w:color w:val="000000"/>
                <w:szCs w:val="21"/>
              </w:rPr>
            </w:pPr>
            <w:r>
              <w:rPr>
                <w:rFonts w:hint="eastAsia"/>
                <w:color w:val="000000"/>
                <w:szCs w:val="21"/>
              </w:rPr>
              <w:t>负债合计</w:t>
            </w:r>
          </w:p>
        </w:tc>
        <w:tc>
          <w:tcPr>
            <w:tcW w:w="406" w:type="pct"/>
            <w:shd w:val="clear" w:color="auto" w:fill="auto"/>
            <w:vAlign w:val="center"/>
          </w:tcPr>
          <w:p>
            <w:pPr>
              <w:jc w:val="right"/>
              <w:rPr>
                <w:color w:val="000000"/>
                <w:szCs w:val="21"/>
              </w:rPr>
            </w:pPr>
            <w:r>
              <w:rPr>
                <w:color w:val="000000"/>
                <w:szCs w:val="21"/>
              </w:rPr>
              <w:t>595,942</w:t>
            </w:r>
          </w:p>
        </w:tc>
        <w:tc>
          <w:tcPr>
            <w:tcW w:w="438" w:type="pct"/>
            <w:shd w:val="clear" w:color="auto" w:fill="auto"/>
            <w:vAlign w:val="center"/>
          </w:tcPr>
          <w:p>
            <w:pPr>
              <w:jc w:val="right"/>
              <w:rPr>
                <w:color w:val="000000"/>
                <w:szCs w:val="21"/>
              </w:rPr>
            </w:pPr>
            <w:r>
              <w:rPr>
                <w:color w:val="000000"/>
                <w:szCs w:val="21"/>
              </w:rPr>
              <w:t>1,634,876</w:t>
            </w:r>
          </w:p>
        </w:tc>
        <w:tc>
          <w:tcPr>
            <w:tcW w:w="471" w:type="pct"/>
            <w:vAlign w:val="center"/>
          </w:tcPr>
          <w:p>
            <w:pPr>
              <w:jc w:val="right"/>
              <w:rPr>
                <w:color w:val="000000"/>
                <w:szCs w:val="21"/>
              </w:rPr>
            </w:pPr>
            <w:r>
              <w:rPr>
                <w:rFonts w:hint="eastAsia"/>
                <w:color w:val="000000"/>
                <w:szCs w:val="21"/>
              </w:rPr>
              <w:t>157,397,571</w:t>
            </w:r>
          </w:p>
        </w:tc>
        <w:tc>
          <w:tcPr>
            <w:tcW w:w="438" w:type="pct"/>
            <w:vAlign w:val="center"/>
          </w:tcPr>
          <w:p>
            <w:pPr>
              <w:jc w:val="right"/>
              <w:rPr>
                <w:color w:val="000000"/>
                <w:szCs w:val="21"/>
              </w:rPr>
            </w:pPr>
            <w:r>
              <w:rPr>
                <w:rFonts w:hint="eastAsia"/>
                <w:color w:val="000000"/>
                <w:szCs w:val="21"/>
              </w:rPr>
              <w:t>7,282,797</w:t>
            </w:r>
          </w:p>
        </w:tc>
        <w:tc>
          <w:tcPr>
            <w:tcW w:w="439" w:type="pct"/>
            <w:vAlign w:val="center"/>
          </w:tcPr>
          <w:p>
            <w:pPr>
              <w:jc w:val="right"/>
              <w:rPr>
                <w:color w:val="000000"/>
                <w:szCs w:val="21"/>
              </w:rPr>
            </w:pPr>
            <w:r>
              <w:rPr>
                <w:color w:val="000000"/>
                <w:szCs w:val="21"/>
              </w:rPr>
              <w:t>6,337,185</w:t>
            </w:r>
          </w:p>
        </w:tc>
        <w:tc>
          <w:tcPr>
            <w:tcW w:w="406" w:type="pct"/>
            <w:vAlign w:val="center"/>
          </w:tcPr>
          <w:p>
            <w:pPr>
              <w:jc w:val="right"/>
              <w:rPr>
                <w:color w:val="000000"/>
                <w:szCs w:val="21"/>
              </w:rPr>
            </w:pPr>
            <w:r>
              <w:rPr>
                <w:rFonts w:hint="eastAsia"/>
                <w:color w:val="000000"/>
                <w:szCs w:val="21"/>
              </w:rPr>
              <w:t>1,103,196</w:t>
            </w:r>
          </w:p>
        </w:tc>
        <w:tc>
          <w:tcPr>
            <w:tcW w:w="438" w:type="pct"/>
            <w:vAlign w:val="center"/>
          </w:tcPr>
          <w:p>
            <w:pPr>
              <w:jc w:val="right"/>
              <w:rPr>
                <w:color w:val="000000"/>
                <w:szCs w:val="21"/>
              </w:rPr>
            </w:pPr>
            <w:r>
              <w:rPr>
                <w:rFonts w:hint="eastAsia"/>
                <w:color w:val="000000"/>
                <w:szCs w:val="21"/>
              </w:rPr>
              <w:t>2,126,943</w:t>
            </w:r>
          </w:p>
        </w:tc>
        <w:tc>
          <w:tcPr>
            <w:tcW w:w="471" w:type="pct"/>
            <w:vAlign w:val="center"/>
          </w:tcPr>
          <w:p>
            <w:pPr>
              <w:jc w:val="right"/>
              <w:rPr>
                <w:color w:val="000000"/>
                <w:szCs w:val="21"/>
              </w:rPr>
            </w:pPr>
            <w:r>
              <w:rPr>
                <w:rFonts w:hint="eastAsia"/>
                <w:color w:val="000000"/>
                <w:szCs w:val="21"/>
              </w:rPr>
              <w:t>146,412,977</w:t>
            </w:r>
          </w:p>
        </w:tc>
        <w:tc>
          <w:tcPr>
            <w:tcW w:w="438" w:type="pct"/>
            <w:vAlign w:val="center"/>
          </w:tcPr>
          <w:p>
            <w:pPr>
              <w:jc w:val="right"/>
              <w:rPr>
                <w:color w:val="000000"/>
                <w:szCs w:val="21"/>
              </w:rPr>
            </w:pPr>
            <w:r>
              <w:rPr>
                <w:rFonts w:hint="eastAsia"/>
                <w:color w:val="000000"/>
                <w:szCs w:val="21"/>
              </w:rPr>
              <w:t>10,378,345</w:t>
            </w:r>
          </w:p>
        </w:tc>
        <w:tc>
          <w:tcPr>
            <w:tcW w:w="437" w:type="pct"/>
            <w:vAlign w:val="center"/>
          </w:tcPr>
          <w:p>
            <w:pPr>
              <w:jc w:val="right"/>
              <w:rPr>
                <w:color w:val="000000"/>
                <w:szCs w:val="21"/>
              </w:rPr>
            </w:pPr>
            <w:r>
              <w:rPr>
                <w:rFonts w:hint="eastAsia"/>
                <w:color w:val="000000"/>
                <w:szCs w:val="21"/>
              </w:rPr>
              <w:t>7,627,997</w:t>
            </w:r>
          </w:p>
        </w:tc>
      </w:tr>
      <w:tr>
        <w:trPr>
          <w:jc w:val="center"/>
        </w:trPr>
        <w:tc>
          <w:tcPr>
            <w:tcW w:w="620" w:type="pct"/>
            <w:shd w:val="clear" w:color="auto" w:fill="auto"/>
            <w:vAlign w:val="center"/>
          </w:tcPr>
          <w:p>
            <w:pPr>
              <w:rPr>
                <w:color w:val="000000"/>
                <w:szCs w:val="21"/>
              </w:rPr>
            </w:pPr>
            <w:r>
              <w:rPr>
                <w:rFonts w:hint="eastAsia"/>
                <w:color w:val="000000"/>
                <w:szCs w:val="21"/>
              </w:rPr>
              <w:t>其他权益工具</w:t>
            </w:r>
          </w:p>
        </w:tc>
        <w:tc>
          <w:tcPr>
            <w:tcW w:w="406" w:type="pct"/>
            <w:shd w:val="clear" w:color="auto" w:fill="auto"/>
            <w:vAlign w:val="center"/>
          </w:tcPr>
          <w:p>
            <w:pPr>
              <w:jc w:val="right"/>
              <w:rPr>
                <w:color w:val="000000"/>
                <w:szCs w:val="21"/>
              </w:rPr>
            </w:pPr>
          </w:p>
        </w:tc>
        <w:tc>
          <w:tcPr>
            <w:tcW w:w="438" w:type="pct"/>
            <w:shd w:val="clear" w:color="auto" w:fill="auto"/>
            <w:vAlign w:val="center"/>
          </w:tcPr>
          <w:p>
            <w:pPr>
              <w:rPr>
                <w:color w:val="000000"/>
                <w:szCs w:val="21"/>
              </w:rPr>
            </w:pPr>
          </w:p>
        </w:tc>
        <w:tc>
          <w:tcPr>
            <w:tcW w:w="471" w:type="pct"/>
            <w:vAlign w:val="center"/>
          </w:tcPr>
          <w:p>
            <w:pPr>
              <w:jc w:val="right"/>
              <w:rPr>
                <w:color w:val="000000"/>
                <w:szCs w:val="21"/>
              </w:rPr>
            </w:pPr>
            <w:r>
              <w:rPr>
                <w:rFonts w:hint="eastAsia"/>
                <w:color w:val="000000"/>
                <w:szCs w:val="21"/>
              </w:rPr>
              <w:t>1,998,493</w:t>
            </w:r>
          </w:p>
        </w:tc>
        <w:tc>
          <w:tcPr>
            <w:tcW w:w="438" w:type="pct"/>
            <w:vAlign w:val="center"/>
          </w:tcPr>
          <w:p>
            <w:pPr>
              <w:rPr>
                <w:color w:val="000000"/>
                <w:szCs w:val="21"/>
              </w:rPr>
            </w:pPr>
          </w:p>
        </w:tc>
        <w:tc>
          <w:tcPr>
            <w:tcW w:w="439" w:type="pct"/>
            <w:vAlign w:val="center"/>
          </w:tcPr>
          <w:p>
            <w:pPr>
              <w:rPr>
                <w:color w:val="000000"/>
                <w:szCs w:val="21"/>
              </w:rPr>
            </w:pPr>
          </w:p>
        </w:tc>
        <w:tc>
          <w:tcPr>
            <w:tcW w:w="406" w:type="pct"/>
            <w:vAlign w:val="center"/>
          </w:tcPr>
          <w:p>
            <w:pPr>
              <w:jc w:val="right"/>
              <w:rPr>
                <w:color w:val="000000"/>
                <w:szCs w:val="21"/>
              </w:rPr>
            </w:pPr>
          </w:p>
        </w:tc>
        <w:tc>
          <w:tcPr>
            <w:tcW w:w="438" w:type="pct"/>
            <w:vAlign w:val="center"/>
          </w:tcPr>
          <w:p>
            <w:pPr>
              <w:jc w:val="right"/>
              <w:rPr>
                <w:color w:val="000000"/>
                <w:szCs w:val="21"/>
              </w:rPr>
            </w:pPr>
          </w:p>
        </w:tc>
        <w:tc>
          <w:tcPr>
            <w:tcW w:w="471" w:type="pct"/>
            <w:vAlign w:val="center"/>
          </w:tcPr>
          <w:p>
            <w:pPr>
              <w:jc w:val="right"/>
              <w:rPr>
                <w:color w:val="000000"/>
                <w:szCs w:val="21"/>
              </w:rPr>
            </w:pPr>
            <w:r>
              <w:rPr>
                <w:rFonts w:hint="eastAsia"/>
                <w:color w:val="000000"/>
                <w:szCs w:val="21"/>
              </w:rPr>
              <w:t>1,998,493</w:t>
            </w:r>
          </w:p>
        </w:tc>
        <w:tc>
          <w:tcPr>
            <w:tcW w:w="438" w:type="pct"/>
            <w:vAlign w:val="center"/>
          </w:tcPr>
          <w:p>
            <w:pPr>
              <w:jc w:val="right"/>
              <w:rPr>
                <w:color w:val="000000"/>
                <w:szCs w:val="21"/>
              </w:rPr>
            </w:pPr>
          </w:p>
        </w:tc>
        <w:tc>
          <w:tcPr>
            <w:tcW w:w="437" w:type="pct"/>
            <w:vAlign w:val="center"/>
          </w:tcPr>
          <w:p>
            <w:pPr>
              <w:jc w:val="right"/>
              <w:rPr>
                <w:color w:val="000000"/>
                <w:szCs w:val="21"/>
              </w:rPr>
            </w:pPr>
          </w:p>
        </w:tc>
      </w:tr>
      <w:tr>
        <w:trPr>
          <w:jc w:val="center"/>
        </w:trPr>
        <w:tc>
          <w:tcPr>
            <w:tcW w:w="620" w:type="pct"/>
            <w:shd w:val="clear" w:color="auto" w:fill="auto"/>
            <w:vAlign w:val="center"/>
          </w:tcPr>
          <w:p>
            <w:pPr>
              <w:rPr>
                <w:color w:val="000000"/>
                <w:szCs w:val="21"/>
              </w:rPr>
            </w:pPr>
            <w:r>
              <w:rPr>
                <w:rFonts w:hint="eastAsia"/>
                <w:color w:val="000000"/>
                <w:szCs w:val="21"/>
              </w:rPr>
              <w:t>少数股东权益</w:t>
            </w:r>
          </w:p>
        </w:tc>
        <w:tc>
          <w:tcPr>
            <w:tcW w:w="406" w:type="pct"/>
            <w:shd w:val="clear" w:color="auto" w:fill="auto"/>
            <w:vAlign w:val="center"/>
          </w:tcPr>
          <w:p>
            <w:pPr>
              <w:jc w:val="right"/>
              <w:rPr>
                <w:color w:val="000000"/>
                <w:szCs w:val="21"/>
              </w:rPr>
            </w:pPr>
          </w:p>
        </w:tc>
        <w:tc>
          <w:tcPr>
            <w:tcW w:w="438" w:type="pct"/>
            <w:shd w:val="clear" w:color="auto" w:fill="auto"/>
            <w:vAlign w:val="center"/>
          </w:tcPr>
          <w:p>
            <w:pPr>
              <w:jc w:val="right"/>
              <w:rPr>
                <w:color w:val="000000"/>
                <w:szCs w:val="21"/>
              </w:rPr>
            </w:pPr>
            <w:r>
              <w:rPr>
                <w:rFonts w:hint="eastAsia"/>
                <w:color w:val="000000"/>
                <w:szCs w:val="21"/>
              </w:rPr>
              <w:t>378,916</w:t>
            </w:r>
          </w:p>
        </w:tc>
        <w:tc>
          <w:tcPr>
            <w:tcW w:w="471" w:type="pct"/>
            <w:vAlign w:val="center"/>
          </w:tcPr>
          <w:p>
            <w:pPr>
              <w:rPr>
                <w:color w:val="000000"/>
                <w:szCs w:val="21"/>
              </w:rPr>
            </w:pPr>
          </w:p>
        </w:tc>
        <w:tc>
          <w:tcPr>
            <w:tcW w:w="438" w:type="pct"/>
            <w:vAlign w:val="center"/>
          </w:tcPr>
          <w:p>
            <w:pPr>
              <w:rPr>
                <w:color w:val="000000"/>
                <w:szCs w:val="21"/>
              </w:rPr>
            </w:pPr>
          </w:p>
        </w:tc>
        <w:tc>
          <w:tcPr>
            <w:tcW w:w="439" w:type="pct"/>
            <w:vAlign w:val="center"/>
          </w:tcPr>
          <w:p>
            <w:pPr>
              <w:rPr>
                <w:color w:val="000000"/>
                <w:szCs w:val="21"/>
              </w:rPr>
            </w:pPr>
          </w:p>
        </w:tc>
        <w:tc>
          <w:tcPr>
            <w:tcW w:w="406" w:type="pct"/>
            <w:vAlign w:val="center"/>
          </w:tcPr>
          <w:p>
            <w:pPr>
              <w:jc w:val="right"/>
              <w:rPr>
                <w:color w:val="000000"/>
                <w:szCs w:val="21"/>
              </w:rPr>
            </w:pPr>
          </w:p>
        </w:tc>
        <w:tc>
          <w:tcPr>
            <w:tcW w:w="438" w:type="pct"/>
            <w:vAlign w:val="center"/>
          </w:tcPr>
          <w:p>
            <w:pPr>
              <w:jc w:val="right"/>
              <w:rPr>
                <w:color w:val="000000"/>
                <w:szCs w:val="21"/>
              </w:rPr>
            </w:pPr>
            <w:r>
              <w:rPr>
                <w:rFonts w:hint="eastAsia"/>
                <w:color w:val="000000"/>
                <w:szCs w:val="21"/>
              </w:rPr>
              <w:t>387,939</w:t>
            </w:r>
          </w:p>
        </w:tc>
        <w:tc>
          <w:tcPr>
            <w:tcW w:w="471" w:type="pct"/>
            <w:vAlign w:val="center"/>
          </w:tcPr>
          <w:p>
            <w:pPr>
              <w:jc w:val="right"/>
              <w:rPr>
                <w:color w:val="000000"/>
                <w:szCs w:val="21"/>
              </w:rPr>
            </w:pPr>
          </w:p>
        </w:tc>
        <w:tc>
          <w:tcPr>
            <w:tcW w:w="438" w:type="pct"/>
            <w:vAlign w:val="center"/>
          </w:tcPr>
          <w:p>
            <w:pPr>
              <w:jc w:val="right"/>
              <w:rPr>
                <w:color w:val="000000"/>
                <w:szCs w:val="21"/>
              </w:rPr>
            </w:pPr>
          </w:p>
        </w:tc>
        <w:tc>
          <w:tcPr>
            <w:tcW w:w="437" w:type="pct"/>
            <w:vAlign w:val="center"/>
          </w:tcPr>
          <w:p>
            <w:pPr>
              <w:jc w:val="right"/>
              <w:rPr>
                <w:color w:val="000000"/>
                <w:szCs w:val="21"/>
              </w:rPr>
            </w:pPr>
            <w:r>
              <w:rPr>
                <w:rFonts w:hint="eastAsia"/>
                <w:color w:val="000000"/>
                <w:szCs w:val="21"/>
              </w:rPr>
              <w:t>10,938</w:t>
            </w:r>
          </w:p>
        </w:tc>
      </w:tr>
      <w:tr>
        <w:trPr>
          <w:jc w:val="center"/>
        </w:trPr>
        <w:tc>
          <w:tcPr>
            <w:tcW w:w="620" w:type="pct"/>
            <w:shd w:val="clear" w:color="auto" w:fill="auto"/>
            <w:vAlign w:val="center"/>
          </w:tcPr>
          <w:p>
            <w:pPr>
              <w:rPr>
                <w:color w:val="000000"/>
                <w:szCs w:val="21"/>
              </w:rPr>
            </w:pPr>
            <w:r>
              <w:rPr>
                <w:rFonts w:hint="eastAsia"/>
                <w:color w:val="000000"/>
                <w:szCs w:val="21"/>
              </w:rPr>
              <w:t>归属于母公司股东权益</w:t>
            </w:r>
          </w:p>
        </w:tc>
        <w:tc>
          <w:tcPr>
            <w:tcW w:w="406" w:type="pct"/>
            <w:shd w:val="clear" w:color="auto" w:fill="auto"/>
            <w:vAlign w:val="center"/>
          </w:tcPr>
          <w:p>
            <w:pPr>
              <w:jc w:val="right"/>
              <w:rPr>
                <w:color w:val="000000"/>
                <w:szCs w:val="21"/>
              </w:rPr>
            </w:pPr>
            <w:r>
              <w:rPr>
                <w:color w:val="000000"/>
                <w:szCs w:val="21"/>
              </w:rPr>
              <w:t>3,688,355</w:t>
            </w:r>
          </w:p>
        </w:tc>
        <w:tc>
          <w:tcPr>
            <w:tcW w:w="438" w:type="pct"/>
            <w:shd w:val="clear" w:color="auto" w:fill="auto"/>
            <w:vAlign w:val="center"/>
          </w:tcPr>
          <w:p>
            <w:pPr>
              <w:jc w:val="right"/>
              <w:rPr>
                <w:color w:val="000000"/>
                <w:szCs w:val="21"/>
              </w:rPr>
            </w:pPr>
            <w:r>
              <w:rPr>
                <w:rFonts w:hint="eastAsia"/>
                <w:color w:val="000000"/>
                <w:szCs w:val="21"/>
              </w:rPr>
              <w:t>8,613,882</w:t>
            </w:r>
          </w:p>
        </w:tc>
        <w:tc>
          <w:tcPr>
            <w:tcW w:w="471" w:type="pct"/>
            <w:vAlign w:val="center"/>
          </w:tcPr>
          <w:p>
            <w:pPr>
              <w:jc w:val="right"/>
              <w:rPr>
                <w:color w:val="000000"/>
                <w:szCs w:val="21"/>
              </w:rPr>
            </w:pPr>
            <w:r>
              <w:rPr>
                <w:rFonts w:hint="eastAsia"/>
                <w:color w:val="000000"/>
                <w:szCs w:val="21"/>
              </w:rPr>
              <w:t>11,796,188</w:t>
            </w:r>
          </w:p>
        </w:tc>
        <w:tc>
          <w:tcPr>
            <w:tcW w:w="438" w:type="pct"/>
            <w:vAlign w:val="center"/>
          </w:tcPr>
          <w:p>
            <w:pPr>
              <w:jc w:val="right"/>
              <w:rPr>
                <w:color w:val="000000"/>
                <w:szCs w:val="21"/>
              </w:rPr>
            </w:pPr>
            <w:r>
              <w:rPr>
                <w:color w:val="000000"/>
                <w:szCs w:val="21"/>
              </w:rPr>
              <w:t>5,024,564</w:t>
            </w:r>
          </w:p>
        </w:tc>
        <w:tc>
          <w:tcPr>
            <w:tcW w:w="439" w:type="pct"/>
            <w:vAlign w:val="center"/>
          </w:tcPr>
          <w:p>
            <w:pPr>
              <w:jc w:val="right"/>
              <w:rPr>
                <w:color w:val="000000"/>
                <w:szCs w:val="21"/>
              </w:rPr>
            </w:pPr>
            <w:r>
              <w:rPr>
                <w:rFonts w:hint="eastAsia"/>
                <w:color w:val="000000"/>
                <w:szCs w:val="21"/>
              </w:rPr>
              <w:t>8,911,308</w:t>
            </w:r>
          </w:p>
        </w:tc>
        <w:tc>
          <w:tcPr>
            <w:tcW w:w="406" w:type="pct"/>
            <w:vAlign w:val="center"/>
          </w:tcPr>
          <w:p>
            <w:pPr>
              <w:jc w:val="right"/>
              <w:rPr>
                <w:color w:val="000000"/>
                <w:szCs w:val="21"/>
              </w:rPr>
            </w:pPr>
            <w:r>
              <w:rPr>
                <w:rFonts w:hint="eastAsia"/>
                <w:color w:val="000000"/>
                <w:szCs w:val="21"/>
              </w:rPr>
              <w:t>3,653,175</w:t>
            </w:r>
          </w:p>
        </w:tc>
        <w:tc>
          <w:tcPr>
            <w:tcW w:w="438" w:type="pct"/>
            <w:vAlign w:val="center"/>
          </w:tcPr>
          <w:p>
            <w:pPr>
              <w:jc w:val="right"/>
              <w:rPr>
                <w:color w:val="000000"/>
                <w:szCs w:val="21"/>
              </w:rPr>
            </w:pPr>
            <w:r>
              <w:rPr>
                <w:rFonts w:hint="eastAsia"/>
                <w:color w:val="000000"/>
                <w:szCs w:val="21"/>
              </w:rPr>
              <w:t>8,613,257</w:t>
            </w:r>
          </w:p>
        </w:tc>
        <w:tc>
          <w:tcPr>
            <w:tcW w:w="471" w:type="pct"/>
            <w:vAlign w:val="center"/>
          </w:tcPr>
          <w:p>
            <w:pPr>
              <w:jc w:val="right"/>
              <w:rPr>
                <w:color w:val="000000"/>
                <w:szCs w:val="21"/>
              </w:rPr>
            </w:pPr>
            <w:r>
              <w:rPr>
                <w:rFonts w:hint="eastAsia"/>
                <w:color w:val="000000"/>
                <w:szCs w:val="21"/>
              </w:rPr>
              <w:t>9,143,515</w:t>
            </w:r>
          </w:p>
        </w:tc>
        <w:tc>
          <w:tcPr>
            <w:tcW w:w="438" w:type="pct"/>
            <w:vAlign w:val="center"/>
          </w:tcPr>
          <w:p>
            <w:pPr>
              <w:jc w:val="right"/>
              <w:rPr>
                <w:color w:val="000000"/>
                <w:szCs w:val="21"/>
              </w:rPr>
            </w:pPr>
            <w:r>
              <w:rPr>
                <w:rFonts w:hint="eastAsia"/>
                <w:color w:val="000000"/>
                <w:szCs w:val="21"/>
              </w:rPr>
              <w:t>4,227,516</w:t>
            </w:r>
          </w:p>
        </w:tc>
        <w:tc>
          <w:tcPr>
            <w:tcW w:w="437" w:type="pct"/>
            <w:vAlign w:val="center"/>
          </w:tcPr>
          <w:p>
            <w:pPr>
              <w:jc w:val="right"/>
              <w:rPr>
                <w:color w:val="000000"/>
                <w:szCs w:val="21"/>
              </w:rPr>
            </w:pPr>
            <w:r>
              <w:rPr>
                <w:rFonts w:hint="eastAsia"/>
                <w:color w:val="000000"/>
                <w:szCs w:val="21"/>
              </w:rPr>
              <w:t>8,102,117</w:t>
            </w:r>
          </w:p>
        </w:tc>
      </w:tr>
      <w:tr>
        <w:trPr>
          <w:jc w:val="center"/>
        </w:trPr>
        <w:tc>
          <w:tcPr>
            <w:tcW w:w="620" w:type="pct"/>
            <w:shd w:val="clear" w:color="auto" w:fill="auto"/>
            <w:vAlign w:val="center"/>
          </w:tcPr>
          <w:p>
            <w:pPr>
              <w:rPr>
                <w:color w:val="000000"/>
                <w:szCs w:val="21"/>
              </w:rPr>
            </w:pPr>
            <w:r>
              <w:rPr>
                <w:rFonts w:hint="eastAsia"/>
                <w:color w:val="000000"/>
                <w:szCs w:val="21"/>
              </w:rPr>
              <w:t>按持股比例计算的净资产份额</w:t>
            </w:r>
          </w:p>
        </w:tc>
        <w:tc>
          <w:tcPr>
            <w:tcW w:w="406" w:type="pct"/>
            <w:shd w:val="clear" w:color="auto" w:fill="auto"/>
            <w:vAlign w:val="center"/>
          </w:tcPr>
          <w:p>
            <w:pPr>
              <w:jc w:val="right"/>
              <w:rPr>
                <w:color w:val="000000"/>
                <w:szCs w:val="21"/>
              </w:rPr>
            </w:pPr>
            <w:r>
              <w:rPr>
                <w:color w:val="000000"/>
                <w:szCs w:val="21"/>
              </w:rPr>
              <w:t>1,108,667</w:t>
            </w:r>
          </w:p>
        </w:tc>
        <w:tc>
          <w:tcPr>
            <w:tcW w:w="438" w:type="pct"/>
            <w:shd w:val="clear" w:color="auto" w:fill="auto"/>
            <w:vAlign w:val="center"/>
          </w:tcPr>
          <w:p>
            <w:pPr>
              <w:jc w:val="right"/>
              <w:rPr>
                <w:color w:val="000000"/>
                <w:szCs w:val="21"/>
              </w:rPr>
            </w:pPr>
            <w:r>
              <w:rPr>
                <w:rFonts w:hint="eastAsia"/>
                <w:color w:val="000000"/>
                <w:szCs w:val="21"/>
              </w:rPr>
              <w:t>1,631,478</w:t>
            </w:r>
          </w:p>
        </w:tc>
        <w:tc>
          <w:tcPr>
            <w:tcW w:w="471" w:type="pct"/>
            <w:vAlign w:val="center"/>
          </w:tcPr>
          <w:p>
            <w:pPr>
              <w:jc w:val="right"/>
              <w:rPr>
                <w:color w:val="000000"/>
                <w:szCs w:val="21"/>
              </w:rPr>
            </w:pPr>
            <w:r>
              <w:rPr>
                <w:rFonts w:hint="eastAsia"/>
                <w:color w:val="000000"/>
                <w:szCs w:val="21"/>
              </w:rPr>
              <w:t>2,005,352</w:t>
            </w:r>
          </w:p>
        </w:tc>
        <w:tc>
          <w:tcPr>
            <w:tcW w:w="438" w:type="pct"/>
            <w:vAlign w:val="center"/>
          </w:tcPr>
          <w:p>
            <w:pPr>
              <w:jc w:val="right"/>
              <w:rPr>
                <w:color w:val="000000"/>
                <w:szCs w:val="21"/>
              </w:rPr>
            </w:pPr>
            <w:r>
              <w:rPr>
                <w:rFonts w:hint="eastAsia"/>
                <w:color w:val="000000"/>
                <w:szCs w:val="21"/>
              </w:rPr>
              <w:t>2,099,069</w:t>
            </w:r>
          </w:p>
        </w:tc>
        <w:tc>
          <w:tcPr>
            <w:tcW w:w="439" w:type="pct"/>
            <w:vAlign w:val="center"/>
          </w:tcPr>
          <w:p>
            <w:pPr>
              <w:jc w:val="right"/>
              <w:rPr>
                <w:color w:val="000000"/>
                <w:szCs w:val="21"/>
              </w:rPr>
            </w:pPr>
            <w:r>
              <w:rPr>
                <w:rFonts w:hint="eastAsia"/>
                <w:color w:val="000000"/>
                <w:szCs w:val="21"/>
              </w:rPr>
              <w:t>3,926,322</w:t>
            </w:r>
          </w:p>
        </w:tc>
        <w:tc>
          <w:tcPr>
            <w:tcW w:w="406" w:type="pct"/>
            <w:vAlign w:val="center"/>
          </w:tcPr>
          <w:p>
            <w:pPr>
              <w:jc w:val="right"/>
              <w:rPr>
                <w:color w:val="000000"/>
                <w:szCs w:val="21"/>
              </w:rPr>
            </w:pPr>
            <w:r>
              <w:rPr>
                <w:rFonts w:hint="eastAsia"/>
                <w:color w:val="000000"/>
                <w:szCs w:val="21"/>
              </w:rPr>
              <w:t>1,095,952</w:t>
            </w:r>
          </w:p>
        </w:tc>
        <w:tc>
          <w:tcPr>
            <w:tcW w:w="438" w:type="pct"/>
            <w:vAlign w:val="center"/>
          </w:tcPr>
          <w:p>
            <w:pPr>
              <w:jc w:val="right"/>
              <w:rPr>
                <w:color w:val="000000"/>
                <w:szCs w:val="21"/>
              </w:rPr>
            </w:pPr>
            <w:r>
              <w:rPr>
                <w:rFonts w:hint="eastAsia"/>
                <w:color w:val="000000"/>
                <w:szCs w:val="21"/>
              </w:rPr>
              <w:t>1,631,359</w:t>
            </w:r>
          </w:p>
        </w:tc>
        <w:tc>
          <w:tcPr>
            <w:tcW w:w="471" w:type="pct"/>
            <w:vAlign w:val="center"/>
          </w:tcPr>
          <w:p>
            <w:pPr>
              <w:jc w:val="right"/>
              <w:rPr>
                <w:color w:val="000000"/>
                <w:szCs w:val="21"/>
              </w:rPr>
            </w:pPr>
            <w:r>
              <w:rPr>
                <w:rFonts w:hint="eastAsia"/>
                <w:color w:val="000000"/>
                <w:szCs w:val="21"/>
              </w:rPr>
              <w:t>1,554,397</w:t>
            </w:r>
          </w:p>
        </w:tc>
        <w:tc>
          <w:tcPr>
            <w:tcW w:w="438" w:type="pct"/>
            <w:vAlign w:val="center"/>
          </w:tcPr>
          <w:p>
            <w:pPr>
              <w:jc w:val="right"/>
              <w:rPr>
                <w:color w:val="000000"/>
                <w:szCs w:val="21"/>
              </w:rPr>
            </w:pPr>
            <w:r>
              <w:rPr>
                <w:rFonts w:hint="eastAsia"/>
                <w:color w:val="000000"/>
                <w:szCs w:val="21"/>
              </w:rPr>
              <w:t>1,902,382</w:t>
            </w:r>
          </w:p>
        </w:tc>
        <w:tc>
          <w:tcPr>
            <w:tcW w:w="437" w:type="pct"/>
            <w:vAlign w:val="center"/>
          </w:tcPr>
          <w:p>
            <w:pPr>
              <w:jc w:val="right"/>
              <w:rPr>
                <w:color w:val="000000"/>
                <w:szCs w:val="21"/>
              </w:rPr>
            </w:pPr>
            <w:r>
              <w:rPr>
                <w:rFonts w:hint="eastAsia"/>
                <w:color w:val="000000"/>
                <w:szCs w:val="21"/>
              </w:rPr>
              <w:t>3,585,187</w:t>
            </w:r>
          </w:p>
        </w:tc>
      </w:tr>
      <w:tr>
        <w:trPr>
          <w:jc w:val="center"/>
        </w:trPr>
        <w:tc>
          <w:tcPr>
            <w:tcW w:w="620" w:type="pct"/>
            <w:shd w:val="clear" w:color="auto" w:fill="auto"/>
            <w:vAlign w:val="center"/>
          </w:tcPr>
          <w:p>
            <w:pPr>
              <w:rPr>
                <w:color w:val="000000"/>
                <w:szCs w:val="21"/>
              </w:rPr>
            </w:pPr>
            <w:r>
              <w:rPr>
                <w:rFonts w:hint="eastAsia"/>
                <w:color w:val="000000"/>
                <w:szCs w:val="21"/>
              </w:rPr>
              <w:t>--其他</w:t>
            </w:r>
          </w:p>
        </w:tc>
        <w:tc>
          <w:tcPr>
            <w:tcW w:w="406" w:type="pct"/>
            <w:shd w:val="clear" w:color="auto" w:fill="auto"/>
            <w:vAlign w:val="center"/>
          </w:tcPr>
          <w:p>
            <w:pPr>
              <w:jc w:val="right"/>
              <w:rPr>
                <w:color w:val="000000"/>
                <w:szCs w:val="21"/>
              </w:rPr>
            </w:pPr>
            <w:r>
              <w:rPr>
                <w:color w:val="000000"/>
                <w:szCs w:val="21"/>
              </w:rPr>
              <w:t>6,247</w:t>
            </w:r>
          </w:p>
        </w:tc>
        <w:tc>
          <w:tcPr>
            <w:tcW w:w="438" w:type="pct"/>
            <w:shd w:val="clear" w:color="auto" w:fill="auto"/>
            <w:vAlign w:val="center"/>
          </w:tcPr>
          <w:p>
            <w:pPr>
              <w:jc w:val="right"/>
              <w:rPr>
                <w:color w:val="000000"/>
                <w:szCs w:val="21"/>
              </w:rPr>
            </w:pPr>
            <w:r>
              <w:rPr>
                <w:color w:val="000000"/>
                <w:szCs w:val="21"/>
              </w:rPr>
              <w:t>-590,069</w:t>
            </w:r>
          </w:p>
        </w:tc>
        <w:tc>
          <w:tcPr>
            <w:tcW w:w="471" w:type="pct"/>
            <w:vAlign w:val="center"/>
          </w:tcPr>
          <w:p>
            <w:pPr>
              <w:jc w:val="right"/>
              <w:rPr>
                <w:color w:val="000000"/>
                <w:szCs w:val="21"/>
              </w:rPr>
            </w:pPr>
            <w:r>
              <w:rPr>
                <w:color w:val="000000"/>
                <w:szCs w:val="21"/>
              </w:rPr>
              <w:t>-232,527</w:t>
            </w:r>
          </w:p>
        </w:tc>
        <w:tc>
          <w:tcPr>
            <w:tcW w:w="438" w:type="pct"/>
            <w:vAlign w:val="center"/>
          </w:tcPr>
          <w:p>
            <w:pPr>
              <w:rPr>
                <w:color w:val="000000"/>
                <w:szCs w:val="21"/>
              </w:rPr>
            </w:pPr>
          </w:p>
        </w:tc>
        <w:tc>
          <w:tcPr>
            <w:tcW w:w="439" w:type="pct"/>
            <w:vAlign w:val="center"/>
          </w:tcPr>
          <w:p>
            <w:pPr>
              <w:jc w:val="right"/>
              <w:rPr>
                <w:color w:val="000000"/>
                <w:szCs w:val="21"/>
              </w:rPr>
            </w:pPr>
            <w:r>
              <w:rPr>
                <w:color w:val="000000"/>
                <w:szCs w:val="21"/>
              </w:rPr>
              <w:t>-807,868</w:t>
            </w:r>
          </w:p>
        </w:tc>
        <w:tc>
          <w:tcPr>
            <w:tcW w:w="406" w:type="pct"/>
            <w:vAlign w:val="center"/>
          </w:tcPr>
          <w:p>
            <w:pPr>
              <w:jc w:val="right"/>
              <w:rPr>
                <w:color w:val="000000"/>
                <w:szCs w:val="21"/>
              </w:rPr>
            </w:pPr>
          </w:p>
        </w:tc>
        <w:tc>
          <w:tcPr>
            <w:tcW w:w="438" w:type="pct"/>
            <w:vAlign w:val="center"/>
          </w:tcPr>
          <w:p>
            <w:pPr>
              <w:jc w:val="right"/>
              <w:rPr>
                <w:color w:val="000000"/>
                <w:szCs w:val="21"/>
              </w:rPr>
            </w:pPr>
            <w:r>
              <w:rPr>
                <w:rFonts w:hint="eastAsia"/>
                <w:color w:val="000000"/>
                <w:szCs w:val="21"/>
              </w:rPr>
              <w:t>574,663</w:t>
            </w:r>
          </w:p>
        </w:tc>
        <w:tc>
          <w:tcPr>
            <w:tcW w:w="471" w:type="pct"/>
            <w:vAlign w:val="center"/>
          </w:tcPr>
          <w:p>
            <w:pPr>
              <w:jc w:val="right"/>
              <w:rPr>
                <w:color w:val="000000"/>
                <w:szCs w:val="21"/>
              </w:rPr>
            </w:pPr>
            <w:r>
              <w:rPr>
                <w:rFonts w:hint="eastAsia"/>
                <w:color w:val="000000"/>
                <w:szCs w:val="21"/>
              </w:rPr>
              <w:t>602,362</w:t>
            </w:r>
          </w:p>
        </w:tc>
        <w:tc>
          <w:tcPr>
            <w:tcW w:w="438" w:type="pct"/>
            <w:vAlign w:val="center"/>
          </w:tcPr>
          <w:p>
            <w:pPr>
              <w:jc w:val="right"/>
              <w:rPr>
                <w:color w:val="000000"/>
                <w:szCs w:val="21"/>
              </w:rPr>
            </w:pPr>
          </w:p>
        </w:tc>
        <w:tc>
          <w:tcPr>
            <w:tcW w:w="437" w:type="pct"/>
            <w:vAlign w:val="center"/>
          </w:tcPr>
          <w:p>
            <w:pPr>
              <w:jc w:val="right"/>
              <w:rPr>
                <w:color w:val="000000"/>
                <w:szCs w:val="21"/>
              </w:rPr>
            </w:pPr>
            <w:r>
              <w:rPr>
                <w:rFonts w:hint="eastAsia"/>
                <w:color w:val="000000"/>
                <w:szCs w:val="21"/>
              </w:rPr>
              <w:t>842,673</w:t>
            </w:r>
          </w:p>
        </w:tc>
      </w:tr>
      <w:tr>
        <w:trPr>
          <w:jc w:val="center"/>
        </w:trPr>
        <w:tc>
          <w:tcPr>
            <w:tcW w:w="620" w:type="pct"/>
            <w:shd w:val="clear" w:color="auto" w:fill="auto"/>
            <w:vAlign w:val="center"/>
          </w:tcPr>
          <w:p>
            <w:pPr>
              <w:rPr>
                <w:color w:val="000000"/>
                <w:szCs w:val="21"/>
              </w:rPr>
            </w:pPr>
            <w:r>
              <w:rPr>
                <w:rFonts w:hint="eastAsia"/>
                <w:color w:val="000000"/>
                <w:szCs w:val="21"/>
              </w:rPr>
              <w:t>对联营企业权益投资的账面价值</w:t>
            </w:r>
          </w:p>
        </w:tc>
        <w:tc>
          <w:tcPr>
            <w:tcW w:w="406" w:type="pct"/>
            <w:shd w:val="clear" w:color="auto" w:fill="auto"/>
            <w:vAlign w:val="center"/>
          </w:tcPr>
          <w:p>
            <w:pPr>
              <w:jc w:val="right"/>
              <w:rPr>
                <w:color w:val="000000"/>
                <w:szCs w:val="21"/>
              </w:rPr>
            </w:pPr>
            <w:r>
              <w:rPr>
                <w:rFonts w:hint="eastAsia"/>
                <w:color w:val="000000"/>
                <w:szCs w:val="21"/>
              </w:rPr>
              <w:t>1,102,420</w:t>
            </w:r>
          </w:p>
        </w:tc>
        <w:tc>
          <w:tcPr>
            <w:tcW w:w="438" w:type="pct"/>
            <w:shd w:val="clear" w:color="auto" w:fill="auto"/>
            <w:vAlign w:val="center"/>
          </w:tcPr>
          <w:p>
            <w:pPr>
              <w:jc w:val="right"/>
              <w:rPr>
                <w:color w:val="000000"/>
                <w:szCs w:val="21"/>
              </w:rPr>
            </w:pPr>
            <w:r>
              <w:rPr>
                <w:color w:val="000000"/>
                <w:szCs w:val="21"/>
              </w:rPr>
              <w:t>2,221,547</w:t>
            </w:r>
          </w:p>
        </w:tc>
        <w:tc>
          <w:tcPr>
            <w:tcW w:w="471" w:type="pct"/>
            <w:vAlign w:val="center"/>
          </w:tcPr>
          <w:p>
            <w:pPr>
              <w:jc w:val="right"/>
              <w:rPr>
                <w:color w:val="000000"/>
                <w:szCs w:val="21"/>
              </w:rPr>
            </w:pPr>
            <w:r>
              <w:rPr>
                <w:rFonts w:hint="eastAsia"/>
                <w:color w:val="000000"/>
                <w:szCs w:val="21"/>
              </w:rPr>
              <w:t>2,237,879</w:t>
            </w:r>
          </w:p>
        </w:tc>
        <w:tc>
          <w:tcPr>
            <w:tcW w:w="438" w:type="pct"/>
            <w:vAlign w:val="center"/>
          </w:tcPr>
          <w:p>
            <w:pPr>
              <w:jc w:val="right"/>
              <w:rPr>
                <w:color w:val="000000"/>
                <w:szCs w:val="21"/>
              </w:rPr>
            </w:pPr>
            <w:r>
              <w:rPr>
                <w:rFonts w:hint="eastAsia"/>
                <w:color w:val="000000"/>
                <w:szCs w:val="21"/>
              </w:rPr>
              <w:t>2,099,069</w:t>
            </w:r>
          </w:p>
        </w:tc>
        <w:tc>
          <w:tcPr>
            <w:tcW w:w="439" w:type="pct"/>
            <w:vAlign w:val="center"/>
          </w:tcPr>
          <w:p>
            <w:pPr>
              <w:jc w:val="right"/>
              <w:rPr>
                <w:color w:val="000000"/>
                <w:szCs w:val="21"/>
              </w:rPr>
            </w:pPr>
            <w:r>
              <w:rPr>
                <w:rFonts w:hint="eastAsia"/>
                <w:color w:val="000000"/>
                <w:szCs w:val="21"/>
              </w:rPr>
              <w:t>4,734,190</w:t>
            </w:r>
          </w:p>
        </w:tc>
        <w:tc>
          <w:tcPr>
            <w:tcW w:w="406" w:type="pct"/>
            <w:vAlign w:val="center"/>
          </w:tcPr>
          <w:p>
            <w:pPr>
              <w:jc w:val="right"/>
              <w:rPr>
                <w:color w:val="000000"/>
                <w:szCs w:val="21"/>
              </w:rPr>
            </w:pPr>
            <w:r>
              <w:rPr>
                <w:rFonts w:hint="eastAsia"/>
                <w:color w:val="000000"/>
                <w:szCs w:val="21"/>
              </w:rPr>
              <w:t>1,095,952</w:t>
            </w:r>
          </w:p>
        </w:tc>
        <w:tc>
          <w:tcPr>
            <w:tcW w:w="438" w:type="pct"/>
            <w:vAlign w:val="center"/>
          </w:tcPr>
          <w:p>
            <w:pPr>
              <w:jc w:val="right"/>
              <w:rPr>
                <w:color w:val="000000"/>
                <w:szCs w:val="21"/>
              </w:rPr>
            </w:pPr>
            <w:r>
              <w:rPr>
                <w:rFonts w:hint="eastAsia"/>
                <w:color w:val="000000"/>
                <w:szCs w:val="21"/>
              </w:rPr>
              <w:t>2,206,022</w:t>
            </w:r>
          </w:p>
        </w:tc>
        <w:tc>
          <w:tcPr>
            <w:tcW w:w="471" w:type="pct"/>
            <w:vAlign w:val="center"/>
          </w:tcPr>
          <w:p>
            <w:pPr>
              <w:jc w:val="right"/>
              <w:rPr>
                <w:color w:val="000000"/>
                <w:szCs w:val="21"/>
              </w:rPr>
            </w:pPr>
            <w:r>
              <w:rPr>
                <w:rFonts w:hint="eastAsia"/>
                <w:color w:val="000000"/>
                <w:szCs w:val="21"/>
              </w:rPr>
              <w:t>2,156,759</w:t>
            </w:r>
          </w:p>
        </w:tc>
        <w:tc>
          <w:tcPr>
            <w:tcW w:w="438" w:type="pct"/>
            <w:vAlign w:val="center"/>
          </w:tcPr>
          <w:p>
            <w:pPr>
              <w:jc w:val="right"/>
              <w:rPr>
                <w:color w:val="000000"/>
                <w:szCs w:val="21"/>
              </w:rPr>
            </w:pPr>
            <w:r>
              <w:rPr>
                <w:rFonts w:hint="eastAsia"/>
                <w:color w:val="000000"/>
                <w:szCs w:val="21"/>
              </w:rPr>
              <w:t>1,902,382</w:t>
            </w:r>
          </w:p>
        </w:tc>
        <w:tc>
          <w:tcPr>
            <w:tcW w:w="437" w:type="pct"/>
            <w:vAlign w:val="center"/>
          </w:tcPr>
          <w:p>
            <w:pPr>
              <w:jc w:val="right"/>
              <w:rPr>
                <w:color w:val="000000"/>
                <w:szCs w:val="21"/>
              </w:rPr>
            </w:pPr>
            <w:r>
              <w:rPr>
                <w:rFonts w:hint="eastAsia"/>
                <w:color w:val="000000"/>
                <w:szCs w:val="21"/>
              </w:rPr>
              <w:t>4,427,860</w:t>
            </w:r>
          </w:p>
        </w:tc>
      </w:tr>
      <w:tr>
        <w:trPr>
          <w:jc w:val="center"/>
        </w:trPr>
        <w:tc>
          <w:tcPr>
            <w:tcW w:w="620" w:type="pct"/>
            <w:shd w:val="clear" w:color="auto" w:fill="auto"/>
            <w:vAlign w:val="center"/>
          </w:tcPr>
          <w:p>
            <w:pPr>
              <w:rPr>
                <w:color w:val="000000"/>
                <w:szCs w:val="21"/>
              </w:rPr>
            </w:pPr>
            <w:r>
              <w:rPr>
                <w:rFonts w:hint="eastAsia"/>
                <w:color w:val="000000"/>
                <w:szCs w:val="21"/>
              </w:rPr>
              <w:t>营业收入</w:t>
            </w:r>
          </w:p>
        </w:tc>
        <w:tc>
          <w:tcPr>
            <w:tcW w:w="406" w:type="pct"/>
            <w:shd w:val="clear" w:color="auto" w:fill="auto"/>
            <w:vAlign w:val="center"/>
          </w:tcPr>
          <w:p>
            <w:pPr>
              <w:jc w:val="right"/>
              <w:rPr>
                <w:color w:val="000000"/>
                <w:szCs w:val="21"/>
              </w:rPr>
            </w:pPr>
            <w:r>
              <w:rPr>
                <w:rFonts w:hint="eastAsia"/>
                <w:color w:val="000000"/>
                <w:szCs w:val="21"/>
              </w:rPr>
              <w:t>3,783,385</w:t>
            </w:r>
          </w:p>
        </w:tc>
        <w:tc>
          <w:tcPr>
            <w:tcW w:w="438" w:type="pct"/>
            <w:shd w:val="clear" w:color="auto" w:fill="auto"/>
            <w:vAlign w:val="center"/>
          </w:tcPr>
          <w:p>
            <w:pPr>
              <w:jc w:val="right"/>
              <w:rPr>
                <w:color w:val="000000"/>
                <w:szCs w:val="21"/>
              </w:rPr>
            </w:pPr>
            <w:r>
              <w:rPr>
                <w:rFonts w:hint="eastAsia"/>
                <w:color w:val="000000"/>
                <w:szCs w:val="21"/>
              </w:rPr>
              <w:t>1,942,420</w:t>
            </w:r>
          </w:p>
        </w:tc>
        <w:tc>
          <w:tcPr>
            <w:tcW w:w="471" w:type="pct"/>
            <w:vAlign w:val="center"/>
          </w:tcPr>
          <w:p>
            <w:pPr>
              <w:jc w:val="right"/>
              <w:rPr>
                <w:color w:val="000000"/>
                <w:szCs w:val="21"/>
              </w:rPr>
            </w:pPr>
            <w:r>
              <w:rPr>
                <w:rFonts w:hint="eastAsia"/>
                <w:color w:val="000000"/>
                <w:szCs w:val="21"/>
              </w:rPr>
              <w:t>3,905,476</w:t>
            </w:r>
          </w:p>
        </w:tc>
        <w:tc>
          <w:tcPr>
            <w:tcW w:w="438" w:type="pct"/>
            <w:vAlign w:val="center"/>
          </w:tcPr>
          <w:p>
            <w:pPr>
              <w:jc w:val="right"/>
              <w:rPr>
                <w:color w:val="000000"/>
                <w:szCs w:val="21"/>
              </w:rPr>
            </w:pPr>
            <w:r>
              <w:rPr>
                <w:rFonts w:hint="eastAsia"/>
                <w:color w:val="000000"/>
                <w:szCs w:val="21"/>
              </w:rPr>
              <w:t>5,630,462</w:t>
            </w:r>
          </w:p>
        </w:tc>
        <w:tc>
          <w:tcPr>
            <w:tcW w:w="439" w:type="pct"/>
            <w:vAlign w:val="center"/>
          </w:tcPr>
          <w:p>
            <w:pPr>
              <w:jc w:val="right"/>
              <w:rPr>
                <w:color w:val="000000"/>
                <w:szCs w:val="21"/>
              </w:rPr>
            </w:pPr>
            <w:r>
              <w:rPr>
                <w:rFonts w:hint="eastAsia"/>
                <w:color w:val="000000"/>
                <w:szCs w:val="21"/>
              </w:rPr>
              <w:t>18,341,919</w:t>
            </w:r>
          </w:p>
        </w:tc>
        <w:tc>
          <w:tcPr>
            <w:tcW w:w="406" w:type="pct"/>
            <w:vAlign w:val="center"/>
          </w:tcPr>
          <w:p>
            <w:pPr>
              <w:jc w:val="right"/>
              <w:rPr>
                <w:color w:val="000000"/>
                <w:szCs w:val="21"/>
              </w:rPr>
            </w:pPr>
            <w:r>
              <w:rPr>
                <w:rFonts w:hint="eastAsia"/>
                <w:color w:val="000000"/>
                <w:szCs w:val="21"/>
              </w:rPr>
              <w:t>4,091,131</w:t>
            </w:r>
          </w:p>
        </w:tc>
        <w:tc>
          <w:tcPr>
            <w:tcW w:w="438" w:type="pct"/>
            <w:vAlign w:val="center"/>
          </w:tcPr>
          <w:p>
            <w:pPr>
              <w:jc w:val="right"/>
              <w:rPr>
                <w:color w:val="000000"/>
                <w:szCs w:val="21"/>
              </w:rPr>
            </w:pPr>
            <w:r>
              <w:rPr>
                <w:rFonts w:hint="eastAsia"/>
                <w:color w:val="000000"/>
                <w:szCs w:val="21"/>
              </w:rPr>
              <w:t>2,093,359</w:t>
            </w:r>
          </w:p>
        </w:tc>
        <w:tc>
          <w:tcPr>
            <w:tcW w:w="471" w:type="pct"/>
            <w:vAlign w:val="center"/>
          </w:tcPr>
          <w:p>
            <w:pPr>
              <w:jc w:val="right"/>
              <w:rPr>
                <w:color w:val="000000"/>
                <w:szCs w:val="21"/>
              </w:rPr>
            </w:pPr>
            <w:r>
              <w:rPr>
                <w:rFonts w:hint="eastAsia"/>
                <w:color w:val="000000"/>
                <w:szCs w:val="21"/>
              </w:rPr>
              <w:t>3,533,638</w:t>
            </w:r>
          </w:p>
        </w:tc>
        <w:tc>
          <w:tcPr>
            <w:tcW w:w="438" w:type="pct"/>
            <w:vAlign w:val="center"/>
          </w:tcPr>
          <w:p>
            <w:pPr>
              <w:jc w:val="right"/>
              <w:rPr>
                <w:color w:val="000000"/>
                <w:szCs w:val="21"/>
              </w:rPr>
            </w:pPr>
            <w:r>
              <w:rPr>
                <w:rFonts w:hint="eastAsia"/>
                <w:color w:val="000000"/>
                <w:szCs w:val="21"/>
              </w:rPr>
              <w:t>7,152,624</w:t>
            </w:r>
          </w:p>
        </w:tc>
        <w:tc>
          <w:tcPr>
            <w:tcW w:w="437" w:type="pct"/>
            <w:vAlign w:val="center"/>
          </w:tcPr>
          <w:p>
            <w:pPr>
              <w:jc w:val="right"/>
              <w:rPr>
                <w:color w:val="000000"/>
                <w:szCs w:val="21"/>
              </w:rPr>
            </w:pPr>
            <w:r>
              <w:rPr>
                <w:rFonts w:hint="eastAsia"/>
                <w:color w:val="000000"/>
                <w:szCs w:val="21"/>
              </w:rPr>
              <w:t>17,318,850</w:t>
            </w:r>
          </w:p>
        </w:tc>
      </w:tr>
      <w:tr>
        <w:trPr>
          <w:jc w:val="center"/>
        </w:trPr>
        <w:tc>
          <w:tcPr>
            <w:tcW w:w="620" w:type="pct"/>
            <w:shd w:val="clear" w:color="auto" w:fill="auto"/>
            <w:vAlign w:val="center"/>
          </w:tcPr>
          <w:p>
            <w:pPr>
              <w:rPr>
                <w:color w:val="000000"/>
                <w:szCs w:val="21"/>
              </w:rPr>
            </w:pPr>
            <w:r>
              <w:rPr>
                <w:rFonts w:hint="eastAsia"/>
                <w:color w:val="000000"/>
                <w:szCs w:val="21"/>
              </w:rPr>
              <w:lastRenderedPageBreak/>
              <w:t>财务费用</w:t>
            </w:r>
          </w:p>
        </w:tc>
        <w:tc>
          <w:tcPr>
            <w:tcW w:w="406" w:type="pct"/>
            <w:shd w:val="clear" w:color="auto" w:fill="auto"/>
            <w:vAlign w:val="center"/>
          </w:tcPr>
          <w:p>
            <w:pPr>
              <w:jc w:val="right"/>
              <w:rPr>
                <w:color w:val="000000"/>
                <w:szCs w:val="21"/>
              </w:rPr>
            </w:pPr>
            <w:r>
              <w:rPr>
                <w:rFonts w:hint="eastAsia"/>
                <w:color w:val="000000"/>
                <w:szCs w:val="21"/>
              </w:rPr>
              <w:t>13,574</w:t>
            </w:r>
          </w:p>
        </w:tc>
        <w:tc>
          <w:tcPr>
            <w:tcW w:w="438" w:type="pct"/>
            <w:shd w:val="clear" w:color="auto" w:fill="auto"/>
            <w:vAlign w:val="center"/>
          </w:tcPr>
          <w:p>
            <w:pPr>
              <w:jc w:val="right"/>
              <w:rPr>
                <w:color w:val="000000"/>
                <w:szCs w:val="21"/>
              </w:rPr>
            </w:pPr>
            <w:r>
              <w:rPr>
                <w:rFonts w:hint="eastAsia"/>
                <w:color w:val="000000"/>
                <w:szCs w:val="21"/>
              </w:rPr>
              <w:t>47,688</w:t>
            </w:r>
          </w:p>
        </w:tc>
        <w:tc>
          <w:tcPr>
            <w:tcW w:w="471" w:type="pct"/>
            <w:vAlign w:val="center"/>
          </w:tcPr>
          <w:p>
            <w:pPr>
              <w:jc w:val="right"/>
              <w:rPr>
                <w:color w:val="000000"/>
                <w:szCs w:val="21"/>
              </w:rPr>
            </w:pPr>
          </w:p>
        </w:tc>
        <w:tc>
          <w:tcPr>
            <w:tcW w:w="438" w:type="pct"/>
            <w:vAlign w:val="center"/>
          </w:tcPr>
          <w:p>
            <w:pPr>
              <w:jc w:val="right"/>
              <w:rPr>
                <w:color w:val="000000"/>
                <w:szCs w:val="21"/>
              </w:rPr>
            </w:pPr>
            <w:r>
              <w:rPr>
                <w:rFonts w:hint="eastAsia"/>
                <w:color w:val="000000"/>
                <w:szCs w:val="21"/>
              </w:rPr>
              <w:t>270,514</w:t>
            </w:r>
          </w:p>
        </w:tc>
        <w:tc>
          <w:tcPr>
            <w:tcW w:w="439" w:type="pct"/>
            <w:vAlign w:val="center"/>
          </w:tcPr>
          <w:p>
            <w:pPr>
              <w:jc w:val="right"/>
              <w:rPr>
                <w:color w:val="000000"/>
                <w:szCs w:val="21"/>
              </w:rPr>
            </w:pPr>
            <w:r>
              <w:rPr>
                <w:rFonts w:hint="eastAsia"/>
                <w:color w:val="000000"/>
                <w:szCs w:val="21"/>
              </w:rPr>
              <w:t>188,119</w:t>
            </w:r>
          </w:p>
        </w:tc>
        <w:tc>
          <w:tcPr>
            <w:tcW w:w="406" w:type="pct"/>
            <w:vAlign w:val="center"/>
          </w:tcPr>
          <w:p>
            <w:pPr>
              <w:jc w:val="right"/>
              <w:rPr>
                <w:color w:val="000000"/>
                <w:szCs w:val="21"/>
              </w:rPr>
            </w:pPr>
            <w:r>
              <w:rPr>
                <w:rFonts w:hint="eastAsia"/>
                <w:color w:val="000000"/>
                <w:szCs w:val="21"/>
              </w:rPr>
              <w:t>27,212</w:t>
            </w:r>
          </w:p>
        </w:tc>
        <w:tc>
          <w:tcPr>
            <w:tcW w:w="438" w:type="pct"/>
            <w:vAlign w:val="center"/>
          </w:tcPr>
          <w:p>
            <w:pPr>
              <w:jc w:val="right"/>
              <w:rPr>
                <w:color w:val="000000"/>
                <w:szCs w:val="21"/>
              </w:rPr>
            </w:pPr>
            <w:r>
              <w:rPr>
                <w:rFonts w:hint="eastAsia"/>
                <w:color w:val="000000"/>
                <w:szCs w:val="21"/>
              </w:rPr>
              <w:t>69,642</w:t>
            </w:r>
          </w:p>
        </w:tc>
        <w:tc>
          <w:tcPr>
            <w:tcW w:w="471" w:type="pct"/>
            <w:vAlign w:val="center"/>
          </w:tcPr>
          <w:p>
            <w:pPr>
              <w:jc w:val="right"/>
              <w:rPr>
                <w:color w:val="000000"/>
                <w:szCs w:val="21"/>
              </w:rPr>
            </w:pPr>
          </w:p>
        </w:tc>
        <w:tc>
          <w:tcPr>
            <w:tcW w:w="438" w:type="pct"/>
            <w:vAlign w:val="center"/>
          </w:tcPr>
          <w:p>
            <w:pPr>
              <w:jc w:val="right"/>
              <w:rPr>
                <w:color w:val="000000"/>
                <w:szCs w:val="21"/>
              </w:rPr>
            </w:pPr>
            <w:r>
              <w:rPr>
                <w:rFonts w:hint="eastAsia"/>
                <w:color w:val="000000"/>
                <w:szCs w:val="21"/>
              </w:rPr>
              <w:t>387,324</w:t>
            </w:r>
          </w:p>
        </w:tc>
        <w:tc>
          <w:tcPr>
            <w:tcW w:w="437" w:type="pct"/>
            <w:vAlign w:val="center"/>
          </w:tcPr>
          <w:p>
            <w:pPr>
              <w:jc w:val="right"/>
              <w:rPr>
                <w:color w:val="000000"/>
                <w:szCs w:val="21"/>
              </w:rPr>
            </w:pPr>
            <w:r>
              <w:rPr>
                <w:rFonts w:hint="eastAsia"/>
                <w:color w:val="000000"/>
                <w:szCs w:val="21"/>
              </w:rPr>
              <w:t>176,109</w:t>
            </w:r>
          </w:p>
        </w:tc>
      </w:tr>
      <w:tr>
        <w:trPr>
          <w:jc w:val="center"/>
        </w:trPr>
        <w:tc>
          <w:tcPr>
            <w:tcW w:w="620" w:type="pct"/>
            <w:shd w:val="clear" w:color="auto" w:fill="auto"/>
            <w:vAlign w:val="center"/>
          </w:tcPr>
          <w:p>
            <w:pPr>
              <w:rPr>
                <w:color w:val="000000"/>
                <w:szCs w:val="21"/>
              </w:rPr>
            </w:pPr>
            <w:r>
              <w:rPr>
                <w:rFonts w:hint="eastAsia"/>
                <w:color w:val="000000"/>
                <w:szCs w:val="21"/>
              </w:rPr>
              <w:t>所得税费用</w:t>
            </w:r>
          </w:p>
        </w:tc>
        <w:tc>
          <w:tcPr>
            <w:tcW w:w="406" w:type="pct"/>
            <w:shd w:val="clear" w:color="auto" w:fill="auto"/>
            <w:vAlign w:val="center"/>
          </w:tcPr>
          <w:p>
            <w:pPr>
              <w:jc w:val="right"/>
              <w:rPr>
                <w:color w:val="000000"/>
                <w:szCs w:val="21"/>
              </w:rPr>
            </w:pPr>
            <w:r>
              <w:rPr>
                <w:rFonts w:hint="eastAsia"/>
                <w:color w:val="000000"/>
                <w:szCs w:val="21"/>
              </w:rPr>
              <w:t>101,050</w:t>
            </w:r>
          </w:p>
        </w:tc>
        <w:tc>
          <w:tcPr>
            <w:tcW w:w="438" w:type="pct"/>
            <w:shd w:val="clear" w:color="auto" w:fill="auto"/>
            <w:vAlign w:val="center"/>
          </w:tcPr>
          <w:p>
            <w:pPr>
              <w:jc w:val="right"/>
              <w:rPr>
                <w:color w:val="000000"/>
                <w:szCs w:val="21"/>
              </w:rPr>
            </w:pPr>
            <w:r>
              <w:rPr>
                <w:rFonts w:hint="eastAsia"/>
                <w:color w:val="000000"/>
                <w:szCs w:val="21"/>
              </w:rPr>
              <w:t>59,887</w:t>
            </w:r>
          </w:p>
        </w:tc>
        <w:tc>
          <w:tcPr>
            <w:tcW w:w="471" w:type="pct"/>
            <w:vAlign w:val="center"/>
          </w:tcPr>
          <w:p>
            <w:pPr>
              <w:jc w:val="right"/>
              <w:rPr>
                <w:color w:val="000000"/>
                <w:szCs w:val="21"/>
              </w:rPr>
            </w:pPr>
            <w:r>
              <w:rPr>
                <w:rFonts w:hint="eastAsia"/>
                <w:color w:val="000000"/>
                <w:szCs w:val="21"/>
              </w:rPr>
              <w:t>143,689</w:t>
            </w:r>
          </w:p>
        </w:tc>
        <w:tc>
          <w:tcPr>
            <w:tcW w:w="438" w:type="pct"/>
            <w:vAlign w:val="center"/>
          </w:tcPr>
          <w:p>
            <w:pPr>
              <w:jc w:val="right"/>
              <w:rPr>
                <w:color w:val="000000"/>
                <w:szCs w:val="21"/>
              </w:rPr>
            </w:pPr>
            <w:r>
              <w:rPr>
                <w:rFonts w:hint="eastAsia"/>
                <w:color w:val="000000"/>
                <w:szCs w:val="21"/>
              </w:rPr>
              <w:t>232,788</w:t>
            </w:r>
          </w:p>
        </w:tc>
        <w:tc>
          <w:tcPr>
            <w:tcW w:w="439" w:type="pct"/>
            <w:vAlign w:val="center"/>
          </w:tcPr>
          <w:p>
            <w:pPr>
              <w:jc w:val="right"/>
              <w:rPr>
                <w:color w:val="000000"/>
                <w:szCs w:val="21"/>
              </w:rPr>
            </w:pPr>
            <w:r>
              <w:rPr>
                <w:color w:val="000000"/>
                <w:szCs w:val="21"/>
              </w:rPr>
              <w:t>581,555</w:t>
            </w:r>
          </w:p>
        </w:tc>
        <w:tc>
          <w:tcPr>
            <w:tcW w:w="406" w:type="pct"/>
            <w:vAlign w:val="center"/>
          </w:tcPr>
          <w:p>
            <w:pPr>
              <w:jc w:val="right"/>
              <w:rPr>
                <w:color w:val="000000"/>
                <w:szCs w:val="21"/>
              </w:rPr>
            </w:pPr>
            <w:r>
              <w:rPr>
                <w:rFonts w:hint="eastAsia"/>
                <w:color w:val="000000"/>
                <w:szCs w:val="21"/>
              </w:rPr>
              <w:t>126,176</w:t>
            </w:r>
          </w:p>
        </w:tc>
        <w:tc>
          <w:tcPr>
            <w:tcW w:w="438" w:type="pct"/>
            <w:vAlign w:val="center"/>
          </w:tcPr>
          <w:p>
            <w:pPr>
              <w:jc w:val="right"/>
              <w:rPr>
                <w:color w:val="000000"/>
                <w:szCs w:val="21"/>
              </w:rPr>
            </w:pPr>
            <w:r>
              <w:rPr>
                <w:rFonts w:hint="eastAsia"/>
                <w:color w:val="000000"/>
                <w:szCs w:val="21"/>
              </w:rPr>
              <w:t>90,892</w:t>
            </w:r>
          </w:p>
        </w:tc>
        <w:tc>
          <w:tcPr>
            <w:tcW w:w="471" w:type="pct"/>
            <w:vAlign w:val="center"/>
          </w:tcPr>
          <w:p>
            <w:pPr>
              <w:jc w:val="right"/>
              <w:rPr>
                <w:color w:val="000000"/>
                <w:szCs w:val="21"/>
              </w:rPr>
            </w:pPr>
            <w:r>
              <w:rPr>
                <w:rFonts w:hint="eastAsia"/>
                <w:color w:val="000000"/>
                <w:szCs w:val="21"/>
              </w:rPr>
              <w:t>186,496</w:t>
            </w:r>
          </w:p>
        </w:tc>
        <w:tc>
          <w:tcPr>
            <w:tcW w:w="438" w:type="pct"/>
            <w:vAlign w:val="center"/>
          </w:tcPr>
          <w:p>
            <w:pPr>
              <w:jc w:val="right"/>
              <w:rPr>
                <w:color w:val="000000"/>
                <w:szCs w:val="21"/>
              </w:rPr>
            </w:pPr>
            <w:r>
              <w:rPr>
                <w:rFonts w:hint="eastAsia"/>
                <w:color w:val="000000"/>
                <w:szCs w:val="21"/>
              </w:rPr>
              <w:t>182,896</w:t>
            </w:r>
          </w:p>
        </w:tc>
        <w:tc>
          <w:tcPr>
            <w:tcW w:w="437" w:type="pct"/>
            <w:vAlign w:val="center"/>
          </w:tcPr>
          <w:p>
            <w:pPr>
              <w:jc w:val="right"/>
              <w:rPr>
                <w:color w:val="000000"/>
                <w:szCs w:val="21"/>
              </w:rPr>
            </w:pPr>
            <w:r>
              <w:rPr>
                <w:rFonts w:hint="eastAsia"/>
                <w:color w:val="000000"/>
                <w:szCs w:val="21"/>
              </w:rPr>
              <w:t>381,052</w:t>
            </w:r>
          </w:p>
        </w:tc>
      </w:tr>
      <w:tr>
        <w:trPr>
          <w:jc w:val="center"/>
        </w:trPr>
        <w:tc>
          <w:tcPr>
            <w:tcW w:w="620" w:type="pct"/>
            <w:shd w:val="clear" w:color="auto" w:fill="auto"/>
            <w:vAlign w:val="center"/>
          </w:tcPr>
          <w:p>
            <w:pPr>
              <w:rPr>
                <w:color w:val="000000"/>
                <w:szCs w:val="21"/>
              </w:rPr>
            </w:pPr>
            <w:r>
              <w:rPr>
                <w:rFonts w:hint="eastAsia"/>
                <w:color w:val="000000"/>
                <w:szCs w:val="21"/>
              </w:rPr>
              <w:t>净利润</w:t>
            </w:r>
          </w:p>
        </w:tc>
        <w:tc>
          <w:tcPr>
            <w:tcW w:w="406" w:type="pct"/>
            <w:shd w:val="clear" w:color="auto" w:fill="auto"/>
            <w:vAlign w:val="center"/>
          </w:tcPr>
          <w:p>
            <w:pPr>
              <w:jc w:val="right"/>
              <w:rPr>
                <w:color w:val="000000"/>
                <w:szCs w:val="21"/>
              </w:rPr>
            </w:pPr>
            <w:r>
              <w:rPr>
                <w:color w:val="000000"/>
                <w:szCs w:val="21"/>
              </w:rPr>
              <w:t>235,553</w:t>
            </w:r>
          </w:p>
        </w:tc>
        <w:tc>
          <w:tcPr>
            <w:tcW w:w="438" w:type="pct"/>
            <w:shd w:val="clear" w:color="auto" w:fill="auto"/>
            <w:vAlign w:val="center"/>
          </w:tcPr>
          <w:p>
            <w:pPr>
              <w:jc w:val="right"/>
              <w:rPr>
                <w:color w:val="000000"/>
                <w:szCs w:val="21"/>
              </w:rPr>
            </w:pPr>
            <w:r>
              <w:rPr>
                <w:rFonts w:hint="eastAsia"/>
                <w:color w:val="000000"/>
                <w:szCs w:val="21"/>
              </w:rPr>
              <w:t>266,216</w:t>
            </w:r>
          </w:p>
        </w:tc>
        <w:tc>
          <w:tcPr>
            <w:tcW w:w="471" w:type="pct"/>
            <w:vAlign w:val="center"/>
          </w:tcPr>
          <w:p>
            <w:pPr>
              <w:jc w:val="right"/>
              <w:rPr>
                <w:color w:val="000000"/>
                <w:szCs w:val="21"/>
              </w:rPr>
            </w:pPr>
            <w:r>
              <w:rPr>
                <w:rFonts w:hint="eastAsia"/>
                <w:color w:val="000000"/>
                <w:szCs w:val="21"/>
              </w:rPr>
              <w:t>533,333</w:t>
            </w:r>
          </w:p>
        </w:tc>
        <w:tc>
          <w:tcPr>
            <w:tcW w:w="438" w:type="pct"/>
            <w:vAlign w:val="center"/>
          </w:tcPr>
          <w:p>
            <w:pPr>
              <w:jc w:val="right"/>
              <w:rPr>
                <w:color w:val="000000"/>
                <w:szCs w:val="21"/>
              </w:rPr>
            </w:pPr>
            <w:r>
              <w:rPr>
                <w:rFonts w:hint="eastAsia"/>
                <w:color w:val="000000"/>
                <w:szCs w:val="21"/>
              </w:rPr>
              <w:t>334,238</w:t>
            </w:r>
          </w:p>
        </w:tc>
        <w:tc>
          <w:tcPr>
            <w:tcW w:w="439" w:type="pct"/>
            <w:vAlign w:val="center"/>
          </w:tcPr>
          <w:p>
            <w:pPr>
              <w:jc w:val="right"/>
              <w:rPr>
                <w:color w:val="000000"/>
                <w:szCs w:val="21"/>
              </w:rPr>
            </w:pPr>
            <w:r>
              <w:rPr>
                <w:color w:val="000000"/>
                <w:szCs w:val="21"/>
              </w:rPr>
              <w:t>1,716,911</w:t>
            </w:r>
          </w:p>
        </w:tc>
        <w:tc>
          <w:tcPr>
            <w:tcW w:w="406" w:type="pct"/>
            <w:vAlign w:val="center"/>
          </w:tcPr>
          <w:p>
            <w:pPr>
              <w:jc w:val="right"/>
              <w:rPr>
                <w:color w:val="000000"/>
                <w:szCs w:val="21"/>
              </w:rPr>
            </w:pPr>
            <w:r>
              <w:rPr>
                <w:rFonts w:hint="eastAsia"/>
                <w:color w:val="000000"/>
                <w:szCs w:val="21"/>
              </w:rPr>
              <w:t>356,954</w:t>
            </w:r>
          </w:p>
        </w:tc>
        <w:tc>
          <w:tcPr>
            <w:tcW w:w="438" w:type="pct"/>
            <w:vAlign w:val="center"/>
          </w:tcPr>
          <w:p>
            <w:pPr>
              <w:jc w:val="right"/>
              <w:rPr>
                <w:color w:val="000000"/>
                <w:szCs w:val="21"/>
              </w:rPr>
            </w:pPr>
            <w:r>
              <w:rPr>
                <w:rFonts w:hint="eastAsia"/>
                <w:color w:val="000000"/>
                <w:szCs w:val="21"/>
              </w:rPr>
              <w:t>407,370</w:t>
            </w:r>
          </w:p>
        </w:tc>
        <w:tc>
          <w:tcPr>
            <w:tcW w:w="471" w:type="pct"/>
            <w:vAlign w:val="center"/>
          </w:tcPr>
          <w:p>
            <w:pPr>
              <w:jc w:val="right"/>
              <w:rPr>
                <w:color w:val="000000"/>
                <w:szCs w:val="21"/>
              </w:rPr>
            </w:pPr>
            <w:r>
              <w:rPr>
                <w:rFonts w:hint="eastAsia"/>
                <w:color w:val="000000"/>
                <w:szCs w:val="21"/>
              </w:rPr>
              <w:t>390,331</w:t>
            </w:r>
          </w:p>
        </w:tc>
        <w:tc>
          <w:tcPr>
            <w:tcW w:w="438" w:type="pct"/>
            <w:vAlign w:val="center"/>
          </w:tcPr>
          <w:p>
            <w:pPr>
              <w:jc w:val="right"/>
              <w:rPr>
                <w:color w:val="000000"/>
                <w:szCs w:val="21"/>
              </w:rPr>
            </w:pPr>
            <w:r>
              <w:rPr>
                <w:rFonts w:hint="eastAsia"/>
                <w:color w:val="000000"/>
                <w:szCs w:val="21"/>
              </w:rPr>
              <w:t>965,996</w:t>
            </w:r>
          </w:p>
        </w:tc>
        <w:tc>
          <w:tcPr>
            <w:tcW w:w="437" w:type="pct"/>
            <w:vAlign w:val="center"/>
          </w:tcPr>
          <w:p>
            <w:pPr>
              <w:jc w:val="right"/>
              <w:rPr>
                <w:color w:val="000000"/>
                <w:szCs w:val="21"/>
              </w:rPr>
            </w:pPr>
            <w:r>
              <w:rPr>
                <w:rFonts w:hint="eastAsia"/>
                <w:color w:val="000000"/>
                <w:szCs w:val="21"/>
              </w:rPr>
              <w:t>949,150</w:t>
            </w:r>
          </w:p>
        </w:tc>
      </w:tr>
      <w:tr>
        <w:trPr>
          <w:jc w:val="center"/>
        </w:trPr>
        <w:tc>
          <w:tcPr>
            <w:tcW w:w="620" w:type="pct"/>
            <w:shd w:val="clear" w:color="auto" w:fill="auto"/>
            <w:vAlign w:val="center"/>
          </w:tcPr>
          <w:p>
            <w:pPr>
              <w:rPr>
                <w:color w:val="000000"/>
                <w:szCs w:val="21"/>
              </w:rPr>
            </w:pPr>
            <w:r>
              <w:rPr>
                <w:rFonts w:hint="eastAsia"/>
                <w:color w:val="000000"/>
                <w:szCs w:val="21"/>
              </w:rPr>
              <w:t>综合收益总额</w:t>
            </w:r>
          </w:p>
        </w:tc>
        <w:tc>
          <w:tcPr>
            <w:tcW w:w="406" w:type="pct"/>
            <w:shd w:val="clear" w:color="auto" w:fill="auto"/>
            <w:vAlign w:val="center"/>
          </w:tcPr>
          <w:p>
            <w:pPr>
              <w:jc w:val="right"/>
              <w:rPr>
                <w:color w:val="000000"/>
                <w:szCs w:val="21"/>
              </w:rPr>
            </w:pPr>
            <w:r>
              <w:rPr>
                <w:color w:val="000000"/>
                <w:szCs w:val="21"/>
              </w:rPr>
              <w:t>235,553</w:t>
            </w:r>
          </w:p>
        </w:tc>
        <w:tc>
          <w:tcPr>
            <w:tcW w:w="438" w:type="pct"/>
            <w:shd w:val="clear" w:color="auto" w:fill="auto"/>
            <w:vAlign w:val="center"/>
          </w:tcPr>
          <w:p>
            <w:pPr>
              <w:jc w:val="right"/>
              <w:rPr>
                <w:color w:val="000000"/>
                <w:szCs w:val="21"/>
              </w:rPr>
            </w:pPr>
            <w:r>
              <w:rPr>
                <w:rFonts w:hint="eastAsia"/>
                <w:color w:val="000000"/>
                <w:szCs w:val="21"/>
              </w:rPr>
              <w:t>251,272</w:t>
            </w:r>
          </w:p>
        </w:tc>
        <w:tc>
          <w:tcPr>
            <w:tcW w:w="471" w:type="pct"/>
            <w:vAlign w:val="center"/>
          </w:tcPr>
          <w:p>
            <w:pPr>
              <w:jc w:val="right"/>
              <w:rPr>
                <w:color w:val="000000"/>
                <w:szCs w:val="21"/>
              </w:rPr>
            </w:pPr>
            <w:r>
              <w:rPr>
                <w:rFonts w:hint="eastAsia"/>
                <w:color w:val="000000"/>
                <w:szCs w:val="21"/>
              </w:rPr>
              <w:t>552,585</w:t>
            </w:r>
          </w:p>
        </w:tc>
        <w:tc>
          <w:tcPr>
            <w:tcW w:w="438" w:type="pct"/>
            <w:vAlign w:val="center"/>
          </w:tcPr>
          <w:p>
            <w:pPr>
              <w:jc w:val="right"/>
              <w:rPr>
                <w:color w:val="000000"/>
                <w:szCs w:val="21"/>
              </w:rPr>
            </w:pPr>
            <w:r>
              <w:rPr>
                <w:rFonts w:hint="eastAsia"/>
                <w:color w:val="000000"/>
                <w:szCs w:val="21"/>
              </w:rPr>
              <w:t>334,238</w:t>
            </w:r>
          </w:p>
        </w:tc>
        <w:tc>
          <w:tcPr>
            <w:tcW w:w="439" w:type="pct"/>
            <w:vAlign w:val="center"/>
          </w:tcPr>
          <w:p>
            <w:pPr>
              <w:jc w:val="right"/>
              <w:rPr>
                <w:color w:val="000000"/>
                <w:szCs w:val="21"/>
              </w:rPr>
            </w:pPr>
            <w:r>
              <w:rPr>
                <w:color w:val="000000"/>
                <w:szCs w:val="21"/>
              </w:rPr>
              <w:t>1,716,911</w:t>
            </w:r>
          </w:p>
        </w:tc>
        <w:tc>
          <w:tcPr>
            <w:tcW w:w="406" w:type="pct"/>
            <w:vAlign w:val="center"/>
          </w:tcPr>
          <w:p>
            <w:pPr>
              <w:jc w:val="right"/>
              <w:rPr>
                <w:color w:val="000000"/>
                <w:szCs w:val="21"/>
              </w:rPr>
            </w:pPr>
            <w:r>
              <w:rPr>
                <w:rFonts w:hint="eastAsia"/>
                <w:color w:val="000000"/>
                <w:szCs w:val="21"/>
              </w:rPr>
              <w:t>356,954</w:t>
            </w:r>
          </w:p>
        </w:tc>
        <w:tc>
          <w:tcPr>
            <w:tcW w:w="438" w:type="pct"/>
            <w:vAlign w:val="center"/>
          </w:tcPr>
          <w:p>
            <w:pPr>
              <w:jc w:val="right"/>
              <w:rPr>
                <w:color w:val="000000"/>
                <w:szCs w:val="21"/>
              </w:rPr>
            </w:pPr>
            <w:r>
              <w:rPr>
                <w:rFonts w:hint="eastAsia"/>
                <w:color w:val="000000"/>
                <w:szCs w:val="21"/>
              </w:rPr>
              <w:t>406,849</w:t>
            </w:r>
          </w:p>
        </w:tc>
        <w:tc>
          <w:tcPr>
            <w:tcW w:w="471" w:type="pct"/>
            <w:vAlign w:val="center"/>
          </w:tcPr>
          <w:p>
            <w:pPr>
              <w:jc w:val="right"/>
              <w:rPr>
                <w:color w:val="000000"/>
                <w:szCs w:val="21"/>
              </w:rPr>
            </w:pPr>
            <w:r>
              <w:rPr>
                <w:rFonts w:hint="eastAsia"/>
                <w:color w:val="000000"/>
                <w:szCs w:val="21"/>
              </w:rPr>
              <w:t>435,022</w:t>
            </w:r>
          </w:p>
        </w:tc>
        <w:tc>
          <w:tcPr>
            <w:tcW w:w="438" w:type="pct"/>
            <w:vAlign w:val="center"/>
          </w:tcPr>
          <w:p>
            <w:pPr>
              <w:jc w:val="right"/>
              <w:rPr>
                <w:color w:val="000000"/>
                <w:szCs w:val="21"/>
              </w:rPr>
            </w:pPr>
            <w:r>
              <w:rPr>
                <w:rFonts w:hint="eastAsia"/>
                <w:color w:val="000000"/>
                <w:szCs w:val="21"/>
              </w:rPr>
              <w:t>965,996</w:t>
            </w:r>
          </w:p>
        </w:tc>
        <w:tc>
          <w:tcPr>
            <w:tcW w:w="437" w:type="pct"/>
            <w:vAlign w:val="center"/>
          </w:tcPr>
          <w:p>
            <w:pPr>
              <w:jc w:val="right"/>
              <w:rPr>
                <w:color w:val="000000"/>
                <w:szCs w:val="21"/>
              </w:rPr>
            </w:pPr>
            <w:r>
              <w:rPr>
                <w:rFonts w:hint="eastAsia"/>
                <w:color w:val="000000"/>
                <w:szCs w:val="21"/>
              </w:rPr>
              <w:t>949,150</w:t>
            </w:r>
          </w:p>
        </w:tc>
      </w:tr>
      <w:tr>
        <w:trPr>
          <w:jc w:val="center"/>
        </w:trPr>
        <w:tc>
          <w:tcPr>
            <w:tcW w:w="620" w:type="pct"/>
            <w:shd w:val="clear" w:color="auto" w:fill="auto"/>
            <w:vAlign w:val="center"/>
          </w:tcPr>
          <w:p>
            <w:pPr>
              <w:rPr>
                <w:color w:val="000000"/>
                <w:szCs w:val="21"/>
              </w:rPr>
            </w:pPr>
            <w:r>
              <w:rPr>
                <w:rFonts w:hint="eastAsia"/>
                <w:color w:val="000000"/>
                <w:szCs w:val="21"/>
              </w:rPr>
              <w:t>本期收到的来自联营企业的股利</w:t>
            </w:r>
          </w:p>
        </w:tc>
        <w:tc>
          <w:tcPr>
            <w:tcW w:w="406" w:type="pct"/>
            <w:shd w:val="clear" w:color="auto" w:fill="auto"/>
            <w:vAlign w:val="center"/>
          </w:tcPr>
          <w:p>
            <w:pPr>
              <w:jc w:val="right"/>
              <w:rPr>
                <w:color w:val="000000"/>
                <w:szCs w:val="21"/>
              </w:rPr>
            </w:pPr>
            <w:r>
              <w:rPr>
                <w:color w:val="000000"/>
                <w:szCs w:val="21"/>
              </w:rPr>
              <w:t>64,811</w:t>
            </w:r>
          </w:p>
        </w:tc>
        <w:tc>
          <w:tcPr>
            <w:tcW w:w="438" w:type="pct"/>
            <w:shd w:val="clear" w:color="auto" w:fill="auto"/>
            <w:vAlign w:val="center"/>
          </w:tcPr>
          <w:p>
            <w:pPr>
              <w:jc w:val="right"/>
              <w:rPr>
                <w:color w:val="000000"/>
                <w:szCs w:val="21"/>
              </w:rPr>
            </w:pPr>
            <w:r>
              <w:rPr>
                <w:color w:val="000000"/>
                <w:szCs w:val="21"/>
              </w:rPr>
              <w:t>32,307</w:t>
            </w:r>
          </w:p>
        </w:tc>
        <w:tc>
          <w:tcPr>
            <w:tcW w:w="471" w:type="pct"/>
            <w:vAlign w:val="center"/>
          </w:tcPr>
          <w:p>
            <w:pPr>
              <w:jc w:val="right"/>
              <w:rPr>
                <w:color w:val="000000"/>
                <w:szCs w:val="21"/>
              </w:rPr>
            </w:pPr>
          </w:p>
        </w:tc>
        <w:tc>
          <w:tcPr>
            <w:tcW w:w="438" w:type="pct"/>
            <w:vAlign w:val="center"/>
          </w:tcPr>
          <w:p>
            <w:pPr>
              <w:jc w:val="right"/>
              <w:rPr>
                <w:color w:val="000000"/>
                <w:szCs w:val="21"/>
              </w:rPr>
            </w:pPr>
          </w:p>
        </w:tc>
        <w:tc>
          <w:tcPr>
            <w:tcW w:w="439" w:type="pct"/>
            <w:vAlign w:val="center"/>
          </w:tcPr>
          <w:p>
            <w:pPr>
              <w:jc w:val="right"/>
              <w:rPr>
                <w:color w:val="000000"/>
                <w:szCs w:val="21"/>
              </w:rPr>
            </w:pPr>
            <w:r>
              <w:rPr>
                <w:color w:val="000000"/>
                <w:szCs w:val="21"/>
              </w:rPr>
              <w:t>453,231</w:t>
            </w:r>
          </w:p>
        </w:tc>
        <w:tc>
          <w:tcPr>
            <w:tcW w:w="406" w:type="pct"/>
            <w:vAlign w:val="center"/>
          </w:tcPr>
          <w:p>
            <w:pPr>
              <w:jc w:val="right"/>
              <w:rPr>
                <w:color w:val="000000"/>
                <w:szCs w:val="21"/>
              </w:rPr>
            </w:pPr>
          </w:p>
        </w:tc>
        <w:tc>
          <w:tcPr>
            <w:tcW w:w="438" w:type="pct"/>
            <w:vAlign w:val="center"/>
          </w:tcPr>
          <w:p>
            <w:pPr>
              <w:jc w:val="right"/>
              <w:rPr>
                <w:color w:val="000000"/>
                <w:szCs w:val="21"/>
              </w:rPr>
            </w:pPr>
            <w:r>
              <w:rPr>
                <w:rFonts w:hint="eastAsia"/>
                <w:color w:val="000000"/>
                <w:szCs w:val="21"/>
              </w:rPr>
              <w:t>34,282</w:t>
            </w:r>
          </w:p>
        </w:tc>
        <w:tc>
          <w:tcPr>
            <w:tcW w:w="471" w:type="pct"/>
            <w:vAlign w:val="center"/>
          </w:tcPr>
          <w:p>
            <w:pPr>
              <w:jc w:val="right"/>
              <w:rPr>
                <w:color w:val="000000"/>
                <w:szCs w:val="21"/>
              </w:rPr>
            </w:pPr>
          </w:p>
        </w:tc>
        <w:tc>
          <w:tcPr>
            <w:tcW w:w="438" w:type="pct"/>
            <w:vAlign w:val="center"/>
          </w:tcPr>
          <w:p>
            <w:pPr>
              <w:jc w:val="right"/>
              <w:rPr>
                <w:color w:val="000000"/>
                <w:szCs w:val="21"/>
              </w:rPr>
            </w:pPr>
          </w:p>
        </w:tc>
        <w:tc>
          <w:tcPr>
            <w:tcW w:w="437" w:type="pct"/>
            <w:vAlign w:val="center"/>
          </w:tcPr>
          <w:p>
            <w:pPr>
              <w:jc w:val="right"/>
              <w:rPr>
                <w:color w:val="000000"/>
                <w:szCs w:val="21"/>
              </w:rPr>
            </w:pPr>
            <w:r>
              <w:rPr>
                <w:rFonts w:hint="eastAsia"/>
                <w:color w:val="000000"/>
                <w:szCs w:val="21"/>
              </w:rPr>
              <w:t>908,239</w:t>
            </w:r>
          </w:p>
        </w:tc>
      </w:tr>
    </w:tbl>
    <w:p>
      <w:pPr>
        <w:pStyle w:val="affffffffffffffffffffffffffffffffe"/>
      </w:pPr>
    </w:p>
    <w:p>
      <w:pPr>
        <w:rPr>
          <w:rFonts w:cs="Arial"/>
          <w:szCs w:val="21"/>
        </w:rPr>
      </w:pPr>
      <w:r>
        <w:rPr>
          <w:rFonts w:cs="Arial" w:hint="eastAsia"/>
          <w:szCs w:val="21"/>
        </w:rPr>
        <w:t>其他说明：</w:t>
      </w:r>
    </w:p>
    <w:sdt>
      <w:sdtPr>
        <w:rPr>
          <w:rFonts w:cs="Arial" w:hint="eastAsia"/>
          <w:szCs w:val="21"/>
        </w:rPr>
        <w:alias w:val="重要联营企业的主要财务信息其他说明的方法"/>
        <w:tag w:val="_GBC_49602fee37fb4c848eee594868d16caa"/>
        <w:id w:val="-364983710"/>
      </w:sdtPr>
      <w:sdtContent>
        <w:p>
          <w:pPr>
            <w:rPr>
              <w:rFonts w:cs="Arial"/>
              <w:szCs w:val="21"/>
            </w:rPr>
          </w:pPr>
          <w:r>
            <w:rPr>
              <w:rFonts w:cs="Arial"/>
              <w:szCs w:val="21"/>
            </w:rPr>
            <w:t>-</w:t>
          </w:r>
        </w:p>
      </w:sdtContent>
    </w:sdt>
    <w:p>
      <w:pPr>
        <w:rPr>
          <w:rFonts w:cs="Arial"/>
          <w:szCs w:val="21"/>
        </w:rPr>
      </w:pPr>
    </w:p>
    <w:p>
      <w:pPr>
        <w:rPr>
          <w:rFonts w:cs="Arial"/>
          <w:szCs w:val="21"/>
        </w:rPr>
      </w:pPr>
    </w:p>
    <w:p>
      <w:pPr>
        <w:ind w:firstLineChars="200" w:firstLine="420"/>
        <w:rPr>
          <w:rFonts w:cs="Arial"/>
          <w:szCs w:val="21"/>
        </w:rPr>
        <w:sectPr>
          <w:pgSz w:w="16840" w:h="11907" w:orient="landscape"/>
          <w:pgMar w:top="1797" w:right="1440" w:bottom="1531" w:left="1440" w:header="851" w:footer="992" w:gutter="0"/>
          <w:cols w:space="425"/>
          <w:docGrid w:type="lines" w:linePitch="312"/>
        </w:sectPr>
      </w:pPr>
    </w:p>
    <w:p>
      <w:pPr>
        <w:ind w:firstLineChars="200" w:firstLine="420"/>
        <w:rPr>
          <w:rFonts w:cs="Arial"/>
          <w:szCs w:val="21"/>
        </w:rPr>
      </w:pPr>
    </w:p>
    <w:p>
      <w:pPr>
        <w:pStyle w:val="afffffffffffffffffffffffffffffffff1"/>
        <w:numPr>
          <w:ilvl w:val="3"/>
          <w:numId w:val="186"/>
        </w:numPr>
        <w:ind w:left="426" w:hangingChars="202" w:hanging="426"/>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2019604643"/>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不重要的合营企业和联营企业的汇总财务信息"/>
          <w:tag w:val="_GBC_d02efd9c85904b029b5a51b02d9519e8"/>
          <w:id w:val="385070395"/>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22538869"/>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9"/>
        <w:gridCol w:w="2908"/>
        <w:gridCol w:w="2912"/>
      </w:tblGrid>
      <w:tr>
        <w:trPr>
          <w:trHeight w:val="241"/>
          <w:jc w:val="center"/>
        </w:trPr>
        <w:tc>
          <w:tcPr>
            <w:tcW w:w="1604" w:type="pct"/>
            <w:shd w:val="clear" w:color="auto" w:fill="auto"/>
          </w:tcPr>
          <w:p>
            <w:pPr>
              <w:jc w:val="center"/>
              <w:rPr>
                <w:rFonts w:cs="Arial"/>
                <w:szCs w:val="21"/>
              </w:rPr>
            </w:pPr>
          </w:p>
        </w:tc>
        <w:sdt>
          <w:sdtPr>
            <w:tag w:val="_PLD_0f94e995a1b3419692bd4d8e5c6d3e83"/>
            <w:id w:val="3332642"/>
          </w:sdtPr>
          <w:sdtContent>
            <w:tc>
              <w:tcPr>
                <w:tcW w:w="1697" w:type="pct"/>
                <w:shd w:val="clear" w:color="auto" w:fill="auto"/>
              </w:tcPr>
              <w:p>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sdtContent>
        </w:sdt>
        <w:sdt>
          <w:sdtPr>
            <w:tag w:val="_PLD_41f132b6b30d40258178a800b0285b01"/>
            <w:id w:val="-1552228438"/>
          </w:sdtPr>
          <w:sdtContent>
            <w:tc>
              <w:tcPr>
                <w:tcW w:w="1699" w:type="pct"/>
                <w:shd w:val="clear" w:color="auto" w:fill="auto"/>
              </w:tcPr>
              <w:p>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sdtContent>
        </w:sdt>
      </w:tr>
      <w:tr>
        <w:trPr>
          <w:jc w:val="center"/>
        </w:trPr>
        <w:sdt>
          <w:sdtPr>
            <w:rPr>
              <w:szCs w:val="21"/>
            </w:rPr>
            <w:tag w:val="_PLD_b70e5ea8d7ec4c33925b6219dd7a8fb0"/>
            <w:id w:val="-227070726"/>
          </w:sdtPr>
          <w:sdtContent>
            <w:tc>
              <w:tcPr>
                <w:tcW w:w="5000" w:type="pct"/>
                <w:gridSpan w:val="3"/>
                <w:shd w:val="clear" w:color="auto" w:fill="auto"/>
              </w:tcPr>
              <w:p>
                <w:pPr>
                  <w:rPr>
                    <w:szCs w:val="21"/>
                  </w:rPr>
                </w:pPr>
                <w:r>
                  <w:rPr>
                    <w:rFonts w:cs="Arial" w:hint="eastAsia"/>
                    <w:szCs w:val="21"/>
                    <w:lang w:val="en-GB"/>
                  </w:rPr>
                  <w:t>合营企业：</w:t>
                </w:r>
              </w:p>
            </w:tc>
          </w:sdtContent>
        </w:sdt>
      </w:tr>
      <w:tr>
        <w:trPr>
          <w:jc w:val="center"/>
        </w:trPr>
        <w:tc>
          <w:tcPr>
            <w:tcW w:w="1604" w:type="pct"/>
            <w:shd w:val="clear" w:color="auto" w:fill="auto"/>
            <w:vAlign w:val="center"/>
          </w:tcPr>
          <w:p>
            <w:pPr>
              <w:rPr>
                <w:rFonts w:cs="Arial"/>
                <w:color w:val="000000"/>
                <w:szCs w:val="21"/>
              </w:rPr>
            </w:pPr>
            <w:r>
              <w:rPr>
                <w:rFonts w:cs="Arial" w:hint="eastAsia"/>
                <w:color w:val="000000"/>
                <w:szCs w:val="21"/>
                <w:lang w:val="en-GB"/>
              </w:rPr>
              <w:t>投资账面价值合计</w:t>
            </w:r>
          </w:p>
        </w:tc>
        <w:tc>
          <w:tcPr>
            <w:tcW w:w="1697" w:type="pct"/>
            <w:vAlign w:val="center"/>
          </w:tcPr>
          <w:p>
            <w:pPr>
              <w:spacing w:line="360" w:lineRule="exact"/>
              <w:jc w:val="right"/>
              <w:rPr>
                <w:szCs w:val="21"/>
              </w:rPr>
            </w:pPr>
            <w:r>
              <w:rPr>
                <w:szCs w:val="21"/>
              </w:rPr>
              <w:t>70,916</w:t>
            </w:r>
          </w:p>
        </w:tc>
        <w:tc>
          <w:tcPr>
            <w:tcW w:w="1699" w:type="pct"/>
            <w:vAlign w:val="center"/>
          </w:tcPr>
          <w:p>
            <w:pPr>
              <w:spacing w:line="360" w:lineRule="exact"/>
              <w:jc w:val="right"/>
              <w:rPr>
                <w:szCs w:val="21"/>
              </w:rPr>
            </w:pPr>
            <w:r>
              <w:rPr>
                <w:szCs w:val="21"/>
              </w:rPr>
              <w:t>136,512</w:t>
            </w:r>
          </w:p>
        </w:tc>
      </w:tr>
      <w:tr>
        <w:trPr>
          <w:jc w:val="center"/>
        </w:trPr>
        <w:sdt>
          <w:sdtPr>
            <w:rPr>
              <w:szCs w:val="21"/>
            </w:rPr>
            <w:tag w:val="_PLD_5535ac23a5e6449eacc8d9ee99f53e96"/>
            <w:id w:val="-1080207893"/>
          </w:sdtPr>
          <w:sdtContent>
            <w:tc>
              <w:tcPr>
                <w:tcW w:w="5000" w:type="pct"/>
                <w:gridSpan w:val="3"/>
                <w:shd w:val="clear" w:color="auto" w:fill="auto"/>
                <w:vAlign w:val="center"/>
              </w:tcPr>
              <w:p>
                <w:pPr>
                  <w:rPr>
                    <w:szCs w:val="21"/>
                  </w:rPr>
                </w:pPr>
                <w:r>
                  <w:rPr>
                    <w:rFonts w:cs="Arial" w:hint="eastAsia"/>
                    <w:color w:val="000000"/>
                    <w:szCs w:val="21"/>
                    <w:lang w:val="en-GB"/>
                  </w:rPr>
                  <w:t>下列各项按持股比例计算的合计数</w:t>
                </w:r>
              </w:p>
            </w:tc>
          </w:sdtContent>
        </w:sdt>
      </w:tr>
      <w:tr>
        <w:trPr>
          <w:jc w:val="center"/>
        </w:trPr>
        <w:tc>
          <w:tcPr>
            <w:tcW w:w="1604" w:type="pct"/>
            <w:shd w:val="clear" w:color="auto" w:fill="auto"/>
            <w:vAlign w:val="center"/>
          </w:tcPr>
          <w:p>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vAlign w:val="center"/>
          </w:tcPr>
          <w:p>
            <w:pPr>
              <w:spacing w:line="360" w:lineRule="exact"/>
              <w:jc w:val="right"/>
              <w:rPr>
                <w:szCs w:val="21"/>
              </w:rPr>
            </w:pPr>
            <w:r>
              <w:rPr>
                <w:szCs w:val="21"/>
              </w:rPr>
              <w:t xml:space="preserve">-3,481 </w:t>
            </w:r>
          </w:p>
        </w:tc>
        <w:tc>
          <w:tcPr>
            <w:tcW w:w="1699" w:type="pct"/>
            <w:vAlign w:val="center"/>
          </w:tcPr>
          <w:p>
            <w:pPr>
              <w:spacing w:line="360" w:lineRule="exact"/>
              <w:jc w:val="right"/>
              <w:rPr>
                <w:szCs w:val="21"/>
              </w:rPr>
            </w:pPr>
            <w:r>
              <w:rPr>
                <w:szCs w:val="21"/>
              </w:rPr>
              <w:t>778</w:t>
            </w:r>
          </w:p>
        </w:tc>
      </w:tr>
      <w:tr>
        <w:trPr>
          <w:jc w:val="center"/>
        </w:trPr>
        <w:tc>
          <w:tcPr>
            <w:tcW w:w="1604" w:type="pct"/>
            <w:shd w:val="clear" w:color="auto" w:fill="auto"/>
            <w:vAlign w:val="center"/>
          </w:tcPr>
          <w:p>
            <w:pPr>
              <w:rPr>
                <w:rFonts w:cs="Arial"/>
                <w:color w:val="000000"/>
                <w:szCs w:val="21"/>
              </w:rPr>
            </w:pPr>
            <w:r>
              <w:rPr>
                <w:rFonts w:cs="Arial"/>
                <w:color w:val="000000"/>
                <w:szCs w:val="21"/>
              </w:rPr>
              <w:t>--综合收益总额</w:t>
            </w:r>
          </w:p>
        </w:tc>
        <w:tc>
          <w:tcPr>
            <w:tcW w:w="1697" w:type="pct"/>
            <w:vAlign w:val="center"/>
          </w:tcPr>
          <w:p>
            <w:pPr>
              <w:spacing w:line="360" w:lineRule="exact"/>
              <w:jc w:val="right"/>
              <w:rPr>
                <w:szCs w:val="21"/>
              </w:rPr>
            </w:pPr>
            <w:r>
              <w:rPr>
                <w:szCs w:val="21"/>
              </w:rPr>
              <w:t xml:space="preserve">-3,481 </w:t>
            </w:r>
          </w:p>
        </w:tc>
        <w:tc>
          <w:tcPr>
            <w:tcW w:w="1699" w:type="pct"/>
            <w:vAlign w:val="center"/>
          </w:tcPr>
          <w:p>
            <w:pPr>
              <w:spacing w:line="360" w:lineRule="exact"/>
              <w:jc w:val="right"/>
              <w:rPr>
                <w:szCs w:val="21"/>
              </w:rPr>
            </w:pPr>
            <w:r>
              <w:rPr>
                <w:szCs w:val="21"/>
              </w:rPr>
              <w:t>778</w:t>
            </w:r>
          </w:p>
        </w:tc>
      </w:tr>
      <w:tr>
        <w:trPr>
          <w:jc w:val="center"/>
        </w:trPr>
        <w:sdt>
          <w:sdtPr>
            <w:rPr>
              <w:szCs w:val="21"/>
            </w:rPr>
            <w:tag w:val="_PLD_cbda7c3468d14ed7a076bd7c6a1d9c6f"/>
            <w:id w:val="1637839223"/>
          </w:sdtPr>
          <w:sdtContent>
            <w:tc>
              <w:tcPr>
                <w:tcW w:w="5000" w:type="pct"/>
                <w:gridSpan w:val="3"/>
                <w:shd w:val="clear" w:color="auto" w:fill="auto"/>
              </w:tcPr>
              <w:p>
                <w:pPr>
                  <w:rPr>
                    <w:szCs w:val="21"/>
                  </w:rPr>
                </w:pPr>
                <w:r>
                  <w:rPr>
                    <w:rFonts w:cs="Arial" w:hint="eastAsia"/>
                    <w:szCs w:val="21"/>
                    <w:lang w:val="en-GB"/>
                  </w:rPr>
                  <w:t>联营企业：</w:t>
                </w:r>
              </w:p>
            </w:tc>
          </w:sdtContent>
        </w:sdt>
      </w:tr>
      <w:tr>
        <w:trPr>
          <w:jc w:val="center"/>
        </w:trPr>
        <w:tc>
          <w:tcPr>
            <w:tcW w:w="1604" w:type="pct"/>
            <w:shd w:val="clear" w:color="auto" w:fill="auto"/>
            <w:vAlign w:val="center"/>
          </w:tcPr>
          <w:p>
            <w:pPr>
              <w:rPr>
                <w:rFonts w:cs="Arial"/>
                <w:color w:val="000000"/>
                <w:szCs w:val="21"/>
              </w:rPr>
            </w:pPr>
            <w:r>
              <w:rPr>
                <w:rFonts w:cs="Arial" w:hint="eastAsia"/>
                <w:color w:val="000000"/>
                <w:szCs w:val="21"/>
                <w:lang w:val="en-GB"/>
              </w:rPr>
              <w:t>投资账面价值合计</w:t>
            </w:r>
          </w:p>
        </w:tc>
        <w:tc>
          <w:tcPr>
            <w:tcW w:w="1697" w:type="pct"/>
            <w:vAlign w:val="center"/>
          </w:tcPr>
          <w:p>
            <w:pPr>
              <w:spacing w:line="360" w:lineRule="exact"/>
              <w:jc w:val="right"/>
              <w:rPr>
                <w:szCs w:val="21"/>
              </w:rPr>
            </w:pPr>
            <w:r>
              <w:rPr>
                <w:szCs w:val="21"/>
              </w:rPr>
              <w:t>1,788,402</w:t>
            </w:r>
          </w:p>
        </w:tc>
        <w:tc>
          <w:tcPr>
            <w:tcW w:w="1699" w:type="pct"/>
            <w:vAlign w:val="center"/>
          </w:tcPr>
          <w:p>
            <w:pPr>
              <w:spacing w:line="360" w:lineRule="exact"/>
              <w:jc w:val="right"/>
              <w:rPr>
                <w:szCs w:val="21"/>
              </w:rPr>
            </w:pPr>
            <w:r>
              <w:rPr>
                <w:szCs w:val="21"/>
              </w:rPr>
              <w:t>1,707,325</w:t>
            </w:r>
          </w:p>
        </w:tc>
      </w:tr>
      <w:tr>
        <w:trPr>
          <w:jc w:val="center"/>
        </w:trPr>
        <w:sdt>
          <w:sdtPr>
            <w:rPr>
              <w:szCs w:val="21"/>
            </w:rPr>
            <w:tag w:val="_PLD_83ce74083a4545808d6b87b66cb814b0"/>
            <w:id w:val="1038930705"/>
          </w:sdtPr>
          <w:sdtContent>
            <w:tc>
              <w:tcPr>
                <w:tcW w:w="5000" w:type="pct"/>
                <w:gridSpan w:val="3"/>
                <w:shd w:val="clear" w:color="auto" w:fill="auto"/>
                <w:vAlign w:val="center"/>
              </w:tcPr>
              <w:p>
                <w:pPr>
                  <w:rPr>
                    <w:szCs w:val="21"/>
                  </w:rPr>
                </w:pPr>
                <w:r>
                  <w:rPr>
                    <w:rFonts w:cs="Arial" w:hint="eastAsia"/>
                    <w:color w:val="000000"/>
                    <w:szCs w:val="21"/>
                    <w:lang w:val="en-GB"/>
                  </w:rPr>
                  <w:t>下列各项按持股比例计算的合计数</w:t>
                </w:r>
              </w:p>
            </w:tc>
          </w:sdtContent>
        </w:sdt>
      </w:tr>
      <w:tr>
        <w:trPr>
          <w:jc w:val="center"/>
        </w:trPr>
        <w:tc>
          <w:tcPr>
            <w:tcW w:w="1604" w:type="pct"/>
            <w:shd w:val="clear" w:color="auto" w:fill="auto"/>
            <w:vAlign w:val="center"/>
          </w:tcPr>
          <w:p>
            <w:pPr>
              <w:rPr>
                <w:rFonts w:cs="Arial"/>
                <w:color w:val="000000"/>
                <w:szCs w:val="21"/>
              </w:rPr>
            </w:pPr>
            <w:r>
              <w:rPr>
                <w:rFonts w:cs="Arial"/>
                <w:color w:val="000000"/>
                <w:szCs w:val="21"/>
              </w:rPr>
              <w:t>--</w:t>
            </w:r>
            <w:r>
              <w:rPr>
                <w:rFonts w:cs="Arial" w:hint="eastAsia"/>
                <w:color w:val="000000"/>
                <w:szCs w:val="21"/>
                <w:lang w:val="en-GB"/>
              </w:rPr>
              <w:t>净利润</w:t>
            </w:r>
          </w:p>
        </w:tc>
        <w:tc>
          <w:tcPr>
            <w:tcW w:w="1697" w:type="pct"/>
          </w:tcPr>
          <w:p>
            <w:pPr>
              <w:spacing w:line="360" w:lineRule="exact"/>
              <w:jc w:val="right"/>
              <w:rPr>
                <w:szCs w:val="21"/>
              </w:rPr>
            </w:pPr>
            <w:r>
              <w:rPr>
                <w:szCs w:val="21"/>
              </w:rPr>
              <w:t>122,846</w:t>
            </w:r>
          </w:p>
        </w:tc>
        <w:tc>
          <w:tcPr>
            <w:tcW w:w="1699" w:type="pct"/>
            <w:vAlign w:val="center"/>
          </w:tcPr>
          <w:p>
            <w:pPr>
              <w:spacing w:line="360" w:lineRule="exact"/>
              <w:jc w:val="right"/>
              <w:rPr>
                <w:szCs w:val="21"/>
              </w:rPr>
            </w:pPr>
            <w:r>
              <w:rPr>
                <w:szCs w:val="21"/>
              </w:rPr>
              <w:t>104,933</w:t>
            </w:r>
          </w:p>
        </w:tc>
      </w:tr>
      <w:tr>
        <w:trPr>
          <w:jc w:val="center"/>
        </w:trPr>
        <w:tc>
          <w:tcPr>
            <w:tcW w:w="1604" w:type="pct"/>
            <w:shd w:val="clear" w:color="auto" w:fill="auto"/>
            <w:vAlign w:val="center"/>
          </w:tcPr>
          <w:p>
            <w:pPr>
              <w:rPr>
                <w:rFonts w:cs="Arial"/>
                <w:color w:val="000000"/>
                <w:szCs w:val="21"/>
              </w:rPr>
            </w:pPr>
            <w:r>
              <w:rPr>
                <w:rFonts w:cs="Arial"/>
                <w:color w:val="000000"/>
                <w:szCs w:val="21"/>
              </w:rPr>
              <w:t>--</w:t>
            </w:r>
            <w:r>
              <w:rPr>
                <w:rFonts w:cs="Arial" w:hint="eastAsia"/>
                <w:color w:val="000000"/>
                <w:szCs w:val="21"/>
                <w:lang w:val="en-GB"/>
              </w:rPr>
              <w:t>综合收益总额</w:t>
            </w:r>
          </w:p>
        </w:tc>
        <w:tc>
          <w:tcPr>
            <w:tcW w:w="1697" w:type="pct"/>
          </w:tcPr>
          <w:p>
            <w:pPr>
              <w:spacing w:line="360" w:lineRule="exact"/>
              <w:jc w:val="right"/>
              <w:rPr>
                <w:szCs w:val="21"/>
              </w:rPr>
            </w:pPr>
            <w:r>
              <w:rPr>
                <w:szCs w:val="21"/>
              </w:rPr>
              <w:t xml:space="preserve">122,899  </w:t>
            </w:r>
          </w:p>
        </w:tc>
        <w:tc>
          <w:tcPr>
            <w:tcW w:w="1699" w:type="pct"/>
            <w:vAlign w:val="center"/>
          </w:tcPr>
          <w:p>
            <w:pPr>
              <w:spacing w:line="360" w:lineRule="exact"/>
              <w:jc w:val="right"/>
              <w:rPr>
                <w:szCs w:val="21"/>
              </w:rPr>
            </w:pPr>
            <w:r>
              <w:rPr>
                <w:szCs w:val="21"/>
              </w:rPr>
              <w:t>109,989</w:t>
            </w:r>
          </w:p>
        </w:tc>
      </w:tr>
    </w:tbl>
    <w:p>
      <w:pPr>
        <w:rPr>
          <w:rFonts w:cs="Arial"/>
          <w:szCs w:val="21"/>
        </w:rPr>
      </w:pPr>
      <w:r>
        <w:rPr>
          <w:rFonts w:cs="Arial" w:hint="eastAsia"/>
          <w:szCs w:val="21"/>
        </w:rPr>
        <w:t>其他说明：</w:t>
      </w:r>
    </w:p>
    <w:p>
      <w:pPr>
        <w:rPr>
          <w:rFonts w:cs="Arial"/>
          <w:szCs w:val="21"/>
        </w:rPr>
      </w:pPr>
      <w:sdt>
        <w:sdtPr>
          <w:rPr>
            <w:szCs w:val="21"/>
          </w:rPr>
          <w:alias w:val="不重要的合营企业和联营企业的汇总财务信息其他说明"/>
          <w:tag w:val="_GBC_78096995ca9848409e6780ab5f1386f8"/>
          <w:id w:val="-1902818138"/>
        </w:sdtPr>
        <w:sdtContent>
          <w:r>
            <w:rPr>
              <w:szCs w:val="21"/>
            </w:rPr>
            <w:t>-</w:t>
          </w:r>
        </w:sdtContent>
      </w:sdt>
    </w:p>
    <w:p>
      <w:pPr>
        <w:rPr>
          <w:rFonts w:cs="Arial"/>
          <w:szCs w:val="21"/>
        </w:rPr>
      </w:pPr>
    </w:p>
    <w:p>
      <w:pPr>
        <w:pStyle w:val="afffffffffffffffffffffffffffffffff1"/>
        <w:numPr>
          <w:ilvl w:val="3"/>
          <w:numId w:val="186"/>
        </w:numPr>
        <w:ind w:left="426" w:hangingChars="202" w:hanging="426"/>
      </w:pPr>
      <w:r>
        <w:rPr>
          <w:rFonts w:hint="eastAsia"/>
        </w:rPr>
        <w:t>合营企业或联营企业向本公司转移资金的能力存在重大限制的说明</w:t>
      </w:r>
    </w:p>
    <w:sdt>
      <w:sdtPr>
        <w:rPr>
          <w:rFonts w:cs="Arial" w:hint="eastAsia"/>
          <w:szCs w:val="21"/>
        </w:rPr>
        <w:alias w:val="是否适用：合营企业或联营企业向本公司转移资金的能力存在重大限制的说明[双击切换]"/>
        <w:tag w:val="_GBC_6adf336cbf6141a59d29de2be4c5a55b"/>
        <w:id w:val="-998036224"/>
      </w:sdtPr>
      <w:sdtContent>
        <w:p>
          <w:pPr>
            <w:pStyle w:val="affffffffffffffffffffffffffffffffe"/>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pStyle w:val="afffffffffffffffffffffffffffffffff1"/>
        <w:numPr>
          <w:ilvl w:val="3"/>
          <w:numId w:val="186"/>
        </w:numPr>
        <w:ind w:left="426" w:hangingChars="202" w:hanging="426"/>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1418699610"/>
      </w:sdtPr>
      <w:sdtContent>
        <w:p>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rFonts w:cs="Arial"/>
          <w:szCs w:val="21"/>
        </w:rPr>
      </w:pPr>
    </w:p>
    <w:p>
      <w:pPr>
        <w:pStyle w:val="afffffffffffffffffffffffffffffffff1"/>
        <w:numPr>
          <w:ilvl w:val="3"/>
          <w:numId w:val="186"/>
        </w:numPr>
        <w:ind w:left="426" w:hangingChars="202" w:hanging="426"/>
      </w:pPr>
      <w:r>
        <w:rPr>
          <w:rFonts w:hint="eastAsia"/>
        </w:rPr>
        <w:t>与合营企业</w:t>
      </w:r>
      <w:r>
        <w:rPr>
          <w:rFonts w:ascii="宋体" w:hAnsi="宋体" w:hint="eastAsia"/>
        </w:rPr>
        <w:t>投资</w:t>
      </w:r>
      <w:r>
        <w:rPr>
          <w:rFonts w:hint="eastAsia"/>
        </w:rPr>
        <w:t>相关的未确认承诺</w:t>
      </w:r>
    </w:p>
    <w:sdt>
      <w:sdtPr>
        <w:rPr>
          <w:rFonts w:cs="Arial" w:hint="eastAsia"/>
          <w:szCs w:val="21"/>
        </w:rPr>
        <w:alias w:val="是否适用：与合营企业投资相关的未确认承诺[双击切换]"/>
        <w:tag w:val="_GBC_31e45f9d52434cea9a9a27d328e562ec"/>
        <w:id w:val="-1767605399"/>
      </w:sdt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pStyle w:val="afffffffffffffffffffffffffffffffff1"/>
        <w:numPr>
          <w:ilvl w:val="3"/>
          <w:numId w:val="186"/>
        </w:numPr>
        <w:ind w:left="426" w:hangingChars="202" w:hanging="426"/>
      </w:pPr>
      <w:r>
        <w:rPr>
          <w:rFonts w:hint="eastAsia"/>
        </w:rPr>
        <w:t>与合营企业或联营企业投资相关的或有负债</w:t>
      </w:r>
    </w:p>
    <w:sdt>
      <w:sdtPr>
        <w:rPr>
          <w:rFonts w:cs="Arial" w:hint="eastAsia"/>
          <w:szCs w:val="21"/>
        </w:rPr>
        <w:alias w:val="是否适用：与合营企业或联营企业投资相关的或有负债[双击切换]"/>
        <w:tag w:val="_GBC_d3c6dfcab3ab42afb854d4ea2e7c9b9f"/>
        <w:id w:val="-790057012"/>
      </w:sdtPr>
      <w:sdtContent>
        <w:p>
          <w:pPr>
            <w:pStyle w:val="affffffffffffffffffffffffffffffffe"/>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p>
    <w:p>
      <w:pPr>
        <w:pStyle w:val="afffffffffffffffffffffffffffffffff0"/>
        <w:numPr>
          <w:ilvl w:val="2"/>
          <w:numId w:val="134"/>
        </w:numPr>
        <w:rPr>
          <w:rFonts w:ascii="宋体" w:hAnsi="宋体" w:cs="Arial"/>
          <w:szCs w:val="21"/>
        </w:rPr>
      </w:pPr>
      <w:r>
        <w:rPr>
          <w:rFonts w:ascii="宋体" w:hAnsi="宋体" w:cs="Arial" w:hint="eastAsia"/>
          <w:szCs w:val="21"/>
        </w:rPr>
        <w:t>重要的共同经营</w:t>
      </w:r>
    </w:p>
    <w:sdt>
      <w:sdtPr>
        <w:alias w:val="是否适用：重要的共同经营[双击切换]"/>
        <w:tag w:val="_GBC_8a0341a844454c89848e95b9c64a8efb"/>
        <w:id w:val="-2009506494"/>
        <w:placeholder>
          <w:docPart w:val="GBC22222222222222222222222222222"/>
        </w:placeholder>
      </w:sdtPr>
      <w:sdtContent>
        <w:p>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rFonts w:cs="Arial"/>
          <w:szCs w:val="21"/>
        </w:rPr>
      </w:pPr>
    </w:p>
    <w:p>
      <w:pPr>
        <w:pStyle w:val="afffffffffffffffffffffffffffffffff0"/>
        <w:numPr>
          <w:ilvl w:val="2"/>
          <w:numId w:val="134"/>
        </w:numPr>
        <w:rPr>
          <w:rFonts w:ascii="宋体" w:hAnsi="宋体" w:cs="Arial"/>
          <w:szCs w:val="21"/>
        </w:rPr>
      </w:pPr>
      <w:r>
        <w:rPr>
          <w:rFonts w:ascii="宋体" w:hAnsi="宋体" w:cs="Arial" w:hint="eastAsia"/>
          <w:szCs w:val="21"/>
        </w:rPr>
        <w:t>在未纳入合并财务报表范围的结构化主体中的权益</w:t>
      </w:r>
    </w:p>
    <w:p>
      <w:pPr>
        <w:rPr>
          <w:rFonts w:cs="Arial"/>
          <w:szCs w:val="21"/>
        </w:rPr>
      </w:pPr>
      <w:r>
        <w:rPr>
          <w:rFonts w:cs="Arial" w:hint="eastAsia"/>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301194697"/>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pStyle w:val="afffffffffffffffffffffffffffffffff0"/>
        <w:numPr>
          <w:ilvl w:val="2"/>
          <w:numId w:val="134"/>
        </w:numPr>
        <w:rPr>
          <w:rFonts w:ascii="宋体" w:hAnsi="宋体" w:cs="Arial"/>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50327887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2"/>
        <w:numPr>
          <w:ilvl w:val="0"/>
          <w:numId w:val="155"/>
        </w:numPr>
        <w:rPr>
          <w:rFonts w:ascii="宋体" w:hAnsi="宋体"/>
        </w:rPr>
      </w:pPr>
      <w:r>
        <w:rPr>
          <w:rFonts w:ascii="宋体" w:hAnsi="宋体" w:hint="eastAsia"/>
        </w:rPr>
        <w:t>政府补助</w:t>
      </w:r>
    </w:p>
    <w:p>
      <w:pPr>
        <w:pStyle w:val="afffffffffffffffffffffffffffffffff0"/>
        <w:numPr>
          <w:ilvl w:val="0"/>
          <w:numId w:val="187"/>
        </w:numPr>
      </w:pPr>
      <w:r>
        <w:t>报告期末按应收金额确认的政府补助</w:t>
      </w:r>
    </w:p>
    <w:sdt>
      <w:sdtPr>
        <w:alias w:val="是否适用：按应收金额确认的政府补助[双击切换]"/>
        <w:tag w:val="_GBC_e1e20d7c43844cb8b0392ce8a915912f"/>
        <w:id w:val="-82735776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03237887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0"/>
        <w:numPr>
          <w:ilvl w:val="0"/>
          <w:numId w:val="187"/>
        </w:numPr>
      </w:pPr>
      <w:r>
        <w:t>涉及政府补助的负债项目</w:t>
      </w:r>
    </w:p>
    <w:sdt>
      <w:sdtPr>
        <w:alias w:val="是否适用：涉及政府补助的负债项目[双击切换]"/>
        <w:tag w:val="_GBC_ed9e8fabcc8e4318b2ec33d01e83aec4"/>
        <w:id w:val="149338139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涉及政府补助的负债项目"/>
          <w:tag w:val="_GBC_7f1d795aca2d46699971ecb934072fbd"/>
          <w:id w:val="151071398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千元</w:t>
          </w:r>
        </w:sdtContent>
      </w:sdt>
      <w:r>
        <w:rPr>
          <w:rFonts w:hint="eastAsia"/>
        </w:rPr>
        <w:t xml:space="preserve">  币种：</w:t>
      </w:r>
      <w:sdt>
        <w:sdtPr>
          <w:rPr>
            <w:rFonts w:hint="eastAsia"/>
          </w:rPr>
          <w:alias w:val="币种：涉及政府补助的负债项目"/>
          <w:tag w:val="_GBC_ba4177cbae6044fa854e8e3dea407bcc"/>
          <w:id w:val="-113294644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87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070"/>
        <w:gridCol w:w="1071"/>
        <w:gridCol w:w="1073"/>
        <w:gridCol w:w="1073"/>
        <w:gridCol w:w="1073"/>
        <w:gridCol w:w="1073"/>
        <w:gridCol w:w="1846"/>
      </w:tblGrid>
      <w:tr>
        <w:sdt>
          <w:sdtPr>
            <w:rPr>
              <w:szCs w:val="21"/>
            </w:rPr>
            <w:tag w:val="_PLD_51e96a8ef830445cb15689886ccd8ab5"/>
            <w:id w:val="305054849"/>
          </w:sdtPr>
          <w:sdtContent>
            <w:tc>
              <w:tcPr>
                <w:tcW w:w="887" w:type="pct"/>
                <w:shd w:val="clear" w:color="auto" w:fill="auto"/>
                <w:vAlign w:val="center"/>
              </w:tcPr>
              <w:p>
                <w:pPr>
                  <w:jc w:val="center"/>
                  <w:rPr>
                    <w:szCs w:val="21"/>
                  </w:rPr>
                </w:pPr>
                <w:r>
                  <w:rPr>
                    <w:rFonts w:hint="eastAsia"/>
                    <w:szCs w:val="21"/>
                  </w:rPr>
                  <w:t>财务报表项目</w:t>
                </w:r>
              </w:p>
            </w:tc>
          </w:sdtContent>
        </w:sdt>
        <w:sdt>
          <w:sdtPr>
            <w:rPr>
              <w:szCs w:val="21"/>
            </w:rPr>
            <w:tag w:val="_PLD_13c2708d76d140e9a2c8b42ee30372fa"/>
            <w:id w:val="-346175700"/>
          </w:sdtPr>
          <w:sdtContent>
            <w:tc>
              <w:tcPr>
                <w:tcW w:w="532" w:type="pct"/>
                <w:shd w:val="clear" w:color="auto" w:fill="auto"/>
                <w:vAlign w:val="center"/>
              </w:tcPr>
              <w:p>
                <w:pPr>
                  <w:jc w:val="center"/>
                  <w:rPr>
                    <w:szCs w:val="21"/>
                  </w:rPr>
                </w:pPr>
                <w:r>
                  <w:rPr>
                    <w:rFonts w:hint="eastAsia"/>
                    <w:szCs w:val="21"/>
                  </w:rPr>
                  <w:t>期初余额</w:t>
                </w:r>
              </w:p>
            </w:tc>
          </w:sdtContent>
        </w:sdt>
        <w:sdt>
          <w:sdtPr>
            <w:rPr>
              <w:szCs w:val="21"/>
            </w:rPr>
            <w:tag w:val="_PLD_baee6e4484a048eca37a455836f6d23a"/>
            <w:id w:val="1277286362"/>
          </w:sdtPr>
          <w:sdtContent>
            <w:tc>
              <w:tcPr>
                <w:tcW w:w="532" w:type="pct"/>
                <w:shd w:val="clear" w:color="auto" w:fill="auto"/>
                <w:vAlign w:val="center"/>
              </w:tcPr>
              <w:p>
                <w:pPr>
                  <w:jc w:val="center"/>
                  <w:rPr>
                    <w:szCs w:val="21"/>
                  </w:rPr>
                </w:pPr>
                <w:r>
                  <w:rPr>
                    <w:szCs w:val="21"/>
                  </w:rPr>
                  <w:t>本期新增补助金额</w:t>
                </w:r>
              </w:p>
            </w:tc>
          </w:sdtContent>
        </w:sdt>
        <w:sdt>
          <w:sdtPr>
            <w:rPr>
              <w:szCs w:val="21"/>
            </w:rPr>
            <w:tag w:val="_PLD_d4b5cb214b114ec4bb3ec943b3f45a12"/>
            <w:id w:val="1067838313"/>
          </w:sdtPr>
          <w:sdtContent>
            <w:tc>
              <w:tcPr>
                <w:tcW w:w="533" w:type="pct"/>
                <w:shd w:val="clear" w:color="auto" w:fill="auto"/>
                <w:vAlign w:val="center"/>
              </w:tcPr>
              <w:p>
                <w:pPr>
                  <w:jc w:val="center"/>
                  <w:rPr>
                    <w:szCs w:val="21"/>
                  </w:rPr>
                </w:pPr>
                <w:r>
                  <w:rPr>
                    <w:szCs w:val="21"/>
                  </w:rPr>
                  <w:t>本期计入营业外收入金额</w:t>
                </w:r>
              </w:p>
            </w:tc>
          </w:sdtContent>
        </w:sdt>
        <w:sdt>
          <w:sdtPr>
            <w:rPr>
              <w:szCs w:val="21"/>
            </w:rPr>
            <w:tag w:val="_PLD_fe390be730354706a1af1589fdc9ce78"/>
            <w:id w:val="-1809084315"/>
          </w:sdtPr>
          <w:sdtContent>
            <w:tc>
              <w:tcPr>
                <w:tcW w:w="533" w:type="pct"/>
                <w:vAlign w:val="center"/>
              </w:tcPr>
              <w:p>
                <w:pPr>
                  <w:jc w:val="center"/>
                  <w:rPr>
                    <w:szCs w:val="21"/>
                  </w:rPr>
                </w:pPr>
                <w:r>
                  <w:rPr>
                    <w:szCs w:val="21"/>
                  </w:rPr>
                  <w:t>本期转入其他收益</w:t>
                </w:r>
              </w:p>
            </w:tc>
          </w:sdtContent>
        </w:sdt>
        <w:sdt>
          <w:sdtPr>
            <w:rPr>
              <w:szCs w:val="21"/>
            </w:rPr>
            <w:tag w:val="_PLD_0574cd35fdf24bda85fc60dbc5d663ad"/>
            <w:id w:val="-1093697963"/>
          </w:sdtPr>
          <w:sdtContent>
            <w:tc>
              <w:tcPr>
                <w:tcW w:w="533" w:type="pct"/>
                <w:vAlign w:val="center"/>
              </w:tcPr>
              <w:p>
                <w:pPr>
                  <w:jc w:val="center"/>
                  <w:rPr>
                    <w:szCs w:val="21"/>
                  </w:rPr>
                </w:pPr>
                <w:r>
                  <w:rPr>
                    <w:rFonts w:hint="eastAsia"/>
                    <w:szCs w:val="21"/>
                  </w:rPr>
                  <w:t>本期其他变动</w:t>
                </w:r>
              </w:p>
            </w:tc>
          </w:sdtContent>
        </w:sdt>
        <w:sdt>
          <w:sdtPr>
            <w:rPr>
              <w:szCs w:val="21"/>
            </w:rPr>
            <w:tag w:val="_PLD_b4cd227caa134d8da03257df3775b63f"/>
            <w:id w:val="-534964853"/>
          </w:sdtPr>
          <w:sdtContent>
            <w:tc>
              <w:tcPr>
                <w:tcW w:w="533" w:type="pct"/>
                <w:vAlign w:val="center"/>
              </w:tcPr>
              <w:p>
                <w:pPr>
                  <w:jc w:val="center"/>
                  <w:rPr>
                    <w:szCs w:val="21"/>
                  </w:rPr>
                </w:pPr>
                <w:r>
                  <w:rPr>
                    <w:rFonts w:hint="eastAsia"/>
                    <w:szCs w:val="21"/>
                  </w:rPr>
                  <w:t>期末余额</w:t>
                </w:r>
              </w:p>
            </w:tc>
          </w:sdtContent>
        </w:sdt>
        <w:sdt>
          <w:sdtPr>
            <w:rPr>
              <w:szCs w:val="21"/>
            </w:rPr>
            <w:tag w:val="_PLD_9149efa168c746cfa58bdc4f4b4275bd"/>
            <w:id w:val="-1284579864"/>
          </w:sdtPr>
          <w:sdtContent>
            <w:tc>
              <w:tcPr>
                <w:tcW w:w="918" w:type="pct"/>
                <w:vAlign w:val="center"/>
              </w:tcPr>
              <w:p>
                <w:pPr>
                  <w:jc w:val="center"/>
                  <w:rPr>
                    <w:szCs w:val="21"/>
                  </w:rPr>
                </w:pPr>
                <w:r>
                  <w:rPr>
                    <w:rFonts w:hint="eastAsia"/>
                    <w:szCs w:val="21"/>
                  </w:rPr>
                  <w:t>与资产</w:t>
                </w:r>
                <w:r>
                  <w:rPr>
                    <w:szCs w:val="21"/>
                  </w:rPr>
                  <w:t>/收益相关</w:t>
                </w:r>
              </w:p>
            </w:tc>
          </w:sdtContent>
        </w:sdt>
      </w:tr>
      <w:tr>
        <w:tc>
          <w:tcPr>
            <w:tcW w:w="887" w:type="pct"/>
            <w:shd w:val="clear" w:color="auto" w:fill="auto"/>
            <w:vAlign w:val="center"/>
          </w:tcPr>
          <w:p>
            <w:pPr>
              <w:spacing w:line="360" w:lineRule="exact"/>
              <w:rPr>
                <w:szCs w:val="21"/>
              </w:rPr>
            </w:pPr>
            <w:r>
              <w:rPr>
                <w:rFonts w:hint="eastAsia"/>
                <w:szCs w:val="21"/>
              </w:rPr>
              <w:t>递延收益</w:t>
            </w:r>
          </w:p>
        </w:tc>
        <w:tc>
          <w:tcPr>
            <w:tcW w:w="532" w:type="pct"/>
            <w:shd w:val="clear" w:color="auto" w:fill="auto"/>
            <w:vAlign w:val="center"/>
          </w:tcPr>
          <w:p>
            <w:pPr>
              <w:spacing w:line="360" w:lineRule="exact"/>
              <w:jc w:val="right"/>
              <w:rPr>
                <w:szCs w:val="21"/>
              </w:rPr>
            </w:pPr>
            <w:r>
              <w:rPr>
                <w:szCs w:val="21"/>
              </w:rPr>
              <w:t>329,318</w:t>
            </w:r>
          </w:p>
        </w:tc>
        <w:tc>
          <w:tcPr>
            <w:tcW w:w="532" w:type="pct"/>
            <w:shd w:val="clear" w:color="auto" w:fill="auto"/>
            <w:vAlign w:val="center"/>
          </w:tcPr>
          <w:p>
            <w:pPr>
              <w:spacing w:line="360" w:lineRule="exact"/>
              <w:jc w:val="right"/>
              <w:rPr>
                <w:szCs w:val="21"/>
              </w:rPr>
            </w:pPr>
            <w:r>
              <w:rPr>
                <w:szCs w:val="21"/>
              </w:rPr>
              <w:t>71,815</w:t>
            </w:r>
          </w:p>
        </w:tc>
        <w:tc>
          <w:tcPr>
            <w:tcW w:w="533" w:type="pct"/>
            <w:shd w:val="clear" w:color="auto" w:fill="auto"/>
            <w:vAlign w:val="center"/>
          </w:tcPr>
          <w:p>
            <w:pPr>
              <w:spacing w:line="360" w:lineRule="exact"/>
              <w:jc w:val="right"/>
              <w:rPr>
                <w:szCs w:val="21"/>
              </w:rPr>
            </w:pPr>
          </w:p>
        </w:tc>
        <w:tc>
          <w:tcPr>
            <w:tcW w:w="533" w:type="pct"/>
            <w:vAlign w:val="center"/>
          </w:tcPr>
          <w:p>
            <w:pPr>
              <w:spacing w:line="360" w:lineRule="exact"/>
              <w:jc w:val="right"/>
              <w:rPr>
                <w:szCs w:val="21"/>
              </w:rPr>
            </w:pPr>
            <w:r>
              <w:rPr>
                <w:szCs w:val="21"/>
              </w:rPr>
              <w:t>42,221</w:t>
            </w:r>
          </w:p>
        </w:tc>
        <w:tc>
          <w:tcPr>
            <w:tcW w:w="533" w:type="pct"/>
            <w:vAlign w:val="center"/>
          </w:tcPr>
          <w:p>
            <w:pPr>
              <w:spacing w:line="360" w:lineRule="exact"/>
              <w:jc w:val="right"/>
              <w:rPr>
                <w:szCs w:val="21"/>
              </w:rPr>
            </w:pPr>
            <w:r>
              <w:rPr>
                <w:szCs w:val="21"/>
              </w:rPr>
              <w:t>-4,500</w:t>
            </w:r>
          </w:p>
        </w:tc>
        <w:tc>
          <w:tcPr>
            <w:tcW w:w="533" w:type="pct"/>
            <w:vAlign w:val="center"/>
          </w:tcPr>
          <w:p>
            <w:pPr>
              <w:spacing w:line="360" w:lineRule="exact"/>
              <w:jc w:val="right"/>
              <w:rPr>
                <w:szCs w:val="21"/>
              </w:rPr>
            </w:pPr>
            <w:r>
              <w:rPr>
                <w:szCs w:val="21"/>
              </w:rPr>
              <w:t>354,412</w:t>
            </w:r>
          </w:p>
        </w:tc>
        <w:tc>
          <w:tcPr>
            <w:tcW w:w="918" w:type="pct"/>
            <w:vAlign w:val="center"/>
          </w:tcPr>
          <w:p>
            <w:pPr>
              <w:spacing w:line="360" w:lineRule="exact"/>
              <w:rPr>
                <w:szCs w:val="21"/>
              </w:rPr>
            </w:pPr>
            <w:r>
              <w:rPr>
                <w:rFonts w:hint="eastAsia"/>
                <w:szCs w:val="21"/>
              </w:rPr>
              <w:t>与资产相关</w:t>
            </w:r>
          </w:p>
        </w:tc>
      </w:tr>
      <w:tr>
        <w:tc>
          <w:tcPr>
            <w:tcW w:w="887" w:type="pct"/>
            <w:tcBorders>
              <w:top w:val="single" w:sz="4" w:space="0" w:color="auto"/>
              <w:left w:val="single" w:sz="4" w:space="0" w:color="auto"/>
              <w:bottom w:val="single" w:sz="4" w:space="0" w:color="auto"/>
              <w:right w:val="single" w:sz="4" w:space="0" w:color="auto"/>
            </w:tcBorders>
            <w:shd w:val="clear" w:color="auto" w:fill="auto"/>
          </w:tcPr>
          <w:p>
            <w:pPr>
              <w:jc w:val="center"/>
              <w:rPr>
                <w:szCs w:val="21"/>
              </w:rPr>
            </w:pPr>
            <w:r>
              <w:rPr>
                <w:szCs w:val="21"/>
              </w:rPr>
              <w:t>合计</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329,318</w:t>
            </w:r>
          </w:p>
        </w:tc>
        <w:tc>
          <w:tcPr>
            <w:tcW w:w="53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71,815</w:t>
            </w:r>
          </w:p>
        </w:tc>
        <w:tc>
          <w:tcPr>
            <w:tcW w:w="53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p>
        </w:tc>
        <w:tc>
          <w:tcPr>
            <w:tcW w:w="53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42,221</w:t>
            </w:r>
          </w:p>
        </w:tc>
        <w:tc>
          <w:tcPr>
            <w:tcW w:w="53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-4,500</w:t>
            </w:r>
          </w:p>
        </w:tc>
        <w:tc>
          <w:tcPr>
            <w:tcW w:w="53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354,412</w:t>
            </w:r>
          </w:p>
        </w:tc>
        <w:tc>
          <w:tcPr>
            <w:tcW w:w="918" w:type="pct"/>
            <w:tcBorders>
              <w:top w:val="single" w:sz="4" w:space="0" w:color="auto"/>
              <w:left w:val="single" w:sz="4" w:space="0" w:color="auto"/>
              <w:bottom w:val="single" w:sz="4" w:space="0" w:color="auto"/>
              <w:right w:val="single" w:sz="4" w:space="0" w:color="auto"/>
            </w:tcBorders>
          </w:tcPr>
          <w:p>
            <w:pPr>
              <w:pStyle w:val="affffffffffffffffffffffffffffffffe"/>
              <w:rPr>
                <w:szCs w:val="21"/>
              </w:rPr>
            </w:pPr>
            <w:r>
              <w:rPr>
                <w:rFonts w:hint="eastAsia"/>
                <w:szCs w:val="21"/>
              </w:rPr>
              <w:t>/</w:t>
            </w:r>
          </w:p>
        </w:tc>
      </w:tr>
    </w:tbl>
    <w:p>
      <w:pPr>
        <w:pStyle w:val="affffffffffffffffffffffffffffffffe"/>
      </w:pPr>
    </w:p>
    <w:p>
      <w:pPr>
        <w:pStyle w:val="affffffffffffffffff6"/>
        <w:numPr>
          <w:ilvl w:val="0"/>
          <w:numId w:val="187"/>
        </w:numPr>
        <w:rPr>
          <w:rFonts w:cs="宋体"/>
          <w:kern w:val="0"/>
          <w:szCs w:val="24"/>
        </w:rPr>
      </w:pPr>
      <w:bookmarkStart w:id="486" w:name="_Hlk153267407"/>
      <w:r>
        <w:rPr>
          <w:rFonts w:cs="宋体" w:hint="eastAsia"/>
          <w:kern w:val="0"/>
          <w:szCs w:val="24"/>
        </w:rPr>
        <w:t>计入当期</w:t>
      </w:r>
      <w:r>
        <w:rPr>
          <w:rFonts w:ascii="宋体" w:hAnsi="宋体" w:cs="宋体" w:hint="eastAsia"/>
          <w:kern w:val="0"/>
          <w:szCs w:val="24"/>
        </w:rPr>
        <w:t>损益</w:t>
      </w:r>
      <w:r>
        <w:rPr>
          <w:rFonts w:cs="宋体" w:hint="eastAsia"/>
          <w:kern w:val="0"/>
          <w:szCs w:val="24"/>
        </w:rPr>
        <w:t>的政府补助</w:t>
      </w:r>
    </w:p>
    <w:sdt>
      <w:sdtPr>
        <w:rPr>
          <w:rStyle w:val="40"/>
          <w:rFonts w:ascii="宋体" w:hAnsi="宋体"/>
          <w:b w:val="0"/>
          <w:szCs w:val="21"/>
        </w:rPr>
        <w:alias w:val="是否适用：计入当期损益的政府补助[双击切换]"/>
        <w:tag w:val="_GBC_8ddf92f66bfa4f87b73074ebf5a7bd32"/>
        <w:id w:val="1740212830"/>
      </w:sdtPr>
      <w:sdtContent>
        <w:p>
          <w:pPr>
            <w:rPr>
              <w:rStyle w:val="40"/>
              <w:rFonts w:ascii="宋体" w:hAnsi="宋体"/>
              <w:b w:val="0"/>
              <w:szCs w:val="21"/>
            </w:rPr>
          </w:pPr>
          <w:r>
            <w:rPr>
              <w:rStyle w:val="40"/>
              <w:rFonts w:ascii="宋体" w:hAnsi="宋体"/>
              <w:b w:val="0"/>
              <w:szCs w:val="21"/>
            </w:rPr>
            <w:fldChar w:fldCharType="begin"/>
          </w:r>
          <w:r>
            <w:rPr>
              <w:rStyle w:val="40"/>
              <w:rFonts w:ascii="宋体" w:hAnsi="宋体" w:hint="eastAsia"/>
              <w:b w:val="0"/>
              <w:szCs w:val="21"/>
            </w:rPr>
            <w:instrText xml:space="preserve">MACROBUTTON SnrToggleCheckbox √适用 </w:instrText>
          </w:r>
          <w:r>
            <w:rPr>
              <w:rStyle w:val="40"/>
              <w:rFonts w:ascii="宋体" w:hAnsi="宋体"/>
              <w:b w:val="0"/>
              <w:szCs w:val="21"/>
            </w:rPr>
            <w:fldChar w:fldCharType="end"/>
          </w:r>
          <w:r>
            <w:rPr>
              <w:rStyle w:val="40"/>
              <w:rFonts w:ascii="宋体" w:hAnsi="宋体"/>
              <w:b w:val="0"/>
              <w:szCs w:val="21"/>
            </w:rPr>
            <w:fldChar w:fldCharType="begin"/>
          </w:r>
          <w:r>
            <w:rPr>
              <w:rStyle w:val="40"/>
              <w:rFonts w:ascii="宋体" w:hAnsi="宋体"/>
              <w:b w:val="0"/>
              <w:szCs w:val="21"/>
            </w:rPr>
            <w:instrText xml:space="preserve">MACROBUTTON  SnrToggleCheckbox □不适用 </w:instrText>
          </w:r>
          <w:r>
            <w:rPr>
              <w:rStyle w:val="40"/>
              <w:rFonts w:ascii="宋体" w:hAnsi="宋体"/>
              <w:b w:val="0"/>
              <w:szCs w:val="21"/>
            </w:rPr>
            <w:fldChar w:fldCharType="end"/>
          </w:r>
        </w:p>
      </w:sdtContent>
    </w:sdt>
    <w:p>
      <w:pPr>
        <w:jc w:val="right"/>
        <w:rPr>
          <w:szCs w:val="21"/>
        </w:rPr>
      </w:pPr>
      <w:r>
        <w:rPr>
          <w:rFonts w:hint="eastAsia"/>
          <w:szCs w:val="21"/>
        </w:rPr>
        <w:t xml:space="preserve"> 单位：</w:t>
      </w:r>
      <w:sdt>
        <w:sdtPr>
          <w:rPr>
            <w:rFonts w:hint="eastAsia"/>
            <w:szCs w:val="21"/>
          </w:rPr>
          <w:alias w:val="单位：财务附注：计入当期损益的政府补助"/>
          <w:tag w:val="_GBC_e18208ff61f24ff591a3dc1a23c8a26c"/>
          <w:id w:val="-2040041706"/>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计入当期损益的政府补助"/>
          <w:tag w:val="_GBC_46d58cfd963545aba949fdc131aee974"/>
          <w:id w:val="-136570017"/>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717"/>
        <w:gridCol w:w="2926"/>
        <w:gridCol w:w="2926"/>
      </w:tblGrid>
      <w:tr>
        <w:trPr>
          <w:trHeight w:val="556"/>
          <w:jc w:val="center"/>
        </w:trPr>
        <w:sdt>
          <w:sdtPr>
            <w:tag w:val="_PLD_5b4079791e994686811417a70944bd9d"/>
            <w:id w:val="1649245356"/>
          </w:sdtPr>
          <w:sdtContent>
            <w:tc>
              <w:tcPr>
                <w:tcW w:w="1585"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rPr>
                  <w:t>类型</w:t>
                </w:r>
              </w:p>
            </w:tc>
          </w:sdtContent>
        </w:sdt>
        <w:sdt>
          <w:sdtPr>
            <w:tag w:val="_PLD_ae1ceb2d189344a5ad7763348cb654c3"/>
            <w:id w:val="813533542"/>
          </w:sdtPr>
          <w:sdtContent>
            <w:tc>
              <w:tcPr>
                <w:tcW w:w="170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本期发生额</w:t>
                </w:r>
              </w:p>
            </w:tc>
          </w:sdtContent>
        </w:sdt>
        <w:sdt>
          <w:sdtPr>
            <w:tag w:val="_PLD_e615d326bd42416e8f3721fad0ff2852"/>
            <w:id w:val="2037379456"/>
          </w:sdtPr>
          <w:sdtContent>
            <w:tc>
              <w:tcPr>
                <w:tcW w:w="170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上期发生额</w:t>
                </w:r>
              </w:p>
            </w:tc>
          </w:sdtContent>
        </w:sdt>
      </w:tr>
      <w:sdt>
        <w:sdtPr>
          <w:rPr>
            <w:szCs w:val="21"/>
          </w:rPr>
          <w:alias w:val="计入当期损益的政府补助明细"/>
          <w:tag w:val="_TUP_69320eb715f34953b28cd93c1792ca46"/>
          <w:id w:val="1956131792"/>
        </w:sdtPr>
        <w:sdtContent>
          <w:tr>
            <w:trPr>
              <w:jc w:val="center"/>
            </w:trPr>
            <w:sdt>
              <w:sdtPr>
                <w:rPr>
                  <w:szCs w:val="21"/>
                </w:rPr>
                <w:alias w:val="计入当期损益的政府补助项目名称"/>
                <w:tag w:val="_GBC_30e0d7873e3b41d781ec9deee5fe8de4"/>
                <w:id w:val="564534500"/>
                <w:comboBox>
                  <w:listItem w:displayText="与资产相关" w:value="与资产相关"/>
                  <w:listItem w:displayText="与收益相关" w:value="与收益相关"/>
                  <w:listItem w:displayText="其他" w:value="其他"/>
                </w:comboBox>
              </w:sdtPr>
              <w:sdtContent>
                <w:tc>
                  <w:tcPr>
                    <w:tcW w:w="1585" w:type="pct"/>
                    <w:tcBorders>
                      <w:top w:val="single" w:sz="4" w:space="0" w:color="auto"/>
                      <w:left w:val="single" w:sz="4" w:space="0" w:color="auto"/>
                      <w:bottom w:val="single" w:sz="4" w:space="0" w:color="auto"/>
                      <w:right w:val="single" w:sz="4" w:space="0" w:color="auto"/>
                    </w:tcBorders>
                    <w:vAlign w:val="center"/>
                  </w:tcPr>
                  <w:p>
                    <w:pPr>
                      <w:rPr>
                        <w:szCs w:val="21"/>
                      </w:rPr>
                    </w:pPr>
                    <w:r>
                      <w:rPr>
                        <w:szCs w:val="21"/>
                      </w:rPr>
                      <w:t>其他收益</w:t>
                    </w:r>
                  </w:p>
                </w:tc>
              </w:sdtContent>
            </w:sdt>
            <w:tc>
              <w:tcPr>
                <w:tcW w:w="170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315,026</w:t>
                </w:r>
              </w:p>
            </w:tc>
            <w:tc>
              <w:tcPr>
                <w:tcW w:w="170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260,875</w:t>
                </w:r>
              </w:p>
            </w:tc>
          </w:tr>
        </w:sdtContent>
      </w:sdt>
      <w:sdt>
        <w:sdtPr>
          <w:rPr>
            <w:szCs w:val="21"/>
          </w:rPr>
          <w:alias w:val="计入当期损益的政府补助明细"/>
          <w:tag w:val="_TUP_69320eb715f34953b28cd93c1792ca46"/>
          <w:id w:val="1508945489"/>
        </w:sdtPr>
        <w:sdtContent>
          <w:tr>
            <w:trPr>
              <w:jc w:val="center"/>
            </w:trPr>
            <w:sdt>
              <w:sdtPr>
                <w:rPr>
                  <w:szCs w:val="21"/>
                </w:rPr>
                <w:alias w:val="计入当期损益的政府补助项目名称"/>
                <w:tag w:val="_GBC_30e0d7873e3b41d781ec9deee5fe8de4"/>
                <w:id w:val="128674207"/>
                <w:comboBox>
                  <w:listItem w:displayText="与资产相关" w:value="与资产相关"/>
                  <w:listItem w:displayText="与收益相关" w:value="与收益相关"/>
                  <w:listItem w:displayText="其他" w:value="其他"/>
                </w:comboBox>
              </w:sdtPr>
              <w:sdtContent>
                <w:tc>
                  <w:tcPr>
                    <w:tcW w:w="1585" w:type="pct"/>
                    <w:tcBorders>
                      <w:top w:val="single" w:sz="4" w:space="0" w:color="auto"/>
                      <w:left w:val="single" w:sz="4" w:space="0" w:color="auto"/>
                      <w:bottom w:val="single" w:sz="4" w:space="0" w:color="auto"/>
                      <w:right w:val="single" w:sz="4" w:space="0" w:color="auto"/>
                    </w:tcBorders>
                    <w:vAlign w:val="center"/>
                  </w:tcPr>
                  <w:p>
                    <w:pPr>
                      <w:rPr>
                        <w:szCs w:val="21"/>
                      </w:rPr>
                    </w:pPr>
                    <w:r>
                      <w:rPr>
                        <w:szCs w:val="21"/>
                      </w:rPr>
                      <w:t>营业外收入</w:t>
                    </w:r>
                  </w:p>
                </w:tc>
              </w:sdtContent>
            </w:sdt>
            <w:tc>
              <w:tcPr>
                <w:tcW w:w="170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7,277</w:t>
                </w:r>
              </w:p>
            </w:tc>
            <w:tc>
              <w:tcPr>
                <w:tcW w:w="1707"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30,144</w:t>
                </w:r>
              </w:p>
            </w:tc>
          </w:tr>
        </w:sdtContent>
      </w:sdt>
      <w:tr>
        <w:trPr>
          <w:jc w:val="center"/>
        </w:trPr>
        <w:tc>
          <w:tcPr>
            <w:tcW w:w="1585" w:type="pct"/>
            <w:tcBorders>
              <w:top w:val="single" w:sz="4" w:space="0" w:color="auto"/>
              <w:left w:val="single" w:sz="4" w:space="0" w:color="auto"/>
              <w:bottom w:val="single" w:sz="4" w:space="0" w:color="auto"/>
              <w:right w:val="single" w:sz="4" w:space="0" w:color="auto"/>
            </w:tcBorders>
            <w:vAlign w:val="center"/>
          </w:tcPr>
          <w:sdt>
            <w:sdtPr>
              <w:tag w:val="_PLD_99129621e0ff49eb998e40d4dcae2e28"/>
              <w:id w:val="-1440055266"/>
            </w:sdtPr>
            <w:sdtContent>
              <w:p>
                <w:pPr>
                  <w:jc w:val="center"/>
                  <w:rPr>
                    <w:szCs w:val="21"/>
                  </w:rPr>
                </w:pPr>
                <w:r>
                  <w:rPr>
                    <w:rFonts w:hint="eastAsia"/>
                    <w:szCs w:val="21"/>
                  </w:rPr>
                  <w:t>合计</w:t>
                </w:r>
              </w:p>
            </w:sdtContent>
          </w:sdt>
        </w:tc>
        <w:tc>
          <w:tcPr>
            <w:tcW w:w="1707"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rPr>
              <w:t>322,303</w:t>
            </w:r>
          </w:p>
        </w:tc>
        <w:tc>
          <w:tcPr>
            <w:tcW w:w="1707"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rPr>
              <w:t>291,019</w:t>
            </w:r>
          </w:p>
        </w:tc>
      </w:tr>
    </w:tbl>
    <w:p>
      <w:pPr>
        <w:pStyle w:val="affffffffffffffffff3"/>
      </w:pPr>
    </w:p>
    <w:p>
      <w:pPr>
        <w:pStyle w:val="affffffffffffffffffffffffffffffffe"/>
      </w:pPr>
    </w:p>
    <w:p>
      <w:pPr>
        <w:pStyle w:val="affffffffffffffffffffffffffffffffe"/>
      </w:pPr>
      <w:bookmarkStart w:id="487" w:name="_Hlk153267868"/>
      <w:bookmarkEnd w:id="486"/>
      <w:r>
        <w:rPr>
          <w:rFonts w:hint="eastAsia"/>
        </w:rPr>
        <w:t>其他说明：</w:t>
      </w:r>
    </w:p>
    <w:p>
      <w:pPr>
        <w:pStyle w:val="affffffffffffffffffffffffffffffffe"/>
      </w:pPr>
      <w:sdt>
        <w:sdtPr>
          <w:alias w:val="政府补助说明"/>
          <w:tag w:val="_GBC_8011e9ada7d741aeb9f59a958e812614"/>
          <w:id w:val="1809511706"/>
          <w:placeholder>
            <w:docPart w:val="GBC22222222222222222222222222222"/>
          </w:placeholder>
        </w:sdtPr>
        <w:sdtContent>
          <w:r>
            <w:t>-</w:t>
          </w:r>
        </w:sdtContent>
      </w:sdt>
    </w:p>
    <w:p>
      <w:pPr>
        <w:pStyle w:val="affffffffffffffffffffffffffffffffe"/>
      </w:pPr>
    </w:p>
    <w:bookmarkEnd w:id="487"/>
    <w:p>
      <w:pPr>
        <w:pStyle w:val="affffffffffffffffffffff2"/>
        <w:numPr>
          <w:ilvl w:val="0"/>
          <w:numId w:val="155"/>
        </w:numPr>
        <w:rPr>
          <w:rFonts w:ascii="宋体" w:hAnsi="宋体"/>
        </w:rPr>
      </w:pPr>
      <w:r>
        <w:rPr>
          <w:rFonts w:ascii="宋体" w:hAnsi="宋体" w:hint="eastAsia"/>
        </w:rPr>
        <w:t>与金融工具相关的风险</w:t>
      </w:r>
    </w:p>
    <w:p>
      <w:pPr>
        <w:pStyle w:val="afffffffffffffffffffffffffffffffff0"/>
        <w:numPr>
          <w:ilvl w:val="0"/>
          <w:numId w:val="135"/>
        </w:numPr>
      </w:pPr>
      <w:r>
        <w:rPr>
          <w:rFonts w:hint="eastAsia"/>
        </w:rPr>
        <w:t>金融工具的风险</w:t>
      </w:r>
    </w:p>
    <w:sdt>
      <w:sdtPr>
        <w:alias w:val="是否适用：与金融工具相关的风险[双击切换]"/>
        <w:tag w:val="_GBC_2be38aac6aaa4945a48be2cdc11eaaf6"/>
        <w:id w:val="139516378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418560640"/>
        <w:placeholder>
          <w:docPart w:val="GBC22222222222222222222222222222"/>
        </w:placeholder>
      </w:sdtPr>
      <w:sdtEndPr>
        <w:rPr>
          <w:b/>
        </w:rPr>
      </w:sdtEndPr>
      <w:sdtContent>
        <w:p>
          <w:pPr>
            <w:autoSpaceDE w:val="0"/>
            <w:autoSpaceDN w:val="0"/>
            <w:adjustRightInd w:val="0"/>
            <w:spacing w:afterLines="50" w:after="156" w:line="360" w:lineRule="exact"/>
            <w:ind w:firstLineChars="200" w:firstLine="420"/>
          </w:pPr>
          <w:r>
            <w:rPr>
              <w:rFonts w:hint="eastAsia"/>
            </w:rPr>
            <w:t>本集团的金融工具包括货币资金、应收账款、应收款项融资、其他应收款、长期应收款、债权投资、发放贷款及垫款、应收保理款、其他权益工具投资、交易性金融资产和其他</w:t>
          </w:r>
          <w:r>
            <w:rPr>
              <w:rFonts w:hint="eastAsia"/>
            </w:rPr>
            <w:lastRenderedPageBreak/>
            <w:t>非流动金融资产、交易性金融负债、借款、应付款项及应付债券等，各项金融工具的详细情况说明见本附注“六、合并财务报表主要项目注释”。与这些金融工具有关的风险，以及本集团为降低这些风险所采取的风险管理政策如下所述。本集团管理层对这些风险敞口进行管理和监控以确保将上述风险控制在限定的范围之内。本集团所面临的风险敞口及管理和监控这些风险的措施均未发生重大变化。本集团的金融工具导致的主要风险是信用风险、流动性风险及市场风险。本集团的金融工具导致的主要风险是信用风险、流动性风险及市场风险。</w:t>
          </w:r>
        </w:p>
        <w:p>
          <w:pPr>
            <w:pStyle w:val="affffffffffffffffffffffffffffffffffffffe"/>
            <w:numPr>
              <w:ilvl w:val="1"/>
              <w:numId w:val="107"/>
            </w:numPr>
            <w:spacing w:after="156"/>
            <w:ind w:firstLineChars="0"/>
          </w:pPr>
          <w:r>
            <w:rPr>
              <w:rFonts w:hint="eastAsia"/>
            </w:rPr>
            <w:t>各类风险管理目标和政策</w:t>
          </w:r>
        </w:p>
        <w:p>
          <w:pPr>
            <w:autoSpaceDE w:val="0"/>
            <w:autoSpaceDN w:val="0"/>
            <w:adjustRightInd w:val="0"/>
            <w:spacing w:afterLines="50" w:after="156" w:line="360" w:lineRule="exact"/>
            <w:ind w:firstLineChars="200" w:firstLine="420"/>
          </w:pPr>
          <w:r>
            <w:rPr>
              <w:rFonts w:hint="eastAsia"/>
            </w:rPr>
            <w:t>本集团从事风险管理的目标是在风险和收益之间取得适当的平衡，将风险对本集团经营业绩的负面影响降低到最低水平，使股东及其它权益投资者的利益最大化。基于该风险管理目标，本集团风险管理的基本策略是确定和分析本集团所面临的各种风险，建立适当的风险承受底线并进行风险管理，并及时可靠地对各种风险进行监督，将风险控制在限定的范围之内。</w:t>
          </w:r>
        </w:p>
        <w:p>
          <w:pPr>
            <w:pStyle w:val="afffa"/>
            <w:numPr>
              <w:ilvl w:val="0"/>
              <w:numId w:val="83"/>
            </w:numPr>
            <w:spacing w:after="156"/>
          </w:pPr>
          <w:r>
            <w:rPr>
              <w:rFonts w:hint="eastAsia"/>
            </w:rPr>
            <w:t>市场风险</w:t>
          </w:r>
        </w:p>
        <w:p>
          <w:pPr>
            <w:pStyle w:val="afffffffffffffffffffffffffffffffffffffff"/>
            <w:numPr>
              <w:ilvl w:val="0"/>
              <w:numId w:val="136"/>
            </w:numPr>
          </w:pPr>
          <w:r>
            <w:rPr>
              <w:rFonts w:hint="eastAsia"/>
            </w:rPr>
            <w:t>汇率风险</w:t>
          </w:r>
        </w:p>
        <w:p>
          <w:pPr>
            <w:autoSpaceDE w:val="0"/>
            <w:autoSpaceDN w:val="0"/>
            <w:adjustRightInd w:val="0"/>
            <w:spacing w:afterLines="50" w:after="156" w:line="360" w:lineRule="exact"/>
            <w:ind w:firstLineChars="200" w:firstLine="420"/>
          </w:pPr>
          <w:r>
            <w:rPr>
              <w:rFonts w:hint="eastAsia"/>
            </w:rPr>
            <w:t>于2024年12月31日，除下表所述货币性资产及负债的美元、澳元、港币、欧元、加元余额外，本集团的货币性资产及负债均为人民币余额。该等余额的资产和负债产生的汇率风险可能对本集团的经营业绩产生影响。</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TEmQup7O7Ue8fgF23X10QA|0|desc|||0|1"/>
          </w:tblPr>
          <w:tblGrid>
            <w:gridCol w:w="2860"/>
            <w:gridCol w:w="2859"/>
            <w:gridCol w:w="2860"/>
          </w:tblGrid>
          <w:tr>
            <w:trPr>
              <w:cantSplit/>
              <w:trHeight w:val="397"/>
              <w:tblHeader/>
              <w:jc w:val="center"/>
            </w:trPr>
            <w:tc>
              <w:tcPr>
                <w:tcW w:w="2860" w:type="dxa"/>
                <w:shd w:val="clear" w:color="auto" w:fill="auto"/>
                <w:vAlign w:val="center"/>
              </w:tcPr>
              <w:p>
                <w:pPr>
                  <w:jc w:val="center"/>
                  <w:rPr>
                    <w:b/>
                    <w:bCs/>
                    <w:color w:val="000000"/>
                    <w:szCs w:val="21"/>
                  </w:rPr>
                </w:pPr>
                <w:r>
                  <w:rPr>
                    <w:rFonts w:hint="eastAsia"/>
                    <w:b/>
                    <w:bCs/>
                    <w:color w:val="000000"/>
                    <w:szCs w:val="21"/>
                  </w:rPr>
                  <w:t>项目</w:t>
                </w:r>
              </w:p>
            </w:tc>
            <w:tc>
              <w:tcPr>
                <w:tcW w:w="2859" w:type="dxa"/>
                <w:shd w:val="clear" w:color="auto" w:fill="auto"/>
                <w:vAlign w:val="center"/>
              </w:tcPr>
              <w:p>
                <w:pPr>
                  <w:jc w:val="center"/>
                  <w:rPr>
                    <w:b/>
                    <w:bCs/>
                    <w:color w:val="000000"/>
                    <w:szCs w:val="21"/>
                  </w:rPr>
                </w:pPr>
                <w:r>
                  <w:rPr>
                    <w:rFonts w:hint="eastAsia"/>
                    <w:b/>
                    <w:bCs/>
                    <w:color w:val="000000"/>
                    <w:szCs w:val="21"/>
                  </w:rPr>
                  <w:t>负债年末余额</w:t>
                </w:r>
              </w:p>
            </w:tc>
            <w:tc>
              <w:tcPr>
                <w:tcW w:w="2860" w:type="dxa"/>
                <w:shd w:val="clear" w:color="auto" w:fill="auto"/>
                <w:vAlign w:val="center"/>
              </w:tcPr>
              <w:p>
                <w:pPr>
                  <w:jc w:val="center"/>
                  <w:rPr>
                    <w:b/>
                    <w:bCs/>
                    <w:color w:val="000000"/>
                    <w:szCs w:val="21"/>
                  </w:rPr>
                </w:pPr>
                <w:r>
                  <w:rPr>
                    <w:rFonts w:hint="eastAsia"/>
                    <w:b/>
                    <w:bCs/>
                    <w:color w:val="000000"/>
                    <w:szCs w:val="21"/>
                  </w:rPr>
                  <w:t>资产年末余额</w:t>
                </w:r>
              </w:p>
            </w:tc>
          </w:tr>
          <w:tr>
            <w:trPr>
              <w:cantSplit/>
              <w:trHeight w:val="397"/>
              <w:jc w:val="center"/>
            </w:trPr>
            <w:tc>
              <w:tcPr>
                <w:tcW w:w="2860" w:type="dxa"/>
                <w:shd w:val="clear" w:color="auto" w:fill="auto"/>
                <w:vAlign w:val="center"/>
              </w:tcPr>
              <w:p>
                <w:pPr>
                  <w:rPr>
                    <w:color w:val="000000"/>
                    <w:szCs w:val="21"/>
                  </w:rPr>
                </w:pPr>
                <w:r>
                  <w:rPr>
                    <w:rFonts w:hint="eastAsia"/>
                    <w:color w:val="000000"/>
                    <w:szCs w:val="21"/>
                  </w:rPr>
                  <w:t>美元</w:t>
                </w:r>
              </w:p>
            </w:tc>
            <w:tc>
              <w:tcPr>
                <w:tcW w:w="2859" w:type="dxa"/>
                <w:shd w:val="clear" w:color="auto" w:fill="auto"/>
                <w:vAlign w:val="center"/>
              </w:tcPr>
              <w:p>
                <w:pPr>
                  <w:jc w:val="right"/>
                  <w:rPr>
                    <w:color w:val="000000"/>
                    <w:szCs w:val="21"/>
                  </w:rPr>
                </w:pPr>
                <w:r>
                  <w:rPr>
                    <w:color w:val="000000"/>
                    <w:szCs w:val="21"/>
                  </w:rPr>
                  <w:t>996,628</w:t>
                </w:r>
              </w:p>
            </w:tc>
            <w:tc>
              <w:tcPr>
                <w:tcW w:w="2860" w:type="dxa"/>
                <w:shd w:val="clear" w:color="auto" w:fill="auto"/>
                <w:vAlign w:val="center"/>
              </w:tcPr>
              <w:p>
                <w:pPr>
                  <w:jc w:val="right"/>
                  <w:rPr>
                    <w:color w:val="000000"/>
                    <w:szCs w:val="21"/>
                  </w:rPr>
                </w:pPr>
                <w:r>
                  <w:rPr>
                    <w:color w:val="000000"/>
                    <w:szCs w:val="21"/>
                  </w:rPr>
                  <w:t>287,989</w:t>
                </w:r>
              </w:p>
            </w:tc>
          </w:tr>
          <w:tr>
            <w:trPr>
              <w:cantSplit/>
              <w:trHeight w:val="397"/>
              <w:jc w:val="center"/>
            </w:trPr>
            <w:tc>
              <w:tcPr>
                <w:tcW w:w="2860" w:type="dxa"/>
                <w:shd w:val="clear" w:color="auto" w:fill="auto"/>
                <w:vAlign w:val="center"/>
              </w:tcPr>
              <w:p>
                <w:pPr>
                  <w:rPr>
                    <w:color w:val="000000"/>
                    <w:szCs w:val="21"/>
                  </w:rPr>
                </w:pPr>
                <w:r>
                  <w:rPr>
                    <w:rFonts w:hint="eastAsia"/>
                    <w:color w:val="000000"/>
                    <w:szCs w:val="21"/>
                  </w:rPr>
                  <w:t>澳元</w:t>
                </w:r>
              </w:p>
            </w:tc>
            <w:tc>
              <w:tcPr>
                <w:tcW w:w="2859" w:type="dxa"/>
                <w:shd w:val="clear" w:color="auto" w:fill="auto"/>
                <w:vAlign w:val="center"/>
              </w:tcPr>
              <w:p>
                <w:pPr>
                  <w:jc w:val="right"/>
                  <w:rPr>
                    <w:color w:val="000000"/>
                    <w:szCs w:val="21"/>
                  </w:rPr>
                </w:pPr>
                <w:r>
                  <w:rPr>
                    <w:color w:val="000000"/>
                    <w:szCs w:val="21"/>
                  </w:rPr>
                  <w:t>239,890</w:t>
                </w:r>
              </w:p>
            </w:tc>
            <w:tc>
              <w:tcPr>
                <w:tcW w:w="2860" w:type="dxa"/>
                <w:shd w:val="clear" w:color="auto" w:fill="auto"/>
                <w:vAlign w:val="center"/>
              </w:tcPr>
              <w:p>
                <w:pPr>
                  <w:jc w:val="right"/>
                  <w:rPr>
                    <w:color w:val="000000"/>
                    <w:szCs w:val="21"/>
                  </w:rPr>
                </w:pPr>
                <w:r>
                  <w:rPr>
                    <w:color w:val="000000"/>
                    <w:szCs w:val="21"/>
                  </w:rPr>
                  <w:t>665,999</w:t>
                </w:r>
              </w:p>
            </w:tc>
          </w:tr>
          <w:tr>
            <w:trPr>
              <w:cantSplit/>
              <w:trHeight w:val="397"/>
              <w:jc w:val="center"/>
            </w:trPr>
            <w:tc>
              <w:tcPr>
                <w:tcW w:w="2860" w:type="dxa"/>
                <w:shd w:val="clear" w:color="auto" w:fill="auto"/>
                <w:vAlign w:val="center"/>
              </w:tcPr>
              <w:p>
                <w:pPr>
                  <w:rPr>
                    <w:color w:val="000000"/>
                    <w:szCs w:val="21"/>
                  </w:rPr>
                </w:pPr>
                <w:r>
                  <w:rPr>
                    <w:rFonts w:hint="eastAsia"/>
                    <w:color w:val="000000"/>
                    <w:szCs w:val="21"/>
                  </w:rPr>
                  <w:t>加元</w:t>
                </w:r>
              </w:p>
            </w:tc>
            <w:tc>
              <w:tcPr>
                <w:tcW w:w="2859" w:type="dxa"/>
                <w:shd w:val="clear" w:color="auto" w:fill="auto"/>
                <w:vAlign w:val="center"/>
              </w:tcPr>
              <w:p>
                <w:pPr>
                  <w:jc w:val="right"/>
                  <w:rPr>
                    <w:color w:val="000000"/>
                    <w:szCs w:val="21"/>
                  </w:rPr>
                </w:pPr>
                <w:r>
                  <w:rPr>
                    <w:color w:val="000000"/>
                    <w:szCs w:val="21"/>
                  </w:rPr>
                  <w:t>12</w:t>
                </w:r>
              </w:p>
            </w:tc>
            <w:tc>
              <w:tcPr>
                <w:tcW w:w="2860" w:type="dxa"/>
                <w:shd w:val="clear" w:color="auto" w:fill="auto"/>
                <w:vAlign w:val="center"/>
              </w:tcPr>
              <w:p>
                <w:pPr>
                  <w:jc w:val="right"/>
                  <w:rPr>
                    <w:color w:val="000000"/>
                    <w:szCs w:val="21"/>
                  </w:rPr>
                </w:pPr>
              </w:p>
            </w:tc>
          </w:tr>
          <w:tr>
            <w:trPr>
              <w:cantSplit/>
              <w:trHeight w:val="397"/>
              <w:jc w:val="center"/>
            </w:trPr>
            <w:tc>
              <w:tcPr>
                <w:tcW w:w="2860" w:type="dxa"/>
                <w:shd w:val="clear" w:color="auto" w:fill="auto"/>
                <w:vAlign w:val="center"/>
              </w:tcPr>
              <w:p>
                <w:pPr>
                  <w:rPr>
                    <w:color w:val="000000"/>
                    <w:szCs w:val="21"/>
                  </w:rPr>
                </w:pPr>
                <w:r>
                  <w:rPr>
                    <w:rFonts w:hint="eastAsia"/>
                    <w:color w:val="000000"/>
                    <w:szCs w:val="21"/>
                  </w:rPr>
                  <w:t>港币</w:t>
                </w:r>
              </w:p>
            </w:tc>
            <w:tc>
              <w:tcPr>
                <w:tcW w:w="2859" w:type="dxa"/>
                <w:shd w:val="clear" w:color="auto" w:fill="auto"/>
                <w:vAlign w:val="center"/>
              </w:tcPr>
              <w:p>
                <w:pPr>
                  <w:jc w:val="right"/>
                  <w:rPr>
                    <w:color w:val="000000"/>
                    <w:szCs w:val="21"/>
                  </w:rPr>
                </w:pPr>
                <w:r>
                  <w:rPr>
                    <w:color w:val="000000"/>
                    <w:szCs w:val="21"/>
                  </w:rPr>
                  <w:t>157,203</w:t>
                </w:r>
              </w:p>
            </w:tc>
            <w:tc>
              <w:tcPr>
                <w:tcW w:w="2860" w:type="dxa"/>
                <w:shd w:val="clear" w:color="auto" w:fill="auto"/>
                <w:vAlign w:val="center"/>
              </w:tcPr>
              <w:p>
                <w:pPr>
                  <w:jc w:val="right"/>
                  <w:rPr>
                    <w:color w:val="000000"/>
                    <w:szCs w:val="21"/>
                  </w:rPr>
                </w:pPr>
              </w:p>
            </w:tc>
          </w:tr>
          <w:tr>
            <w:trPr>
              <w:cantSplit/>
              <w:trHeight w:val="397"/>
              <w:jc w:val="center"/>
            </w:trPr>
            <w:tc>
              <w:tcPr>
                <w:tcW w:w="2860" w:type="dxa"/>
                <w:shd w:val="clear" w:color="auto" w:fill="auto"/>
                <w:vAlign w:val="center"/>
              </w:tcPr>
              <w:p>
                <w:pPr>
                  <w:rPr>
                    <w:color w:val="000000"/>
                    <w:szCs w:val="21"/>
                  </w:rPr>
                </w:pPr>
                <w:r>
                  <w:rPr>
                    <w:rFonts w:hint="eastAsia"/>
                    <w:color w:val="000000"/>
                    <w:szCs w:val="21"/>
                  </w:rPr>
                  <w:t>欧元</w:t>
                </w:r>
              </w:p>
            </w:tc>
            <w:tc>
              <w:tcPr>
                <w:tcW w:w="2859" w:type="dxa"/>
                <w:shd w:val="clear" w:color="auto" w:fill="auto"/>
                <w:vAlign w:val="center"/>
              </w:tcPr>
              <w:p>
                <w:pPr>
                  <w:jc w:val="right"/>
                  <w:rPr>
                    <w:color w:val="000000"/>
                    <w:szCs w:val="21"/>
                  </w:rPr>
                </w:pPr>
                <w:r>
                  <w:rPr>
                    <w:color w:val="000000"/>
                    <w:szCs w:val="21"/>
                  </w:rPr>
                  <w:t>95,590</w:t>
                </w:r>
              </w:p>
            </w:tc>
            <w:tc>
              <w:tcPr>
                <w:tcW w:w="2860" w:type="dxa"/>
                <w:shd w:val="clear" w:color="auto" w:fill="auto"/>
                <w:vAlign w:val="center"/>
              </w:tcPr>
              <w:p>
                <w:pPr>
                  <w:jc w:val="right"/>
                  <w:rPr>
                    <w:color w:val="000000"/>
                    <w:szCs w:val="21"/>
                  </w:rPr>
                </w:pPr>
                <w:r>
                  <w:rPr>
                    <w:color w:val="000000"/>
                    <w:szCs w:val="21"/>
                  </w:rPr>
                  <w:t>42,536</w:t>
                </w:r>
              </w:p>
            </w:tc>
          </w:tr>
        </w:tbl>
        <w:p>
          <w:pPr>
            <w:pStyle w:val="afffffffffffffffffffffffffffffffffffffff"/>
            <w:numPr>
              <w:ilvl w:val="0"/>
              <w:numId w:val="136"/>
            </w:numPr>
          </w:pPr>
          <w:r>
            <w:rPr>
              <w:rFonts w:hint="eastAsia"/>
            </w:rPr>
            <w:t>利率风险</w:t>
          </w:r>
        </w:p>
        <w:p>
          <w:pPr>
            <w:autoSpaceDE w:val="0"/>
            <w:autoSpaceDN w:val="0"/>
            <w:adjustRightInd w:val="0"/>
            <w:spacing w:afterLines="50" w:after="156" w:line="360" w:lineRule="exact"/>
            <w:ind w:firstLineChars="200" w:firstLine="420"/>
          </w:pPr>
          <w:r>
            <w:rPr>
              <w:rFonts w:hint="eastAsia"/>
            </w:rPr>
            <w:t>本集团的利率风险产生于银行借款及应付债券等带息债务。浮动利率的金融负债使本集团面临现金流量利率风险，固定利率的金融负债使本集团面临公允价值利率风险。本集团根据当时的市场环境来决定固定利率及浮动利率合同的相对比例。</w:t>
          </w:r>
        </w:p>
        <w:p>
          <w:pPr>
            <w:autoSpaceDE w:val="0"/>
            <w:autoSpaceDN w:val="0"/>
            <w:adjustRightInd w:val="0"/>
            <w:spacing w:afterLines="50" w:after="156" w:line="360" w:lineRule="exact"/>
            <w:ind w:firstLineChars="200" w:firstLine="420"/>
          </w:pPr>
          <w:r>
            <w:rPr>
              <w:rFonts w:hint="eastAsia"/>
            </w:rPr>
            <w:t>本集团因利率变动引起金融工具公允价值变动的风险主要与固定利率银行借款以及债券等有关。对于固定利率借款，本集团的目标是保持其浮动利率。</w:t>
          </w:r>
        </w:p>
        <w:p>
          <w:pPr>
            <w:autoSpaceDE w:val="0"/>
            <w:autoSpaceDN w:val="0"/>
            <w:adjustRightInd w:val="0"/>
            <w:spacing w:afterLines="50" w:after="156" w:line="360" w:lineRule="exact"/>
            <w:ind w:firstLineChars="200" w:firstLine="420"/>
          </w:pPr>
          <w:r>
            <w:rPr>
              <w:rFonts w:hint="eastAsia"/>
            </w:rPr>
            <w:t>本集团因利率变动引起金融工具现金流量变动的风险主要与浮动利率银行借款以及债券等有关。本集团的政策是保持这些借款的浮动利率，以消除利率变动的公允价值风险。</w:t>
          </w:r>
        </w:p>
        <w:p>
          <w:pPr>
            <w:spacing w:line="360" w:lineRule="exact"/>
            <w:ind w:firstLineChars="200" w:firstLine="420"/>
          </w:pPr>
          <w:r>
            <w:rPr>
              <w:rFonts w:hint="eastAsia"/>
            </w:rPr>
            <w:t>于</w:t>
          </w:r>
          <w:r>
            <w:t>2024年12月31日，本集团的带息债务利率如下：</w:t>
          </w:r>
        </w:p>
        <w:tbl>
          <w:tblPr>
            <w:tblStyle w:val="affffffffff8"/>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Sahr0kGQlEKVXcy6O2Nuiw|0|desc|||0|1"/>
          </w:tblPr>
          <w:tblGrid>
            <w:gridCol w:w="2559"/>
            <w:gridCol w:w="1836"/>
            <w:gridCol w:w="4967"/>
          </w:tblGrid>
          <w:tr>
            <w:trPr>
              <w:trHeight w:val="397"/>
              <w:tblHeader/>
              <w:jc w:val="center"/>
            </w:trPr>
            <w:tc>
              <w:tcPr>
                <w:tcW w:w="2559" w:type="dxa"/>
                <w:shd w:val="clear" w:color="auto" w:fill="auto"/>
                <w:vAlign w:val="center"/>
              </w:tcPr>
              <w:p>
                <w:pPr>
                  <w:jc w:val="center"/>
                  <w:rPr>
                    <w:b/>
                    <w:bCs/>
                    <w:color w:val="000000"/>
                    <w:szCs w:val="21"/>
                  </w:rPr>
                </w:pPr>
                <w:r>
                  <w:rPr>
                    <w:rFonts w:hint="eastAsia"/>
                    <w:b/>
                    <w:bCs/>
                    <w:color w:val="000000"/>
                    <w:szCs w:val="21"/>
                  </w:rPr>
                  <w:lastRenderedPageBreak/>
                  <w:t>项目</w:t>
                </w:r>
              </w:p>
            </w:tc>
            <w:tc>
              <w:tcPr>
                <w:tcW w:w="1836" w:type="dxa"/>
                <w:shd w:val="clear" w:color="auto" w:fill="auto"/>
                <w:vAlign w:val="center"/>
              </w:tcPr>
              <w:p>
                <w:pPr>
                  <w:jc w:val="center"/>
                  <w:rPr>
                    <w:b/>
                    <w:bCs/>
                    <w:color w:val="000000"/>
                    <w:szCs w:val="21"/>
                  </w:rPr>
                </w:pPr>
                <w:r>
                  <w:rPr>
                    <w:rFonts w:hint="eastAsia"/>
                    <w:b/>
                    <w:bCs/>
                    <w:color w:val="000000"/>
                    <w:szCs w:val="21"/>
                  </w:rPr>
                  <w:t>年末余额</w:t>
                </w:r>
              </w:p>
            </w:tc>
            <w:tc>
              <w:tcPr>
                <w:tcW w:w="4967" w:type="dxa"/>
                <w:shd w:val="clear" w:color="auto" w:fill="auto"/>
                <w:vAlign w:val="center"/>
              </w:tcPr>
              <w:p>
                <w:pPr>
                  <w:jc w:val="center"/>
                  <w:rPr>
                    <w:b/>
                    <w:bCs/>
                    <w:color w:val="000000"/>
                    <w:szCs w:val="21"/>
                  </w:rPr>
                </w:pPr>
                <w:r>
                  <w:rPr>
                    <w:rFonts w:hint="eastAsia"/>
                    <w:b/>
                    <w:bCs/>
                    <w:color w:val="000000"/>
                    <w:szCs w:val="21"/>
                  </w:rPr>
                  <w:t>利率区间</w:t>
                </w:r>
              </w:p>
            </w:tc>
          </w:tr>
          <w:tr>
            <w:trPr>
              <w:trHeight w:val="397"/>
              <w:jc w:val="center"/>
            </w:trPr>
            <w:tc>
              <w:tcPr>
                <w:tcW w:w="2559" w:type="dxa"/>
                <w:shd w:val="clear" w:color="auto" w:fill="auto"/>
                <w:vAlign w:val="center"/>
              </w:tcPr>
              <w:p>
                <w:pPr>
                  <w:rPr>
                    <w:color w:val="000000"/>
                    <w:szCs w:val="21"/>
                  </w:rPr>
                </w:pPr>
                <w:r>
                  <w:rPr>
                    <w:rFonts w:hint="eastAsia"/>
                    <w:color w:val="000000"/>
                    <w:szCs w:val="21"/>
                  </w:rPr>
                  <w:t>短期借款</w:t>
                </w:r>
              </w:p>
            </w:tc>
            <w:tc>
              <w:tcPr>
                <w:tcW w:w="1836" w:type="dxa"/>
                <w:shd w:val="clear" w:color="auto" w:fill="auto"/>
                <w:vAlign w:val="center"/>
              </w:tcPr>
              <w:p>
                <w:pPr>
                  <w:jc w:val="right"/>
                  <w:rPr>
                    <w:color w:val="000000"/>
                    <w:szCs w:val="21"/>
                  </w:rPr>
                </w:pPr>
                <w:r>
                  <w:rPr>
                    <w:szCs w:val="21"/>
                  </w:rPr>
                  <w:t>7,693,092</w:t>
                </w:r>
              </w:p>
            </w:tc>
            <w:tc>
              <w:tcPr>
                <w:tcW w:w="4967" w:type="dxa"/>
                <w:shd w:val="clear" w:color="auto" w:fill="auto"/>
                <w:vAlign w:val="center"/>
              </w:tcPr>
              <w:p>
                <w:pPr>
                  <w:rPr>
                    <w:color w:val="000000"/>
                    <w:szCs w:val="21"/>
                  </w:rPr>
                </w:pPr>
                <w:r>
                  <w:rPr>
                    <w:rFonts w:hint="eastAsia"/>
                    <w:color w:val="000000"/>
                    <w:szCs w:val="21"/>
                  </w:rPr>
                  <w:t>人民币借款利率在</w:t>
                </w:r>
                <w:r>
                  <w:rPr>
                    <w:color w:val="000000"/>
                    <w:szCs w:val="21"/>
                  </w:rPr>
                  <w:t>2.20%</w:t>
                </w:r>
                <w:r>
                  <w:rPr>
                    <w:rFonts w:hint="eastAsia"/>
                    <w:color w:val="000000"/>
                    <w:szCs w:val="21"/>
                  </w:rPr>
                  <w:t>至</w:t>
                </w:r>
                <w:r>
                  <w:rPr>
                    <w:color w:val="000000"/>
                    <w:szCs w:val="21"/>
                  </w:rPr>
                  <w:t>4.15%</w:t>
                </w:r>
                <w:r>
                  <w:rPr>
                    <w:rFonts w:hint="eastAsia"/>
                    <w:color w:val="000000"/>
                    <w:szCs w:val="21"/>
                  </w:rPr>
                  <w:t>之间</w:t>
                </w:r>
              </w:p>
            </w:tc>
          </w:tr>
          <w:tr>
            <w:trPr>
              <w:trHeight w:val="397"/>
              <w:jc w:val="center"/>
            </w:trPr>
            <w:tc>
              <w:tcPr>
                <w:tcW w:w="2559" w:type="dxa"/>
                <w:shd w:val="clear" w:color="auto" w:fill="auto"/>
                <w:vAlign w:val="center"/>
              </w:tcPr>
              <w:p>
                <w:pPr>
                  <w:rPr>
                    <w:color w:val="000000"/>
                    <w:szCs w:val="21"/>
                  </w:rPr>
                </w:pPr>
                <w:r>
                  <w:rPr>
                    <w:rFonts w:hint="eastAsia"/>
                    <w:color w:val="000000"/>
                    <w:szCs w:val="21"/>
                  </w:rPr>
                  <w:t>一年内到期的长期借款</w:t>
                </w:r>
              </w:p>
            </w:tc>
            <w:tc>
              <w:tcPr>
                <w:tcW w:w="1836" w:type="dxa"/>
                <w:shd w:val="clear" w:color="auto" w:fill="auto"/>
                <w:vAlign w:val="center"/>
              </w:tcPr>
              <w:p>
                <w:pPr>
                  <w:jc w:val="right"/>
                  <w:rPr>
                    <w:color w:val="000000"/>
                    <w:szCs w:val="21"/>
                  </w:rPr>
                </w:pPr>
                <w:r>
                  <w:rPr>
                    <w:szCs w:val="21"/>
                  </w:rPr>
                  <w:t>18,904,902</w:t>
                </w:r>
              </w:p>
            </w:tc>
            <w:tc>
              <w:tcPr>
                <w:tcW w:w="4967" w:type="dxa"/>
                <w:shd w:val="clear" w:color="auto" w:fill="auto"/>
                <w:vAlign w:val="center"/>
              </w:tcPr>
              <w:p>
                <w:pPr>
                  <w:rPr>
                    <w:color w:val="000000"/>
                    <w:szCs w:val="21"/>
                  </w:rPr>
                </w:pPr>
                <w:r>
                  <w:rPr>
                    <w:rFonts w:hint="eastAsia"/>
                    <w:color w:val="000000"/>
                    <w:szCs w:val="21"/>
                  </w:rPr>
                  <w:t>人民币借款利率在</w:t>
                </w:r>
                <w:r>
                  <w:rPr>
                    <w:color w:val="000000"/>
                    <w:szCs w:val="21"/>
                  </w:rPr>
                  <w:t>2.27%</w:t>
                </w:r>
                <w:r>
                  <w:rPr>
                    <w:rFonts w:hint="eastAsia"/>
                    <w:color w:val="000000"/>
                    <w:szCs w:val="21"/>
                  </w:rPr>
                  <w:t>至</w:t>
                </w:r>
                <w:r>
                  <w:rPr>
                    <w:color w:val="000000"/>
                    <w:szCs w:val="21"/>
                  </w:rPr>
                  <w:t>4.98%</w:t>
                </w:r>
                <w:r>
                  <w:rPr>
                    <w:rFonts w:hint="eastAsia"/>
                    <w:color w:val="000000"/>
                    <w:szCs w:val="21"/>
                  </w:rPr>
                  <w:t>之间，外币美元借款利率为</w:t>
                </w:r>
                <w:r>
                  <w:rPr>
                    <w:color w:val="000000"/>
                    <w:szCs w:val="21"/>
                  </w:rPr>
                  <w:t>6.12%</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一年内到期的租赁负债</w:t>
                </w:r>
              </w:p>
            </w:tc>
            <w:tc>
              <w:tcPr>
                <w:tcW w:w="1836" w:type="dxa"/>
                <w:shd w:val="clear" w:color="auto" w:fill="auto"/>
                <w:vAlign w:val="center"/>
              </w:tcPr>
              <w:p>
                <w:pPr>
                  <w:jc w:val="right"/>
                  <w:rPr>
                    <w:color w:val="000000"/>
                    <w:szCs w:val="21"/>
                  </w:rPr>
                </w:pPr>
                <w:r>
                  <w:rPr>
                    <w:szCs w:val="21"/>
                  </w:rPr>
                  <w:t>226,851</w:t>
                </w:r>
              </w:p>
            </w:tc>
            <w:tc>
              <w:tcPr>
                <w:tcW w:w="4967" w:type="dxa"/>
                <w:shd w:val="clear" w:color="auto" w:fill="auto"/>
                <w:vAlign w:val="center"/>
              </w:tcPr>
              <w:p>
                <w:pPr>
                  <w:rPr>
                    <w:color w:val="000000"/>
                    <w:szCs w:val="21"/>
                  </w:rPr>
                </w:pPr>
                <w:r>
                  <w:rPr>
                    <w:color w:val="000000"/>
                    <w:szCs w:val="21"/>
                  </w:rPr>
                  <w:t>4.3%-6.50%</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一年内到期的应付债券</w:t>
                </w:r>
              </w:p>
            </w:tc>
            <w:tc>
              <w:tcPr>
                <w:tcW w:w="1836" w:type="dxa"/>
                <w:shd w:val="clear" w:color="auto" w:fill="auto"/>
                <w:vAlign w:val="center"/>
              </w:tcPr>
              <w:p>
                <w:pPr>
                  <w:jc w:val="right"/>
                  <w:rPr>
                    <w:color w:val="000000"/>
                    <w:szCs w:val="21"/>
                  </w:rPr>
                </w:pPr>
                <w:r>
                  <w:rPr>
                    <w:szCs w:val="21"/>
                  </w:rPr>
                  <w:t>11,660,503</w:t>
                </w:r>
              </w:p>
            </w:tc>
            <w:tc>
              <w:tcPr>
                <w:tcW w:w="4967" w:type="dxa"/>
                <w:shd w:val="clear" w:color="auto" w:fill="auto"/>
                <w:vAlign w:val="center"/>
              </w:tcPr>
              <w:p>
                <w:pPr>
                  <w:rPr>
                    <w:color w:val="000000"/>
                    <w:szCs w:val="21"/>
                  </w:rPr>
                </w:pPr>
                <w:r>
                  <w:rPr>
                    <w:color w:val="000000"/>
                    <w:szCs w:val="21"/>
                  </w:rPr>
                  <w:t>1.75%-4.27%</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长期借款</w:t>
                </w:r>
              </w:p>
            </w:tc>
            <w:tc>
              <w:tcPr>
                <w:tcW w:w="1836" w:type="dxa"/>
                <w:shd w:val="clear" w:color="auto" w:fill="auto"/>
                <w:vAlign w:val="center"/>
              </w:tcPr>
              <w:p>
                <w:pPr>
                  <w:jc w:val="right"/>
                  <w:rPr>
                    <w:color w:val="000000"/>
                    <w:szCs w:val="21"/>
                  </w:rPr>
                </w:pPr>
                <w:r>
                  <w:rPr>
                    <w:szCs w:val="21"/>
                  </w:rPr>
                  <w:t>55,699,723</w:t>
                </w:r>
              </w:p>
            </w:tc>
            <w:tc>
              <w:tcPr>
                <w:tcW w:w="4967" w:type="dxa"/>
                <w:shd w:val="clear" w:color="auto" w:fill="auto"/>
                <w:vAlign w:val="center"/>
              </w:tcPr>
              <w:p>
                <w:pPr>
                  <w:rPr>
                    <w:color w:val="000000"/>
                    <w:szCs w:val="21"/>
                  </w:rPr>
                </w:pPr>
                <w:r>
                  <w:rPr>
                    <w:rFonts w:hint="eastAsia"/>
                    <w:color w:val="000000"/>
                    <w:szCs w:val="21"/>
                  </w:rPr>
                  <w:t>人民币借款利率在</w:t>
                </w:r>
                <w:r>
                  <w:rPr>
                    <w:color w:val="000000"/>
                    <w:szCs w:val="21"/>
                  </w:rPr>
                  <w:t>2.38%</w:t>
                </w:r>
                <w:r>
                  <w:rPr>
                    <w:rFonts w:hint="eastAsia"/>
                    <w:color w:val="000000"/>
                    <w:szCs w:val="21"/>
                  </w:rPr>
                  <w:t>至</w:t>
                </w:r>
                <w:r>
                  <w:rPr>
                    <w:color w:val="000000"/>
                    <w:szCs w:val="21"/>
                  </w:rPr>
                  <w:t>4.98%</w:t>
                </w:r>
                <w:r>
                  <w:rPr>
                    <w:rFonts w:hint="eastAsia"/>
                    <w:color w:val="000000"/>
                    <w:szCs w:val="21"/>
                  </w:rPr>
                  <w:t>之间，外币澳元借款利率为</w:t>
                </w:r>
                <w:r>
                  <w:rPr>
                    <w:color w:val="000000"/>
                    <w:szCs w:val="21"/>
                  </w:rPr>
                  <w:t>8.70%</w:t>
                </w:r>
                <w:r>
                  <w:rPr>
                    <w:rFonts w:hint="eastAsia"/>
                    <w:color w:val="000000"/>
                    <w:szCs w:val="21"/>
                  </w:rPr>
                  <w:t>，外币美元借款利率为</w:t>
                </w:r>
                <w:r>
                  <w:rPr>
                    <w:color w:val="000000"/>
                    <w:szCs w:val="21"/>
                  </w:rPr>
                  <w:t>3</w:t>
                </w:r>
                <w:r>
                  <w:rPr>
                    <w:rFonts w:hint="eastAsia"/>
                    <w:color w:val="000000"/>
                    <w:szCs w:val="21"/>
                  </w:rPr>
                  <w:t>个月</w:t>
                </w:r>
                <w:r>
                  <w:rPr>
                    <w:color w:val="000000"/>
                    <w:szCs w:val="21"/>
                  </w:rPr>
                  <w:t>libor+1.8%-6.2%</w:t>
                </w:r>
                <w:r>
                  <w:rPr>
                    <w:rFonts w:hint="eastAsia"/>
                    <w:color w:val="000000"/>
                    <w:szCs w:val="21"/>
                  </w:rPr>
                  <w:t>之间</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应付债券</w:t>
                </w:r>
              </w:p>
            </w:tc>
            <w:tc>
              <w:tcPr>
                <w:tcW w:w="1836" w:type="dxa"/>
                <w:shd w:val="clear" w:color="auto" w:fill="auto"/>
                <w:vAlign w:val="center"/>
              </w:tcPr>
              <w:p>
                <w:pPr>
                  <w:jc w:val="right"/>
                  <w:rPr>
                    <w:color w:val="000000"/>
                    <w:szCs w:val="21"/>
                  </w:rPr>
                </w:pPr>
                <w:r>
                  <w:rPr>
                    <w:szCs w:val="21"/>
                  </w:rPr>
                  <w:t>15,973,544</w:t>
                </w:r>
              </w:p>
            </w:tc>
            <w:tc>
              <w:tcPr>
                <w:tcW w:w="4967" w:type="dxa"/>
                <w:shd w:val="clear" w:color="auto" w:fill="auto"/>
                <w:vAlign w:val="center"/>
              </w:tcPr>
              <w:p>
                <w:pPr>
                  <w:rPr>
                    <w:color w:val="000000"/>
                    <w:szCs w:val="21"/>
                  </w:rPr>
                </w:pPr>
                <w:r>
                  <w:rPr>
                    <w:color w:val="000000"/>
                    <w:szCs w:val="21"/>
                  </w:rPr>
                  <w:t>1.75%-6.15%</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租赁负债</w:t>
                </w:r>
              </w:p>
            </w:tc>
            <w:tc>
              <w:tcPr>
                <w:tcW w:w="1836" w:type="dxa"/>
                <w:shd w:val="clear" w:color="auto" w:fill="auto"/>
                <w:vAlign w:val="center"/>
              </w:tcPr>
              <w:p>
                <w:pPr>
                  <w:jc w:val="right"/>
                  <w:rPr>
                    <w:color w:val="000000"/>
                    <w:szCs w:val="21"/>
                  </w:rPr>
                </w:pPr>
                <w:r>
                  <w:rPr>
                    <w:szCs w:val="21"/>
                  </w:rPr>
                  <w:t>301,244</w:t>
                </w:r>
              </w:p>
            </w:tc>
            <w:tc>
              <w:tcPr>
                <w:tcW w:w="4967" w:type="dxa"/>
                <w:shd w:val="clear" w:color="auto" w:fill="auto"/>
                <w:vAlign w:val="center"/>
              </w:tcPr>
              <w:p>
                <w:pPr>
                  <w:rPr>
                    <w:color w:val="000000"/>
                    <w:szCs w:val="21"/>
                  </w:rPr>
                </w:pPr>
                <w:r>
                  <w:rPr>
                    <w:color w:val="000000"/>
                    <w:szCs w:val="21"/>
                  </w:rPr>
                  <w:t>4.3%-6.50%</w:t>
                </w:r>
              </w:p>
            </w:tc>
          </w:tr>
          <w:tr>
            <w:trPr>
              <w:trHeight w:val="397"/>
              <w:jc w:val="center"/>
            </w:trPr>
            <w:tc>
              <w:tcPr>
                <w:tcW w:w="2559" w:type="dxa"/>
                <w:shd w:val="clear" w:color="auto" w:fill="auto"/>
                <w:noWrap/>
                <w:vAlign w:val="center"/>
              </w:tcPr>
              <w:p>
                <w:pPr>
                  <w:rPr>
                    <w:color w:val="000000"/>
                    <w:szCs w:val="21"/>
                  </w:rPr>
                </w:pPr>
                <w:r>
                  <w:rPr>
                    <w:rFonts w:hint="eastAsia"/>
                    <w:color w:val="000000"/>
                    <w:szCs w:val="21"/>
                  </w:rPr>
                  <w:t>长期应付款</w:t>
                </w:r>
              </w:p>
            </w:tc>
            <w:tc>
              <w:tcPr>
                <w:tcW w:w="1836" w:type="dxa"/>
                <w:shd w:val="clear" w:color="auto" w:fill="auto"/>
                <w:vAlign w:val="center"/>
              </w:tcPr>
              <w:p>
                <w:pPr>
                  <w:jc w:val="right"/>
                  <w:rPr>
                    <w:color w:val="000000"/>
                    <w:szCs w:val="21"/>
                  </w:rPr>
                </w:pPr>
                <w:r>
                  <w:rPr>
                    <w:szCs w:val="21"/>
                  </w:rPr>
                  <w:t>8,032,521</w:t>
                </w:r>
              </w:p>
            </w:tc>
            <w:tc>
              <w:tcPr>
                <w:tcW w:w="4967" w:type="dxa"/>
                <w:shd w:val="clear" w:color="auto" w:fill="auto"/>
                <w:vAlign w:val="center"/>
              </w:tcPr>
              <w:p>
                <w:pPr>
                  <w:rPr>
                    <w:color w:val="000000"/>
                    <w:szCs w:val="21"/>
                  </w:rPr>
                </w:pPr>
                <w:r>
                  <w:rPr>
                    <w:color w:val="000000"/>
                    <w:szCs w:val="21"/>
                  </w:rPr>
                  <w:t>3.27%-9.00%</w:t>
                </w:r>
              </w:p>
            </w:tc>
          </w:tr>
          <w:tr>
            <w:trPr>
              <w:trHeight w:val="397"/>
              <w:jc w:val="center"/>
            </w:trPr>
            <w:tc>
              <w:tcPr>
                <w:tcW w:w="2559" w:type="dxa"/>
                <w:shd w:val="clear" w:color="auto" w:fill="auto"/>
                <w:noWrap/>
                <w:vAlign w:val="center"/>
              </w:tcPr>
              <w:p>
                <w:pPr>
                  <w:jc w:val="center"/>
                  <w:rPr>
                    <w:color w:val="000000"/>
                    <w:szCs w:val="21"/>
                  </w:rPr>
                </w:pPr>
                <w:r>
                  <w:rPr>
                    <w:rFonts w:hint="eastAsia"/>
                    <w:color w:val="000000"/>
                    <w:szCs w:val="21"/>
                  </w:rPr>
                  <w:t>合计</w:t>
                </w:r>
              </w:p>
            </w:tc>
            <w:tc>
              <w:tcPr>
                <w:tcW w:w="1836" w:type="dxa"/>
                <w:shd w:val="clear" w:color="auto" w:fill="auto"/>
                <w:vAlign w:val="center"/>
              </w:tcPr>
              <w:p>
                <w:pPr>
                  <w:jc w:val="right"/>
                  <w:rPr>
                    <w:color w:val="000000"/>
                    <w:szCs w:val="21"/>
                  </w:rPr>
                </w:pPr>
                <w:r>
                  <w:rPr>
                    <w:szCs w:val="21"/>
                  </w:rPr>
                  <w:t>118,492,380</w:t>
                </w:r>
              </w:p>
            </w:tc>
            <w:tc>
              <w:tcPr>
                <w:tcW w:w="4967" w:type="dxa"/>
                <w:shd w:val="clear" w:color="auto" w:fill="auto"/>
                <w:vAlign w:val="center"/>
              </w:tcPr>
              <w:p>
                <w:pPr>
                  <w:rPr>
                    <w:color w:val="000000"/>
                    <w:szCs w:val="21"/>
                    <w:u w:val="double"/>
                  </w:rPr>
                </w:pPr>
              </w:p>
            </w:tc>
          </w:tr>
        </w:tbl>
        <w:p>
          <w:pPr>
            <w:autoSpaceDE w:val="0"/>
            <w:autoSpaceDN w:val="0"/>
            <w:adjustRightInd w:val="0"/>
            <w:spacing w:afterLines="50" w:after="156" w:line="360" w:lineRule="exact"/>
            <w:ind w:firstLineChars="200" w:firstLine="422"/>
            <w:rPr>
              <w:b/>
              <w:i/>
              <w:color w:val="0000FF"/>
            </w:rPr>
          </w:pPr>
        </w:p>
        <w:p>
          <w:pPr>
            <w:pStyle w:val="afffffffffffffffffffffffffffffffffffffff"/>
            <w:numPr>
              <w:ilvl w:val="0"/>
              <w:numId w:val="136"/>
            </w:numPr>
          </w:pPr>
          <w:r>
            <w:rPr>
              <w:rFonts w:hint="eastAsia"/>
            </w:rPr>
            <w:t>价格风险</w:t>
          </w:r>
        </w:p>
        <w:p>
          <w:pPr>
            <w:autoSpaceDE w:val="0"/>
            <w:autoSpaceDN w:val="0"/>
            <w:adjustRightInd w:val="0"/>
            <w:spacing w:afterLines="50" w:after="156" w:line="360" w:lineRule="exact"/>
            <w:ind w:firstLineChars="200" w:firstLine="420"/>
          </w:pPr>
          <w:r>
            <w:rPr>
              <w:rFonts w:hint="eastAsia"/>
            </w:rPr>
            <w:t>除上述金融工具的风险外，本集团还面临由于投资上市公司权益性证券的权益价格风险，及非金融工具商品如原材料的价格风险。本集团目前尚未采用任何安排套期权益性证券投资和原材料购买的价格风险。本集团面临的投资上市权益性证券的权益价格风险与敏感性分析结果显示，这些风险都是非重大的。</w:t>
          </w:r>
        </w:p>
        <w:p>
          <w:pPr>
            <w:pStyle w:val="afffa"/>
            <w:numPr>
              <w:ilvl w:val="0"/>
              <w:numId w:val="83"/>
            </w:numPr>
            <w:spacing w:after="156"/>
          </w:pPr>
          <w:r>
            <w:rPr>
              <w:rFonts w:hint="eastAsia"/>
            </w:rPr>
            <w:t>信用风险</w:t>
          </w:r>
        </w:p>
        <w:p>
          <w:pPr>
            <w:autoSpaceDE w:val="0"/>
            <w:autoSpaceDN w:val="0"/>
            <w:adjustRightInd w:val="0"/>
            <w:spacing w:afterLines="50" w:after="156" w:line="360" w:lineRule="exact"/>
            <w:ind w:firstLineChars="200" w:firstLine="420"/>
          </w:pPr>
          <w:r>
            <w:rPr>
              <w:rFonts w:hint="eastAsia"/>
            </w:rPr>
            <w:t>于2024年12月31日，可能引起本集团财务损失的最大信用风险敞口主要来自于合同另一方未能履行义务而导致本集团金融资产产生的损失，具体包括合并资产负债表中已确认的金融资产的账面金额。</w:t>
          </w:r>
        </w:p>
        <w:p>
          <w:pPr>
            <w:autoSpaceDE w:val="0"/>
            <w:autoSpaceDN w:val="0"/>
            <w:adjustRightInd w:val="0"/>
            <w:spacing w:afterLines="50" w:after="156" w:line="360" w:lineRule="exact"/>
            <w:ind w:firstLineChars="200" w:firstLine="420"/>
          </w:pPr>
          <w:r>
            <w:rPr>
              <w:rFonts w:hint="eastAsia"/>
            </w:rPr>
            <w:t>为降低信用风险，本集团成立专门部门确定信用额度、进行信用审批，并执行其他监控程序以确保采取必要的措施回收过期债权。此外，本集团于每个资产负债表日审核每一单项应收款的回收情况，以确保就无法回收的款项计提充分的坏账准备。因此，本集团管理层认为本集团所承担的信用风险已经大为降低。</w:t>
          </w:r>
        </w:p>
        <w:p>
          <w:pPr>
            <w:autoSpaceDE w:val="0"/>
            <w:autoSpaceDN w:val="0"/>
            <w:adjustRightInd w:val="0"/>
            <w:spacing w:afterLines="50" w:after="156" w:line="360" w:lineRule="exact"/>
            <w:ind w:firstLineChars="200" w:firstLine="420"/>
          </w:pPr>
          <w:r>
            <w:rPr>
              <w:rFonts w:hint="eastAsia"/>
            </w:rPr>
            <w:t>本集团的流动资金存放在信用评级较高的银行，故流动资金的信用风险较低。</w:t>
          </w:r>
        </w:p>
        <w:p>
          <w:pPr>
            <w:autoSpaceDE w:val="0"/>
            <w:autoSpaceDN w:val="0"/>
            <w:adjustRightInd w:val="0"/>
            <w:spacing w:afterLines="50" w:after="156" w:line="360" w:lineRule="exact"/>
            <w:ind w:firstLineChars="200" w:firstLine="420"/>
          </w:pPr>
          <w:r>
            <w:rPr>
              <w:rFonts w:hint="eastAsia"/>
            </w:rPr>
            <w:t>本集团一般根据客户的不同状况给予长期客户不超过180天的信用期。对中小客户及新客户，本集团一般要求发货前支付货款。</w:t>
          </w:r>
        </w:p>
        <w:p>
          <w:pPr>
            <w:autoSpaceDE w:val="0"/>
            <w:autoSpaceDN w:val="0"/>
            <w:adjustRightInd w:val="0"/>
            <w:spacing w:afterLines="50" w:after="156" w:line="360" w:lineRule="exact"/>
            <w:ind w:firstLineChars="200" w:firstLine="420"/>
          </w:pPr>
          <w:r>
            <w:rPr>
              <w:rFonts w:hint="eastAsia"/>
            </w:rPr>
            <w:t>本集团的国内销售多数是电力行业、钢铁行业、冶金焦化、建材水泥、和化工行业。集团一般与这些公司建立长期和稳定的合作关系。</w:t>
          </w:r>
        </w:p>
        <w:p>
          <w:pPr>
            <w:pStyle w:val="afffa"/>
            <w:numPr>
              <w:ilvl w:val="0"/>
              <w:numId w:val="83"/>
            </w:numPr>
            <w:spacing w:after="156"/>
          </w:pPr>
          <w:r>
            <w:rPr>
              <w:rFonts w:hint="eastAsia"/>
            </w:rPr>
            <w:t>流动风险</w:t>
          </w:r>
        </w:p>
        <w:p>
          <w:pPr>
            <w:autoSpaceDE w:val="0"/>
            <w:autoSpaceDN w:val="0"/>
            <w:adjustRightInd w:val="0"/>
            <w:spacing w:afterLines="50" w:after="156" w:line="360" w:lineRule="exact"/>
            <w:ind w:firstLineChars="200" w:firstLine="420"/>
          </w:pPr>
          <w:r>
            <w:rPr>
              <w:rFonts w:hint="eastAsia"/>
            </w:rPr>
            <w:lastRenderedPageBreak/>
            <w:t>流动风险为本集团在到期日无法履行其财务义务的风险。本集团管理流动性风险的方法是确保有足够的资金流动性来履行到期债务，而不至于造成不可接受的损失或对企业信誉造成损害。本集团定期分析负债结构和期限，以确保有充裕的资金。本集团管理层对银行借款的使用情况进行监控并确保遵守借款协议。同时与金融机构进行融资磋商，以保持一定的授信额度，减低流动性风险。</w:t>
          </w:r>
        </w:p>
        <w:p>
          <w:pPr>
            <w:autoSpaceDE w:val="0"/>
            <w:autoSpaceDN w:val="0"/>
            <w:adjustRightInd w:val="0"/>
            <w:spacing w:afterLines="50" w:after="156" w:line="360" w:lineRule="exact"/>
            <w:ind w:firstLineChars="200" w:firstLine="420"/>
          </w:pPr>
          <w:r>
            <w:rPr>
              <w:rFonts w:hint="eastAsia"/>
            </w:rPr>
            <w:t>于2024年12月31日，本集团尚未使用的银行综合授信额度为人民币1,661.19亿元（2023年12月31日为人民币1,613.81亿元）。</w:t>
          </w:r>
        </w:p>
        <w:p>
          <w:pPr>
            <w:autoSpaceDE w:val="0"/>
            <w:autoSpaceDN w:val="0"/>
            <w:adjustRightInd w:val="0"/>
            <w:spacing w:afterLines="50" w:after="156" w:line="360" w:lineRule="exact"/>
            <w:ind w:firstLineChars="200" w:firstLine="420"/>
          </w:pPr>
          <w:r>
            <w:rPr>
              <w:rFonts w:hint="eastAsia"/>
            </w:rPr>
            <w:t>于2024年12月31日，本集团持有的金融负债按未折现剩余合同义务的到期期限分析如下：</w:t>
          </w:r>
        </w:p>
        <w:p>
          <w:pPr>
            <w:autoSpaceDE w:val="0"/>
            <w:autoSpaceDN w:val="0"/>
            <w:adjustRightInd w:val="0"/>
            <w:spacing w:afterLines="50" w:after="156" w:line="360" w:lineRule="exact"/>
            <w:ind w:firstLineChars="200" w:firstLine="420"/>
          </w:pPr>
          <w:r>
            <w:rPr>
              <w:rFonts w:hint="eastAsia"/>
            </w:rPr>
            <w:t>2024年12月31日金额：</w:t>
          </w:r>
        </w:p>
        <w:tbl>
          <w:tblPr>
            <w:tblStyle w:val="affffffffff8"/>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D:\Users\202435566\Desktop\0-兖矿能源2024年TB（内蒙古金控）-0320\2024兖矿职衡tb|TB-合：兖矿能源.xlsx|披露附注|_jds8mNafUqeW06WKHRg7gnVvQ|0|desc|||0|1"/>
          </w:tblPr>
          <w:tblGrid>
            <w:gridCol w:w="1980"/>
            <w:gridCol w:w="1767"/>
            <w:gridCol w:w="1196"/>
            <w:gridCol w:w="1196"/>
            <w:gridCol w:w="1187"/>
            <w:gridCol w:w="1196"/>
            <w:gridCol w:w="1538"/>
          </w:tblGrid>
          <w:tr>
            <w:trPr>
              <w:trHeight w:val="397"/>
              <w:tblHeader/>
              <w:jc w:val="center"/>
            </w:trPr>
            <w:tc>
              <w:tcPr>
                <w:tcW w:w="1980" w:type="dxa"/>
                <w:shd w:val="clear" w:color="auto" w:fill="auto"/>
                <w:vAlign w:val="center"/>
              </w:tcPr>
              <w:p>
                <w:pPr>
                  <w:jc w:val="center"/>
                  <w:rPr>
                    <w:b/>
                    <w:bCs/>
                    <w:color w:val="000000"/>
                    <w:sz w:val="18"/>
                    <w:szCs w:val="18"/>
                  </w:rPr>
                </w:pPr>
                <w:r>
                  <w:rPr>
                    <w:rFonts w:hint="eastAsia"/>
                    <w:b/>
                    <w:bCs/>
                    <w:color w:val="000000"/>
                    <w:sz w:val="18"/>
                    <w:szCs w:val="18"/>
                  </w:rPr>
                  <w:t>项目</w:t>
                </w:r>
              </w:p>
            </w:tc>
            <w:tc>
              <w:tcPr>
                <w:tcW w:w="1767" w:type="dxa"/>
                <w:shd w:val="clear" w:color="auto" w:fill="auto"/>
                <w:vAlign w:val="center"/>
              </w:tcPr>
              <w:p>
                <w:pPr>
                  <w:jc w:val="center"/>
                  <w:rPr>
                    <w:b/>
                    <w:bCs/>
                    <w:color w:val="000000"/>
                    <w:sz w:val="18"/>
                    <w:szCs w:val="18"/>
                  </w:rPr>
                </w:pPr>
                <w:r>
                  <w:rPr>
                    <w:rFonts w:hint="eastAsia"/>
                    <w:b/>
                    <w:bCs/>
                    <w:color w:val="000000"/>
                    <w:sz w:val="18"/>
                    <w:szCs w:val="18"/>
                  </w:rPr>
                  <w:t>一年以内</w:t>
                </w:r>
              </w:p>
            </w:tc>
            <w:tc>
              <w:tcPr>
                <w:tcW w:w="1196" w:type="dxa"/>
                <w:shd w:val="clear" w:color="auto" w:fill="auto"/>
                <w:vAlign w:val="center"/>
              </w:tcPr>
              <w:p>
                <w:pPr>
                  <w:jc w:val="center"/>
                  <w:rPr>
                    <w:b/>
                    <w:bCs/>
                    <w:color w:val="000000"/>
                    <w:sz w:val="18"/>
                    <w:szCs w:val="18"/>
                  </w:rPr>
                </w:pPr>
                <w:r>
                  <w:rPr>
                    <w:rFonts w:hint="eastAsia"/>
                    <w:b/>
                    <w:bCs/>
                    <w:color w:val="000000"/>
                    <w:sz w:val="18"/>
                    <w:szCs w:val="18"/>
                  </w:rPr>
                  <w:t>一到两年</w:t>
                </w:r>
              </w:p>
            </w:tc>
            <w:tc>
              <w:tcPr>
                <w:tcW w:w="1196" w:type="dxa"/>
                <w:shd w:val="clear" w:color="auto" w:fill="auto"/>
                <w:vAlign w:val="center"/>
              </w:tcPr>
              <w:p>
                <w:pPr>
                  <w:jc w:val="center"/>
                  <w:rPr>
                    <w:b/>
                    <w:bCs/>
                    <w:color w:val="000000"/>
                    <w:sz w:val="18"/>
                    <w:szCs w:val="18"/>
                  </w:rPr>
                </w:pPr>
                <w:r>
                  <w:rPr>
                    <w:rFonts w:hint="eastAsia"/>
                    <w:b/>
                    <w:bCs/>
                    <w:color w:val="000000"/>
                    <w:sz w:val="18"/>
                    <w:szCs w:val="18"/>
                  </w:rPr>
                  <w:t>二到五年</w:t>
                </w:r>
              </w:p>
            </w:tc>
            <w:tc>
              <w:tcPr>
                <w:tcW w:w="1187" w:type="dxa"/>
                <w:shd w:val="clear" w:color="auto" w:fill="auto"/>
                <w:vAlign w:val="center"/>
              </w:tcPr>
              <w:p>
                <w:pPr>
                  <w:jc w:val="center"/>
                  <w:rPr>
                    <w:b/>
                    <w:bCs/>
                    <w:color w:val="000000"/>
                    <w:sz w:val="18"/>
                    <w:szCs w:val="18"/>
                  </w:rPr>
                </w:pPr>
                <w:r>
                  <w:rPr>
                    <w:rFonts w:hint="eastAsia"/>
                    <w:b/>
                    <w:bCs/>
                    <w:color w:val="000000"/>
                    <w:sz w:val="18"/>
                    <w:szCs w:val="18"/>
                  </w:rPr>
                  <w:t>五年以上</w:t>
                </w:r>
              </w:p>
            </w:tc>
            <w:tc>
              <w:tcPr>
                <w:tcW w:w="1196" w:type="dxa"/>
                <w:shd w:val="clear" w:color="auto" w:fill="auto"/>
                <w:vAlign w:val="center"/>
              </w:tcPr>
              <w:p>
                <w:pPr>
                  <w:jc w:val="center"/>
                  <w:rPr>
                    <w:b/>
                    <w:bCs/>
                    <w:color w:val="000000"/>
                    <w:sz w:val="18"/>
                    <w:szCs w:val="18"/>
                  </w:rPr>
                </w:pPr>
                <w:r>
                  <w:rPr>
                    <w:rFonts w:hint="eastAsia"/>
                    <w:b/>
                    <w:bCs/>
                    <w:color w:val="000000"/>
                    <w:sz w:val="18"/>
                    <w:szCs w:val="18"/>
                  </w:rPr>
                  <w:t>未贴现现金流总计</w:t>
                </w:r>
              </w:p>
            </w:tc>
            <w:tc>
              <w:tcPr>
                <w:tcW w:w="1538" w:type="dxa"/>
                <w:shd w:val="clear" w:color="auto" w:fill="auto"/>
                <w:vAlign w:val="center"/>
              </w:tcPr>
              <w:p>
                <w:pPr>
                  <w:jc w:val="center"/>
                  <w:rPr>
                    <w:b/>
                    <w:bCs/>
                    <w:color w:val="000000"/>
                    <w:sz w:val="18"/>
                    <w:szCs w:val="18"/>
                  </w:rPr>
                </w:pPr>
                <w:r>
                  <w:rPr>
                    <w:rFonts w:hint="eastAsia"/>
                    <w:b/>
                    <w:bCs/>
                    <w:color w:val="000000"/>
                    <w:sz w:val="18"/>
                    <w:szCs w:val="18"/>
                  </w:rPr>
                  <w:t>年末账面余额</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短期借款</w:t>
                </w:r>
              </w:p>
            </w:tc>
            <w:tc>
              <w:tcPr>
                <w:tcW w:w="1767" w:type="dxa"/>
                <w:shd w:val="clear" w:color="auto" w:fill="auto"/>
                <w:vAlign w:val="center"/>
              </w:tcPr>
              <w:p>
                <w:pPr>
                  <w:jc w:val="right"/>
                  <w:rPr>
                    <w:color w:val="000000"/>
                    <w:szCs w:val="21"/>
                  </w:rPr>
                </w:pPr>
                <w:r>
                  <w:rPr>
                    <w:rFonts w:hint="eastAsia"/>
                    <w:color w:val="000000"/>
                    <w:szCs w:val="21"/>
                  </w:rPr>
                  <w:t>7,693,092</w:t>
                </w:r>
              </w:p>
            </w:tc>
            <w:tc>
              <w:tcPr>
                <w:tcW w:w="1196"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p>
            </w:tc>
            <w:tc>
              <w:tcPr>
                <w:tcW w:w="118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rFonts w:hint="eastAsia"/>
                    <w:color w:val="000000"/>
                    <w:szCs w:val="21"/>
                  </w:rPr>
                  <w:t>7,693,092</w:t>
                </w:r>
              </w:p>
            </w:tc>
            <w:tc>
              <w:tcPr>
                <w:tcW w:w="1538" w:type="dxa"/>
                <w:shd w:val="clear" w:color="auto" w:fill="auto"/>
                <w:vAlign w:val="center"/>
              </w:tcPr>
              <w:p>
                <w:pPr>
                  <w:jc w:val="right"/>
                  <w:rPr>
                    <w:color w:val="000000"/>
                    <w:szCs w:val="21"/>
                  </w:rPr>
                </w:pPr>
                <w:r>
                  <w:rPr>
                    <w:rFonts w:hint="eastAsia"/>
                    <w:color w:val="000000"/>
                    <w:szCs w:val="21"/>
                  </w:rPr>
                  <w:t>7,693,092</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应付票据</w:t>
                </w:r>
              </w:p>
            </w:tc>
            <w:tc>
              <w:tcPr>
                <w:tcW w:w="1767" w:type="dxa"/>
                <w:shd w:val="clear" w:color="auto" w:fill="auto"/>
                <w:vAlign w:val="center"/>
              </w:tcPr>
              <w:p>
                <w:pPr>
                  <w:jc w:val="right"/>
                  <w:rPr>
                    <w:color w:val="000000"/>
                    <w:szCs w:val="21"/>
                  </w:rPr>
                </w:pPr>
                <w:r>
                  <w:rPr>
                    <w:color w:val="000000"/>
                    <w:szCs w:val="21"/>
                  </w:rPr>
                  <w:t>11,927,646</w:t>
                </w:r>
              </w:p>
            </w:tc>
            <w:tc>
              <w:tcPr>
                <w:tcW w:w="1196"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p>
            </w:tc>
            <w:tc>
              <w:tcPr>
                <w:tcW w:w="118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11,927,646</w:t>
                </w:r>
              </w:p>
            </w:tc>
            <w:tc>
              <w:tcPr>
                <w:tcW w:w="1538" w:type="dxa"/>
                <w:shd w:val="clear" w:color="auto" w:fill="auto"/>
                <w:vAlign w:val="center"/>
              </w:tcPr>
              <w:p>
                <w:pPr>
                  <w:jc w:val="right"/>
                  <w:rPr>
                    <w:color w:val="000000"/>
                    <w:szCs w:val="21"/>
                  </w:rPr>
                </w:pPr>
                <w:r>
                  <w:rPr>
                    <w:color w:val="000000"/>
                    <w:szCs w:val="21"/>
                  </w:rPr>
                  <w:t>11,927,646</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应付账款</w:t>
                </w:r>
              </w:p>
            </w:tc>
            <w:tc>
              <w:tcPr>
                <w:tcW w:w="1767" w:type="dxa"/>
                <w:shd w:val="clear" w:color="auto" w:fill="auto"/>
                <w:vAlign w:val="center"/>
              </w:tcPr>
              <w:p>
                <w:pPr>
                  <w:jc w:val="right"/>
                  <w:rPr>
                    <w:color w:val="000000"/>
                    <w:szCs w:val="21"/>
                  </w:rPr>
                </w:pPr>
                <w:r>
                  <w:rPr>
                    <w:color w:val="000000"/>
                    <w:szCs w:val="21"/>
                  </w:rPr>
                  <w:t>20,394,796</w:t>
                </w:r>
              </w:p>
            </w:tc>
            <w:tc>
              <w:tcPr>
                <w:tcW w:w="1196"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p>
            </w:tc>
            <w:tc>
              <w:tcPr>
                <w:tcW w:w="118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20,394,796</w:t>
                </w:r>
              </w:p>
            </w:tc>
            <w:tc>
              <w:tcPr>
                <w:tcW w:w="1538" w:type="dxa"/>
                <w:shd w:val="clear" w:color="auto" w:fill="auto"/>
                <w:vAlign w:val="center"/>
              </w:tcPr>
              <w:p>
                <w:pPr>
                  <w:jc w:val="right"/>
                  <w:rPr>
                    <w:color w:val="000000"/>
                    <w:szCs w:val="21"/>
                  </w:rPr>
                </w:pPr>
                <w:r>
                  <w:rPr>
                    <w:color w:val="000000"/>
                    <w:szCs w:val="21"/>
                  </w:rPr>
                  <w:t>20,394,796</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其他应付款</w:t>
                </w:r>
              </w:p>
            </w:tc>
            <w:tc>
              <w:tcPr>
                <w:tcW w:w="1767" w:type="dxa"/>
                <w:shd w:val="clear" w:color="auto" w:fill="auto"/>
                <w:vAlign w:val="center"/>
              </w:tcPr>
              <w:p>
                <w:pPr>
                  <w:jc w:val="right"/>
                  <w:rPr>
                    <w:color w:val="000000"/>
                    <w:szCs w:val="21"/>
                  </w:rPr>
                </w:pPr>
                <w:r>
                  <w:rPr>
                    <w:color w:val="000000"/>
                    <w:szCs w:val="21"/>
                  </w:rPr>
                  <w:t>34,736,699</w:t>
                </w:r>
              </w:p>
            </w:tc>
            <w:tc>
              <w:tcPr>
                <w:tcW w:w="1196"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p>
            </w:tc>
            <w:tc>
              <w:tcPr>
                <w:tcW w:w="118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34,736,699</w:t>
                </w:r>
              </w:p>
            </w:tc>
            <w:tc>
              <w:tcPr>
                <w:tcW w:w="1538" w:type="dxa"/>
                <w:shd w:val="clear" w:color="auto" w:fill="auto"/>
                <w:vAlign w:val="center"/>
              </w:tcPr>
              <w:p>
                <w:pPr>
                  <w:jc w:val="right"/>
                  <w:rPr>
                    <w:color w:val="000000"/>
                    <w:szCs w:val="21"/>
                  </w:rPr>
                </w:pPr>
                <w:r>
                  <w:rPr>
                    <w:color w:val="000000"/>
                    <w:szCs w:val="21"/>
                  </w:rPr>
                  <w:t>34,736,699</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一年内到期的非流动负债</w:t>
                </w:r>
              </w:p>
            </w:tc>
            <w:tc>
              <w:tcPr>
                <w:tcW w:w="1767" w:type="dxa"/>
                <w:shd w:val="clear" w:color="auto" w:fill="auto"/>
                <w:vAlign w:val="center"/>
              </w:tcPr>
              <w:p>
                <w:pPr>
                  <w:jc w:val="right"/>
                  <w:rPr>
                    <w:color w:val="000000"/>
                    <w:szCs w:val="21"/>
                  </w:rPr>
                </w:pPr>
                <w:r>
                  <w:rPr>
                    <w:color w:val="000000"/>
                    <w:szCs w:val="21"/>
                  </w:rPr>
                  <w:t>31,345,169</w:t>
                </w:r>
              </w:p>
            </w:tc>
            <w:tc>
              <w:tcPr>
                <w:tcW w:w="1196"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p>
            </w:tc>
            <w:tc>
              <w:tcPr>
                <w:tcW w:w="118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31,345,169</w:t>
                </w:r>
              </w:p>
            </w:tc>
            <w:tc>
              <w:tcPr>
                <w:tcW w:w="1538" w:type="dxa"/>
                <w:shd w:val="clear" w:color="auto" w:fill="auto"/>
                <w:vAlign w:val="center"/>
              </w:tcPr>
              <w:p>
                <w:pPr>
                  <w:jc w:val="right"/>
                  <w:rPr>
                    <w:color w:val="000000"/>
                    <w:szCs w:val="21"/>
                  </w:rPr>
                </w:pPr>
                <w:r>
                  <w:rPr>
                    <w:color w:val="000000"/>
                    <w:szCs w:val="21"/>
                  </w:rPr>
                  <w:t xml:space="preserve">30,877,923 </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长期借款</w:t>
                </w:r>
              </w:p>
            </w:tc>
            <w:tc>
              <w:tcPr>
                <w:tcW w:w="176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32,513,006</w:t>
                </w:r>
              </w:p>
            </w:tc>
            <w:tc>
              <w:tcPr>
                <w:tcW w:w="1196" w:type="dxa"/>
                <w:shd w:val="clear" w:color="auto" w:fill="auto"/>
                <w:vAlign w:val="center"/>
              </w:tcPr>
              <w:p>
                <w:pPr>
                  <w:jc w:val="right"/>
                  <w:rPr>
                    <w:color w:val="000000"/>
                    <w:szCs w:val="21"/>
                  </w:rPr>
                </w:pPr>
                <w:r>
                  <w:rPr>
                    <w:rFonts w:hint="eastAsia"/>
                    <w:color w:val="000000"/>
                    <w:szCs w:val="21"/>
                  </w:rPr>
                  <w:t>17,932,588</w:t>
                </w:r>
              </w:p>
            </w:tc>
            <w:tc>
              <w:tcPr>
                <w:tcW w:w="1187" w:type="dxa"/>
                <w:shd w:val="clear" w:color="auto" w:fill="auto"/>
                <w:vAlign w:val="center"/>
              </w:tcPr>
              <w:p>
                <w:pPr>
                  <w:jc w:val="right"/>
                  <w:rPr>
                    <w:color w:val="000000"/>
                    <w:szCs w:val="21"/>
                  </w:rPr>
                </w:pPr>
                <w:r>
                  <w:rPr>
                    <w:rFonts w:hint="eastAsia"/>
                    <w:color w:val="000000"/>
                    <w:szCs w:val="21"/>
                  </w:rPr>
                  <w:t>5,254,129</w:t>
                </w:r>
              </w:p>
            </w:tc>
            <w:tc>
              <w:tcPr>
                <w:tcW w:w="1196" w:type="dxa"/>
                <w:shd w:val="clear" w:color="auto" w:fill="auto"/>
                <w:vAlign w:val="center"/>
              </w:tcPr>
              <w:p>
                <w:pPr>
                  <w:jc w:val="right"/>
                  <w:rPr>
                    <w:color w:val="000000"/>
                    <w:szCs w:val="21"/>
                  </w:rPr>
                </w:pPr>
                <w:r>
                  <w:rPr>
                    <w:color w:val="000000"/>
                    <w:szCs w:val="21"/>
                  </w:rPr>
                  <w:t>55,699,723</w:t>
                </w:r>
              </w:p>
            </w:tc>
            <w:tc>
              <w:tcPr>
                <w:tcW w:w="1538" w:type="dxa"/>
                <w:shd w:val="clear" w:color="auto" w:fill="auto"/>
                <w:vAlign w:val="center"/>
              </w:tcPr>
              <w:p>
                <w:pPr>
                  <w:jc w:val="right"/>
                  <w:rPr>
                    <w:color w:val="000000"/>
                    <w:szCs w:val="21"/>
                  </w:rPr>
                </w:pPr>
                <w:r>
                  <w:rPr>
                    <w:color w:val="000000"/>
                    <w:szCs w:val="21"/>
                  </w:rPr>
                  <w:t>55,699,723</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应付债券</w:t>
                </w:r>
              </w:p>
            </w:tc>
            <w:tc>
              <w:tcPr>
                <w:tcW w:w="176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1,463,350</w:t>
                </w:r>
              </w:p>
            </w:tc>
            <w:tc>
              <w:tcPr>
                <w:tcW w:w="1196" w:type="dxa"/>
                <w:shd w:val="clear" w:color="auto" w:fill="auto"/>
                <w:vAlign w:val="center"/>
              </w:tcPr>
              <w:p>
                <w:pPr>
                  <w:jc w:val="right"/>
                  <w:rPr>
                    <w:color w:val="000000"/>
                    <w:szCs w:val="21"/>
                  </w:rPr>
                </w:pPr>
                <w:r>
                  <w:rPr>
                    <w:color w:val="000000"/>
                    <w:szCs w:val="21"/>
                  </w:rPr>
                  <w:t>2,988,833</w:t>
                </w:r>
              </w:p>
            </w:tc>
            <w:tc>
              <w:tcPr>
                <w:tcW w:w="1187" w:type="dxa"/>
                <w:shd w:val="clear" w:color="auto" w:fill="auto"/>
                <w:vAlign w:val="center"/>
              </w:tcPr>
              <w:p>
                <w:pPr>
                  <w:jc w:val="right"/>
                  <w:rPr>
                    <w:color w:val="000000"/>
                    <w:szCs w:val="21"/>
                  </w:rPr>
                </w:pPr>
                <w:r>
                  <w:rPr>
                    <w:color w:val="000000"/>
                    <w:szCs w:val="21"/>
                  </w:rPr>
                  <w:t>11,985,378</w:t>
                </w:r>
              </w:p>
            </w:tc>
            <w:tc>
              <w:tcPr>
                <w:tcW w:w="1196" w:type="dxa"/>
                <w:shd w:val="clear" w:color="auto" w:fill="auto"/>
                <w:vAlign w:val="center"/>
              </w:tcPr>
              <w:p>
                <w:pPr>
                  <w:jc w:val="right"/>
                  <w:rPr>
                    <w:color w:val="000000"/>
                    <w:szCs w:val="21"/>
                  </w:rPr>
                </w:pPr>
                <w:r>
                  <w:rPr>
                    <w:color w:val="000000"/>
                    <w:szCs w:val="21"/>
                  </w:rPr>
                  <w:t>16,437,561</w:t>
                </w:r>
              </w:p>
            </w:tc>
            <w:tc>
              <w:tcPr>
                <w:tcW w:w="1538" w:type="dxa"/>
                <w:shd w:val="clear" w:color="auto" w:fill="auto"/>
                <w:vAlign w:val="center"/>
              </w:tcPr>
              <w:p>
                <w:pPr>
                  <w:jc w:val="right"/>
                  <w:rPr>
                    <w:color w:val="000000"/>
                    <w:szCs w:val="21"/>
                  </w:rPr>
                </w:pPr>
                <w:r>
                  <w:rPr>
                    <w:color w:val="000000"/>
                    <w:szCs w:val="21"/>
                  </w:rPr>
                  <w:t>15,973,544</w:t>
                </w:r>
              </w:p>
            </w:tc>
          </w:tr>
          <w:tr>
            <w:trPr>
              <w:trHeight w:val="397"/>
              <w:jc w:val="center"/>
            </w:trPr>
            <w:tc>
              <w:tcPr>
                <w:tcW w:w="1980" w:type="dxa"/>
                <w:shd w:val="clear" w:color="auto" w:fill="auto"/>
                <w:vAlign w:val="center"/>
              </w:tcPr>
              <w:p>
                <w:pPr>
                  <w:rPr>
                    <w:color w:val="000000"/>
                    <w:szCs w:val="21"/>
                  </w:rPr>
                </w:pPr>
                <w:r>
                  <w:rPr>
                    <w:rFonts w:hint="eastAsia"/>
                    <w:color w:val="000000"/>
                    <w:szCs w:val="21"/>
                  </w:rPr>
                  <w:t>租赁负债</w:t>
                </w:r>
              </w:p>
            </w:tc>
            <w:tc>
              <w:tcPr>
                <w:tcW w:w="176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99,225</w:t>
                </w:r>
              </w:p>
            </w:tc>
            <w:tc>
              <w:tcPr>
                <w:tcW w:w="1196" w:type="dxa"/>
                <w:shd w:val="clear" w:color="auto" w:fill="auto"/>
                <w:vAlign w:val="center"/>
              </w:tcPr>
              <w:p>
                <w:pPr>
                  <w:jc w:val="right"/>
                  <w:rPr>
                    <w:color w:val="000000"/>
                    <w:szCs w:val="21"/>
                  </w:rPr>
                </w:pPr>
                <w:r>
                  <w:rPr>
                    <w:color w:val="000000"/>
                    <w:szCs w:val="21"/>
                  </w:rPr>
                  <w:t>176,806</w:t>
                </w:r>
              </w:p>
            </w:tc>
            <w:tc>
              <w:tcPr>
                <w:tcW w:w="1187" w:type="dxa"/>
                <w:shd w:val="clear" w:color="auto" w:fill="auto"/>
                <w:vAlign w:val="center"/>
              </w:tcPr>
              <w:p>
                <w:pPr>
                  <w:jc w:val="right"/>
                  <w:rPr>
                    <w:color w:val="000000"/>
                    <w:szCs w:val="21"/>
                  </w:rPr>
                </w:pPr>
                <w:r>
                  <w:rPr>
                    <w:color w:val="000000"/>
                    <w:szCs w:val="21"/>
                  </w:rPr>
                  <w:t>26,897</w:t>
                </w:r>
              </w:p>
            </w:tc>
            <w:tc>
              <w:tcPr>
                <w:tcW w:w="1196" w:type="dxa"/>
                <w:shd w:val="clear" w:color="auto" w:fill="auto"/>
                <w:vAlign w:val="center"/>
              </w:tcPr>
              <w:p>
                <w:pPr>
                  <w:jc w:val="right"/>
                  <w:rPr>
                    <w:color w:val="000000"/>
                    <w:szCs w:val="21"/>
                  </w:rPr>
                </w:pPr>
                <w:r>
                  <w:rPr>
                    <w:color w:val="000000"/>
                    <w:szCs w:val="21"/>
                  </w:rPr>
                  <w:t>302,928</w:t>
                </w:r>
              </w:p>
            </w:tc>
            <w:tc>
              <w:tcPr>
                <w:tcW w:w="1538" w:type="dxa"/>
                <w:shd w:val="clear" w:color="auto" w:fill="auto"/>
                <w:vAlign w:val="center"/>
              </w:tcPr>
              <w:p>
                <w:pPr>
                  <w:jc w:val="right"/>
                  <w:rPr>
                    <w:color w:val="000000"/>
                    <w:szCs w:val="21"/>
                  </w:rPr>
                </w:pPr>
                <w:r>
                  <w:rPr>
                    <w:color w:val="000000"/>
                    <w:szCs w:val="21"/>
                  </w:rPr>
                  <w:t>301,244</w:t>
                </w:r>
              </w:p>
            </w:tc>
          </w:tr>
          <w:tr>
            <w:trPr>
              <w:trHeight w:val="397"/>
              <w:jc w:val="center"/>
            </w:trPr>
            <w:tc>
              <w:tcPr>
                <w:tcW w:w="1980" w:type="dxa"/>
                <w:shd w:val="clear" w:color="auto" w:fill="auto"/>
                <w:noWrap/>
                <w:vAlign w:val="center"/>
              </w:tcPr>
              <w:p>
                <w:pPr>
                  <w:rPr>
                    <w:color w:val="000000"/>
                    <w:szCs w:val="21"/>
                  </w:rPr>
                </w:pPr>
                <w:r>
                  <w:rPr>
                    <w:rFonts w:hint="eastAsia"/>
                    <w:color w:val="000000"/>
                    <w:szCs w:val="21"/>
                  </w:rPr>
                  <w:t>长期应付款</w:t>
                </w:r>
              </w:p>
            </w:tc>
            <w:tc>
              <w:tcPr>
                <w:tcW w:w="1767" w:type="dxa"/>
                <w:shd w:val="clear" w:color="auto" w:fill="auto"/>
                <w:vAlign w:val="center"/>
              </w:tcPr>
              <w:p>
                <w:pPr>
                  <w:jc w:val="right"/>
                  <w:rPr>
                    <w:color w:val="000000"/>
                    <w:szCs w:val="21"/>
                  </w:rPr>
                </w:pPr>
              </w:p>
            </w:tc>
            <w:tc>
              <w:tcPr>
                <w:tcW w:w="1196" w:type="dxa"/>
                <w:shd w:val="clear" w:color="auto" w:fill="auto"/>
                <w:vAlign w:val="center"/>
              </w:tcPr>
              <w:p>
                <w:pPr>
                  <w:jc w:val="right"/>
                  <w:rPr>
                    <w:color w:val="000000"/>
                    <w:szCs w:val="21"/>
                  </w:rPr>
                </w:pPr>
                <w:r>
                  <w:rPr>
                    <w:color w:val="000000"/>
                    <w:szCs w:val="21"/>
                  </w:rPr>
                  <w:t>3,969,950</w:t>
                </w:r>
              </w:p>
            </w:tc>
            <w:tc>
              <w:tcPr>
                <w:tcW w:w="1196" w:type="dxa"/>
                <w:shd w:val="clear" w:color="auto" w:fill="auto"/>
                <w:vAlign w:val="center"/>
              </w:tcPr>
              <w:p>
                <w:pPr>
                  <w:jc w:val="right"/>
                  <w:rPr>
                    <w:color w:val="000000"/>
                    <w:szCs w:val="21"/>
                  </w:rPr>
                </w:pPr>
                <w:r>
                  <w:rPr>
                    <w:color w:val="000000"/>
                    <w:szCs w:val="21"/>
                  </w:rPr>
                  <w:t>614,648</w:t>
                </w:r>
              </w:p>
            </w:tc>
            <w:tc>
              <w:tcPr>
                <w:tcW w:w="1187" w:type="dxa"/>
                <w:shd w:val="clear" w:color="auto" w:fill="auto"/>
                <w:vAlign w:val="center"/>
              </w:tcPr>
              <w:p>
                <w:pPr>
                  <w:jc w:val="right"/>
                  <w:rPr>
                    <w:color w:val="000000"/>
                    <w:szCs w:val="21"/>
                  </w:rPr>
                </w:pPr>
                <w:r>
                  <w:rPr>
                    <w:color w:val="000000"/>
                    <w:szCs w:val="21"/>
                  </w:rPr>
                  <w:t>3,597,010</w:t>
                </w:r>
              </w:p>
            </w:tc>
            <w:tc>
              <w:tcPr>
                <w:tcW w:w="1196" w:type="dxa"/>
                <w:shd w:val="clear" w:color="auto" w:fill="auto"/>
                <w:vAlign w:val="center"/>
              </w:tcPr>
              <w:p>
                <w:pPr>
                  <w:jc w:val="right"/>
                  <w:rPr>
                    <w:color w:val="000000"/>
                    <w:szCs w:val="21"/>
                  </w:rPr>
                </w:pPr>
                <w:r>
                  <w:rPr>
                    <w:color w:val="000000"/>
                    <w:szCs w:val="21"/>
                  </w:rPr>
                  <w:t>8,181,608</w:t>
                </w:r>
              </w:p>
            </w:tc>
            <w:tc>
              <w:tcPr>
                <w:tcW w:w="1538" w:type="dxa"/>
                <w:shd w:val="clear" w:color="auto" w:fill="auto"/>
                <w:vAlign w:val="center"/>
              </w:tcPr>
              <w:p>
                <w:pPr>
                  <w:jc w:val="right"/>
                  <w:rPr>
                    <w:color w:val="000000"/>
                    <w:szCs w:val="21"/>
                  </w:rPr>
                </w:pPr>
                <w:r>
                  <w:rPr>
                    <w:color w:val="000000"/>
                    <w:szCs w:val="21"/>
                  </w:rPr>
                  <w:t>8,032,521</w:t>
                </w:r>
              </w:p>
            </w:tc>
          </w:tr>
        </w:tbl>
        <w:p>
          <w:pPr>
            <w:autoSpaceDE w:val="0"/>
            <w:autoSpaceDN w:val="0"/>
            <w:adjustRightInd w:val="0"/>
            <w:spacing w:afterLines="50" w:after="156" w:line="360" w:lineRule="exact"/>
            <w:ind w:firstLineChars="200" w:firstLine="420"/>
          </w:pPr>
        </w:p>
        <w:p>
          <w:pPr>
            <w:keepNext/>
            <w:keepLines/>
            <w:widowControl w:val="0"/>
            <w:numPr>
              <w:ilvl w:val="0"/>
              <w:numId w:val="135"/>
            </w:numPr>
            <w:spacing w:before="60" w:line="360" w:lineRule="auto"/>
            <w:jc w:val="both"/>
            <w:outlineLvl w:val="2"/>
          </w:pPr>
          <w:r>
            <w:rPr>
              <w:rFonts w:ascii="Calibri" w:hAnsi="Calibri" w:cs="Times New Roman" w:hint="eastAsia"/>
              <w:b/>
              <w:bCs/>
              <w:kern w:val="2"/>
              <w:szCs w:val="32"/>
            </w:rPr>
            <w:t>敏感性分析</w:t>
          </w:r>
        </w:p>
        <w:p>
          <w:pPr>
            <w:autoSpaceDE w:val="0"/>
            <w:autoSpaceDN w:val="0"/>
            <w:adjustRightInd w:val="0"/>
            <w:spacing w:afterLines="50" w:after="156" w:line="360" w:lineRule="exact"/>
            <w:ind w:firstLineChars="200" w:firstLine="420"/>
          </w:pPr>
          <w:r>
            <w:rPr>
              <w:rFonts w:hint="eastAsia"/>
            </w:rPr>
            <w:t>本集团采用敏感性分析技术分析风险变量的合理、可能变化对当期损益或所有者权益可能产生的影响。由于任何风险变量很少孤立的发生变化，而变量之间存在的相关性对某一风险变量变化的最终影响金额将产生重大作用，因此下述内容是在假设每一变量的变化是独立的情况下进行的。</w:t>
          </w:r>
        </w:p>
        <w:p>
          <w:pPr>
            <w:pStyle w:val="afffa"/>
            <w:numPr>
              <w:ilvl w:val="0"/>
              <w:numId w:val="137"/>
            </w:numPr>
            <w:spacing w:after="156"/>
          </w:pPr>
          <w:r>
            <w:rPr>
              <w:rFonts w:hint="eastAsia"/>
            </w:rPr>
            <w:t>外汇风险敏感性分析</w:t>
          </w:r>
        </w:p>
        <w:p>
          <w:pPr>
            <w:autoSpaceDE w:val="0"/>
            <w:autoSpaceDN w:val="0"/>
            <w:adjustRightInd w:val="0"/>
            <w:spacing w:afterLines="50" w:after="156" w:line="360" w:lineRule="exact"/>
            <w:ind w:firstLineChars="200" w:firstLine="420"/>
          </w:pPr>
          <w:r>
            <w:rPr>
              <w:rFonts w:hint="eastAsia"/>
            </w:rPr>
            <w:t>本集团主要面临美元汇率变动的影响。</w:t>
          </w:r>
        </w:p>
        <w:p>
          <w:pPr>
            <w:autoSpaceDE w:val="0"/>
            <w:autoSpaceDN w:val="0"/>
            <w:adjustRightInd w:val="0"/>
            <w:spacing w:afterLines="50" w:after="156" w:line="360" w:lineRule="exact"/>
            <w:ind w:firstLineChars="200" w:firstLine="420"/>
          </w:pPr>
          <w:r>
            <w:rPr>
              <w:rFonts w:hint="eastAsia"/>
            </w:rPr>
            <w:t>下述表格详细列示当人民币升值或贬值5%时，本集团的敏感性。5%变动代表本集团就汇率在下一年度合理变动作出的评估。敏感性分析包括外币货币性项目的余额，并将年末汇率调整5%，并假设其他因素保持不变的情况下计算。敏感性分析还包括了借款，这些借款币种也非借入方日常经营所用货币。</w:t>
          </w:r>
        </w:p>
        <w:p>
          <w:pPr>
            <w:autoSpaceDE w:val="0"/>
            <w:autoSpaceDN w:val="0"/>
            <w:adjustRightInd w:val="0"/>
            <w:spacing w:afterLines="50" w:after="156" w:line="360" w:lineRule="exact"/>
            <w:ind w:firstLineChars="200" w:firstLine="420"/>
          </w:pPr>
          <w:r>
            <w:rPr>
              <w:rFonts w:hint="eastAsia"/>
            </w:rPr>
            <w:lastRenderedPageBreak/>
            <w:t>从境内公司角度考虑敏感性：</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hxmpNECrq0mRKJ5ryOIPMQ|0|desc|||0|1"/>
          </w:tblPr>
          <w:tblGrid>
            <w:gridCol w:w="4201"/>
            <w:gridCol w:w="2189"/>
            <w:gridCol w:w="2189"/>
          </w:tblGrid>
          <w:tr>
            <w:trPr>
              <w:trHeight w:val="397"/>
              <w:tblHeader/>
              <w:jc w:val="center"/>
            </w:trPr>
            <w:tc>
              <w:tcPr>
                <w:tcW w:w="4201" w:type="dxa"/>
                <w:vMerge w:val="restart"/>
                <w:shd w:val="clear" w:color="auto" w:fill="auto"/>
                <w:vAlign w:val="center"/>
              </w:tcPr>
              <w:p>
                <w:pPr>
                  <w:jc w:val="center"/>
                  <w:rPr>
                    <w:b/>
                    <w:bCs/>
                    <w:color w:val="000000"/>
                    <w:szCs w:val="21"/>
                  </w:rPr>
                </w:pPr>
                <w:r>
                  <w:rPr>
                    <w:rFonts w:hint="eastAsia"/>
                    <w:b/>
                    <w:bCs/>
                    <w:color w:val="000000"/>
                    <w:szCs w:val="21"/>
                  </w:rPr>
                  <w:t>项目</w:t>
                </w:r>
              </w:p>
            </w:tc>
            <w:tc>
              <w:tcPr>
                <w:tcW w:w="4378" w:type="dxa"/>
                <w:gridSpan w:val="2"/>
                <w:shd w:val="clear" w:color="auto" w:fill="auto"/>
                <w:vAlign w:val="center"/>
              </w:tcPr>
              <w:p>
                <w:pPr>
                  <w:jc w:val="center"/>
                  <w:rPr>
                    <w:b/>
                    <w:bCs/>
                    <w:color w:val="000000"/>
                    <w:szCs w:val="21"/>
                  </w:rPr>
                </w:pPr>
                <w:r>
                  <w:rPr>
                    <w:rFonts w:hint="eastAsia"/>
                    <w:b/>
                    <w:bCs/>
                    <w:color w:val="000000"/>
                    <w:szCs w:val="21"/>
                  </w:rPr>
                  <w:t>美元影响</w:t>
                </w:r>
              </w:p>
            </w:tc>
          </w:tr>
          <w:tr>
            <w:trPr>
              <w:trHeight w:val="397"/>
              <w:tblHeader/>
              <w:jc w:val="center"/>
            </w:trPr>
            <w:tc>
              <w:tcPr>
                <w:tcW w:w="4201" w:type="dxa"/>
                <w:vMerge/>
                <w:shd w:val="clear" w:color="auto" w:fill="auto"/>
                <w:vAlign w:val="center"/>
              </w:tcPr>
              <w:p>
                <w:pPr>
                  <w:jc w:val="center"/>
                  <w:rPr>
                    <w:b/>
                    <w:bCs/>
                    <w:color w:val="000000"/>
                    <w:szCs w:val="21"/>
                  </w:rPr>
                </w:pPr>
              </w:p>
            </w:tc>
            <w:tc>
              <w:tcPr>
                <w:tcW w:w="2189" w:type="dxa"/>
                <w:shd w:val="clear" w:color="auto" w:fill="auto"/>
                <w:vAlign w:val="center"/>
              </w:tcPr>
              <w:p>
                <w:pPr>
                  <w:jc w:val="center"/>
                  <w:rPr>
                    <w:b/>
                    <w:bCs/>
                    <w:color w:val="000000"/>
                    <w:szCs w:val="21"/>
                  </w:rPr>
                </w:pPr>
                <w:r>
                  <w:rPr>
                    <w:rFonts w:hint="eastAsia"/>
                    <w:b/>
                    <w:bCs/>
                    <w:color w:val="000000"/>
                    <w:szCs w:val="21"/>
                  </w:rPr>
                  <w:t>年末余额</w:t>
                </w:r>
              </w:p>
            </w:tc>
            <w:tc>
              <w:tcPr>
                <w:tcW w:w="2189" w:type="dxa"/>
                <w:shd w:val="clear" w:color="auto" w:fill="auto"/>
                <w:vAlign w:val="center"/>
              </w:tcPr>
              <w:p>
                <w:pPr>
                  <w:jc w:val="center"/>
                  <w:rPr>
                    <w:b/>
                    <w:bCs/>
                    <w:color w:val="000000"/>
                    <w:szCs w:val="21"/>
                  </w:rPr>
                </w:pPr>
                <w:r>
                  <w:rPr>
                    <w:rFonts w:hint="eastAsia"/>
                    <w:b/>
                    <w:bCs/>
                    <w:color w:val="000000"/>
                    <w:szCs w:val="21"/>
                  </w:rPr>
                  <w:t>年初余额</w:t>
                </w:r>
              </w:p>
            </w:tc>
          </w:tr>
          <w:tr>
            <w:trPr>
              <w:trHeight w:val="397"/>
              <w:jc w:val="center"/>
            </w:trPr>
            <w:tc>
              <w:tcPr>
                <w:tcW w:w="8579" w:type="dxa"/>
                <w:gridSpan w:val="3"/>
                <w:shd w:val="clear" w:color="auto" w:fill="auto"/>
                <w:noWrap/>
                <w:vAlign w:val="center"/>
              </w:tcPr>
              <w:p>
                <w:pPr>
                  <w:rPr>
                    <w:color w:val="000000"/>
                    <w:szCs w:val="21"/>
                  </w:rPr>
                </w:pPr>
                <w:r>
                  <w:rPr>
                    <w:rFonts w:hint="eastAsia"/>
                    <w:color w:val="000000"/>
                    <w:szCs w:val="21"/>
                  </w:rPr>
                  <w:t>增加（或减少）当期损益</w:t>
                </w:r>
              </w:p>
            </w:tc>
          </w:tr>
          <w:tr>
            <w:trPr>
              <w:trHeight w:val="397"/>
              <w:jc w:val="center"/>
            </w:trPr>
            <w:tc>
              <w:tcPr>
                <w:tcW w:w="4201" w:type="dxa"/>
                <w:shd w:val="clear" w:color="auto" w:fill="auto"/>
                <w:noWrap/>
                <w:vAlign w:val="center"/>
              </w:tcPr>
              <w:p>
                <w:pPr>
                  <w:rPr>
                    <w:color w:val="000000"/>
                    <w:szCs w:val="21"/>
                  </w:rPr>
                </w:pPr>
                <w:r>
                  <w:rPr>
                    <w:rFonts w:hint="eastAsia"/>
                    <w:color w:val="000000"/>
                    <w:szCs w:val="21"/>
                  </w:rPr>
                  <w:t>——如人民币贬值对应外币</w:t>
                </w:r>
              </w:p>
            </w:tc>
            <w:tc>
              <w:tcPr>
                <w:tcW w:w="2189" w:type="dxa"/>
                <w:shd w:val="clear" w:color="auto" w:fill="auto"/>
                <w:vAlign w:val="center"/>
              </w:tcPr>
              <w:p>
                <w:pPr>
                  <w:jc w:val="right"/>
                  <w:rPr>
                    <w:color w:val="000000"/>
                    <w:szCs w:val="21"/>
                  </w:rPr>
                </w:pPr>
                <w:r>
                  <w:rPr>
                    <w:rFonts w:hint="eastAsia"/>
                    <w:color w:val="000000"/>
                    <w:szCs w:val="21"/>
                  </w:rPr>
                  <w:t>-16,884</w:t>
                </w:r>
              </w:p>
            </w:tc>
            <w:tc>
              <w:tcPr>
                <w:tcW w:w="2189" w:type="dxa"/>
                <w:shd w:val="clear" w:color="auto" w:fill="auto"/>
                <w:vAlign w:val="center"/>
              </w:tcPr>
              <w:p>
                <w:pPr>
                  <w:jc w:val="right"/>
                  <w:rPr>
                    <w:color w:val="000000"/>
                    <w:szCs w:val="21"/>
                  </w:rPr>
                </w:pPr>
                <w:r>
                  <w:rPr>
                    <w:rFonts w:hint="eastAsia"/>
                    <w:color w:val="000000"/>
                    <w:szCs w:val="21"/>
                  </w:rPr>
                  <w:t>-38,610</w:t>
                </w:r>
              </w:p>
            </w:tc>
          </w:tr>
          <w:tr>
            <w:trPr>
              <w:trHeight w:val="397"/>
              <w:jc w:val="center"/>
            </w:trPr>
            <w:tc>
              <w:tcPr>
                <w:tcW w:w="4201" w:type="dxa"/>
                <w:shd w:val="clear" w:color="auto" w:fill="auto"/>
                <w:noWrap/>
                <w:vAlign w:val="center"/>
              </w:tcPr>
              <w:p>
                <w:pPr>
                  <w:rPr>
                    <w:color w:val="000000"/>
                    <w:szCs w:val="21"/>
                  </w:rPr>
                </w:pPr>
                <w:r>
                  <w:rPr>
                    <w:rFonts w:hint="eastAsia"/>
                    <w:color w:val="000000"/>
                    <w:szCs w:val="21"/>
                  </w:rPr>
                  <w:t>——如人民币升值对应外币</w:t>
                </w:r>
              </w:p>
            </w:tc>
            <w:tc>
              <w:tcPr>
                <w:tcW w:w="2189" w:type="dxa"/>
                <w:shd w:val="clear" w:color="auto" w:fill="auto"/>
                <w:vAlign w:val="center"/>
              </w:tcPr>
              <w:p>
                <w:pPr>
                  <w:jc w:val="right"/>
                  <w:rPr>
                    <w:color w:val="000000"/>
                    <w:szCs w:val="21"/>
                  </w:rPr>
                </w:pPr>
                <w:r>
                  <w:rPr>
                    <w:rFonts w:hint="eastAsia"/>
                    <w:color w:val="000000"/>
                    <w:szCs w:val="21"/>
                  </w:rPr>
                  <w:t>16,884</w:t>
                </w:r>
              </w:p>
            </w:tc>
            <w:tc>
              <w:tcPr>
                <w:tcW w:w="2189" w:type="dxa"/>
                <w:shd w:val="clear" w:color="auto" w:fill="auto"/>
                <w:vAlign w:val="center"/>
              </w:tcPr>
              <w:p>
                <w:pPr>
                  <w:jc w:val="right"/>
                  <w:rPr>
                    <w:color w:val="000000"/>
                    <w:szCs w:val="21"/>
                  </w:rPr>
                </w:pPr>
                <w:r>
                  <w:rPr>
                    <w:rFonts w:hint="eastAsia"/>
                    <w:color w:val="000000"/>
                    <w:szCs w:val="21"/>
                  </w:rPr>
                  <w:t>38,610</w:t>
                </w:r>
              </w:p>
            </w:tc>
          </w:tr>
        </w:tbl>
        <w:p>
          <w:pPr>
            <w:autoSpaceDE w:val="0"/>
            <w:autoSpaceDN w:val="0"/>
            <w:adjustRightInd w:val="0"/>
            <w:spacing w:afterLines="50" w:after="156" w:line="360" w:lineRule="exact"/>
            <w:ind w:firstLineChars="200" w:firstLine="420"/>
          </w:pPr>
        </w:p>
        <w:p>
          <w:pPr>
            <w:autoSpaceDE w:val="0"/>
            <w:autoSpaceDN w:val="0"/>
            <w:adjustRightInd w:val="0"/>
            <w:spacing w:afterLines="50" w:after="156" w:line="360" w:lineRule="exact"/>
            <w:ind w:firstLineChars="200" w:firstLine="420"/>
          </w:pPr>
          <w:r>
            <w:rPr>
              <w:rFonts w:hint="eastAsia"/>
            </w:rPr>
            <w:t>从澳洲公司和香港公司角度考虑敏感性：</w:t>
          </w:r>
        </w:p>
        <w:tbl>
          <w:tblPr>
            <w:tblStyle w:val="affffffffff8"/>
            <w:tblW w:w="5000" w:type="pct"/>
            <w:jc w:val="center"/>
            <w:tblLook w:val="04A0" w:firstRow="1" w:lastRow="0" w:firstColumn="1" w:lastColumn="0" w:noHBand="0" w:noVBand="1"/>
            <w:tblCaption w:val="D:\Users\202435566\Desktop\0-兖矿能源2024年TB（内蒙古金控）-0320\2024兖矿职衡tb|TB-合：兖矿能源.xlsx|披露附注|_jdst2WjOnu5EGjUhKVwGMA|0|desc|||0|1"/>
          </w:tblPr>
          <w:tblGrid>
            <w:gridCol w:w="4195"/>
            <w:gridCol w:w="2187"/>
            <w:gridCol w:w="2187"/>
          </w:tblGrid>
          <w:tr>
            <w:trPr>
              <w:trHeight w:val="397"/>
              <w:tblHeader/>
              <w:jc w:val="center"/>
            </w:trPr>
            <w:tc>
              <w:tcPr>
                <w:tcW w:w="244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项目</w:t>
                </w:r>
              </w:p>
            </w:tc>
            <w:tc>
              <w:tcPr>
                <w:tcW w:w="255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美元影响</w:t>
                </w:r>
              </w:p>
            </w:tc>
          </w:tr>
          <w:tr>
            <w:trPr>
              <w:trHeight w:val="397"/>
              <w:tblHeader/>
              <w:jc w:val="center"/>
            </w:trPr>
            <w:tc>
              <w:tcPr>
                <w:tcW w:w="2448" w:type="pct"/>
                <w:vMerge/>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年末余额</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年初余额</w:t>
                </w:r>
              </w:p>
            </w:tc>
          </w:tr>
          <w:tr>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增加（或减少）当期损益</w:t>
                </w:r>
              </w:p>
            </w:tc>
          </w:tr>
          <w:tr>
            <w:trPr>
              <w:trHeight w:val="397"/>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——如记账本位币贬值对应外币</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w:t>
                </w:r>
                <w:r>
                  <w:rPr>
                    <w:color w:val="000000"/>
                    <w:szCs w:val="21"/>
                  </w:rPr>
                  <w:t>181,448</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-7,635</w:t>
                </w:r>
              </w:p>
            </w:tc>
          </w:tr>
          <w:tr>
            <w:trPr>
              <w:trHeight w:val="397"/>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——如记账本位币升值对应外币</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181,448</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7,635</w:t>
                </w:r>
              </w:p>
            </w:tc>
          </w:tr>
          <w:tr>
            <w:trPr>
              <w:trHeight w:val="39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增加（或减少）当期股东权益</w:t>
                </w:r>
              </w:p>
            </w:tc>
          </w:tr>
          <w:tr>
            <w:trPr>
              <w:trHeight w:val="397"/>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——如记账本位币贬值对应外币</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w:t>
                </w:r>
                <w:r>
                  <w:rPr>
                    <w:color w:val="000000"/>
                    <w:szCs w:val="21"/>
                  </w:rPr>
                  <w:t>193,382</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-5,178</w:t>
                </w:r>
              </w:p>
            </w:tc>
          </w:tr>
          <w:tr>
            <w:trPr>
              <w:trHeight w:val="397"/>
              <w:jc w:val="center"/>
            </w:trPr>
            <w:tc>
              <w:tcPr>
                <w:tcW w:w="2448"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——如记账本位币升值对应外币</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193,382</w:t>
                </w:r>
              </w:p>
            </w:tc>
            <w:tc>
              <w:tcPr>
                <w:tcW w:w="127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5,178</w:t>
                </w:r>
              </w:p>
            </w:tc>
          </w:tr>
        </w:tbl>
        <w:p>
          <w:pPr>
            <w:autoSpaceDE w:val="0"/>
            <w:autoSpaceDN w:val="0"/>
            <w:adjustRightInd w:val="0"/>
            <w:spacing w:afterLines="50" w:after="156" w:line="360" w:lineRule="exact"/>
          </w:pPr>
        </w:p>
        <w:p>
          <w:pPr>
            <w:pStyle w:val="afffa"/>
            <w:numPr>
              <w:ilvl w:val="0"/>
              <w:numId w:val="137"/>
            </w:numPr>
            <w:spacing w:after="156"/>
            <w:rPr>
              <w:rFonts w:hAnsi="宋体"/>
            </w:rPr>
          </w:pPr>
          <w:r>
            <w:rPr>
              <w:rFonts w:hint="eastAsia"/>
            </w:rPr>
            <w:t>利率风险敏感性分析</w:t>
          </w:r>
        </w:p>
        <w:p>
          <w:pPr>
            <w:autoSpaceDE w:val="0"/>
            <w:autoSpaceDN w:val="0"/>
            <w:adjustRightInd w:val="0"/>
            <w:spacing w:afterLines="50" w:after="156" w:line="360" w:lineRule="exact"/>
            <w:ind w:firstLineChars="200" w:firstLine="420"/>
          </w:pPr>
          <w:r>
            <w:rPr>
              <w:rFonts w:hint="eastAsia"/>
            </w:rPr>
            <w:t>利率风险敏感性分析基于下述假设：</w:t>
          </w:r>
        </w:p>
        <w:p>
          <w:pPr>
            <w:autoSpaceDE w:val="0"/>
            <w:autoSpaceDN w:val="0"/>
            <w:adjustRightInd w:val="0"/>
            <w:spacing w:afterLines="50" w:after="156" w:line="360" w:lineRule="exact"/>
            <w:ind w:firstLineChars="200" w:firstLine="420"/>
          </w:pPr>
          <w:r>
            <w:rPr>
              <w:rFonts w:hint="eastAsia"/>
            </w:rPr>
            <w:t>市场利率变化影响可变利率金融工具的利息收入或费用；</w:t>
          </w:r>
        </w:p>
        <w:p>
          <w:pPr>
            <w:autoSpaceDE w:val="0"/>
            <w:autoSpaceDN w:val="0"/>
            <w:adjustRightInd w:val="0"/>
            <w:spacing w:afterLines="50" w:after="156" w:line="360" w:lineRule="exact"/>
            <w:ind w:firstLineChars="200" w:firstLine="420"/>
          </w:pPr>
          <w:r>
            <w:rPr>
              <w:rFonts w:hint="eastAsia"/>
            </w:rPr>
            <w:t>对于以公允价值计量的固定利率金融工具，市场利率变化仅仅影响其利息收入或费用；</w:t>
          </w:r>
        </w:p>
        <w:p>
          <w:pPr>
            <w:autoSpaceDE w:val="0"/>
            <w:autoSpaceDN w:val="0"/>
            <w:adjustRightInd w:val="0"/>
            <w:spacing w:afterLines="50" w:after="156" w:line="360" w:lineRule="exact"/>
            <w:ind w:firstLineChars="200" w:firstLine="420"/>
          </w:pPr>
          <w:r>
            <w:rPr>
              <w:rFonts w:hint="eastAsia"/>
            </w:rPr>
            <w:t>以资产负债表日市场利率采用现金流量折现法计算衍生金融工具及其它金融资产和负债的公允价值变化。</w:t>
          </w:r>
        </w:p>
        <w:p>
          <w:pPr>
            <w:autoSpaceDE w:val="0"/>
            <w:autoSpaceDN w:val="0"/>
            <w:adjustRightInd w:val="0"/>
            <w:spacing w:afterLines="50" w:after="156" w:line="360" w:lineRule="exact"/>
            <w:ind w:firstLineChars="200" w:firstLine="420"/>
          </w:pPr>
          <w:r>
            <w:rPr>
              <w:rFonts w:hint="eastAsia"/>
            </w:rPr>
            <w:t>在上述假设的基础上，在其它变量不变的情况下，利率可能发生的合理变动对当期损益和权益的税后影响如下：</w:t>
          </w:r>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Users\202435566\Desktop\0-兖矿能源2024年TB（内蒙古金控）-0320\2024兖矿职衡tb|TB-合：兖矿能源.xlsx|披露附注|_jdszDIDaaExf0SLyyNn7CMDw|0|desc|||0|1"/>
          </w:tblPr>
          <w:tblGrid>
            <w:gridCol w:w="2373"/>
            <w:gridCol w:w="1240"/>
            <w:gridCol w:w="1239"/>
            <w:gridCol w:w="1241"/>
            <w:gridCol w:w="1239"/>
            <w:gridCol w:w="1237"/>
          </w:tblGrid>
          <w:tr>
            <w:trPr>
              <w:trHeight w:val="397"/>
              <w:tblHeader/>
              <w:jc w:val="center"/>
            </w:trPr>
            <w:tc>
              <w:tcPr>
                <w:tcW w:w="1384" w:type="pct"/>
                <w:vMerge w:val="restart"/>
                <w:shd w:val="clear" w:color="auto" w:fill="auto"/>
                <w:vAlign w:val="center"/>
              </w:tcPr>
              <w:p>
                <w:pPr>
                  <w:jc w:val="center"/>
                  <w:rPr>
                    <w:b/>
                    <w:bCs/>
                    <w:color w:val="000000"/>
                    <w:szCs w:val="21"/>
                  </w:rPr>
                </w:pPr>
                <w:r>
                  <w:rPr>
                    <w:rFonts w:hint="eastAsia"/>
                    <w:b/>
                    <w:bCs/>
                    <w:color w:val="000000"/>
                    <w:szCs w:val="21"/>
                  </w:rPr>
                  <w:t>项目</w:t>
                </w:r>
              </w:p>
            </w:tc>
            <w:tc>
              <w:tcPr>
                <w:tcW w:w="723" w:type="pct"/>
                <w:vMerge w:val="restart"/>
                <w:shd w:val="clear" w:color="auto" w:fill="auto"/>
                <w:vAlign w:val="center"/>
              </w:tcPr>
              <w:p>
                <w:pPr>
                  <w:jc w:val="center"/>
                  <w:rPr>
                    <w:b/>
                    <w:bCs/>
                    <w:color w:val="000000"/>
                    <w:szCs w:val="21"/>
                  </w:rPr>
                </w:pPr>
                <w:r>
                  <w:rPr>
                    <w:rFonts w:hint="eastAsia"/>
                    <w:b/>
                    <w:bCs/>
                    <w:color w:val="000000"/>
                    <w:szCs w:val="21"/>
                  </w:rPr>
                  <w:t>利率变动</w:t>
                </w:r>
              </w:p>
            </w:tc>
            <w:tc>
              <w:tcPr>
                <w:tcW w:w="1447" w:type="pct"/>
                <w:gridSpan w:val="2"/>
                <w:shd w:val="clear" w:color="auto" w:fill="auto"/>
                <w:vAlign w:val="center"/>
              </w:tcPr>
              <w:p>
                <w:pPr>
                  <w:jc w:val="center"/>
                  <w:rPr>
                    <w:b/>
                    <w:bCs/>
                    <w:color w:val="000000"/>
                    <w:szCs w:val="21"/>
                  </w:rPr>
                </w:pPr>
                <w:r>
                  <w:rPr>
                    <w:rFonts w:hint="eastAsia"/>
                    <w:b/>
                    <w:bCs/>
                    <w:color w:val="000000"/>
                    <w:szCs w:val="21"/>
                  </w:rPr>
                  <w:t>2024年度</w:t>
                </w:r>
              </w:p>
            </w:tc>
            <w:tc>
              <w:tcPr>
                <w:tcW w:w="1445" w:type="pct"/>
                <w:gridSpan w:val="2"/>
                <w:shd w:val="clear" w:color="auto" w:fill="auto"/>
                <w:vAlign w:val="center"/>
              </w:tcPr>
              <w:p>
                <w:pPr>
                  <w:jc w:val="center"/>
                  <w:rPr>
                    <w:b/>
                    <w:bCs/>
                    <w:color w:val="000000"/>
                    <w:szCs w:val="21"/>
                  </w:rPr>
                </w:pPr>
                <w:r>
                  <w:rPr>
                    <w:rFonts w:hint="eastAsia"/>
                    <w:b/>
                    <w:bCs/>
                    <w:color w:val="000000"/>
                    <w:szCs w:val="21"/>
                  </w:rPr>
                  <w:t>2023年度</w:t>
                </w:r>
              </w:p>
            </w:tc>
          </w:tr>
          <w:tr>
            <w:trPr>
              <w:trHeight w:val="397"/>
              <w:tblHeader/>
              <w:jc w:val="center"/>
            </w:trPr>
            <w:tc>
              <w:tcPr>
                <w:tcW w:w="1384" w:type="pct"/>
                <w:vMerge/>
                <w:shd w:val="clear" w:color="auto" w:fill="auto"/>
                <w:vAlign w:val="center"/>
              </w:tcPr>
              <w:p>
                <w:pPr>
                  <w:jc w:val="center"/>
                  <w:rPr>
                    <w:b/>
                    <w:bCs/>
                    <w:color w:val="000000"/>
                    <w:szCs w:val="21"/>
                  </w:rPr>
                </w:pPr>
              </w:p>
            </w:tc>
            <w:tc>
              <w:tcPr>
                <w:tcW w:w="723" w:type="pct"/>
                <w:vMerge/>
                <w:shd w:val="clear" w:color="auto" w:fill="auto"/>
                <w:vAlign w:val="center"/>
              </w:tcPr>
              <w:p>
                <w:pPr>
                  <w:jc w:val="center"/>
                  <w:rPr>
                    <w:b/>
                    <w:bCs/>
                    <w:color w:val="000000"/>
                    <w:szCs w:val="21"/>
                  </w:rPr>
                </w:pPr>
              </w:p>
            </w:tc>
            <w:tc>
              <w:tcPr>
                <w:tcW w:w="723" w:type="pct"/>
                <w:shd w:val="clear" w:color="auto" w:fill="auto"/>
                <w:vAlign w:val="center"/>
              </w:tcPr>
              <w:p>
                <w:pPr>
                  <w:jc w:val="center"/>
                  <w:rPr>
                    <w:b/>
                    <w:bCs/>
                    <w:color w:val="000000"/>
                    <w:szCs w:val="21"/>
                  </w:rPr>
                </w:pPr>
                <w:r>
                  <w:rPr>
                    <w:rFonts w:hint="eastAsia"/>
                    <w:b/>
                    <w:bCs/>
                    <w:color w:val="000000"/>
                    <w:szCs w:val="21"/>
                  </w:rPr>
                  <w:t>对净利润的影响</w:t>
                </w:r>
              </w:p>
            </w:tc>
            <w:tc>
              <w:tcPr>
                <w:tcW w:w="724" w:type="pct"/>
                <w:shd w:val="clear" w:color="auto" w:fill="auto"/>
                <w:vAlign w:val="center"/>
              </w:tcPr>
              <w:p>
                <w:pPr>
                  <w:jc w:val="center"/>
                  <w:rPr>
                    <w:b/>
                    <w:bCs/>
                    <w:color w:val="000000"/>
                    <w:szCs w:val="21"/>
                  </w:rPr>
                </w:pPr>
                <w:r>
                  <w:rPr>
                    <w:rFonts w:hint="eastAsia"/>
                    <w:b/>
                    <w:bCs/>
                    <w:color w:val="000000"/>
                    <w:szCs w:val="21"/>
                  </w:rPr>
                  <w:t>对股东权益的影响</w:t>
                </w:r>
              </w:p>
            </w:tc>
            <w:tc>
              <w:tcPr>
                <w:tcW w:w="723" w:type="pct"/>
                <w:shd w:val="clear" w:color="auto" w:fill="auto"/>
                <w:vAlign w:val="center"/>
              </w:tcPr>
              <w:p>
                <w:pPr>
                  <w:jc w:val="center"/>
                  <w:rPr>
                    <w:b/>
                    <w:bCs/>
                    <w:color w:val="000000"/>
                    <w:szCs w:val="21"/>
                  </w:rPr>
                </w:pPr>
                <w:r>
                  <w:rPr>
                    <w:rFonts w:hint="eastAsia"/>
                    <w:b/>
                    <w:bCs/>
                    <w:color w:val="000000"/>
                    <w:szCs w:val="21"/>
                  </w:rPr>
                  <w:t>对净利润的影响</w:t>
                </w:r>
              </w:p>
            </w:tc>
            <w:tc>
              <w:tcPr>
                <w:tcW w:w="722" w:type="pct"/>
                <w:shd w:val="clear" w:color="auto" w:fill="auto"/>
                <w:vAlign w:val="center"/>
              </w:tcPr>
              <w:p>
                <w:pPr>
                  <w:jc w:val="center"/>
                  <w:rPr>
                    <w:b/>
                    <w:bCs/>
                    <w:color w:val="000000"/>
                    <w:szCs w:val="21"/>
                  </w:rPr>
                </w:pPr>
                <w:r>
                  <w:rPr>
                    <w:rFonts w:hint="eastAsia"/>
                    <w:b/>
                    <w:bCs/>
                    <w:color w:val="000000"/>
                    <w:szCs w:val="21"/>
                  </w:rPr>
                  <w:t>对股东权益的影响</w:t>
                </w:r>
              </w:p>
            </w:tc>
          </w:tr>
          <w:tr>
            <w:trPr>
              <w:trHeight w:val="397"/>
              <w:jc w:val="center"/>
            </w:trPr>
            <w:tc>
              <w:tcPr>
                <w:tcW w:w="1384" w:type="pct"/>
                <w:shd w:val="clear" w:color="auto" w:fill="auto"/>
                <w:vAlign w:val="center"/>
              </w:tcPr>
              <w:p>
                <w:pPr>
                  <w:rPr>
                    <w:color w:val="000000"/>
                    <w:szCs w:val="21"/>
                  </w:rPr>
                </w:pPr>
                <w:r>
                  <w:rPr>
                    <w:rFonts w:hint="eastAsia"/>
                    <w:color w:val="000000"/>
                    <w:szCs w:val="21"/>
                  </w:rPr>
                  <w:t>浮动利率借款</w:t>
                </w:r>
              </w:p>
            </w:tc>
            <w:tc>
              <w:tcPr>
                <w:tcW w:w="723" w:type="pct"/>
                <w:shd w:val="clear" w:color="auto" w:fill="auto"/>
                <w:vAlign w:val="center"/>
              </w:tcPr>
              <w:p>
                <w:pPr>
                  <w:rPr>
                    <w:color w:val="000000"/>
                    <w:szCs w:val="21"/>
                  </w:rPr>
                </w:pPr>
                <w:r>
                  <w:rPr>
                    <w:rFonts w:hint="eastAsia"/>
                    <w:color w:val="000000"/>
                    <w:szCs w:val="21"/>
                  </w:rPr>
                  <w:t>增加1%</w:t>
                </w:r>
              </w:p>
            </w:tc>
            <w:tc>
              <w:tcPr>
                <w:tcW w:w="723" w:type="pct"/>
                <w:shd w:val="clear" w:color="auto" w:fill="auto"/>
                <w:vAlign w:val="center"/>
              </w:tcPr>
              <w:p>
                <w:pPr>
                  <w:jc w:val="right"/>
                  <w:rPr>
                    <w:color w:val="000000"/>
                    <w:szCs w:val="21"/>
                  </w:rPr>
                </w:pPr>
                <w:r>
                  <w:rPr>
                    <w:rFonts w:hint="eastAsia"/>
                    <w:color w:val="000000"/>
                    <w:szCs w:val="21"/>
                  </w:rPr>
                  <w:t>-370,632</w:t>
                </w:r>
              </w:p>
            </w:tc>
            <w:tc>
              <w:tcPr>
                <w:tcW w:w="724" w:type="pct"/>
                <w:shd w:val="clear" w:color="auto" w:fill="auto"/>
                <w:vAlign w:val="center"/>
              </w:tcPr>
              <w:p>
                <w:pPr>
                  <w:jc w:val="right"/>
                  <w:rPr>
                    <w:color w:val="000000"/>
                    <w:szCs w:val="21"/>
                  </w:rPr>
                </w:pPr>
                <w:r>
                  <w:rPr>
                    <w:rFonts w:hint="eastAsia"/>
                    <w:color w:val="000000"/>
                    <w:szCs w:val="21"/>
                  </w:rPr>
                  <w:t>-370,632</w:t>
                </w:r>
              </w:p>
            </w:tc>
            <w:tc>
              <w:tcPr>
                <w:tcW w:w="723" w:type="pct"/>
                <w:shd w:val="clear" w:color="auto" w:fill="auto"/>
                <w:vAlign w:val="center"/>
              </w:tcPr>
              <w:p>
                <w:pPr>
                  <w:jc w:val="right"/>
                  <w:rPr>
                    <w:color w:val="000000"/>
                    <w:szCs w:val="21"/>
                  </w:rPr>
                </w:pPr>
                <w:r>
                  <w:rPr>
                    <w:rFonts w:hint="eastAsia"/>
                    <w:color w:val="000000"/>
                    <w:szCs w:val="21"/>
                  </w:rPr>
                  <w:t>-101,337</w:t>
                </w:r>
              </w:p>
            </w:tc>
            <w:tc>
              <w:tcPr>
                <w:tcW w:w="722" w:type="pct"/>
                <w:shd w:val="clear" w:color="auto" w:fill="auto"/>
                <w:vAlign w:val="center"/>
              </w:tcPr>
              <w:p>
                <w:pPr>
                  <w:jc w:val="right"/>
                  <w:rPr>
                    <w:color w:val="000000"/>
                    <w:szCs w:val="21"/>
                  </w:rPr>
                </w:pPr>
                <w:r>
                  <w:rPr>
                    <w:rFonts w:hint="eastAsia"/>
                    <w:color w:val="000000"/>
                    <w:szCs w:val="21"/>
                  </w:rPr>
                  <w:t>-101,337</w:t>
                </w:r>
              </w:p>
            </w:tc>
          </w:tr>
          <w:tr>
            <w:trPr>
              <w:trHeight w:val="397"/>
              <w:jc w:val="center"/>
            </w:trPr>
            <w:tc>
              <w:tcPr>
                <w:tcW w:w="1384" w:type="pct"/>
                <w:shd w:val="clear" w:color="auto" w:fill="auto"/>
                <w:vAlign w:val="center"/>
              </w:tcPr>
              <w:p>
                <w:pPr>
                  <w:rPr>
                    <w:color w:val="000000"/>
                    <w:szCs w:val="21"/>
                  </w:rPr>
                </w:pPr>
                <w:r>
                  <w:rPr>
                    <w:rFonts w:hint="eastAsia"/>
                    <w:color w:val="000000"/>
                    <w:szCs w:val="21"/>
                  </w:rPr>
                  <w:t>浮动利率借款</w:t>
                </w:r>
              </w:p>
            </w:tc>
            <w:tc>
              <w:tcPr>
                <w:tcW w:w="723" w:type="pct"/>
                <w:shd w:val="clear" w:color="auto" w:fill="auto"/>
                <w:vAlign w:val="center"/>
              </w:tcPr>
              <w:p>
                <w:pPr>
                  <w:rPr>
                    <w:color w:val="000000"/>
                    <w:szCs w:val="21"/>
                  </w:rPr>
                </w:pPr>
                <w:r>
                  <w:rPr>
                    <w:rFonts w:hint="eastAsia"/>
                    <w:color w:val="000000"/>
                    <w:szCs w:val="21"/>
                  </w:rPr>
                  <w:t>减少1%</w:t>
                </w:r>
              </w:p>
            </w:tc>
            <w:tc>
              <w:tcPr>
                <w:tcW w:w="723" w:type="pct"/>
                <w:shd w:val="clear" w:color="auto" w:fill="auto"/>
                <w:vAlign w:val="center"/>
              </w:tcPr>
              <w:p>
                <w:pPr>
                  <w:jc w:val="right"/>
                  <w:rPr>
                    <w:color w:val="000000"/>
                    <w:szCs w:val="21"/>
                  </w:rPr>
                </w:pPr>
                <w:r>
                  <w:rPr>
                    <w:rFonts w:hint="eastAsia"/>
                    <w:color w:val="000000"/>
                    <w:szCs w:val="21"/>
                  </w:rPr>
                  <w:t>370,632</w:t>
                </w:r>
              </w:p>
            </w:tc>
            <w:tc>
              <w:tcPr>
                <w:tcW w:w="724" w:type="pct"/>
                <w:shd w:val="clear" w:color="auto" w:fill="auto"/>
                <w:vAlign w:val="center"/>
              </w:tcPr>
              <w:p>
                <w:pPr>
                  <w:jc w:val="right"/>
                  <w:rPr>
                    <w:color w:val="000000"/>
                    <w:szCs w:val="21"/>
                  </w:rPr>
                </w:pPr>
                <w:r>
                  <w:rPr>
                    <w:rFonts w:hint="eastAsia"/>
                    <w:color w:val="000000"/>
                    <w:szCs w:val="21"/>
                  </w:rPr>
                  <w:t>370,632</w:t>
                </w:r>
              </w:p>
            </w:tc>
            <w:tc>
              <w:tcPr>
                <w:tcW w:w="723" w:type="pct"/>
                <w:shd w:val="clear" w:color="auto" w:fill="auto"/>
                <w:vAlign w:val="center"/>
              </w:tcPr>
              <w:p>
                <w:pPr>
                  <w:jc w:val="right"/>
                  <w:rPr>
                    <w:color w:val="000000"/>
                    <w:szCs w:val="21"/>
                  </w:rPr>
                </w:pPr>
                <w:r>
                  <w:rPr>
                    <w:rFonts w:hint="eastAsia"/>
                    <w:color w:val="000000"/>
                    <w:szCs w:val="21"/>
                  </w:rPr>
                  <w:t>101,337</w:t>
                </w:r>
              </w:p>
            </w:tc>
            <w:tc>
              <w:tcPr>
                <w:tcW w:w="722" w:type="pct"/>
                <w:shd w:val="clear" w:color="auto" w:fill="auto"/>
                <w:vAlign w:val="center"/>
              </w:tcPr>
              <w:p>
                <w:pPr>
                  <w:jc w:val="right"/>
                  <w:rPr>
                    <w:color w:val="000000"/>
                    <w:szCs w:val="21"/>
                  </w:rPr>
                </w:pPr>
                <w:r>
                  <w:rPr>
                    <w:rFonts w:hint="eastAsia"/>
                    <w:color w:val="000000"/>
                    <w:szCs w:val="21"/>
                  </w:rPr>
                  <w:t>101,337</w:t>
                </w:r>
              </w:p>
            </w:tc>
          </w:tr>
        </w:tbl>
        <w:p>
          <w:pPr>
            <w:rPr>
              <w:b/>
              <w:szCs w:val="21"/>
            </w:rPr>
          </w:pPr>
        </w:p>
      </w:sdtContent>
    </w:sdt>
    <w:p>
      <w:pPr>
        <w:pStyle w:val="affffffffffffffffffffffffffffffffe"/>
      </w:pPr>
    </w:p>
    <w:p>
      <w:pPr>
        <w:keepNext/>
        <w:keepLines/>
        <w:widowControl w:val="0"/>
        <w:numPr>
          <w:ilvl w:val="0"/>
          <w:numId w:val="135"/>
        </w:numPr>
        <w:spacing w:before="60" w:line="360" w:lineRule="auto"/>
        <w:jc w:val="both"/>
        <w:outlineLvl w:val="2"/>
      </w:pPr>
      <w:r>
        <w:rPr>
          <w:rFonts w:hint="eastAsia"/>
        </w:rPr>
        <w:lastRenderedPageBreak/>
        <w:t>套期</w:t>
      </w:r>
    </w:p>
    <w:p>
      <w:pPr>
        <w:pStyle w:val="afffffffffffffffffffffffffffffffff1"/>
        <w:numPr>
          <w:ilvl w:val="0"/>
          <w:numId w:val="188"/>
        </w:numPr>
        <w:ind w:left="0" w:firstLine="0"/>
      </w:pPr>
      <w:r>
        <w:rPr>
          <w:rFonts w:hint="eastAsia"/>
        </w:rPr>
        <w:t>公司开展套期业务进行风险管理</w:t>
      </w:r>
    </w:p>
    <w:sdt>
      <w:sdtPr>
        <w:alias w:val="是否适用：公司开展套期业务进行风险管理情况[双击切换]"/>
        <w:tag w:val="_GBC_71d11701ff3e412981460bc27e88a1b5"/>
        <w:id w:val="-175782015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是否适用：公司开展套期业务进行风险管理的其他说明[双击切换]"/>
        <w:tag w:val="_GBC_bc39ee99cbfc4e469ac321509f461420"/>
        <w:id w:val="161046178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fffffffffff1"/>
        <w:numPr>
          <w:ilvl w:val="0"/>
          <w:numId w:val="188"/>
        </w:numPr>
        <w:ind w:left="0" w:firstLine="0"/>
      </w:pPr>
      <w:r>
        <w:rPr>
          <w:rFonts w:hint="eastAsia"/>
        </w:rPr>
        <w:t>公司开展符合条件套期业务并应用套期会计</w:t>
      </w:r>
    </w:p>
    <w:sdt>
      <w:sdtPr>
        <w:alias w:val="是否适用：公司开展符合条件套期业务并应用套期会计情况[双击切换]"/>
        <w:tag w:val="_GBC_346f997d46464bdda5750bdd43495d02"/>
        <w:id w:val="78254302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ffffffffffe"/>
      </w:pPr>
      <w:r>
        <w:rPr>
          <w:rFonts w:hint="eastAsia"/>
        </w:rPr>
        <w:t>其他说明：</w:t>
      </w:r>
    </w:p>
    <w:sdt>
      <w:sdtPr>
        <w:alias w:val="是否适用：公司开展符合条件套期业务并应用套期会计情况的其他说明[双击切换]"/>
        <w:tag w:val="_GBC_7f3675a931be4fe0b3ba0ed19f75108a"/>
        <w:id w:val="55451567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fffffffffff1"/>
        <w:numPr>
          <w:ilvl w:val="0"/>
          <w:numId w:val="188"/>
        </w:numPr>
        <w:ind w:left="0" w:firstLine="0"/>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179820973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是否适用：公司开展套期业务进行风险管理、预期能实现风险管理目标但未应用套期会计的其他说明[双击切换]"/>
        <w:tag w:val="_GBC_7e60464ee1bf40b8b1d2fa0c0e7df1e4"/>
        <w:id w:val="9227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keepNext/>
        <w:keepLines/>
        <w:widowControl w:val="0"/>
        <w:numPr>
          <w:ilvl w:val="0"/>
          <w:numId w:val="135"/>
        </w:numPr>
        <w:spacing w:before="60" w:line="360" w:lineRule="auto"/>
        <w:jc w:val="both"/>
        <w:outlineLvl w:val="2"/>
      </w:pPr>
      <w:r>
        <w:rPr>
          <w:rFonts w:hint="eastAsia"/>
        </w:rPr>
        <w:t>金融资产转移</w:t>
      </w:r>
    </w:p>
    <w:p>
      <w:pPr>
        <w:pStyle w:val="afffffffffffffffffffffffffffffffff1"/>
        <w:numPr>
          <w:ilvl w:val="0"/>
          <w:numId w:val="138"/>
        </w:numPr>
        <w:ind w:left="425" w:hanging="425"/>
      </w:pPr>
      <w:bookmarkStart w:id="488" w:name="_Hlk153550670"/>
      <w:r>
        <w:rPr>
          <w:rFonts w:hint="eastAsia"/>
        </w:rPr>
        <w:t>转移方式分类</w:t>
      </w:r>
    </w:p>
    <w:sdt>
      <w:sdtPr>
        <w:alias w:val="是否适用：转移方式分类[双击切换]"/>
        <w:tag w:val="_GBC_ff6f967e629c4a6b934da2a3f33a107d"/>
        <w:id w:val="-20675576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bookmarkEnd w:id="488"/>
    <w:p>
      <w:pPr>
        <w:pStyle w:val="afffffffffffffffffffffffffffffffff1"/>
        <w:numPr>
          <w:ilvl w:val="0"/>
          <w:numId w:val="138"/>
        </w:numPr>
        <w:ind w:left="425" w:hanging="425"/>
      </w:pPr>
      <w:r>
        <w:rPr>
          <w:rFonts w:hint="eastAsia"/>
        </w:rPr>
        <w:t>因转移而终止确认的金融资产</w:t>
      </w:r>
    </w:p>
    <w:sdt>
      <w:sdtPr>
        <w:rPr>
          <w:rFonts w:hint="eastAsia"/>
        </w:rPr>
        <w:alias w:val="是否适用：因转移而终止确认的金融资产[双击切换]"/>
        <w:tag w:val="_GBC_9fb1347e32aa4376959cf58d1383255a"/>
        <w:id w:val="-47452609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fffffffffff1"/>
        <w:numPr>
          <w:ilvl w:val="0"/>
          <w:numId w:val="138"/>
        </w:numPr>
        <w:ind w:left="425" w:hanging="425"/>
      </w:pPr>
      <w:r>
        <w:rPr>
          <w:rFonts w:hint="eastAsia"/>
        </w:rPr>
        <w:t>继续涉入的转移金融资产</w:t>
      </w:r>
    </w:p>
    <w:sdt>
      <w:sdtPr>
        <w:alias w:val="是否适用：继续涉入的转移金融资产[双击切换]"/>
        <w:tag w:val="_GBC_b604f7fddde64fe6935f4995b9a88a21"/>
        <w:id w:val="4295717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ffffffffffe"/>
      </w:pPr>
      <w:r>
        <w:rPr>
          <w:rFonts w:hint="eastAsia"/>
        </w:rPr>
        <w:t>其他说明：</w:t>
      </w:r>
    </w:p>
    <w:sdt>
      <w:sdtPr>
        <w:alias w:val="是否适用：金融资产转移其他说明[双击切换]"/>
        <w:tag w:val="_GBC_205480d73c8a413b9678dd4798b26763"/>
        <w:id w:val="-165698307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808080"/>
          <w:szCs w:val="21"/>
        </w:rPr>
      </w:pPr>
    </w:p>
    <w:p>
      <w:pPr>
        <w:pStyle w:val="affffffffffffffffffffff2"/>
        <w:numPr>
          <w:ilvl w:val="0"/>
          <w:numId w:val="155"/>
        </w:numPr>
        <w:rPr>
          <w:rFonts w:ascii="宋体" w:hAnsi="宋体"/>
        </w:rPr>
      </w:pPr>
      <w:r>
        <w:rPr>
          <w:rFonts w:ascii="宋体" w:hAnsi="宋体" w:hint="eastAsia"/>
        </w:rPr>
        <w:t>公允价值的披露</w:t>
      </w:r>
    </w:p>
    <w:p>
      <w:pPr>
        <w:pStyle w:val="afffffffffffffffffffffffffffffffff0"/>
        <w:numPr>
          <w:ilvl w:val="0"/>
          <w:numId w:val="139"/>
        </w:numPr>
      </w:pPr>
      <w:bookmarkStart w:id="489" w:name="_Hlk10539195"/>
      <w:bookmarkStart w:id="490" w:name="_Hlk24030209"/>
      <w:r>
        <w:rPr>
          <w:rFonts w:hint="eastAsia"/>
        </w:rPr>
        <w:t>以公允价值计量的资产和负债的期末公允价值</w:t>
      </w:r>
    </w:p>
    <w:sdt>
      <w:sdtPr>
        <w:alias w:val="是否适用：以公允价值计量的资产和负债的期末公允价值[双击切换]"/>
        <w:tag w:val="_GBC_6fbb4bafbfc548fdbb4a25b91f07bd6a"/>
        <w:id w:val="144357746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16665972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2589836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4"/>
        <w:gridCol w:w="1618"/>
        <w:gridCol w:w="1580"/>
        <w:gridCol w:w="1644"/>
        <w:gridCol w:w="1433"/>
      </w:tblGrid>
      <w:tr>
        <w:trPr>
          <w:trHeight w:val="145"/>
        </w:trPr>
        <w:sdt>
          <w:sdtPr>
            <w:rPr>
              <w:szCs w:val="21"/>
            </w:rPr>
            <w:tag w:val="_PLD_163e93b7c897498dae37bc5c38a11afe"/>
            <w:id w:val="421454085"/>
          </w:sdtPr>
          <w:sdtContent>
            <w:tc>
              <w:tcPr>
                <w:tcW w:w="1339" w:type="pct"/>
                <w:vMerge w:val="restart"/>
                <w:tcBorders>
                  <w:top w:val="single" w:sz="4" w:space="0" w:color="auto"/>
                  <w:left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项目</w:t>
                </w:r>
              </w:p>
            </w:tc>
          </w:sdtContent>
        </w:sdt>
        <w:sdt>
          <w:sdtPr>
            <w:rPr>
              <w:szCs w:val="21"/>
            </w:rPr>
            <w:tag w:val="_PLD_b8bd62f651414617bea8612c55db30ce"/>
            <w:id w:val="-325509970"/>
          </w:sdtPr>
          <w:sdtContent>
            <w:tc>
              <w:tcPr>
                <w:tcW w:w="366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期末公允价值</w:t>
                </w:r>
              </w:p>
            </w:tc>
          </w:sdtContent>
        </w:sdt>
      </w:tr>
      <w:tr>
        <w:trPr>
          <w:trHeight w:val="145"/>
        </w:trPr>
        <w:tc>
          <w:tcPr>
            <w:tcW w:w="1339" w:type="pct"/>
            <w:vMerge/>
            <w:tcBorders>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p>
        </w:tc>
        <w:sdt>
          <w:sdtPr>
            <w:rPr>
              <w:szCs w:val="21"/>
            </w:rPr>
            <w:tag w:val="_PLD_8b204b4b1832494b8312fec08990548b"/>
            <w:id w:val="-1724911398"/>
          </w:sdtPr>
          <w:sdtContent>
            <w:tc>
              <w:tcPr>
                <w:tcW w:w="94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第一层次公允价值计量</w:t>
                </w:r>
              </w:p>
            </w:tc>
          </w:sdtContent>
        </w:sdt>
        <w:sdt>
          <w:sdtPr>
            <w:rPr>
              <w:szCs w:val="21"/>
            </w:rPr>
            <w:tag w:val="_PLD_de23a118a4e8435d9b0e1e2e2e494f30"/>
            <w:id w:val="1390998139"/>
          </w:sdtPr>
          <w:sdtContent>
            <w:tc>
              <w:tcPr>
                <w:tcW w:w="92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第二层次公允价值计量</w:t>
                </w:r>
              </w:p>
            </w:tc>
          </w:sdtContent>
        </w:sdt>
        <w:sdt>
          <w:sdtPr>
            <w:rPr>
              <w:szCs w:val="21"/>
            </w:rPr>
            <w:tag w:val="_PLD_4cb787262d4b4096b0d321ac48721dd2"/>
            <w:id w:val="-1040354130"/>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第三层次公允价值计量</w:t>
                </w:r>
              </w:p>
            </w:tc>
          </w:sdtContent>
        </w:sdt>
        <w:sdt>
          <w:sdtPr>
            <w:rPr>
              <w:szCs w:val="21"/>
            </w:rPr>
            <w:tag w:val="_PLD_fb89c54d0c8e4fe2990587a96b78b5ca"/>
            <w:id w:val="-2058311166"/>
          </w:sdtPr>
          <w:sdtContent>
            <w:tc>
              <w:tcPr>
                <w:tcW w:w="83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outlineLvl w:val="2"/>
                  <w:rPr>
                    <w:rFonts w:cs="Cambria"/>
                    <w:szCs w:val="21"/>
                  </w:rPr>
                </w:pPr>
                <w:r>
                  <w:rPr>
                    <w:rFonts w:cs="Cambria" w:hint="eastAsia"/>
                    <w:szCs w:val="21"/>
                  </w:rPr>
                  <w:t>合计</w:t>
                </w:r>
              </w:p>
            </w:tc>
          </w:sdtContent>
        </w:sdt>
      </w:tr>
      <w:tr>
        <w:trPr>
          <w:trHeight w:val="227"/>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1.交易性金融资产</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szCs w:val="21"/>
              </w:rPr>
              <w:t>256</w:t>
            </w: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166,516</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166,772</w:t>
            </w:r>
          </w:p>
        </w:tc>
      </w:tr>
      <w:tr>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2.应收款项融资</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2,979,968</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2,979,968</w:t>
            </w:r>
          </w:p>
        </w:tc>
      </w:tr>
      <w:tr>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3.其他权益工具投资</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szCs w:val="21"/>
              </w:rPr>
              <w:t>-20</w:t>
            </w: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116,645</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116,625</w:t>
            </w:r>
          </w:p>
        </w:tc>
      </w:tr>
      <w:tr>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4.其他非流动金融资产</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1,447,143</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1,447,143</w:t>
            </w:r>
          </w:p>
        </w:tc>
      </w:tr>
      <w:tr>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5.交易性金融负债</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538,427</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538,427</w:t>
            </w:r>
          </w:p>
        </w:tc>
      </w:tr>
      <w:tr>
        <w:trPr>
          <w:trHeight w:val="240"/>
        </w:trPr>
        <w:tc>
          <w:tcPr>
            <w:tcW w:w="1339"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6.投资性房地产</w:t>
            </w:r>
          </w:p>
        </w:tc>
        <w:tc>
          <w:tcPr>
            <w:tcW w:w="944"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22"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959"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1,234,824</w:t>
            </w:r>
          </w:p>
        </w:tc>
        <w:tc>
          <w:tcPr>
            <w:tcW w:w="83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1,234,824</w:t>
            </w:r>
          </w:p>
        </w:tc>
      </w:tr>
    </w:tbl>
    <w:p>
      <w:pPr>
        <w:pStyle w:val="affffffffffffffffffffffffffffffffe"/>
      </w:pPr>
    </w:p>
    <w:bookmarkEnd w:id="489"/>
    <w:bookmarkEnd w:id="490"/>
    <w:p>
      <w:pPr>
        <w:pStyle w:val="afffffffffffffffffffffffffffffffff0"/>
        <w:numPr>
          <w:ilvl w:val="0"/>
          <w:numId w:val="139"/>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是否适用：持续和非持续第一层次公允价值计量项目市价的确定依据[双击切换]"/>
        <w:tag w:val="_GBC_fc42dd94906341819da0f825b0c88571"/>
        <w:id w:val="1964227244"/>
        <w:placeholder>
          <w:docPart w:val="GBC22222222222222222222222222222"/>
        </w:placeholder>
      </w:sdtPr>
      <w:sdtContent>
        <w:p>
          <w:pPr>
            <w:rPr>
              <w:rFonts w:cs="Arial"/>
              <w:szCs w:val="21"/>
            </w:rPr>
          </w:pPr>
          <w:r>
            <w:rPr>
              <w:rFonts w:cs="Arial"/>
              <w:szCs w:val="21"/>
            </w:rPr>
            <w:fldChar w:fldCharType="begin"/>
          </w:r>
          <w:r>
            <w:rPr>
              <w:rFonts w:cs="Arial"/>
              <w:szCs w:val="21"/>
            </w:rPr>
            <w:instrText xml:space="preserve"> 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
      <w:sdtPr>
        <w:rPr>
          <w:rFonts w:cs="Arial" w:hint="eastAsia"/>
          <w:szCs w:val="21"/>
        </w:rPr>
        <w:alias w:val="持续和非持续第一层次公允价值计量项目市价的确定依据"/>
        <w:tag w:val="_GBC_8db65a2ca59047da919942f97cfc594e"/>
        <w:id w:val="-1073970859"/>
        <w:placeholder>
          <w:docPart w:val="GBC22222222222222222222222222222"/>
        </w:placeholder>
      </w:sdtPr>
      <w:sdtContent>
        <w:tbl>
          <w:tblPr>
            <w:tblStyle w:val="affffffffff8"/>
            <w:tblW w:w="54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2857"/>
            <w:gridCol w:w="2855"/>
          </w:tblGrid>
          <w:tr>
            <w:trPr>
              <w:trHeight w:val="397"/>
              <w:tblHeader/>
              <w:jc w:val="center"/>
            </w:trPr>
            <w:tc>
              <w:tcPr>
                <w:tcW w:w="1969" w:type="pct"/>
                <w:shd w:val="clear" w:color="auto" w:fill="auto"/>
                <w:vAlign w:val="center"/>
              </w:tcPr>
              <w:p>
                <w:pPr>
                  <w:jc w:val="center"/>
                  <w:rPr>
                    <w:b/>
                    <w:bCs/>
                    <w:color w:val="000000"/>
                    <w:szCs w:val="21"/>
                  </w:rPr>
                </w:pPr>
                <w:r>
                  <w:rPr>
                    <w:rFonts w:hint="eastAsia"/>
                    <w:b/>
                    <w:bCs/>
                    <w:color w:val="000000"/>
                    <w:szCs w:val="21"/>
                  </w:rPr>
                  <w:t>项目</w:t>
                </w:r>
              </w:p>
            </w:tc>
            <w:tc>
              <w:tcPr>
                <w:tcW w:w="1516" w:type="pct"/>
                <w:shd w:val="clear" w:color="auto" w:fill="auto"/>
                <w:vAlign w:val="center"/>
              </w:tcPr>
              <w:p>
                <w:pPr>
                  <w:jc w:val="center"/>
                  <w:rPr>
                    <w:b/>
                    <w:bCs/>
                    <w:color w:val="000000"/>
                    <w:szCs w:val="21"/>
                  </w:rPr>
                </w:pPr>
                <w:r>
                  <w:rPr>
                    <w:rFonts w:hint="eastAsia"/>
                    <w:b/>
                    <w:bCs/>
                    <w:color w:val="000000"/>
                    <w:szCs w:val="21"/>
                  </w:rPr>
                  <w:t>公允价值计量依据</w:t>
                </w:r>
              </w:p>
            </w:tc>
            <w:tc>
              <w:tcPr>
                <w:tcW w:w="1516" w:type="pct"/>
                <w:shd w:val="clear" w:color="auto" w:fill="auto"/>
                <w:vAlign w:val="center"/>
              </w:tcPr>
              <w:p>
                <w:pPr>
                  <w:jc w:val="center"/>
                  <w:rPr>
                    <w:b/>
                    <w:bCs/>
                    <w:color w:val="000000"/>
                    <w:szCs w:val="21"/>
                  </w:rPr>
                </w:pPr>
                <w:r>
                  <w:rPr>
                    <w:rFonts w:hint="eastAsia"/>
                    <w:b/>
                    <w:bCs/>
                    <w:color w:val="000000"/>
                    <w:szCs w:val="21"/>
                  </w:rPr>
                  <w:t>科目</w:t>
                </w:r>
              </w:p>
            </w:tc>
          </w:tr>
          <w:tr>
            <w:trPr>
              <w:trHeight w:val="397"/>
              <w:jc w:val="center"/>
            </w:trPr>
            <w:tc>
              <w:tcPr>
                <w:tcW w:w="1969" w:type="pct"/>
                <w:shd w:val="clear" w:color="auto" w:fill="auto"/>
                <w:vAlign w:val="center"/>
              </w:tcPr>
              <w:p>
                <w:pPr>
                  <w:rPr>
                    <w:color w:val="000000"/>
                    <w:szCs w:val="21"/>
                  </w:rPr>
                </w:pPr>
                <w:r>
                  <w:rPr>
                    <w:rFonts w:hint="eastAsia"/>
                    <w:color w:val="000000"/>
                    <w:szCs w:val="21"/>
                  </w:rPr>
                  <w:t>江苏连云港港口股份有限公司</w:t>
                </w:r>
              </w:p>
            </w:tc>
            <w:tc>
              <w:tcPr>
                <w:tcW w:w="1516" w:type="pct"/>
                <w:shd w:val="clear" w:color="auto" w:fill="auto"/>
                <w:vAlign w:val="center"/>
              </w:tcPr>
              <w:p>
                <w:pPr>
                  <w:jc w:val="center"/>
                  <w:rPr>
                    <w:color w:val="000000"/>
                    <w:szCs w:val="21"/>
                  </w:rPr>
                </w:pPr>
                <w:r>
                  <w:rPr>
                    <w:rFonts w:hint="eastAsia"/>
                    <w:color w:val="000000"/>
                    <w:szCs w:val="21"/>
                  </w:rPr>
                  <w:t>股票收盘价</w:t>
                </w:r>
              </w:p>
            </w:tc>
            <w:tc>
              <w:tcPr>
                <w:tcW w:w="1516" w:type="pct"/>
                <w:shd w:val="clear" w:color="auto" w:fill="auto"/>
                <w:vAlign w:val="center"/>
              </w:tcPr>
              <w:p>
                <w:pPr>
                  <w:jc w:val="center"/>
                  <w:rPr>
                    <w:color w:val="000000"/>
                    <w:szCs w:val="21"/>
                  </w:rPr>
                </w:pPr>
                <w:r>
                  <w:rPr>
                    <w:rFonts w:hint="eastAsia"/>
                    <w:color w:val="000000"/>
                    <w:szCs w:val="21"/>
                  </w:rPr>
                  <w:t>其他权益工具投资</w:t>
                </w:r>
              </w:p>
            </w:tc>
          </w:tr>
          <w:tr>
            <w:trPr>
              <w:trHeight w:val="397"/>
              <w:jc w:val="center"/>
            </w:trPr>
            <w:tc>
              <w:tcPr>
                <w:tcW w:w="1969" w:type="pct"/>
                <w:shd w:val="clear" w:color="auto" w:fill="auto"/>
                <w:vAlign w:val="center"/>
              </w:tcPr>
              <w:p>
                <w:pPr>
                  <w:rPr>
                    <w:color w:val="000000"/>
                    <w:szCs w:val="21"/>
                  </w:rPr>
                </w:pPr>
                <w:r>
                  <w:rPr>
                    <w:rFonts w:hint="eastAsia"/>
                    <w:color w:val="000000"/>
                    <w:szCs w:val="21"/>
                  </w:rPr>
                  <w:t>力帆科技（集团）股份有限公司</w:t>
                </w:r>
              </w:p>
            </w:tc>
            <w:tc>
              <w:tcPr>
                <w:tcW w:w="1516" w:type="pct"/>
                <w:shd w:val="clear" w:color="auto" w:fill="auto"/>
                <w:vAlign w:val="center"/>
              </w:tcPr>
              <w:p>
                <w:pPr>
                  <w:jc w:val="center"/>
                  <w:rPr>
                    <w:color w:val="000000"/>
                    <w:szCs w:val="21"/>
                  </w:rPr>
                </w:pPr>
                <w:r>
                  <w:rPr>
                    <w:rFonts w:hint="eastAsia"/>
                    <w:color w:val="000000"/>
                    <w:szCs w:val="21"/>
                  </w:rPr>
                  <w:t>股票收盘价</w:t>
                </w:r>
              </w:p>
            </w:tc>
            <w:tc>
              <w:tcPr>
                <w:tcW w:w="1516" w:type="pct"/>
                <w:shd w:val="clear" w:color="auto" w:fill="auto"/>
                <w:vAlign w:val="center"/>
              </w:tcPr>
              <w:p>
                <w:pPr>
                  <w:jc w:val="center"/>
                  <w:rPr>
                    <w:color w:val="000000"/>
                    <w:szCs w:val="21"/>
                  </w:rPr>
                </w:pPr>
                <w:r>
                  <w:rPr>
                    <w:rFonts w:hint="eastAsia"/>
                    <w:color w:val="000000"/>
                    <w:szCs w:val="21"/>
                  </w:rPr>
                  <w:t>交易性金融资产</w:t>
                </w:r>
              </w:p>
            </w:tc>
          </w:tr>
        </w:tbl>
        <w:p>
          <w:pPr>
            <w:rPr>
              <w:rFonts w:cs="Arial"/>
              <w:szCs w:val="21"/>
            </w:rPr>
          </w:pPr>
        </w:p>
      </w:sdtContent>
    </w:sdt>
    <w:p>
      <w:pPr>
        <w:tabs>
          <w:tab w:val="left" w:pos="1134"/>
        </w:tabs>
        <w:rPr>
          <w:rFonts w:cs="Cambria"/>
          <w:b/>
          <w:szCs w:val="21"/>
        </w:rPr>
      </w:pPr>
    </w:p>
    <w:p>
      <w:pPr>
        <w:pStyle w:val="afffffffffffffffffffffffffffffffff0"/>
        <w:numPr>
          <w:ilvl w:val="0"/>
          <w:numId w:val="139"/>
        </w:numPr>
      </w:pPr>
      <w:r>
        <w:rPr>
          <w:rFonts w:ascii="宋体" w:hAnsi="宋体" w:cs="Arial" w:hint="eastAsia"/>
          <w:szCs w:val="21"/>
        </w:rPr>
        <w:t>持续和非持续第二层次公允价值计量项目，采用的估值技术和重要参数的定性及定量信息</w:t>
      </w:r>
    </w:p>
    <w:sdt>
      <w:sdtPr>
        <w:rPr>
          <w:rFonts w:cs="Cambria" w:hint="eastAsia"/>
          <w:szCs w:val="21"/>
        </w:rPr>
        <w:alias w:val="是否适用：持续和非持续第二层次公允价值计量项目，采用的估值技术和重要参数的定性及定量信息[双击切换]"/>
        <w:tag w:val="_GBC_524db4de656b4bccac2fc473643fe7a6"/>
        <w:id w:val="-233860066"/>
        <w:placeholder>
          <w:docPart w:val="GBC22222222222222222222222222222"/>
        </w:placeholder>
      </w:sdtPr>
      <w:sdtContent>
        <w:p>
          <w:pPr>
            <w:tabs>
              <w:tab w:val="left" w:pos="1134"/>
            </w:tabs>
            <w:rPr>
              <w:rFonts w:cs="Cambria"/>
              <w:szCs w:val="21"/>
            </w:rPr>
          </w:pPr>
          <w:r>
            <w:rPr>
              <w:rFonts w:cs="Cambria"/>
              <w:szCs w:val="21"/>
            </w:rPr>
            <w:fldChar w:fldCharType="begin"/>
          </w:r>
          <w:r>
            <w:rPr>
              <w:rFonts w:cs="Cambria"/>
              <w:szCs w:val="21"/>
            </w:rPr>
            <w:instrText xml:space="preserve"> 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szCs w:val="21"/>
        </w:rPr>
      </w:pPr>
    </w:p>
    <w:p>
      <w:pPr>
        <w:pStyle w:val="afffffffffffffffffffffffffffffffff0"/>
        <w:numPr>
          <w:ilvl w:val="0"/>
          <w:numId w:val="139"/>
        </w:numPr>
      </w:pPr>
      <w:r>
        <w:rPr>
          <w:rFonts w:ascii="宋体" w:hAnsi="宋体" w:cs="Arial" w:hint="eastAsia"/>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60364422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853304708"/>
        <w:placeholder>
          <w:docPart w:val="GBC22222222222222222222222222222"/>
        </w:placeholder>
      </w:sdtPr>
      <w:sdtContent>
        <w:p>
          <w:pPr>
            <w:rPr>
              <w:szCs w:val="21"/>
            </w:rPr>
          </w:pPr>
        </w:p>
        <w:tbl>
          <w:tblPr>
            <w:tblStyle w:val="affffffffff8"/>
            <w:tblW w:w="60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6"/>
            <w:gridCol w:w="4393"/>
            <w:gridCol w:w="2127"/>
          </w:tblGrid>
          <w:tr>
            <w:trPr>
              <w:trHeight w:val="397"/>
              <w:tblHeader/>
              <w:jc w:val="center"/>
            </w:trPr>
            <w:tc>
              <w:tcPr>
                <w:tcW w:w="1849" w:type="pct"/>
                <w:shd w:val="clear" w:color="auto" w:fill="auto"/>
                <w:vAlign w:val="center"/>
              </w:tcPr>
              <w:p>
                <w:pPr>
                  <w:jc w:val="center"/>
                  <w:rPr>
                    <w:b/>
                    <w:bCs/>
                    <w:color w:val="000000"/>
                    <w:szCs w:val="21"/>
                  </w:rPr>
                </w:pPr>
                <w:r>
                  <w:rPr>
                    <w:rFonts w:hint="eastAsia"/>
                    <w:b/>
                    <w:bCs/>
                    <w:color w:val="000000"/>
                    <w:szCs w:val="21"/>
                  </w:rPr>
                  <w:t>项目</w:t>
                </w:r>
              </w:p>
            </w:tc>
            <w:tc>
              <w:tcPr>
                <w:tcW w:w="2123" w:type="pct"/>
                <w:shd w:val="clear" w:color="auto" w:fill="auto"/>
                <w:vAlign w:val="center"/>
              </w:tcPr>
              <w:p>
                <w:pPr>
                  <w:jc w:val="center"/>
                  <w:rPr>
                    <w:b/>
                    <w:bCs/>
                    <w:color w:val="000000"/>
                    <w:szCs w:val="21"/>
                  </w:rPr>
                </w:pPr>
                <w:r>
                  <w:rPr>
                    <w:rFonts w:hint="eastAsia"/>
                    <w:b/>
                    <w:bCs/>
                    <w:color w:val="000000"/>
                    <w:szCs w:val="21"/>
                  </w:rPr>
                  <w:t>公允价值计量依据</w:t>
                </w:r>
              </w:p>
            </w:tc>
            <w:tc>
              <w:tcPr>
                <w:tcW w:w="1028" w:type="pct"/>
                <w:shd w:val="clear" w:color="auto" w:fill="auto"/>
                <w:vAlign w:val="center"/>
              </w:tcPr>
              <w:p>
                <w:pPr>
                  <w:jc w:val="center"/>
                  <w:rPr>
                    <w:b/>
                    <w:bCs/>
                    <w:color w:val="000000"/>
                    <w:szCs w:val="21"/>
                  </w:rPr>
                </w:pPr>
                <w:r>
                  <w:rPr>
                    <w:rFonts w:hint="eastAsia"/>
                    <w:b/>
                    <w:bCs/>
                    <w:color w:val="000000"/>
                    <w:szCs w:val="21"/>
                  </w:rPr>
                  <w:t>科目</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特别收益权</w:t>
                </w:r>
              </w:p>
            </w:tc>
            <w:tc>
              <w:tcPr>
                <w:tcW w:w="2123" w:type="pct"/>
                <w:shd w:val="clear" w:color="auto" w:fill="auto"/>
                <w:vAlign w:val="center"/>
              </w:tcPr>
              <w:p>
                <w:pPr>
                  <w:rPr>
                    <w:color w:val="000000"/>
                    <w:szCs w:val="21"/>
                  </w:rPr>
                </w:pPr>
                <w:r>
                  <w:rPr>
                    <w:rFonts w:hint="eastAsia"/>
                    <w:color w:val="000000"/>
                    <w:szCs w:val="21"/>
                  </w:rPr>
                  <w:t>按照未来现金流量折现后的现值进行估值</w:t>
                </w:r>
              </w:p>
            </w:tc>
            <w:tc>
              <w:tcPr>
                <w:tcW w:w="1028" w:type="pct"/>
                <w:shd w:val="clear" w:color="auto" w:fill="auto"/>
                <w:vAlign w:val="center"/>
              </w:tcPr>
              <w:p>
                <w:pPr>
                  <w:jc w:val="center"/>
                  <w:rPr>
                    <w:color w:val="000000"/>
                    <w:szCs w:val="21"/>
                  </w:rPr>
                </w:pPr>
                <w:r>
                  <w:rPr>
                    <w:rFonts w:hint="eastAsia"/>
                    <w:color w:val="000000"/>
                    <w:szCs w:val="21"/>
                  </w:rPr>
                  <w:t>其他权益工具投资、</w:t>
                </w:r>
              </w:p>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非或然特许权使用费</w:t>
                </w:r>
              </w:p>
            </w:tc>
            <w:tc>
              <w:tcPr>
                <w:tcW w:w="2123" w:type="pct"/>
                <w:shd w:val="clear" w:color="auto" w:fill="auto"/>
                <w:vAlign w:val="center"/>
              </w:tcPr>
              <w:p>
                <w:pPr>
                  <w:rPr>
                    <w:color w:val="000000"/>
                    <w:szCs w:val="21"/>
                  </w:rPr>
                </w:pPr>
                <w:r>
                  <w:rPr>
                    <w:rFonts w:hint="eastAsia"/>
                    <w:color w:val="000000"/>
                    <w:szCs w:val="21"/>
                  </w:rPr>
                  <w:t>按照未来现金流量折现后的现值进行估值</w:t>
                </w:r>
              </w:p>
            </w:tc>
            <w:tc>
              <w:tcPr>
                <w:tcW w:w="1028" w:type="pct"/>
                <w:shd w:val="clear" w:color="auto" w:fill="auto"/>
                <w:vAlign w:val="center"/>
              </w:tcPr>
              <w:p>
                <w:pPr>
                  <w:jc w:val="center"/>
                  <w:rPr>
                    <w:color w:val="000000"/>
                    <w:szCs w:val="21"/>
                  </w:rPr>
                </w:pPr>
                <w:r>
                  <w:rPr>
                    <w:rFonts w:hint="eastAsia"/>
                    <w:color w:val="000000"/>
                    <w:szCs w:val="21"/>
                  </w:rPr>
                  <w:t>交易性金融负债</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银行承兑汇票及信用证</w:t>
                </w:r>
              </w:p>
            </w:tc>
            <w:tc>
              <w:tcPr>
                <w:tcW w:w="2123" w:type="pct"/>
                <w:shd w:val="clear" w:color="auto" w:fill="auto"/>
                <w:vAlign w:val="center"/>
              </w:tcPr>
              <w:p>
                <w:pPr>
                  <w:rPr>
                    <w:color w:val="000000"/>
                    <w:szCs w:val="21"/>
                  </w:rPr>
                </w:pPr>
                <w:r>
                  <w:rPr>
                    <w:rFonts w:hint="eastAsia"/>
                    <w:color w:val="000000"/>
                    <w:szCs w:val="21"/>
                  </w:rPr>
                  <w:t>相当于整个存续期内预期信用损失的金额</w:t>
                </w:r>
              </w:p>
            </w:tc>
            <w:tc>
              <w:tcPr>
                <w:tcW w:w="1028" w:type="pct"/>
                <w:shd w:val="clear" w:color="auto" w:fill="auto"/>
                <w:vAlign w:val="center"/>
              </w:tcPr>
              <w:p>
                <w:pPr>
                  <w:jc w:val="center"/>
                  <w:rPr>
                    <w:color w:val="000000"/>
                    <w:szCs w:val="21"/>
                  </w:rPr>
                </w:pPr>
                <w:r>
                  <w:rPr>
                    <w:rFonts w:hint="eastAsia"/>
                    <w:color w:val="000000"/>
                    <w:szCs w:val="21"/>
                  </w:rPr>
                  <w:t>应收款项融资</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鄂尔多斯南部铁路有限责任公司</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杭州时代鼎丰创业投资合伙企业(有限合伙)</w:t>
                </w:r>
              </w:p>
            </w:tc>
            <w:tc>
              <w:tcPr>
                <w:tcW w:w="2123" w:type="pct"/>
                <w:shd w:val="clear" w:color="auto" w:fill="auto"/>
                <w:vAlign w:val="center"/>
              </w:tcPr>
              <w:p>
                <w:pPr>
                  <w:rPr>
                    <w:color w:val="000000"/>
                    <w:szCs w:val="21"/>
                  </w:rPr>
                </w:pPr>
                <w:r>
                  <w:rPr>
                    <w:rFonts w:hint="eastAsia"/>
                    <w:color w:val="000000"/>
                    <w:szCs w:val="21"/>
                  </w:rPr>
                  <w:t>按照基金净值进行估值</w:t>
                </w:r>
              </w:p>
            </w:tc>
            <w:tc>
              <w:tcPr>
                <w:tcW w:w="1028" w:type="pct"/>
                <w:shd w:val="clear" w:color="auto" w:fill="auto"/>
                <w:vAlign w:val="center"/>
              </w:tcPr>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上海骥琛企业管理合伙企业（有限合伙）</w:t>
                </w:r>
              </w:p>
            </w:tc>
            <w:tc>
              <w:tcPr>
                <w:tcW w:w="2123" w:type="pct"/>
                <w:shd w:val="clear" w:color="auto" w:fill="auto"/>
                <w:vAlign w:val="center"/>
              </w:tcPr>
              <w:p>
                <w:pPr>
                  <w:rPr>
                    <w:color w:val="000000"/>
                    <w:szCs w:val="21"/>
                  </w:rPr>
                </w:pPr>
                <w:r>
                  <w:rPr>
                    <w:rFonts w:hint="eastAsia"/>
                    <w:color w:val="000000"/>
                    <w:szCs w:val="21"/>
                  </w:rPr>
                  <w:t>按照合伙企业净资产进行估值</w:t>
                </w:r>
              </w:p>
            </w:tc>
            <w:tc>
              <w:tcPr>
                <w:tcW w:w="1028" w:type="pct"/>
                <w:shd w:val="clear" w:color="auto" w:fill="auto"/>
                <w:vAlign w:val="center"/>
              </w:tcPr>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陕西靖神铁路有限责任公司</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榆林市榆阳区煤矿疏干水环境治理有限公司</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其他非流动金融资产</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山东邹城建信村镇银行有限公司</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其他权益工具投资</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天津物产二号企业管理合伙企业（有限合伙）</w:t>
                </w:r>
              </w:p>
            </w:tc>
            <w:tc>
              <w:tcPr>
                <w:tcW w:w="2123" w:type="pct"/>
                <w:shd w:val="clear" w:color="auto" w:fill="auto"/>
                <w:vAlign w:val="center"/>
              </w:tcPr>
              <w:p>
                <w:pPr>
                  <w:rPr>
                    <w:color w:val="000000"/>
                    <w:szCs w:val="21"/>
                  </w:rPr>
                </w:pPr>
                <w:r>
                  <w:rPr>
                    <w:rFonts w:hint="eastAsia"/>
                    <w:color w:val="000000"/>
                    <w:szCs w:val="21"/>
                  </w:rPr>
                  <w:t>按照收益法、市场法和资产基础法进行估值</w:t>
                </w:r>
              </w:p>
            </w:tc>
            <w:tc>
              <w:tcPr>
                <w:tcW w:w="1028" w:type="pct"/>
                <w:shd w:val="clear" w:color="auto" w:fill="auto"/>
                <w:vAlign w:val="center"/>
              </w:tcPr>
              <w:p>
                <w:pPr>
                  <w:jc w:val="center"/>
                  <w:rPr>
                    <w:color w:val="000000"/>
                    <w:szCs w:val="21"/>
                  </w:rPr>
                </w:pPr>
                <w:r>
                  <w:rPr>
                    <w:rFonts w:hint="eastAsia"/>
                    <w:color w:val="000000"/>
                    <w:szCs w:val="21"/>
                  </w:rPr>
                  <w:t>其他权益工具投资</w:t>
                </w:r>
              </w:p>
            </w:tc>
          </w:tr>
          <w:tr>
            <w:trPr>
              <w:trHeight w:val="397"/>
              <w:jc w:val="center"/>
            </w:trPr>
            <w:tc>
              <w:tcPr>
                <w:tcW w:w="1849" w:type="pct"/>
                <w:shd w:val="clear" w:color="auto" w:fill="auto"/>
                <w:vAlign w:val="center"/>
              </w:tcPr>
              <w:p>
                <w:pPr>
                  <w:rPr>
                    <w:color w:val="000000"/>
                    <w:szCs w:val="21"/>
                  </w:rPr>
                </w:pPr>
                <w:r>
                  <w:rPr>
                    <w:rFonts w:hint="eastAsia"/>
                    <w:color w:val="000000"/>
                    <w:szCs w:val="21"/>
                  </w:rPr>
                  <w:lastRenderedPageBreak/>
                  <w:t>建信信托-彩蝶6号财产权信托计划</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其他权益工具投资</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天津物产三号企业管理合伙企业（有限合伙）</w:t>
                </w:r>
              </w:p>
            </w:tc>
            <w:tc>
              <w:tcPr>
                <w:tcW w:w="2123" w:type="pct"/>
                <w:shd w:val="clear" w:color="auto" w:fill="auto"/>
                <w:vAlign w:val="center"/>
              </w:tcPr>
              <w:p>
                <w:pPr>
                  <w:rPr>
                    <w:color w:val="000000"/>
                    <w:szCs w:val="21"/>
                  </w:rPr>
                </w:pPr>
                <w:r>
                  <w:rPr>
                    <w:rFonts w:hint="eastAsia"/>
                    <w:color w:val="000000"/>
                    <w:szCs w:val="21"/>
                  </w:rPr>
                  <w:t>按照市场法进行估值</w:t>
                </w:r>
              </w:p>
            </w:tc>
            <w:tc>
              <w:tcPr>
                <w:tcW w:w="1028" w:type="pct"/>
                <w:shd w:val="clear" w:color="auto" w:fill="auto"/>
                <w:vAlign w:val="center"/>
              </w:tcPr>
              <w:p>
                <w:pPr>
                  <w:jc w:val="center"/>
                  <w:rPr>
                    <w:color w:val="000000"/>
                    <w:szCs w:val="21"/>
                  </w:rPr>
                </w:pPr>
                <w:r>
                  <w:rPr>
                    <w:rFonts w:hint="eastAsia"/>
                    <w:color w:val="000000"/>
                    <w:szCs w:val="21"/>
                  </w:rPr>
                  <w:t>其他权益工具投资</w:t>
                </w:r>
              </w:p>
            </w:tc>
          </w:tr>
          <w:tr>
            <w:trPr>
              <w:trHeight w:val="397"/>
              <w:jc w:val="center"/>
            </w:trPr>
            <w:tc>
              <w:tcPr>
                <w:tcW w:w="1849" w:type="pct"/>
                <w:shd w:val="clear" w:color="auto" w:fill="auto"/>
                <w:vAlign w:val="center"/>
              </w:tcPr>
              <w:p>
                <w:pPr>
                  <w:rPr>
                    <w:color w:val="000000"/>
                    <w:szCs w:val="21"/>
                  </w:rPr>
                </w:pPr>
                <w:r>
                  <w:rPr>
                    <w:rFonts w:hint="eastAsia"/>
                    <w:color w:val="000000"/>
                    <w:szCs w:val="21"/>
                  </w:rPr>
                  <w:t>对外出租房屋</w:t>
                </w:r>
              </w:p>
            </w:tc>
            <w:tc>
              <w:tcPr>
                <w:tcW w:w="2123" w:type="pct"/>
                <w:shd w:val="clear" w:color="auto" w:fill="auto"/>
                <w:vAlign w:val="center"/>
              </w:tcPr>
              <w:p>
                <w:pPr>
                  <w:rPr>
                    <w:color w:val="000000"/>
                    <w:szCs w:val="21"/>
                  </w:rPr>
                </w:pPr>
                <w:r>
                  <w:rPr>
                    <w:rFonts w:hint="eastAsia"/>
                    <w:color w:val="000000"/>
                    <w:szCs w:val="21"/>
                  </w:rPr>
                  <w:t>参照活跃市场上同类或科目对外出租房屋类似房地产的现行市场</w:t>
                </w:r>
              </w:p>
            </w:tc>
            <w:tc>
              <w:tcPr>
                <w:tcW w:w="1028" w:type="pct"/>
                <w:shd w:val="clear" w:color="auto" w:fill="auto"/>
                <w:vAlign w:val="center"/>
              </w:tcPr>
              <w:p>
                <w:pPr>
                  <w:jc w:val="center"/>
                  <w:rPr>
                    <w:color w:val="000000"/>
                    <w:szCs w:val="21"/>
                  </w:rPr>
                </w:pPr>
                <w:r>
                  <w:rPr>
                    <w:rFonts w:hint="eastAsia"/>
                    <w:color w:val="000000"/>
                    <w:szCs w:val="21"/>
                  </w:rPr>
                  <w:t>投资性房地产价格</w:t>
                </w:r>
              </w:p>
            </w:tc>
          </w:tr>
        </w:tbl>
        <w:p>
          <w:pPr>
            <w:rPr>
              <w:szCs w:val="21"/>
            </w:rPr>
          </w:pPr>
        </w:p>
      </w:sdtContent>
    </w:sdt>
    <w:p>
      <w:pPr>
        <w:tabs>
          <w:tab w:val="left" w:pos="1134"/>
        </w:tabs>
        <w:rPr>
          <w:rFonts w:cs="Cambria"/>
          <w:b/>
          <w:szCs w:val="21"/>
        </w:rPr>
      </w:pPr>
    </w:p>
    <w:p>
      <w:pPr>
        <w:pStyle w:val="afffffffffffffffffffffffffffffffff0"/>
        <w:numPr>
          <w:ilvl w:val="0"/>
          <w:numId w:val="139"/>
        </w:numPr>
        <w:ind w:left="0" w:firstLine="0"/>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93505154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p>
      <w:pPr>
        <w:pStyle w:val="afffffffffffffffffffffffffffffffff0"/>
        <w:numPr>
          <w:ilvl w:val="0"/>
          <w:numId w:val="139"/>
        </w:numPr>
        <w:ind w:left="0" w:firstLine="0"/>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10627394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p>
      <w:pPr>
        <w:pStyle w:val="afffffffffffffffffffffffffffffffff0"/>
        <w:numPr>
          <w:ilvl w:val="0"/>
          <w:numId w:val="139"/>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64434347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heme="minorBidi"/>
          <w:szCs w:val="21"/>
        </w:rPr>
      </w:pPr>
    </w:p>
    <w:p>
      <w:pPr>
        <w:pStyle w:val="afffffffffffffffffffffffffffffffff0"/>
        <w:numPr>
          <w:ilvl w:val="0"/>
          <w:numId w:val="139"/>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是否适用：不以公允价值计量的金融资产和金融负债的公允价值情况[双击切换]"/>
        <w:tag w:val="_GBC_734377ec924449c3ae79732fec24b52d"/>
        <w:id w:val="550045323"/>
        <w:placeholder>
          <w:docPart w:val="GBC22222222222222222222222222222"/>
        </w:placeholder>
      </w:sdtPr>
      <w:sdtContent>
        <w:p>
          <w:pPr>
            <w:rPr>
              <w:rFonts w:cstheme="minorBidi"/>
              <w:szCs w:val="21"/>
            </w:rPr>
          </w:pPr>
          <w:r>
            <w:rPr>
              <w:rFonts w:cstheme="minorBidi"/>
              <w:szCs w:val="21"/>
            </w:rPr>
            <w:fldChar w:fldCharType="begin"/>
          </w:r>
          <w:r>
            <w:rPr>
              <w:rFonts w:cstheme="minorBidi"/>
              <w:szCs w:val="21"/>
            </w:rPr>
            <w:instrText xml:space="preserve"> 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p>
      <w:pPr>
        <w:rPr>
          <w:rFonts w:cstheme="minorBidi"/>
          <w:szCs w:val="21"/>
        </w:rPr>
      </w:pPr>
    </w:p>
    <w:p>
      <w:pPr>
        <w:pStyle w:val="afffffffffffffffffffffffffffffffff0"/>
        <w:numPr>
          <w:ilvl w:val="0"/>
          <w:numId w:val="139"/>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54817905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2"/>
        <w:numPr>
          <w:ilvl w:val="0"/>
          <w:numId w:val="155"/>
        </w:numPr>
        <w:rPr>
          <w:rFonts w:ascii="宋体" w:hAnsi="宋体"/>
        </w:rPr>
      </w:pPr>
      <w:r>
        <w:rPr>
          <w:rFonts w:ascii="宋体" w:hAnsi="宋体" w:hint="eastAsia"/>
        </w:rPr>
        <w:t>关联方及关联交易</w:t>
      </w:r>
    </w:p>
    <w:p>
      <w:pPr>
        <w:pStyle w:val="affffffffffffffffff6"/>
        <w:numPr>
          <w:ilvl w:val="0"/>
          <w:numId w:val="189"/>
        </w:numPr>
      </w:pPr>
      <w:r>
        <w:rPr>
          <w:rFonts w:hint="eastAsia"/>
        </w:rPr>
        <w:t>本企业的母公司情况</w:t>
      </w:r>
    </w:p>
    <w:sdt>
      <w:sdtPr>
        <w:rPr>
          <w:rFonts w:hint="eastAsia"/>
        </w:rPr>
        <w:alias w:val="是否适用：本企业的母公司情况[双击切换]"/>
        <w:tag w:val="_GBC_fe5dd4a2c9ad405db72189e05b735e0c"/>
        <w:id w:val="1817992961"/>
      </w:sdtPr>
      <w:sdtContent>
        <w:p>
          <w:pPr>
            <w:pStyle w:val="affffffffffffffffff3"/>
          </w:pPr>
          <w:r>
            <w:fldChar w:fldCharType="begin"/>
          </w:r>
          <w:r>
            <w:instrText xml:space="preserve"> </w:instrText>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231826560"/>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413237626"/>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3"/>
        <w:gridCol w:w="1169"/>
        <w:gridCol w:w="1386"/>
        <w:gridCol w:w="1386"/>
        <w:gridCol w:w="1594"/>
        <w:gridCol w:w="1721"/>
      </w:tblGrid>
      <w:tr>
        <w:trPr>
          <w:trHeight w:val="842"/>
        </w:trPr>
        <w:sdt>
          <w:sdtPr>
            <w:tag w:val="_PLD_78501cc34b694302b18c1ea75399510e"/>
            <w:id w:val="1023667719"/>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母公司名称</w:t>
                </w:r>
              </w:p>
            </w:tc>
          </w:sdtContent>
        </w:sdt>
        <w:sdt>
          <w:sdtPr>
            <w:tag w:val="_PLD_9cf29fdb6dc54a2ca1191c007bb19ceb"/>
            <w:id w:val="-213589162"/>
          </w:sdtPr>
          <w:sdtContent>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注册地</w:t>
                </w:r>
              </w:p>
            </w:tc>
          </w:sdtContent>
        </w:sdt>
        <w:sdt>
          <w:sdtPr>
            <w:tag w:val="_PLD_738e924675434f8ea1a19e9f01f12c6a"/>
            <w:id w:val="-1032727015"/>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业务性质</w:t>
                </w:r>
              </w:p>
            </w:tc>
          </w:sdtContent>
        </w:sdt>
        <w:sdt>
          <w:sdtPr>
            <w:tag w:val="_PLD_8f8ae05947724183906b020ada85e914"/>
            <w:id w:val="-410780406"/>
          </w:sdtPr>
          <w:sdtContent>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注册资本</w:t>
                </w:r>
              </w:p>
            </w:tc>
          </w:sdtContent>
        </w:sdt>
        <w:sdt>
          <w:sdtPr>
            <w:tag w:val="_PLD_41f7f469dbcc4ee39514954cb008b0a4"/>
            <w:id w:val="-398049863"/>
          </w:sdtPr>
          <w:sdtContent>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母公司对本企业的持股比例</w:t>
                </w:r>
                <w:r>
                  <w:rPr>
                    <w:rFonts w:cs="Cambria"/>
                    <w:szCs w:val="21"/>
                  </w:rPr>
                  <w:t>(%)</w:t>
                </w:r>
              </w:p>
            </w:tc>
          </w:sdtContent>
        </w:sdt>
        <w:sdt>
          <w:sdtPr>
            <w:tag w:val="_PLD_dab7bc4321ca44eb9d8565239cbf42f7"/>
            <w:id w:val="832880823"/>
          </w:sdtPr>
          <w:sdtContent>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母公司对本企业的表决权比例</w:t>
                </w:r>
                <w:r>
                  <w:rPr>
                    <w:rFonts w:cs="Cambria"/>
                    <w:szCs w:val="21"/>
                  </w:rPr>
                  <w:t>(%)</w:t>
                </w:r>
              </w:p>
            </w:tc>
          </w:sdtContent>
        </w:sdt>
      </w:tr>
      <w:sdt>
        <w:sdtPr>
          <w:rPr>
            <w:rFonts w:cs="Cambria"/>
            <w:szCs w:val="21"/>
          </w:rPr>
          <w:alias w:val="本企业的母公司情况明细"/>
          <w:tag w:val="_GBC_e3a0ec4880544cc4ad472a056e28a2a2"/>
          <w:id w:val="-1833447904"/>
        </w:sdtPr>
        <w:sdtContent>
          <w:tr>
            <w:trPr>
              <w:trHeight w:val="255"/>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Cambria"/>
                    <w:szCs w:val="21"/>
                  </w:rPr>
                </w:pPr>
                <w:r>
                  <w:rPr>
                    <w:rFonts w:hint="eastAsia"/>
                    <w:szCs w:val="21"/>
                  </w:rPr>
                  <w:t>山东能源集团有限公司</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Cambria"/>
                    <w:szCs w:val="21"/>
                  </w:rPr>
                </w:pPr>
                <w:r>
                  <w:rPr>
                    <w:rFonts w:hint="eastAsia"/>
                    <w:szCs w:val="21"/>
                  </w:rPr>
                  <w:t>山东济南</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pPr>
                  <w:rPr>
                    <w:rFonts w:cs="Cambria"/>
                    <w:szCs w:val="21"/>
                  </w:rPr>
                </w:pPr>
                <w:r>
                  <w:rPr>
                    <w:rFonts w:hint="eastAsia"/>
                    <w:szCs w:val="21"/>
                  </w:rPr>
                  <w:t>煤炭等资源型产品、煤电、煤化工、高端装备制造等。</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Cambria"/>
                    <w:szCs w:val="21"/>
                  </w:rPr>
                </w:pPr>
                <w:r>
                  <w:rPr>
                    <w:szCs w:val="21"/>
                  </w:rPr>
                  <w:t>30,200,000</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Cambria"/>
                    <w:szCs w:val="21"/>
                  </w:rPr>
                </w:pPr>
                <w:r>
                  <w:rPr>
                    <w:rFonts w:hint="eastAsia"/>
                    <w:szCs w:val="21"/>
                  </w:rPr>
                  <w:t>52.</w:t>
                </w:r>
                <w:r>
                  <w:rPr>
                    <w:szCs w:val="21"/>
                  </w:rPr>
                  <w:t>83</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cs="Cambria"/>
                    <w:szCs w:val="21"/>
                  </w:rPr>
                </w:pPr>
                <w:r>
                  <w:rPr>
                    <w:rFonts w:hint="eastAsia"/>
                    <w:szCs w:val="21"/>
                  </w:rPr>
                  <w:t>52.</w:t>
                </w:r>
                <w:r>
                  <w:rPr>
                    <w:szCs w:val="21"/>
                  </w:rPr>
                  <w:t>83</w:t>
                </w:r>
              </w:p>
            </w:tc>
          </w:tr>
        </w:sdtContent>
      </w:sdt>
    </w:tbl>
    <w:p>
      <w:pPr>
        <w:tabs>
          <w:tab w:val="left" w:pos="1134"/>
        </w:tabs>
        <w:rPr>
          <w:rFonts w:cs="Cambria"/>
          <w:szCs w:val="21"/>
        </w:rPr>
      </w:pPr>
      <w:r>
        <w:rPr>
          <w:rFonts w:cs="Cambria" w:hint="eastAsia"/>
          <w:szCs w:val="21"/>
        </w:rPr>
        <w:t>本企业的母公司情况的说明</w:t>
      </w:r>
    </w:p>
    <w:sdt>
      <w:sdtPr>
        <w:rPr>
          <w:rFonts w:cs="Cambria"/>
          <w:szCs w:val="21"/>
        </w:rPr>
        <w:alias w:val="本企业的母公司情况的说明"/>
        <w:tag w:val="_GBC_23f67537c1df4d9d9ede9fbc78ad06a4"/>
        <w:id w:val="291170769"/>
      </w:sdtPr>
      <w:sdtContent>
        <w:p>
          <w:pPr>
            <w:tabs>
              <w:tab w:val="left" w:pos="1134"/>
            </w:tabs>
            <w:rPr>
              <w:rFonts w:cs="Cambria"/>
              <w:szCs w:val="21"/>
            </w:rPr>
          </w:pPr>
          <w:r>
            <w:rPr>
              <w:rFonts w:cs="Cambria"/>
              <w:szCs w:val="21"/>
            </w:rPr>
            <w:t>-</w:t>
          </w:r>
        </w:p>
      </w:sdtContent>
    </w:sdt>
    <w:p>
      <w:pPr>
        <w:rPr>
          <w:szCs w:val="21"/>
        </w:rPr>
      </w:pPr>
      <w:r>
        <w:rPr>
          <w:rFonts w:hint="eastAsia"/>
          <w:szCs w:val="21"/>
        </w:rPr>
        <w:t>本企业最终控制方是</w:t>
      </w:r>
      <w:sdt>
        <w:sdtPr>
          <w:rPr>
            <w:rFonts w:hint="eastAsia"/>
            <w:szCs w:val="21"/>
          </w:rPr>
          <w:alias w:val="本企业最终控制方"/>
          <w:tag w:val="_GBC_951a676520994ab7a3822c5f58c20b7d"/>
          <w:id w:val="1973013579"/>
        </w:sdtPr>
        <w:sdtContent>
          <w:r>
            <w:rPr>
              <w:szCs w:val="21"/>
            </w:rPr>
            <w:t>-</w:t>
          </w:r>
        </w:sdtContent>
      </w:sdt>
    </w:p>
    <w:p>
      <w:pPr>
        <w:rPr>
          <w:szCs w:val="21"/>
        </w:rPr>
      </w:pPr>
      <w:r>
        <w:rPr>
          <w:rFonts w:hint="eastAsia"/>
          <w:szCs w:val="21"/>
        </w:rPr>
        <w:t>其他说明：</w:t>
      </w:r>
    </w:p>
    <w:sdt>
      <w:sdtPr>
        <w:rPr>
          <w:szCs w:val="21"/>
        </w:rPr>
        <w:alias w:val="本企业的母公司情况的其他说明"/>
        <w:tag w:val="_GBC_72b4ca7a02944263a74be4174baff4cf"/>
        <w:id w:val="-987006367"/>
      </w:sdtPr>
      <w:sdtContent>
        <w:p>
          <w:pPr>
            <w:rPr>
              <w:szCs w:val="21"/>
            </w:rPr>
          </w:pPr>
          <w:r>
            <w:rPr>
              <w:szCs w:val="21"/>
            </w:rPr>
            <w:t>-</w:t>
          </w:r>
        </w:p>
      </w:sdtContent>
    </w:sdt>
    <w:p>
      <w:pPr>
        <w:pStyle w:val="afffffffffffffffffffffffffffffffff0"/>
        <w:numPr>
          <w:ilvl w:val="0"/>
          <w:numId w:val="189"/>
        </w:numPr>
        <w:rPr>
          <w:rFonts w:ascii="宋体" w:hAnsi="宋体" w:cs="Arial"/>
          <w:szCs w:val="21"/>
        </w:rPr>
      </w:pPr>
      <w:r>
        <w:rPr>
          <w:rFonts w:ascii="宋体" w:hAnsi="宋体" w:cs="Arial" w:hint="eastAsia"/>
          <w:szCs w:val="21"/>
        </w:rPr>
        <w:t>本企业的子公司情况</w:t>
      </w:r>
    </w:p>
    <w:p>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10068570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881529352"/>
        <w:placeholder>
          <w:docPart w:val="GBC22222222222222222222222222222"/>
        </w:placeholder>
      </w:sdtPr>
      <w:sdtContent>
        <w:p>
          <w:pPr>
            <w:autoSpaceDE w:val="0"/>
            <w:autoSpaceDN w:val="0"/>
            <w:adjustRightInd w:val="0"/>
            <w:spacing w:afterLines="50" w:after="156" w:line="360" w:lineRule="exact"/>
            <w:ind w:firstLineChars="200" w:firstLine="420"/>
          </w:pPr>
          <w:r>
            <w:rPr>
              <w:rFonts w:hint="eastAsia"/>
            </w:rPr>
            <w:t>本集团子公司的情况详见附注十、（一）。</w:t>
          </w:r>
        </w:p>
      </w:sdtContent>
    </w:sdt>
    <w:p>
      <w:pPr>
        <w:tabs>
          <w:tab w:val="left" w:pos="1134"/>
        </w:tabs>
        <w:rPr>
          <w:rFonts w:cs="Cambria"/>
          <w:szCs w:val="21"/>
        </w:rPr>
      </w:pPr>
    </w:p>
    <w:p>
      <w:pPr>
        <w:pStyle w:val="afffffffffffffffffffffffffffffffff0"/>
        <w:numPr>
          <w:ilvl w:val="0"/>
          <w:numId w:val="189"/>
        </w:numPr>
      </w:pPr>
      <w:r>
        <w:rPr>
          <w:rFonts w:hint="eastAsia"/>
        </w:rPr>
        <w:t>本企业合营和联营企业情况</w:t>
      </w:r>
    </w:p>
    <w:p>
      <w:pPr>
        <w:pStyle w:val="affffffffffffffffffffffffffffffffe"/>
      </w:pPr>
      <w:r>
        <w:rPr>
          <w:rFonts w:hint="eastAsia"/>
        </w:rPr>
        <w:t>本企业重要的合营或联营企业详见附注</w:t>
      </w:r>
    </w:p>
    <w:sdt>
      <w:sdtPr>
        <w:alias w:val="是否适用：本企业重要的合营或联营企业详见附注[双击切换]"/>
        <w:tag w:val="_GBC_a44d5ddc347344bcaadf8652bc7a927c"/>
        <w:id w:val="-166870111"/>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530523558"/>
        <w:placeholder>
          <w:docPart w:val="GBC22222222222222222222222222222"/>
        </w:placeholder>
      </w:sdtPr>
      <w:sdtContent>
        <w:p>
          <w:pPr>
            <w:autoSpaceDE w:val="0"/>
            <w:autoSpaceDN w:val="0"/>
            <w:adjustRightInd w:val="0"/>
            <w:spacing w:afterLines="50" w:after="156" w:line="360" w:lineRule="exact"/>
            <w:ind w:firstLineChars="200" w:firstLine="420"/>
          </w:pPr>
          <w:r>
            <w:rPr>
              <w:rFonts w:hint="eastAsia"/>
            </w:rPr>
            <w:t>本集团重要的合营或联营企业详见附注十、（三）。</w:t>
          </w:r>
        </w:p>
      </w:sdtContent>
    </w:sdt>
    <w:p>
      <w:pPr>
        <w:pStyle w:val="affffffffffffffffffffffffffffffffe"/>
      </w:pPr>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40349019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4"/>
        <w:gridCol w:w="4795"/>
      </w:tblGrid>
      <w:tr>
        <w:trPr>
          <w:trHeight w:val="284"/>
        </w:trPr>
        <w:sdt>
          <w:sdtPr>
            <w:tag w:val="_PLD_0e6d2a60380d424fbe39edbe16e876ad"/>
            <w:id w:val="-1897194590"/>
          </w:sdtPr>
          <w:sdtContent>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rPr>
                    <w:rFonts w:cs="Cambria"/>
                    <w:szCs w:val="21"/>
                  </w:rPr>
                </w:pPr>
                <w:r>
                  <w:rPr>
                    <w:rFonts w:cs="Cambria" w:hint="eastAsia"/>
                    <w:szCs w:val="21"/>
                  </w:rPr>
                  <w:t>合营或联营企业名称</w:t>
                </w:r>
              </w:p>
            </w:tc>
          </w:sdtContent>
        </w:sdt>
        <w:sdt>
          <w:sdtPr>
            <w:tag w:val="_PLD_7a4c0374bc514021b6a270655cb81e9e"/>
            <w:id w:val="1364712146"/>
          </w:sdtPr>
          <w:sdtContent>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rPr>
                    <w:rFonts w:cs="Cambria"/>
                    <w:szCs w:val="21"/>
                  </w:rPr>
                </w:pPr>
                <w:r>
                  <w:rPr>
                    <w:rFonts w:cs="Cambria" w:hint="eastAsia"/>
                    <w:szCs w:val="21"/>
                  </w:rPr>
                  <w:t>与本企业关系</w:t>
                </w:r>
              </w:p>
            </w:tc>
          </w:sdtContent>
        </w:sdt>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中山矿合营企业</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本公司之合营企业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纽卡斯尔煤炭基础建设集团</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本公司之合营企业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华能供应链平台科技有限公司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本公司之合营企业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山东丰隆智控工业科技有限公司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本公司之合营企业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山东能源（海南）智慧国际科技有限公司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t>WICETHoldingsPtyLtd</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沃拉塔港煤炭服务公司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内蒙古东能能源有限责任公司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内蒙古锦联铝材有限公司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内蒙古霍煤锦联矿业有限责任公司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山东新宝龙工业科技有限公司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德伯特机械（山东）有限公司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伊犁新天煤化工有限责任公司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兖矿清湖生态科技（山东）有限责任公司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内蒙古锦联铝材有限公司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兖矿售电有限公司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济源云工物流有限责任公司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r>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内蒙古矿业资产管理有限责任公司</w:t>
            </w:r>
          </w:p>
        </w:tc>
        <w:tc>
          <w:tcPr>
            <w:tcW w:w="2798" w:type="pct"/>
            <w:tcBorders>
              <w:top w:val="single" w:sz="4" w:space="0" w:color="auto"/>
              <w:left w:val="single" w:sz="4" w:space="0" w:color="auto"/>
              <w:bottom w:val="single" w:sz="4" w:space="0" w:color="auto"/>
              <w:right w:val="single" w:sz="4" w:space="0" w:color="auto"/>
            </w:tcBorders>
            <w:shd w:val="clear" w:color="auto" w:fill="auto"/>
          </w:tcPr>
          <w:p>
            <w:pPr>
              <w:jc w:val="center"/>
            </w:pPr>
            <w:r>
              <w:rPr>
                <w:rFonts w:hint="eastAsia"/>
              </w:rPr>
              <w:t>本公司之联营企业</w:t>
            </w:r>
          </w:p>
        </w:tc>
      </w:tr>
    </w:tbl>
    <w:p>
      <w:pPr>
        <w:tabs>
          <w:tab w:val="left" w:pos="1134"/>
        </w:tabs>
        <w:rPr>
          <w:rFonts w:cs="Cambria"/>
          <w:szCs w:val="21"/>
        </w:rPr>
      </w:pPr>
      <w:r>
        <w:rPr>
          <w:rFonts w:cs="Cambria" w:hint="eastAsia"/>
          <w:szCs w:val="21"/>
        </w:rPr>
        <w:t>其他说明：</w:t>
      </w:r>
    </w:p>
    <w:sdt>
      <w:sdtPr>
        <w:rPr>
          <w:rFonts w:cs="Cambria"/>
          <w:szCs w:val="21"/>
        </w:rPr>
        <w:alias w:val="是否适用：存在关联方交易或余额的合营和联营企业情况说明[双击切换]"/>
        <w:tag w:val="_GBC_491f62bb76ba49c482a64272865cc4a1"/>
        <w:id w:val="598142220"/>
        <w:placeholder>
          <w:docPart w:val="GBC22222222222222222222222222222"/>
        </w:placeholder>
      </w:sdtPr>
      <w:sdtContent>
        <w:p>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tabs>
          <w:tab w:val="left" w:pos="1134"/>
        </w:tabs>
        <w:rPr>
          <w:rFonts w:cs="Cambria"/>
          <w:szCs w:val="21"/>
        </w:rPr>
      </w:pPr>
    </w:p>
    <w:p>
      <w:pPr>
        <w:pStyle w:val="afffffffffffffffffffffffffffffffff0"/>
        <w:numPr>
          <w:ilvl w:val="0"/>
          <w:numId w:val="189"/>
        </w:numPr>
      </w:pPr>
      <w:r>
        <w:rPr>
          <w:rFonts w:hint="eastAsia"/>
        </w:rPr>
        <w:lastRenderedPageBreak/>
        <w:t>其他关联方情况</w:t>
      </w:r>
    </w:p>
    <w:sdt>
      <w:sdtPr>
        <w:alias w:val="是否适用：其他关联方情况[双击切换]"/>
        <w:tag w:val="_GBC_42246b4c04fc4462b5fb05a5db67f4d0"/>
        <w:id w:val="1661572961"/>
        <w:placeholder>
          <w:docPart w:val="GBC22222222222222222222222222222"/>
        </w:placeholder>
      </w:sdtPr>
      <w:sdtContent>
        <w:p>
          <w:pPr>
            <w:pStyle w:val="affffffffffffffffffffffffffffffffe"/>
          </w:pPr>
          <w:r>
            <w:fldChar w:fldCharType="begin"/>
          </w:r>
          <w:r>
            <w:rPr>
              <w:rFonts w:hint="eastAsia"/>
            </w:rP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fffff8"/>
        <w:tblW w:w="5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07"/>
        <w:gridCol w:w="4802"/>
      </w:tblGrid>
      <w:tr>
        <w:trPr>
          <w:trHeight w:val="267"/>
          <w:jc w:val="center"/>
        </w:trPr>
        <w:sdt>
          <w:sdtPr>
            <w:rPr>
              <w:szCs w:val="21"/>
            </w:rPr>
            <w:tag w:val="_PLD_36db3e8c12e04d279b0c2956ad69d8a6"/>
            <w:id w:val="-869301372"/>
          </w:sdtPr>
          <w:sdtContent>
            <w:tc>
              <w:tcPr>
                <w:tcW w:w="2527" w:type="pct"/>
                <w:tcBorders>
                  <w:top w:val="single" w:sz="4" w:space="0" w:color="auto"/>
                  <w:left w:val="single" w:sz="4" w:space="0" w:color="auto"/>
                  <w:bottom w:val="single" w:sz="4" w:space="0" w:color="auto"/>
                  <w:right w:val="single" w:sz="4" w:space="0" w:color="auto"/>
                </w:tcBorders>
                <w:shd w:val="clear" w:color="auto" w:fill="auto"/>
              </w:tcPr>
              <w:p>
                <w:pPr>
                  <w:jc w:val="center"/>
                  <w:rPr>
                    <w:rFonts w:cs="Cambria"/>
                    <w:szCs w:val="21"/>
                  </w:rPr>
                </w:pPr>
                <w:r>
                  <w:rPr>
                    <w:rFonts w:cs="Cambria" w:hint="eastAsia"/>
                    <w:szCs w:val="21"/>
                  </w:rPr>
                  <w:t>其他关联方名称</w:t>
                </w:r>
              </w:p>
            </w:tc>
          </w:sdtContent>
        </w:sdt>
        <w:sdt>
          <w:sdtPr>
            <w:rPr>
              <w:szCs w:val="21"/>
            </w:rPr>
            <w:tag w:val="_PLD_b851a2cc9280416290b9ebf815c49236"/>
            <w:id w:val="-1118214630"/>
          </w:sdtPr>
          <w:sdtContent>
            <w:tc>
              <w:tcPr>
                <w:tcW w:w="2473" w:type="pct"/>
                <w:tcBorders>
                  <w:top w:val="single" w:sz="4" w:space="0" w:color="auto"/>
                  <w:left w:val="single" w:sz="4" w:space="0" w:color="auto"/>
                  <w:bottom w:val="single" w:sz="4" w:space="0" w:color="auto"/>
                  <w:right w:val="single" w:sz="4" w:space="0" w:color="auto"/>
                </w:tcBorders>
                <w:shd w:val="clear" w:color="auto" w:fill="auto"/>
              </w:tcPr>
              <w:p>
                <w:pPr>
                  <w:jc w:val="center"/>
                  <w:rPr>
                    <w:rFonts w:cs="Cambria"/>
                    <w:szCs w:val="21"/>
                  </w:rPr>
                </w:pPr>
                <w:r>
                  <w:rPr>
                    <w:rFonts w:cs="Cambria" w:hint="eastAsia"/>
                    <w:szCs w:val="21"/>
                  </w:rPr>
                  <w:t>其他关联方与本企业关系</w:t>
                </w:r>
              </w:p>
            </w:tc>
          </w:sdtContent>
        </w:sdt>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山东能源集团建工集团有限公司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济宁福兴机械制造有限责任公司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山东兖矿国际焦化有限公司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兖矿国宏化工有限责任公司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山东能源集团易佳供应链管理有限公司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北京探创资源科技股份有限公司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山东兖矿轻合金有限公司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山东兖矿设计咨询有限公司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山东鲁西发电有限公司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山东方大工程有限责任公司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新风光电子科技股份有限公司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兖矿东华集团有限公司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山东能源集团煤炭营销有限公司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北斗天地股份有限公司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兖矿科技有限公司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山东惠济工贸有限公司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山东兖矿工程监理有限公司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山东能源集团有限公司信达酒店</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山东颐养健康集团怡欣医疗发展有限公司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山东能源数字科技有限公司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山东能源集团安保服务有限公司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青岛北斗天地科技有限公司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新汶矿业集团物资供销有限责任公司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盛隆化工有限公司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山东淄矿物产有限公司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兖矿集团博洋对外经济贸易有限公司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济宁亿金物资有限责任公司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同受控股股东控制的其他企业</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山东能源装备集团高端支架制造有限公司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山东华新建筑工程集团有限责任公司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控股股东及最终控制方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山东能源集团营销贸易有限公司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青岛宏锦国际贸易有限公司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山东能源集团国际贸易发展有限公司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lastRenderedPageBreak/>
              <w:t>山东能源集团荣晖国际贸易有限公司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山东泰安煤矿机械有限公司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山西盛隆泰达新能源有限公司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临沂矿业集团有限责任公司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受同一控股股东及最终控制方控制的其他企业</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瑞钢联集团有限公司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山东圣杨木业有限公司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嘉能可有限公司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陕西延长石油（集团）有限责任公司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青岛世纪瑞丰集团有限公司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中峰化学有限公司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贵州开磷集团股份有限公司</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r>
        <w:trPr>
          <w:trHeight w:val="267"/>
          <w:jc w:val="center"/>
        </w:trPr>
        <w:tc>
          <w:tcPr>
            <w:tcW w:w="2527" w:type="pct"/>
            <w:tcBorders>
              <w:top w:val="single" w:sz="4" w:space="0" w:color="auto"/>
              <w:left w:val="single" w:sz="4" w:space="0" w:color="auto"/>
              <w:bottom w:val="single" w:sz="4" w:space="0" w:color="auto"/>
              <w:right w:val="single" w:sz="4" w:space="0" w:color="auto"/>
            </w:tcBorders>
            <w:vAlign w:val="center"/>
          </w:tcPr>
          <w:p>
            <w:pPr>
              <w:spacing w:line="360" w:lineRule="exact"/>
              <w:rPr>
                <w:color w:val="000000"/>
                <w:szCs w:val="21"/>
              </w:rPr>
            </w:pPr>
            <w:r>
              <w:rPr>
                <w:rFonts w:hint="eastAsia"/>
                <w:color w:val="000000"/>
                <w:szCs w:val="21"/>
              </w:rPr>
              <w:t>控股股东及其子公司的联营合营企业</w:t>
            </w:r>
          </w:p>
        </w:tc>
        <w:tc>
          <w:tcPr>
            <w:tcW w:w="2473"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color w:val="000000"/>
                <w:szCs w:val="21"/>
              </w:rPr>
            </w:pPr>
            <w:r>
              <w:rPr>
                <w:rFonts w:hint="eastAsia"/>
                <w:color w:val="000000"/>
                <w:szCs w:val="21"/>
              </w:rPr>
              <w:t>其他关联方</w:t>
            </w:r>
          </w:p>
        </w:tc>
      </w:tr>
    </w:tbl>
    <w:p>
      <w:pPr>
        <w:tabs>
          <w:tab w:val="left" w:pos="1134"/>
        </w:tabs>
        <w:rPr>
          <w:rFonts w:cs="Cambria"/>
          <w:szCs w:val="21"/>
        </w:rPr>
      </w:pPr>
      <w:r>
        <w:rPr>
          <w:rFonts w:cs="Cambria" w:hint="eastAsia"/>
          <w:szCs w:val="21"/>
        </w:rPr>
        <w:t>其他说明：</w:t>
      </w:r>
    </w:p>
    <w:sdt>
      <w:sdtPr>
        <w:rPr>
          <w:rFonts w:cs="Cambria"/>
          <w:szCs w:val="21"/>
        </w:rPr>
        <w:alias w:val="本企业的其他关联方情况的说明"/>
        <w:tag w:val="_GBC_117952daaba845fa964eb3e2e22e8fc5"/>
        <w:id w:val="1433481061"/>
        <w:placeholder>
          <w:docPart w:val="GBC22222222222222222222222222222"/>
        </w:placeholder>
      </w:sdtPr>
      <w:sdtContent>
        <w:p>
          <w:pPr>
            <w:tabs>
              <w:tab w:val="left" w:pos="1134"/>
            </w:tabs>
            <w:rPr>
              <w:rFonts w:cs="Cambria"/>
              <w:szCs w:val="21"/>
            </w:rPr>
          </w:pPr>
          <w:r>
            <w:rPr>
              <w:rFonts w:cs="Cambria"/>
              <w:szCs w:val="21"/>
            </w:rPr>
            <w:t>-</w:t>
          </w:r>
        </w:p>
      </w:sdtContent>
    </w:sdt>
    <w:p>
      <w:pPr>
        <w:tabs>
          <w:tab w:val="left" w:pos="1134"/>
        </w:tabs>
        <w:rPr>
          <w:rFonts w:cs="Cambria"/>
          <w:b/>
          <w:szCs w:val="21"/>
        </w:rPr>
      </w:pPr>
    </w:p>
    <w:p>
      <w:pPr>
        <w:pStyle w:val="afffffffffffffffffffffffffffffffff0"/>
        <w:numPr>
          <w:ilvl w:val="0"/>
          <w:numId w:val="189"/>
        </w:numPr>
      </w:pPr>
      <w:r>
        <w:rPr>
          <w:rFonts w:hint="eastAsia"/>
        </w:rPr>
        <w:t>关联交易情况</w:t>
      </w:r>
    </w:p>
    <w:p>
      <w:pPr>
        <w:pStyle w:val="afffffffffffffffffffffffffffffffff1"/>
        <w:numPr>
          <w:ilvl w:val="3"/>
          <w:numId w:val="140"/>
        </w:numPr>
        <w:ind w:left="424" w:hangingChars="201" w:hanging="424"/>
      </w:pPr>
      <w:r>
        <w:rPr>
          <w:rFonts w:hint="eastAsia"/>
        </w:rPr>
        <w:t>购销商品、提供和接受劳务的关联交易</w:t>
      </w:r>
    </w:p>
    <w:p>
      <w:pPr>
        <w:pStyle w:val="affffffffffffffffffffffffffffffffe"/>
      </w:pPr>
      <w:r>
        <w:rPr>
          <w:rFonts w:hint="eastAsia"/>
        </w:rPr>
        <w:t>采购商品/接受劳务情况表</w:t>
      </w:r>
    </w:p>
    <w:sdt>
      <w:sdtPr>
        <w:alias w:val="是否适用：采购商品或接受劳务情况表[双击切换]"/>
        <w:tag w:val="_GBC_c080653feddc4cf2a468adfbb755dff3"/>
        <w:id w:val="-209338795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14292783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szCs w:val="21"/>
            </w:rPr>
            <w:t>千元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19890861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szCs w:val="21"/>
            </w:rPr>
            <w:t>人民币</w:t>
          </w:r>
        </w:sdtContent>
      </w:sdt>
    </w:p>
    <w:tbl>
      <w:tblPr>
        <w:tblStyle w:val="affffffffff8"/>
        <w:tblW w:w="5665" w:type="pct"/>
        <w:tblInd w:w="-1139"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985"/>
        <w:gridCol w:w="2117"/>
        <w:gridCol w:w="1301"/>
        <w:gridCol w:w="1507"/>
        <w:gridCol w:w="1583"/>
        <w:gridCol w:w="1216"/>
      </w:tblGrid>
      <w:tr>
        <w:trPr>
          <w:cantSplit/>
          <w:trHeight w:val="295"/>
        </w:trPr>
        <w:sdt>
          <w:sdtPr>
            <w:rPr>
              <w:szCs w:val="21"/>
            </w:rPr>
            <w:tag w:val="_PLD_ed4fd195f176464f83eb8db1dbcbc443"/>
            <w:id w:val="-143581463"/>
          </w:sdtPr>
          <w:sdtContent>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关联方</w:t>
                </w:r>
              </w:p>
            </w:tc>
          </w:sdtContent>
        </w:sdt>
        <w:sdt>
          <w:sdtPr>
            <w:rPr>
              <w:szCs w:val="21"/>
            </w:rPr>
            <w:tag w:val="_PLD_013e7578c973447da6bccdb1a3924d96"/>
            <w:id w:val="785319851"/>
          </w:sdtPr>
          <w:sdtContent>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关联交易内容</w:t>
                </w:r>
              </w:p>
            </w:tc>
          </w:sdtContent>
        </w:sdt>
        <w:sdt>
          <w:sdtPr>
            <w:rPr>
              <w:szCs w:val="21"/>
            </w:rPr>
            <w:tag w:val="_PLD_6b54e09a146a4c34bba286909831c05b"/>
            <w:id w:val="1895924978"/>
          </w:sdtPr>
          <w:sdtContent>
            <w:tc>
              <w:tcPr>
                <w:tcW w:w="670" w:type="pct"/>
                <w:tcBorders>
                  <w:top w:val="single" w:sz="4" w:space="0" w:color="auto"/>
                  <w:left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本期发生额</w:t>
                </w:r>
              </w:p>
            </w:tc>
          </w:sdtContent>
        </w:sdt>
        <w:sdt>
          <w:sdtPr>
            <w:rPr>
              <w:szCs w:val="21"/>
            </w:rPr>
            <w:tag w:val="_PLD_1309066cefbd4c94a1a0060831f53cca"/>
            <w:id w:val="-1504351788"/>
          </w:sdtPr>
          <w:sdtContent>
            <w:tc>
              <w:tcPr>
                <w:tcW w:w="776" w:type="pct"/>
                <w:tcBorders>
                  <w:top w:val="single" w:sz="4" w:space="0" w:color="auto"/>
                  <w:left w:val="single" w:sz="4" w:space="0" w:color="auto"/>
                  <w:right w:val="single" w:sz="4" w:space="0" w:color="auto"/>
                </w:tcBorders>
                <w:vAlign w:val="center"/>
              </w:tcPr>
              <w:p>
                <w:pPr>
                  <w:jc w:val="center"/>
                  <w:rPr>
                    <w:szCs w:val="21"/>
                  </w:rPr>
                </w:pPr>
                <w:r>
                  <w:rPr>
                    <w:rFonts w:hint="eastAsia"/>
                    <w:szCs w:val="21"/>
                  </w:rPr>
                  <w:t>获批的交易额度（如适用）</w:t>
                </w:r>
              </w:p>
            </w:tc>
          </w:sdtContent>
        </w:sdt>
        <w:sdt>
          <w:sdtPr>
            <w:rPr>
              <w:szCs w:val="21"/>
            </w:rPr>
            <w:tag w:val="_PLD_a7f960b39a0c45d1b50eca9b6cfe12b8"/>
            <w:id w:val="998002116"/>
          </w:sdtPr>
          <w:sdtEndPr>
            <w:rPr>
              <w:rFonts w:hint="eastAsia"/>
            </w:rPr>
          </w:sdtEndPr>
          <w:sdtContent>
            <w:tc>
              <w:tcPr>
                <w:tcW w:w="815" w:type="pct"/>
                <w:tcBorders>
                  <w:top w:val="single" w:sz="4" w:space="0" w:color="auto"/>
                  <w:left w:val="single" w:sz="4" w:space="0" w:color="auto"/>
                  <w:right w:val="single" w:sz="4" w:space="0" w:color="auto"/>
                </w:tcBorders>
                <w:vAlign w:val="center"/>
              </w:tcPr>
              <w:p>
                <w:pPr>
                  <w:jc w:val="center"/>
                  <w:rPr>
                    <w:szCs w:val="21"/>
                  </w:rPr>
                </w:pPr>
                <w:r>
                  <w:rPr>
                    <w:szCs w:val="21"/>
                  </w:rPr>
                  <w:t>是否超过交易额度</w:t>
                </w:r>
                <w:r>
                  <w:rPr>
                    <w:rFonts w:hint="eastAsia"/>
                    <w:szCs w:val="21"/>
                  </w:rPr>
                  <w:t>（如适用）</w:t>
                </w:r>
              </w:p>
            </w:tc>
          </w:sdtContent>
        </w:sdt>
        <w:sdt>
          <w:sdtPr>
            <w:rPr>
              <w:szCs w:val="21"/>
            </w:rPr>
            <w:tag w:val="_PLD_9f856a67de3d45acbef7ccb12b35985d"/>
            <w:id w:val="-1572885419"/>
          </w:sdtPr>
          <w:sdtContent>
            <w:tc>
              <w:tcPr>
                <w:tcW w:w="626" w:type="pct"/>
                <w:tcBorders>
                  <w:top w:val="single" w:sz="4" w:space="0" w:color="auto"/>
                  <w:left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上期发生额</w:t>
                </w:r>
              </w:p>
            </w:tc>
          </w:sdtContent>
        </w:sdt>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bookmarkStart w:id="491" w:name="_Hlk40536931"/>
            <w:r>
              <w:rPr>
                <w:rFonts w:hint="eastAsia"/>
                <w:szCs w:val="21"/>
              </w:rPr>
              <w:t>控股股东及其控制的公司</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采购商品</w:t>
            </w:r>
            <w:r>
              <w:rPr>
                <w:szCs w:val="21"/>
              </w:rPr>
              <w:t>-采购物资</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2,480,068</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3,720,000</w:t>
            </w: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r>
              <w:rPr>
                <w:rFonts w:hint="eastAsia"/>
                <w:szCs w:val="21"/>
              </w:rPr>
              <w:t>否</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5,735,465</w:t>
            </w: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控股股东及其控制的公司</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采购商品</w:t>
            </w:r>
            <w:r>
              <w:rPr>
                <w:szCs w:val="21"/>
              </w:rPr>
              <w:t>-大宗贸易</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2,578,658</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4,439,000</w:t>
            </w: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r>
              <w:rPr>
                <w:rFonts w:hint="eastAsia"/>
                <w:szCs w:val="21"/>
              </w:rPr>
              <w:t>否</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214,213</w:t>
            </w: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控股股东及其控制的公司</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采购商品</w:t>
            </w:r>
            <w:r>
              <w:rPr>
                <w:szCs w:val="21"/>
              </w:rPr>
              <w:t>-化工原料煤</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580,381</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1,650,000</w:t>
            </w: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r>
              <w:rPr>
                <w:rFonts w:hint="eastAsia"/>
                <w:szCs w:val="21"/>
              </w:rPr>
              <w:t>否</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908,660</w:t>
            </w: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联营企业</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采购商品</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352</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260,803</w:t>
            </w: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其他关联方</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采购商品</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193,328</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8,916,591</w:t>
            </w: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控股股东及其控制的公司</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接受劳务</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3,866,819</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其他关联方</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接受劳务</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388,128</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p>
        </w:tc>
      </w:tr>
      <w:tr>
        <w:trPr>
          <w:cantSplit/>
        </w:trPr>
        <w:tc>
          <w:tcPr>
            <w:tcW w:w="102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联营企业</w:t>
            </w:r>
          </w:p>
        </w:tc>
        <w:tc>
          <w:tcPr>
            <w:tcW w:w="109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接受劳务</w:t>
            </w:r>
          </w:p>
        </w:tc>
        <w:tc>
          <w:tcPr>
            <w:tcW w:w="67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968</w:t>
            </w:r>
          </w:p>
        </w:tc>
        <w:tc>
          <w:tcPr>
            <w:tcW w:w="77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pPr>
              <w:spacing w:line="360" w:lineRule="exact"/>
              <w:jc w:val="center"/>
              <w:rPr>
                <w:szCs w:val="21"/>
              </w:rPr>
            </w:pP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p>
        </w:tc>
      </w:tr>
    </w:tbl>
    <w:p>
      <w:pPr>
        <w:pStyle w:val="affffffffffffffffffffffffffffffffe"/>
      </w:pPr>
    </w:p>
    <w:bookmarkEnd w:id="491"/>
    <w:p>
      <w:pPr>
        <w:ind w:rightChars="-369" w:right="-775"/>
        <w:rPr>
          <w:szCs w:val="21"/>
        </w:rPr>
      </w:pPr>
      <w:r>
        <w:rPr>
          <w:rFonts w:hint="eastAsia"/>
          <w:szCs w:val="21"/>
        </w:rPr>
        <w:t>出售商品/提供劳务情况表</w:t>
      </w:r>
    </w:p>
    <w:p>
      <w:pPr>
        <w:tabs>
          <w:tab w:val="left" w:pos="2467"/>
        </w:tabs>
        <w:ind w:rightChars="-369" w:right="-775"/>
        <w:rPr>
          <w:szCs w:val="21"/>
        </w:rPr>
      </w:pPr>
      <w:sdt>
        <w:sdtPr>
          <w:rPr>
            <w:szCs w:val="21"/>
          </w:rPr>
          <w:alias w:val="是否适用：出售商品或提供劳务情况表[双击切换]"/>
          <w:tag w:val="_GBC_38804595ac014174a1f7bfa274a356d2"/>
          <w:id w:val="-1744717240"/>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r>
        <w:rPr>
          <w:szCs w:val="21"/>
        </w:rPr>
        <w:tab/>
      </w:r>
    </w:p>
    <w:p>
      <w:pPr>
        <w:tabs>
          <w:tab w:val="left" w:pos="2467"/>
        </w:tabs>
        <w:ind w:rightChars="-369" w:right="-775"/>
        <w:rPr>
          <w:szCs w:val="21"/>
        </w:rPr>
      </w:pPr>
    </w:p>
    <w:p>
      <w:pPr>
        <w:tabs>
          <w:tab w:val="left" w:pos="2467"/>
        </w:tabs>
        <w:ind w:rightChars="-369" w:right="-775"/>
        <w:rPr>
          <w:szCs w:val="21"/>
        </w:rPr>
      </w:pPr>
    </w:p>
    <w:p>
      <w:pPr>
        <w:tabs>
          <w:tab w:val="left" w:pos="2467"/>
        </w:tabs>
        <w:ind w:rightChars="-369" w:right="-775"/>
        <w:rPr>
          <w:szCs w:val="21"/>
        </w:rPr>
      </w:pPr>
    </w:p>
    <w:p>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7976858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szCs w:val="21"/>
        </w:rPr>
        <w:t xml:space="preserve">  币种：</w:t>
      </w:r>
      <w:sdt>
        <w:sdtPr>
          <w:rPr>
            <w:szCs w:val="21"/>
          </w:rPr>
          <w:alias w:val="币种：出售商品提供劳务情况表"/>
          <w:tag w:val="_GBC_4fc61a58f8e34c3c8024ea0b63c2bd2f"/>
          <w:id w:val="47649419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8"/>
        <w:gridCol w:w="2077"/>
        <w:gridCol w:w="2111"/>
        <w:gridCol w:w="2113"/>
      </w:tblGrid>
      <w:tr>
        <w:trPr>
          <w:cantSplit/>
          <w:trHeight w:val="273"/>
        </w:trPr>
        <w:sdt>
          <w:sdtPr>
            <w:tag w:val="_PLD_8f46d61b556c4e7e9874d48274581d06"/>
            <w:id w:val="604465088"/>
          </w:sdtPr>
          <w:sdtContent>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关联方</w:t>
                </w:r>
              </w:p>
            </w:tc>
          </w:sdtContent>
        </w:sdt>
        <w:sdt>
          <w:sdtPr>
            <w:tag w:val="_PLD_86c6996d2c00443589b89411b2b4bde3"/>
            <w:id w:val="-2024163023"/>
          </w:sdtPr>
          <w:sdtContent>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关联交易内容</w:t>
                </w:r>
              </w:p>
            </w:tc>
          </w:sdtContent>
        </w:sdt>
        <w:sdt>
          <w:sdtPr>
            <w:tag w:val="_PLD_52688fb5000a4ccb8c43276d58764eb4"/>
            <w:id w:val="38019999"/>
          </w:sdtPr>
          <w:sdtContent>
            <w:tc>
              <w:tcPr>
                <w:tcW w:w="1232" w:type="pct"/>
                <w:tcBorders>
                  <w:top w:val="single" w:sz="4" w:space="0" w:color="auto"/>
                  <w:left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本期发生额</w:t>
                </w:r>
              </w:p>
            </w:tc>
          </w:sdtContent>
        </w:sdt>
        <w:sdt>
          <w:sdtPr>
            <w:tag w:val="_PLD_e0158fcec29a443ca9e08a44a2489407"/>
            <w:id w:val="-590160261"/>
          </w:sdtPr>
          <w:sdtContent>
            <w:tc>
              <w:tcPr>
                <w:tcW w:w="1233" w:type="pct"/>
                <w:tcBorders>
                  <w:top w:val="single" w:sz="4" w:space="0" w:color="auto"/>
                  <w:left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上期发生额</w:t>
                </w:r>
              </w:p>
            </w:tc>
          </w:sdtContent>
        </w:sdt>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-煤炭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5,733,652</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21,120,476</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-煤炭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rPr>
                <w:rFonts w:hint="eastAsia"/>
              </w:rPr>
              <w:t>6</w:t>
            </w:r>
            <w:r>
              <w:t>22</w:t>
            </w:r>
            <w:r>
              <w:rPr>
                <w:rFonts w:hint="eastAsia"/>
              </w:rPr>
              <w:t>,</w:t>
            </w:r>
            <w:r>
              <w:t>173</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rPr>
                <w:rFonts w:hint="eastAsia"/>
              </w:rPr>
              <w:t>1</w:t>
            </w:r>
            <w:r>
              <w:t>,495,210</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-煤化</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206,309</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286,296</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-材料</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1,201,560</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1,463,153</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-材料</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21</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101</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合营企业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-材料</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rPr>
                <w:rFonts w:hint="eastAsia"/>
              </w:rPr>
              <w:t>5</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-材料</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43,393</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92</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-大宗商品</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378,322</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196,280</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合营企业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-大宗商品</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79,334</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-大宗商品</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3,001,515</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-电、热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8,499</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9,012</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销售商品</w:t>
            </w:r>
            <w:r>
              <w:t>-电、热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4,670</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-设备租赁</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102,495</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17,317</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-设备租赁</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29,681</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44,474</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-维修服务</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75,856</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16,635</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-运输服务</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145,163</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23,276</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-运输服务</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966</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-港口服务</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628,326</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-培训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14,307</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7,997</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-培训</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15</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2</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-劳务输出</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112,804</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-劳务输出</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13,900</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-矿山救护</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69,378</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-信息及技术服务</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31,257</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9,827</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-项目委托管理</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33,872</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16,472</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lastRenderedPageBreak/>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-项目委托管理</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4,618</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-项目委托管理</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3,206</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销售</w:t>
            </w:r>
            <w:r>
              <w:t>-融资租赁本金</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100,000</w:t>
            </w:r>
          </w:p>
        </w:tc>
        <w:tc>
          <w:tcPr>
            <w:tcW w:w="1233" w:type="pct"/>
            <w:tcBorders>
              <w:top w:val="single" w:sz="4" w:space="0" w:color="auto"/>
              <w:left w:val="single" w:sz="4" w:space="0" w:color="auto"/>
              <w:right w:val="single" w:sz="4" w:space="0" w:color="auto"/>
            </w:tcBorders>
            <w:shd w:val="clear" w:color="auto" w:fill="auto"/>
            <w:vAlign w:val="center"/>
          </w:tcPr>
          <w:p>
            <w:pPr>
              <w:jc w:val="center"/>
            </w:pP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控股股东及其控制的公司</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-利息收入</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417,354</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3,736</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其他关联方</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-利息收入</w:t>
            </w:r>
          </w:p>
        </w:tc>
        <w:tc>
          <w:tcPr>
            <w:tcW w:w="1232" w:type="pct"/>
            <w:tcBorders>
              <w:top w:val="single" w:sz="4" w:space="0" w:color="auto"/>
              <w:left w:val="single" w:sz="4" w:space="0" w:color="auto"/>
              <w:right w:val="single" w:sz="4" w:space="0" w:color="auto"/>
            </w:tcBorders>
            <w:shd w:val="clear" w:color="auto" w:fill="auto"/>
            <w:vAlign w:val="center"/>
          </w:tcPr>
          <w:p>
            <w:pPr>
              <w:jc w:val="center"/>
            </w:pPr>
            <w:r>
              <w:t>4,035</w:t>
            </w:r>
          </w:p>
        </w:tc>
        <w:tc>
          <w:tcPr>
            <w:tcW w:w="1233" w:type="pct"/>
            <w:tcBorders>
              <w:top w:val="single" w:sz="4" w:space="0" w:color="auto"/>
              <w:left w:val="single" w:sz="4" w:space="0" w:color="auto"/>
              <w:right w:val="single" w:sz="4" w:space="0" w:color="auto"/>
            </w:tcBorders>
            <w:shd w:val="clear" w:color="auto" w:fill="auto"/>
            <w:vAlign w:val="center"/>
          </w:tcPr>
          <w:p>
            <w:pPr>
              <w:jc w:val="center"/>
            </w:pPr>
            <w:r>
              <w:t>7,952</w:t>
            </w:r>
          </w:p>
        </w:tc>
      </w:tr>
      <w:tr>
        <w:trPr>
          <w:cantSplit/>
          <w:trHeight w:val="273"/>
        </w:trPr>
        <w:tc>
          <w:tcPr>
            <w:tcW w:w="132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联营企业</w:t>
            </w:r>
          </w:p>
        </w:tc>
        <w:tc>
          <w:tcPr>
            <w:tcW w:w="121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提供劳务</w:t>
            </w:r>
            <w:r>
              <w:t>-利息收入</w:t>
            </w:r>
          </w:p>
        </w:tc>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25,755</w:t>
            </w:r>
          </w:p>
        </w:tc>
        <w:tc>
          <w:tcPr>
            <w:tcW w:w="123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p>
        </w:tc>
      </w:tr>
    </w:tbl>
    <w:p>
      <w:pPr>
        <w:rPr>
          <w:rFonts w:cs="Cambria"/>
          <w:szCs w:val="21"/>
        </w:rPr>
      </w:pPr>
      <w:r>
        <w:rPr>
          <w:rFonts w:cs="Cambria" w:hint="eastAs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879544662"/>
        <w:placeholder>
          <w:docPart w:val="GBC22222222222222222222222222222"/>
        </w:placeholder>
      </w:sdt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购销商品、提供和接受劳务的关联交易说明"/>
        <w:tag w:val="_GBC_2e3d658b1c454acb945f621162cfd0e7"/>
        <w:id w:val="291103153"/>
        <w:placeholder>
          <w:docPart w:val="GBC22222222222222222222222222222"/>
        </w:placeholder>
      </w:sdtPr>
      <w:sdtContent>
        <w:p>
          <w:pPr>
            <w:autoSpaceDE w:val="0"/>
            <w:autoSpaceDN w:val="0"/>
            <w:adjustRightInd w:val="0"/>
            <w:spacing w:afterLines="50" w:after="156" w:line="360" w:lineRule="exact"/>
            <w:ind w:firstLineChars="200" w:firstLine="420"/>
          </w:pPr>
          <w:r>
            <w:rPr>
              <w:rFonts w:hint="eastAsia"/>
            </w:rPr>
            <w:t>根据本集团与山东能源签订的协议，本集团与山东能源及其附属公司进行供应产品、材料物资及大宗商品等交易，未超过2024年度获批的交易上限金额。</w:t>
          </w:r>
        </w:p>
      </w:sdtContent>
    </w:sdt>
    <w:p>
      <w:pPr>
        <w:rPr>
          <w:rFonts w:cs="Cambria"/>
          <w:szCs w:val="21"/>
        </w:rPr>
      </w:pPr>
    </w:p>
    <w:p>
      <w:pPr>
        <w:pStyle w:val="afffffffffffffffffffffffffffffffff1"/>
        <w:numPr>
          <w:ilvl w:val="3"/>
          <w:numId w:val="140"/>
        </w:numPr>
        <w:ind w:left="426" w:hangingChars="202" w:hanging="426"/>
      </w:pPr>
      <w:r>
        <w:rPr>
          <w:rFonts w:hint="eastAsia"/>
        </w:rPr>
        <w:t>关联受托管理/承包及委托管理/出包情况</w:t>
      </w:r>
    </w:p>
    <w:p>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1429723566"/>
        <w:placeholder>
          <w:docPart w:val="GBC22222222222222222222222222222"/>
        </w:placeholder>
      </w:sdt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jc w:val="right"/>
        <w:rPr>
          <w:rFonts w:cs="Cambria"/>
          <w:bCs/>
          <w:szCs w:val="21"/>
        </w:rPr>
      </w:pPr>
      <w:r>
        <w:rPr>
          <w:rFonts w:cs="Cambria" w:hint="eastAsia"/>
          <w:bCs/>
          <w:szCs w:val="21"/>
        </w:rPr>
        <w:t>单位：</w:t>
      </w:r>
      <w:sdt>
        <w:sdtPr>
          <w:rPr>
            <w:rFonts w:cs="Cambria" w:hint="eastAsia"/>
            <w:bCs/>
            <w:szCs w:val="21"/>
          </w:rPr>
          <w:alias w:val="单位：公司受托管理承包情况表"/>
          <w:tag w:val="_GBC_57a2d4cca7a74e81b133cb02cf32eb74"/>
          <w:id w:val="14735589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bCs/>
              <w:szCs w:val="21"/>
            </w:rPr>
            <w:t>千元</w:t>
          </w:r>
        </w:sdtContent>
      </w:sdt>
      <w:r>
        <w:rPr>
          <w:rFonts w:cs="Cambria" w:hint="eastAsia"/>
          <w:bCs/>
          <w:szCs w:val="21"/>
        </w:rPr>
        <w:t xml:space="preserve">  币种：</w:t>
      </w:r>
      <w:sdt>
        <w:sdtPr>
          <w:rPr>
            <w:rFonts w:cs="Cambria" w:hint="eastAsia"/>
            <w:bCs/>
            <w:szCs w:val="21"/>
          </w:rPr>
          <w:alias w:val="币种：公司受托管理承包情况表"/>
          <w:tag w:val="_GBC_526f89d9ea2e4435892696a794e71c93"/>
          <w:id w:val="1232088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bCs/>
              <w:szCs w:val="21"/>
            </w:rPr>
            <w:t>人民币</w:t>
          </w:r>
        </w:sdtContent>
      </w:sdt>
    </w:p>
    <w:tbl>
      <w:tblPr>
        <w:tblStyle w:val="affffffffff8"/>
        <w:tblW w:w="5873" w:type="pct"/>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83"/>
        <w:gridCol w:w="1244"/>
        <w:gridCol w:w="1196"/>
        <w:gridCol w:w="1373"/>
        <w:gridCol w:w="1560"/>
        <w:gridCol w:w="992"/>
        <w:gridCol w:w="1417"/>
      </w:tblGrid>
      <w:tr>
        <w:trPr>
          <w:trHeight w:val="817"/>
        </w:trPr>
        <w:sdt>
          <w:sdtPr>
            <w:tag w:val="_PLD_9ca7f49277334c8e8f9644ca1df39ecf"/>
            <w:id w:val="1910108944"/>
          </w:sdtPr>
          <w:sdtContent>
            <w:tc>
              <w:tcPr>
                <w:tcW w:w="1134"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委托方/出包方名称</w:t>
                </w:r>
              </w:p>
            </w:tc>
          </w:sdtContent>
        </w:sdt>
        <w:sdt>
          <w:sdtPr>
            <w:tag w:val="_PLD_67bc3e1c8ad0439ab3b3fafb2b1b4ae8"/>
            <w:id w:val="180559929"/>
          </w:sdtPr>
          <w:sdtContent>
            <w:tc>
              <w:tcPr>
                <w:tcW w:w="618"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受托方/承包方名称</w:t>
                </w:r>
              </w:p>
            </w:tc>
          </w:sdtContent>
        </w:sdt>
        <w:sdt>
          <w:sdtPr>
            <w:tag w:val="_PLD_6242613dc1b4492f85dd7434d2997745"/>
            <w:id w:val="2049259929"/>
          </w:sdtPr>
          <w:sdtContent>
            <w:tc>
              <w:tcPr>
                <w:tcW w:w="594"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受托/承包资产类型</w:t>
                </w:r>
              </w:p>
            </w:tc>
          </w:sdtContent>
        </w:sdt>
        <w:sdt>
          <w:sdtPr>
            <w:tag w:val="_PLD_11d99e0f2f6c49fdbd52b04c387e8132"/>
            <w:id w:val="-43144344"/>
          </w:sdtPr>
          <w:sdtContent>
            <w:tc>
              <w:tcPr>
                <w:tcW w:w="682"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受托/承包起始日</w:t>
                </w:r>
              </w:p>
            </w:tc>
          </w:sdtContent>
        </w:sdt>
        <w:sdt>
          <w:sdtPr>
            <w:tag w:val="_PLD_a4a13ba30a6a40c59f80853e84442bb6"/>
            <w:id w:val="162201467"/>
          </w:sdtPr>
          <w:sdtContent>
            <w:tc>
              <w:tcPr>
                <w:tcW w:w="775"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受托/承包终止日</w:t>
                </w:r>
              </w:p>
            </w:tc>
          </w:sdtContent>
        </w:sdt>
        <w:sdt>
          <w:sdtPr>
            <w:tag w:val="_PLD_ae8f67dcf4064d99855a132401142cb8"/>
            <w:id w:val="-1864887581"/>
          </w:sdtPr>
          <w:sdtContent>
            <w:tc>
              <w:tcPr>
                <w:tcW w:w="493"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托管收益/承包收益定价依据</w:t>
                </w:r>
              </w:p>
            </w:tc>
          </w:sdtContent>
        </w:sdt>
        <w:sdt>
          <w:sdtPr>
            <w:tag w:val="_PLD_4dcb48cb90564f39b6b2463f0acfd5fa"/>
            <w:id w:val="-770549586"/>
          </w:sdtPr>
          <w:sdtContent>
            <w:tc>
              <w:tcPr>
                <w:tcW w:w="704" w:type="pc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本期确认的托管收益/承包收益</w:t>
                </w:r>
              </w:p>
            </w:tc>
          </w:sdtContent>
        </w:sdt>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山能融资租赁（深圳）有限公司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兖矿融资租赁有限公司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2022-9-30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2024-12-31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1,576</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新泰市兴安经贸有限公司、新汶矿业集团物资供销有限责任公司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兖矿新疆能化有限公司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2023-10-17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2024-12-31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6,227</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新泰市兴安经贸有限公司、新汶矿业集团物资供销有限责任公司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兖矿新疆能化有限公司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2023-10-17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2024-12-31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4,883</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龙口煤电有限公司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2025-2-28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1,038</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肥城肥矿煤业有限公司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2025-2-28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660</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临沂矿业集团有限责任公司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2022-3-18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2025-3-17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2,203</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lastRenderedPageBreak/>
              <w:t>山东东山矿业有限责任公司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2025-2-28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1,675</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2025-2-28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94</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淄博矿业集团有限责任公司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山东能源集团鲁西矿业有限公司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股权托管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2023-1-18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2026-1-17</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94</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兖矿售电有限公司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山东华聚能源股份有限公司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2022-1-1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无固定终止日</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4,302</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兖州煤业榆林能化有限公司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兖矿煤化供销有限公司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2024-12-31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9,537</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兖州煤业榆林能化有限公司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山东能源集团安保服务有限公司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2024-3-1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2025-2-28</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4,161</w:t>
            </w:r>
          </w:p>
        </w:tc>
      </w:tr>
      <w:tr>
        <w:trPr>
          <w:trHeight w:val="817"/>
        </w:trPr>
        <w:tc>
          <w:tcPr>
            <w:tcW w:w="113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兖矿能源(鄂尔多斯)有限公司</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兖矿物流科技有限公司</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其他资产托管</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2024-1-1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2026-12-31</w:t>
            </w:r>
          </w:p>
        </w:tc>
        <w:tc>
          <w:tcPr>
            <w:tcW w:w="49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rPr>
                <w:rFonts w:hint="eastAsia"/>
              </w:rPr>
              <w:t>协议定价</w:t>
            </w:r>
          </w:p>
        </w:tc>
        <w:tc>
          <w:tcPr>
            <w:tcW w:w="7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pPr>
            <w:r>
              <w:t>46,950</w:t>
            </w:r>
          </w:p>
        </w:tc>
      </w:tr>
    </w:tbl>
    <w:p>
      <w:pPr>
        <w:rPr>
          <w:rFonts w:cs="Cambria"/>
          <w:szCs w:val="21"/>
        </w:rPr>
      </w:pPr>
      <w:r>
        <w:rPr>
          <w:rFonts w:cs="Cambria" w:hint="eastAsia"/>
          <w:szCs w:val="21"/>
        </w:rPr>
        <w:t>关联托管/承包情况说明</w:t>
      </w:r>
    </w:p>
    <w:sdt>
      <w:sdtPr>
        <w:rPr>
          <w:rFonts w:cs="Cambria"/>
          <w:szCs w:val="21"/>
        </w:rPr>
        <w:alias w:val="是否适用：关联托管或承包情况说明[双击切换]"/>
        <w:tag w:val="_GBC_60aca51a92e545e9bbad9ba5228083c8"/>
        <w:id w:val="1416590419"/>
        <w:placeholder>
          <w:docPart w:val="GBC22222222222222222222222222222"/>
        </w:placeholder>
      </w:sdt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rPr>
          <w:rFonts w:cs="Cambria"/>
          <w:szCs w:val="21"/>
        </w:rPr>
        <w:alias w:val="关联托管承包情况说明"/>
        <w:tag w:val="_GBC_7e32f39ffe144c5ba4f817dfdf991a80"/>
        <w:id w:val="-481168051"/>
        <w:placeholder>
          <w:docPart w:val="GBC22222222222222222222222222222"/>
        </w:placeholder>
      </w:sdtPr>
      <w:sdtContent>
        <w:p>
          <w:pPr>
            <w:autoSpaceDE w:val="0"/>
            <w:autoSpaceDN w:val="0"/>
            <w:adjustRightInd w:val="0"/>
            <w:spacing w:afterLines="50" w:after="156" w:line="360" w:lineRule="exact"/>
            <w:ind w:firstLine="420"/>
          </w:pPr>
          <w:r>
            <w:rPr>
              <w:rFonts w:hint="eastAsia"/>
            </w:rPr>
            <w:t>注1：山东华聚能源股份有限公司受兖矿售电有限公司委托进行运营管理，包括电力交易、日常经营事务、人员管理、合规性审计及生产经营评价等业务，按照协议约定华聚公司每月确认管理服务收入358.49千元。</w:t>
          </w:r>
        </w:p>
        <w:p>
          <w:pPr>
            <w:autoSpaceDE w:val="0"/>
            <w:autoSpaceDN w:val="0"/>
            <w:adjustRightInd w:val="0"/>
            <w:spacing w:afterLines="50" w:after="156" w:line="360" w:lineRule="exact"/>
            <w:ind w:firstLine="420"/>
          </w:pPr>
          <w:r>
            <w:rPr>
              <w:rFonts w:hint="eastAsia"/>
            </w:rPr>
            <w:t>注2：兖矿煤化供销有限公司受兖州煤业榆林能化有限公司委托进行甲醇、硫磺、液化气体、聚甲氧基二甲醚等产品的销售计划和价格制定、业务洽谈、客户和市场维护、品牌规划、产品推广、客户投诉的处理等服务。</w:t>
          </w:r>
        </w:p>
        <w:p>
          <w:pPr>
            <w:autoSpaceDE w:val="0"/>
            <w:autoSpaceDN w:val="0"/>
            <w:adjustRightInd w:val="0"/>
            <w:spacing w:afterLines="50" w:after="156" w:line="360" w:lineRule="exact"/>
            <w:ind w:firstLine="420"/>
          </w:pPr>
          <w:r>
            <w:rPr>
              <w:rFonts w:hint="eastAsia"/>
            </w:rPr>
            <w:t>注</w:t>
          </w:r>
          <w:r>
            <w:t>3</w:t>
          </w:r>
          <w:r>
            <w:rPr>
              <w:rFonts w:hint="eastAsia"/>
            </w:rPr>
            <w:t>：山东能源集团安保服务有限公司受兖州煤业榆林能化有限公司委托进行消防设施、车辆、装备等检查维护、甲方各区域范围的防火巡查、检查、消防控制室、消防应急救援、预案完善、提供消防培训、防火监护、开展演练、完成甲方开展消防安全管理工作等事宜。</w:t>
          </w:r>
        </w:p>
        <w:p>
          <w:pPr>
            <w:autoSpaceDE w:val="0"/>
            <w:autoSpaceDN w:val="0"/>
            <w:adjustRightInd w:val="0"/>
            <w:spacing w:afterLines="50" w:after="156" w:line="360" w:lineRule="exact"/>
            <w:ind w:firstLine="420"/>
          </w:pPr>
          <w:r>
            <w:rPr>
              <w:rFonts w:hint="eastAsia"/>
            </w:rPr>
            <w:t>注4：兖矿物流科技有限公司受兖矿能源(鄂尔多斯)有限公司委托自行组织安全生产以及与安全生产相关的管理和经营活动,包括来煤接卸、皮带转运、储煤管理；铁路调车、车辆清扫加固、煤炭装车、防冻喷淋、抑尘喷淋、货运检查与交接、货装事故的处理；铁路关系、地企关系协调的等。</w:t>
          </w:r>
        </w:p>
        <w:p>
          <w:pPr>
            <w:autoSpaceDE w:val="0"/>
            <w:autoSpaceDN w:val="0"/>
            <w:adjustRightInd w:val="0"/>
            <w:spacing w:afterLines="50" w:after="156" w:line="360" w:lineRule="exact"/>
            <w:ind w:firstLine="420"/>
          </w:pPr>
          <w:r>
            <w:rPr>
              <w:rFonts w:hint="eastAsia"/>
            </w:rPr>
            <w:t>注5：山东能源集团鲁西矿业有限公司受临沂矿业集团有限责任公司委托，对山东里能鲁西矿业有限公司、山东里能里彦矿业有限公司、临沂会宝岭铁矿有限公司的有关股权进行管理。</w:t>
          </w:r>
        </w:p>
        <w:p>
          <w:pPr>
            <w:autoSpaceDE w:val="0"/>
            <w:autoSpaceDN w:val="0"/>
            <w:adjustRightInd w:val="0"/>
            <w:spacing w:afterLines="50" w:after="156" w:line="360" w:lineRule="exact"/>
            <w:ind w:firstLine="420"/>
          </w:pPr>
          <w:r>
            <w:rPr>
              <w:rFonts w:hint="eastAsia"/>
            </w:rPr>
            <w:lastRenderedPageBreak/>
            <w:t>注6：山东能源集团鲁西矿业有限公司受临沂矿业集团有限责任公司委托，将山东煤炭技师学院委托给受托方进行经营管理。</w:t>
          </w:r>
        </w:p>
        <w:p>
          <w:pPr>
            <w:autoSpaceDE w:val="0"/>
            <w:autoSpaceDN w:val="0"/>
            <w:adjustRightInd w:val="0"/>
            <w:spacing w:afterLines="50" w:after="156" w:line="360" w:lineRule="exact"/>
            <w:ind w:firstLine="420"/>
          </w:pPr>
          <w:r>
            <w:rPr>
              <w:rFonts w:hint="eastAsia"/>
            </w:rPr>
            <w:t>注7：山东能源集团安保服务有限公司受兖州煤业榆林能化有限公司委托进行消防设施、车辆、装备等检查维护、甲方各区域范围的防火巡查、检查、消防控制室、消防应急救援、预案完善、提供消防培训、防火监护、开展演练、完成甲方开展消防安全管理工作等事宜。</w:t>
          </w:r>
        </w:p>
        <w:p>
          <w:pPr>
            <w:autoSpaceDE w:val="0"/>
            <w:autoSpaceDN w:val="0"/>
            <w:adjustRightInd w:val="0"/>
            <w:spacing w:afterLines="50" w:after="156" w:line="360" w:lineRule="exact"/>
            <w:ind w:firstLine="420"/>
            <w:sectPr>
              <w:pgSz w:w="11907" w:h="16840"/>
              <w:pgMar w:top="1440" w:right="1531" w:bottom="1440" w:left="1797" w:header="851" w:footer="992" w:gutter="0"/>
              <w:cols w:space="425"/>
              <w:docGrid w:type="lines" w:linePitch="312"/>
            </w:sectPr>
          </w:pPr>
          <w:r>
            <w:rPr>
              <w:rFonts w:hint="eastAsia"/>
            </w:rPr>
            <w:t>注8：兖矿物流科技有限公司受兖矿能源(鄂尔多斯)有限公司委托自行组织安全生产以及与安全生产相关的管理和经营活动,包括来煤接卸、皮带转运、储煤管理；铁路调车、车辆清扫加固、煤炭装车、防冻喷淋、抑尘喷淋、货运检查与交接、货装事故的处理；铁路关系、地企关系协调等。</w:t>
          </w:r>
        </w:p>
        <w:p>
          <w:pPr>
            <w:rPr>
              <w:rFonts w:cs="Cambria"/>
              <w:szCs w:val="21"/>
            </w:rPr>
          </w:pPr>
        </w:p>
      </w:sdtContent>
    </w:sdt>
    <w:p>
      <w:pPr>
        <w:rPr>
          <w:rFonts w:cs="Cambria"/>
          <w:szCs w:val="21"/>
        </w:rPr>
      </w:pPr>
    </w:p>
    <w:p>
      <w:pPr>
        <w:rPr>
          <w:rFonts w:cs="Cambria"/>
          <w:bCs/>
          <w:szCs w:val="21"/>
        </w:rPr>
      </w:pPr>
      <w:r>
        <w:rPr>
          <w:rFonts w:hint="eastAsia"/>
          <w:szCs w:val="21"/>
        </w:rPr>
        <w:t>本公司</w:t>
      </w:r>
      <w:r>
        <w:rPr>
          <w:rFonts w:cs="Cambria" w:hint="eastAsia"/>
          <w:bCs/>
          <w:szCs w:val="21"/>
        </w:rPr>
        <w:t>委托管理/出包情况表</w:t>
      </w:r>
    </w:p>
    <w:sdt>
      <w:sdtPr>
        <w:rPr>
          <w:rFonts w:cs="Cambria"/>
          <w:bCs/>
          <w:szCs w:val="21"/>
        </w:rPr>
        <w:alias w:val="是否适用：本公司委托管理或出包情况表[双击切换]"/>
        <w:tag w:val="_GBC_4655dfffa9a7464b8715035e819d5968"/>
        <w:id w:val="-196467003"/>
        <w:placeholder>
          <w:docPart w:val="GBC22222222222222222222222222222"/>
        </w:placeholder>
      </w:sdt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bCs/>
          <w:szCs w:val="21"/>
        </w:rPr>
      </w:pPr>
    </w:p>
    <w:p>
      <w:pPr>
        <w:rPr>
          <w:rFonts w:cs="Cambria"/>
          <w:bCs/>
          <w:szCs w:val="21"/>
        </w:rPr>
      </w:pPr>
      <w:r>
        <w:rPr>
          <w:rFonts w:cs="Cambria" w:hint="eastAsia"/>
          <w:bCs/>
          <w:szCs w:val="21"/>
        </w:rPr>
        <w:t>关联管理/出包情况说明</w:t>
      </w:r>
    </w:p>
    <w:sdt>
      <w:sdtPr>
        <w:rPr>
          <w:rFonts w:cs="Cambria"/>
          <w:bCs/>
          <w:szCs w:val="21"/>
        </w:rPr>
        <w:alias w:val="是否适用：关联管理或出包情况说明[双击切换]"/>
        <w:tag w:val="_GBC_a21df8e7013c4b70bab4125cabda8c46"/>
        <w:id w:val="-1803912100"/>
        <w:placeholder>
          <w:docPart w:val="GBC22222222222222222222222222222"/>
        </w:placeholder>
      </w:sdt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szCs w:val="21"/>
        </w:rPr>
      </w:pPr>
    </w:p>
    <w:p>
      <w:pPr>
        <w:pStyle w:val="afffffffffffffffffffffffffffffffff1"/>
        <w:numPr>
          <w:ilvl w:val="3"/>
          <w:numId w:val="140"/>
        </w:numPr>
        <w:ind w:left="426" w:hangingChars="202" w:hanging="426"/>
      </w:pPr>
      <w:r>
        <w:rPr>
          <w:rFonts w:hint="eastAsia"/>
        </w:rPr>
        <w:t>关联租赁情况</w:t>
      </w:r>
    </w:p>
    <w:p>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701752796"/>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sectPr>
          <w:pgSz w:w="11906" w:h="16838"/>
          <w:pgMar w:top="1525" w:right="1276" w:bottom="1440" w:left="1797" w:header="856" w:footer="992" w:gutter="0"/>
          <w:cols w:space="425"/>
          <w:docGrid w:linePitch="312"/>
        </w:sectPr>
      </w:pPr>
    </w:p>
    <w:p>
      <w:pPr>
        <w:rPr>
          <w:szCs w:val="21"/>
        </w:rPr>
      </w:pPr>
    </w:p>
    <w:p>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1931267742"/>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szCs w:val="21"/>
        </w:rPr>
      </w:pPr>
      <w:r>
        <w:rPr>
          <w:rFonts w:hint="eastAsia"/>
          <w:szCs w:val="21"/>
        </w:rPr>
        <w:t>关联租赁情况说明</w:t>
      </w:r>
    </w:p>
    <w:sdt>
      <w:sdtPr>
        <w:rPr>
          <w:szCs w:val="21"/>
        </w:rPr>
        <w:alias w:val="是否适用：关联租赁情况说明[双击切换]"/>
        <w:tag w:val="_GBC_f11304240a9e46d8b340976a035205d3"/>
        <w:id w:val="-583300483"/>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e"/>
      </w:pPr>
    </w:p>
    <w:p>
      <w:pPr>
        <w:sectPr>
          <w:pgSz w:w="16838" w:h="11906" w:orient="landscape"/>
          <w:pgMar w:top="1797" w:right="1525" w:bottom="1276" w:left="1440" w:header="856" w:footer="992" w:gutter="0"/>
          <w:cols w:space="425"/>
          <w:docGrid w:linePitch="312"/>
        </w:sectPr>
      </w:pPr>
    </w:p>
    <w:p>
      <w:pPr>
        <w:pStyle w:val="affffffffffffffffffffffffffffffffe"/>
      </w:pPr>
    </w:p>
    <w:p>
      <w:pPr>
        <w:pStyle w:val="afffffffffffffffffffffffffffffffff1"/>
        <w:numPr>
          <w:ilvl w:val="3"/>
          <w:numId w:val="140"/>
        </w:numPr>
        <w:ind w:left="426" w:hangingChars="202" w:hanging="426"/>
      </w:pPr>
      <w:r>
        <w:rPr>
          <w:rFonts w:hint="eastAsia"/>
        </w:rPr>
        <w:t>关联担保情况</w:t>
      </w:r>
    </w:p>
    <w:p>
      <w:pPr>
        <w:pStyle w:val="affffffffffffffffffffffffffffffffe"/>
      </w:pPr>
      <w:r>
        <w:rPr>
          <w:rFonts w:hint="eastAsia"/>
        </w:rPr>
        <w:t>本公司作为担保方</w:t>
      </w:r>
    </w:p>
    <w:sdt>
      <w:sdtPr>
        <w:alias w:val="是否适用：本公司作为担保方的担保情况表[双击切换]"/>
        <w:tag w:val="_GBC_4ba390d56c0645788c7893af84ca2773"/>
        <w:id w:val="111717887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25340139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8071314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affffffffff8"/>
        <w:tblW w:w="58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396"/>
        <w:gridCol w:w="1420"/>
        <w:gridCol w:w="2125"/>
        <w:gridCol w:w="1985"/>
        <w:gridCol w:w="1422"/>
      </w:tblGrid>
      <w:tr>
        <w:trPr>
          <w:jc w:val="center"/>
        </w:trPr>
        <w:sdt>
          <w:sdtPr>
            <w:rPr>
              <w:szCs w:val="21"/>
            </w:rPr>
            <w:tag w:val="_PLD_96a4e4b902dd4a1aabeda7f378f03632"/>
            <w:id w:val="2025051030"/>
          </w:sdtPr>
          <w:sdtContent>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被担保方</w:t>
                </w:r>
              </w:p>
            </w:tc>
          </w:sdtContent>
        </w:sdt>
        <w:sdt>
          <w:sdtPr>
            <w:rPr>
              <w:szCs w:val="21"/>
            </w:rPr>
            <w:tag w:val="_PLD_e261ef4f94b54fc2b7ef782e98e6a6f9"/>
            <w:id w:val="-1739008922"/>
          </w:sdtPr>
          <w:sdtContent>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担保金额</w:t>
                </w:r>
              </w:p>
            </w:tc>
          </w:sdtContent>
        </w:sdt>
        <w:sdt>
          <w:sdtPr>
            <w:rPr>
              <w:szCs w:val="21"/>
            </w:rPr>
            <w:tag w:val="_PLD_6591ac1a04e6441cbf6e117b8ca9b235"/>
            <w:id w:val="-1433427484"/>
          </w:sdtPr>
          <w:sdtContent>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担保起始日</w:t>
                </w:r>
              </w:p>
            </w:tc>
          </w:sdtContent>
        </w:sdt>
        <w:sdt>
          <w:sdtPr>
            <w:rPr>
              <w:szCs w:val="21"/>
            </w:rPr>
            <w:tag w:val="_PLD_a4bd05821174469b92860eea66b1f7f5"/>
            <w:id w:val="19604997"/>
          </w:sdtPr>
          <w:sdtContent>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担保到期日</w:t>
                </w:r>
              </w:p>
            </w:tc>
          </w:sdtContent>
        </w:sdt>
        <w:sdt>
          <w:sdtPr>
            <w:rPr>
              <w:szCs w:val="21"/>
            </w:rPr>
            <w:tag w:val="_PLD_ed3011fa0ff64ab0b41763ff62b9ba30"/>
            <w:id w:val="-670871874"/>
          </w:sdtPr>
          <w:sdtContent>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担保是否已经履行完毕</w:t>
                </w:r>
              </w:p>
            </w:tc>
          </w:sdtContent>
        </w:sdt>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陕西靖神铁路有限责任公司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29,440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2018年7月26日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2043年7月25日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山东能源集团鲁西矿业有限公司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138,000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2023年4月27日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2026年4月26日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兖州煤业榆林能化有限公司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141,741</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2024年5月10日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2025年5月10日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兖煤国际控股有限公司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718,840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2022年6月20日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2025年7月20日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400,000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2024年3月06日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2025年3月05日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570,000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2024年5月08日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2025年5月07日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180,000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2024年1月26日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2025年1月25日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300,000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2024年3月31日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2025年3月31日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2024年1月30日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2025年1月30日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兖矿瑞丰国际贸易有限公司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250,000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2024年3月31日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2025年3月31日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青岛中兖贸易有限公司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240,000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2024年5月10日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2025年5月10日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内蒙古荣信化工有限公司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621,500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2021年1月20日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2025年1月20日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兖州煤业榆林能化有限公司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577,500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2021年1月28日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2025年1月20日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兖矿鲁南化工有限公司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700,000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2021年3月17日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2029年3月12日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兖煤万福能源有限公司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1,000,000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2023年12月20日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2026年12月19日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乌兰察布市宏大实业有限公司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1,179,229</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2021年8月16日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2028年8月16日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鄂尔多斯市锋威光电有限公司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554,600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2021年10月22日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2031年10月22日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烟台金正环保科技有限公司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116,035</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2023年3月10日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2026年5月09日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内蒙古锦联铝材有限责任公司</w:t>
            </w:r>
          </w:p>
        </w:tc>
        <w:tc>
          <w:tcPr>
            <w:tcW w:w="686"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45,000</w:t>
            </w:r>
          </w:p>
        </w:tc>
        <w:tc>
          <w:tcPr>
            <w:tcW w:w="102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2015年12月16日</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2027年12月15日</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bl>
    <w:p>
      <w:pPr>
        <w:pStyle w:val="affffffffffffffffffffffffffffffffe"/>
      </w:pPr>
    </w:p>
    <w:p>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888069196"/>
        <w:placeholder>
          <w:docPart w:val="GBC22222222222222222222222222222"/>
        </w:placeholder>
      </w:sdtPr>
      <w:sdtContent>
        <w:p>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11332471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13658254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affffffffff8"/>
        <w:tblW w:w="5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3823"/>
        <w:gridCol w:w="1702"/>
        <w:gridCol w:w="1984"/>
        <w:gridCol w:w="1984"/>
        <w:gridCol w:w="895"/>
      </w:tblGrid>
      <w:tr>
        <w:trPr>
          <w:jc w:val="center"/>
        </w:trPr>
        <w:sdt>
          <w:sdtPr>
            <w:rPr>
              <w:szCs w:val="21"/>
            </w:rPr>
            <w:tag w:val="_PLD_e05323f7a96841bb935f95dcfec68e48"/>
            <w:id w:val="-510149236"/>
          </w:sdtPr>
          <w:sdtContent>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担保方</w:t>
                </w:r>
              </w:p>
            </w:tc>
          </w:sdtContent>
        </w:sdt>
        <w:sdt>
          <w:sdtPr>
            <w:rPr>
              <w:szCs w:val="21"/>
            </w:rPr>
            <w:tag w:val="_PLD_7721a8a4c1844b24b36caad78c1dee85"/>
            <w:id w:val="472411421"/>
          </w:sdtPr>
          <w:sdtContent>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担保金额</w:t>
                </w:r>
              </w:p>
            </w:tc>
          </w:sdtContent>
        </w:sdt>
        <w:sdt>
          <w:sdtPr>
            <w:rPr>
              <w:szCs w:val="21"/>
            </w:rPr>
            <w:tag w:val="_PLD_cac4c4f152c846eb9313593bf39d4ef9"/>
            <w:id w:val="1274758040"/>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担保起始日</w:t>
                </w:r>
              </w:p>
            </w:tc>
          </w:sdtContent>
        </w:sdt>
        <w:sdt>
          <w:sdtPr>
            <w:rPr>
              <w:szCs w:val="21"/>
            </w:rPr>
            <w:tag w:val="_PLD_c0918f2db0154eb396818afe3e3f0e9d"/>
            <w:id w:val="1959609216"/>
          </w:sdtPr>
          <w:sdtContent>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担保到期日</w:t>
                </w:r>
              </w:p>
            </w:tc>
          </w:sdtContent>
        </w:sdt>
        <w:sdt>
          <w:sdtPr>
            <w:rPr>
              <w:szCs w:val="21"/>
            </w:rPr>
            <w:tag w:val="_PLD_f7d47a75b517407d8d11153f5529706f"/>
            <w:id w:val="-907224172"/>
          </w:sdtPr>
          <w:sdtContent>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担保是否已经履行完毕</w:t>
                </w:r>
              </w:p>
            </w:tc>
          </w:sdtContent>
        </w:sdt>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山东能源集团有限公司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1,236,900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2016年5月30日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2029年5月20日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陕西延长石油（集团）有限责任公司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412,300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2016年5月30日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2029年5月20日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新汶矿业集团有限责任公司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1,477,500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2023年1月17日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2038年1月17日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山东能源集团有限公司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1,000,000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2022年10月17日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2025年10月17日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新汶矿业集团有限责任公司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2,750,000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2022年8月17日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2037年9月6日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青岛世纪瑞丰集团有限公司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196,000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2024年3月6日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2025年3月5日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lastRenderedPageBreak/>
              <w:t>青岛世纪瑞丰集团有限公司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279,300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2024年5月8日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2025年5月7日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青岛世纪瑞丰集团有限公司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88,200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2024年1月26日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2025年1月25日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青岛世纪瑞丰集团有限公司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269,500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2024年3月31日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2025年3月31日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青岛世纪瑞丰集团有限公司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24,500</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2024年1月30日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2025年1月30日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r>
        <w:trPr>
          <w:jc w:val="center"/>
        </w:trPr>
        <w:tc>
          <w:tcPr>
            <w:tcW w:w="184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烟台金正环保科技有限公司</w:t>
            </w:r>
          </w:p>
        </w:tc>
        <w:tc>
          <w:tcPr>
            <w:tcW w:w="81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63,819</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2023年3月10日</w:t>
            </w:r>
          </w:p>
        </w:tc>
        <w:tc>
          <w:tcPr>
            <w:tcW w:w="95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szCs w:val="21"/>
              </w:rPr>
              <w:t>2026年5月9日</w:t>
            </w:r>
          </w:p>
        </w:tc>
        <w:tc>
          <w:tcPr>
            <w:tcW w:w="431"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否</w:t>
            </w:r>
          </w:p>
        </w:tc>
      </w:tr>
    </w:tbl>
    <w:p>
      <w:pPr>
        <w:pStyle w:val="affffffffffffffffffffffffffffffffe"/>
      </w:pPr>
    </w:p>
    <w:p>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567459545"/>
        <w:placeholder>
          <w:docPart w:val="GBC22222222222222222222222222222"/>
        </w:placeholder>
      </w:sdtPr>
      <w:sdtContent>
        <w:p>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pPr>
        <w:rPr>
          <w:rFonts w:ascii="Cambria" w:hAnsi="Cambria" w:cs="Cambria"/>
          <w:sz w:val="20"/>
          <w:szCs w:val="20"/>
        </w:rPr>
      </w:pPr>
    </w:p>
    <w:p>
      <w:pPr>
        <w:pStyle w:val="afffffffffffffffffffffffffffffffff1"/>
        <w:numPr>
          <w:ilvl w:val="3"/>
          <w:numId w:val="140"/>
        </w:numPr>
        <w:ind w:left="426" w:hangingChars="202" w:hanging="426"/>
      </w:pPr>
      <w:r>
        <w:rPr>
          <w:rFonts w:hint="eastAsia"/>
        </w:rPr>
        <w:t>关联方资金拆借</w:t>
      </w:r>
    </w:p>
    <w:sdt>
      <w:sdtPr>
        <w:alias w:val="是否适用：关联方资金拆借[双击切换]"/>
        <w:tag w:val="_GBC_9b5630a86e1e452494249106e2600b15"/>
        <w:id w:val="-48716813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ascii="Cambria" w:hAnsi="Cambria" w:cs="Cambria" w:hint="eastAsia"/>
        </w:rPr>
        <w:t>单位：</w:t>
      </w:r>
      <w:sdt>
        <w:sdtPr>
          <w:rPr>
            <w:rFonts w:ascii="Cambria" w:hAnsi="Cambria" w:cs="Cambria" w:hint="eastAsia"/>
          </w:rPr>
          <w:alias w:val="单位：关联方资金拆借"/>
          <w:tag w:val="_GBC_638fcfec5a6e4e3da37731c50c9e14c8"/>
          <w:id w:val="-12020169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千元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方资金拆借"/>
          <w:tag w:val="_GBC_9ffab5562b4d42a7ad87881f0bdc32c6"/>
          <w:id w:val="-16745609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Style w:val="affffffffff8"/>
        <w:tblW w:w="5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2"/>
        <w:gridCol w:w="2206"/>
        <w:gridCol w:w="2206"/>
        <w:gridCol w:w="2204"/>
      </w:tblGrid>
      <w:tr>
        <w:trPr>
          <w:jc w:val="center"/>
        </w:trPr>
        <w:sdt>
          <w:sdtPr>
            <w:rPr>
              <w:szCs w:val="21"/>
            </w:rPr>
            <w:tag w:val="_PLD_ba0b1157f84a43a686cdfdb96fc9f605"/>
            <w:id w:val="-1290200871"/>
          </w:sdtPr>
          <w:sdtContent>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关联方</w:t>
                </w:r>
              </w:p>
            </w:tc>
          </w:sdtContent>
        </w:sdt>
        <w:sdt>
          <w:sdtPr>
            <w:rPr>
              <w:szCs w:val="21"/>
            </w:rPr>
            <w:tag w:val="_PLD_d89f0030cf1644d88e79247fb06b91f6"/>
            <w:id w:val="2097364740"/>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拆借金额</w:t>
                </w:r>
              </w:p>
            </w:tc>
          </w:sdtContent>
        </w:sdt>
        <w:sdt>
          <w:sdtPr>
            <w:rPr>
              <w:szCs w:val="21"/>
            </w:rPr>
            <w:tag w:val="_PLD_1a3f019482694e2a9a19e9e491c88664"/>
            <w:id w:val="-565024897"/>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起始日</w:t>
                </w:r>
              </w:p>
            </w:tc>
          </w:sdtContent>
        </w:sdt>
        <w:sdt>
          <w:sdtPr>
            <w:rPr>
              <w:szCs w:val="21"/>
            </w:rPr>
            <w:tag w:val="_PLD_18f4f70188ee44fa8cca86fccfa00f81"/>
            <w:id w:val="-990702798"/>
          </w:sdtPr>
          <w:sdtContent>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到期日</w:t>
                </w:r>
              </w:p>
            </w:tc>
          </w:sdtContent>
        </w:sdt>
      </w:tr>
      <w:tr>
        <w:trPr>
          <w:jc w:val="center"/>
        </w:trPr>
        <w:sdt>
          <w:sdtPr>
            <w:rPr>
              <w:szCs w:val="21"/>
            </w:rPr>
            <w:tag w:val="_PLD_bbb3c9aea6344d1392ee30f16141055a"/>
            <w:id w:val="-1568564376"/>
          </w:sdtPr>
          <w:sdtContent>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pPr>
                  <w:rPr>
                    <w:rFonts w:cs="Cambria"/>
                    <w:szCs w:val="21"/>
                  </w:rPr>
                </w:pPr>
                <w:r>
                  <w:rPr>
                    <w:rFonts w:cs="Cambria" w:hint="eastAsia"/>
                    <w:szCs w:val="21"/>
                  </w:rPr>
                  <w:t>拆入</w:t>
                </w:r>
              </w:p>
            </w:tc>
          </w:sdtContent>
        </w:sdt>
      </w:tr>
      <w:tr>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山东李楼煤业有限公司</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58,000</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szCs w:val="21"/>
              </w:rPr>
              <w:t>2024年6月24日</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szCs w:val="21"/>
              </w:rPr>
              <w:t>2027年6月23日</w:t>
            </w:r>
          </w:p>
        </w:tc>
      </w:tr>
      <w:tr>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枣庄矿业（集团）济宁岱庄煤业有限公司</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150,786</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szCs w:val="21"/>
              </w:rPr>
              <w:t>2016年4月11日</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szCs w:val="21"/>
              </w:rPr>
              <w:t>2028年8月31日</w:t>
            </w:r>
          </w:p>
        </w:tc>
      </w:tr>
      <w:tr>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浙江省能源集团财务有限责任公司</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rFonts w:hint="eastAsia"/>
                <w:szCs w:val="21"/>
              </w:rPr>
              <w:t>2</w:t>
            </w:r>
            <w:r>
              <w:rPr>
                <w:szCs w:val="21"/>
              </w:rPr>
              <w:t>00</w:t>
            </w:r>
            <w:r>
              <w:rPr>
                <w:rFonts w:hint="eastAsia"/>
                <w:szCs w:val="21"/>
              </w:rPr>
              <w:t>,</w:t>
            </w:r>
            <w:r>
              <w:rPr>
                <w:szCs w:val="21"/>
              </w:rPr>
              <w:t>000</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2</w:t>
            </w:r>
            <w:r>
              <w:rPr>
                <w:szCs w:val="21"/>
              </w:rPr>
              <w:t>024</w:t>
            </w:r>
            <w:r>
              <w:rPr>
                <w:rFonts w:hint="eastAsia"/>
                <w:szCs w:val="21"/>
              </w:rPr>
              <w:t>年3月2</w:t>
            </w:r>
            <w:r>
              <w:rPr>
                <w:szCs w:val="21"/>
              </w:rPr>
              <w:t>8</w:t>
            </w:r>
            <w:r>
              <w:rPr>
                <w:rFonts w:hint="eastAsia"/>
                <w:szCs w:val="21"/>
              </w:rPr>
              <w:t>日</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2</w:t>
            </w:r>
            <w:r>
              <w:rPr>
                <w:szCs w:val="21"/>
              </w:rPr>
              <w:t>025</w:t>
            </w:r>
            <w:r>
              <w:rPr>
                <w:rFonts w:hint="eastAsia"/>
                <w:szCs w:val="21"/>
              </w:rPr>
              <w:t>年3月2</w:t>
            </w:r>
            <w:r>
              <w:rPr>
                <w:szCs w:val="21"/>
              </w:rPr>
              <w:t>7</w:t>
            </w:r>
            <w:r>
              <w:rPr>
                <w:rFonts w:hint="eastAsia"/>
                <w:szCs w:val="21"/>
              </w:rPr>
              <w:t>日</w:t>
            </w:r>
          </w:p>
        </w:tc>
      </w:tr>
      <w:tr>
        <w:trPr>
          <w:jc w:val="center"/>
        </w:trPr>
        <w:tc>
          <w:tcPr>
            <w:tcW w:w="1815"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szCs w:val="21"/>
              </w:rPr>
            </w:pPr>
            <w:r>
              <w:rPr>
                <w:rFonts w:hint="eastAsia"/>
                <w:szCs w:val="21"/>
              </w:rPr>
              <w:t>山东能源重型装备制造集团有限责任公司</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rFonts w:hint="eastAsia"/>
                <w:szCs w:val="21"/>
              </w:rPr>
              <w:t>2</w:t>
            </w:r>
            <w:r>
              <w:rPr>
                <w:szCs w:val="21"/>
              </w:rPr>
              <w:t>76</w:t>
            </w:r>
            <w:r>
              <w:rPr>
                <w:rFonts w:hint="eastAsia"/>
                <w:szCs w:val="21"/>
              </w:rPr>
              <w:t>,</w:t>
            </w:r>
            <w:r>
              <w:rPr>
                <w:szCs w:val="21"/>
              </w:rPr>
              <w:t>720</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2</w:t>
            </w:r>
            <w:r>
              <w:rPr>
                <w:szCs w:val="21"/>
              </w:rPr>
              <w:t>022</w:t>
            </w:r>
            <w:r>
              <w:rPr>
                <w:rFonts w:hint="eastAsia"/>
                <w:szCs w:val="21"/>
              </w:rPr>
              <w:t>年</w:t>
            </w:r>
            <w:r>
              <w:rPr>
                <w:szCs w:val="21"/>
              </w:rPr>
              <w:t>5</w:t>
            </w:r>
            <w:r>
              <w:rPr>
                <w:rFonts w:hint="eastAsia"/>
                <w:szCs w:val="21"/>
              </w:rPr>
              <w:t>月</w:t>
            </w:r>
            <w:r>
              <w:rPr>
                <w:szCs w:val="21"/>
              </w:rPr>
              <w:t>30</w:t>
            </w:r>
            <w:r>
              <w:rPr>
                <w:rFonts w:hint="eastAsia"/>
                <w:szCs w:val="21"/>
              </w:rPr>
              <w:t>日</w:t>
            </w:r>
          </w:p>
        </w:tc>
        <w:tc>
          <w:tcPr>
            <w:tcW w:w="106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szCs w:val="21"/>
              </w:rPr>
            </w:pPr>
            <w:r>
              <w:rPr>
                <w:rFonts w:hint="eastAsia"/>
                <w:szCs w:val="21"/>
              </w:rPr>
              <w:t>无固定到期日</w:t>
            </w:r>
          </w:p>
        </w:tc>
      </w:tr>
    </w:tbl>
    <w:p>
      <w:pPr>
        <w:pStyle w:val="affffffffffffffffffffffffffffffffe"/>
        <w:rPr>
          <w:szCs w:val="21"/>
        </w:rPr>
      </w:pPr>
    </w:p>
    <w:p>
      <w:pPr>
        <w:rPr>
          <w:szCs w:val="21"/>
        </w:rPr>
      </w:pPr>
    </w:p>
    <w:tbl>
      <w:tblPr>
        <w:tblStyle w:val="g46"/>
        <w:tblW w:w="0" w:type="auto"/>
        <w:jc w:val="center"/>
        <w:tblInd w:w="0" w:type="dxa"/>
        <w:tblLook w:val="04A0" w:firstRow="1" w:lastRow="0" w:firstColumn="1" w:lastColumn="0" w:noHBand="0" w:noVBand="1"/>
      </w:tblPr>
      <w:tblGrid>
        <w:gridCol w:w="2830"/>
        <w:gridCol w:w="2024"/>
        <w:gridCol w:w="1984"/>
        <w:gridCol w:w="1985"/>
      </w:tblGrid>
      <w:tr>
        <w:trPr>
          <w:jc w:val="center"/>
        </w:trPr>
        <w:tc>
          <w:tcPr>
            <w:tcW w:w="3203" w:type="dxa"/>
          </w:tcPr>
          <w:sdt>
            <w:sdtPr>
              <w:rPr>
                <w:szCs w:val="21"/>
              </w:rPr>
              <w:tag w:val="_PLD_8bbf03380b0b4d5fa969335734850577"/>
              <w:id w:val="1099068996"/>
            </w:sdtPr>
            <w:sdtContent>
              <w:p>
                <w:pPr>
                  <w:jc w:val="center"/>
                  <w:rPr>
                    <w:szCs w:val="21"/>
                  </w:rPr>
                </w:pPr>
                <w:r>
                  <w:rPr>
                    <w:rFonts w:hint="eastAsia"/>
                    <w:szCs w:val="21"/>
                  </w:rPr>
                  <w:t>关联方</w:t>
                </w:r>
              </w:p>
            </w:sdtContent>
          </w:sdt>
        </w:tc>
        <w:tc>
          <w:tcPr>
            <w:tcW w:w="2206" w:type="dxa"/>
          </w:tcPr>
          <w:sdt>
            <w:sdtPr>
              <w:rPr>
                <w:szCs w:val="21"/>
              </w:rPr>
              <w:tag w:val="_PLD_d9ddc94094f34ae68a297ffd19479683"/>
              <w:id w:val="1660961243"/>
            </w:sdtPr>
            <w:sdtContent>
              <w:p>
                <w:pPr>
                  <w:jc w:val="center"/>
                  <w:rPr>
                    <w:szCs w:val="21"/>
                  </w:rPr>
                </w:pPr>
                <w:r>
                  <w:rPr>
                    <w:rFonts w:hint="eastAsia"/>
                    <w:szCs w:val="21"/>
                  </w:rPr>
                  <w:t>拆借金额</w:t>
                </w:r>
              </w:p>
            </w:sdtContent>
          </w:sdt>
        </w:tc>
        <w:tc>
          <w:tcPr>
            <w:tcW w:w="2205" w:type="dxa"/>
          </w:tcPr>
          <w:sdt>
            <w:sdtPr>
              <w:rPr>
                <w:szCs w:val="21"/>
              </w:rPr>
              <w:tag w:val="_PLD_6074a6e8ccf3434d9d8a5ea932290146"/>
              <w:id w:val="-986623814"/>
            </w:sdtPr>
            <w:sdtContent>
              <w:p>
                <w:pPr>
                  <w:jc w:val="center"/>
                  <w:rPr>
                    <w:szCs w:val="21"/>
                  </w:rPr>
                </w:pPr>
                <w:r>
                  <w:rPr>
                    <w:rFonts w:hint="eastAsia"/>
                    <w:szCs w:val="21"/>
                  </w:rPr>
                  <w:t>起始日</w:t>
                </w:r>
              </w:p>
            </w:sdtContent>
          </w:sdt>
        </w:tc>
        <w:tc>
          <w:tcPr>
            <w:tcW w:w="2206" w:type="dxa"/>
          </w:tcPr>
          <w:sdt>
            <w:sdtPr>
              <w:rPr>
                <w:szCs w:val="21"/>
              </w:rPr>
              <w:tag w:val="_PLD_a15c391ff0d24f4591391c783fac1213"/>
              <w:id w:val="1208067451"/>
            </w:sdtPr>
            <w:sdtContent>
              <w:p>
                <w:pPr>
                  <w:jc w:val="center"/>
                  <w:rPr>
                    <w:szCs w:val="21"/>
                  </w:rPr>
                </w:pPr>
                <w:r>
                  <w:rPr>
                    <w:rFonts w:hint="eastAsia"/>
                    <w:szCs w:val="21"/>
                  </w:rPr>
                  <w:t>到期日</w:t>
                </w:r>
              </w:p>
            </w:sdtContent>
          </w:sdt>
        </w:tc>
      </w:tr>
      <w:tr>
        <w:trPr>
          <w:jc w:val="center"/>
        </w:trPr>
        <w:tc>
          <w:tcPr>
            <w:tcW w:w="9820" w:type="dxa"/>
            <w:gridSpan w:val="4"/>
          </w:tcPr>
          <w:sdt>
            <w:sdtPr>
              <w:rPr>
                <w:szCs w:val="21"/>
              </w:rPr>
              <w:tag w:val="_PLD_ee454b6a404f46ba83896a7148d74aa7"/>
              <w:id w:val="-837619279"/>
            </w:sdtPr>
            <w:sdtContent>
              <w:p>
                <w:pPr>
                  <w:pStyle w:val="affffffffffffffffffffffffffffffffe"/>
                  <w:rPr>
                    <w:szCs w:val="21"/>
                  </w:rPr>
                </w:pPr>
                <w:r>
                  <w:rPr>
                    <w:rFonts w:hint="eastAsia"/>
                    <w:szCs w:val="21"/>
                  </w:rPr>
                  <w:t>拆出</w:t>
                </w:r>
              </w:p>
            </w:sdtContent>
          </w:sdt>
        </w:tc>
      </w:tr>
      <w:tr>
        <w:trPr>
          <w:jc w:val="center"/>
        </w:trPr>
        <w:tc>
          <w:tcPr>
            <w:tcW w:w="3203" w:type="dxa"/>
            <w:vAlign w:val="center"/>
          </w:tcPr>
          <w:p>
            <w:pPr>
              <w:spacing w:line="360" w:lineRule="exact"/>
              <w:jc w:val="left"/>
              <w:rPr>
                <w:szCs w:val="21"/>
              </w:rPr>
            </w:pPr>
            <w:r>
              <w:rPr>
                <w:rFonts w:hint="eastAsia"/>
                <w:szCs w:val="21"/>
              </w:rPr>
              <w:t>伊犁新天煤化工有限责任公司</w:t>
            </w:r>
          </w:p>
        </w:tc>
        <w:tc>
          <w:tcPr>
            <w:tcW w:w="2206" w:type="dxa"/>
            <w:vAlign w:val="center"/>
          </w:tcPr>
          <w:p>
            <w:pPr>
              <w:spacing w:line="360" w:lineRule="exact"/>
              <w:jc w:val="right"/>
              <w:rPr>
                <w:szCs w:val="21"/>
              </w:rPr>
            </w:pPr>
            <w:r>
              <w:rPr>
                <w:szCs w:val="21"/>
              </w:rPr>
              <w:t>135</w:t>
            </w:r>
            <w:r>
              <w:rPr>
                <w:rFonts w:hint="eastAsia"/>
                <w:szCs w:val="21"/>
              </w:rPr>
              <w:t>,</w:t>
            </w:r>
            <w:r>
              <w:rPr>
                <w:szCs w:val="21"/>
              </w:rPr>
              <w:t>000</w:t>
            </w:r>
          </w:p>
        </w:tc>
        <w:tc>
          <w:tcPr>
            <w:tcW w:w="2205" w:type="dxa"/>
            <w:vAlign w:val="center"/>
          </w:tcPr>
          <w:p>
            <w:pPr>
              <w:spacing w:line="360" w:lineRule="exact"/>
              <w:jc w:val="center"/>
              <w:rPr>
                <w:szCs w:val="21"/>
              </w:rPr>
            </w:pPr>
            <w:r>
              <w:rPr>
                <w:rFonts w:hint="eastAsia"/>
                <w:szCs w:val="21"/>
              </w:rPr>
              <w:t>2</w:t>
            </w:r>
            <w:r>
              <w:rPr>
                <w:szCs w:val="21"/>
              </w:rPr>
              <w:t>024</w:t>
            </w:r>
            <w:r>
              <w:rPr>
                <w:rFonts w:hint="eastAsia"/>
                <w:szCs w:val="21"/>
              </w:rPr>
              <w:t>年</w:t>
            </w:r>
            <w:r>
              <w:rPr>
                <w:szCs w:val="21"/>
              </w:rPr>
              <w:t>1</w:t>
            </w:r>
            <w:r>
              <w:rPr>
                <w:rFonts w:hint="eastAsia"/>
                <w:szCs w:val="21"/>
              </w:rPr>
              <w:t>月</w:t>
            </w:r>
            <w:r>
              <w:rPr>
                <w:szCs w:val="21"/>
              </w:rPr>
              <w:t>1</w:t>
            </w:r>
            <w:r>
              <w:rPr>
                <w:rFonts w:hint="eastAsia"/>
                <w:szCs w:val="21"/>
              </w:rPr>
              <w:t>日</w:t>
            </w:r>
          </w:p>
        </w:tc>
        <w:tc>
          <w:tcPr>
            <w:tcW w:w="2206" w:type="dxa"/>
            <w:vAlign w:val="center"/>
          </w:tcPr>
          <w:p>
            <w:pPr>
              <w:spacing w:line="360" w:lineRule="exact"/>
              <w:jc w:val="center"/>
              <w:rPr>
                <w:szCs w:val="21"/>
              </w:rPr>
            </w:pPr>
            <w:r>
              <w:rPr>
                <w:rFonts w:hint="eastAsia"/>
                <w:szCs w:val="21"/>
              </w:rPr>
              <w:t>2</w:t>
            </w:r>
            <w:r>
              <w:rPr>
                <w:szCs w:val="21"/>
              </w:rPr>
              <w:t>024</w:t>
            </w:r>
            <w:r>
              <w:rPr>
                <w:rFonts w:hint="eastAsia"/>
                <w:szCs w:val="21"/>
              </w:rPr>
              <w:t>年</w:t>
            </w:r>
            <w:r>
              <w:rPr>
                <w:szCs w:val="21"/>
              </w:rPr>
              <w:t>12</w:t>
            </w:r>
            <w:r>
              <w:rPr>
                <w:rFonts w:hint="eastAsia"/>
                <w:szCs w:val="21"/>
              </w:rPr>
              <w:t>月</w:t>
            </w:r>
            <w:r>
              <w:rPr>
                <w:szCs w:val="21"/>
              </w:rPr>
              <w:t>31</w:t>
            </w:r>
            <w:r>
              <w:rPr>
                <w:rFonts w:hint="eastAsia"/>
                <w:szCs w:val="21"/>
              </w:rPr>
              <w:t>日</w:t>
            </w:r>
          </w:p>
        </w:tc>
      </w:tr>
    </w:tbl>
    <w:p>
      <w:pPr>
        <w:pStyle w:val="affffffffffffffffffffffffffffffffe"/>
      </w:pPr>
    </w:p>
    <w:p>
      <w:pPr>
        <w:pStyle w:val="afffffffffffffffffffffffffffffffff1"/>
        <w:numPr>
          <w:ilvl w:val="3"/>
          <w:numId w:val="140"/>
        </w:numPr>
        <w:ind w:left="426" w:hangingChars="202" w:hanging="426"/>
      </w:pPr>
      <w:r>
        <w:rPr>
          <w:rFonts w:hint="eastAsia"/>
        </w:rPr>
        <w:t>关联方资产转让、债务重组情况</w:t>
      </w:r>
    </w:p>
    <w:sdt>
      <w:sdtPr>
        <w:alias w:val="是否适用：关联方资产转让、债务重组情况[双击切换]"/>
        <w:tag w:val="_GBC_6f8fce72ce784c23aba8af28c51de336"/>
        <w:id w:val="191519530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3"/>
          <w:numId w:val="140"/>
        </w:numPr>
        <w:ind w:left="426" w:hangingChars="202" w:hanging="426"/>
      </w:pPr>
      <w:r>
        <w:rPr>
          <w:rFonts w:hint="eastAsia"/>
        </w:rPr>
        <w:t>关键管理人员报酬</w:t>
      </w:r>
    </w:p>
    <w:sdt>
      <w:sdtPr>
        <w:alias w:val="是否适用：关键管理人员报酬[双击切换]"/>
        <w:tag w:val="_GBC_4768ccd806f845f4b6f5f0ec038ec747"/>
        <w:id w:val="86009727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szCs w:val="21"/>
        </w:rPr>
      </w:pPr>
      <w:r>
        <w:rPr>
          <w:rFonts w:ascii="Cambria" w:hAnsi="Cambria" w:cs="Cambria" w:hint="eastAsia"/>
          <w:szCs w:val="21"/>
        </w:rPr>
        <w:t>单位：</w:t>
      </w:r>
      <w:sdt>
        <w:sdtPr>
          <w:rPr>
            <w:rFonts w:ascii="Cambria" w:hAnsi="Cambria" w:cs="Cambria" w:hint="eastAsia"/>
            <w:szCs w:val="21"/>
          </w:rPr>
          <w:alias w:val="单位：财务附注：关键管理人员报酬"/>
          <w:tag w:val="_GBC_3dcac03c36954e5ab3dab539e6a2f735"/>
          <w:id w:val="12581016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szCs w:val="21"/>
            </w:rPr>
            <w:t>千元</w:t>
          </w:r>
        </w:sdtContent>
      </w:sdt>
      <w:r>
        <w:rPr>
          <w:rFonts w:ascii="Cambria" w:hAnsi="Cambria" w:cs="Cambria" w:hint="eastAsia"/>
          <w:szCs w:val="21"/>
        </w:rPr>
        <w:t xml:space="preserve">  </w:t>
      </w:r>
      <w:r>
        <w:rPr>
          <w:rFonts w:ascii="Cambria" w:hAnsi="Cambria" w:cs="Cambria" w:hint="eastAsia"/>
          <w:szCs w:val="21"/>
        </w:rPr>
        <w:t>币种：</w:t>
      </w:r>
      <w:sdt>
        <w:sdtPr>
          <w:rPr>
            <w:rFonts w:ascii="Cambria" w:hAnsi="Cambria" w:cs="Cambria" w:hint="eastAsia"/>
            <w:szCs w:val="21"/>
          </w:rPr>
          <w:alias w:val="币种：财务附注：关键管理人员报酬"/>
          <w:tag w:val="_GBC_9bf846a4da0046829fd7baa3fd1fe348"/>
          <w:id w:val="-4133126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2439"/>
      </w:tblGrid>
      <w:tr>
        <w:sdt>
          <w:sdtPr>
            <w:rPr>
              <w:szCs w:val="21"/>
            </w:rPr>
            <w:tag w:val="_PLD_3d38745be5c64397b1dab92289838da1"/>
            <w:id w:val="-985234760"/>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项目</w:t>
                </w:r>
              </w:p>
            </w:tc>
          </w:sdtContent>
        </w:sdt>
        <w:sdt>
          <w:sdtPr>
            <w:rPr>
              <w:szCs w:val="21"/>
            </w:rPr>
            <w:tag w:val="_PLD_31133ff59dcf4a7b93a7991d1f435b05"/>
            <w:id w:val="478503633"/>
          </w:sdtPr>
          <w:sdtContent>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本期发生额</w:t>
                </w:r>
              </w:p>
            </w:tc>
          </w:sdtContent>
        </w:sdt>
        <w:sdt>
          <w:sdtPr>
            <w:rPr>
              <w:szCs w:val="21"/>
            </w:rPr>
            <w:tag w:val="_PLD_e08658a238f7419ca0d4ce3386ff565e"/>
            <w:id w:val="1089971656"/>
          </w:sdtPr>
          <w:sdtContent>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rFonts w:cs="Cambria"/>
                    <w:szCs w:val="21"/>
                  </w:rPr>
                </w:pPr>
                <w:r>
                  <w:rPr>
                    <w:rFonts w:cs="Cambria" w:hint="eastAsia"/>
                    <w:szCs w:val="21"/>
                  </w:rPr>
                  <w:t>上期发生额</w:t>
                </w:r>
              </w:p>
            </w:tc>
          </w:sdtContent>
        </w:sdt>
      </w:tr>
      <w:tr>
        <w:tc>
          <w:tcPr>
            <w:tcW w:w="1809" w:type="pct"/>
            <w:tcBorders>
              <w:top w:val="single" w:sz="4" w:space="0" w:color="auto"/>
              <w:left w:val="single" w:sz="4" w:space="0" w:color="auto"/>
              <w:bottom w:val="single" w:sz="4" w:space="0" w:color="auto"/>
              <w:right w:val="single" w:sz="4" w:space="0" w:color="auto"/>
            </w:tcBorders>
            <w:shd w:val="clear" w:color="auto" w:fill="auto"/>
          </w:tcPr>
          <w:p>
            <w:pPr>
              <w:rPr>
                <w:rFonts w:cs="Cambria"/>
                <w:szCs w:val="21"/>
              </w:rPr>
            </w:pPr>
            <w:r>
              <w:rPr>
                <w:rFonts w:cs="Cambria" w:hint="eastAsia"/>
                <w:szCs w:val="21"/>
              </w:rPr>
              <w:t>关键管理人员报酬</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26,289</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21,364</w:t>
            </w:r>
          </w:p>
        </w:tc>
      </w:tr>
    </w:tbl>
    <w:p>
      <w:pPr>
        <w:pStyle w:val="affffffffffffffffffffffffffffffffe"/>
      </w:pPr>
    </w:p>
    <w:p>
      <w:pPr>
        <w:pStyle w:val="afffffffffffffffffffffffffffffffff1"/>
        <w:numPr>
          <w:ilvl w:val="3"/>
          <w:numId w:val="140"/>
        </w:numPr>
        <w:ind w:left="426" w:hangingChars="202" w:hanging="426"/>
      </w:pPr>
      <w:r>
        <w:rPr>
          <w:rFonts w:hint="eastAsia"/>
        </w:rPr>
        <w:t>其他关联交易</w:t>
      </w:r>
    </w:p>
    <w:sdt>
      <w:sdtPr>
        <w:rPr>
          <w:rFonts w:hint="eastAsia"/>
          <w:szCs w:val="21"/>
        </w:rPr>
        <w:alias w:val="是否适用：其他关联交易[双击切换]"/>
        <w:tag w:val="_GBC_a1203a07d7684e08bdc2f1959f1cb9ae"/>
        <w:id w:val="141157753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186652303"/>
        <w:placeholder>
          <w:docPart w:val="GBC22222222222222222222222222222"/>
        </w:placeholder>
      </w:sdtPr>
      <w:sdtContent>
        <w:p>
          <w:pPr>
            <w:rPr>
              <w:szCs w:val="21"/>
            </w:rPr>
          </w:pPr>
        </w:p>
        <w:tbl>
          <w:tblPr>
            <w:tblStyle w:val="affffffffff8"/>
            <w:tblW w:w="9776" w:type="dxa"/>
            <w:jc w:val="center"/>
            <w:tblLayout w:type="fixed"/>
            <w:tblLook w:val="04A0" w:firstRow="1" w:lastRow="0" w:firstColumn="1" w:lastColumn="0" w:noHBand="0" w:noVBand="1"/>
            <w:tblCaption w:val="D:\Users\202435566\Desktop\0-兖矿能源2024年TB（内蒙古金控）-0320\2024兖矿职衡tb|TB-合：兖矿能源.xlsx|披露附注|_jds1aFDMmCkU0arodL8eSoKnQ|0|desc|||0|1"/>
          </w:tblPr>
          <w:tblGrid>
            <w:gridCol w:w="2689"/>
            <w:gridCol w:w="2551"/>
            <w:gridCol w:w="1701"/>
            <w:gridCol w:w="1843"/>
            <w:gridCol w:w="992"/>
          </w:tblGrid>
          <w:tr>
            <w:trPr>
              <w:trHeight w:val="397"/>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关联方</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项目名称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本年发生额</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上年发生额</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关联交易内容</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工程施工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2,556,485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2,603,290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保安服务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153,268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121,538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lastRenderedPageBreak/>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员工个人福利</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48,887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21,451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利息支出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1,885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209,352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资产租赁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102,495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43,209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资产租赁</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29,681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维修服务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192,304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lang w:val="en-GB"/>
                  </w:rPr>
                </w:pPr>
                <w:r>
                  <w:rPr>
                    <w:color w:val="000000"/>
                    <w:szCs w:val="21"/>
                    <w:lang w:val="en-GB"/>
                  </w:rPr>
                  <w:t>234,979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color w:val="000000"/>
                    <w:szCs w:val="21"/>
                  </w:rPr>
                  <w:t>ERP运维服务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147,739</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47,170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医疗救护服务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39,446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44,667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1</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山能财司利息收入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417,354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449,098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2</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山能财司利息收入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25,755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2,813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山能财司利息收入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4,035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2,176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lang w:val="en-GB"/>
                  </w:rPr>
                  <w:t>山能财司手续费收入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1,372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796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3</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山能财司手续费收入</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67</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山能财司利息支出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295,578</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339,968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4</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山能财司利息支出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山能财司利息支出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山能财司发放贷款（含贴现）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13,750,950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17,314,000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5</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山能财司发放贷款（含贴现）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818,000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山能财司发放贷款（含贴现）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150,000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山能财司收回贷款（含贴现）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13,850,000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16,020,000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6</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山能财司收回贷款（含贴现）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500,000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500,000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山能财司收回贷款（含贴现）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350,000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控股股东及其控制的公司</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山能财司收到存款净额</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-2,644,121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-9,446,168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r>
                  <w:rPr>
                    <w:rFonts w:hint="eastAsia"/>
                    <w:color w:val="000000"/>
                    <w:szCs w:val="21"/>
                  </w:rPr>
                  <w:t>注</w:t>
                </w:r>
                <w:r>
                  <w:rPr>
                    <w:color w:val="000000"/>
                    <w:szCs w:val="21"/>
                  </w:rPr>
                  <w:t>7</w:t>
                </w: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其他关联方</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山能财司收到存款净额</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r>
            <w:trPr>
              <w:trHeight w:val="397"/>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联营企业</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山能财司收到存款净额</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lang w:val="en-GB"/>
                  </w:rPr>
                  <w:t>20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pPr>
                  <w:jc w:val="right"/>
                  <w:rPr>
                    <w:color w:val="000000"/>
                    <w:szCs w:val="21"/>
                  </w:rPr>
                </w:pPr>
              </w:p>
            </w:tc>
          </w:tr>
        </w:tbl>
        <w:p>
          <w:pPr>
            <w:autoSpaceDE w:val="0"/>
            <w:autoSpaceDN w:val="0"/>
            <w:adjustRightInd w:val="0"/>
            <w:spacing w:afterLines="50" w:after="120" w:line="360" w:lineRule="exact"/>
            <w:ind w:firstLineChars="200" w:firstLine="420"/>
          </w:pPr>
        </w:p>
        <w:p>
          <w:pPr>
            <w:autoSpaceDE w:val="0"/>
            <w:autoSpaceDN w:val="0"/>
            <w:adjustRightInd w:val="0"/>
            <w:spacing w:afterLines="50" w:after="120" w:line="360" w:lineRule="exact"/>
            <w:ind w:firstLineChars="200" w:firstLine="420"/>
          </w:pPr>
          <w:r>
            <w:rPr>
              <w:rFonts w:hint="eastAsia"/>
            </w:rPr>
            <w:t>注1：根据本公司与山东能源签订的劳务及服务互供协议，由山东能源下属各部门、单位向本公司提供约定服务并收取相应的费用，交易价格以市场价格、政府定价或双方协议价格确定，2024年获批准的交易上限金额为5,662,000千元。</w:t>
          </w:r>
        </w:p>
        <w:p>
          <w:pPr>
            <w:autoSpaceDE w:val="0"/>
            <w:autoSpaceDN w:val="0"/>
            <w:adjustRightInd w:val="0"/>
            <w:spacing w:afterLines="50" w:after="120" w:line="360" w:lineRule="exact"/>
            <w:ind w:firstLineChars="200" w:firstLine="420"/>
          </w:pPr>
          <w:r>
            <w:rPr>
              <w:rFonts w:hint="eastAsia"/>
            </w:rPr>
            <w:t>注2：山能财司利息收入是指给予关联方贷款所收到的利息收入，适用利率为现行借款利率。</w:t>
          </w:r>
        </w:p>
        <w:p>
          <w:pPr>
            <w:autoSpaceDE w:val="0"/>
            <w:autoSpaceDN w:val="0"/>
            <w:adjustRightInd w:val="0"/>
            <w:spacing w:afterLines="50" w:after="120" w:line="360" w:lineRule="exact"/>
            <w:ind w:firstLineChars="200" w:firstLine="420"/>
          </w:pPr>
          <w:r>
            <w:rPr>
              <w:rFonts w:hint="eastAsia"/>
            </w:rPr>
            <w:lastRenderedPageBreak/>
            <w:t>注3：山能财司手续费收入是指给予关联方提供的担保手续费、保函手续费、承兑手续费和委托贷款手续费等。</w:t>
          </w:r>
        </w:p>
        <w:p>
          <w:pPr>
            <w:autoSpaceDE w:val="0"/>
            <w:autoSpaceDN w:val="0"/>
            <w:adjustRightInd w:val="0"/>
            <w:spacing w:afterLines="50" w:after="120" w:line="360" w:lineRule="exact"/>
            <w:ind w:firstLineChars="200" w:firstLine="420"/>
          </w:pPr>
          <w:r>
            <w:rPr>
              <w:rFonts w:hint="eastAsia"/>
            </w:rPr>
            <w:t>注4：山能财司利息支出是指吸收关联方存款及关联方借款所发生的利息费用。适用利率为现行银行利率。</w:t>
          </w:r>
        </w:p>
        <w:p>
          <w:pPr>
            <w:autoSpaceDE w:val="0"/>
            <w:autoSpaceDN w:val="0"/>
            <w:adjustRightInd w:val="0"/>
            <w:spacing w:afterLines="50" w:after="120" w:line="360" w:lineRule="exact"/>
            <w:ind w:firstLineChars="200" w:firstLine="420"/>
          </w:pPr>
          <w:r>
            <w:rPr>
              <w:rFonts w:hint="eastAsia"/>
            </w:rPr>
            <w:t>注5：山能财司发放贷款是指山能财司发放予关联方的贷款及贴现。</w:t>
          </w:r>
        </w:p>
        <w:p>
          <w:pPr>
            <w:autoSpaceDE w:val="0"/>
            <w:autoSpaceDN w:val="0"/>
            <w:adjustRightInd w:val="0"/>
            <w:spacing w:afterLines="50" w:after="120" w:line="360" w:lineRule="exact"/>
            <w:ind w:firstLineChars="200" w:firstLine="420"/>
          </w:pPr>
          <w:r>
            <w:rPr>
              <w:rFonts w:hint="eastAsia"/>
            </w:rPr>
            <w:t>注6：山能财司收回贷款是指关联方向山能财司偿还贷款及贴现。</w:t>
          </w:r>
        </w:p>
        <w:p>
          <w:pPr>
            <w:autoSpaceDE w:val="0"/>
            <w:autoSpaceDN w:val="0"/>
            <w:adjustRightInd w:val="0"/>
            <w:spacing w:afterLines="50" w:after="120" w:line="360" w:lineRule="exact"/>
            <w:ind w:firstLineChars="200" w:firstLine="420"/>
          </w:pPr>
          <w:r>
            <w:rPr>
              <w:rFonts w:hint="eastAsia"/>
            </w:rPr>
            <w:t>注7：山能财司收到存款净额是指山能财司收到（返还）山东能源及其关联方的净存款。</w:t>
          </w:r>
        </w:p>
        <w:p>
          <w:pPr>
            <w:rPr>
              <w:szCs w:val="21"/>
            </w:rPr>
          </w:pPr>
        </w:p>
      </w:sdtContent>
    </w:sdt>
    <w:p>
      <w:pPr>
        <w:rPr>
          <w:szCs w:val="21"/>
        </w:rPr>
      </w:pPr>
    </w:p>
    <w:p>
      <w:pPr>
        <w:pStyle w:val="afffffffffffffffffffffffffffffffff0"/>
        <w:numPr>
          <w:ilvl w:val="0"/>
          <w:numId w:val="189"/>
        </w:numPr>
        <w:ind w:left="450" w:hanging="450"/>
        <w:rPr>
          <w:rFonts w:ascii="宋体" w:hAnsi="宋体" w:cs="Arial"/>
          <w:szCs w:val="21"/>
        </w:rPr>
      </w:pPr>
      <w:r>
        <w:rPr>
          <w:rFonts w:ascii="宋体" w:hAnsi="宋体" w:cs="Arial" w:hint="eastAsia"/>
          <w:szCs w:val="21"/>
        </w:rPr>
        <w:t>应收、应付关联方等未结算项目情况</w:t>
      </w:r>
    </w:p>
    <w:p>
      <w:pPr>
        <w:pStyle w:val="afffffffffffffffffffffffffffffffff1"/>
        <w:numPr>
          <w:ilvl w:val="3"/>
          <w:numId w:val="190"/>
        </w:numPr>
        <w:ind w:left="426" w:hangingChars="202" w:hanging="426"/>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962499930"/>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收关联方款项"/>
          <w:tag w:val="_GBC_83968b233566404db428b085bcb695b8"/>
          <w:id w:val="-13884088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上市公司应收关联方款项"/>
          <w:tag w:val="_GBC_546206ef37784e9ca5284158e64b95dc"/>
          <w:id w:val="5888181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2658"/>
        <w:gridCol w:w="1355"/>
        <w:gridCol w:w="1353"/>
        <w:gridCol w:w="1479"/>
        <w:gridCol w:w="1847"/>
      </w:tblGrid>
      <w:tr>
        <w:trPr>
          <w:jc w:val="center"/>
        </w:trPr>
        <w:sdt>
          <w:sdtPr>
            <w:rPr>
              <w:szCs w:val="21"/>
            </w:rPr>
            <w:tag w:val="_PLD_c0c6dc2d23f94f929199b42c584f57ca"/>
            <w:id w:val="-1957549933"/>
          </w:sdtPr>
          <w:sdtContent>
            <w:tc>
              <w:tcPr>
                <w:tcW w:w="816"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项目名称</w:t>
                </w:r>
              </w:p>
            </w:tc>
          </w:sdtContent>
        </w:sdt>
        <w:sdt>
          <w:sdtPr>
            <w:rPr>
              <w:szCs w:val="21"/>
            </w:rPr>
            <w:tag w:val="_PLD_56aedf077d5c4d3b814d04d193f71af7"/>
            <w:id w:val="-381863516"/>
          </w:sdtPr>
          <w:sdtContent>
            <w:tc>
              <w:tcPr>
                <w:tcW w:w="1279"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关联方</w:t>
                </w:r>
              </w:p>
            </w:tc>
          </w:sdtContent>
        </w:sdt>
        <w:sdt>
          <w:sdtPr>
            <w:rPr>
              <w:szCs w:val="21"/>
            </w:rPr>
            <w:tag w:val="_PLD_e8867e7b52fb42f4b447e445a20beebc"/>
            <w:id w:val="-1883859957"/>
          </w:sdtPr>
          <w:sdtContent>
            <w:tc>
              <w:tcPr>
                <w:tcW w:w="1303"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期末余额</w:t>
                </w:r>
              </w:p>
            </w:tc>
          </w:sdtContent>
        </w:sdt>
        <w:sdt>
          <w:sdtPr>
            <w:rPr>
              <w:szCs w:val="21"/>
            </w:rPr>
            <w:tag w:val="_PLD_6a4888e558004037a5faac678bea523c"/>
            <w:id w:val="-1139574753"/>
          </w:sdtPr>
          <w:sdtContent>
            <w:tc>
              <w:tcPr>
                <w:tcW w:w="1601"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期初余额</w:t>
                </w:r>
              </w:p>
            </w:tc>
          </w:sdtContent>
        </w:sdt>
      </w:tr>
      <w:tr>
        <w:trPr>
          <w:jc w:val="center"/>
        </w:trPr>
        <w:tc>
          <w:tcPr>
            <w:tcW w:w="816" w:type="pct"/>
            <w:vMerge/>
            <w:tcBorders>
              <w:left w:val="single" w:sz="4" w:space="0" w:color="auto"/>
              <w:bottom w:val="single" w:sz="4" w:space="0" w:color="auto"/>
              <w:right w:val="single" w:sz="4" w:space="0" w:color="auto"/>
            </w:tcBorders>
            <w:vAlign w:val="center"/>
          </w:tcPr>
          <w:p>
            <w:pPr>
              <w:jc w:val="center"/>
              <w:rPr>
                <w:szCs w:val="21"/>
              </w:rPr>
            </w:pPr>
          </w:p>
        </w:tc>
        <w:tc>
          <w:tcPr>
            <w:tcW w:w="1279" w:type="pct"/>
            <w:vMerge/>
            <w:tcBorders>
              <w:left w:val="single" w:sz="4" w:space="0" w:color="auto"/>
              <w:bottom w:val="single" w:sz="4" w:space="0" w:color="auto"/>
              <w:right w:val="single" w:sz="4" w:space="0" w:color="auto"/>
            </w:tcBorders>
            <w:vAlign w:val="center"/>
          </w:tcPr>
          <w:p>
            <w:pPr>
              <w:jc w:val="center"/>
              <w:rPr>
                <w:szCs w:val="21"/>
              </w:rPr>
            </w:pPr>
          </w:p>
        </w:tc>
        <w:sdt>
          <w:sdtPr>
            <w:rPr>
              <w:szCs w:val="21"/>
            </w:rPr>
            <w:tag w:val="_PLD_0545f54235344f978e1e8356e1b05042"/>
            <w:id w:val="-1498953702"/>
          </w:sdtPr>
          <w:sdtContent>
            <w:tc>
              <w:tcPr>
                <w:tcW w:w="652"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9e6982f3b5cd46e9b3be23eda364cd7a"/>
            <w:id w:val="46261999"/>
          </w:sdtPr>
          <w:sdtContent>
            <w:tc>
              <w:tcPr>
                <w:tcW w:w="651"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sdt>
          <w:sdtPr>
            <w:rPr>
              <w:szCs w:val="21"/>
            </w:rPr>
            <w:tag w:val="_PLD_5c8e0a4ac99e4539bea932f77317d8de"/>
            <w:id w:val="-886951886"/>
          </w:sdtPr>
          <w:sdtContent>
            <w:tc>
              <w:tcPr>
                <w:tcW w:w="712"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c5afa9908d794831a4bc715802a1061d"/>
            <w:id w:val="1005098462"/>
          </w:sdtPr>
          <w:sdtContent>
            <w:tc>
              <w:tcPr>
                <w:tcW w:w="889"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应收款项融资</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134,572</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119,113</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应收款项融资</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8,458</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应收票据</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5,913</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765,427</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应收账款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1,230,811</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1,215,742</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应收账款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6,907</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31,357</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应收账款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44,002</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582</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应收账款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737,878</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213,471</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合同资产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3,880</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20,400</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预付款项</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75,895</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179,305</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预付款项</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24,208</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6,455</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预付款项</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1,986</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其他应收款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132,011</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129,398</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其他应收款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214,998</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1,003,197</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其他应收款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958,649</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387,109</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7,494,950</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187,374</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12,424,000</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310,600</w:t>
            </w: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150,000</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3,750</w:t>
            </w: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818,000</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20,450</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500,000</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12,500</w:t>
            </w: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一年内到期的非流动资产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3,177,650</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50,000</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一年内到期的非流动资产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rFonts w:hint="eastAsia"/>
                <w:szCs w:val="21"/>
              </w:rPr>
              <w:t>2</w:t>
            </w:r>
            <w:r>
              <w:rPr>
                <w:szCs w:val="21"/>
              </w:rPr>
              <w:t>42</w:t>
            </w:r>
            <w:r>
              <w:rPr>
                <w:rFonts w:hint="eastAsia"/>
                <w:szCs w:val="21"/>
              </w:rPr>
              <w:t>,</w:t>
            </w:r>
            <w:r>
              <w:rPr>
                <w:szCs w:val="21"/>
              </w:rPr>
              <w:t>446</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rFonts w:hint="eastAsia"/>
                <w:szCs w:val="21"/>
              </w:rPr>
              <w:t>2</w:t>
            </w:r>
            <w:r>
              <w:rPr>
                <w:szCs w:val="21"/>
              </w:rPr>
              <w:t>,424</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长期应收款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1,033,573</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177,650</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lastRenderedPageBreak/>
              <w:t>长期应收款</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87,742</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3,302</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535,079</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其他非流动资产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4,666,196</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114,750</w:t>
            </w: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2,025,826</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44,000</w:t>
            </w:r>
          </w:p>
        </w:tc>
      </w:tr>
      <w:tr>
        <w:trPr>
          <w:jc w:val="center"/>
        </w:trPr>
        <w:tc>
          <w:tcPr>
            <w:tcW w:w="81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其他非流动资产</w:t>
            </w:r>
          </w:p>
        </w:tc>
        <w:tc>
          <w:tcPr>
            <w:tcW w:w="127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617</w:t>
            </w:r>
          </w:p>
        </w:tc>
        <w:tc>
          <w:tcPr>
            <w:tcW w:w="651"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71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300,929</w:t>
            </w:r>
          </w:p>
        </w:tc>
        <w:tc>
          <w:tcPr>
            <w:tcW w:w="889"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r>
    </w:tbl>
    <w:p>
      <w:pPr>
        <w:rPr>
          <w:rFonts w:ascii="仿宋_GB2312" w:eastAsia="仿宋_GB2312"/>
          <w:szCs w:val="21"/>
        </w:rPr>
      </w:pPr>
    </w:p>
    <w:p>
      <w:pPr>
        <w:pStyle w:val="afffffffffffffffffffffffffffffffff1"/>
        <w:numPr>
          <w:ilvl w:val="3"/>
          <w:numId w:val="190"/>
        </w:numPr>
        <w:ind w:left="426" w:hangingChars="202" w:hanging="426"/>
      </w:pPr>
      <w:r>
        <w:rPr>
          <w:rFonts w:hint="eastAsia"/>
        </w:rPr>
        <w:t>应付项目</w:t>
      </w:r>
    </w:p>
    <w:sdt>
      <w:sdtPr>
        <w:rPr>
          <w:rFonts w:hint="eastAsia"/>
          <w:szCs w:val="21"/>
        </w:rPr>
        <w:alias w:val="是否适用：应付项目[双击切换]"/>
        <w:tag w:val="_GBC_41bc31a1fefb4e25918c1ece7c27be62"/>
        <w:id w:val="-119884976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付关联方款项"/>
          <w:tag w:val="_GBC_dda5edeadff34e4f829b49a813d869a1"/>
          <w:id w:val="48937490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上市公司应付关联方款项"/>
          <w:tag w:val="_GBC_5830ef25ff41407f8d8b3fde33e4bdf1"/>
          <w:id w:val="16336821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gridCol w:w="3296"/>
        <w:gridCol w:w="2368"/>
        <w:gridCol w:w="2312"/>
      </w:tblGrid>
      <w:tr>
        <w:trPr>
          <w:jc w:val="center"/>
        </w:trPr>
        <w:sdt>
          <w:sdtPr>
            <w:rPr>
              <w:szCs w:val="21"/>
            </w:rPr>
            <w:tag w:val="_PLD_e606617d378f48ec942565c9488249ee"/>
            <w:id w:val="1431710767"/>
          </w:sdtPr>
          <w:sdtContent>
            <w:tc>
              <w:tcPr>
                <w:tcW w:w="1053" w:type="pct"/>
                <w:tcBorders>
                  <w:top w:val="single" w:sz="4" w:space="0" w:color="auto"/>
                  <w:left w:val="single" w:sz="4" w:space="0" w:color="auto"/>
                  <w:right w:val="single" w:sz="4" w:space="0" w:color="auto"/>
                </w:tcBorders>
              </w:tcPr>
              <w:p>
                <w:pPr>
                  <w:jc w:val="center"/>
                  <w:rPr>
                    <w:szCs w:val="21"/>
                  </w:rPr>
                </w:pPr>
                <w:r>
                  <w:rPr>
                    <w:rFonts w:hint="eastAsia"/>
                    <w:szCs w:val="21"/>
                  </w:rPr>
                  <w:t>项目名称</w:t>
                </w:r>
              </w:p>
            </w:tc>
          </w:sdtContent>
        </w:sdt>
        <w:sdt>
          <w:sdtPr>
            <w:rPr>
              <w:szCs w:val="21"/>
            </w:rPr>
            <w:tag w:val="_PLD_8c0f65fb9987497db9d8cb750665f14a"/>
            <w:id w:val="1729490992"/>
          </w:sdtPr>
          <w:sdtContent>
            <w:tc>
              <w:tcPr>
                <w:tcW w:w="1631" w:type="pct"/>
                <w:tcBorders>
                  <w:top w:val="single" w:sz="4" w:space="0" w:color="auto"/>
                  <w:left w:val="single" w:sz="4" w:space="0" w:color="auto"/>
                  <w:right w:val="single" w:sz="4" w:space="0" w:color="auto"/>
                </w:tcBorders>
              </w:tcPr>
              <w:p>
                <w:pPr>
                  <w:jc w:val="center"/>
                  <w:rPr>
                    <w:szCs w:val="21"/>
                  </w:rPr>
                </w:pPr>
                <w:r>
                  <w:rPr>
                    <w:rFonts w:hint="eastAsia"/>
                    <w:szCs w:val="21"/>
                  </w:rPr>
                  <w:t>关联方</w:t>
                </w:r>
              </w:p>
            </w:tc>
          </w:sdtContent>
        </w:sdt>
        <w:sdt>
          <w:sdtPr>
            <w:rPr>
              <w:szCs w:val="21"/>
            </w:rPr>
            <w:tag w:val="_PLD_6abb3a201708442494b9fede0eddf518"/>
            <w:id w:val="-540977993"/>
          </w:sdtPr>
          <w:sdtContent>
            <w:tc>
              <w:tcPr>
                <w:tcW w:w="1172" w:type="pct"/>
                <w:tcBorders>
                  <w:top w:val="single" w:sz="4" w:space="0" w:color="auto"/>
                  <w:left w:val="single" w:sz="4" w:space="0" w:color="auto"/>
                  <w:bottom w:val="single" w:sz="4" w:space="0" w:color="auto"/>
                  <w:right w:val="single" w:sz="4" w:space="0" w:color="auto"/>
                </w:tcBorders>
              </w:tcPr>
              <w:p>
                <w:pPr>
                  <w:jc w:val="center"/>
                  <w:rPr>
                    <w:szCs w:val="21"/>
                  </w:rPr>
                </w:pPr>
                <w:r>
                  <w:rPr>
                    <w:rFonts w:hint="eastAsia"/>
                    <w:szCs w:val="21"/>
                  </w:rPr>
                  <w:t>期末账面余额</w:t>
                </w:r>
              </w:p>
            </w:tc>
          </w:sdtContent>
        </w:sdt>
        <w:sdt>
          <w:sdtPr>
            <w:rPr>
              <w:szCs w:val="21"/>
            </w:rPr>
            <w:tag w:val="_PLD_55efe2bab54445818fecaf16ed9366f9"/>
            <w:id w:val="1364094548"/>
          </w:sdtPr>
          <w:sdtContent>
            <w:tc>
              <w:tcPr>
                <w:tcW w:w="1144" w:type="pct"/>
                <w:tcBorders>
                  <w:top w:val="single" w:sz="4" w:space="0" w:color="auto"/>
                  <w:left w:val="single" w:sz="4" w:space="0" w:color="auto"/>
                  <w:bottom w:val="single" w:sz="4" w:space="0" w:color="auto"/>
                  <w:right w:val="single" w:sz="4" w:space="0" w:color="auto"/>
                </w:tcBorders>
              </w:tcPr>
              <w:p>
                <w:pPr>
                  <w:jc w:val="center"/>
                  <w:rPr>
                    <w:szCs w:val="21"/>
                  </w:rPr>
                </w:pPr>
                <w:r>
                  <w:rPr>
                    <w:rFonts w:hint="eastAsia"/>
                    <w:szCs w:val="21"/>
                  </w:rPr>
                  <w:t>期初账面余额</w:t>
                </w:r>
              </w:p>
            </w:tc>
          </w:sdtContent>
        </w:sdt>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应付票据</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445,808</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1,182,644</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应付票据</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4,810</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82,893</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应付账款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4,404,433</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4,216,453</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应付账款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115,634</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2,428</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应付账款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61,166</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42,373</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合同负债</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183,068</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329,573</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合同负债</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11,682</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14,396</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合同负债</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313,749</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3,226</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其他应付款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26,558,926</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39,605,881</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其他应付款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联营企业</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1,118</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98</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其他应付款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其他关联方</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12,228</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23,426</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一年内到期的非流动负债</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42,600</w:t>
            </w:r>
          </w:p>
        </w:tc>
      </w:tr>
      <w:tr>
        <w:trPr>
          <w:jc w:val="center"/>
        </w:trPr>
        <w:tc>
          <w:tcPr>
            <w:tcW w:w="1053"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长期应付款</w:t>
            </w:r>
          </w:p>
        </w:tc>
        <w:tc>
          <w:tcPr>
            <w:tcW w:w="1631"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控股股东及其控制的公司</w:t>
            </w:r>
          </w:p>
        </w:tc>
        <w:tc>
          <w:tcPr>
            <w:tcW w:w="117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108,186</w:t>
            </w:r>
          </w:p>
        </w:tc>
        <w:tc>
          <w:tcPr>
            <w:tcW w:w="1144"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1,093,073</w:t>
            </w:r>
          </w:p>
        </w:tc>
      </w:tr>
    </w:tbl>
    <w:p>
      <w:pPr>
        <w:rPr>
          <w:rFonts w:ascii="仿宋_GB2312" w:eastAsia="仿宋_GB2312" w:hAnsiTheme="minorHAnsi" w:cstheme="minorBidi"/>
          <w:szCs w:val="21"/>
        </w:rPr>
      </w:pPr>
    </w:p>
    <w:p>
      <w:pPr>
        <w:pStyle w:val="afffffffffffffffffffffffffffffffff1"/>
        <w:numPr>
          <w:ilvl w:val="3"/>
          <w:numId w:val="190"/>
        </w:numPr>
        <w:ind w:left="426" w:hangingChars="202" w:hanging="426"/>
      </w:pPr>
      <w:r>
        <w:rPr>
          <w:rFonts w:hint="eastAsia"/>
        </w:rPr>
        <w:t>其他项目</w:t>
      </w:r>
    </w:p>
    <w:sdt>
      <w:sdtPr>
        <w:rPr>
          <w:szCs w:val="21"/>
        </w:rPr>
        <w:alias w:val="是否适用：关联方其他未结算项目情况[双击切换]"/>
        <w:tag w:val="_GBC_61142f5ee3c54a58901e03781b59f5db"/>
        <w:id w:val="-18992839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仿宋_GB2312" w:eastAsia="仿宋_GB2312"/>
          <w:szCs w:val="21"/>
        </w:rPr>
      </w:pPr>
    </w:p>
    <w:p>
      <w:pPr>
        <w:pStyle w:val="afffffffffffffffffffffffffffffffff0"/>
        <w:numPr>
          <w:ilvl w:val="0"/>
          <w:numId w:val="189"/>
        </w:numPr>
      </w:pPr>
      <w:r>
        <w:rPr>
          <w:rFonts w:hint="eastAsia"/>
        </w:rPr>
        <w:t>关联方</w:t>
      </w:r>
      <w:r>
        <w:rPr>
          <w:rFonts w:ascii="宋体" w:hAnsi="宋体" w:cs="Arial" w:hint="eastAsia"/>
          <w:szCs w:val="21"/>
        </w:rPr>
        <w:t>承诺</w:t>
      </w:r>
    </w:p>
    <w:sdt>
      <w:sdtPr>
        <w:rPr>
          <w:rFonts w:hint="eastAsia"/>
          <w:szCs w:val="21"/>
        </w:rPr>
        <w:alias w:val="是否适用：关联方承诺[双击切换]"/>
        <w:tag w:val="_GBC_cf52a7b0760b4670b5fc5ea8d7363a6c"/>
        <w:id w:val="-160980330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ascii="Cambria" w:eastAsiaTheme="minorEastAsia" w:hAnsi="Cambria" w:cs="Cambria"/>
          <w:sz w:val="20"/>
          <w:szCs w:val="20"/>
        </w:rPr>
      </w:pPr>
    </w:p>
    <w:p>
      <w:pPr>
        <w:pStyle w:val="afffffffffffffffffffffffffffffffff0"/>
        <w:numPr>
          <w:ilvl w:val="0"/>
          <w:numId w:val="189"/>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895852121"/>
        <w:placeholder>
          <w:docPart w:val="GBC22222222222222222222222222222"/>
        </w:placeholder>
      </w:sdtPr>
      <w:sdtContent>
        <w:p>
          <w:pPr>
            <w:tabs>
              <w:tab w:val="left" w:pos="1134"/>
            </w:tabs>
            <w:rPr>
              <w:rFonts w:asciiTheme="minorEastAsia" w:eastAsiaTheme="minorEastAsia" w:hAnsiTheme="minorEastAsia" w:cs="Cambria"/>
              <w:bCs/>
              <w:sz w:val="20"/>
              <w:szCs w:val="20"/>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tabs>
          <w:tab w:val="left" w:pos="1134"/>
        </w:tabs>
        <w:rPr>
          <w:rFonts w:cs="Cambria"/>
          <w:szCs w:val="21"/>
        </w:rPr>
      </w:pPr>
    </w:p>
    <w:p>
      <w:pPr>
        <w:pStyle w:val="affffffffffffffffffffff2"/>
        <w:numPr>
          <w:ilvl w:val="0"/>
          <w:numId w:val="155"/>
        </w:numPr>
      </w:pPr>
      <w:r>
        <w:rPr>
          <w:rFonts w:hint="eastAsia"/>
        </w:rPr>
        <w:t>股份</w:t>
      </w:r>
      <w:r>
        <w:rPr>
          <w:rFonts w:ascii="宋体" w:hAnsi="宋体" w:hint="eastAsia"/>
        </w:rPr>
        <w:t>支付</w:t>
      </w:r>
    </w:p>
    <w:p>
      <w:pPr>
        <w:pStyle w:val="afffffffffffffffffffffffffffffffff0"/>
        <w:numPr>
          <w:ilvl w:val="0"/>
          <w:numId w:val="141"/>
        </w:numPr>
        <w:rPr>
          <w:color w:val="000000" w:themeColor="text1"/>
        </w:rPr>
      </w:pPr>
      <w:bookmarkStart w:id="492" w:name="_Hlk182486041"/>
      <w:bookmarkStart w:id="493" w:name="_Hlk40787153"/>
      <w:bookmarkStart w:id="494" w:name="_Hlk151135509"/>
      <w:r>
        <w:rPr>
          <w:rFonts w:hint="eastAsia"/>
          <w:color w:val="000000" w:themeColor="text1"/>
        </w:rPr>
        <w:t>各项权益工具</w:t>
      </w:r>
    </w:p>
    <w:bookmarkStart w:id="495" w:name="_Hlk168492989" w:displacedByCustomXml="next"/>
    <w:sdt>
      <w:sdtPr>
        <w:rPr>
          <w:color w:val="000000" w:themeColor="text1"/>
        </w:rPr>
        <w:alias w:val="是否适用：各项权益工具[双击切换]"/>
        <w:tag w:val="_GBC_591f7158994b46b7adfcd7566ff3a5b8"/>
        <w:id w:val="1765642122"/>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jc w:val="right"/>
        <w:rPr>
          <w:color w:val="000000" w:themeColor="text1"/>
        </w:rPr>
      </w:pPr>
      <w:bookmarkStart w:id="496" w:name="_Hlk168478628"/>
      <w:bookmarkEnd w:id="495"/>
      <w:r>
        <w:rPr>
          <w:rFonts w:hint="eastAsia"/>
          <w:color w:val="000000" w:themeColor="text1"/>
        </w:rPr>
        <w:t>数量单位：</w:t>
      </w:r>
      <w:sdt>
        <w:sdtPr>
          <w:rPr>
            <w:rFonts w:hint="eastAsia"/>
            <w:color w:val="000000" w:themeColor="text1"/>
          </w:rPr>
          <w:alias w:val="单位：各项权益工具"/>
          <w:tag w:val="_GBC_f9118237b13b46fa959144ad6b662be7"/>
          <w:id w:val="-302774944"/>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color w:val="000000" w:themeColor="text1"/>
            </w:rPr>
            <w:t>股</w:t>
          </w:r>
        </w:sdtContent>
      </w:sdt>
      <w:r>
        <w:rPr>
          <w:rFonts w:hint="eastAsia"/>
          <w:color w:val="000000" w:themeColor="text1"/>
        </w:rPr>
        <w:t xml:space="preserve">  金额单位：</w:t>
      </w:r>
      <w:sdt>
        <w:sdtPr>
          <w:rPr>
            <w:rFonts w:hint="eastAsia"/>
            <w:color w:val="000000" w:themeColor="text1"/>
          </w:rPr>
          <w:alias w:val="单位2：各项权益工具"/>
          <w:tag w:val="_GBC_fa84b873287342688a4021d513324ea8"/>
          <w:id w:val="203144799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千元</w:t>
          </w:r>
        </w:sdtContent>
      </w:sdt>
      <w:r>
        <w:rPr>
          <w:rFonts w:hint="eastAsia"/>
          <w:color w:val="000000" w:themeColor="text1"/>
        </w:rPr>
        <w:t xml:space="preserve">  币种：</w:t>
      </w:r>
      <w:sdt>
        <w:sdtPr>
          <w:rPr>
            <w:rFonts w:hint="eastAsia"/>
            <w:color w:val="000000" w:themeColor="text1"/>
          </w:rPr>
          <w:alias w:val="币种：各项权益工具"/>
          <w:tag w:val="_GBC_d0f31367b35b40b4ba63e0ed88e46383"/>
          <w:id w:val="4094370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r>
        <w:rPr>
          <w:color w:val="000000" w:themeColor="text1"/>
        </w:rPr>
        <w:t xml:space="preserve"> </w:t>
      </w:r>
    </w:p>
    <w:tbl>
      <w:tblPr>
        <w:tblStyle w:val="g46"/>
        <w:tblW w:w="10037" w:type="dxa"/>
        <w:tblInd w:w="-998" w:type="dxa"/>
        <w:tblLook w:val="04A0" w:firstRow="1" w:lastRow="0" w:firstColumn="1" w:lastColumn="0" w:noHBand="0" w:noVBand="1"/>
      </w:tblPr>
      <w:tblGrid>
        <w:gridCol w:w="2099"/>
        <w:gridCol w:w="992"/>
        <w:gridCol w:w="992"/>
        <w:gridCol w:w="992"/>
        <w:gridCol w:w="993"/>
        <w:gridCol w:w="992"/>
        <w:gridCol w:w="992"/>
        <w:gridCol w:w="992"/>
        <w:gridCol w:w="993"/>
      </w:tblGrid>
      <w:tr>
        <w:trPr>
          <w:trHeight w:val="135"/>
        </w:trPr>
        <w:sdt>
          <w:sdtPr>
            <w:rPr>
              <w:szCs w:val="21"/>
            </w:rPr>
            <w:tag w:val="_PLD_690cf5dfd31740caa39726bd6df8a195"/>
            <w:id w:val="-1232470677"/>
          </w:sdtPr>
          <w:sdtContent>
            <w:tc>
              <w:tcPr>
                <w:tcW w:w="2099" w:type="dxa"/>
                <w:vMerge w:val="restart"/>
                <w:vAlign w:val="center"/>
              </w:tcPr>
              <w:p>
                <w:pPr>
                  <w:jc w:val="center"/>
                  <w:rPr>
                    <w:color w:val="000000" w:themeColor="text1"/>
                    <w:szCs w:val="21"/>
                  </w:rPr>
                </w:pPr>
                <w:r>
                  <w:rPr>
                    <w:rFonts w:hint="eastAsia"/>
                    <w:color w:val="000000" w:themeColor="text1"/>
                    <w:szCs w:val="21"/>
                  </w:rPr>
                  <w:t>授予对象类别</w:t>
                </w:r>
              </w:p>
            </w:tc>
          </w:sdtContent>
        </w:sdt>
        <w:sdt>
          <w:sdtPr>
            <w:rPr>
              <w:szCs w:val="21"/>
            </w:rPr>
            <w:tag w:val="_PLD_47636284d34941ff8254e3d10dfc5f15"/>
            <w:id w:val="1838813904"/>
          </w:sdtPr>
          <w:sdtContent>
            <w:tc>
              <w:tcPr>
                <w:tcW w:w="1984" w:type="dxa"/>
                <w:gridSpan w:val="2"/>
                <w:vAlign w:val="center"/>
              </w:tcPr>
              <w:p>
                <w:pPr>
                  <w:jc w:val="center"/>
                  <w:rPr>
                    <w:color w:val="000000" w:themeColor="text1"/>
                    <w:szCs w:val="21"/>
                  </w:rPr>
                </w:pPr>
                <w:r>
                  <w:rPr>
                    <w:rFonts w:hint="eastAsia"/>
                    <w:color w:val="000000" w:themeColor="text1"/>
                    <w:szCs w:val="21"/>
                  </w:rPr>
                  <w:t>本期授予</w:t>
                </w:r>
              </w:p>
            </w:tc>
          </w:sdtContent>
        </w:sdt>
        <w:sdt>
          <w:sdtPr>
            <w:rPr>
              <w:szCs w:val="21"/>
            </w:rPr>
            <w:tag w:val="_PLD_e9cf9113d398485a9015619d11b52468"/>
            <w:id w:val="-44364466"/>
          </w:sdtPr>
          <w:sdtContent>
            <w:tc>
              <w:tcPr>
                <w:tcW w:w="1985" w:type="dxa"/>
                <w:gridSpan w:val="2"/>
                <w:vAlign w:val="center"/>
              </w:tcPr>
              <w:p>
                <w:pPr>
                  <w:jc w:val="center"/>
                  <w:rPr>
                    <w:color w:val="000000" w:themeColor="text1"/>
                    <w:szCs w:val="21"/>
                  </w:rPr>
                </w:pPr>
                <w:r>
                  <w:rPr>
                    <w:rFonts w:hint="eastAsia"/>
                    <w:color w:val="000000" w:themeColor="text1"/>
                    <w:szCs w:val="21"/>
                  </w:rPr>
                  <w:t>本期行权</w:t>
                </w:r>
              </w:p>
            </w:tc>
          </w:sdtContent>
        </w:sdt>
        <w:sdt>
          <w:sdtPr>
            <w:rPr>
              <w:szCs w:val="21"/>
            </w:rPr>
            <w:tag w:val="_PLD_d4140e827d5c4aa88dc07b8324b32d54"/>
            <w:id w:val="-1580055497"/>
          </w:sdtPr>
          <w:sdtContent>
            <w:tc>
              <w:tcPr>
                <w:tcW w:w="1984" w:type="dxa"/>
                <w:gridSpan w:val="2"/>
                <w:vAlign w:val="center"/>
              </w:tcPr>
              <w:p>
                <w:pPr>
                  <w:jc w:val="center"/>
                  <w:rPr>
                    <w:color w:val="000000" w:themeColor="text1"/>
                    <w:szCs w:val="21"/>
                  </w:rPr>
                </w:pPr>
                <w:r>
                  <w:rPr>
                    <w:rFonts w:hint="eastAsia"/>
                    <w:color w:val="000000" w:themeColor="text1"/>
                    <w:szCs w:val="21"/>
                  </w:rPr>
                  <w:t>本期解锁</w:t>
                </w:r>
              </w:p>
            </w:tc>
          </w:sdtContent>
        </w:sdt>
        <w:sdt>
          <w:sdtPr>
            <w:rPr>
              <w:szCs w:val="21"/>
            </w:rPr>
            <w:tag w:val="_PLD_0f5c44353169409c992507082b20a9bf"/>
            <w:id w:val="1156194466"/>
          </w:sdtPr>
          <w:sdtContent>
            <w:tc>
              <w:tcPr>
                <w:tcW w:w="1985" w:type="dxa"/>
                <w:gridSpan w:val="2"/>
                <w:vAlign w:val="center"/>
              </w:tcPr>
              <w:p>
                <w:pPr>
                  <w:jc w:val="center"/>
                  <w:rPr>
                    <w:color w:val="000000" w:themeColor="text1"/>
                    <w:szCs w:val="21"/>
                  </w:rPr>
                </w:pPr>
                <w:r>
                  <w:rPr>
                    <w:rFonts w:hint="eastAsia"/>
                    <w:color w:val="000000" w:themeColor="text1"/>
                    <w:szCs w:val="21"/>
                  </w:rPr>
                  <w:t>本期失效</w:t>
                </w:r>
              </w:p>
            </w:tc>
          </w:sdtContent>
        </w:sdt>
      </w:tr>
      <w:tr>
        <w:trPr>
          <w:trHeight w:val="135"/>
        </w:trPr>
        <w:tc>
          <w:tcPr>
            <w:tcW w:w="2099" w:type="dxa"/>
            <w:vMerge/>
            <w:vAlign w:val="center"/>
          </w:tcPr>
          <w:p>
            <w:pPr>
              <w:jc w:val="center"/>
              <w:rPr>
                <w:color w:val="000000" w:themeColor="text1"/>
                <w:szCs w:val="21"/>
              </w:rPr>
            </w:pPr>
          </w:p>
        </w:tc>
        <w:sdt>
          <w:sdtPr>
            <w:rPr>
              <w:szCs w:val="21"/>
            </w:rPr>
            <w:tag w:val="_PLD_08ea8ae5029246858239315872be9751"/>
            <w:id w:val="1107468097"/>
          </w:sdtPr>
          <w:sdtContent>
            <w:tc>
              <w:tcPr>
                <w:tcW w:w="992" w:type="dxa"/>
                <w:vAlign w:val="center"/>
              </w:tcPr>
              <w:p>
                <w:pPr>
                  <w:jc w:val="center"/>
                  <w:rPr>
                    <w:color w:val="000000" w:themeColor="text1"/>
                    <w:szCs w:val="21"/>
                  </w:rPr>
                </w:pPr>
                <w:r>
                  <w:rPr>
                    <w:rFonts w:hint="eastAsia"/>
                    <w:color w:val="000000" w:themeColor="text1"/>
                    <w:szCs w:val="21"/>
                  </w:rPr>
                  <w:t>数量</w:t>
                </w:r>
              </w:p>
            </w:tc>
          </w:sdtContent>
        </w:sdt>
        <w:sdt>
          <w:sdtPr>
            <w:rPr>
              <w:szCs w:val="21"/>
            </w:rPr>
            <w:tag w:val="_PLD_50a6b9f3a585453d8d1f0e8e97f8f69a"/>
            <w:id w:val="-338079951"/>
          </w:sdtPr>
          <w:sdtContent>
            <w:tc>
              <w:tcPr>
                <w:tcW w:w="992" w:type="dxa"/>
                <w:vAlign w:val="center"/>
              </w:tcPr>
              <w:p>
                <w:pPr>
                  <w:jc w:val="center"/>
                  <w:rPr>
                    <w:color w:val="000000" w:themeColor="text1"/>
                    <w:szCs w:val="21"/>
                  </w:rPr>
                </w:pPr>
                <w:r>
                  <w:rPr>
                    <w:rFonts w:hint="eastAsia"/>
                    <w:color w:val="000000" w:themeColor="text1"/>
                    <w:szCs w:val="21"/>
                  </w:rPr>
                  <w:t>金额</w:t>
                </w:r>
              </w:p>
            </w:tc>
          </w:sdtContent>
        </w:sdt>
        <w:sdt>
          <w:sdtPr>
            <w:rPr>
              <w:szCs w:val="21"/>
            </w:rPr>
            <w:tag w:val="_PLD_f276c0b44af641ad847ba8f6a3f3c137"/>
            <w:id w:val="1630284278"/>
          </w:sdtPr>
          <w:sdtContent>
            <w:tc>
              <w:tcPr>
                <w:tcW w:w="992" w:type="dxa"/>
                <w:vAlign w:val="center"/>
              </w:tcPr>
              <w:p>
                <w:pPr>
                  <w:jc w:val="center"/>
                  <w:rPr>
                    <w:color w:val="000000" w:themeColor="text1"/>
                    <w:szCs w:val="21"/>
                  </w:rPr>
                </w:pPr>
                <w:r>
                  <w:rPr>
                    <w:rFonts w:hint="eastAsia"/>
                    <w:color w:val="000000" w:themeColor="text1"/>
                    <w:szCs w:val="21"/>
                  </w:rPr>
                  <w:t>数量</w:t>
                </w:r>
              </w:p>
            </w:tc>
          </w:sdtContent>
        </w:sdt>
        <w:sdt>
          <w:sdtPr>
            <w:rPr>
              <w:szCs w:val="21"/>
            </w:rPr>
            <w:tag w:val="_PLD_4f5e328f5f124eadbca10c5aae8346a0"/>
            <w:id w:val="124208413"/>
          </w:sdtPr>
          <w:sdtContent>
            <w:tc>
              <w:tcPr>
                <w:tcW w:w="993" w:type="dxa"/>
                <w:vAlign w:val="center"/>
              </w:tcPr>
              <w:p>
                <w:pPr>
                  <w:jc w:val="center"/>
                  <w:rPr>
                    <w:color w:val="000000" w:themeColor="text1"/>
                    <w:szCs w:val="21"/>
                  </w:rPr>
                </w:pPr>
                <w:r>
                  <w:rPr>
                    <w:rFonts w:hint="eastAsia"/>
                    <w:color w:val="000000" w:themeColor="text1"/>
                    <w:szCs w:val="21"/>
                  </w:rPr>
                  <w:t>金额</w:t>
                </w:r>
              </w:p>
            </w:tc>
          </w:sdtContent>
        </w:sdt>
        <w:sdt>
          <w:sdtPr>
            <w:rPr>
              <w:szCs w:val="21"/>
            </w:rPr>
            <w:tag w:val="_PLD_f0e2d02c3ba14b0f9921153a835b1418"/>
            <w:id w:val="-1411380229"/>
          </w:sdtPr>
          <w:sdtContent>
            <w:tc>
              <w:tcPr>
                <w:tcW w:w="992" w:type="dxa"/>
                <w:vAlign w:val="center"/>
              </w:tcPr>
              <w:p>
                <w:pPr>
                  <w:jc w:val="center"/>
                  <w:rPr>
                    <w:color w:val="000000" w:themeColor="text1"/>
                    <w:szCs w:val="21"/>
                  </w:rPr>
                </w:pPr>
                <w:r>
                  <w:rPr>
                    <w:rFonts w:hint="eastAsia"/>
                    <w:color w:val="000000" w:themeColor="text1"/>
                    <w:szCs w:val="21"/>
                  </w:rPr>
                  <w:t>数量</w:t>
                </w:r>
              </w:p>
            </w:tc>
          </w:sdtContent>
        </w:sdt>
        <w:sdt>
          <w:sdtPr>
            <w:rPr>
              <w:szCs w:val="21"/>
            </w:rPr>
            <w:tag w:val="_PLD_2988b48211264d67a60e42098266f5c8"/>
            <w:id w:val="-126631282"/>
          </w:sdtPr>
          <w:sdtContent>
            <w:tc>
              <w:tcPr>
                <w:tcW w:w="992" w:type="dxa"/>
                <w:vAlign w:val="center"/>
              </w:tcPr>
              <w:p>
                <w:pPr>
                  <w:jc w:val="center"/>
                  <w:rPr>
                    <w:color w:val="000000" w:themeColor="text1"/>
                    <w:szCs w:val="21"/>
                  </w:rPr>
                </w:pPr>
                <w:r>
                  <w:rPr>
                    <w:rFonts w:hint="eastAsia"/>
                    <w:color w:val="000000" w:themeColor="text1"/>
                    <w:szCs w:val="21"/>
                  </w:rPr>
                  <w:t>金额</w:t>
                </w:r>
              </w:p>
            </w:tc>
          </w:sdtContent>
        </w:sdt>
        <w:sdt>
          <w:sdtPr>
            <w:rPr>
              <w:szCs w:val="21"/>
            </w:rPr>
            <w:tag w:val="_PLD_23aded98d13140e1907fbf2255bab032"/>
            <w:id w:val="633834014"/>
          </w:sdtPr>
          <w:sdtContent>
            <w:tc>
              <w:tcPr>
                <w:tcW w:w="992" w:type="dxa"/>
                <w:vAlign w:val="center"/>
              </w:tcPr>
              <w:p>
                <w:pPr>
                  <w:jc w:val="center"/>
                  <w:rPr>
                    <w:color w:val="000000" w:themeColor="text1"/>
                    <w:szCs w:val="21"/>
                  </w:rPr>
                </w:pPr>
                <w:r>
                  <w:rPr>
                    <w:rFonts w:hint="eastAsia"/>
                    <w:color w:val="000000" w:themeColor="text1"/>
                    <w:szCs w:val="21"/>
                  </w:rPr>
                  <w:t>数量</w:t>
                </w:r>
              </w:p>
            </w:tc>
          </w:sdtContent>
        </w:sdt>
        <w:sdt>
          <w:sdtPr>
            <w:rPr>
              <w:szCs w:val="21"/>
            </w:rPr>
            <w:tag w:val="_PLD_ef8da1e1b02d4677809aa9360a11844b"/>
            <w:id w:val="248241515"/>
          </w:sdtPr>
          <w:sdtContent>
            <w:tc>
              <w:tcPr>
                <w:tcW w:w="993" w:type="dxa"/>
                <w:vAlign w:val="center"/>
              </w:tcPr>
              <w:p>
                <w:pPr>
                  <w:jc w:val="center"/>
                  <w:rPr>
                    <w:color w:val="000000" w:themeColor="text1"/>
                    <w:szCs w:val="21"/>
                  </w:rPr>
                </w:pPr>
                <w:r>
                  <w:rPr>
                    <w:rFonts w:hint="eastAsia"/>
                    <w:color w:val="000000" w:themeColor="text1"/>
                    <w:szCs w:val="21"/>
                  </w:rPr>
                  <w:t>金额</w:t>
                </w:r>
              </w:p>
            </w:tc>
          </w:sdtContent>
        </w:sdt>
      </w:tr>
      <w:tr>
        <w:tc>
          <w:tcPr>
            <w:tcW w:w="2099" w:type="dxa"/>
            <w:vAlign w:val="center"/>
          </w:tcPr>
          <w:p>
            <w:pPr>
              <w:widowControl/>
              <w:spacing w:line="360" w:lineRule="exact"/>
              <w:jc w:val="left"/>
              <w:rPr>
                <w:szCs w:val="21"/>
              </w:rPr>
            </w:pPr>
            <w:r>
              <w:rPr>
                <w:rFonts w:hint="eastAsia"/>
                <w:szCs w:val="21"/>
              </w:rPr>
              <w:t>限制性股票激励计划</w:t>
            </w:r>
          </w:p>
        </w:tc>
        <w:tc>
          <w:tcPr>
            <w:tcW w:w="992" w:type="dxa"/>
            <w:vAlign w:val="center"/>
          </w:tcPr>
          <w:p>
            <w:pPr>
              <w:widowControl/>
              <w:spacing w:line="360" w:lineRule="exact"/>
              <w:jc w:val="right"/>
              <w:rPr>
                <w:szCs w:val="21"/>
              </w:rPr>
            </w:pPr>
          </w:p>
        </w:tc>
        <w:tc>
          <w:tcPr>
            <w:tcW w:w="992" w:type="dxa"/>
            <w:vAlign w:val="center"/>
          </w:tcPr>
          <w:p>
            <w:pPr>
              <w:widowControl/>
              <w:spacing w:line="360" w:lineRule="exact"/>
              <w:jc w:val="right"/>
              <w:rPr>
                <w:szCs w:val="21"/>
              </w:rPr>
            </w:pPr>
          </w:p>
        </w:tc>
        <w:tc>
          <w:tcPr>
            <w:tcW w:w="992" w:type="dxa"/>
            <w:vAlign w:val="center"/>
          </w:tcPr>
          <w:p>
            <w:pPr>
              <w:widowControl/>
              <w:spacing w:line="360" w:lineRule="exact"/>
              <w:jc w:val="right"/>
              <w:rPr>
                <w:szCs w:val="21"/>
              </w:rPr>
            </w:pPr>
          </w:p>
        </w:tc>
        <w:tc>
          <w:tcPr>
            <w:tcW w:w="993" w:type="dxa"/>
            <w:vAlign w:val="center"/>
          </w:tcPr>
          <w:p>
            <w:pPr>
              <w:widowControl/>
              <w:spacing w:line="360" w:lineRule="exact"/>
              <w:jc w:val="right"/>
              <w:rPr>
                <w:szCs w:val="21"/>
              </w:rPr>
            </w:pPr>
          </w:p>
        </w:tc>
        <w:tc>
          <w:tcPr>
            <w:tcW w:w="992" w:type="dxa"/>
            <w:vAlign w:val="center"/>
          </w:tcPr>
          <w:p>
            <w:pPr>
              <w:widowControl/>
              <w:spacing w:line="360" w:lineRule="exact"/>
              <w:jc w:val="right"/>
              <w:rPr>
                <w:szCs w:val="21"/>
              </w:rPr>
            </w:pPr>
            <w:r>
              <w:rPr>
                <w:szCs w:val="21"/>
              </w:rPr>
              <w:t>29,163</w:t>
            </w:r>
          </w:p>
        </w:tc>
        <w:tc>
          <w:tcPr>
            <w:tcW w:w="992" w:type="dxa"/>
            <w:vAlign w:val="center"/>
          </w:tcPr>
          <w:p>
            <w:pPr>
              <w:widowControl/>
              <w:spacing w:line="360" w:lineRule="exact"/>
              <w:jc w:val="right"/>
              <w:rPr>
                <w:szCs w:val="21"/>
              </w:rPr>
            </w:pPr>
            <w:r>
              <w:rPr>
                <w:szCs w:val="21"/>
              </w:rPr>
              <w:t>105,377</w:t>
            </w:r>
          </w:p>
        </w:tc>
        <w:tc>
          <w:tcPr>
            <w:tcW w:w="992" w:type="dxa"/>
            <w:vAlign w:val="center"/>
          </w:tcPr>
          <w:p>
            <w:pPr>
              <w:widowControl/>
              <w:spacing w:line="360" w:lineRule="exact"/>
              <w:jc w:val="right"/>
              <w:rPr>
                <w:szCs w:val="21"/>
              </w:rPr>
            </w:pPr>
            <w:r>
              <w:rPr>
                <w:szCs w:val="21"/>
              </w:rPr>
              <w:t>1,401</w:t>
            </w:r>
          </w:p>
        </w:tc>
        <w:tc>
          <w:tcPr>
            <w:tcW w:w="993" w:type="dxa"/>
            <w:vAlign w:val="center"/>
          </w:tcPr>
          <w:p>
            <w:pPr>
              <w:widowControl/>
              <w:spacing w:line="360" w:lineRule="exact"/>
              <w:jc w:val="right"/>
              <w:rPr>
                <w:szCs w:val="21"/>
              </w:rPr>
            </w:pPr>
            <w:r>
              <w:rPr>
                <w:szCs w:val="21"/>
              </w:rPr>
              <w:t>5,063</w:t>
            </w:r>
          </w:p>
        </w:tc>
      </w:tr>
      <w:tr>
        <w:tc>
          <w:tcPr>
            <w:tcW w:w="2099" w:type="dxa"/>
            <w:vAlign w:val="center"/>
          </w:tcPr>
          <w:p>
            <w:pPr>
              <w:widowControl/>
              <w:spacing w:line="360" w:lineRule="exact"/>
              <w:jc w:val="left"/>
              <w:rPr>
                <w:szCs w:val="21"/>
              </w:rPr>
            </w:pPr>
            <w:r>
              <w:rPr>
                <w:rFonts w:hint="eastAsia"/>
                <w:szCs w:val="21"/>
              </w:rPr>
              <w:lastRenderedPageBreak/>
              <w:t>澳洲公司</w:t>
            </w:r>
          </w:p>
        </w:tc>
        <w:tc>
          <w:tcPr>
            <w:tcW w:w="992" w:type="dxa"/>
            <w:vAlign w:val="center"/>
          </w:tcPr>
          <w:p>
            <w:pPr>
              <w:widowControl/>
              <w:spacing w:line="360" w:lineRule="exact"/>
              <w:jc w:val="right"/>
              <w:rPr>
                <w:szCs w:val="21"/>
              </w:rPr>
            </w:pPr>
            <w:r>
              <w:rPr>
                <w:szCs w:val="21"/>
              </w:rPr>
              <w:t>1,934</w:t>
            </w:r>
          </w:p>
        </w:tc>
        <w:tc>
          <w:tcPr>
            <w:tcW w:w="992" w:type="dxa"/>
            <w:vAlign w:val="center"/>
          </w:tcPr>
          <w:p>
            <w:pPr>
              <w:widowControl/>
              <w:spacing w:line="360" w:lineRule="exact"/>
              <w:jc w:val="right"/>
              <w:rPr>
                <w:szCs w:val="21"/>
              </w:rPr>
            </w:pPr>
            <w:r>
              <w:rPr>
                <w:szCs w:val="21"/>
              </w:rPr>
              <w:t>46</w:t>
            </w:r>
          </w:p>
        </w:tc>
        <w:tc>
          <w:tcPr>
            <w:tcW w:w="992" w:type="dxa"/>
            <w:vAlign w:val="center"/>
          </w:tcPr>
          <w:p>
            <w:pPr>
              <w:widowControl/>
              <w:spacing w:line="360" w:lineRule="exact"/>
              <w:jc w:val="right"/>
              <w:rPr>
                <w:szCs w:val="21"/>
              </w:rPr>
            </w:pPr>
            <w:r>
              <w:rPr>
                <w:szCs w:val="21"/>
              </w:rPr>
              <w:t>2,390</w:t>
            </w:r>
          </w:p>
        </w:tc>
        <w:tc>
          <w:tcPr>
            <w:tcW w:w="993" w:type="dxa"/>
            <w:vAlign w:val="center"/>
          </w:tcPr>
          <w:p>
            <w:pPr>
              <w:widowControl/>
              <w:spacing w:line="360" w:lineRule="exact"/>
              <w:jc w:val="right"/>
              <w:rPr>
                <w:szCs w:val="21"/>
              </w:rPr>
            </w:pPr>
            <w:r>
              <w:rPr>
                <w:szCs w:val="21"/>
              </w:rPr>
              <w:t>27</w:t>
            </w:r>
          </w:p>
        </w:tc>
        <w:tc>
          <w:tcPr>
            <w:tcW w:w="992" w:type="dxa"/>
            <w:vAlign w:val="center"/>
          </w:tcPr>
          <w:p>
            <w:pPr>
              <w:widowControl/>
              <w:spacing w:line="360" w:lineRule="exact"/>
              <w:jc w:val="right"/>
              <w:rPr>
                <w:szCs w:val="21"/>
              </w:rPr>
            </w:pPr>
          </w:p>
        </w:tc>
        <w:tc>
          <w:tcPr>
            <w:tcW w:w="992" w:type="dxa"/>
            <w:vAlign w:val="center"/>
          </w:tcPr>
          <w:p>
            <w:pPr>
              <w:widowControl/>
              <w:spacing w:line="360" w:lineRule="exact"/>
              <w:jc w:val="right"/>
              <w:rPr>
                <w:szCs w:val="21"/>
              </w:rPr>
            </w:pPr>
          </w:p>
        </w:tc>
        <w:tc>
          <w:tcPr>
            <w:tcW w:w="992" w:type="dxa"/>
            <w:vAlign w:val="center"/>
          </w:tcPr>
          <w:p>
            <w:pPr>
              <w:widowControl/>
              <w:spacing w:line="360" w:lineRule="exact"/>
              <w:jc w:val="right"/>
              <w:rPr>
                <w:szCs w:val="21"/>
              </w:rPr>
            </w:pPr>
            <w:r>
              <w:rPr>
                <w:szCs w:val="21"/>
              </w:rPr>
              <w:t>346,780</w:t>
            </w:r>
          </w:p>
        </w:tc>
        <w:tc>
          <w:tcPr>
            <w:tcW w:w="993" w:type="dxa"/>
            <w:vAlign w:val="center"/>
          </w:tcPr>
          <w:p>
            <w:pPr>
              <w:widowControl/>
              <w:spacing w:line="360" w:lineRule="exact"/>
              <w:jc w:val="right"/>
              <w:rPr>
                <w:szCs w:val="21"/>
              </w:rPr>
            </w:pPr>
            <w:r>
              <w:rPr>
                <w:szCs w:val="21"/>
              </w:rPr>
              <w:t>3,974</w:t>
            </w:r>
          </w:p>
        </w:tc>
      </w:tr>
      <w:tr>
        <w:tc>
          <w:tcPr>
            <w:tcW w:w="2099" w:type="dxa"/>
          </w:tcPr>
          <w:p>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合计</w:t>
            </w:r>
          </w:p>
        </w:tc>
        <w:tc>
          <w:tcPr>
            <w:tcW w:w="992" w:type="dxa"/>
            <w:vAlign w:val="center"/>
          </w:tcPr>
          <w:p>
            <w:pPr>
              <w:widowControl/>
              <w:spacing w:line="360" w:lineRule="exact"/>
              <w:jc w:val="right"/>
              <w:rPr>
                <w:szCs w:val="21"/>
              </w:rPr>
            </w:pPr>
            <w:r>
              <w:rPr>
                <w:szCs w:val="21"/>
              </w:rPr>
              <w:t>1,934</w:t>
            </w:r>
          </w:p>
        </w:tc>
        <w:tc>
          <w:tcPr>
            <w:tcW w:w="992" w:type="dxa"/>
            <w:vAlign w:val="center"/>
          </w:tcPr>
          <w:p>
            <w:pPr>
              <w:widowControl/>
              <w:spacing w:line="360" w:lineRule="exact"/>
              <w:jc w:val="right"/>
              <w:rPr>
                <w:szCs w:val="21"/>
              </w:rPr>
            </w:pPr>
            <w:r>
              <w:rPr>
                <w:szCs w:val="21"/>
              </w:rPr>
              <w:t>46</w:t>
            </w:r>
          </w:p>
        </w:tc>
        <w:tc>
          <w:tcPr>
            <w:tcW w:w="992" w:type="dxa"/>
            <w:vAlign w:val="center"/>
          </w:tcPr>
          <w:p>
            <w:pPr>
              <w:widowControl/>
              <w:spacing w:line="360" w:lineRule="exact"/>
              <w:jc w:val="right"/>
              <w:rPr>
                <w:szCs w:val="21"/>
              </w:rPr>
            </w:pPr>
            <w:r>
              <w:rPr>
                <w:szCs w:val="21"/>
              </w:rPr>
              <w:t>2,390</w:t>
            </w:r>
          </w:p>
        </w:tc>
        <w:tc>
          <w:tcPr>
            <w:tcW w:w="993" w:type="dxa"/>
            <w:vAlign w:val="center"/>
          </w:tcPr>
          <w:p>
            <w:pPr>
              <w:widowControl/>
              <w:spacing w:line="360" w:lineRule="exact"/>
              <w:jc w:val="right"/>
              <w:rPr>
                <w:szCs w:val="21"/>
              </w:rPr>
            </w:pPr>
            <w:r>
              <w:rPr>
                <w:szCs w:val="21"/>
              </w:rPr>
              <w:t>27</w:t>
            </w:r>
          </w:p>
        </w:tc>
        <w:tc>
          <w:tcPr>
            <w:tcW w:w="992" w:type="dxa"/>
            <w:vAlign w:val="center"/>
          </w:tcPr>
          <w:p>
            <w:pPr>
              <w:widowControl/>
              <w:spacing w:line="360" w:lineRule="exact"/>
              <w:jc w:val="right"/>
              <w:rPr>
                <w:szCs w:val="21"/>
              </w:rPr>
            </w:pPr>
            <w:r>
              <w:rPr>
                <w:szCs w:val="21"/>
              </w:rPr>
              <w:t>29,163</w:t>
            </w:r>
          </w:p>
        </w:tc>
        <w:tc>
          <w:tcPr>
            <w:tcW w:w="992" w:type="dxa"/>
            <w:vAlign w:val="center"/>
          </w:tcPr>
          <w:p>
            <w:pPr>
              <w:widowControl/>
              <w:spacing w:line="360" w:lineRule="exact"/>
              <w:jc w:val="right"/>
              <w:rPr>
                <w:szCs w:val="21"/>
              </w:rPr>
            </w:pPr>
            <w:r>
              <w:rPr>
                <w:szCs w:val="21"/>
              </w:rPr>
              <w:t>105,377</w:t>
            </w:r>
          </w:p>
        </w:tc>
        <w:tc>
          <w:tcPr>
            <w:tcW w:w="992" w:type="dxa"/>
            <w:vAlign w:val="center"/>
          </w:tcPr>
          <w:p>
            <w:pPr>
              <w:jc w:val="right"/>
              <w:rPr>
                <w:rFonts w:asciiTheme="minorEastAsia" w:eastAsiaTheme="minorEastAsia" w:hAnsiTheme="minorEastAsia"/>
                <w:szCs w:val="21"/>
              </w:rPr>
            </w:pPr>
            <w:r>
              <w:rPr>
                <w:rFonts w:asciiTheme="minorEastAsia" w:eastAsiaTheme="minorEastAsia" w:hAnsiTheme="minorEastAsia"/>
                <w:szCs w:val="21"/>
              </w:rPr>
              <w:t>348,181</w:t>
            </w:r>
          </w:p>
        </w:tc>
        <w:tc>
          <w:tcPr>
            <w:tcW w:w="993" w:type="dxa"/>
            <w:vAlign w:val="center"/>
          </w:tcPr>
          <w:p>
            <w:pPr>
              <w:jc w:val="right"/>
              <w:rPr>
                <w:rFonts w:asciiTheme="minorEastAsia" w:eastAsiaTheme="minorEastAsia" w:hAnsiTheme="minorEastAsia"/>
                <w:szCs w:val="21"/>
              </w:rPr>
            </w:pPr>
            <w:r>
              <w:rPr>
                <w:rFonts w:asciiTheme="minorEastAsia" w:eastAsiaTheme="minorEastAsia" w:hAnsiTheme="minorEastAsia"/>
                <w:szCs w:val="21"/>
              </w:rPr>
              <w:t>9,037</w:t>
            </w:r>
          </w:p>
        </w:tc>
      </w:tr>
    </w:tbl>
    <w:p>
      <w:pPr>
        <w:rPr>
          <w:color w:val="000000" w:themeColor="text1"/>
        </w:rPr>
      </w:pPr>
    </w:p>
    <w:p>
      <w:pPr>
        <w:rPr>
          <w:color w:val="000000" w:themeColor="text1"/>
        </w:rPr>
      </w:pPr>
      <w:r>
        <w:rPr>
          <w:rFonts w:hint="eastAsia"/>
          <w:color w:val="000000" w:themeColor="text1"/>
        </w:rPr>
        <w:t>期末发行在外的股票期权或其他权益工具</w:t>
      </w:r>
    </w:p>
    <w:bookmarkStart w:id="497" w:name="_Hlk168493896" w:displacedByCustomXml="next"/>
    <w:bookmarkStart w:id="498" w:name="_Hlk168493917" w:displacedByCustomXml="next"/>
    <w:sdt>
      <w:sdtPr>
        <w:rPr>
          <w:color w:val="000000" w:themeColor="text1"/>
        </w:rPr>
        <w:alias w:val="是否适用：期末发行在外的股票期权或其他权益工具[双击切换]"/>
        <w:tag w:val="_GBC_8f850d6c945b493292d68c3127f1182d"/>
        <w:id w:val="-955630884"/>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bookmarkEnd w:id="496"/>
    <w:bookmarkEnd w:id="498"/>
    <w:bookmarkEnd w:id="497"/>
    <w:p>
      <w:pPr>
        <w:rPr>
          <w:color w:val="000000" w:themeColor="text1"/>
        </w:rPr>
      </w:pPr>
    </w:p>
    <w:tbl>
      <w:tblPr>
        <w:tblStyle w:val="g46"/>
        <w:tblW w:w="0" w:type="auto"/>
        <w:tblInd w:w="-856" w:type="dxa"/>
        <w:tblLook w:val="04A0" w:firstRow="1" w:lastRow="0" w:firstColumn="1" w:lastColumn="0" w:noHBand="0" w:noVBand="1"/>
      </w:tblPr>
      <w:tblGrid>
        <w:gridCol w:w="2619"/>
        <w:gridCol w:w="1765"/>
        <w:gridCol w:w="1765"/>
        <w:gridCol w:w="1765"/>
        <w:gridCol w:w="1765"/>
      </w:tblGrid>
      <w:tr>
        <w:sdt>
          <w:sdtPr>
            <w:tag w:val="_PLD_e8fd5b6831ea472e98926c6d39e972c6"/>
            <w:id w:val="1342428131"/>
          </w:sdtPr>
          <w:sdtContent>
            <w:tc>
              <w:tcPr>
                <w:tcW w:w="2619" w:type="dxa"/>
                <w:vMerge w:val="restart"/>
                <w:vAlign w:val="center"/>
              </w:tcPr>
              <w:p>
                <w:pPr>
                  <w:jc w:val="center"/>
                  <w:rPr>
                    <w:color w:val="000000" w:themeColor="text1"/>
                  </w:rPr>
                </w:pPr>
                <w:r>
                  <w:rPr>
                    <w:rFonts w:hint="eastAsia"/>
                    <w:color w:val="000000" w:themeColor="text1"/>
                  </w:rPr>
                  <w:t>授予对象类别</w:t>
                </w:r>
              </w:p>
            </w:tc>
          </w:sdtContent>
        </w:sdt>
        <w:sdt>
          <w:sdtPr>
            <w:tag w:val="_PLD_fcede67ffdbd4d3e923cb7d61f2372d1"/>
            <w:id w:val="632285361"/>
          </w:sdtPr>
          <w:sdtContent>
            <w:tc>
              <w:tcPr>
                <w:tcW w:w="3530" w:type="dxa"/>
                <w:gridSpan w:val="2"/>
              </w:tcPr>
              <w:p>
                <w:pPr>
                  <w:jc w:val="center"/>
                  <w:rPr>
                    <w:color w:val="000000" w:themeColor="text1"/>
                  </w:rPr>
                </w:pPr>
                <w:r>
                  <w:rPr>
                    <w:rFonts w:hint="eastAsia"/>
                    <w:color w:val="000000" w:themeColor="text1"/>
                  </w:rPr>
                  <w:t>期末发行在外的股票期权</w:t>
                </w:r>
              </w:p>
            </w:tc>
          </w:sdtContent>
        </w:sdt>
        <w:sdt>
          <w:sdtPr>
            <w:tag w:val="_PLD_25f7320c473949bf961ec285778af328"/>
            <w:id w:val="1173528452"/>
          </w:sdtPr>
          <w:sdtContent>
            <w:tc>
              <w:tcPr>
                <w:tcW w:w="3530" w:type="dxa"/>
                <w:gridSpan w:val="2"/>
              </w:tcPr>
              <w:p>
                <w:pPr>
                  <w:jc w:val="center"/>
                  <w:rPr>
                    <w:color w:val="000000" w:themeColor="text1"/>
                  </w:rPr>
                </w:pPr>
                <w:r>
                  <w:rPr>
                    <w:rFonts w:hint="eastAsia"/>
                    <w:color w:val="000000" w:themeColor="text1"/>
                  </w:rPr>
                  <w:t>期末发行在外的其他权益工具</w:t>
                </w:r>
              </w:p>
            </w:tc>
          </w:sdtContent>
        </w:sdt>
      </w:tr>
      <w:tr>
        <w:tc>
          <w:tcPr>
            <w:tcW w:w="2619" w:type="dxa"/>
            <w:vMerge/>
          </w:tcPr>
          <w:p>
            <w:pPr>
              <w:rPr>
                <w:color w:val="000000" w:themeColor="text1"/>
              </w:rPr>
            </w:pPr>
          </w:p>
        </w:tc>
        <w:sdt>
          <w:sdtPr>
            <w:rPr>
              <w:szCs w:val="21"/>
            </w:rPr>
            <w:tag w:val="_PLD_35b8232087b648c09fe34ed612d59d3d"/>
            <w:id w:val="-361594645"/>
          </w:sdtPr>
          <w:sdtContent>
            <w:tc>
              <w:tcPr>
                <w:tcW w:w="1765" w:type="dxa"/>
              </w:tcPr>
              <w:p>
                <w:pPr>
                  <w:jc w:val="center"/>
                  <w:rPr>
                    <w:color w:val="000000" w:themeColor="text1"/>
                    <w:szCs w:val="21"/>
                  </w:rPr>
                </w:pPr>
                <w:r>
                  <w:rPr>
                    <w:rFonts w:hint="eastAsia"/>
                    <w:color w:val="000000" w:themeColor="text1"/>
                    <w:szCs w:val="21"/>
                  </w:rPr>
                  <w:t>行权价格的范围</w:t>
                </w:r>
              </w:p>
            </w:tc>
          </w:sdtContent>
        </w:sdt>
        <w:sdt>
          <w:sdtPr>
            <w:rPr>
              <w:szCs w:val="21"/>
            </w:rPr>
            <w:tag w:val="_PLD_e10581b09aa64ab3b8d7c66a46ac090e"/>
            <w:id w:val="21750291"/>
          </w:sdtPr>
          <w:sdtContent>
            <w:tc>
              <w:tcPr>
                <w:tcW w:w="1765" w:type="dxa"/>
              </w:tcPr>
              <w:p>
                <w:pPr>
                  <w:jc w:val="center"/>
                  <w:rPr>
                    <w:color w:val="000000" w:themeColor="text1"/>
                    <w:szCs w:val="21"/>
                  </w:rPr>
                </w:pPr>
                <w:r>
                  <w:rPr>
                    <w:rFonts w:hint="eastAsia"/>
                    <w:color w:val="000000" w:themeColor="text1"/>
                    <w:szCs w:val="21"/>
                  </w:rPr>
                  <w:t>合同剩余期限</w:t>
                </w:r>
              </w:p>
            </w:tc>
          </w:sdtContent>
        </w:sdt>
        <w:sdt>
          <w:sdtPr>
            <w:rPr>
              <w:szCs w:val="21"/>
            </w:rPr>
            <w:tag w:val="_PLD_0c953f9d4c3c45a28239172e7650bf83"/>
            <w:id w:val="1478116615"/>
          </w:sdtPr>
          <w:sdtContent>
            <w:tc>
              <w:tcPr>
                <w:tcW w:w="1765" w:type="dxa"/>
              </w:tcPr>
              <w:p>
                <w:pPr>
                  <w:jc w:val="center"/>
                  <w:rPr>
                    <w:color w:val="000000" w:themeColor="text1"/>
                    <w:szCs w:val="21"/>
                  </w:rPr>
                </w:pPr>
                <w:r>
                  <w:rPr>
                    <w:rFonts w:hint="eastAsia"/>
                    <w:color w:val="000000" w:themeColor="text1"/>
                    <w:szCs w:val="21"/>
                  </w:rPr>
                  <w:t>行权价格的范围</w:t>
                </w:r>
              </w:p>
            </w:tc>
          </w:sdtContent>
        </w:sdt>
        <w:sdt>
          <w:sdtPr>
            <w:rPr>
              <w:szCs w:val="21"/>
            </w:rPr>
            <w:tag w:val="_PLD_61cb35eeba6b461b8df415a2e671593a"/>
            <w:id w:val="1895467992"/>
          </w:sdtPr>
          <w:sdtContent>
            <w:tc>
              <w:tcPr>
                <w:tcW w:w="1765" w:type="dxa"/>
              </w:tcPr>
              <w:p>
                <w:pPr>
                  <w:jc w:val="center"/>
                  <w:rPr>
                    <w:color w:val="000000" w:themeColor="text1"/>
                    <w:szCs w:val="21"/>
                  </w:rPr>
                </w:pPr>
                <w:r>
                  <w:rPr>
                    <w:rFonts w:hint="eastAsia"/>
                    <w:color w:val="000000" w:themeColor="text1"/>
                    <w:szCs w:val="21"/>
                  </w:rPr>
                  <w:t>合同剩余期限</w:t>
                </w:r>
              </w:p>
            </w:tc>
          </w:sdtContent>
        </w:sdt>
      </w:tr>
      <w:tr>
        <w:tc>
          <w:tcPr>
            <w:tcW w:w="2619" w:type="dxa"/>
            <w:vAlign w:val="center"/>
          </w:tcPr>
          <w:p>
            <w:pPr>
              <w:widowControl/>
              <w:spacing w:line="360" w:lineRule="exact"/>
              <w:jc w:val="left"/>
              <w:rPr>
                <w:szCs w:val="21"/>
              </w:rPr>
            </w:pPr>
            <w:r>
              <w:rPr>
                <w:rFonts w:hint="eastAsia"/>
                <w:szCs w:val="21"/>
              </w:rPr>
              <w:t>限制性股票激励计划</w:t>
            </w:r>
          </w:p>
        </w:tc>
        <w:tc>
          <w:tcPr>
            <w:tcW w:w="1765" w:type="dxa"/>
            <w:vAlign w:val="center"/>
          </w:tcPr>
          <w:p>
            <w:pPr>
              <w:widowControl/>
              <w:spacing w:line="360" w:lineRule="exact"/>
              <w:jc w:val="left"/>
              <w:rPr>
                <w:szCs w:val="21"/>
              </w:rPr>
            </w:pPr>
          </w:p>
        </w:tc>
        <w:tc>
          <w:tcPr>
            <w:tcW w:w="1765" w:type="dxa"/>
            <w:vAlign w:val="center"/>
          </w:tcPr>
          <w:p>
            <w:pPr>
              <w:widowControl/>
              <w:spacing w:line="360" w:lineRule="exact"/>
              <w:jc w:val="left"/>
              <w:rPr>
                <w:szCs w:val="21"/>
              </w:rPr>
            </w:pPr>
          </w:p>
        </w:tc>
        <w:tc>
          <w:tcPr>
            <w:tcW w:w="1765" w:type="dxa"/>
            <w:vAlign w:val="center"/>
          </w:tcPr>
          <w:p>
            <w:pPr>
              <w:widowControl/>
              <w:spacing w:line="360" w:lineRule="exact"/>
              <w:jc w:val="left"/>
              <w:rPr>
                <w:szCs w:val="21"/>
              </w:rPr>
            </w:pPr>
            <w:r>
              <w:rPr>
                <w:szCs w:val="21"/>
              </w:rPr>
              <w:t>3.6133元/股</w:t>
            </w:r>
          </w:p>
        </w:tc>
        <w:tc>
          <w:tcPr>
            <w:tcW w:w="1765" w:type="dxa"/>
            <w:vAlign w:val="center"/>
          </w:tcPr>
          <w:p>
            <w:pPr>
              <w:widowControl/>
              <w:spacing w:line="360" w:lineRule="exact"/>
              <w:jc w:val="left"/>
              <w:rPr>
                <w:szCs w:val="21"/>
              </w:rPr>
            </w:pPr>
            <w:r>
              <w:rPr>
                <w:szCs w:val="21"/>
              </w:rPr>
              <w:t>1-3年</w:t>
            </w:r>
          </w:p>
        </w:tc>
      </w:tr>
      <w:tr>
        <w:tc>
          <w:tcPr>
            <w:tcW w:w="2619" w:type="dxa"/>
            <w:vAlign w:val="center"/>
          </w:tcPr>
          <w:p>
            <w:pPr>
              <w:widowControl/>
              <w:spacing w:line="360" w:lineRule="exact"/>
              <w:jc w:val="left"/>
              <w:rPr>
                <w:szCs w:val="21"/>
              </w:rPr>
            </w:pPr>
            <w:r>
              <w:rPr>
                <w:rFonts w:hint="eastAsia"/>
                <w:szCs w:val="21"/>
              </w:rPr>
              <w:t>澳洲公司</w:t>
            </w:r>
          </w:p>
        </w:tc>
        <w:tc>
          <w:tcPr>
            <w:tcW w:w="1765" w:type="dxa"/>
            <w:vAlign w:val="center"/>
          </w:tcPr>
          <w:p>
            <w:pPr>
              <w:widowControl/>
              <w:spacing w:line="360" w:lineRule="exact"/>
              <w:jc w:val="left"/>
              <w:rPr>
                <w:szCs w:val="21"/>
              </w:rPr>
            </w:pPr>
          </w:p>
        </w:tc>
        <w:tc>
          <w:tcPr>
            <w:tcW w:w="1765" w:type="dxa"/>
            <w:vAlign w:val="center"/>
          </w:tcPr>
          <w:p>
            <w:pPr>
              <w:widowControl/>
              <w:spacing w:line="360" w:lineRule="exact"/>
              <w:jc w:val="left"/>
              <w:rPr>
                <w:szCs w:val="21"/>
              </w:rPr>
            </w:pPr>
          </w:p>
        </w:tc>
        <w:tc>
          <w:tcPr>
            <w:tcW w:w="1765" w:type="dxa"/>
            <w:vAlign w:val="center"/>
          </w:tcPr>
          <w:p>
            <w:pPr>
              <w:widowControl/>
              <w:spacing w:line="360" w:lineRule="exact"/>
              <w:jc w:val="left"/>
              <w:rPr>
                <w:szCs w:val="21"/>
              </w:rPr>
            </w:pPr>
          </w:p>
        </w:tc>
        <w:tc>
          <w:tcPr>
            <w:tcW w:w="1765" w:type="dxa"/>
            <w:vAlign w:val="center"/>
          </w:tcPr>
          <w:p>
            <w:pPr>
              <w:widowControl/>
              <w:spacing w:line="360" w:lineRule="exact"/>
              <w:jc w:val="left"/>
              <w:rPr>
                <w:szCs w:val="21"/>
              </w:rPr>
            </w:pPr>
          </w:p>
        </w:tc>
      </w:tr>
    </w:tbl>
    <w:p>
      <w:pPr>
        <w:rPr>
          <w:color w:val="000000" w:themeColor="text1"/>
        </w:rPr>
      </w:pPr>
    </w:p>
    <w:p>
      <w:pPr>
        <w:rPr>
          <w:color w:val="000000" w:themeColor="text1"/>
        </w:rPr>
      </w:pPr>
      <w:r>
        <w:rPr>
          <w:rFonts w:hint="eastAsia"/>
          <w:color w:val="000000" w:themeColor="text1"/>
        </w:rPr>
        <w:t>其他说明</w:t>
      </w:r>
    </w:p>
    <w:sdt>
      <w:sdtPr>
        <w:rPr>
          <w:color w:val="000000" w:themeColor="text1"/>
        </w:rPr>
        <w:alias w:val="期末发行在外的股票期权或其他权益工具的其他说明"/>
        <w:tag w:val="_GBC_e794ebc2a12b497b98daaadb53f3058d"/>
        <w:id w:val="1207297698"/>
        <w:placeholder>
          <w:docPart w:val="GBC22222222222222222222222222222"/>
        </w:placeholder>
      </w:sdtPr>
      <w:sdtContent>
        <w:p>
          <w:pPr>
            <w:rPr>
              <w:color w:val="000000" w:themeColor="text1"/>
            </w:rPr>
          </w:pPr>
          <w:r>
            <w:rPr>
              <w:color w:val="000000" w:themeColor="text1"/>
            </w:rPr>
            <w:t>-</w:t>
          </w:r>
        </w:p>
      </w:sdtContent>
    </w:sdt>
    <w:p>
      <w:pPr>
        <w:pStyle w:val="affffffffffffffffffffffffffffffffe"/>
      </w:pPr>
    </w:p>
    <w:p>
      <w:pPr>
        <w:pStyle w:val="afffffffffffffffffffffffffffffffff0"/>
        <w:numPr>
          <w:ilvl w:val="0"/>
          <w:numId w:val="141"/>
        </w:numPr>
        <w:ind w:left="420" w:hanging="420"/>
        <w:rPr>
          <w:rFonts w:ascii="宋体" w:hAnsi="宋体"/>
        </w:rPr>
      </w:pPr>
      <w:bookmarkStart w:id="499" w:name="_Hlk40787255"/>
      <w:bookmarkEnd w:id="492"/>
      <w:bookmarkEnd w:id="493"/>
      <w:r>
        <w:rPr>
          <w:rFonts w:ascii="宋体" w:hAnsi="宋体" w:hint="eastAsia"/>
        </w:rPr>
        <w:t>以权益结算的股份支付情况</w:t>
      </w:r>
    </w:p>
    <w:sdt>
      <w:sdtPr>
        <w:alias w:val="是否适用：以权益结算的股份支付情况[双击切换]"/>
        <w:tag w:val="_GBC_180733cce6b5415097c0582f27918a4f"/>
        <w:id w:val="86541286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pPr>
      <w:r>
        <w:rPr>
          <w:rFonts w:hint="eastAsia"/>
        </w:rPr>
        <w:t>单位：</w:t>
      </w:r>
      <w:sdt>
        <w:sdtPr>
          <w:rPr>
            <w:rFonts w:hint="eastAsia"/>
          </w:rPr>
          <w:alias w:val="单位：以权益结算的股份支付情况"/>
          <w:tag w:val="_GBC_5c9e042b9c2d47a08e4057aadf873127"/>
          <w:id w:val="-207442728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rPr>
          <w:rFonts w:hint="eastAsia"/>
        </w:rPr>
        <w:t xml:space="preserve">  币种：</w:t>
      </w:r>
      <w:sdt>
        <w:sdtPr>
          <w:rPr>
            <w:rFonts w:hint="eastAsia"/>
          </w:rPr>
          <w:alias w:val="币种：财务附注：以权益结算的股份支付情况"/>
          <w:tag w:val="_GBC_ff8d4bc277f14b8fa13b220542d121be"/>
          <w:id w:val="-550184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40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42"/>
        <w:gridCol w:w="4296"/>
      </w:tblGrid>
      <w:tr>
        <w:sdt>
          <w:sdtPr>
            <w:tag w:val="_PLD_91599e22b08641e78612c1f045cadecb"/>
            <w:id w:val="-1432896814"/>
          </w:sdtPr>
          <w:sdtContent>
            <w:tc>
              <w:tcPr>
                <w:tcW w:w="274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授予日权益工具公允价值的确定方法</w:t>
                </w:r>
              </w:p>
            </w:tc>
          </w:sdtContent>
        </w:sdt>
        <w:sdt>
          <w:sdtPr>
            <w:alias w:val="授予日权益工具公允价值的确定方法"/>
            <w:tag w:val="_GBC_bd4bf0f89a654c8598ae84a5b3164aa9"/>
            <w:id w:val="1994833972"/>
          </w:sdtPr>
          <w:sdtContent>
            <w:tc>
              <w:tcPr>
                <w:tcW w:w="22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t>-</w:t>
                </w:r>
              </w:p>
            </w:tc>
          </w:sdtContent>
        </w:sdt>
      </w:tr>
      <w:tr>
        <w:tc>
          <w:tcPr>
            <w:tcW w:w="274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szCs w:val="21"/>
              </w:rPr>
              <w:t>授予日权益工具公允价值的重要参数</w:t>
            </w:r>
          </w:p>
        </w:tc>
        <w:tc>
          <w:tcPr>
            <w:tcW w:w="22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w:t>
            </w:r>
          </w:p>
        </w:tc>
      </w:tr>
      <w:tr>
        <w:tc>
          <w:tcPr>
            <w:tcW w:w="274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可行权权益工具数量的确定依据</w:t>
            </w:r>
          </w:p>
        </w:tc>
        <w:tc>
          <w:tcPr>
            <w:tcW w:w="22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w:t>
            </w:r>
          </w:p>
        </w:tc>
      </w:tr>
      <w:tr>
        <w:tc>
          <w:tcPr>
            <w:tcW w:w="274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本期估计与上期估计有重大差异的原因</w:t>
            </w:r>
          </w:p>
        </w:tc>
        <w:tc>
          <w:tcPr>
            <w:tcW w:w="2252"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w:t>
            </w:r>
          </w:p>
        </w:tc>
      </w:tr>
      <w:tr>
        <w:tc>
          <w:tcPr>
            <w:tcW w:w="2748" w:type="pct"/>
            <w:tcBorders>
              <w:top w:val="single" w:sz="4" w:space="0" w:color="auto"/>
              <w:left w:val="single" w:sz="4" w:space="0" w:color="auto"/>
              <w:bottom w:val="single" w:sz="4" w:space="0" w:color="auto"/>
              <w:right w:val="single" w:sz="4" w:space="0" w:color="auto"/>
            </w:tcBorders>
            <w:vAlign w:val="center"/>
          </w:tcPr>
          <w:p>
            <w:pPr>
              <w:pStyle w:val="affffffffffffffffffffffffffffffffe"/>
            </w:pPr>
            <w:r>
              <w:rPr>
                <w:rFonts w:hint="eastAsia"/>
              </w:rPr>
              <w:t>以权益结算的股份支付计入资本公积的累计金额</w:t>
            </w:r>
          </w:p>
        </w:tc>
        <w:tc>
          <w:tcPr>
            <w:tcW w:w="2252" w:type="pct"/>
            <w:tcBorders>
              <w:top w:val="single" w:sz="4" w:space="0" w:color="auto"/>
              <w:left w:val="single" w:sz="4" w:space="0" w:color="auto"/>
              <w:bottom w:val="single" w:sz="4" w:space="0" w:color="auto"/>
              <w:right w:val="single" w:sz="4" w:space="0" w:color="auto"/>
            </w:tcBorders>
            <w:vAlign w:val="center"/>
          </w:tcPr>
          <w:p>
            <w:pPr>
              <w:jc w:val="right"/>
            </w:pPr>
            <w:r>
              <w:rPr>
                <w:rFonts w:hint="eastAsia"/>
              </w:rPr>
              <w:t>-</w:t>
            </w:r>
          </w:p>
        </w:tc>
      </w:tr>
    </w:tbl>
    <w:p>
      <w:pPr>
        <w:pStyle w:val="affffffffffffffffffffffffffffffffe"/>
      </w:pPr>
      <w:r>
        <w:rPr>
          <w:rFonts w:hint="eastAsia"/>
        </w:rPr>
        <w:t>其他说明：</w:t>
      </w:r>
    </w:p>
    <w:sdt>
      <w:sdtPr>
        <w:rPr>
          <w:rFonts w:hAnsi="宋体" w:cs="宋体"/>
          <w:kern w:val="0"/>
          <w14:ligatures w14:val="none"/>
        </w:rPr>
        <w:alias w:val="以权益结算的股份支付的说明"/>
        <w:tag w:val="_GBC_9a8f2b14b5e54042a2d1374d322c1c73"/>
        <w:id w:val="-527559182"/>
        <w:placeholder>
          <w:docPart w:val="GBC22222222222222222222222222222"/>
        </w:placeholder>
      </w:sdtPr>
      <w:sdtContent>
        <w:p>
          <w:pPr>
            <w:pStyle w:val="afffa"/>
            <w:numPr>
              <w:ilvl w:val="2"/>
              <w:numId w:val="142"/>
            </w:numPr>
          </w:pPr>
          <w:r>
            <w:rPr>
              <w:rFonts w:hint="eastAsia"/>
            </w:rPr>
            <w:t>本公司</w:t>
          </w:r>
        </w:p>
        <w:p>
          <w:pPr>
            <w:autoSpaceDE w:val="0"/>
            <w:autoSpaceDN w:val="0"/>
            <w:adjustRightInd w:val="0"/>
            <w:spacing w:afterLines="50" w:after="120" w:line="360" w:lineRule="exact"/>
            <w:ind w:firstLineChars="200" w:firstLine="420"/>
          </w:pPr>
          <w:r>
            <w:rPr>
              <w:rFonts w:hint="eastAsia"/>
            </w:rPr>
            <w:t>2022年1月27日，本集团根据激励计划以2022年1月27日为授予日，以11.72元每股为授予价格，向符合条件的1,256名激励对象授予6,234万股限制性股票。本集团董事会审议授予相关事项后，在资金缴纳过程中，11名激励对象因个人原因自愿放弃公司向其授予的全部限制性股票，合计放弃60万股限制性股票，激励对象由1,256人调整为1,245人，授予的限制性股票数量由6,234万股调整为6,174万股。本激励计划限售期分别为自限制性股票授予登记完成之日起24月，36月，48月。截止2022年2月12日止，公司已收到1,245位股权激励对象缴纳的6,174万股限制性股票购股款人民币72,359.28万元。其中，计入股本6,174.00万元，计入资本公积66,185.28万元。</w:t>
          </w:r>
        </w:p>
        <w:p>
          <w:pPr>
            <w:autoSpaceDE w:val="0"/>
            <w:autoSpaceDN w:val="0"/>
            <w:adjustRightInd w:val="0"/>
            <w:spacing w:afterLines="50" w:after="120" w:line="360" w:lineRule="exact"/>
            <w:ind w:firstLineChars="200" w:firstLine="420"/>
          </w:pPr>
          <w:r>
            <w:rPr>
              <w:rFonts w:hint="eastAsia"/>
            </w:rPr>
            <w:t>2022年6月30日，公司2021年度股东周年大会审议批准2021年度利润分配方案，以分红派息股权登记日公司总股本为基数，派发现金股利人民币1.60元/股(含税)，另派发特别现金股利人民币0.40元/股(含税)，合计派发现金股利人民币2.00元/股(含税)。2023年6月30日，公司2022年度股东周年大会审议批准2022年度利润分配方案，以分红派息股权登记日公司总股本为基数，派发现金股利人民币3.07元/股(含税)，另派发特别现金股利人民币1.23元/股(含税)，合计派发现金股利人民币4.30元/股(含税)；每股派送红股0.5股。因此，根据相关规定限制性股票数量由6,174万股调整为9,261万股，限制性股票的回购价格调整为3.6133元/股。</w:t>
          </w:r>
        </w:p>
        <w:p>
          <w:pPr>
            <w:autoSpaceDE w:val="0"/>
            <w:autoSpaceDN w:val="0"/>
            <w:adjustRightInd w:val="0"/>
            <w:spacing w:afterLines="50" w:after="120" w:line="360" w:lineRule="exact"/>
            <w:ind w:firstLineChars="200" w:firstLine="420"/>
          </w:pPr>
          <w:r>
            <w:rPr>
              <w:rFonts w:hint="eastAsia"/>
            </w:rPr>
            <w:t>2023年8月25日，公司第九届董事会第二次会议和第九届监事会第二次会议审议批准了《关于调整2021年A股限制性股票激励计划相关事项的议案》。鉴于本激励计划26名激励对象因调</w:t>
          </w:r>
          <w:r>
            <w:rPr>
              <w:rFonts w:hint="eastAsia"/>
            </w:rPr>
            <w:lastRenderedPageBreak/>
            <w:t>动、退休等原因，已不符合激励条件，应对其已获授但尚未解除限售的限制性股票267万股进行回购注销；本次限制性股票于2023年11月16日完成注销。</w:t>
          </w:r>
        </w:p>
        <w:p>
          <w:pPr>
            <w:autoSpaceDE w:val="0"/>
            <w:autoSpaceDN w:val="0"/>
            <w:adjustRightInd w:val="0"/>
            <w:spacing w:afterLines="50" w:after="120" w:line="360" w:lineRule="exact"/>
            <w:ind w:firstLineChars="200" w:firstLine="420"/>
          </w:pPr>
          <w:r>
            <w:rPr>
              <w:rFonts w:hint="eastAsia"/>
            </w:rPr>
            <w:t>2024年2月23日，公司第九届董事会第五次会议和第九届监事会第四次会议审议批准了《关于回购注销部分激励对象限制性股票的议案》，同意根据2021年A股限制性股票激励计划回购22名激励对象已获授但尚未解除限售的限制性股票140.118万股。本次限制性股票于2024年5月完成注销。</w:t>
          </w:r>
        </w:p>
        <w:p>
          <w:pPr>
            <w:autoSpaceDE w:val="0"/>
            <w:autoSpaceDN w:val="0"/>
            <w:adjustRightInd w:val="0"/>
            <w:spacing w:afterLines="50" w:after="120" w:line="360" w:lineRule="exact"/>
            <w:ind w:firstLineChars="200" w:firstLine="420"/>
          </w:pPr>
          <w:r>
            <w:rPr>
              <w:rFonts w:hint="eastAsia"/>
            </w:rPr>
            <w:t>2024年2月23日，公司第九届董事会第五次会议和第九届监事会第四次会议审议批准了《关于公司2021年A股限制性股票激励计划第一个解除限售期解除限售条件成就的议案》，同意2021年A股限制性股票激励计划第一个解除限售期解锁限售条件成就，同意对1201名激励对象所对应的2916.342万股限制性股票进行解除限售。</w:t>
          </w:r>
        </w:p>
        <w:p>
          <w:pPr>
            <w:autoSpaceDE w:val="0"/>
            <w:autoSpaceDN w:val="0"/>
            <w:adjustRightInd w:val="0"/>
            <w:spacing w:afterLines="50" w:after="120" w:line="360" w:lineRule="exact"/>
            <w:ind w:firstLineChars="200" w:firstLine="420"/>
          </w:pPr>
          <w:r>
            <w:rPr>
              <w:rFonts w:hint="eastAsia"/>
            </w:rPr>
            <w:t>2024年3月28日，公司第九届董事会第六次会议，审议通过了公司2023年度利润分配方案以实施权益分派股权登记日登记的总股本为基数向全体股东每股派发现金股利1.49元（含税）每股派送红股0.5股，公司2024年10月25日召开的2024年度第一次临时股东大会审议通过了公司2024年半年度利润分配方案，以方案实施前的公司总股本10,039,860,402股为基数，每股派发现金红利人民币0.23元(含税)。因此，根据相关规定限制性股票数量由8,994万股调整为7,718万股，限制性股票的回购价格调整为1.4564元/股。</w:t>
          </w:r>
        </w:p>
        <w:p>
          <w:pPr>
            <w:autoSpaceDE w:val="0"/>
            <w:autoSpaceDN w:val="0"/>
            <w:adjustRightInd w:val="0"/>
            <w:spacing w:afterLines="50" w:after="120" w:line="360" w:lineRule="exact"/>
            <w:ind w:firstLineChars="200" w:firstLine="420"/>
          </w:pPr>
          <w:r>
            <w:rPr>
              <w:rFonts w:hint="eastAsia"/>
            </w:rPr>
            <w:t>截止2024年12月31日，公司总股本为10,039,860,402.00份，其中：无限售条件股9,962,672,382.00份，有限售条件股77,188,020.00份。</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393_10120230|0|desc|||0|1"/>
          </w:tblPr>
          <w:tblGrid>
            <w:gridCol w:w="4111"/>
            <w:gridCol w:w="4468"/>
          </w:tblGrid>
          <w:tr>
            <w:trPr>
              <w:trHeight w:val="397"/>
              <w:tblHeader/>
              <w:jc w:val="center"/>
            </w:trPr>
            <w:tc>
              <w:tcPr>
                <w:tcW w:w="4111" w:type="dxa"/>
                <w:shd w:val="clear" w:color="auto" w:fill="auto"/>
                <w:vAlign w:val="center"/>
              </w:tcPr>
              <w:p>
                <w:pPr>
                  <w:spacing w:line="360" w:lineRule="exact"/>
                  <w:jc w:val="center"/>
                  <w:rPr>
                    <w:b/>
                    <w:szCs w:val="21"/>
                  </w:rPr>
                </w:pPr>
                <w:r>
                  <w:rPr>
                    <w:rFonts w:hint="eastAsia"/>
                    <w:b/>
                    <w:szCs w:val="21"/>
                  </w:rPr>
                  <w:t>项目</w:t>
                </w:r>
              </w:p>
            </w:tc>
            <w:tc>
              <w:tcPr>
                <w:tcW w:w="4468" w:type="dxa"/>
                <w:shd w:val="clear" w:color="auto" w:fill="auto"/>
                <w:vAlign w:val="center"/>
              </w:tcPr>
              <w:p>
                <w:pPr>
                  <w:spacing w:line="360" w:lineRule="exact"/>
                  <w:jc w:val="center"/>
                  <w:rPr>
                    <w:b/>
                    <w:szCs w:val="21"/>
                  </w:rPr>
                </w:pPr>
                <w:r>
                  <w:rPr>
                    <w:rFonts w:hint="eastAsia"/>
                    <w:b/>
                    <w:szCs w:val="21"/>
                  </w:rPr>
                  <w:t>内容</w:t>
                </w:r>
              </w:p>
            </w:tc>
          </w:tr>
          <w:tr>
            <w:trPr>
              <w:trHeight w:val="397"/>
              <w:jc w:val="center"/>
            </w:trPr>
            <w:tc>
              <w:tcPr>
                <w:tcW w:w="4111" w:type="dxa"/>
                <w:shd w:val="clear" w:color="auto" w:fill="auto"/>
                <w:vAlign w:val="center"/>
              </w:tcPr>
              <w:p>
                <w:pPr>
                  <w:spacing w:line="360" w:lineRule="exact"/>
                  <w:rPr>
                    <w:szCs w:val="21"/>
                  </w:rPr>
                </w:pPr>
                <w:r>
                  <w:rPr>
                    <w:rFonts w:hint="eastAsia"/>
                    <w:szCs w:val="21"/>
                  </w:rPr>
                  <w:t>授予日权益工具公允价值的确定方法</w:t>
                </w:r>
              </w:p>
            </w:tc>
            <w:tc>
              <w:tcPr>
                <w:tcW w:w="4468" w:type="dxa"/>
                <w:shd w:val="clear" w:color="auto" w:fill="auto"/>
                <w:vAlign w:val="center"/>
              </w:tcPr>
              <w:p>
                <w:pPr>
                  <w:spacing w:line="360" w:lineRule="exact"/>
                  <w:jc w:val="center"/>
                  <w:rPr>
                    <w:szCs w:val="21"/>
                  </w:rPr>
                </w:pPr>
                <w:r>
                  <w:rPr>
                    <w:szCs w:val="21"/>
                  </w:rPr>
                  <w:t>Black-Scholes期权定价模型来计算期权的公允价值</w:t>
                </w:r>
              </w:p>
            </w:tc>
          </w:tr>
          <w:tr>
            <w:trPr>
              <w:trHeight w:val="397"/>
              <w:jc w:val="center"/>
            </w:trPr>
            <w:tc>
              <w:tcPr>
                <w:tcW w:w="4111" w:type="dxa"/>
                <w:shd w:val="clear" w:color="auto" w:fill="auto"/>
                <w:vAlign w:val="center"/>
              </w:tcPr>
              <w:p>
                <w:pPr>
                  <w:spacing w:line="360" w:lineRule="exact"/>
                  <w:rPr>
                    <w:szCs w:val="21"/>
                  </w:rPr>
                </w:pPr>
                <w:r>
                  <w:rPr>
                    <w:rFonts w:hint="eastAsia"/>
                    <w:szCs w:val="21"/>
                  </w:rPr>
                  <w:t>可行权权益工具数量的确定依据</w:t>
                </w:r>
              </w:p>
            </w:tc>
            <w:tc>
              <w:tcPr>
                <w:tcW w:w="4468" w:type="dxa"/>
                <w:shd w:val="clear" w:color="auto" w:fill="auto"/>
                <w:vAlign w:val="center"/>
              </w:tcPr>
              <w:p>
                <w:pPr>
                  <w:spacing w:line="360" w:lineRule="exact"/>
                  <w:jc w:val="center"/>
                  <w:rPr>
                    <w:szCs w:val="21"/>
                  </w:rPr>
                </w:pPr>
                <w:r>
                  <w:rPr>
                    <w:rFonts w:hint="eastAsia"/>
                    <w:szCs w:val="21"/>
                  </w:rPr>
                  <w:t>对可行权权益工具数量的最佳估计</w:t>
                </w:r>
              </w:p>
            </w:tc>
          </w:tr>
          <w:tr>
            <w:trPr>
              <w:trHeight w:val="397"/>
              <w:jc w:val="center"/>
            </w:trPr>
            <w:tc>
              <w:tcPr>
                <w:tcW w:w="4111" w:type="dxa"/>
                <w:shd w:val="clear" w:color="auto" w:fill="auto"/>
                <w:vAlign w:val="center"/>
              </w:tcPr>
              <w:p>
                <w:pPr>
                  <w:spacing w:line="360" w:lineRule="exact"/>
                  <w:rPr>
                    <w:szCs w:val="21"/>
                  </w:rPr>
                </w:pPr>
                <w:r>
                  <w:rPr>
                    <w:rFonts w:hint="eastAsia"/>
                    <w:szCs w:val="21"/>
                  </w:rPr>
                  <w:t>本期估计与上期估计有重大差异的原因</w:t>
                </w:r>
              </w:p>
            </w:tc>
            <w:tc>
              <w:tcPr>
                <w:tcW w:w="4468" w:type="dxa"/>
                <w:shd w:val="clear" w:color="auto" w:fill="auto"/>
                <w:vAlign w:val="center"/>
              </w:tcPr>
              <w:p>
                <w:pPr>
                  <w:spacing w:line="360" w:lineRule="exact"/>
                  <w:jc w:val="center"/>
                  <w:rPr>
                    <w:szCs w:val="21"/>
                  </w:rPr>
                </w:pPr>
                <w:r>
                  <w:rPr>
                    <w:rFonts w:hint="eastAsia"/>
                    <w:szCs w:val="21"/>
                  </w:rPr>
                  <w:t>无</w:t>
                </w:r>
              </w:p>
            </w:tc>
          </w:tr>
          <w:tr>
            <w:trPr>
              <w:trHeight w:val="397"/>
              <w:jc w:val="center"/>
            </w:trPr>
            <w:tc>
              <w:tcPr>
                <w:tcW w:w="4111" w:type="dxa"/>
                <w:shd w:val="clear" w:color="auto" w:fill="auto"/>
                <w:vAlign w:val="center"/>
              </w:tcPr>
              <w:p>
                <w:pPr>
                  <w:spacing w:line="360" w:lineRule="exact"/>
                  <w:rPr>
                    <w:szCs w:val="21"/>
                  </w:rPr>
                </w:pPr>
                <w:r>
                  <w:rPr>
                    <w:rFonts w:hint="eastAsia"/>
                    <w:szCs w:val="21"/>
                  </w:rPr>
                  <w:t>以权益结算的股份支付计入资本公积的累计金额</w:t>
                </w:r>
              </w:p>
            </w:tc>
            <w:tc>
              <w:tcPr>
                <w:tcW w:w="4468" w:type="dxa"/>
                <w:shd w:val="clear" w:color="auto" w:fill="auto"/>
                <w:vAlign w:val="center"/>
              </w:tcPr>
              <w:p>
                <w:pPr>
                  <w:spacing w:line="360" w:lineRule="exact"/>
                  <w:jc w:val="center"/>
                  <w:rPr>
                    <w:szCs w:val="21"/>
                  </w:rPr>
                </w:pPr>
                <w:r>
                  <w:rPr>
                    <w:szCs w:val="21"/>
                  </w:rPr>
                  <w:t>774,845</w:t>
                </w:r>
              </w:p>
            </w:tc>
          </w:tr>
        </w:tbl>
        <w:p>
          <w:pPr>
            <w:pStyle w:val="afffffffffffffffff9"/>
            <w:spacing w:after="120"/>
            <w:rPr>
              <w:szCs w:val="21"/>
            </w:rPr>
          </w:pPr>
        </w:p>
        <w:p>
          <w:pPr>
            <w:pStyle w:val="afffa"/>
            <w:numPr>
              <w:ilvl w:val="0"/>
              <w:numId w:val="97"/>
            </w:numPr>
            <w:rPr>
              <w:szCs w:val="21"/>
            </w:rPr>
          </w:pPr>
          <w:r>
            <w:rPr>
              <w:rFonts w:hint="eastAsia"/>
              <w:szCs w:val="21"/>
            </w:rPr>
            <w:t>2</w:t>
          </w:r>
          <w:r>
            <w:rPr>
              <w:szCs w:val="21"/>
            </w:rPr>
            <w:t>.</w:t>
          </w:r>
          <w:r>
            <w:rPr>
              <w:rFonts w:hint="eastAsia"/>
              <w:szCs w:val="21"/>
            </w:rPr>
            <w:t>澳洲</w:t>
          </w:r>
        </w:p>
        <w:p>
          <w:pPr>
            <w:autoSpaceDE w:val="0"/>
            <w:autoSpaceDN w:val="0"/>
            <w:adjustRightInd w:val="0"/>
            <w:spacing w:afterLines="50" w:after="120" w:line="360" w:lineRule="exact"/>
            <w:ind w:firstLineChars="200" w:firstLine="420"/>
            <w:rPr>
              <w:szCs w:val="21"/>
            </w:rPr>
          </w:pPr>
          <w:r>
            <w:rPr>
              <w:rFonts w:hint="eastAsia"/>
              <w:szCs w:val="21"/>
            </w:rPr>
            <w:t>截至2024年12月31日，本公司之子公司澳洲公司根据激励计划向核心管理层人员授予5,234,278份期权，占截止2024年12月31日公司总股本的0.4%。此激励计划为长期激励计划，2024年长期激励计划授予激励对象1,533,906份期权，若满足相关可行权条件，将于2026年12月31日行权。若无法满足相关可行权条件，此期权将于2027年1月1日到期失效。</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rzMyUpsdf0SKHUeNwBsbEg|0|desc|||0|1"/>
          </w:tblPr>
          <w:tblGrid>
            <w:gridCol w:w="4267"/>
            <w:gridCol w:w="4312"/>
          </w:tblGrid>
          <w:tr>
            <w:trPr>
              <w:cantSplit/>
              <w:trHeight w:val="397"/>
              <w:tblHeader/>
              <w:jc w:val="center"/>
            </w:trPr>
            <w:tc>
              <w:tcPr>
                <w:tcW w:w="4267" w:type="dxa"/>
                <w:shd w:val="clear" w:color="auto" w:fill="auto"/>
                <w:vAlign w:val="center"/>
              </w:tcPr>
              <w:p>
                <w:pPr>
                  <w:jc w:val="center"/>
                  <w:rPr>
                    <w:b/>
                    <w:bCs/>
                    <w:color w:val="000000"/>
                    <w:szCs w:val="21"/>
                  </w:rPr>
                </w:pPr>
                <w:r>
                  <w:rPr>
                    <w:rFonts w:hint="eastAsia"/>
                    <w:b/>
                    <w:bCs/>
                    <w:color w:val="000000"/>
                    <w:szCs w:val="21"/>
                  </w:rPr>
                  <w:t>项目</w:t>
                </w:r>
              </w:p>
            </w:tc>
            <w:tc>
              <w:tcPr>
                <w:tcW w:w="4312" w:type="dxa"/>
                <w:shd w:val="clear" w:color="auto" w:fill="auto"/>
                <w:vAlign w:val="center"/>
              </w:tcPr>
              <w:p>
                <w:pPr>
                  <w:jc w:val="center"/>
                  <w:rPr>
                    <w:b/>
                    <w:bCs/>
                    <w:color w:val="000000"/>
                    <w:szCs w:val="21"/>
                  </w:rPr>
                </w:pPr>
                <w:r>
                  <w:rPr>
                    <w:rFonts w:hint="eastAsia"/>
                    <w:b/>
                    <w:bCs/>
                    <w:color w:val="000000"/>
                    <w:szCs w:val="21"/>
                  </w:rPr>
                  <w:t>内容</w:t>
                </w:r>
              </w:p>
            </w:tc>
          </w:tr>
          <w:tr>
            <w:trPr>
              <w:cantSplit/>
              <w:trHeight w:val="397"/>
              <w:jc w:val="center"/>
            </w:trPr>
            <w:tc>
              <w:tcPr>
                <w:tcW w:w="4267" w:type="dxa"/>
                <w:shd w:val="clear" w:color="auto" w:fill="auto"/>
                <w:noWrap/>
                <w:vAlign w:val="center"/>
              </w:tcPr>
              <w:p>
                <w:pPr>
                  <w:rPr>
                    <w:color w:val="000000"/>
                    <w:szCs w:val="21"/>
                  </w:rPr>
                </w:pPr>
                <w:r>
                  <w:rPr>
                    <w:rFonts w:hint="eastAsia"/>
                    <w:color w:val="000000"/>
                    <w:szCs w:val="21"/>
                  </w:rPr>
                  <w:t>授予日权益工具公允价值的确定方法</w:t>
                </w:r>
              </w:p>
            </w:tc>
            <w:tc>
              <w:tcPr>
                <w:tcW w:w="4312" w:type="dxa"/>
                <w:shd w:val="clear" w:color="auto" w:fill="auto"/>
                <w:noWrap/>
                <w:vAlign w:val="center"/>
              </w:tcPr>
              <w:p>
                <w:pPr>
                  <w:jc w:val="center"/>
                  <w:rPr>
                    <w:color w:val="000000"/>
                    <w:szCs w:val="21"/>
                  </w:rPr>
                </w:pPr>
                <w:r>
                  <w:rPr>
                    <w:rFonts w:hint="eastAsia"/>
                    <w:color w:val="000000"/>
                    <w:szCs w:val="21"/>
                  </w:rPr>
                  <w:t>Black-Scholes期权定价模型来计算期权的公允价值</w:t>
                </w:r>
              </w:p>
            </w:tc>
          </w:tr>
          <w:tr>
            <w:trPr>
              <w:cantSplit/>
              <w:trHeight w:val="397"/>
              <w:jc w:val="center"/>
            </w:trPr>
            <w:tc>
              <w:tcPr>
                <w:tcW w:w="4267" w:type="dxa"/>
                <w:shd w:val="clear" w:color="auto" w:fill="auto"/>
                <w:noWrap/>
                <w:vAlign w:val="center"/>
              </w:tcPr>
              <w:p>
                <w:pPr>
                  <w:rPr>
                    <w:color w:val="000000"/>
                    <w:szCs w:val="21"/>
                  </w:rPr>
                </w:pPr>
                <w:r>
                  <w:rPr>
                    <w:rFonts w:hint="eastAsia"/>
                    <w:color w:val="000000"/>
                    <w:szCs w:val="21"/>
                  </w:rPr>
                  <w:t>可行权权益工具数量的确定依据</w:t>
                </w:r>
              </w:p>
            </w:tc>
            <w:tc>
              <w:tcPr>
                <w:tcW w:w="4312" w:type="dxa"/>
                <w:shd w:val="clear" w:color="auto" w:fill="auto"/>
                <w:noWrap/>
                <w:vAlign w:val="center"/>
              </w:tcPr>
              <w:p>
                <w:pPr>
                  <w:jc w:val="center"/>
                  <w:rPr>
                    <w:color w:val="000000"/>
                    <w:szCs w:val="21"/>
                  </w:rPr>
                </w:pPr>
                <w:r>
                  <w:rPr>
                    <w:rFonts w:hint="eastAsia"/>
                    <w:color w:val="000000"/>
                    <w:szCs w:val="21"/>
                  </w:rPr>
                  <w:t>对可行权权益工具数量的最佳估计</w:t>
                </w:r>
              </w:p>
            </w:tc>
          </w:tr>
          <w:tr>
            <w:trPr>
              <w:cantSplit/>
              <w:trHeight w:val="397"/>
              <w:jc w:val="center"/>
            </w:trPr>
            <w:tc>
              <w:tcPr>
                <w:tcW w:w="4267" w:type="dxa"/>
                <w:shd w:val="clear" w:color="auto" w:fill="auto"/>
                <w:noWrap/>
                <w:vAlign w:val="center"/>
              </w:tcPr>
              <w:p>
                <w:pPr>
                  <w:rPr>
                    <w:color w:val="000000"/>
                    <w:szCs w:val="21"/>
                  </w:rPr>
                </w:pPr>
                <w:r>
                  <w:rPr>
                    <w:rFonts w:hint="eastAsia"/>
                    <w:color w:val="000000"/>
                    <w:szCs w:val="21"/>
                  </w:rPr>
                  <w:lastRenderedPageBreak/>
                  <w:t>本期估计与上期估计有重大差异的原因</w:t>
                </w:r>
              </w:p>
            </w:tc>
            <w:tc>
              <w:tcPr>
                <w:tcW w:w="4312" w:type="dxa"/>
                <w:shd w:val="clear" w:color="auto" w:fill="auto"/>
                <w:noWrap/>
                <w:vAlign w:val="center"/>
              </w:tcPr>
              <w:p>
                <w:pPr>
                  <w:jc w:val="center"/>
                  <w:rPr>
                    <w:color w:val="000000"/>
                    <w:szCs w:val="21"/>
                  </w:rPr>
                </w:pPr>
                <w:r>
                  <w:rPr>
                    <w:rFonts w:hint="eastAsia"/>
                    <w:color w:val="000000"/>
                    <w:szCs w:val="21"/>
                  </w:rPr>
                  <w:t>无</w:t>
                </w:r>
              </w:p>
            </w:tc>
          </w:tr>
          <w:tr>
            <w:trPr>
              <w:cantSplit/>
              <w:trHeight w:val="397"/>
              <w:jc w:val="center"/>
            </w:trPr>
            <w:tc>
              <w:tcPr>
                <w:tcW w:w="4267" w:type="dxa"/>
                <w:shd w:val="clear" w:color="auto" w:fill="auto"/>
                <w:noWrap/>
                <w:vAlign w:val="center"/>
              </w:tcPr>
              <w:p>
                <w:pPr>
                  <w:rPr>
                    <w:color w:val="000000"/>
                    <w:szCs w:val="21"/>
                  </w:rPr>
                </w:pPr>
                <w:r>
                  <w:rPr>
                    <w:rFonts w:hint="eastAsia"/>
                    <w:color w:val="000000"/>
                    <w:szCs w:val="21"/>
                  </w:rPr>
                  <w:t>以权益结算的股份支付计入资本公积的累计金额</w:t>
                </w:r>
              </w:p>
            </w:tc>
            <w:tc>
              <w:tcPr>
                <w:tcW w:w="4312" w:type="dxa"/>
                <w:shd w:val="clear" w:color="auto" w:fill="auto"/>
                <w:noWrap/>
                <w:vAlign w:val="center"/>
              </w:tcPr>
              <w:p>
                <w:pPr>
                  <w:jc w:val="center"/>
                  <w:rPr>
                    <w:color w:val="000000"/>
                    <w:szCs w:val="21"/>
                  </w:rPr>
                </w:pPr>
                <w:r>
                  <w:rPr>
                    <w:color w:val="000000"/>
                    <w:szCs w:val="21"/>
                  </w:rPr>
                  <w:t>42,330</w:t>
                </w:r>
              </w:p>
            </w:tc>
          </w:tr>
        </w:tbl>
        <w:p>
          <w:pPr>
            <w:pStyle w:val="affffffffffffffffffffffffffffffffe"/>
          </w:pPr>
        </w:p>
        <w:p>
          <w:pPr>
            <w:pStyle w:val="afffa"/>
            <w:numPr>
              <w:ilvl w:val="0"/>
              <w:numId w:val="97"/>
            </w:numPr>
          </w:pPr>
          <w:r>
            <w:rPr>
              <w:rFonts w:hint="eastAsia"/>
            </w:rPr>
            <w:t>3</w:t>
          </w:r>
          <w:r>
            <w:t>.</w:t>
          </w:r>
          <w:r>
            <w:rPr>
              <w:rFonts w:hint="eastAsia"/>
            </w:rPr>
            <w:t>物泊科技</w:t>
          </w:r>
        </w:p>
        <w:p>
          <w:pPr>
            <w:autoSpaceDE w:val="0"/>
            <w:autoSpaceDN w:val="0"/>
            <w:adjustRightInd w:val="0"/>
            <w:spacing w:afterLines="50" w:after="120" w:line="360" w:lineRule="exact"/>
            <w:ind w:firstLineChars="200" w:firstLine="420"/>
          </w:pPr>
          <w:r>
            <w:rPr>
              <w:rFonts w:hint="eastAsia"/>
            </w:rPr>
            <w:t>本集团本期新增并表公司物泊科技有限公司，存在向核心管理层人员授予3,000,000份股权激励股票，占截止2024年12月31日公司总股本的3.01%。</w:t>
          </w:r>
        </w:p>
        <w:p>
          <w:pPr>
            <w:rPr>
              <w:rFonts w:cstheme="minorBidi"/>
            </w:rPr>
          </w:pPr>
        </w:p>
      </w:sdtContent>
    </w:sdt>
    <w:p>
      <w:pPr>
        <w:pStyle w:val="affffffffffffffffffffffffffffffffe"/>
      </w:pPr>
      <w:bookmarkStart w:id="500" w:name="_Hlk40787299"/>
      <w:bookmarkEnd w:id="494"/>
      <w:bookmarkEnd w:id="499"/>
      <w:bookmarkEnd w:id="500"/>
    </w:p>
    <w:p>
      <w:pPr>
        <w:pStyle w:val="afffffffffffffffffffffffffffffffff0"/>
        <w:numPr>
          <w:ilvl w:val="0"/>
          <w:numId w:val="141"/>
        </w:numPr>
      </w:pPr>
      <w:r>
        <w:rPr>
          <w:rFonts w:hint="eastAsia"/>
        </w:rPr>
        <w:t>以现金结算的股份支付情况</w:t>
      </w:r>
    </w:p>
    <w:sdt>
      <w:sdtPr>
        <w:alias w:val="是否适用：以现金结算的股份支付情况[双击切换]"/>
        <w:tag w:val="_GBC_aa134f611909486bb3a2d6258058f88d"/>
        <w:id w:val="873190865"/>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0"/>
        <w:numPr>
          <w:ilvl w:val="0"/>
          <w:numId w:val="141"/>
        </w:numPr>
        <w:ind w:left="420" w:hanging="420"/>
        <w:rPr>
          <w:color w:val="000000" w:themeColor="text1"/>
        </w:rPr>
      </w:pPr>
      <w:bookmarkStart w:id="501" w:name="_Hlk182486377"/>
      <w:r>
        <w:rPr>
          <w:color w:val="000000" w:themeColor="text1"/>
        </w:rPr>
        <w:t>本期</w:t>
      </w:r>
      <w:r>
        <w:rPr>
          <w:rFonts w:hint="eastAsia"/>
          <w:color w:val="000000" w:themeColor="text1"/>
        </w:rPr>
        <w:t>股份支付费用</w:t>
      </w:r>
    </w:p>
    <w:bookmarkStart w:id="502" w:name="_Hlk168494235" w:displacedByCustomXml="next"/>
    <w:sdt>
      <w:sdtPr>
        <w:rPr>
          <w:color w:val="000000" w:themeColor="text1"/>
        </w:rPr>
        <w:alias w:val="是否适用：股份支付费用[双击切换]"/>
        <w:tag w:val="_GBC_1ce28477cfda4be8ba3dd9f6b49b5010"/>
        <w:id w:val="770746000"/>
        <w:lock w:val="contentLocked"/>
        <w:placeholder>
          <w:docPart w:val="GBC22222222222222222222222222222"/>
        </w:placeholder>
      </w:sdtPr>
      <w:sdtContent>
        <w:p>
          <w:pPr>
            <w:rPr>
              <w:color w:val="000000" w:themeColor="text1"/>
            </w:rPr>
          </w:pPr>
          <w:r>
            <w:rPr>
              <w:color w:val="000000" w:themeColor="text1"/>
            </w:rPr>
            <w:fldChar w:fldCharType="begin"/>
          </w:r>
          <w:r>
            <w:rPr>
              <w:color w:val="000000" w:themeColor="text1"/>
            </w:rPr>
            <w:instrText xml:space="preserve"> MACROBUTTON  SnrToggleCheckbox √适用 </w:instrText>
          </w:r>
          <w:r>
            <w:rPr>
              <w:color w:val="000000" w:themeColor="text1"/>
            </w:rPr>
            <w:fldChar w:fldCharType="end"/>
          </w:r>
          <w:r>
            <w:rPr>
              <w:color w:val="000000" w:themeColor="text1"/>
            </w:rPr>
            <w:fldChar w:fldCharType="begin"/>
          </w:r>
          <w:r>
            <w:rPr>
              <w:color w:val="000000" w:themeColor="text1"/>
            </w:rPr>
            <w:instrText xml:space="preserve"> MACROBUTTON  SnrToggleCheckbox □不适用 </w:instrText>
          </w:r>
          <w:r>
            <w:rPr>
              <w:color w:val="000000" w:themeColor="text1"/>
            </w:rPr>
            <w:fldChar w:fldCharType="end"/>
          </w:r>
        </w:p>
      </w:sdtContent>
    </w:sdt>
    <w:p>
      <w:pPr>
        <w:jc w:val="right"/>
        <w:rPr>
          <w:color w:val="000000" w:themeColor="text1"/>
        </w:rPr>
      </w:pPr>
      <w:bookmarkStart w:id="503" w:name="_Hlk168494618"/>
      <w:bookmarkEnd w:id="502"/>
      <w:r>
        <w:rPr>
          <w:rFonts w:hint="eastAsia"/>
          <w:color w:val="000000" w:themeColor="text1"/>
        </w:rPr>
        <w:t>单位：</w:t>
      </w:r>
      <w:sdt>
        <w:sdtPr>
          <w:rPr>
            <w:rFonts w:hint="eastAsia"/>
            <w:color w:val="000000" w:themeColor="text1"/>
          </w:rPr>
          <w:alias w:val="单位：股份支付费用"/>
          <w:tag w:val="_GBC_fa8b4c68205a49bca9ddabb13842faf1"/>
          <w:id w:val="10472682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千元</w:t>
          </w:r>
        </w:sdtContent>
      </w:sdt>
      <w:r>
        <w:rPr>
          <w:rFonts w:hint="eastAsia"/>
          <w:color w:val="000000" w:themeColor="text1"/>
        </w:rPr>
        <w:t xml:space="preserve">  币种：</w:t>
      </w:r>
      <w:sdt>
        <w:sdtPr>
          <w:rPr>
            <w:rFonts w:hint="eastAsia"/>
            <w:color w:val="000000" w:themeColor="text1"/>
          </w:rPr>
          <w:alias w:val="币种：股份支付费用"/>
          <w:tag w:val="_GBC_6e8897592033420a8edb8433bc9271f5"/>
          <w:id w:val="7372186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g46"/>
        <w:tblW w:w="0" w:type="auto"/>
        <w:tblInd w:w="0" w:type="dxa"/>
        <w:tblLook w:val="04A0" w:firstRow="1" w:lastRow="0" w:firstColumn="1" w:lastColumn="0" w:noHBand="0" w:noVBand="1"/>
      </w:tblPr>
      <w:tblGrid>
        <w:gridCol w:w="2940"/>
        <w:gridCol w:w="2941"/>
        <w:gridCol w:w="2942"/>
      </w:tblGrid>
      <w:tr>
        <w:sdt>
          <w:sdtPr>
            <w:rPr>
              <w:szCs w:val="21"/>
            </w:rPr>
            <w:tag w:val="_PLD_58cbd34a362f4beeb751f57c604d7d40"/>
            <w:id w:val="-281193584"/>
          </w:sdtPr>
          <w:sdtContent>
            <w:tc>
              <w:tcPr>
                <w:tcW w:w="2940" w:type="dxa"/>
              </w:tcPr>
              <w:p>
                <w:pPr>
                  <w:jc w:val="center"/>
                  <w:rPr>
                    <w:color w:val="000000" w:themeColor="text1"/>
                    <w:szCs w:val="21"/>
                  </w:rPr>
                </w:pPr>
                <w:r>
                  <w:rPr>
                    <w:color w:val="000000" w:themeColor="text1"/>
                    <w:szCs w:val="21"/>
                  </w:rPr>
                  <w:t>授予对象类别</w:t>
                </w:r>
              </w:p>
            </w:tc>
          </w:sdtContent>
        </w:sdt>
        <w:sdt>
          <w:sdtPr>
            <w:rPr>
              <w:szCs w:val="21"/>
            </w:rPr>
            <w:tag w:val="_PLD_f92a7621244d46c8a1e16f0f41ea1378"/>
            <w:id w:val="348909428"/>
          </w:sdtPr>
          <w:sdtContent>
            <w:tc>
              <w:tcPr>
                <w:tcW w:w="2941" w:type="dxa"/>
              </w:tcPr>
              <w:p>
                <w:pPr>
                  <w:jc w:val="center"/>
                  <w:rPr>
                    <w:color w:val="000000" w:themeColor="text1"/>
                    <w:szCs w:val="21"/>
                  </w:rPr>
                </w:pPr>
                <w:r>
                  <w:rPr>
                    <w:color w:val="000000" w:themeColor="text1"/>
                    <w:szCs w:val="21"/>
                  </w:rPr>
                  <w:t>以权益结算的股份支付费用</w:t>
                </w:r>
              </w:p>
            </w:tc>
          </w:sdtContent>
        </w:sdt>
        <w:sdt>
          <w:sdtPr>
            <w:rPr>
              <w:szCs w:val="21"/>
            </w:rPr>
            <w:tag w:val="_PLD_ff1e5fc970694cab997211d684671242"/>
            <w:id w:val="-1560019781"/>
          </w:sdtPr>
          <w:sdtContent>
            <w:tc>
              <w:tcPr>
                <w:tcW w:w="2942" w:type="dxa"/>
              </w:tcPr>
              <w:p>
                <w:pPr>
                  <w:jc w:val="center"/>
                  <w:rPr>
                    <w:color w:val="000000" w:themeColor="text1"/>
                    <w:szCs w:val="21"/>
                  </w:rPr>
                </w:pPr>
                <w:r>
                  <w:rPr>
                    <w:color w:val="000000" w:themeColor="text1"/>
                    <w:szCs w:val="21"/>
                  </w:rPr>
                  <w:t>以现金结算的股份支付费用</w:t>
                </w:r>
              </w:p>
            </w:tc>
          </w:sdtContent>
        </w:sdt>
      </w:tr>
      <w:tr>
        <w:tc>
          <w:tcPr>
            <w:tcW w:w="2940" w:type="dxa"/>
            <w:vAlign w:val="center"/>
          </w:tcPr>
          <w:p>
            <w:pPr>
              <w:widowControl/>
              <w:spacing w:line="360" w:lineRule="exact"/>
              <w:rPr>
                <w:szCs w:val="21"/>
              </w:rPr>
            </w:pPr>
            <w:r>
              <w:rPr>
                <w:rFonts w:hint="eastAsia"/>
                <w:szCs w:val="21"/>
              </w:rPr>
              <w:t>本公司</w:t>
            </w:r>
          </w:p>
        </w:tc>
        <w:tc>
          <w:tcPr>
            <w:tcW w:w="2941" w:type="dxa"/>
            <w:vAlign w:val="center"/>
          </w:tcPr>
          <w:p>
            <w:pPr>
              <w:widowControl/>
              <w:spacing w:line="360" w:lineRule="exact"/>
              <w:jc w:val="right"/>
              <w:rPr>
                <w:szCs w:val="21"/>
              </w:rPr>
            </w:pPr>
            <w:r>
              <w:rPr>
                <w:szCs w:val="21"/>
              </w:rPr>
              <w:t>157,717</w:t>
            </w:r>
          </w:p>
        </w:tc>
        <w:tc>
          <w:tcPr>
            <w:tcW w:w="2942" w:type="dxa"/>
            <w:vAlign w:val="center"/>
          </w:tcPr>
          <w:p>
            <w:pPr>
              <w:widowControl/>
              <w:spacing w:line="360" w:lineRule="exact"/>
              <w:jc w:val="left"/>
              <w:rPr>
                <w:szCs w:val="21"/>
              </w:rPr>
            </w:pPr>
          </w:p>
        </w:tc>
      </w:tr>
      <w:tr>
        <w:tc>
          <w:tcPr>
            <w:tcW w:w="2940" w:type="dxa"/>
            <w:vAlign w:val="center"/>
          </w:tcPr>
          <w:p>
            <w:pPr>
              <w:widowControl/>
              <w:spacing w:line="360" w:lineRule="exact"/>
              <w:rPr>
                <w:szCs w:val="21"/>
              </w:rPr>
            </w:pPr>
            <w:r>
              <w:rPr>
                <w:rFonts w:hint="eastAsia"/>
                <w:szCs w:val="21"/>
              </w:rPr>
              <w:t>澳洲公司</w:t>
            </w:r>
          </w:p>
        </w:tc>
        <w:tc>
          <w:tcPr>
            <w:tcW w:w="2941" w:type="dxa"/>
            <w:vAlign w:val="center"/>
          </w:tcPr>
          <w:p>
            <w:pPr>
              <w:widowControl/>
              <w:spacing w:line="360" w:lineRule="exact"/>
              <w:jc w:val="right"/>
              <w:rPr>
                <w:szCs w:val="21"/>
              </w:rPr>
            </w:pPr>
            <w:r>
              <w:rPr>
                <w:szCs w:val="21"/>
              </w:rPr>
              <w:t>68,933</w:t>
            </w:r>
          </w:p>
        </w:tc>
        <w:tc>
          <w:tcPr>
            <w:tcW w:w="2942" w:type="dxa"/>
            <w:vAlign w:val="center"/>
          </w:tcPr>
          <w:p>
            <w:pPr>
              <w:widowControl/>
              <w:spacing w:line="360" w:lineRule="exact"/>
              <w:jc w:val="left"/>
              <w:rPr>
                <w:szCs w:val="21"/>
              </w:rPr>
            </w:pPr>
          </w:p>
        </w:tc>
      </w:tr>
      <w:tr>
        <w:tc>
          <w:tcPr>
            <w:tcW w:w="2940" w:type="dxa"/>
            <w:vAlign w:val="center"/>
          </w:tcPr>
          <w:p>
            <w:pPr>
              <w:widowControl/>
              <w:spacing w:line="360" w:lineRule="exact"/>
              <w:rPr>
                <w:szCs w:val="21"/>
              </w:rPr>
            </w:pPr>
            <w:r>
              <w:rPr>
                <w:rFonts w:hint="eastAsia"/>
                <w:szCs w:val="21"/>
              </w:rPr>
              <w:t>物泊科技</w:t>
            </w:r>
          </w:p>
        </w:tc>
        <w:tc>
          <w:tcPr>
            <w:tcW w:w="2941" w:type="dxa"/>
            <w:vAlign w:val="center"/>
          </w:tcPr>
          <w:p>
            <w:pPr>
              <w:widowControl/>
              <w:spacing w:line="360" w:lineRule="exact"/>
              <w:jc w:val="right"/>
              <w:rPr>
                <w:szCs w:val="21"/>
              </w:rPr>
            </w:pPr>
            <w:r>
              <w:rPr>
                <w:szCs w:val="21"/>
              </w:rPr>
              <w:t>1,204</w:t>
            </w:r>
          </w:p>
        </w:tc>
        <w:tc>
          <w:tcPr>
            <w:tcW w:w="2942" w:type="dxa"/>
            <w:vAlign w:val="center"/>
          </w:tcPr>
          <w:p>
            <w:pPr>
              <w:widowControl/>
              <w:spacing w:line="360" w:lineRule="exact"/>
              <w:jc w:val="left"/>
              <w:rPr>
                <w:szCs w:val="21"/>
              </w:rPr>
            </w:pPr>
          </w:p>
        </w:tc>
      </w:tr>
      <w:tr>
        <w:tc>
          <w:tcPr>
            <w:tcW w:w="2940" w:type="dxa"/>
          </w:tcPr>
          <w:p>
            <w:pPr>
              <w:jc w:val="center"/>
              <w:rPr>
                <w:rFonts w:asciiTheme="minorEastAsia" w:eastAsiaTheme="minorEastAsia" w:hAnsiTheme="minorEastAsia"/>
                <w:color w:val="000000" w:themeColor="text1"/>
                <w:szCs w:val="21"/>
              </w:rPr>
            </w:pPr>
            <w:r>
              <w:rPr>
                <w:rFonts w:asciiTheme="minorEastAsia" w:eastAsiaTheme="minorEastAsia" w:hAnsiTheme="minorEastAsia" w:hint="eastAsia"/>
                <w:color w:val="000000" w:themeColor="text1"/>
                <w:szCs w:val="21"/>
              </w:rPr>
              <w:t>合计</w:t>
            </w:r>
          </w:p>
        </w:tc>
        <w:tc>
          <w:tcPr>
            <w:tcW w:w="2941" w:type="dxa"/>
          </w:tcPr>
          <w:p>
            <w:pPr>
              <w:jc w:val="right"/>
              <w:rPr>
                <w:rFonts w:asciiTheme="minorEastAsia" w:eastAsiaTheme="minorEastAsia" w:hAnsiTheme="minorEastAsia"/>
                <w:szCs w:val="21"/>
              </w:rPr>
            </w:pPr>
            <w:r>
              <w:rPr>
                <w:rFonts w:asciiTheme="minorEastAsia" w:eastAsiaTheme="minorEastAsia" w:hAnsiTheme="minorEastAsia"/>
                <w:szCs w:val="21"/>
              </w:rPr>
              <w:t>227,854</w:t>
            </w:r>
          </w:p>
        </w:tc>
        <w:tc>
          <w:tcPr>
            <w:tcW w:w="2942" w:type="dxa"/>
          </w:tcPr>
          <w:p>
            <w:pPr>
              <w:jc w:val="right"/>
              <w:rPr>
                <w:rFonts w:asciiTheme="minorEastAsia" w:eastAsiaTheme="minorEastAsia" w:hAnsiTheme="minorEastAsia"/>
                <w:szCs w:val="21"/>
              </w:rPr>
            </w:pPr>
          </w:p>
        </w:tc>
      </w:tr>
    </w:tbl>
    <w:p>
      <w:pPr>
        <w:rPr>
          <w:color w:val="000000" w:themeColor="text1"/>
        </w:rPr>
      </w:pPr>
    </w:p>
    <w:p>
      <w:pPr>
        <w:rPr>
          <w:color w:val="000000" w:themeColor="text1"/>
        </w:rPr>
      </w:pPr>
      <w:bookmarkStart w:id="504" w:name="_Hlk168494436"/>
      <w:bookmarkEnd w:id="503"/>
      <w:r>
        <w:rPr>
          <w:rFonts w:hint="eastAsia"/>
          <w:color w:val="000000" w:themeColor="text1"/>
        </w:rPr>
        <w:t>其他说明</w:t>
      </w:r>
    </w:p>
    <w:sdt>
      <w:sdtPr>
        <w:rPr>
          <w:color w:val="000000" w:themeColor="text1"/>
        </w:rPr>
        <w:alias w:val="股份支付费用的说明"/>
        <w:tag w:val="_GBC_e3b08f7b639e457ebe1c766fe0d0f181"/>
        <w:id w:val="-33360405"/>
        <w:placeholder>
          <w:docPart w:val="GBC22222222222222222222222222222"/>
        </w:placeholder>
      </w:sdtPr>
      <w:sdtContent>
        <w:p>
          <w:pPr>
            <w:rPr>
              <w:color w:val="000000" w:themeColor="text1"/>
            </w:rPr>
          </w:pPr>
          <w:r>
            <w:rPr>
              <w:color w:val="000000" w:themeColor="text1"/>
            </w:rPr>
            <w:t>-</w:t>
          </w:r>
        </w:p>
      </w:sdtContent>
    </w:sdt>
    <w:p>
      <w:pPr>
        <w:rPr>
          <w:color w:val="000000" w:themeColor="text1"/>
        </w:rPr>
      </w:pPr>
    </w:p>
    <w:bookmarkEnd w:id="501"/>
    <w:bookmarkEnd w:id="504"/>
    <w:p>
      <w:pPr>
        <w:pStyle w:val="afffffffffffffffffffffffffffffffff0"/>
        <w:numPr>
          <w:ilvl w:val="0"/>
          <w:numId w:val="141"/>
        </w:numPr>
      </w:pPr>
      <w:r>
        <w:rPr>
          <w:rFonts w:hint="eastAsia"/>
        </w:rPr>
        <w:t>股份支付的修改、终止情况</w:t>
      </w:r>
    </w:p>
    <w:sdt>
      <w:sdtPr>
        <w:rPr>
          <w:rFonts w:hint="eastAsia"/>
          <w:szCs w:val="21"/>
        </w:rPr>
        <w:alias w:val="是否适用：股份支付的修改、终止情况[双击切换]"/>
        <w:tag w:val="_GBC_6da986e9834d42b9bb7548673f325962"/>
        <w:id w:val="-1238250508"/>
        <w:placeholder>
          <w:docPart w:val="GBC22222222222222222222222222222"/>
        </w:placeholder>
      </w:sdtPr>
      <w:sdtContent>
        <w:p>
          <w:pPr>
            <w:rPr>
              <w:rFonts w:asciiTheme="minorHAnsi" w:eastAsiaTheme="minorEastAsia" w:hAnsiTheme="minorHAnsi" w:cstheme="minorBidi"/>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firstLineChars="100" w:firstLine="210"/>
        <w:rPr>
          <w:szCs w:val="21"/>
        </w:rPr>
      </w:pPr>
    </w:p>
    <w:p>
      <w:pPr>
        <w:pStyle w:val="afffffffffffffffffffffffffffffffff0"/>
        <w:numPr>
          <w:ilvl w:val="0"/>
          <w:numId w:val="141"/>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107921424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2"/>
        <w:numPr>
          <w:ilvl w:val="0"/>
          <w:numId w:val="155"/>
        </w:numPr>
      </w:pPr>
      <w:r>
        <w:rPr>
          <w:rFonts w:hint="eastAsia"/>
        </w:rPr>
        <w:t>承诺及或有事项</w:t>
      </w:r>
    </w:p>
    <w:p>
      <w:pPr>
        <w:pStyle w:val="afffffffffffffffffffffffffffffffff0"/>
        <w:numPr>
          <w:ilvl w:val="0"/>
          <w:numId w:val="143"/>
        </w:numPr>
        <w:rPr>
          <w:rFonts w:ascii="宋体" w:hAnsi="宋体"/>
        </w:rPr>
      </w:pPr>
      <w:r>
        <w:rPr>
          <w:rFonts w:ascii="宋体" w:hAnsi="宋体" w:hint="eastAsia"/>
        </w:rPr>
        <w:t>重要承诺事项</w:t>
      </w:r>
    </w:p>
    <w:sdt>
      <w:sdtPr>
        <w:alias w:val="是否适用：重要承诺事项[双击切换]"/>
        <w:tag w:val="_GBC_568be9a6805040a8b9fbd5c5d07b45dd"/>
        <w:id w:val="2001309448"/>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r>
        <w:rPr>
          <w:rFonts w:hint="eastAsia"/>
        </w:rPr>
        <w:t>资产负债表日存在的对外重要承诺、性质、金额</w:t>
      </w:r>
    </w:p>
    <w:sdt>
      <w:sdtPr>
        <w:rPr>
          <w:rFonts w:cs="Cambria"/>
          <w:bCs/>
          <w:szCs w:val="21"/>
        </w:rPr>
        <w:alias w:val="资产负债表日存在的重要承诺"/>
        <w:tag w:val="_GBC_d8961aa2bd524a56bb4914de9e5d2dc3"/>
        <w:id w:val="-1857261016"/>
        <w:placeholder>
          <w:docPart w:val="GBC22222222222222222222222222222"/>
        </w:placeholder>
      </w:sdtPr>
      <w:sdtContent>
        <w:p>
          <w:pPr>
            <w:autoSpaceDE w:val="0"/>
            <w:autoSpaceDN w:val="0"/>
            <w:adjustRightInd w:val="0"/>
            <w:spacing w:afterLines="50" w:after="120" w:line="360" w:lineRule="exact"/>
            <w:ind w:firstLineChars="200" w:firstLine="420"/>
            <w:rPr>
              <w:szCs w:val="21"/>
            </w:rPr>
          </w:pPr>
          <w:r>
            <w:rPr>
              <w:rFonts w:hint="eastAsia"/>
              <w:szCs w:val="21"/>
            </w:rPr>
            <w:t>资产负债表日存在的对外重要承诺、性质、金额</w:t>
          </w:r>
        </w:p>
        <w:tbl>
          <w:tblPr>
            <w:tblStyle w:val="affffffffff8"/>
            <w:tblW w:w="8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J6SZ6d4eEqwsuC2qA4Wvw|0|desc|||0|1"/>
          </w:tblPr>
          <w:tblGrid>
            <w:gridCol w:w="3816"/>
            <w:gridCol w:w="2381"/>
            <w:gridCol w:w="2382"/>
          </w:tblGrid>
          <w:tr>
            <w:trPr>
              <w:cantSplit/>
              <w:trHeight w:val="397"/>
              <w:tblHeader/>
              <w:jc w:val="center"/>
            </w:trPr>
            <w:tc>
              <w:tcPr>
                <w:tcW w:w="3816" w:type="dxa"/>
                <w:shd w:val="clear" w:color="auto" w:fill="auto"/>
                <w:vAlign w:val="center"/>
              </w:tcPr>
              <w:p>
                <w:pPr>
                  <w:jc w:val="center"/>
                  <w:rPr>
                    <w:b/>
                    <w:bCs/>
                    <w:color w:val="000000"/>
                    <w:szCs w:val="21"/>
                  </w:rPr>
                </w:pPr>
                <w:r>
                  <w:rPr>
                    <w:rFonts w:hint="eastAsia"/>
                    <w:b/>
                    <w:bCs/>
                    <w:color w:val="000000"/>
                    <w:szCs w:val="21"/>
                  </w:rPr>
                  <w:t>承诺事项</w:t>
                </w:r>
              </w:p>
            </w:tc>
            <w:tc>
              <w:tcPr>
                <w:tcW w:w="2381" w:type="dxa"/>
                <w:shd w:val="clear" w:color="auto" w:fill="auto"/>
                <w:vAlign w:val="center"/>
              </w:tcPr>
              <w:p>
                <w:pPr>
                  <w:jc w:val="center"/>
                  <w:rPr>
                    <w:b/>
                    <w:bCs/>
                    <w:color w:val="000000"/>
                    <w:szCs w:val="21"/>
                  </w:rPr>
                </w:pPr>
                <w:r>
                  <w:rPr>
                    <w:rFonts w:hint="eastAsia"/>
                    <w:b/>
                    <w:bCs/>
                    <w:color w:val="000000"/>
                    <w:szCs w:val="21"/>
                  </w:rPr>
                  <w:t>期末余额</w:t>
                </w:r>
              </w:p>
            </w:tc>
            <w:tc>
              <w:tcPr>
                <w:tcW w:w="2382" w:type="dxa"/>
                <w:shd w:val="clear" w:color="auto" w:fill="auto"/>
                <w:vAlign w:val="center"/>
              </w:tcPr>
              <w:p>
                <w:pPr>
                  <w:jc w:val="center"/>
                  <w:rPr>
                    <w:b/>
                    <w:bCs/>
                    <w:color w:val="000000"/>
                    <w:szCs w:val="21"/>
                  </w:rPr>
                </w:pPr>
                <w:r>
                  <w:rPr>
                    <w:rFonts w:hint="eastAsia"/>
                    <w:b/>
                    <w:bCs/>
                    <w:color w:val="000000"/>
                    <w:szCs w:val="21"/>
                  </w:rPr>
                  <w:t>期初余额</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准东五彩湾矿区项目</w:t>
                </w:r>
              </w:p>
            </w:tc>
            <w:tc>
              <w:tcPr>
                <w:tcW w:w="2381" w:type="dxa"/>
                <w:shd w:val="clear" w:color="auto" w:fill="auto"/>
                <w:vAlign w:val="center"/>
              </w:tcPr>
              <w:p>
                <w:pPr>
                  <w:jc w:val="right"/>
                  <w:rPr>
                    <w:color w:val="000000"/>
                    <w:szCs w:val="21"/>
                  </w:rPr>
                </w:pPr>
                <w:r>
                  <w:rPr>
                    <w:color w:val="000000"/>
                    <w:szCs w:val="21"/>
                  </w:rPr>
                  <w:t>4,818,661</w:t>
                </w:r>
              </w:p>
            </w:tc>
            <w:tc>
              <w:tcPr>
                <w:tcW w:w="2382" w:type="dxa"/>
                <w:shd w:val="clear" w:color="auto" w:fill="auto"/>
                <w:vAlign w:val="center"/>
              </w:tcPr>
              <w:p>
                <w:pPr>
                  <w:jc w:val="right"/>
                  <w:rPr>
                    <w:color w:val="000000"/>
                    <w:szCs w:val="21"/>
                  </w:rPr>
                </w:pP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鲁南化工煤化工项目</w:t>
                </w:r>
              </w:p>
            </w:tc>
            <w:tc>
              <w:tcPr>
                <w:tcW w:w="2381" w:type="dxa"/>
                <w:shd w:val="clear" w:color="auto" w:fill="auto"/>
                <w:vAlign w:val="center"/>
              </w:tcPr>
              <w:p>
                <w:pPr>
                  <w:jc w:val="right"/>
                  <w:rPr>
                    <w:color w:val="000000"/>
                    <w:szCs w:val="21"/>
                  </w:rPr>
                </w:pPr>
                <w:r>
                  <w:rPr>
                    <w:color w:val="000000"/>
                    <w:szCs w:val="21"/>
                  </w:rPr>
                  <w:t>692,436</w:t>
                </w:r>
              </w:p>
            </w:tc>
            <w:tc>
              <w:tcPr>
                <w:tcW w:w="2382" w:type="dxa"/>
                <w:shd w:val="clear" w:color="auto" w:fill="auto"/>
                <w:vAlign w:val="center"/>
              </w:tcPr>
              <w:p>
                <w:pPr>
                  <w:jc w:val="right"/>
                  <w:rPr>
                    <w:color w:val="000000"/>
                    <w:szCs w:val="21"/>
                  </w:rPr>
                </w:pPr>
                <w:r>
                  <w:rPr>
                    <w:color w:val="000000"/>
                    <w:szCs w:val="21"/>
                  </w:rPr>
                  <w:t>153,95</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lastRenderedPageBreak/>
                  <w:t>万福煤矿项目</w:t>
                </w:r>
              </w:p>
            </w:tc>
            <w:tc>
              <w:tcPr>
                <w:tcW w:w="2381" w:type="dxa"/>
                <w:shd w:val="clear" w:color="auto" w:fill="auto"/>
                <w:vAlign w:val="center"/>
              </w:tcPr>
              <w:p>
                <w:pPr>
                  <w:jc w:val="right"/>
                  <w:rPr>
                    <w:color w:val="000000"/>
                    <w:szCs w:val="21"/>
                  </w:rPr>
                </w:pPr>
                <w:r>
                  <w:rPr>
                    <w:color w:val="000000"/>
                    <w:szCs w:val="21"/>
                  </w:rPr>
                  <w:t>499,965</w:t>
                </w:r>
              </w:p>
            </w:tc>
            <w:tc>
              <w:tcPr>
                <w:tcW w:w="2382" w:type="dxa"/>
                <w:shd w:val="clear" w:color="auto" w:fill="auto"/>
                <w:vAlign w:val="center"/>
              </w:tcPr>
              <w:p>
                <w:pPr>
                  <w:jc w:val="right"/>
                  <w:rPr>
                    <w:color w:val="000000"/>
                    <w:szCs w:val="21"/>
                  </w:rPr>
                </w:pPr>
                <w:r>
                  <w:rPr>
                    <w:color w:val="000000"/>
                    <w:szCs w:val="21"/>
                  </w:rPr>
                  <w:t>342,112</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兖矿泰安港公铁水联运物流园</w:t>
                </w:r>
              </w:p>
            </w:tc>
            <w:tc>
              <w:tcPr>
                <w:tcW w:w="2381" w:type="dxa"/>
                <w:shd w:val="clear" w:color="auto" w:fill="auto"/>
                <w:vAlign w:val="center"/>
              </w:tcPr>
              <w:p>
                <w:pPr>
                  <w:jc w:val="right"/>
                  <w:rPr>
                    <w:color w:val="000000"/>
                    <w:szCs w:val="21"/>
                  </w:rPr>
                </w:pPr>
                <w:r>
                  <w:rPr>
                    <w:color w:val="000000"/>
                    <w:szCs w:val="21"/>
                  </w:rPr>
                  <w:t>403,530</w:t>
                </w:r>
              </w:p>
            </w:tc>
            <w:tc>
              <w:tcPr>
                <w:tcW w:w="2382" w:type="dxa"/>
                <w:shd w:val="clear" w:color="auto" w:fill="auto"/>
                <w:vAlign w:val="center"/>
              </w:tcPr>
              <w:p>
                <w:pPr>
                  <w:jc w:val="right"/>
                  <w:rPr>
                    <w:color w:val="000000"/>
                    <w:szCs w:val="21"/>
                  </w:rPr>
                </w:pPr>
                <w:r>
                  <w:rPr>
                    <w:color w:val="000000"/>
                    <w:szCs w:val="21"/>
                  </w:rPr>
                  <w:t>403,530</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上海山东能源大厦项目</w:t>
                </w:r>
              </w:p>
            </w:tc>
            <w:tc>
              <w:tcPr>
                <w:tcW w:w="2381" w:type="dxa"/>
                <w:shd w:val="clear" w:color="auto" w:fill="auto"/>
                <w:vAlign w:val="center"/>
              </w:tcPr>
              <w:p>
                <w:pPr>
                  <w:jc w:val="right"/>
                  <w:rPr>
                    <w:color w:val="000000"/>
                    <w:szCs w:val="21"/>
                  </w:rPr>
                </w:pPr>
                <w:r>
                  <w:rPr>
                    <w:color w:val="000000"/>
                    <w:szCs w:val="21"/>
                  </w:rPr>
                  <w:t>225,029</w:t>
                </w:r>
              </w:p>
            </w:tc>
            <w:tc>
              <w:tcPr>
                <w:tcW w:w="2382" w:type="dxa"/>
                <w:shd w:val="clear" w:color="auto" w:fill="auto"/>
                <w:vAlign w:val="center"/>
              </w:tcPr>
              <w:p>
                <w:pPr>
                  <w:jc w:val="right"/>
                  <w:rPr>
                    <w:color w:val="000000"/>
                    <w:szCs w:val="21"/>
                  </w:rPr>
                </w:pP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兖矿能源智慧制造园区项目</w:t>
                </w:r>
              </w:p>
            </w:tc>
            <w:tc>
              <w:tcPr>
                <w:tcW w:w="2381" w:type="dxa"/>
                <w:shd w:val="clear" w:color="auto" w:fill="auto"/>
                <w:vAlign w:val="center"/>
              </w:tcPr>
              <w:p>
                <w:pPr>
                  <w:jc w:val="right"/>
                  <w:rPr>
                    <w:color w:val="000000"/>
                    <w:szCs w:val="21"/>
                  </w:rPr>
                </w:pPr>
                <w:r>
                  <w:rPr>
                    <w:color w:val="000000"/>
                    <w:szCs w:val="21"/>
                  </w:rPr>
                  <w:t>85,589</w:t>
                </w:r>
              </w:p>
            </w:tc>
            <w:tc>
              <w:tcPr>
                <w:tcW w:w="2382" w:type="dxa"/>
                <w:shd w:val="clear" w:color="auto" w:fill="auto"/>
                <w:vAlign w:val="center"/>
              </w:tcPr>
              <w:p>
                <w:pPr>
                  <w:jc w:val="right"/>
                  <w:rPr>
                    <w:color w:val="000000"/>
                    <w:szCs w:val="21"/>
                  </w:rPr>
                </w:pP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兴隆庄煤矿膏体充填系统地面充填站建设工程</w:t>
                </w:r>
              </w:p>
            </w:tc>
            <w:tc>
              <w:tcPr>
                <w:tcW w:w="2381" w:type="dxa"/>
                <w:shd w:val="clear" w:color="auto" w:fill="auto"/>
                <w:vAlign w:val="center"/>
              </w:tcPr>
              <w:p>
                <w:pPr>
                  <w:jc w:val="right"/>
                  <w:rPr>
                    <w:color w:val="000000"/>
                    <w:szCs w:val="21"/>
                  </w:rPr>
                </w:pPr>
                <w:r>
                  <w:rPr>
                    <w:color w:val="000000"/>
                    <w:szCs w:val="21"/>
                  </w:rPr>
                  <w:t>63,129</w:t>
                </w:r>
              </w:p>
            </w:tc>
            <w:tc>
              <w:tcPr>
                <w:tcW w:w="2382" w:type="dxa"/>
                <w:shd w:val="clear" w:color="auto" w:fill="auto"/>
                <w:vAlign w:val="center"/>
              </w:tcPr>
              <w:p>
                <w:pPr>
                  <w:jc w:val="right"/>
                  <w:rPr>
                    <w:color w:val="000000"/>
                    <w:szCs w:val="21"/>
                  </w:rPr>
                </w:pP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金鸡滩矿井和选煤厂项目</w:t>
                </w:r>
              </w:p>
            </w:tc>
            <w:tc>
              <w:tcPr>
                <w:tcW w:w="2381" w:type="dxa"/>
                <w:shd w:val="clear" w:color="auto" w:fill="auto"/>
                <w:vAlign w:val="center"/>
              </w:tcPr>
              <w:p>
                <w:pPr>
                  <w:jc w:val="right"/>
                  <w:rPr>
                    <w:color w:val="000000"/>
                    <w:szCs w:val="21"/>
                  </w:rPr>
                </w:pPr>
                <w:r>
                  <w:rPr>
                    <w:color w:val="000000"/>
                    <w:szCs w:val="21"/>
                  </w:rPr>
                  <w:t>48,089</w:t>
                </w:r>
              </w:p>
            </w:tc>
            <w:tc>
              <w:tcPr>
                <w:tcW w:w="2382" w:type="dxa"/>
                <w:shd w:val="clear" w:color="auto" w:fill="auto"/>
                <w:vAlign w:val="center"/>
              </w:tcPr>
              <w:p>
                <w:pPr>
                  <w:jc w:val="right"/>
                  <w:rPr>
                    <w:color w:val="000000"/>
                    <w:szCs w:val="21"/>
                  </w:rPr>
                </w:pPr>
                <w:r>
                  <w:rPr>
                    <w:color w:val="000000"/>
                    <w:szCs w:val="21"/>
                  </w:rPr>
                  <w:t>76,590</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荣信甲醇厂二期项目</w:t>
                </w:r>
              </w:p>
            </w:tc>
            <w:tc>
              <w:tcPr>
                <w:tcW w:w="2381" w:type="dxa"/>
                <w:shd w:val="clear" w:color="auto" w:fill="auto"/>
                <w:vAlign w:val="center"/>
              </w:tcPr>
              <w:p>
                <w:pPr>
                  <w:jc w:val="right"/>
                  <w:rPr>
                    <w:color w:val="000000"/>
                    <w:szCs w:val="21"/>
                  </w:rPr>
                </w:pPr>
                <w:r>
                  <w:rPr>
                    <w:color w:val="000000"/>
                    <w:szCs w:val="21"/>
                  </w:rPr>
                  <w:t>450</w:t>
                </w:r>
              </w:p>
            </w:tc>
            <w:tc>
              <w:tcPr>
                <w:tcW w:w="2382" w:type="dxa"/>
                <w:shd w:val="clear" w:color="auto" w:fill="auto"/>
                <w:vAlign w:val="center"/>
              </w:tcPr>
              <w:p>
                <w:pPr>
                  <w:jc w:val="right"/>
                  <w:rPr>
                    <w:color w:val="000000"/>
                    <w:szCs w:val="21"/>
                  </w:rPr>
                </w:pPr>
                <w:r>
                  <w:rPr>
                    <w:color w:val="000000"/>
                    <w:szCs w:val="21"/>
                  </w:rPr>
                  <w:t>135,752</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石拉乌素矿井及选煤厂项目</w:t>
                </w:r>
              </w:p>
            </w:tc>
            <w:tc>
              <w:tcPr>
                <w:tcW w:w="2381" w:type="dxa"/>
                <w:shd w:val="clear" w:color="auto" w:fill="auto"/>
                <w:vAlign w:val="center"/>
              </w:tcPr>
              <w:p>
                <w:pPr>
                  <w:jc w:val="right"/>
                  <w:rPr>
                    <w:color w:val="000000"/>
                    <w:szCs w:val="21"/>
                  </w:rPr>
                </w:pPr>
                <w:r>
                  <w:rPr>
                    <w:color w:val="000000"/>
                    <w:szCs w:val="21"/>
                  </w:rPr>
                  <w:t>59</w:t>
                </w:r>
              </w:p>
            </w:tc>
            <w:tc>
              <w:tcPr>
                <w:tcW w:w="2382" w:type="dxa"/>
                <w:shd w:val="clear" w:color="auto" w:fill="auto"/>
                <w:vAlign w:val="center"/>
              </w:tcPr>
              <w:p>
                <w:pPr>
                  <w:jc w:val="right"/>
                  <w:rPr>
                    <w:color w:val="000000"/>
                    <w:szCs w:val="21"/>
                  </w:rPr>
                </w:pPr>
                <w:r>
                  <w:rPr>
                    <w:color w:val="000000"/>
                    <w:szCs w:val="21"/>
                  </w:rPr>
                  <w:t>628,693</w:t>
                </w:r>
              </w:p>
            </w:tc>
          </w:tr>
          <w:tr>
            <w:trPr>
              <w:cantSplit/>
              <w:trHeight w:val="397"/>
              <w:jc w:val="center"/>
            </w:trPr>
            <w:tc>
              <w:tcPr>
                <w:tcW w:w="3816" w:type="dxa"/>
                <w:shd w:val="clear" w:color="auto" w:fill="auto"/>
                <w:noWrap/>
                <w:vAlign w:val="center"/>
              </w:tcPr>
              <w:p>
                <w:pPr>
                  <w:rPr>
                    <w:color w:val="000000"/>
                    <w:szCs w:val="21"/>
                  </w:rPr>
                </w:pPr>
                <w:r>
                  <w:rPr>
                    <w:rFonts w:hint="eastAsia"/>
                    <w:color w:val="000000"/>
                    <w:szCs w:val="21"/>
                  </w:rPr>
                  <w:t>其他</w:t>
                </w:r>
              </w:p>
            </w:tc>
            <w:tc>
              <w:tcPr>
                <w:tcW w:w="2381" w:type="dxa"/>
                <w:shd w:val="clear" w:color="auto" w:fill="auto"/>
                <w:vAlign w:val="center"/>
              </w:tcPr>
              <w:p>
                <w:pPr>
                  <w:jc w:val="right"/>
                  <w:rPr>
                    <w:color w:val="000000"/>
                    <w:szCs w:val="21"/>
                  </w:rPr>
                </w:pPr>
                <w:r>
                  <w:rPr>
                    <w:color w:val="000000"/>
                    <w:szCs w:val="21"/>
                  </w:rPr>
                  <w:t>325,091</w:t>
                </w:r>
              </w:p>
            </w:tc>
            <w:tc>
              <w:tcPr>
                <w:tcW w:w="2382" w:type="dxa"/>
                <w:shd w:val="clear" w:color="auto" w:fill="auto"/>
                <w:vAlign w:val="center"/>
              </w:tcPr>
              <w:p>
                <w:pPr>
                  <w:jc w:val="right"/>
                  <w:rPr>
                    <w:color w:val="000000"/>
                    <w:szCs w:val="21"/>
                  </w:rPr>
                </w:pPr>
                <w:r>
                  <w:rPr>
                    <w:color w:val="000000"/>
                    <w:szCs w:val="21"/>
                  </w:rPr>
                  <w:t>1,781,645</w:t>
                </w:r>
              </w:p>
            </w:tc>
          </w:tr>
          <w:tr>
            <w:trPr>
              <w:cantSplit/>
              <w:trHeight w:val="397"/>
              <w:jc w:val="center"/>
            </w:trPr>
            <w:tc>
              <w:tcPr>
                <w:tcW w:w="3816" w:type="dxa"/>
                <w:shd w:val="clear" w:color="auto" w:fill="auto"/>
                <w:noWrap/>
                <w:vAlign w:val="center"/>
              </w:tcPr>
              <w:p>
                <w:pPr>
                  <w:jc w:val="center"/>
                  <w:rPr>
                    <w:color w:val="000000"/>
                    <w:szCs w:val="21"/>
                    <w:u w:val="double"/>
                  </w:rPr>
                </w:pPr>
                <w:r>
                  <w:rPr>
                    <w:rFonts w:hint="eastAsia"/>
                    <w:color w:val="000000"/>
                    <w:szCs w:val="21"/>
                    <w:u w:val="double"/>
                  </w:rPr>
                  <w:t>合计</w:t>
                </w:r>
              </w:p>
            </w:tc>
            <w:tc>
              <w:tcPr>
                <w:tcW w:w="2381" w:type="dxa"/>
                <w:shd w:val="clear" w:color="auto" w:fill="auto"/>
                <w:vAlign w:val="center"/>
              </w:tcPr>
              <w:p>
                <w:pPr>
                  <w:jc w:val="right"/>
                  <w:rPr>
                    <w:color w:val="000000"/>
                    <w:szCs w:val="21"/>
                  </w:rPr>
                </w:pPr>
                <w:r>
                  <w:rPr>
                    <w:color w:val="000000"/>
                    <w:szCs w:val="21"/>
                  </w:rPr>
                  <w:t>7,162,028</w:t>
                </w:r>
              </w:p>
            </w:tc>
            <w:tc>
              <w:tcPr>
                <w:tcW w:w="2382" w:type="dxa"/>
                <w:shd w:val="clear" w:color="auto" w:fill="auto"/>
                <w:vAlign w:val="center"/>
              </w:tcPr>
              <w:p>
                <w:pPr>
                  <w:jc w:val="right"/>
                  <w:rPr>
                    <w:color w:val="000000"/>
                    <w:szCs w:val="21"/>
                  </w:rPr>
                </w:pPr>
                <w:r>
                  <w:rPr>
                    <w:color w:val="000000"/>
                    <w:szCs w:val="21"/>
                  </w:rPr>
                  <w:t>3,368,322</w:t>
                </w:r>
              </w:p>
            </w:tc>
          </w:tr>
        </w:tbl>
        <w:p>
          <w:pPr>
            <w:rPr>
              <w:rFonts w:cs="Cambria"/>
              <w:bCs/>
              <w:szCs w:val="21"/>
            </w:rPr>
          </w:pPr>
        </w:p>
      </w:sdtContent>
    </w:sdt>
    <w:p>
      <w:pPr>
        <w:pStyle w:val="affffffffffffffffffffffffffffffffe"/>
        <w:rPr>
          <w:szCs w:val="21"/>
        </w:rPr>
      </w:pPr>
    </w:p>
    <w:p>
      <w:pPr>
        <w:pStyle w:val="afffffffffffffffffffffffffffffffff0"/>
        <w:numPr>
          <w:ilvl w:val="0"/>
          <w:numId w:val="143"/>
        </w:numPr>
        <w:rPr>
          <w:szCs w:val="21"/>
        </w:rPr>
      </w:pPr>
      <w:r>
        <w:rPr>
          <w:rFonts w:hint="eastAsia"/>
          <w:szCs w:val="21"/>
        </w:rPr>
        <w:t>或有事项</w:t>
      </w:r>
    </w:p>
    <w:p>
      <w:pPr>
        <w:pStyle w:val="afffffffffffffffffffffffffffffffff1"/>
        <w:numPr>
          <w:ilvl w:val="3"/>
          <w:numId w:val="191"/>
        </w:numPr>
        <w:ind w:left="426" w:hangingChars="202" w:hanging="426"/>
        <w:rPr>
          <w:szCs w:val="21"/>
        </w:rPr>
      </w:pPr>
      <w:r>
        <w:rPr>
          <w:rFonts w:hint="eastAsia"/>
          <w:szCs w:val="21"/>
        </w:rPr>
        <w:t>资产负债表日存在的重要或有事项</w:t>
      </w:r>
    </w:p>
    <w:sdt>
      <w:sdtPr>
        <w:rPr>
          <w:rFonts w:hint="eastAsia"/>
          <w:szCs w:val="21"/>
        </w:rPr>
        <w:alias w:val="是否适用：资产负债表日存在的重要或有事项[双击切换]"/>
        <w:tag w:val="_GBC_d987504ad98e408986b4fc6f62089ffe"/>
        <w:id w:val="-874153763"/>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资产负债表日存在的重要或有事项"/>
        <w:tag w:val="_GBC_44fe1af4de6e4875a4861efb466efdca"/>
        <w:id w:val="570540812"/>
        <w:placeholder>
          <w:docPart w:val="GBC22222222222222222222222222222"/>
        </w:placeholder>
      </w:sdtPr>
      <w:sdtContent>
        <w:p>
          <w:pPr>
            <w:autoSpaceDE w:val="0"/>
            <w:autoSpaceDN w:val="0"/>
            <w:adjustRightInd w:val="0"/>
            <w:spacing w:afterLines="50" w:after="120" w:line="360" w:lineRule="exact"/>
            <w:ind w:firstLineChars="200" w:firstLine="420"/>
            <w:rPr>
              <w:szCs w:val="21"/>
            </w:rPr>
          </w:pPr>
          <w:r>
            <w:rPr>
              <w:rFonts w:hint="eastAsia"/>
              <w:szCs w:val="21"/>
            </w:rPr>
            <w:t>澳洲公司及其合营公司</w:t>
          </w:r>
        </w:p>
        <w:tbl>
          <w:tblPr>
            <w:tblStyle w:val="affffffffff8"/>
            <w:tblW w:w="5000" w:type="pct"/>
            <w:jc w:val="center"/>
            <w:tblLook w:val="04A0" w:firstRow="1" w:lastRow="0" w:firstColumn="1" w:lastColumn="0" w:noHBand="0" w:noVBand="1"/>
            <w:tblCaption w:val="D:\Users\202435566\Desktop\0-兖矿能源2024年TB（内蒙古金控）-0320\2024兖矿职衡tb|TB-合：兖矿能源.xlsx|披露附注|_jdsWdOVV28IkaETEq16iSycw|0|desc|||0|1"/>
          </w:tblPr>
          <w:tblGrid>
            <w:gridCol w:w="6511"/>
            <w:gridCol w:w="1161"/>
            <w:gridCol w:w="1161"/>
          </w:tblGrid>
          <w:tr>
            <w:trPr>
              <w:trHeight w:val="397"/>
              <w:tblHeader/>
              <w:jc w:val="center"/>
            </w:trPr>
            <w:tc>
              <w:tcPr>
                <w:tcW w:w="3720" w:type="pct"/>
                <w:tcBorders>
                  <w:bottom w:val="single" w:sz="4" w:space="0" w:color="auto"/>
                </w:tcBorders>
                <w:shd w:val="clear" w:color="auto" w:fill="auto"/>
                <w:vAlign w:val="center"/>
              </w:tcPr>
              <w:p>
                <w:pPr>
                  <w:jc w:val="center"/>
                  <w:rPr>
                    <w:b/>
                    <w:bCs/>
                    <w:color w:val="000000"/>
                    <w:szCs w:val="21"/>
                  </w:rPr>
                </w:pPr>
                <w:r>
                  <w:rPr>
                    <w:rFonts w:hint="eastAsia"/>
                    <w:b/>
                    <w:bCs/>
                    <w:color w:val="000000"/>
                    <w:szCs w:val="21"/>
                  </w:rPr>
                  <w:t>项目</w:t>
                </w:r>
              </w:p>
            </w:tc>
            <w:tc>
              <w:tcPr>
                <w:tcW w:w="640" w:type="pct"/>
                <w:tcBorders>
                  <w:bottom w:val="single" w:sz="4" w:space="0" w:color="auto"/>
                </w:tcBorders>
                <w:shd w:val="clear" w:color="auto" w:fill="auto"/>
                <w:vAlign w:val="center"/>
              </w:tcPr>
              <w:p>
                <w:pPr>
                  <w:jc w:val="center"/>
                  <w:rPr>
                    <w:b/>
                    <w:bCs/>
                    <w:color w:val="000000"/>
                    <w:szCs w:val="21"/>
                  </w:rPr>
                </w:pPr>
                <w:r>
                  <w:rPr>
                    <w:rFonts w:hint="eastAsia"/>
                    <w:b/>
                    <w:bCs/>
                    <w:color w:val="000000"/>
                    <w:szCs w:val="21"/>
                  </w:rPr>
                  <w:t>年末余额</w:t>
                </w:r>
              </w:p>
            </w:tc>
            <w:tc>
              <w:tcPr>
                <w:tcW w:w="640" w:type="pct"/>
                <w:tcBorders>
                  <w:bottom w:val="single" w:sz="4" w:space="0" w:color="auto"/>
                </w:tcBorders>
                <w:shd w:val="clear" w:color="auto" w:fill="auto"/>
                <w:vAlign w:val="center"/>
              </w:tcPr>
              <w:p>
                <w:pPr>
                  <w:jc w:val="center"/>
                  <w:rPr>
                    <w:b/>
                    <w:bCs/>
                    <w:color w:val="000000"/>
                    <w:szCs w:val="21"/>
                  </w:rPr>
                </w:pPr>
                <w:r>
                  <w:rPr>
                    <w:rFonts w:hint="eastAsia"/>
                    <w:b/>
                    <w:bCs/>
                    <w:color w:val="000000"/>
                    <w:szCs w:val="21"/>
                  </w:rPr>
                  <w:t>年初余额</w:t>
                </w:r>
              </w:p>
            </w:tc>
          </w:tr>
          <w:tr>
            <w:trPr>
              <w:trHeight w:val="397"/>
              <w:jc w:val="center"/>
            </w:trPr>
            <w:tc>
              <w:tcPr>
                <w:tcW w:w="3720" w:type="pct"/>
                <w:tcBorders>
                  <w:top w:val="single" w:sz="4" w:space="0" w:color="auto"/>
                </w:tcBorders>
                <w:shd w:val="clear" w:color="auto" w:fill="auto"/>
                <w:noWrap/>
                <w:vAlign w:val="center"/>
              </w:tcPr>
              <w:p>
                <w:pPr>
                  <w:rPr>
                    <w:color w:val="000000"/>
                    <w:szCs w:val="21"/>
                  </w:rPr>
                </w:pPr>
                <w:r>
                  <w:rPr>
                    <w:rFonts w:hint="eastAsia"/>
                    <w:color w:val="000000"/>
                    <w:szCs w:val="21"/>
                  </w:rPr>
                  <w:t>对日常经营提供履约保函</w:t>
                </w:r>
              </w:p>
            </w:tc>
            <w:tc>
              <w:tcPr>
                <w:tcW w:w="640" w:type="pct"/>
                <w:tcBorders>
                  <w:top w:val="single" w:sz="4" w:space="0" w:color="auto"/>
                </w:tcBorders>
                <w:shd w:val="clear" w:color="auto" w:fill="auto"/>
                <w:vAlign w:val="center"/>
              </w:tcPr>
              <w:p>
                <w:pPr>
                  <w:jc w:val="right"/>
                  <w:rPr>
                    <w:color w:val="000000"/>
                    <w:szCs w:val="21"/>
                  </w:rPr>
                </w:pPr>
                <w:r>
                  <w:rPr>
                    <w:rFonts w:hint="eastAsia"/>
                    <w:color w:val="000000"/>
                    <w:szCs w:val="21"/>
                  </w:rPr>
                  <w:t>1,707,343</w:t>
                </w:r>
              </w:p>
            </w:tc>
            <w:tc>
              <w:tcPr>
                <w:tcW w:w="640" w:type="pct"/>
                <w:tcBorders>
                  <w:top w:val="single" w:sz="4" w:space="0" w:color="auto"/>
                </w:tcBorders>
                <w:shd w:val="clear" w:color="auto" w:fill="auto"/>
                <w:vAlign w:val="center"/>
              </w:tcPr>
              <w:p>
                <w:pPr>
                  <w:jc w:val="right"/>
                  <w:rPr>
                    <w:color w:val="000000"/>
                    <w:szCs w:val="21"/>
                  </w:rPr>
                </w:pPr>
                <w:r>
                  <w:rPr>
                    <w:rFonts w:hint="eastAsia"/>
                    <w:color w:val="000000"/>
                    <w:szCs w:val="21"/>
                  </w:rPr>
                  <w:t>1,733,957</w:t>
                </w:r>
              </w:p>
            </w:tc>
          </w:tr>
          <w:tr>
            <w:trPr>
              <w:trHeight w:val="397"/>
              <w:jc w:val="center"/>
            </w:trPr>
            <w:tc>
              <w:tcPr>
                <w:tcW w:w="3720" w:type="pct"/>
                <w:shd w:val="clear" w:color="auto" w:fill="auto"/>
                <w:noWrap/>
                <w:vAlign w:val="center"/>
              </w:tcPr>
              <w:p>
                <w:pPr>
                  <w:rPr>
                    <w:color w:val="000000"/>
                    <w:szCs w:val="21"/>
                  </w:rPr>
                </w:pPr>
                <w:r>
                  <w:rPr>
                    <w:rFonts w:hint="eastAsia"/>
                    <w:color w:val="000000"/>
                    <w:szCs w:val="21"/>
                  </w:rPr>
                  <w:t>按照法律要求对某些采矿权的复原成本向政府部门提供履约保函</w:t>
                </w:r>
              </w:p>
            </w:tc>
            <w:tc>
              <w:tcPr>
                <w:tcW w:w="640" w:type="pct"/>
                <w:shd w:val="clear" w:color="auto" w:fill="auto"/>
                <w:vAlign w:val="center"/>
              </w:tcPr>
              <w:p>
                <w:pPr>
                  <w:jc w:val="right"/>
                  <w:rPr>
                    <w:color w:val="000000"/>
                    <w:szCs w:val="21"/>
                  </w:rPr>
                </w:pPr>
                <w:r>
                  <w:rPr>
                    <w:rFonts w:hint="eastAsia"/>
                    <w:color w:val="000000"/>
                    <w:szCs w:val="21"/>
                  </w:rPr>
                  <w:t>2,653,182</w:t>
                </w:r>
              </w:p>
            </w:tc>
            <w:tc>
              <w:tcPr>
                <w:tcW w:w="640" w:type="pct"/>
                <w:shd w:val="clear" w:color="auto" w:fill="auto"/>
                <w:vAlign w:val="center"/>
              </w:tcPr>
              <w:p>
                <w:pPr>
                  <w:jc w:val="right"/>
                  <w:rPr>
                    <w:color w:val="000000"/>
                    <w:szCs w:val="21"/>
                  </w:rPr>
                </w:pPr>
                <w:r>
                  <w:rPr>
                    <w:rFonts w:hint="eastAsia"/>
                    <w:color w:val="000000"/>
                    <w:szCs w:val="21"/>
                  </w:rPr>
                  <w:t>2,698,761</w:t>
                </w:r>
              </w:p>
            </w:tc>
          </w:tr>
          <w:tr>
            <w:trPr>
              <w:trHeight w:val="397"/>
              <w:jc w:val="center"/>
            </w:trPr>
            <w:tc>
              <w:tcPr>
                <w:tcW w:w="3720" w:type="pct"/>
                <w:shd w:val="clear" w:color="auto" w:fill="auto"/>
                <w:noWrap/>
                <w:vAlign w:val="center"/>
              </w:tcPr>
              <w:p>
                <w:pPr>
                  <w:jc w:val="center"/>
                  <w:rPr>
                    <w:color w:val="000000"/>
                    <w:szCs w:val="21"/>
                  </w:rPr>
                </w:pPr>
                <w:r>
                  <w:rPr>
                    <w:rFonts w:hint="eastAsia"/>
                    <w:color w:val="000000"/>
                    <w:szCs w:val="21"/>
                  </w:rPr>
                  <w:t>合计</w:t>
                </w:r>
              </w:p>
            </w:tc>
            <w:tc>
              <w:tcPr>
                <w:tcW w:w="640" w:type="pct"/>
                <w:shd w:val="clear" w:color="auto" w:fill="auto"/>
                <w:vAlign w:val="center"/>
              </w:tcPr>
              <w:p>
                <w:pPr>
                  <w:jc w:val="right"/>
                  <w:rPr>
                    <w:color w:val="000000"/>
                    <w:szCs w:val="21"/>
                  </w:rPr>
                </w:pPr>
                <w:r>
                  <w:rPr>
                    <w:rFonts w:hint="eastAsia"/>
                    <w:color w:val="000000"/>
                    <w:szCs w:val="21"/>
                  </w:rPr>
                  <w:t>4,360,525</w:t>
                </w:r>
              </w:p>
            </w:tc>
            <w:tc>
              <w:tcPr>
                <w:tcW w:w="640" w:type="pct"/>
                <w:shd w:val="clear" w:color="auto" w:fill="auto"/>
                <w:vAlign w:val="center"/>
              </w:tcPr>
              <w:p>
                <w:pPr>
                  <w:jc w:val="right"/>
                  <w:rPr>
                    <w:color w:val="000000"/>
                    <w:szCs w:val="21"/>
                  </w:rPr>
                </w:pPr>
                <w:r>
                  <w:rPr>
                    <w:rFonts w:hint="eastAsia"/>
                    <w:color w:val="000000"/>
                    <w:szCs w:val="21"/>
                  </w:rPr>
                  <w:t>4,432,718</w:t>
                </w:r>
              </w:p>
            </w:tc>
          </w:tr>
        </w:tbl>
        <w:p>
          <w:pPr>
            <w:autoSpaceDE w:val="0"/>
            <w:autoSpaceDN w:val="0"/>
            <w:adjustRightInd w:val="0"/>
            <w:spacing w:afterLines="50" w:after="120" w:line="360" w:lineRule="exact"/>
            <w:ind w:firstLineChars="200" w:firstLine="420"/>
            <w:rPr>
              <w:szCs w:val="21"/>
            </w:rPr>
          </w:pPr>
        </w:p>
        <w:p>
          <w:pPr>
            <w:autoSpaceDE w:val="0"/>
            <w:autoSpaceDN w:val="0"/>
            <w:adjustRightInd w:val="0"/>
            <w:spacing w:afterLines="50" w:after="120" w:line="360" w:lineRule="exact"/>
            <w:ind w:firstLineChars="200" w:firstLine="420"/>
            <w:rPr>
              <w:szCs w:val="21"/>
            </w:rPr>
          </w:pPr>
          <w:r>
            <w:rPr>
              <w:rFonts w:hint="eastAsia"/>
              <w:szCs w:val="21"/>
            </w:rPr>
            <w:t>2）澳洲公司对中山矿或有事项</w:t>
          </w:r>
        </w:p>
        <w:p>
          <w:pPr>
            <w:autoSpaceDE w:val="0"/>
            <w:autoSpaceDN w:val="0"/>
            <w:adjustRightInd w:val="0"/>
            <w:spacing w:afterLines="50" w:after="120" w:line="360" w:lineRule="exact"/>
            <w:ind w:firstLineChars="200" w:firstLine="420"/>
            <w:rPr>
              <w:szCs w:val="21"/>
            </w:rPr>
          </w:pPr>
          <w:r>
            <w:rPr>
              <w:rFonts w:hint="eastAsia"/>
              <w:szCs w:val="21"/>
            </w:rPr>
            <w:t>澳洲公司于2015年3月4日向中山矿发出支持函，确认：</w:t>
          </w:r>
        </w:p>
        <w:p>
          <w:pPr>
            <w:autoSpaceDE w:val="0"/>
            <w:autoSpaceDN w:val="0"/>
            <w:adjustRightInd w:val="0"/>
            <w:spacing w:afterLines="50" w:after="120" w:line="360" w:lineRule="exact"/>
            <w:ind w:firstLineChars="200" w:firstLine="420"/>
            <w:rPr>
              <w:szCs w:val="21"/>
            </w:rPr>
          </w:pPr>
          <w:r>
            <w:rPr>
              <w:rFonts w:hint="eastAsia"/>
              <w:szCs w:val="21"/>
            </w:rPr>
            <w:t>1.除非中山矿同意偿还贷款或者贷款协议中另有约定外，澳洲公司不会要求中山矿偿还贷款；</w:t>
          </w:r>
        </w:p>
        <w:p>
          <w:pPr>
            <w:autoSpaceDE w:val="0"/>
            <w:autoSpaceDN w:val="0"/>
            <w:adjustRightInd w:val="0"/>
            <w:spacing w:afterLines="50" w:after="120" w:line="360" w:lineRule="exact"/>
            <w:ind w:firstLineChars="200" w:firstLine="420"/>
            <w:rPr>
              <w:szCs w:val="21"/>
            </w:rPr>
          </w:pPr>
          <w:r>
            <w:rPr>
              <w:rFonts w:hint="eastAsia"/>
              <w:szCs w:val="21"/>
            </w:rPr>
            <w:t>2.澳洲公司将向中山矿提供财务支持，使其能够偿还到期债务，财务支持将以新股东贷款的形式提供，贷款将按照股东所享有中山矿净资产的份额计算。</w:t>
          </w:r>
        </w:p>
        <w:p>
          <w:pPr>
            <w:autoSpaceDE w:val="0"/>
            <w:autoSpaceDN w:val="0"/>
            <w:adjustRightInd w:val="0"/>
            <w:spacing w:afterLines="50" w:after="120" w:line="360" w:lineRule="exact"/>
            <w:ind w:firstLineChars="200" w:firstLine="420"/>
            <w:rPr>
              <w:szCs w:val="21"/>
            </w:rPr>
          </w:pPr>
          <w:r>
            <w:rPr>
              <w:rFonts w:hint="eastAsia"/>
              <w:szCs w:val="21"/>
            </w:rPr>
            <w:t>在澳洲公司作为中山矿股东期间，该支持函件持续有效，直至发出不少于12个月或中山矿同意的更短的通知期的通知。</w:t>
          </w:r>
        </w:p>
        <w:p>
          <w:pPr>
            <w:autoSpaceDE w:val="0"/>
            <w:autoSpaceDN w:val="0"/>
            <w:adjustRightInd w:val="0"/>
            <w:spacing w:afterLines="50" w:after="120" w:line="360" w:lineRule="exact"/>
            <w:ind w:firstLineChars="200" w:firstLine="420"/>
            <w:rPr>
              <w:szCs w:val="21"/>
            </w:rPr>
          </w:pPr>
          <w:r>
            <w:rPr>
              <w:rFonts w:hint="eastAsia"/>
              <w:szCs w:val="21"/>
            </w:rPr>
            <w:t>3）鄂尔多斯市金诚泰化工有限责任公司仲裁案</w:t>
          </w:r>
        </w:p>
        <w:p>
          <w:pPr>
            <w:autoSpaceDE w:val="0"/>
            <w:autoSpaceDN w:val="0"/>
            <w:adjustRightInd w:val="0"/>
            <w:spacing w:afterLines="50" w:after="120" w:line="360" w:lineRule="exact"/>
            <w:ind w:firstLineChars="200" w:firstLine="420"/>
            <w:rPr>
              <w:szCs w:val="21"/>
            </w:rPr>
          </w:pPr>
          <w:r>
            <w:rPr>
              <w:rFonts w:hint="eastAsia"/>
              <w:szCs w:val="21"/>
            </w:rPr>
            <w:lastRenderedPageBreak/>
            <w:t>2022年7月5日，金诚泰以股权转让合同纠纷为由，向中国国际贸易仲裁委员会（“中国贸仲”）提出仲裁申请，要求兖矿能源给付金诚泰股权转让费及滞纳金1,015,90千元。公司以金诚泰应承担矿业权出让收益价款为由，要求金诚泰退还煤矿股权转让费615,15</w:t>
          </w:r>
          <w:r>
            <w:rPr>
              <w:szCs w:val="21"/>
            </w:rPr>
            <w:t>3</w:t>
          </w:r>
          <w:r>
            <w:rPr>
              <w:rFonts w:hint="eastAsia"/>
              <w:szCs w:val="21"/>
            </w:rPr>
            <w:t>千元。</w:t>
          </w:r>
        </w:p>
        <w:p>
          <w:pPr>
            <w:autoSpaceDE w:val="0"/>
            <w:autoSpaceDN w:val="0"/>
            <w:adjustRightInd w:val="0"/>
            <w:spacing w:afterLines="50" w:after="120" w:line="360" w:lineRule="exact"/>
            <w:ind w:firstLineChars="200" w:firstLine="420"/>
            <w:rPr>
              <w:szCs w:val="21"/>
            </w:rPr>
          </w:pPr>
          <w:r>
            <w:rPr>
              <w:rFonts w:hint="eastAsia"/>
              <w:szCs w:val="21"/>
            </w:rPr>
            <w:t>2024年3月14日，公司收到中国贸仲裁决书，裁决金诚泰向公司退还煤矿股权转让费115,211千元。</w:t>
          </w:r>
        </w:p>
        <w:p>
          <w:pPr>
            <w:autoSpaceDE w:val="0"/>
            <w:autoSpaceDN w:val="0"/>
            <w:adjustRightInd w:val="0"/>
            <w:spacing w:afterLines="50" w:after="120" w:line="360" w:lineRule="exact"/>
            <w:ind w:firstLineChars="200" w:firstLine="420"/>
            <w:rPr>
              <w:szCs w:val="21"/>
            </w:rPr>
          </w:pPr>
          <w:r>
            <w:rPr>
              <w:rFonts w:hint="eastAsia"/>
              <w:szCs w:val="21"/>
            </w:rPr>
            <w:t>本案目前已结案，金诚泰应向公司支付115,211千元。</w:t>
          </w:r>
        </w:p>
        <w:p>
          <w:pPr>
            <w:autoSpaceDE w:val="0"/>
            <w:autoSpaceDN w:val="0"/>
            <w:adjustRightInd w:val="0"/>
            <w:spacing w:afterLines="50" w:after="120" w:line="360" w:lineRule="exact"/>
            <w:ind w:firstLineChars="200" w:firstLine="420"/>
            <w:rPr>
              <w:szCs w:val="21"/>
            </w:rPr>
          </w:pPr>
          <w:r>
            <w:rPr>
              <w:rFonts w:hint="eastAsia"/>
              <w:szCs w:val="21"/>
            </w:rPr>
            <w:t>4）青岛中兖贸易有限公司诉讼案</w:t>
          </w:r>
        </w:p>
        <w:p>
          <w:pPr>
            <w:autoSpaceDE w:val="0"/>
            <w:autoSpaceDN w:val="0"/>
            <w:adjustRightInd w:val="0"/>
            <w:spacing w:afterLines="50" w:after="120" w:line="360" w:lineRule="exact"/>
            <w:ind w:firstLineChars="200" w:firstLine="420"/>
            <w:rPr>
              <w:szCs w:val="21"/>
            </w:rPr>
          </w:pPr>
          <w:r>
            <w:rPr>
              <w:rFonts w:hint="eastAsia"/>
              <w:szCs w:val="21"/>
            </w:rPr>
            <w:t>2021年4月，兖矿能源全资子公司青岛中兖以仓储合同纠纷为由，将大连码头诉至大连海事法院，要求其赔偿货物损失169,246千元。</w:t>
          </w:r>
        </w:p>
        <w:p>
          <w:pPr>
            <w:autoSpaceDE w:val="0"/>
            <w:autoSpaceDN w:val="0"/>
            <w:adjustRightInd w:val="0"/>
            <w:spacing w:afterLines="50" w:after="120" w:line="360" w:lineRule="exact"/>
            <w:ind w:firstLineChars="200" w:firstLine="420"/>
            <w:rPr>
              <w:szCs w:val="21"/>
            </w:rPr>
          </w:pPr>
          <w:r>
            <w:rPr>
              <w:rFonts w:hint="eastAsia"/>
              <w:szCs w:val="21"/>
            </w:rPr>
            <w:t>2023年6月，青岛中兖收到一审胜诉判决。大连码头向辽宁省高级人民法院提起上诉。</w:t>
          </w:r>
        </w:p>
        <w:p>
          <w:pPr>
            <w:autoSpaceDE w:val="0"/>
            <w:autoSpaceDN w:val="0"/>
            <w:adjustRightInd w:val="0"/>
            <w:spacing w:afterLines="50" w:after="120" w:line="360" w:lineRule="exact"/>
            <w:ind w:firstLineChars="200" w:firstLine="420"/>
            <w:rPr>
              <w:szCs w:val="21"/>
            </w:rPr>
          </w:pPr>
          <w:r>
            <w:rPr>
              <w:rFonts w:hint="eastAsia"/>
              <w:szCs w:val="21"/>
            </w:rPr>
            <w:t>2024年12月，青岛中兖收到辽宁省高级人民院二审判决书，驳回大连码头上诉请求，维持原判。</w:t>
          </w:r>
        </w:p>
        <w:p>
          <w:pPr>
            <w:autoSpaceDE w:val="0"/>
            <w:autoSpaceDN w:val="0"/>
            <w:adjustRightInd w:val="0"/>
            <w:spacing w:afterLines="50" w:after="120" w:line="360" w:lineRule="exact"/>
            <w:ind w:firstLineChars="200" w:firstLine="420"/>
            <w:rPr>
              <w:szCs w:val="21"/>
            </w:rPr>
          </w:pPr>
          <w:r>
            <w:rPr>
              <w:rFonts w:hint="eastAsia"/>
              <w:szCs w:val="21"/>
            </w:rPr>
            <w:t>本案目前已经结案，大连码头赔偿青岛中兖货物损失169,246千元并以该数额为基数支付利息，另大连码头承担本案诉讼保全责任险费用、案件受理费、保全费等。</w:t>
          </w:r>
        </w:p>
        <w:p>
          <w:pPr>
            <w:autoSpaceDE w:val="0"/>
            <w:autoSpaceDN w:val="0"/>
            <w:adjustRightInd w:val="0"/>
            <w:spacing w:afterLines="50" w:after="120" w:line="360" w:lineRule="exact"/>
            <w:ind w:firstLineChars="200" w:firstLine="420"/>
            <w:rPr>
              <w:szCs w:val="21"/>
            </w:rPr>
          </w:pPr>
          <w:r>
            <w:rPr>
              <w:rFonts w:hint="eastAsia"/>
              <w:szCs w:val="21"/>
            </w:rPr>
            <w:t>5）沙钢（北京）国际投资有限公司合同纠纷案</w:t>
          </w:r>
        </w:p>
        <w:p>
          <w:pPr>
            <w:autoSpaceDE w:val="0"/>
            <w:autoSpaceDN w:val="0"/>
            <w:adjustRightInd w:val="0"/>
            <w:spacing w:afterLines="50" w:after="120" w:line="360" w:lineRule="exact"/>
            <w:ind w:firstLineChars="200" w:firstLine="420"/>
            <w:rPr>
              <w:szCs w:val="21"/>
            </w:rPr>
          </w:pPr>
          <w:r>
            <w:rPr>
              <w:rFonts w:hint="eastAsia"/>
              <w:szCs w:val="21"/>
            </w:rPr>
            <w:t>2021年4月，兖矿能源全资子公司端信供应链以煤炭买卖合同纠纷为由，将沙钢北京诉至深圳市中级人民法院（“深圳中院”），要求其返还货款本金121,605千元及相应逾期付款违约金，李磊、沙钢集团对上述款项承担连带责任。一审审理过程中，端信供应链变更诉讼请求，请求沙钢集团单独承担连带责任。</w:t>
          </w:r>
        </w:p>
        <w:p>
          <w:pPr>
            <w:autoSpaceDE w:val="0"/>
            <w:autoSpaceDN w:val="0"/>
            <w:adjustRightInd w:val="0"/>
            <w:spacing w:afterLines="50" w:after="120" w:line="360" w:lineRule="exact"/>
            <w:ind w:firstLineChars="200" w:firstLine="420"/>
            <w:rPr>
              <w:szCs w:val="21"/>
            </w:rPr>
          </w:pPr>
          <w:r>
            <w:rPr>
              <w:rFonts w:hint="eastAsia"/>
              <w:szCs w:val="21"/>
            </w:rPr>
            <w:t>2023年3月，端信供应链收到一审胜诉判决。沙钢北京向广东省高级人民法院提起上诉，申请履行二审程序。</w:t>
          </w:r>
        </w:p>
        <w:p>
          <w:pPr>
            <w:autoSpaceDE w:val="0"/>
            <w:autoSpaceDN w:val="0"/>
            <w:adjustRightInd w:val="0"/>
            <w:spacing w:afterLines="50" w:after="120" w:line="360" w:lineRule="exact"/>
            <w:ind w:firstLineChars="200" w:firstLine="420"/>
            <w:rPr>
              <w:szCs w:val="21"/>
            </w:rPr>
          </w:pPr>
          <w:r>
            <w:rPr>
              <w:rFonts w:hint="eastAsia"/>
              <w:szCs w:val="21"/>
            </w:rPr>
            <w:t>2025年2月，端信供应链收到二审胜诉判决，判令沙钢北京向端信供应链支付货款本金121,605千元及逾期利息，撤销沙钢集团对沙钢国北京前项债务承担的连带清偿责任。</w:t>
          </w:r>
        </w:p>
        <w:p>
          <w:pPr>
            <w:autoSpaceDE w:val="0"/>
            <w:autoSpaceDN w:val="0"/>
            <w:adjustRightInd w:val="0"/>
            <w:spacing w:afterLines="50" w:after="120" w:line="360" w:lineRule="exact"/>
            <w:ind w:firstLineChars="200" w:firstLine="420"/>
            <w:rPr>
              <w:szCs w:val="21"/>
            </w:rPr>
          </w:pPr>
          <w:r>
            <w:rPr>
              <w:rFonts w:hint="eastAsia"/>
              <w:szCs w:val="21"/>
            </w:rPr>
            <w:t>6）深圳市麦凯莱科技有限公司诉讼案</w:t>
          </w:r>
        </w:p>
        <w:p>
          <w:pPr>
            <w:autoSpaceDE w:val="0"/>
            <w:autoSpaceDN w:val="0"/>
            <w:adjustRightInd w:val="0"/>
            <w:spacing w:afterLines="50" w:after="120" w:line="360" w:lineRule="exact"/>
            <w:ind w:firstLineChars="200" w:firstLine="420"/>
            <w:rPr>
              <w:szCs w:val="21"/>
            </w:rPr>
          </w:pPr>
          <w:r>
            <w:rPr>
              <w:rFonts w:hint="eastAsia"/>
              <w:szCs w:val="21"/>
            </w:rPr>
            <w:t>2023年2月，端信供应链以债权债务纠纷为由，将麦凯莱公司及相关担保人起诉至深圳中院，要求其清偿到期债务、利息及违约金共计396,188千元。</w:t>
          </w:r>
        </w:p>
        <w:p>
          <w:pPr>
            <w:autoSpaceDE w:val="0"/>
            <w:autoSpaceDN w:val="0"/>
            <w:adjustRightInd w:val="0"/>
            <w:spacing w:afterLines="50" w:after="120" w:line="360" w:lineRule="exact"/>
            <w:ind w:firstLineChars="200" w:firstLine="420"/>
            <w:rPr>
              <w:szCs w:val="21"/>
            </w:rPr>
          </w:pPr>
          <w:r>
            <w:rPr>
              <w:rFonts w:hint="eastAsia"/>
              <w:szCs w:val="21"/>
            </w:rPr>
            <w:t>2024年6月，深圳中院裁定麦凯莱公司破产清算。</w:t>
          </w:r>
        </w:p>
        <w:p>
          <w:pPr>
            <w:autoSpaceDE w:val="0"/>
            <w:autoSpaceDN w:val="0"/>
            <w:adjustRightInd w:val="0"/>
            <w:spacing w:afterLines="50" w:after="120" w:line="360" w:lineRule="exact"/>
            <w:ind w:firstLineChars="200" w:firstLine="420"/>
            <w:rPr>
              <w:szCs w:val="21"/>
            </w:rPr>
          </w:pPr>
          <w:r>
            <w:rPr>
              <w:rFonts w:hint="eastAsia"/>
              <w:szCs w:val="21"/>
            </w:rPr>
            <w:t>2024年8月，端信供应链向麦凯莱公司破产管理人申报债权509,882千元。</w:t>
          </w:r>
        </w:p>
        <w:p>
          <w:pPr>
            <w:autoSpaceDE w:val="0"/>
            <w:autoSpaceDN w:val="0"/>
            <w:adjustRightInd w:val="0"/>
            <w:spacing w:afterLines="50" w:after="120" w:line="360" w:lineRule="exact"/>
            <w:ind w:firstLineChars="200" w:firstLine="420"/>
            <w:rPr>
              <w:szCs w:val="21"/>
            </w:rPr>
          </w:pPr>
          <w:r>
            <w:rPr>
              <w:rFonts w:hint="eastAsia"/>
              <w:szCs w:val="21"/>
            </w:rPr>
            <w:t>2024年12月，端信供应链收到一审判决书，深圳中院判决支持端信供应链的诉讼请求，被告麦凯莱公司已向广东省高级人民法院提交上诉状。</w:t>
          </w:r>
        </w:p>
        <w:p>
          <w:pPr>
            <w:autoSpaceDE w:val="0"/>
            <w:autoSpaceDN w:val="0"/>
            <w:adjustRightInd w:val="0"/>
            <w:spacing w:afterLines="50" w:after="120" w:line="360" w:lineRule="exact"/>
            <w:ind w:firstLineChars="200" w:firstLine="420"/>
            <w:rPr>
              <w:szCs w:val="21"/>
            </w:rPr>
          </w:pPr>
          <w:r>
            <w:rPr>
              <w:rFonts w:hint="eastAsia"/>
              <w:szCs w:val="21"/>
            </w:rPr>
            <w:t>截至本报告期末，公司对本案涉及账面款项计提了减值准备，本次诉讼事项不会对公司期后利润产生不利影响。</w:t>
          </w:r>
        </w:p>
        <w:p>
          <w:pPr>
            <w:autoSpaceDE w:val="0"/>
            <w:autoSpaceDN w:val="0"/>
            <w:adjustRightInd w:val="0"/>
            <w:spacing w:afterLines="50" w:after="120" w:line="360" w:lineRule="exact"/>
            <w:ind w:firstLineChars="200" w:firstLine="420"/>
            <w:rPr>
              <w:szCs w:val="21"/>
            </w:rPr>
          </w:pPr>
          <w:r>
            <w:rPr>
              <w:rFonts w:hint="eastAsia"/>
              <w:szCs w:val="21"/>
            </w:rPr>
            <w:lastRenderedPageBreak/>
            <w:t>7）苏宁易购集团股份有限公司诉讼案</w:t>
          </w:r>
        </w:p>
        <w:p>
          <w:pPr>
            <w:autoSpaceDE w:val="0"/>
            <w:autoSpaceDN w:val="0"/>
            <w:adjustRightInd w:val="0"/>
            <w:spacing w:afterLines="50" w:after="120" w:line="360" w:lineRule="exact"/>
            <w:ind w:firstLineChars="200" w:firstLine="420"/>
            <w:rPr>
              <w:szCs w:val="21"/>
            </w:rPr>
          </w:pPr>
          <w:r>
            <w:rPr>
              <w:rFonts w:hint="eastAsia"/>
              <w:szCs w:val="21"/>
            </w:rPr>
            <w:t>2023年2月，端信供应链以买卖合同纠纷为由，将苏宁易购起诉至南京市中级人民法院，要求其偿付货款、利息及违约金共计670,900千元。</w:t>
          </w:r>
        </w:p>
        <w:p>
          <w:pPr>
            <w:autoSpaceDE w:val="0"/>
            <w:autoSpaceDN w:val="0"/>
            <w:adjustRightInd w:val="0"/>
            <w:spacing w:afterLines="50" w:after="120" w:line="360" w:lineRule="exact"/>
            <w:ind w:firstLineChars="200" w:firstLine="420"/>
            <w:rPr>
              <w:szCs w:val="21"/>
            </w:rPr>
          </w:pPr>
          <w:r>
            <w:rPr>
              <w:rFonts w:hint="eastAsia"/>
              <w:szCs w:val="21"/>
            </w:rPr>
            <w:t>2025年1月，端信供应链收到南京市中级人民法院裁定书，以涉嫌经济犯罪为由，裁定驳回起诉，将案件转交公安机关。</w:t>
          </w:r>
        </w:p>
        <w:p>
          <w:pPr>
            <w:autoSpaceDE w:val="0"/>
            <w:autoSpaceDN w:val="0"/>
            <w:adjustRightInd w:val="0"/>
            <w:spacing w:afterLines="50" w:after="120" w:line="360" w:lineRule="exact"/>
            <w:ind w:firstLineChars="200" w:firstLine="420"/>
            <w:rPr>
              <w:szCs w:val="21"/>
            </w:rPr>
          </w:pPr>
          <w:r>
            <w:rPr>
              <w:rFonts w:hint="eastAsia"/>
              <w:szCs w:val="21"/>
            </w:rPr>
            <w:t>截至本报告期末，公司对本案涉及账面款项计提了减值准备，本次诉讼事项不会对公司期后利润产生不利影响。</w:t>
          </w:r>
        </w:p>
        <w:p>
          <w:pPr>
            <w:autoSpaceDE w:val="0"/>
            <w:autoSpaceDN w:val="0"/>
            <w:adjustRightInd w:val="0"/>
            <w:spacing w:afterLines="50" w:after="120" w:line="360" w:lineRule="exact"/>
            <w:ind w:firstLineChars="200" w:firstLine="420"/>
            <w:rPr>
              <w:szCs w:val="21"/>
            </w:rPr>
          </w:pPr>
          <w:r>
            <w:rPr>
              <w:rFonts w:hint="eastAsia"/>
              <w:szCs w:val="21"/>
            </w:rPr>
            <w:t>8）中融盛国际融资租赁（天津）有限公司诉讼案</w:t>
          </w:r>
        </w:p>
        <w:p>
          <w:pPr>
            <w:autoSpaceDE w:val="0"/>
            <w:autoSpaceDN w:val="0"/>
            <w:adjustRightInd w:val="0"/>
            <w:spacing w:afterLines="50" w:after="120" w:line="360" w:lineRule="exact"/>
            <w:ind w:firstLineChars="200" w:firstLine="420"/>
            <w:rPr>
              <w:szCs w:val="21"/>
            </w:rPr>
          </w:pPr>
          <w:r>
            <w:rPr>
              <w:rFonts w:hint="eastAsia"/>
              <w:szCs w:val="21"/>
            </w:rPr>
            <w:t>2023年11月，内蒙古金控以违反保理及融资租赁合同为由，将中融盛等被告诉至呼和浩特市中级人民法院，要求中融盛等被告支付保理及融资租赁款本金246,093千元及相应利息和违约金，并要求大唐国际承担连带责任。</w:t>
          </w:r>
        </w:p>
        <w:p>
          <w:pPr>
            <w:autoSpaceDE w:val="0"/>
            <w:autoSpaceDN w:val="0"/>
            <w:adjustRightInd w:val="0"/>
            <w:spacing w:afterLines="50" w:after="120" w:line="360" w:lineRule="exact"/>
            <w:ind w:firstLineChars="200" w:firstLine="420"/>
            <w:rPr>
              <w:szCs w:val="21"/>
            </w:rPr>
          </w:pPr>
          <w:r>
            <w:rPr>
              <w:rFonts w:hint="eastAsia"/>
              <w:szCs w:val="21"/>
            </w:rPr>
            <w:t>截至本报告披露日，呼和浩特市中级人民法院尚未作出裁决。</w:t>
          </w:r>
        </w:p>
        <w:p>
          <w:pPr>
            <w:autoSpaceDE w:val="0"/>
            <w:autoSpaceDN w:val="0"/>
            <w:adjustRightInd w:val="0"/>
            <w:spacing w:afterLines="50" w:after="120" w:line="360" w:lineRule="exact"/>
            <w:ind w:firstLineChars="200" w:firstLine="420"/>
            <w:rPr>
              <w:szCs w:val="21"/>
            </w:rPr>
          </w:pPr>
          <w:r>
            <w:rPr>
              <w:rFonts w:hint="eastAsia"/>
              <w:szCs w:val="21"/>
            </w:rPr>
            <w:t>9）内蒙古久泰新材料科技股份有限公司仲裁案</w:t>
          </w:r>
        </w:p>
        <w:p>
          <w:pPr>
            <w:autoSpaceDE w:val="0"/>
            <w:autoSpaceDN w:val="0"/>
            <w:adjustRightInd w:val="0"/>
            <w:spacing w:afterLines="50" w:after="120" w:line="360" w:lineRule="exact"/>
            <w:ind w:firstLineChars="200" w:firstLine="420"/>
            <w:rPr>
              <w:szCs w:val="21"/>
            </w:rPr>
          </w:pPr>
          <w:r>
            <w:rPr>
              <w:rFonts w:hint="eastAsia"/>
              <w:szCs w:val="21"/>
            </w:rPr>
            <w:t>2024年8月，公司向中国贸仲提出仲裁申请，要求久泰公司退还股权转让款、违约金、垫付款等共计约14</w:t>
          </w:r>
          <w:r>
            <w:rPr>
              <w:szCs w:val="21"/>
            </w:rPr>
            <w:t>3</w:t>
          </w:r>
          <w:r>
            <w:rPr>
              <w:rFonts w:hint="eastAsia"/>
              <w:szCs w:val="21"/>
            </w:rPr>
            <w:t>8,000千元，同时承担本案仲裁费、保全费、保险费、律师费及其他实现债权的费用，要求三名被申请人承担连带责任。</w:t>
          </w:r>
        </w:p>
        <w:p>
          <w:pPr>
            <w:autoSpaceDE w:val="0"/>
            <w:autoSpaceDN w:val="0"/>
            <w:adjustRightInd w:val="0"/>
            <w:spacing w:afterLines="50" w:after="120" w:line="360" w:lineRule="exact"/>
            <w:ind w:firstLineChars="200" w:firstLine="420"/>
            <w:rPr>
              <w:szCs w:val="21"/>
            </w:rPr>
          </w:pPr>
          <w:r>
            <w:rPr>
              <w:rFonts w:hint="eastAsia"/>
              <w:szCs w:val="21"/>
            </w:rPr>
            <w:t>截至本报告披露日，中国贸仲尚未作出裁决。</w:t>
          </w:r>
        </w:p>
        <w:p>
          <w:pPr>
            <w:autoSpaceDE w:val="0"/>
            <w:autoSpaceDN w:val="0"/>
            <w:adjustRightInd w:val="0"/>
            <w:spacing w:afterLines="50" w:after="120" w:line="360" w:lineRule="exact"/>
            <w:ind w:firstLineChars="200" w:firstLine="420"/>
            <w:rPr>
              <w:szCs w:val="21"/>
            </w:rPr>
          </w:pPr>
          <w:r>
            <w:rPr>
              <w:rFonts w:hint="eastAsia"/>
              <w:szCs w:val="21"/>
            </w:rPr>
            <w:t>10）西部新时代投资股份有限公司仲裁案</w:t>
          </w:r>
        </w:p>
        <w:p>
          <w:pPr>
            <w:autoSpaceDE w:val="0"/>
            <w:autoSpaceDN w:val="0"/>
            <w:adjustRightInd w:val="0"/>
            <w:spacing w:afterLines="50" w:after="120" w:line="360" w:lineRule="exact"/>
            <w:ind w:firstLineChars="200" w:firstLine="420"/>
            <w:rPr>
              <w:szCs w:val="21"/>
            </w:rPr>
          </w:pPr>
          <w:r>
            <w:rPr>
              <w:rFonts w:hint="eastAsia"/>
              <w:szCs w:val="21"/>
            </w:rPr>
            <w:t>2024年12月，昊盛煤业向济南仲裁委员会提出仲裁申请，要求西部新时代根据《增资协议》的约定履行增资义务，并承担相应违约责任等共计1,209,000千元。</w:t>
          </w:r>
        </w:p>
        <w:p>
          <w:pPr>
            <w:autoSpaceDE w:val="0"/>
            <w:autoSpaceDN w:val="0"/>
            <w:adjustRightInd w:val="0"/>
            <w:spacing w:afterLines="50" w:after="120" w:line="360" w:lineRule="exact"/>
            <w:ind w:firstLineChars="200" w:firstLine="420"/>
            <w:rPr>
              <w:szCs w:val="21"/>
            </w:rPr>
          </w:pPr>
          <w:r>
            <w:rPr>
              <w:rFonts w:hint="eastAsia"/>
              <w:szCs w:val="21"/>
            </w:rPr>
            <w:t>截至本报告披露日，济南仲裁委员会尚未作出裁决。</w:t>
          </w:r>
        </w:p>
        <w:p>
          <w:pPr>
            <w:autoSpaceDE w:val="0"/>
            <w:autoSpaceDN w:val="0"/>
            <w:adjustRightInd w:val="0"/>
            <w:spacing w:afterLines="50" w:after="120" w:line="360" w:lineRule="exact"/>
            <w:ind w:firstLineChars="200" w:firstLine="420"/>
            <w:rPr>
              <w:szCs w:val="21"/>
            </w:rPr>
          </w:pPr>
          <w:r>
            <w:rPr>
              <w:rFonts w:hint="eastAsia"/>
              <w:szCs w:val="21"/>
            </w:rPr>
            <w:t>11）中国金谷国际信托有限责任公司诉讼案</w:t>
          </w:r>
        </w:p>
        <w:p>
          <w:pPr>
            <w:autoSpaceDE w:val="0"/>
            <w:autoSpaceDN w:val="0"/>
            <w:adjustRightInd w:val="0"/>
            <w:spacing w:afterLines="50" w:after="120" w:line="360" w:lineRule="exact"/>
            <w:ind w:firstLineChars="200" w:firstLine="420"/>
            <w:rPr>
              <w:szCs w:val="21"/>
            </w:rPr>
          </w:pPr>
          <w:r>
            <w:rPr>
              <w:rFonts w:hint="eastAsia"/>
              <w:szCs w:val="21"/>
            </w:rPr>
            <w:t>2025年1月，昊盛煤业向鄂尔多斯市中级人民法院提出诉讼，要求金谷信托承担其继受西部新时代取得的昊盛煤业股权对应的增资义务、违约金等共计约1,209,000千元。</w:t>
          </w:r>
        </w:p>
        <w:p>
          <w:pPr>
            <w:autoSpaceDE w:val="0"/>
            <w:autoSpaceDN w:val="0"/>
            <w:adjustRightInd w:val="0"/>
            <w:spacing w:afterLines="50" w:after="120" w:line="360" w:lineRule="exact"/>
            <w:ind w:firstLineChars="200" w:firstLine="420"/>
            <w:rPr>
              <w:szCs w:val="21"/>
            </w:rPr>
          </w:pPr>
          <w:r>
            <w:rPr>
              <w:rFonts w:hint="eastAsia"/>
              <w:szCs w:val="21"/>
            </w:rPr>
            <w:t>截至本报告披露日，鄂尔多斯市中级人民法院尚未作出裁决。</w:t>
          </w:r>
        </w:p>
        <w:p>
          <w:pPr>
            <w:autoSpaceDE w:val="0"/>
            <w:autoSpaceDN w:val="0"/>
            <w:adjustRightInd w:val="0"/>
            <w:spacing w:afterLines="50" w:after="120" w:line="360" w:lineRule="exact"/>
            <w:ind w:firstLineChars="200" w:firstLine="420"/>
            <w:rPr>
              <w:szCs w:val="21"/>
            </w:rPr>
          </w:pPr>
          <w:r>
            <w:rPr>
              <w:rFonts w:hint="eastAsia"/>
              <w:szCs w:val="21"/>
            </w:rPr>
            <w:t>12）鄂尔多斯文化产业投资有限公司、百年树人（集团）有限公司仲裁案</w:t>
          </w:r>
        </w:p>
        <w:p>
          <w:pPr>
            <w:autoSpaceDE w:val="0"/>
            <w:autoSpaceDN w:val="0"/>
            <w:adjustRightInd w:val="0"/>
            <w:spacing w:afterLines="50" w:after="120" w:line="360" w:lineRule="exact"/>
            <w:ind w:firstLineChars="200" w:firstLine="420"/>
            <w:rPr>
              <w:szCs w:val="21"/>
            </w:rPr>
          </w:pPr>
          <w:r>
            <w:rPr>
              <w:rFonts w:hint="eastAsia"/>
              <w:szCs w:val="21"/>
            </w:rPr>
            <w:t>2024年10月，内蒙古矿业依据签署的《鄂尔多斯文化产业园文化教育有限公司增资协议》，向呼和浩特仲裁委员会申请仲裁。要求鄂尔多斯文化产业投资有限公司、百年树人（集团）有限公司履行回购义务，向内蒙古矿业支付股权转让款、资金占用费、违约金共计342,922千元。</w:t>
          </w:r>
        </w:p>
        <w:p>
          <w:pPr>
            <w:autoSpaceDE w:val="0"/>
            <w:autoSpaceDN w:val="0"/>
            <w:adjustRightInd w:val="0"/>
            <w:spacing w:afterLines="50" w:after="120" w:line="360" w:lineRule="exact"/>
            <w:ind w:firstLineChars="200" w:firstLine="420"/>
            <w:rPr>
              <w:szCs w:val="21"/>
            </w:rPr>
          </w:pPr>
          <w:r>
            <w:rPr>
              <w:rFonts w:hint="eastAsia"/>
              <w:szCs w:val="21"/>
            </w:rPr>
            <w:t>截至本报告披露日，呼和浩特仲裁委员会尚未作出裁决。</w:t>
          </w:r>
        </w:p>
        <w:p>
          <w:pPr>
            <w:pStyle w:val="affffffffffffffffffffffffffffffffe"/>
          </w:pPr>
        </w:p>
      </w:sdtContent>
    </w:sdt>
    <w:p>
      <w:pPr>
        <w:pStyle w:val="affffffffffffffffffffffffffffffffe"/>
      </w:pPr>
    </w:p>
    <w:p>
      <w:pPr>
        <w:pStyle w:val="afffffffffffffffffffffffffffffffff1"/>
        <w:numPr>
          <w:ilvl w:val="3"/>
          <w:numId w:val="191"/>
        </w:numPr>
        <w:ind w:left="426" w:hangingChars="202" w:hanging="426"/>
      </w:pPr>
      <w:r>
        <w:rPr>
          <w:rFonts w:hint="eastAsia"/>
        </w:rPr>
        <w:lastRenderedPageBreak/>
        <w:t>公司没有需要披露的重要或有事项，也应予以说明：</w:t>
      </w:r>
    </w:p>
    <w:sdt>
      <w:sdtPr>
        <w:rPr>
          <w:rFonts w:hint="eastAsia"/>
        </w:rPr>
        <w:alias w:val="是否适用：公司没有需要披露的重要或有事项，也应予以说明[双击切换]"/>
        <w:tag w:val="_GBC_07f7b2e649f24a948656f8714cbf5345"/>
        <w:id w:val="9220876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rPr>
      </w:pPr>
    </w:p>
    <w:p>
      <w:pPr>
        <w:pStyle w:val="afffffffffffffffffffffffffffffffff0"/>
        <w:numPr>
          <w:ilvl w:val="0"/>
          <w:numId w:val="143"/>
        </w:numPr>
      </w:pPr>
      <w:r>
        <w:rPr>
          <w:rFonts w:hint="eastAsia"/>
        </w:rPr>
        <w:t>其他</w:t>
      </w:r>
    </w:p>
    <w:sdt>
      <w:sdtPr>
        <w:rPr>
          <w:rFonts w:hint="eastAsia"/>
        </w:rPr>
        <w:alias w:val="是否适用：承诺及或有事项的其他情况说明[双击切换]"/>
        <w:tag w:val="_GBC_cf5b3c02da904b4ea27843983d9a6248"/>
        <w:id w:val="-89628593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2"/>
        <w:numPr>
          <w:ilvl w:val="0"/>
          <w:numId w:val="155"/>
        </w:numPr>
      </w:pPr>
      <w:r>
        <w:rPr>
          <w:rFonts w:hint="eastAsia"/>
        </w:rPr>
        <w:t>资产负债表日后事项</w:t>
      </w:r>
    </w:p>
    <w:p>
      <w:pPr>
        <w:pStyle w:val="afffffffffffffffffffffffffffffffff0"/>
        <w:numPr>
          <w:ilvl w:val="0"/>
          <w:numId w:val="144"/>
        </w:numPr>
      </w:pPr>
      <w:r>
        <w:rPr>
          <w:rFonts w:hint="eastAsia"/>
        </w:rPr>
        <w:t>重要的非调整事项</w:t>
      </w:r>
    </w:p>
    <w:sdt>
      <w:sdtPr>
        <w:alias w:val="是否适用：重要的非调整事项[双击切换]"/>
        <w:tag w:val="_GBC_5d94a9ce52454687be716014c1894fef"/>
        <w:id w:val="-105809352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0"/>
        <w:numPr>
          <w:ilvl w:val="0"/>
          <w:numId w:val="144"/>
        </w:numPr>
      </w:pPr>
      <w:r>
        <w:rPr>
          <w:rFonts w:hint="eastAsia"/>
        </w:rPr>
        <w:t>利润分配情况</w:t>
      </w:r>
    </w:p>
    <w:sdt>
      <w:sdtPr>
        <w:alias w:val="是否适用：利润分配情况[双击切换]"/>
        <w:tag w:val="_GBC_9a91fb54a6c146e5b9ee1ecff3141237"/>
        <w:id w:val="-165089401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Style w:val="afffffffffffffffffffffffffffffffffffb"/>
          <w:rFonts w:hint="eastAsia"/>
          <w:color w:val="333399"/>
          <w:u w:val="single"/>
        </w:rPr>
        <w:t xml:space="preserve">　　</w:t>
      </w:r>
    </w:p>
    <w:p>
      <w:pPr>
        <w:autoSpaceDE w:val="0"/>
        <w:autoSpaceDN w:val="0"/>
        <w:adjustRightInd w:val="0"/>
        <w:spacing w:afterLines="50" w:after="120" w:line="360" w:lineRule="exact"/>
        <w:ind w:firstLineChars="200" w:firstLine="420"/>
      </w:pPr>
      <w:r>
        <w:t>2025年3月28日，经本公司第九届董事会第十四次会议审议通过，以权益分派股权登记日总股本为基数，扣除2024年半年度已派发的0.23元/每股现金股利，本次派发现金股利0.54元/股（含税）</w:t>
      </w:r>
      <w:r>
        <w:rPr>
          <w:rFonts w:hint="eastAsia"/>
        </w:rPr>
        <w:t>。</w:t>
      </w:r>
    </w:p>
    <w:p>
      <w:pPr>
        <w:pStyle w:val="afffffffffffffffffffffffffffffffff0"/>
        <w:numPr>
          <w:ilvl w:val="0"/>
          <w:numId w:val="144"/>
        </w:numPr>
      </w:pPr>
      <w:r>
        <w:rPr>
          <w:rFonts w:hint="eastAsia"/>
          <w:szCs w:val="21"/>
        </w:rPr>
        <w:t>销售</w:t>
      </w:r>
      <w:r>
        <w:rPr>
          <w:rFonts w:hint="eastAsia"/>
        </w:rPr>
        <w:t>退回</w:t>
      </w:r>
    </w:p>
    <w:sdt>
      <w:sdtPr>
        <w:alias w:val="是否适用：销售退回[双击切换]"/>
        <w:tag w:val="_GBC_7fb2ecaa1ffb494486f4a8b2e94240d2"/>
        <w:id w:val="-1499105052"/>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0"/>
        <w:numPr>
          <w:ilvl w:val="0"/>
          <w:numId w:val="144"/>
        </w:numPr>
      </w:pPr>
      <w:r>
        <w:rPr>
          <w:rFonts w:hint="eastAsia"/>
        </w:rPr>
        <w:t>其他资产负债表日后事项说明</w:t>
      </w:r>
    </w:p>
    <w:sdt>
      <w:sdtPr>
        <w:rPr>
          <w:rFonts w:hint="eastAsia"/>
        </w:rPr>
        <w:alias w:val="是否适用：其他资产负债表日后事项说明[双击切换]"/>
        <w:tag w:val="_GBC_4fc0f824aaea4ed096cae3b9f97ff314"/>
        <w:id w:val="33750255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2"/>
        <w:numPr>
          <w:ilvl w:val="0"/>
          <w:numId w:val="155"/>
        </w:numPr>
      </w:pPr>
      <w:r>
        <w:rPr>
          <w:rFonts w:hint="eastAsia"/>
        </w:rPr>
        <w:t>其他重要事项</w:t>
      </w:r>
    </w:p>
    <w:p>
      <w:pPr>
        <w:pStyle w:val="afffffffffffffffffffffffffffffffff0"/>
        <w:numPr>
          <w:ilvl w:val="0"/>
          <w:numId w:val="145"/>
        </w:numPr>
      </w:pPr>
      <w:r>
        <w:rPr>
          <w:rFonts w:hint="eastAsia"/>
        </w:rPr>
        <w:t>前期会计差错更正</w:t>
      </w:r>
    </w:p>
    <w:p>
      <w:pPr>
        <w:pStyle w:val="afffffffffffffffffffffffffffffffff1"/>
        <w:numPr>
          <w:ilvl w:val="3"/>
          <w:numId w:val="146"/>
        </w:numPr>
        <w:ind w:left="426" w:hangingChars="202" w:hanging="426"/>
      </w:pPr>
      <w:r>
        <w:rPr>
          <w:rFonts w:hint="eastAsia"/>
        </w:rPr>
        <w:t>追溯重述法</w:t>
      </w:r>
    </w:p>
    <w:sdt>
      <w:sdtPr>
        <w:rPr>
          <w:rFonts w:hint="eastAsia"/>
          <w:szCs w:val="21"/>
        </w:rPr>
        <w:alias w:val="是否适用：追溯重述法[双击切换]"/>
        <w:tag w:val="_GBC_19d462bfe01047cd87b083dddf885193"/>
        <w:id w:val="17431327"/>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3"/>
          <w:numId w:val="146"/>
        </w:numPr>
        <w:ind w:left="426" w:hangingChars="202" w:hanging="426"/>
      </w:pPr>
      <w:r>
        <w:rPr>
          <w:rFonts w:hint="eastAsia"/>
        </w:rPr>
        <w:t>未来适用法</w:t>
      </w:r>
    </w:p>
    <w:sdt>
      <w:sdtPr>
        <w:alias w:val="是否适用：未来适用法[双击切换]"/>
        <w:tag w:val="_GBC_6fd6421ddf524335aa8fac02bc322e70"/>
        <w:id w:val="1081564148"/>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0"/>
        <w:numPr>
          <w:ilvl w:val="0"/>
          <w:numId w:val="145"/>
        </w:numPr>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205175205"/>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exact"/>
        <w:ind w:right="5"/>
        <w:rPr>
          <w:szCs w:val="21"/>
        </w:rPr>
      </w:pPr>
    </w:p>
    <w:p>
      <w:pPr>
        <w:rPr>
          <w:szCs w:val="21"/>
        </w:rPr>
      </w:pPr>
    </w:p>
    <w:p>
      <w:pPr>
        <w:pStyle w:val="afffffffffffffffffffffffffffffffff0"/>
        <w:numPr>
          <w:ilvl w:val="0"/>
          <w:numId w:val="145"/>
        </w:numPr>
      </w:pPr>
      <w:r>
        <w:rPr>
          <w:rFonts w:hint="eastAsia"/>
        </w:rPr>
        <w:t>资产置换</w:t>
      </w:r>
    </w:p>
    <w:p>
      <w:pPr>
        <w:pStyle w:val="afffffffffffffffffffffffffffffffff1"/>
        <w:numPr>
          <w:ilvl w:val="3"/>
          <w:numId w:val="147"/>
        </w:numPr>
        <w:ind w:left="426" w:hangingChars="202" w:hanging="426"/>
      </w:pPr>
      <w:r>
        <w:rPr>
          <w:rFonts w:hint="eastAsia"/>
        </w:rPr>
        <w:t>非货币性资产交换</w:t>
      </w:r>
    </w:p>
    <w:sdt>
      <w:sdtPr>
        <w:rPr>
          <w:rFonts w:hint="eastAsia"/>
          <w:szCs w:val="21"/>
        </w:rPr>
        <w:alias w:val="是否适用：非货币性资产交换[双击切换]"/>
        <w:tag w:val="_GBC_480975ada702478dae8a1468d6e0c3cd"/>
        <w:id w:val="1647232666"/>
        <w:placeholder>
          <w:docPart w:val="GBC22222222222222222222222222222"/>
        </w:placeholder>
      </w:sdtPr>
      <w:sdtContent>
        <w:p>
          <w:pPr>
            <w:spacing w:line="360" w:lineRule="exact"/>
            <w:ind w:right="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3"/>
          <w:numId w:val="147"/>
        </w:numPr>
        <w:ind w:left="426" w:hangingChars="202" w:hanging="426"/>
      </w:pPr>
      <w:r>
        <w:rPr>
          <w:rFonts w:hint="eastAsia"/>
        </w:rPr>
        <w:lastRenderedPageBreak/>
        <w:t>其他资产置换</w:t>
      </w:r>
    </w:p>
    <w:sdt>
      <w:sdtPr>
        <w:rPr>
          <w:rFonts w:hint="eastAsia"/>
          <w:szCs w:val="21"/>
        </w:rPr>
        <w:alias w:val="是否适用：其他资产置换[双击切换]"/>
        <w:tag w:val="_GBC_d4d75cf02549483681739e6eb10910ff"/>
        <w:id w:val="172270847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0"/>
        <w:numPr>
          <w:ilvl w:val="0"/>
          <w:numId w:val="145"/>
        </w:numPr>
      </w:pPr>
      <w:r>
        <w:rPr>
          <w:rFonts w:hint="eastAsia"/>
        </w:rPr>
        <w:t>年金计划</w:t>
      </w:r>
    </w:p>
    <w:sdt>
      <w:sdtPr>
        <w:alias w:val="是否适用：年金计划[双击切换]"/>
        <w:tag w:val="_GBC_7abcd6901bc848d8b58391e0ddd63034"/>
        <w:id w:val="-1758742467"/>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年金计划的说明"/>
        <w:tag w:val="_GBC_c6d896234c45444f94531f5e749f3198"/>
        <w:id w:val="1807436581"/>
        <w:placeholder>
          <w:docPart w:val="GBC22222222222222222222222222222"/>
        </w:placeholder>
      </w:sdtPr>
      <w:sdtContent>
        <w:p>
          <w:pPr>
            <w:autoSpaceDE w:val="0"/>
            <w:autoSpaceDN w:val="0"/>
            <w:adjustRightInd w:val="0"/>
            <w:spacing w:afterLines="50" w:after="120" w:line="360" w:lineRule="exact"/>
            <w:ind w:firstLineChars="200" w:firstLine="420"/>
          </w:pPr>
          <w:r>
            <w:rPr>
              <w:rFonts w:hint="eastAsia"/>
              <w:color w:val="000000" w:themeColor="text1"/>
            </w:rPr>
            <w:t>为</w:t>
          </w:r>
          <w:r>
            <w:rPr>
              <w:rFonts w:hint="eastAsia"/>
            </w:rPr>
            <w:t>保障和提高职工退休后的待遇水平，根据《企业年金办法》(人力资源和社会保障部令第36号)、《山东省国资委关于省管企业建立企业年金制度的指导意见》(鲁国资考核〔2017〕1号)等有关规定，本集团制定了企业年金的相关管理办法。</w:t>
          </w:r>
        </w:p>
        <w:p>
          <w:pPr>
            <w:autoSpaceDE w:val="0"/>
            <w:autoSpaceDN w:val="0"/>
            <w:adjustRightInd w:val="0"/>
            <w:spacing w:afterLines="50" w:after="120" w:line="360" w:lineRule="exact"/>
            <w:ind w:firstLineChars="200" w:firstLine="420"/>
          </w:pPr>
          <w:r>
            <w:rPr>
              <w:rFonts w:hint="eastAsia"/>
            </w:rPr>
            <w:t>集团年金缴费由单位和职工共同承担，单位缴费的列支渠道按照国家有关规定执行；职工个人缴费由单位从职工工资代扣代缴。企业缴费每年不超过本企业上年度职工工资总额的8%，企业和职工个人缴费合计不超过本企业上年度职工工资总额的12%。年金制度实施的初期，职工个人缴费部分最低不得低于企业为其缴费部分的四分之一,以后年度逐步提高,最终与企业缴费相匹配。新参加工作的职工在与企业签订劳动合同后、试用期满的次月起开始企业年金缴费，单位新调入的职工从调入单位发放工资的当月开始企业年金缴费。</w:t>
          </w:r>
        </w:p>
        <w:p>
          <w:pPr>
            <w:autoSpaceDE w:val="0"/>
            <w:autoSpaceDN w:val="0"/>
            <w:adjustRightInd w:val="0"/>
            <w:spacing w:afterLines="50" w:after="120" w:line="360" w:lineRule="exact"/>
            <w:ind w:firstLineChars="200" w:firstLine="420"/>
          </w:pPr>
          <w:r>
            <w:rPr>
              <w:rFonts w:hint="eastAsia"/>
            </w:rPr>
            <w:t>本集团企业年金采用法人受托管理模式，本集团所归集的企业年金基金由本集团公司人力资源服务中心委托受托人进行管理。个人账户下设单位缴费子账户和个人缴费子账户，分别记录单位缴费分配给职工个人的部分及其投资收益、职工个人缴费及其投资收益。职工企业年金个人账户中单位缴费及其投资收益，按一定规则归属于职工个人。未归属于职工个人的部分，记入企业账户。职工企业年金个人账户中个人缴费及其投资收益自始归属于职工个人。</w:t>
          </w:r>
        </w:p>
      </w:sdtContent>
    </w:sdt>
    <w:p>
      <w:pPr>
        <w:rPr>
          <w:szCs w:val="21"/>
        </w:rPr>
      </w:pPr>
    </w:p>
    <w:p>
      <w:pPr>
        <w:pStyle w:val="afffffffffffffffffffffffffffffffff0"/>
        <w:numPr>
          <w:ilvl w:val="0"/>
          <w:numId w:val="145"/>
        </w:numPr>
        <w:rPr>
          <w:rFonts w:ascii="宋体" w:hAnsi="宋体"/>
          <w:szCs w:val="21"/>
        </w:rPr>
      </w:pPr>
      <w:r>
        <w:rPr>
          <w:rFonts w:ascii="宋体" w:hAnsi="宋体" w:hint="eastAsia"/>
          <w:szCs w:val="21"/>
        </w:rPr>
        <w:t>终止经营</w:t>
      </w:r>
    </w:p>
    <w:p>
      <w:pPr>
        <w:rPr>
          <w:rFonts w:cstheme="minorBidi"/>
          <w:kern w:val="2"/>
          <w:szCs w:val="21"/>
        </w:rPr>
      </w:pPr>
      <w:sdt>
        <w:sdtPr>
          <w:alias w:val="是否适用：终止经营[双击切换]"/>
          <w:tag w:val="_GBC_667e81a5639a48488e957a55e45c7763"/>
          <w:id w:val="793026751"/>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rFonts w:cstheme="minorBidi"/>
          <w:kern w:val="2"/>
          <w:szCs w:val="21"/>
        </w:rPr>
      </w:pPr>
    </w:p>
    <w:p>
      <w:pPr>
        <w:rPr>
          <w:szCs w:val="21"/>
        </w:rPr>
        <w:sectPr>
          <w:pgSz w:w="11906" w:h="16838"/>
          <w:pgMar w:top="1525" w:right="1276" w:bottom="1440" w:left="1797" w:header="856" w:footer="992" w:gutter="0"/>
          <w:cols w:space="425"/>
          <w:docGrid w:linePitch="312"/>
        </w:sectPr>
      </w:pPr>
    </w:p>
    <w:p>
      <w:pPr>
        <w:rPr>
          <w:szCs w:val="21"/>
        </w:rPr>
      </w:pPr>
    </w:p>
    <w:p>
      <w:pPr>
        <w:pStyle w:val="afffffffffffffffffffffffffffffffff0"/>
        <w:numPr>
          <w:ilvl w:val="0"/>
          <w:numId w:val="145"/>
        </w:numPr>
        <w:rPr>
          <w:rFonts w:ascii="宋体" w:hAnsi="宋体"/>
          <w:szCs w:val="21"/>
        </w:rPr>
      </w:pPr>
      <w:r>
        <w:rPr>
          <w:rFonts w:ascii="宋体" w:hAnsi="宋体" w:hint="eastAsia"/>
          <w:szCs w:val="21"/>
        </w:rPr>
        <w:t>分部信息</w:t>
      </w:r>
    </w:p>
    <w:p>
      <w:pPr>
        <w:pStyle w:val="afffffffffffffffffffffffffffffffff1"/>
        <w:numPr>
          <w:ilvl w:val="3"/>
          <w:numId w:val="192"/>
        </w:numPr>
        <w:ind w:left="426" w:hangingChars="202" w:hanging="426"/>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68841217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3"/>
          <w:numId w:val="192"/>
        </w:numPr>
        <w:ind w:left="426" w:hangingChars="202" w:hanging="426"/>
      </w:pPr>
      <w:r>
        <w:rPr>
          <w:rFonts w:hint="eastAsia"/>
        </w:rPr>
        <w:t>报告分部的财务信息</w:t>
      </w:r>
    </w:p>
    <w:p>
      <w:pPr>
        <w:pStyle w:val="affffffffffffffffffffffffffffffffff4"/>
        <w:tabs>
          <w:tab w:val="left" w:pos="3020"/>
        </w:tabs>
        <w:ind w:firstLineChars="0" w:firstLine="0"/>
        <w:jc w:val="left"/>
        <w:rPr>
          <w:rFonts w:ascii="宋体" w:hAnsi="宋体"/>
          <w:szCs w:val="21"/>
        </w:rPr>
      </w:pPr>
      <w:sdt>
        <w:sdtPr>
          <w:rPr>
            <w:rFonts w:ascii="宋体" w:hAnsi="宋体" w:hint="eastAsia"/>
            <w:szCs w:val="21"/>
          </w:rPr>
          <w:alias w:val="是否适用：报告分部的财务信息[双击切换]"/>
          <w:tag w:val="_GBC_560c7b592f324714b8c87339e43684af"/>
          <w:id w:val="666984440"/>
          <w:placeholder>
            <w:docPart w:val="GBC22222222222222222222222222222"/>
          </w:placeholder>
        </w:sdtPr>
        <w:sdtContent>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sdtContent>
      </w:sdt>
      <w:r>
        <w:rPr>
          <w:rFonts w:ascii="宋体" w:hAnsi="宋体"/>
          <w:szCs w:val="21"/>
        </w:rPr>
        <w:tab/>
      </w:r>
    </w:p>
    <w:p>
      <w:pPr>
        <w:autoSpaceDE w:val="0"/>
        <w:autoSpaceDN w:val="0"/>
        <w:adjustRightInd w:val="0"/>
        <w:spacing w:afterLines="50" w:after="120" w:line="360" w:lineRule="exact"/>
        <w:ind w:firstLineChars="200" w:firstLine="420"/>
      </w:pPr>
      <w:r>
        <w:rPr>
          <w:rFonts w:hint="eastAsia"/>
        </w:rPr>
        <w:t>1</w:t>
      </w:r>
      <w:r>
        <w:t>.</w:t>
      </w:r>
      <w:r>
        <w:rPr>
          <w:rFonts w:hint="eastAsia"/>
        </w:rPr>
        <w:t>2</w:t>
      </w:r>
      <w:r>
        <w:t>024</w:t>
      </w:r>
      <w:r>
        <w:rPr>
          <w:rFonts w:hint="eastAsia"/>
        </w:rPr>
        <w:t>分部信息</w:t>
      </w:r>
    </w:p>
    <w:p>
      <w:pPr>
        <w:pStyle w:val="affffffffffffffffffffffffffffffffff4"/>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报告分部的财务信息"/>
          <w:tag w:val="_GBC_7605447fe81f42cb8fddf03d31f4d9f1"/>
          <w:id w:val="331547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千元</w:t>
          </w:r>
        </w:sdtContent>
      </w:sdt>
      <w:r>
        <w:rPr>
          <w:rFonts w:ascii="宋体" w:hAnsi="宋体" w:hint="eastAsia"/>
          <w:szCs w:val="21"/>
        </w:rPr>
        <w:t xml:space="preserve">  币种：</w:t>
      </w:r>
      <w:sdt>
        <w:sdtPr>
          <w:rPr>
            <w:rFonts w:ascii="宋体" w:hAnsi="宋体" w:hint="eastAsia"/>
            <w:szCs w:val="21"/>
          </w:rPr>
          <w:alias w:val="币种：财务附注：报告分部的财务信息"/>
          <w:tag w:val="_GBC_91822203e5c047ed9e288f2f546dc41a"/>
          <w:id w:val="-10334592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8"/>
        <w:gridCol w:w="1506"/>
        <w:gridCol w:w="1497"/>
        <w:gridCol w:w="1497"/>
        <w:gridCol w:w="1497"/>
        <w:gridCol w:w="1497"/>
        <w:gridCol w:w="1497"/>
        <w:gridCol w:w="1497"/>
        <w:gridCol w:w="1497"/>
      </w:tblGrid>
      <w:tr>
        <w:sdt>
          <w:sdtPr>
            <w:rPr>
              <w:szCs w:val="21"/>
            </w:rPr>
            <w:tag w:val="_PLD_8bb9bb00490c4a64b03d36d56a7709e9"/>
            <w:id w:val="-2055450603"/>
          </w:sdtPr>
          <w:sdtContent>
            <w:tc>
              <w:tcPr>
                <w:tcW w:w="677" w:type="pct"/>
                <w:tcBorders>
                  <w:top w:val="single" w:sz="4" w:space="0" w:color="auto"/>
                  <w:left w:val="single" w:sz="4" w:space="0" w:color="auto"/>
                  <w:bottom w:val="single" w:sz="4" w:space="0" w:color="auto"/>
                  <w:right w:val="single" w:sz="4" w:space="0" w:color="auto"/>
                </w:tcBorders>
                <w:shd w:val="clear" w:color="auto" w:fill="auto"/>
              </w:tcPr>
              <w:p>
                <w:pPr>
                  <w:jc w:val="center"/>
                  <w:rPr>
                    <w:szCs w:val="21"/>
                  </w:rPr>
                </w:pPr>
                <w:r>
                  <w:rPr>
                    <w:rFonts w:hint="eastAsia"/>
                    <w:szCs w:val="21"/>
                  </w:rPr>
                  <w:t>项目</w:t>
                </w:r>
              </w:p>
            </w:tc>
          </w:sdtContent>
        </w:sdt>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煤炭业务</w:t>
            </w:r>
          </w:p>
        </w:tc>
        <w:tc>
          <w:tcPr>
            <w:tcW w:w="540" w:type="pct"/>
            <w:tcBorders>
              <w:top w:val="single" w:sz="4" w:space="0" w:color="auto"/>
              <w:left w:val="single" w:sz="4" w:space="0" w:color="auto"/>
              <w:bottom w:val="single" w:sz="4" w:space="0" w:color="auto"/>
              <w:right w:val="single" w:sz="4" w:space="0" w:color="auto"/>
            </w:tcBorders>
            <w:vAlign w:val="center"/>
          </w:tcPr>
          <w:p>
            <w:pPr>
              <w:jc w:val="center"/>
              <w:rPr>
                <w:b/>
                <w:bCs/>
                <w:color w:val="000000"/>
                <w:szCs w:val="21"/>
              </w:rPr>
            </w:pPr>
            <w:r>
              <w:rPr>
                <w:rFonts w:hint="eastAsia"/>
                <w:b/>
                <w:bCs/>
                <w:color w:val="000000"/>
                <w:szCs w:val="21"/>
              </w:rPr>
              <w:t>煤化工及电力</w:t>
            </w:r>
          </w:p>
        </w:tc>
        <w:tc>
          <w:tcPr>
            <w:tcW w:w="540" w:type="pct"/>
            <w:tcBorders>
              <w:top w:val="single" w:sz="4" w:space="0" w:color="auto"/>
              <w:left w:val="single" w:sz="4" w:space="0" w:color="auto"/>
              <w:bottom w:val="single" w:sz="4" w:space="0" w:color="auto"/>
              <w:right w:val="single" w:sz="4" w:space="0" w:color="auto"/>
            </w:tcBorders>
            <w:vAlign w:val="center"/>
          </w:tcPr>
          <w:p>
            <w:pPr>
              <w:jc w:val="center"/>
              <w:rPr>
                <w:b/>
                <w:bCs/>
                <w:color w:val="000000"/>
                <w:szCs w:val="21"/>
              </w:rPr>
            </w:pPr>
            <w:r>
              <w:rPr>
                <w:rFonts w:hint="eastAsia"/>
                <w:b/>
                <w:bCs/>
                <w:color w:val="000000"/>
                <w:szCs w:val="21"/>
              </w:rPr>
              <w:t>矿用设备制造</w:t>
            </w:r>
          </w:p>
        </w:tc>
        <w:tc>
          <w:tcPr>
            <w:tcW w:w="540" w:type="pct"/>
            <w:tcBorders>
              <w:top w:val="single" w:sz="4" w:space="0" w:color="auto"/>
              <w:left w:val="single" w:sz="4" w:space="0" w:color="auto"/>
              <w:bottom w:val="single" w:sz="4" w:space="0" w:color="auto"/>
              <w:right w:val="single" w:sz="4" w:space="0" w:color="auto"/>
            </w:tcBorders>
            <w:vAlign w:val="center"/>
          </w:tcPr>
          <w:p>
            <w:pPr>
              <w:jc w:val="center"/>
              <w:rPr>
                <w:b/>
                <w:bCs/>
                <w:color w:val="000000"/>
                <w:szCs w:val="21"/>
              </w:rPr>
            </w:pPr>
            <w:r>
              <w:rPr>
                <w:rFonts w:hint="eastAsia"/>
                <w:b/>
                <w:bCs/>
                <w:color w:val="000000"/>
                <w:szCs w:val="21"/>
              </w:rPr>
              <w:t>非煤炭贸易及物流</w:t>
            </w:r>
          </w:p>
        </w:tc>
        <w:tc>
          <w:tcPr>
            <w:tcW w:w="540" w:type="pct"/>
            <w:tcBorders>
              <w:top w:val="single" w:sz="4" w:space="0" w:color="auto"/>
              <w:left w:val="single" w:sz="4" w:space="0" w:color="auto"/>
              <w:bottom w:val="single" w:sz="4" w:space="0" w:color="auto"/>
              <w:right w:val="single" w:sz="4" w:space="0" w:color="auto"/>
            </w:tcBorders>
            <w:vAlign w:val="center"/>
          </w:tcPr>
          <w:p>
            <w:pPr>
              <w:jc w:val="center"/>
              <w:rPr>
                <w:b/>
                <w:bCs/>
                <w:color w:val="000000"/>
                <w:szCs w:val="21"/>
              </w:rPr>
            </w:pPr>
            <w:r>
              <w:rPr>
                <w:rFonts w:hint="eastAsia"/>
                <w:b/>
                <w:bCs/>
                <w:color w:val="000000"/>
                <w:szCs w:val="21"/>
              </w:rPr>
              <w:t>贷款和融资租赁</w:t>
            </w:r>
          </w:p>
        </w:tc>
        <w:tc>
          <w:tcPr>
            <w:tcW w:w="540" w:type="pct"/>
            <w:tcBorders>
              <w:top w:val="single" w:sz="4" w:space="0" w:color="auto"/>
              <w:left w:val="single" w:sz="4" w:space="0" w:color="auto"/>
              <w:bottom w:val="single" w:sz="4" w:space="0" w:color="auto"/>
              <w:right w:val="single" w:sz="4" w:space="0" w:color="auto"/>
            </w:tcBorders>
            <w:vAlign w:val="center"/>
          </w:tcPr>
          <w:p>
            <w:pPr>
              <w:jc w:val="center"/>
              <w:rPr>
                <w:b/>
                <w:bCs/>
                <w:color w:val="000000"/>
                <w:szCs w:val="21"/>
              </w:rPr>
            </w:pPr>
            <w:r>
              <w:rPr>
                <w:rFonts w:hint="eastAsia"/>
                <w:b/>
                <w:bCs/>
                <w:color w:val="000000"/>
                <w:szCs w:val="21"/>
              </w:rPr>
              <w:t>未分配项目</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分部间抵销</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合计</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营业收入</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107,688,811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38,129,971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3,534,869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10,819,989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2,133,126</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19,668,674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42,851,006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139,124,434</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对外交易收入</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91,624,522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28,564,079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1,074,461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9,939,381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1,161,160</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6,760,831</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139,124,434</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分部间交易收入</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16,064,289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9,565,892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2,460,408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880,608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971,966</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12,907,843</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42,851,006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营业成本及费用</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78,218,124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32,691,594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3,394,715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10,645,915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899,219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18,330,496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31,912,765</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112,267,298</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对外销售成本</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53,554,024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19,600,598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494,293</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9,519,064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386,578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5,757,263</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89,311,820</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分部间销售成本</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15,937,627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9,565,892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2,460,407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880,609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252,982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12,682,974</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41,780,491</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期间费用及减值损失</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8,726,473</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3,525,104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440,015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246,242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259,659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-109,741</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-9,867,726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22,955,478</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营业利润(亏损)</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29,470,687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5,438,377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140,154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174,074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1,233,907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1,338,178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10,938,241</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26,857,136</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资产总额</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374,053,975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60,246,953</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5,435,558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14,136,830</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65,525,017</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64,871,376</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225,715,238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358,554,471</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负债总额</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232,923,960</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29,186,043</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2,457,931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6,827,722</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40,376,115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44,240,317</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130,467,877</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225,544,211</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补充信息</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折旧和摊销费用</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12,456,520</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3,179,053</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291,708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400,076</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74,609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1,490,687</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17,892,653</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折旧和摊销以外的非现金费用</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14,388</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-8,761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-811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-8,744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313,131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-29,945</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279,258</w:t>
            </w:r>
          </w:p>
        </w:tc>
      </w:tr>
      <w:tr>
        <w:tc>
          <w:tcPr>
            <w:tcW w:w="677"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资本性支出</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9,328,959</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464,331</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34,764</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83,675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7,900,335</w:t>
            </w:r>
          </w:p>
        </w:tc>
        <w:tc>
          <w:tcPr>
            <w:tcW w:w="540" w:type="pct"/>
            <w:tcBorders>
              <w:top w:val="single" w:sz="4" w:space="0" w:color="auto"/>
              <w:left w:val="single" w:sz="4" w:space="0" w:color="auto"/>
              <w:bottom w:val="single" w:sz="4" w:space="0" w:color="auto"/>
              <w:right w:val="single" w:sz="4" w:space="0" w:color="auto"/>
            </w:tcBorders>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1,342,780</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19,154,844</w:t>
            </w:r>
          </w:p>
        </w:tc>
      </w:tr>
    </w:tbl>
    <w:p>
      <w:pPr>
        <w:pStyle w:val="affffffffffffffffffffffffffffffffe"/>
      </w:pPr>
    </w:p>
    <w:p>
      <w:pPr>
        <w:pStyle w:val="affffffffffffffffffffffffffffffffe"/>
      </w:pPr>
    </w:p>
    <w:p>
      <w:pPr>
        <w:autoSpaceDE w:val="0"/>
        <w:autoSpaceDN w:val="0"/>
        <w:adjustRightInd w:val="0"/>
        <w:spacing w:afterLines="50" w:after="120" w:line="360" w:lineRule="exact"/>
        <w:ind w:firstLineChars="200" w:firstLine="420"/>
      </w:pPr>
      <w:r>
        <w:rPr>
          <w:rFonts w:hint="eastAsia"/>
        </w:rPr>
        <w:t xml:space="preserve"> </w:t>
      </w:r>
      <w:r>
        <w:t xml:space="preserve"> </w:t>
      </w:r>
      <w:r>
        <w:rPr>
          <w:rFonts w:hint="eastAsia"/>
        </w:rPr>
        <w:t>2</w:t>
      </w:r>
      <w:r>
        <w:t>.2023</w:t>
      </w:r>
      <w:r>
        <w:rPr>
          <w:rFonts w:hint="eastAsia"/>
        </w:rPr>
        <w:t>分部信息</w:t>
      </w:r>
    </w:p>
    <w:tbl>
      <w:tblPr>
        <w:tblStyle w:val="affffffffff8"/>
        <w:tblW w:w="5000" w:type="pct"/>
        <w:jc w:val="center"/>
        <w:tblCellMar>
          <w:left w:w="28" w:type="dxa"/>
          <w:right w:w="28" w:type="dxa"/>
        </w:tblCellMar>
        <w:tblLook w:val="04A0" w:firstRow="1" w:lastRow="0" w:firstColumn="1" w:lastColumn="0" w:noHBand="0" w:noVBand="1"/>
      </w:tblPr>
      <w:tblGrid>
        <w:gridCol w:w="2884"/>
        <w:gridCol w:w="1323"/>
        <w:gridCol w:w="982"/>
        <w:gridCol w:w="1225"/>
        <w:gridCol w:w="1128"/>
        <w:gridCol w:w="1225"/>
        <w:gridCol w:w="1225"/>
        <w:gridCol w:w="1225"/>
        <w:gridCol w:w="1323"/>
        <w:gridCol w:w="1323"/>
      </w:tblGrid>
      <w:tr>
        <w:trPr>
          <w:trHeight w:val="397"/>
          <w:tblHeader/>
          <w:jc w:val="center"/>
        </w:trPr>
        <w:tc>
          <w:tcPr>
            <w:tcW w:w="104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煤炭业务</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铁运业务</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煤化工、电力及热力</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矿用设备</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非煤炭贸易</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贷款和融资租赁</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未分配项目</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分部间抵销</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b/>
                <w:bCs/>
                <w:color w:val="000000"/>
                <w:szCs w:val="21"/>
              </w:rPr>
            </w:pPr>
            <w:r>
              <w:rPr>
                <w:rFonts w:hint="eastAsia"/>
                <w:b/>
                <w:bCs/>
                <w:color w:val="000000"/>
                <w:szCs w:val="21"/>
              </w:rPr>
              <w:t>合计</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营业收入</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115,069,266</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573,573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40,969,148</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3,249,651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10,465,531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2,356,477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17,939,312</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40,555,020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150,067,938</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对外交易收入</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102,019,064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478,114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29,855,761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690,972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10,419,283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1,392,268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5,212,476</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150,067,938</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分部间交易收入</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13,050,202</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95,459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11,113,387</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2,558,679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46,248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964,209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12,726,836</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40,555,020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营业成本及费用</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70,950,133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358,500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39,621,471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3,208,248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10,535,674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1,179,353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16,315,274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29,068,337</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113,100,316</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对外销售成本</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49,408,895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266,656</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24,506,109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178,869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10,364,669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568,645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3,784,776</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89,078,619</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分部间销售成本</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12,763,595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91,485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11,079,882</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2,558,679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46,248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226,463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12,581,685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39,348,037</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期间费用及减值损失</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8,777,643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4,035,480</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470,700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124,757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384,245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-51,187</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-10,279,700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24,021,697</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营业利润(亏损)</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44,119,133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215,073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1,347,677</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41,403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-70,143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1,177,124</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1,624,038</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11,486,683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36,967,622</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资产总额</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366,330,799</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7,191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67,476,261</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4,101,455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4,640,728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69,358,545</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46,288,934</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203,739,579</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354,464,334</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负债总额</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231,303,883</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3,747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33,383,876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2,367,688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3,672,518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43,037,519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32,294,286</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110,081,793</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235,981,724</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补充信息</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折旧和摊销费用</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11,958,265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351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3,671,929</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246,198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2,860</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31,042</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932,008</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16,842,653</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折旧和摊销以外的非现金费用</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77,304</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45,243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5,037</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15,509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-234,133</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185</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-90,852</w:t>
            </w:r>
          </w:p>
        </w:tc>
      </w:tr>
      <w:tr>
        <w:trPr>
          <w:trHeight w:val="397"/>
          <w:jc w:val="center"/>
        </w:trPr>
        <w:tc>
          <w:tcPr>
            <w:tcW w:w="1040" w:type="pct"/>
            <w:tcBorders>
              <w:top w:val="single" w:sz="4" w:space="0" w:color="auto"/>
              <w:left w:val="single" w:sz="4" w:space="0" w:color="auto"/>
              <w:bottom w:val="single" w:sz="4" w:space="0" w:color="auto"/>
              <w:right w:val="single" w:sz="4" w:space="0" w:color="auto"/>
            </w:tcBorders>
            <w:shd w:val="clear" w:color="auto" w:fill="auto"/>
            <w:noWrap/>
            <w:vAlign w:val="center"/>
          </w:tcPr>
          <w:p>
            <w:pPr>
              <w:rPr>
                <w:color w:val="000000"/>
                <w:szCs w:val="21"/>
              </w:rPr>
            </w:pPr>
            <w:r>
              <w:rPr>
                <w:rFonts w:hint="eastAsia"/>
                <w:color w:val="000000"/>
                <w:szCs w:val="21"/>
              </w:rPr>
              <w:t>资本性支出</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9,228,715</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178</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1,907,773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80,461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16,191</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5,869,359</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1,088,410</w:t>
            </w: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p>
        </w:tc>
        <w:tc>
          <w:tcPr>
            <w:tcW w:w="477"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rFonts w:asciiTheme="minorEastAsia" w:eastAsiaTheme="minorEastAsia" w:hAnsiTheme="minorEastAsia"/>
                <w:color w:val="000000"/>
                <w:szCs w:val="21"/>
              </w:rPr>
            </w:pPr>
            <w:r>
              <w:rPr>
                <w:rFonts w:asciiTheme="minorEastAsia" w:eastAsiaTheme="minorEastAsia" w:hAnsiTheme="minorEastAsia"/>
                <w:szCs w:val="21"/>
              </w:rPr>
              <w:t>18,191,087</w:t>
            </w:r>
          </w:p>
        </w:tc>
      </w:tr>
    </w:tbl>
    <w:p>
      <w:pPr>
        <w:pStyle w:val="affffffffffffffffffffffffffffffffe"/>
      </w:pPr>
    </w:p>
    <w:p>
      <w:pPr>
        <w:pStyle w:val="afffffffffffffffffffffffffffffffff1"/>
        <w:numPr>
          <w:ilvl w:val="3"/>
          <w:numId w:val="192"/>
        </w:numPr>
        <w:ind w:left="426" w:hangingChars="202" w:hanging="426"/>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2133977637"/>
        <w:placeholder>
          <w:docPart w:val="GBC22222222222222222222222222222"/>
        </w:placeholder>
      </w:sdtPr>
      <w:sdtContent>
        <w:p>
          <w:pPr>
            <w:jc w:val="both"/>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1"/>
        <w:numPr>
          <w:ilvl w:val="3"/>
          <w:numId w:val="192"/>
        </w:numPr>
        <w:ind w:left="426" w:hangingChars="202" w:hanging="426"/>
      </w:pPr>
      <w:r>
        <w:rPr>
          <w:rFonts w:hint="eastAsia"/>
        </w:rPr>
        <w:lastRenderedPageBreak/>
        <w:t>其他说明</w:t>
      </w:r>
    </w:p>
    <w:sdt>
      <w:sdtPr>
        <w:rPr>
          <w:rFonts w:hint="eastAsia"/>
          <w:szCs w:val="21"/>
        </w:rPr>
        <w:alias w:val="是否适用：分部信息的其他说明[双击切换]"/>
        <w:tag w:val="_GBC_a7173613038248df8d31b8ffe91e1e27"/>
        <w:id w:val="-215279405"/>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sectPr>
          <w:pgSz w:w="16838" w:h="11906" w:orient="landscape"/>
          <w:pgMar w:top="1797" w:right="1525" w:bottom="1276" w:left="1440" w:header="856" w:footer="992" w:gutter="0"/>
          <w:cols w:space="425"/>
          <w:docGrid w:linePitch="312"/>
        </w:sectPr>
      </w:pPr>
    </w:p>
    <w:p>
      <w:pPr>
        <w:rPr>
          <w:szCs w:val="21"/>
        </w:rPr>
      </w:pPr>
    </w:p>
    <w:p>
      <w:pPr>
        <w:pStyle w:val="afffffffffffffffffffffffffffffffff0"/>
        <w:numPr>
          <w:ilvl w:val="0"/>
          <w:numId w:val="145"/>
        </w:numPr>
      </w:pPr>
      <w:r>
        <w:rPr>
          <w:rFonts w:ascii="宋体" w:hAnsi="宋体" w:cs="宋体" w:hint="eastAsia"/>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291747486"/>
        <w:placeholder>
          <w:docPart w:val="GBC22222222222222222222222222222"/>
        </w:placeholder>
      </w:sdtPr>
      <w:sdtContent>
        <w:p>
          <w:pPr>
            <w:spacing w:line="360" w:lineRule="exac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45"/>
        </w:numPr>
        <w:rPr>
          <w:szCs w:val="21"/>
        </w:rPr>
      </w:pPr>
      <w:r>
        <w:rPr>
          <w:rFonts w:ascii="宋体" w:hAnsi="宋体" w:hint="eastAsia"/>
          <w:szCs w:val="21"/>
        </w:rPr>
        <w:t>其他</w:t>
      </w:r>
    </w:p>
    <w:sdt>
      <w:sdtPr>
        <w:rPr>
          <w:rFonts w:hint="eastAsia"/>
          <w:szCs w:val="21"/>
        </w:rPr>
        <w:alias w:val="是否适用：其他重要事项的说明[双击切换]"/>
        <w:tag w:val="_GBC_fb43f52ac5bc49a4b33e34d6b1758f09"/>
        <w:id w:val="80467088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2"/>
        <w:numPr>
          <w:ilvl w:val="0"/>
          <w:numId w:val="155"/>
        </w:numPr>
        <w:rPr>
          <w:rFonts w:ascii="宋体" w:hAnsi="宋体"/>
        </w:rPr>
      </w:pPr>
      <w:r>
        <w:rPr>
          <w:rFonts w:ascii="宋体" w:hAnsi="宋体" w:hint="eastAsia"/>
        </w:rPr>
        <w:t>母公司财务报表主要项目注释</w:t>
      </w:r>
    </w:p>
    <w:p>
      <w:pPr>
        <w:pStyle w:val="afffffffffffffffffffffffffffffffff0"/>
        <w:numPr>
          <w:ilvl w:val="0"/>
          <w:numId w:val="148"/>
        </w:numPr>
      </w:pPr>
      <w:r>
        <w:rPr>
          <w:rFonts w:ascii="宋体" w:hAnsi="宋体" w:hint="eastAsia"/>
          <w:szCs w:val="21"/>
        </w:rPr>
        <w:t>应收账款</w:t>
      </w:r>
    </w:p>
    <w:p>
      <w:pPr>
        <w:pStyle w:val="affffffffffffffffff7"/>
        <w:numPr>
          <w:ilvl w:val="3"/>
          <w:numId w:val="193"/>
        </w:numPr>
        <w:ind w:left="426" w:hangingChars="202" w:hanging="426"/>
      </w:pPr>
      <w:bookmarkStart w:id="505" w:name="_Hlk533796665"/>
      <w:r>
        <w:rPr>
          <w:rFonts w:hint="eastAsia"/>
        </w:rPr>
        <w:t>按账龄披露</w:t>
      </w:r>
    </w:p>
    <w:sdt>
      <w:sdtPr>
        <w:alias w:val="是否适用：母公司应收账款按账龄披露[双击切换]"/>
        <w:tag w:val="_GBC_dafcd7d733014c4a8aaa9a9a4b6c92f1"/>
        <w:id w:val="1792854219"/>
      </w:sdtPr>
      <w:sdtContent>
        <w:p>
          <w:pPr>
            <w:pStyle w:val="affffffffffffffffff3"/>
          </w:pPr>
          <w:r>
            <w:fldChar w:fldCharType="begin"/>
          </w:r>
          <w:r>
            <w:instrText xml:space="preserve"> 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应收账款按账龄披露"/>
          <w:tag w:val="_GBC_6f3238355b1f4a02b89a4d1aa10b0026"/>
          <w:id w:val="1842585706"/>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应收账款按账龄披露"/>
          <w:tag w:val="_GBC_c255ef872ced4f4ba9701062491ddd60"/>
          <w:id w:val="1612323050"/>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3"/>
        <w:gridCol w:w="2975"/>
        <w:gridCol w:w="2975"/>
      </w:tblGrid>
      <w:tr>
        <w:trPr>
          <w:cantSplit/>
        </w:trPr>
        <w:sdt>
          <w:sdtPr>
            <w:rPr>
              <w:szCs w:val="21"/>
            </w:rPr>
            <w:tag w:val="_PLD_91f1d8bffa9649c89e109fe838d32207"/>
            <w:id w:val="687717745"/>
          </w:sdtPr>
          <w:sdtContent>
            <w:tc>
              <w:tcPr>
                <w:tcW w:w="1628"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账龄</w:t>
                </w:r>
              </w:p>
            </w:tc>
          </w:sdtContent>
        </w:sdt>
        <w:sdt>
          <w:sdtPr>
            <w:rPr>
              <w:szCs w:val="21"/>
            </w:rPr>
            <w:tag w:val="_PLD_6b7aa27e99b34e1eb61af3bd12c578d2"/>
            <w:id w:val="42646846"/>
          </w:sdtPr>
          <w:sdtContent>
            <w:tc>
              <w:tcPr>
                <w:tcW w:w="168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期末账面余额</w:t>
                </w:r>
              </w:p>
            </w:tc>
          </w:sdtContent>
        </w:sdt>
        <w:sdt>
          <w:sdtPr>
            <w:rPr>
              <w:szCs w:val="21"/>
            </w:rPr>
            <w:tag w:val="_PLD_0e2d3c046f184578857e4606189d40ef"/>
            <w:id w:val="1668441584"/>
          </w:sdtPr>
          <w:sdtContent>
            <w:tc>
              <w:tcPr>
                <w:tcW w:w="1686" w:type="pct"/>
                <w:tcBorders>
                  <w:top w:val="single" w:sz="4" w:space="0" w:color="auto"/>
                  <w:left w:val="single" w:sz="4" w:space="0" w:color="auto"/>
                  <w:bottom w:val="single" w:sz="4" w:space="0" w:color="auto"/>
                  <w:right w:val="single" w:sz="4" w:space="0" w:color="auto"/>
                </w:tcBorders>
              </w:tcPr>
              <w:p>
                <w:pPr>
                  <w:jc w:val="center"/>
                  <w:rPr>
                    <w:szCs w:val="21"/>
                  </w:rPr>
                </w:pPr>
                <w:r>
                  <w:rPr>
                    <w:rFonts w:hint="eastAsia"/>
                    <w:szCs w:val="21"/>
                  </w:rPr>
                  <w:t>期初账面余额</w:t>
                </w:r>
              </w:p>
            </w:tc>
          </w:sdtContent>
        </w:sdt>
      </w:tr>
      <w:tr>
        <w:trPr>
          <w:cantSplit/>
        </w:trPr>
        <w:sdt>
          <w:sdtPr>
            <w:rPr>
              <w:szCs w:val="21"/>
            </w:rPr>
            <w:tag w:val="_PLD_8b2cd7286fc64ae28d76518258aa2e12"/>
            <w:id w:val="103080056"/>
          </w:sdtPr>
          <w:sdtContent>
            <w:tc>
              <w:tcPr>
                <w:tcW w:w="5000" w:type="pct"/>
                <w:gridSpan w:val="3"/>
                <w:tcBorders>
                  <w:top w:val="single" w:sz="4" w:space="0" w:color="auto"/>
                  <w:left w:val="single" w:sz="4" w:space="0" w:color="auto"/>
                  <w:bottom w:val="single" w:sz="4" w:space="0" w:color="auto"/>
                  <w:right w:val="single" w:sz="4" w:space="0" w:color="auto"/>
                </w:tcBorders>
              </w:tcPr>
              <w:p>
                <w:pPr>
                  <w:rPr>
                    <w:color w:val="FF0000"/>
                    <w:szCs w:val="21"/>
                  </w:rPr>
                </w:pPr>
                <w:r>
                  <w:rPr>
                    <w:rFonts w:hint="eastAsia"/>
                    <w:szCs w:val="21"/>
                  </w:rPr>
                  <w:t>1年以内</w:t>
                </w:r>
              </w:p>
            </w:tc>
          </w:sdtContent>
        </w:sdt>
      </w:tr>
      <w:tr>
        <w:trPr>
          <w:cantSplit/>
        </w:trPr>
        <w:sdt>
          <w:sdtPr>
            <w:rPr>
              <w:szCs w:val="21"/>
            </w:rPr>
            <w:tag w:val="_PLD_12bbe8e17abf436ea88dfd2c1fa58d3a"/>
            <w:id w:val="-998802670"/>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1年以内小计</w:t>
                </w:r>
              </w:p>
            </w:tc>
          </w:sdtContent>
        </w:sdt>
        <w:tc>
          <w:tcPr>
            <w:tcW w:w="16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1,458,498</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2,047,380</w:t>
            </w:r>
          </w:p>
        </w:tc>
      </w:tr>
      <w:tr>
        <w:trPr>
          <w:cantSplit/>
        </w:trPr>
        <w:sdt>
          <w:sdtPr>
            <w:rPr>
              <w:szCs w:val="21"/>
            </w:rPr>
            <w:tag w:val="_PLD_770311c9e2414ee5bfe8ce496ed8934e"/>
            <w:id w:val="-973983431"/>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1至2年</w:t>
                </w:r>
              </w:p>
            </w:tc>
          </w:sdtContent>
        </w:sdt>
        <w:tc>
          <w:tcPr>
            <w:tcW w:w="16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822,458</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38,841</w:t>
            </w:r>
          </w:p>
        </w:tc>
      </w:tr>
      <w:tr>
        <w:trPr>
          <w:cantSplit/>
        </w:trPr>
        <w:sdt>
          <w:sdtPr>
            <w:rPr>
              <w:szCs w:val="21"/>
            </w:rPr>
            <w:tag w:val="_PLD_d4549a61d17e484fa031071f1a709d42"/>
            <w:id w:val="-1717424617"/>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2至3年</w:t>
                </w:r>
              </w:p>
            </w:tc>
          </w:sdtContent>
        </w:sdt>
        <w:tc>
          <w:tcPr>
            <w:tcW w:w="16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35,386</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15,501</w:t>
            </w:r>
          </w:p>
        </w:tc>
      </w:tr>
      <w:tr>
        <w:trPr>
          <w:cantSplit/>
        </w:trPr>
        <w:sdt>
          <w:sdtPr>
            <w:rPr>
              <w:szCs w:val="21"/>
            </w:rPr>
            <w:tag w:val="_PLD_7b472598ecb14341858feaa4f0627d94"/>
            <w:id w:val="1984971607"/>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3年以上</w:t>
                </w:r>
              </w:p>
            </w:tc>
          </w:sdtContent>
        </w:sdt>
        <w:tc>
          <w:tcPr>
            <w:tcW w:w="16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249,513</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272,176</w:t>
            </w:r>
          </w:p>
        </w:tc>
      </w:tr>
      <w:tr>
        <w:trPr>
          <w:cantSplit/>
        </w:trPr>
        <w:sdt>
          <w:sdtPr>
            <w:rPr>
              <w:szCs w:val="21"/>
            </w:rPr>
            <w:tag w:val="_PLD_52511f8f7dbb433cb0b535c4f79f2a0c"/>
            <w:id w:val="-1081221160"/>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3至4年</w:t>
                </w:r>
              </w:p>
            </w:tc>
          </w:sdtContent>
        </w:sdt>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r>
        <w:trPr>
          <w:cantSplit/>
        </w:trPr>
        <w:sdt>
          <w:sdtPr>
            <w:rPr>
              <w:szCs w:val="21"/>
            </w:rPr>
            <w:tag w:val="_PLD_24e1c2b720934bc0803708b3fd1f9097"/>
            <w:id w:val="-606191090"/>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4至5年</w:t>
                </w:r>
              </w:p>
            </w:tc>
          </w:sdtContent>
        </w:sdt>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r>
        <w:trPr>
          <w:cantSplit/>
        </w:trPr>
        <w:sdt>
          <w:sdtPr>
            <w:rPr>
              <w:szCs w:val="21"/>
            </w:rPr>
            <w:tag w:val="_PLD_b95f8699bfb74f6ca6bc34d75d8d09c4"/>
            <w:id w:val="1961763273"/>
          </w:sdtPr>
          <w:sdtContent>
            <w:tc>
              <w:tcPr>
                <w:tcW w:w="1628" w:type="pct"/>
                <w:tcBorders>
                  <w:top w:val="single" w:sz="4" w:space="0" w:color="auto"/>
                  <w:left w:val="single" w:sz="4" w:space="0" w:color="auto"/>
                  <w:bottom w:val="single" w:sz="4" w:space="0" w:color="auto"/>
                  <w:right w:val="single" w:sz="4" w:space="0" w:color="auto"/>
                </w:tcBorders>
              </w:tcPr>
              <w:p>
                <w:pPr>
                  <w:rPr>
                    <w:szCs w:val="21"/>
                  </w:rPr>
                </w:pPr>
                <w:r>
                  <w:rPr>
                    <w:rFonts w:hint="eastAsia"/>
                    <w:szCs w:val="21"/>
                  </w:rPr>
                  <w:t>5年以上</w:t>
                </w:r>
              </w:p>
            </w:tc>
          </w:sdtContent>
        </w:sdt>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w:t>
            </w:r>
          </w:p>
        </w:tc>
      </w:tr>
      <w:tr>
        <w:trPr>
          <w:cantSplit/>
        </w:trPr>
        <w:sdt>
          <w:sdtPr>
            <w:rPr>
              <w:szCs w:val="21"/>
            </w:rPr>
            <w:tag w:val="_PLD_650b2e3c1b454a1892402dcf793c6c03"/>
            <w:id w:val="1516419965"/>
          </w:sdtPr>
          <w:sdtContent>
            <w:tc>
              <w:tcPr>
                <w:tcW w:w="1628"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sdtContent>
        </w:sdt>
        <w:tc>
          <w:tcPr>
            <w:tcW w:w="1686" w:type="pct"/>
            <w:tcBorders>
              <w:top w:val="single" w:sz="4" w:space="0" w:color="auto"/>
              <w:left w:val="single" w:sz="4" w:space="0" w:color="auto"/>
              <w:bottom w:val="single" w:sz="4" w:space="0" w:color="auto"/>
              <w:right w:val="single" w:sz="4" w:space="0" w:color="auto"/>
            </w:tcBorders>
          </w:tcPr>
          <w:p>
            <w:pPr>
              <w:jc w:val="right"/>
              <w:rPr>
                <w:szCs w:val="21"/>
              </w:rPr>
            </w:pPr>
            <w:r>
              <w:rPr>
                <w:rFonts w:hint="eastAsia"/>
                <w:szCs w:val="21"/>
              </w:rPr>
              <w:t>2,565,855</w:t>
            </w:r>
          </w:p>
        </w:tc>
        <w:tc>
          <w:tcPr>
            <w:tcW w:w="1686"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rFonts w:hint="eastAsia"/>
                <w:szCs w:val="21"/>
              </w:rPr>
              <w:t>2,373,898</w:t>
            </w:r>
          </w:p>
        </w:tc>
      </w:tr>
    </w:tbl>
    <w:p>
      <w:pPr>
        <w:pStyle w:val="affffffffffffffffff3"/>
      </w:pPr>
    </w:p>
    <w:p>
      <w:pPr>
        <w:pStyle w:val="affffffffffffffffffffffffffffffffe"/>
      </w:pPr>
    </w:p>
    <w:p>
      <w:pPr>
        <w:pStyle w:val="afffffffffffffffffffffffffffffffff1"/>
        <w:numPr>
          <w:ilvl w:val="3"/>
          <w:numId w:val="193"/>
        </w:numPr>
        <w:ind w:left="426" w:hangingChars="202" w:hanging="426"/>
      </w:pPr>
      <w:bookmarkStart w:id="506" w:name="_Hlk533796703"/>
      <w:bookmarkEnd w:id="505"/>
      <w:r>
        <w:rPr>
          <w:rFonts w:hint="eastAsia"/>
        </w:rPr>
        <w:t>按坏账计提方法分类披露</w:t>
      </w:r>
    </w:p>
    <w:sdt>
      <w:sdtPr>
        <w:alias w:val="是否适用：母公司应收账款按坏账计提方法分类披露[双击切换]"/>
        <w:tag w:val="_GBC_7881b37ba62844928bb3a0f84fa1312c"/>
        <w:id w:val="52429523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10899911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母公司应收账款按坏账计提方法分类披露"/>
          <w:tag w:val="_GBC_b8d2fec8e15e43c8b9a141c04cb5fea0"/>
          <w:id w:val="-20119766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161"/>
        <w:gridCol w:w="531"/>
        <w:gridCol w:w="951"/>
        <w:gridCol w:w="531"/>
        <w:gridCol w:w="1161"/>
        <w:gridCol w:w="1161"/>
        <w:gridCol w:w="531"/>
        <w:gridCol w:w="951"/>
        <w:gridCol w:w="531"/>
        <w:gridCol w:w="1407"/>
      </w:tblGrid>
      <w:tr>
        <w:trPr>
          <w:cantSplit/>
          <w:trHeight w:val="259"/>
          <w:jc w:val="center"/>
        </w:trPr>
        <w:sdt>
          <w:sdtPr>
            <w:rPr>
              <w:szCs w:val="21"/>
            </w:rPr>
            <w:tag w:val="_PLD_0b6f94bf734a49f28ff9eb2211eccc4e"/>
            <w:id w:val="368191796"/>
          </w:sdtPr>
          <w:sdtContent>
            <w:tc>
              <w:tcPr>
                <w:tcW w:w="751"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类别</w:t>
                </w:r>
              </w:p>
            </w:tc>
          </w:sdtContent>
        </w:sdt>
        <w:sdt>
          <w:sdtPr>
            <w:rPr>
              <w:szCs w:val="21"/>
            </w:rPr>
            <w:tag w:val="_PLD_cadda055920649559b4578dc73b6f05e"/>
            <w:id w:val="200208632"/>
          </w:sdtPr>
          <w:sdtContent>
            <w:tc>
              <w:tcPr>
                <w:tcW w:w="2066"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rPr>
              <w:szCs w:val="21"/>
            </w:rPr>
            <w:tag w:val="_PLD_28a8aaa48276458aa987282704951cc5"/>
            <w:id w:val="-861581811"/>
          </w:sdtPr>
          <w:sdtContent>
            <w:tc>
              <w:tcPr>
                <w:tcW w:w="2183" w:type="pct"/>
                <w:gridSpan w:val="5"/>
                <w:tcBorders>
                  <w:top w:val="single" w:sz="4" w:space="0" w:color="auto"/>
                  <w:left w:val="single" w:sz="4" w:space="0" w:color="auto"/>
                  <w:right w:val="single" w:sz="4" w:space="0" w:color="auto"/>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rPr>
          <w:cantSplit/>
          <w:trHeight w:val="227"/>
          <w:jc w:val="center"/>
        </w:trPr>
        <w:tc>
          <w:tcPr>
            <w:tcW w:w="751" w:type="pct"/>
            <w:vMerge/>
            <w:tcBorders>
              <w:left w:val="single" w:sz="4" w:space="0" w:color="auto"/>
              <w:right w:val="single" w:sz="4" w:space="0" w:color="auto"/>
            </w:tcBorders>
            <w:vAlign w:val="center"/>
          </w:tcPr>
          <w:p>
            <w:pPr>
              <w:rPr>
                <w:szCs w:val="21"/>
              </w:rPr>
            </w:pPr>
          </w:p>
        </w:tc>
        <w:sdt>
          <w:sdtPr>
            <w:rPr>
              <w:szCs w:val="21"/>
            </w:rPr>
            <w:tag w:val="_PLD_b6e4cad360f948d68bd5af2c3f52e83a"/>
            <w:id w:val="-1537189439"/>
          </w:sdtPr>
          <w:sdtContent>
            <w:tc>
              <w:tcPr>
                <w:tcW w:w="806"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1812a70770914fa4b8145f493ad4c468"/>
            <w:id w:val="-1671860007"/>
          </w:sdtPr>
          <w:sdtContent>
            <w:tc>
              <w:tcPr>
                <w:tcW w:w="706"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坏账准备</w:t>
                </w:r>
              </w:p>
            </w:tc>
          </w:sdtContent>
        </w:sdt>
        <w:sdt>
          <w:sdtPr>
            <w:rPr>
              <w:szCs w:val="21"/>
            </w:rPr>
            <w:tag w:val="_PLD_970be2ae3a84456bb0feb4eb360d2b2f"/>
            <w:id w:val="-2097940003"/>
          </w:sdtPr>
          <w:sdtContent>
            <w:tc>
              <w:tcPr>
                <w:tcW w:w="553"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rPr>
              <w:szCs w:val="21"/>
            </w:rPr>
            <w:tag w:val="_PLD_be04f05fbfa341e1a7546ee304164c92"/>
            <w:id w:val="-182670369"/>
          </w:sdtPr>
          <w:sdtContent>
            <w:tc>
              <w:tcPr>
                <w:tcW w:w="806"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账面余额</w:t>
                </w:r>
              </w:p>
            </w:tc>
          </w:sdtContent>
        </w:sdt>
        <w:sdt>
          <w:sdtPr>
            <w:rPr>
              <w:szCs w:val="21"/>
            </w:rPr>
            <w:tag w:val="_PLD_708baf88b6ab4f6ca208582ef2033d3e"/>
            <w:id w:val="-161244273"/>
          </w:sdtPr>
          <w:sdtContent>
            <w:tc>
              <w:tcPr>
                <w:tcW w:w="706" w:type="pct"/>
                <w:gridSpan w:val="2"/>
                <w:tcBorders>
                  <w:top w:val="single" w:sz="4" w:space="0" w:color="auto"/>
                  <w:left w:val="single" w:sz="4" w:space="0" w:color="auto"/>
                  <w:right w:val="single" w:sz="4" w:space="0" w:color="auto"/>
                </w:tcBorders>
                <w:vAlign w:val="center"/>
              </w:tcPr>
              <w:p>
                <w:pPr>
                  <w:jc w:val="center"/>
                  <w:rPr>
                    <w:szCs w:val="21"/>
                  </w:rPr>
                </w:pPr>
                <w:r>
                  <w:rPr>
                    <w:rFonts w:hint="eastAsia"/>
                    <w:szCs w:val="21"/>
                  </w:rPr>
                  <w:t>坏账准备</w:t>
                </w:r>
              </w:p>
            </w:tc>
          </w:sdtContent>
        </w:sdt>
        <w:sdt>
          <w:sdtPr>
            <w:rPr>
              <w:szCs w:val="21"/>
            </w:rPr>
            <w:tag w:val="_PLD_7c2453d3d43547428eaaafae8df8b7d0"/>
            <w:id w:val="439261813"/>
          </w:sdtPr>
          <w:sdtContent>
            <w:tc>
              <w:tcPr>
                <w:tcW w:w="670" w:type="pct"/>
                <w:vMerge w:val="restart"/>
                <w:tcBorders>
                  <w:top w:val="single" w:sz="4" w:space="0" w:color="auto"/>
                  <w:left w:val="single" w:sz="4" w:space="0" w:color="auto"/>
                  <w:right w:val="single" w:sz="4" w:space="0" w:color="auto"/>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rPr>
          <w:cantSplit/>
          <w:trHeight w:val="375"/>
          <w:jc w:val="center"/>
        </w:trPr>
        <w:tc>
          <w:tcPr>
            <w:tcW w:w="751" w:type="pct"/>
            <w:vMerge/>
            <w:tcBorders>
              <w:left w:val="single" w:sz="4" w:space="0" w:color="auto"/>
              <w:bottom w:val="single" w:sz="4" w:space="0" w:color="auto"/>
              <w:right w:val="single" w:sz="4" w:space="0" w:color="auto"/>
            </w:tcBorders>
            <w:vAlign w:val="center"/>
          </w:tcPr>
          <w:p>
            <w:pPr>
              <w:rPr>
                <w:szCs w:val="21"/>
              </w:rPr>
            </w:pPr>
          </w:p>
        </w:tc>
        <w:sdt>
          <w:sdtPr>
            <w:rPr>
              <w:szCs w:val="21"/>
            </w:rPr>
            <w:tag w:val="_PLD_c5c981ae53b144af90139d228c5285af"/>
            <w:id w:val="-484699850"/>
          </w:sdtPr>
          <w:sdtContent>
            <w:tc>
              <w:tcPr>
                <w:tcW w:w="5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c62cdb22fba648808acfebda9f29289b"/>
            <w:id w:val="2113935131"/>
          </w:sdtPr>
          <w:sdtContent>
            <w:tc>
              <w:tcPr>
                <w:tcW w:w="2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rPr>
              <w:szCs w:val="21"/>
            </w:rPr>
            <w:tag w:val="_PLD_d259a31756a946a6a441328cc78413fc"/>
            <w:id w:val="-1550056890"/>
          </w:sdtPr>
          <w:sdtContent>
            <w:tc>
              <w:tcPr>
                <w:tcW w:w="4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f74078100e7348efb6fa93b2ac934809"/>
            <w:id w:val="2018958340"/>
          </w:sdtPr>
          <w:sdtContent>
            <w:tc>
              <w:tcPr>
                <w:tcW w:w="2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553" w:type="pct"/>
            <w:vMerge/>
            <w:tcBorders>
              <w:left w:val="single" w:sz="4" w:space="0" w:color="auto"/>
              <w:bottom w:val="single" w:sz="4" w:space="0" w:color="auto"/>
              <w:right w:val="single" w:sz="4" w:space="0" w:color="auto"/>
            </w:tcBorders>
            <w:vAlign w:val="center"/>
          </w:tcPr>
          <w:p>
            <w:pPr>
              <w:jc w:val="center"/>
              <w:rPr>
                <w:szCs w:val="21"/>
              </w:rPr>
            </w:pPr>
          </w:p>
        </w:tc>
        <w:sdt>
          <w:sdtPr>
            <w:rPr>
              <w:szCs w:val="21"/>
            </w:rPr>
            <w:tag w:val="_PLD_4b188b463cd04b5f935c04bb97091ad7"/>
            <w:id w:val="-374309659"/>
          </w:sdtPr>
          <w:sdtContent>
            <w:tc>
              <w:tcPr>
                <w:tcW w:w="5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0eb49b8077f24050b883fe1c83156c6a"/>
            <w:id w:val="-1496029310"/>
          </w:sdtPr>
          <w:sdtContent>
            <w:tc>
              <w:tcPr>
                <w:tcW w:w="2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比例</w:t>
                </w:r>
                <w:r>
                  <w:rPr>
                    <w:szCs w:val="21"/>
                  </w:rPr>
                  <w:t>(%)</w:t>
                </w:r>
              </w:p>
            </w:tc>
          </w:sdtContent>
        </w:sdt>
        <w:sdt>
          <w:sdtPr>
            <w:rPr>
              <w:szCs w:val="21"/>
            </w:rPr>
            <w:tag w:val="_PLD_97b959dafb2649fe9097ba91d4d77a2f"/>
            <w:id w:val="1219092727"/>
          </w:sdtPr>
          <w:sdtContent>
            <w:tc>
              <w:tcPr>
                <w:tcW w:w="4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金额</w:t>
                </w:r>
              </w:p>
            </w:tc>
          </w:sdtContent>
        </w:sdt>
        <w:sdt>
          <w:sdtPr>
            <w:rPr>
              <w:szCs w:val="21"/>
            </w:rPr>
            <w:tag w:val="_PLD_99dda048c2a04725a5d8bfac8b356378"/>
            <w:id w:val="-897355044"/>
          </w:sdtPr>
          <w:sdtContent>
            <w:tc>
              <w:tcPr>
                <w:tcW w:w="253" w:type="pct"/>
                <w:tcBorders>
                  <w:left w:val="single" w:sz="4" w:space="0" w:color="auto"/>
                  <w:bottom w:val="single" w:sz="4" w:space="0" w:color="auto"/>
                  <w:right w:val="single" w:sz="4" w:space="0" w:color="auto"/>
                </w:tcBorders>
                <w:vAlign w:val="center"/>
              </w:tcPr>
              <w:p>
                <w:pPr>
                  <w:jc w:val="center"/>
                  <w:rPr>
                    <w:szCs w:val="21"/>
                  </w:rPr>
                </w:pPr>
                <w:r>
                  <w:rPr>
                    <w:rFonts w:hint="eastAsia"/>
                    <w:szCs w:val="21"/>
                  </w:rPr>
                  <w:t>计提比例</w:t>
                </w:r>
                <w:r>
                  <w:rPr>
                    <w:szCs w:val="21"/>
                  </w:rPr>
                  <w:t>(%)</w:t>
                </w:r>
              </w:p>
            </w:tc>
          </w:sdtContent>
        </w:sdt>
        <w:tc>
          <w:tcPr>
            <w:tcW w:w="670" w:type="pct"/>
            <w:vMerge/>
            <w:tcBorders>
              <w:left w:val="single" w:sz="4" w:space="0" w:color="auto"/>
              <w:bottom w:val="single" w:sz="4" w:space="0" w:color="auto"/>
              <w:right w:val="single" w:sz="4" w:space="0" w:color="auto"/>
            </w:tcBorders>
            <w:vAlign w:val="center"/>
          </w:tcPr>
          <w:p>
            <w:pPr>
              <w:jc w:val="center"/>
              <w:rPr>
                <w:szCs w:val="21"/>
              </w:rPr>
            </w:pPr>
          </w:p>
        </w:tc>
      </w:tr>
      <w:tr>
        <w:trPr>
          <w:cantSplit/>
          <w:jc w:val="center"/>
        </w:trPr>
        <w:tc>
          <w:tcPr>
            <w:tcW w:w="751"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按单项计提坏账准备</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240,890</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9</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194,774</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81</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46,116</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267,655</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11</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191,070</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71</w:t>
            </w:r>
          </w:p>
        </w:tc>
        <w:tc>
          <w:tcPr>
            <w:tcW w:w="67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76,585</w:t>
            </w:r>
          </w:p>
        </w:tc>
      </w:tr>
      <w:tr>
        <w:trPr>
          <w:cantSplit/>
          <w:jc w:val="center"/>
        </w:trPr>
        <w:tc>
          <w:tcPr>
            <w:tcW w:w="751" w:type="pct"/>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按组合计提坏账准备</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2,324,965</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91</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10,793</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rFonts w:hint="eastAsia"/>
                <w:szCs w:val="21"/>
              </w:rPr>
              <w:t>1</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2,314,172</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2,106,243</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89</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3,703</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rFonts w:hint="eastAsia"/>
                <w:color w:val="000000"/>
                <w:szCs w:val="21"/>
              </w:rPr>
              <w:t>1</w:t>
            </w:r>
          </w:p>
        </w:tc>
        <w:tc>
          <w:tcPr>
            <w:tcW w:w="67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2,102,540</w:t>
            </w:r>
          </w:p>
        </w:tc>
      </w:tr>
      <w:tr>
        <w:trPr>
          <w:cantSplit/>
          <w:jc w:val="center"/>
        </w:trPr>
        <w:sdt>
          <w:sdtPr>
            <w:rPr>
              <w:szCs w:val="21"/>
            </w:rPr>
            <w:tag w:val="_PLD_3e90aa50b20c494dafda2d9726e46570"/>
            <w:id w:val="-907457119"/>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pPr>
                  <w:rPr>
                    <w:szCs w:val="21"/>
                  </w:rPr>
                </w:pPr>
                <w:r>
                  <w:rPr>
                    <w:rFonts w:hint="eastAsia"/>
                    <w:szCs w:val="21"/>
                  </w:rPr>
                  <w:t>其中：</w:t>
                </w:r>
              </w:p>
            </w:tc>
          </w:sdtContent>
        </w:sdt>
      </w:tr>
      <w:tr>
        <w:trPr>
          <w:cantSplit/>
          <w:jc w:val="center"/>
        </w:trPr>
        <w:tc>
          <w:tcPr>
            <w:tcW w:w="751" w:type="pct"/>
            <w:tcBorders>
              <w:top w:val="single" w:sz="4" w:space="0" w:color="auto"/>
              <w:left w:val="single" w:sz="4" w:space="0" w:color="auto"/>
              <w:bottom w:val="single" w:sz="4" w:space="0" w:color="auto"/>
              <w:right w:val="single" w:sz="4" w:space="0" w:color="auto"/>
            </w:tcBorders>
            <w:vAlign w:val="center"/>
          </w:tcPr>
          <w:p>
            <w:pPr>
              <w:spacing w:line="360" w:lineRule="exact"/>
              <w:ind w:leftChars="260" w:left="546"/>
              <w:rPr>
                <w:color w:val="000000"/>
                <w:szCs w:val="21"/>
              </w:rPr>
            </w:pPr>
            <w:r>
              <w:rPr>
                <w:rFonts w:hint="eastAsia"/>
                <w:color w:val="000000"/>
                <w:szCs w:val="21"/>
              </w:rPr>
              <w:t>账龄组合</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195,274</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8</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10,793</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6</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184,481</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148,532</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6</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3,703</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w:t>
            </w:r>
          </w:p>
        </w:tc>
        <w:tc>
          <w:tcPr>
            <w:tcW w:w="67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144,829</w:t>
            </w:r>
          </w:p>
        </w:tc>
      </w:tr>
      <w:tr>
        <w:trPr>
          <w:cantSplit/>
          <w:jc w:val="center"/>
        </w:trPr>
        <w:tc>
          <w:tcPr>
            <w:tcW w:w="751" w:type="pct"/>
            <w:tcBorders>
              <w:top w:val="single" w:sz="4" w:space="0" w:color="auto"/>
              <w:left w:val="single" w:sz="4" w:space="0" w:color="auto"/>
              <w:bottom w:val="single" w:sz="4" w:space="0" w:color="auto"/>
              <w:right w:val="single" w:sz="4" w:space="0" w:color="auto"/>
            </w:tcBorders>
            <w:vAlign w:val="center"/>
          </w:tcPr>
          <w:p>
            <w:pPr>
              <w:spacing w:line="360" w:lineRule="exact"/>
              <w:ind w:leftChars="260" w:left="546"/>
              <w:rPr>
                <w:color w:val="000000"/>
                <w:szCs w:val="21"/>
              </w:rPr>
            </w:pPr>
            <w:r>
              <w:rPr>
                <w:rFonts w:hint="eastAsia"/>
                <w:color w:val="000000"/>
                <w:szCs w:val="21"/>
              </w:rPr>
              <w:lastRenderedPageBreak/>
              <w:t>关联方组合</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2,129,691</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83</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2,129,691</w:t>
            </w:r>
          </w:p>
        </w:tc>
        <w:tc>
          <w:tcPr>
            <w:tcW w:w="5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1,957,711</w:t>
            </w: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83</w:t>
            </w:r>
          </w:p>
        </w:tc>
        <w:tc>
          <w:tcPr>
            <w:tcW w:w="4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p>
        </w:tc>
        <w:tc>
          <w:tcPr>
            <w:tcW w:w="253"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p>
        </w:tc>
        <w:tc>
          <w:tcPr>
            <w:tcW w:w="670"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1,957,711</w:t>
            </w:r>
          </w:p>
        </w:tc>
      </w:tr>
      <w:tr>
        <w:trPr>
          <w:cantSplit/>
          <w:jc w:val="center"/>
        </w:trPr>
        <w:tc>
          <w:tcPr>
            <w:tcW w:w="751" w:type="pct"/>
            <w:tcBorders>
              <w:top w:val="single" w:sz="4" w:space="0" w:color="auto"/>
              <w:left w:val="single" w:sz="4" w:space="0" w:color="auto"/>
              <w:bottom w:val="single" w:sz="4" w:space="0" w:color="auto"/>
              <w:right w:val="single" w:sz="4" w:space="0" w:color="auto"/>
            </w:tcBorders>
            <w:vAlign w:val="center"/>
          </w:tcPr>
          <w:p>
            <w:pPr>
              <w:autoSpaceDE w:val="0"/>
              <w:autoSpaceDN w:val="0"/>
              <w:adjustRightInd w:val="0"/>
              <w:jc w:val="center"/>
              <w:rPr>
                <w:szCs w:val="21"/>
              </w:rPr>
            </w:pPr>
            <w:r>
              <w:rPr>
                <w:rFonts w:hint="eastAsia"/>
                <w:szCs w:val="21"/>
              </w:rPr>
              <w:t>合计</w:t>
            </w:r>
          </w:p>
        </w:tc>
        <w:tc>
          <w:tcPr>
            <w:tcW w:w="55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2,565,855</w:t>
            </w:r>
          </w:p>
        </w:tc>
        <w:tc>
          <w:tcPr>
            <w:tcW w:w="25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100</w:t>
            </w:r>
          </w:p>
        </w:tc>
        <w:tc>
          <w:tcPr>
            <w:tcW w:w="45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205,567</w:t>
            </w:r>
          </w:p>
        </w:tc>
        <w:tc>
          <w:tcPr>
            <w:tcW w:w="25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8</w:t>
            </w:r>
          </w:p>
        </w:tc>
        <w:tc>
          <w:tcPr>
            <w:tcW w:w="55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2,360,288</w:t>
            </w:r>
          </w:p>
        </w:tc>
        <w:tc>
          <w:tcPr>
            <w:tcW w:w="55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2,373,898</w:t>
            </w:r>
          </w:p>
        </w:tc>
        <w:tc>
          <w:tcPr>
            <w:tcW w:w="25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100</w:t>
            </w:r>
          </w:p>
        </w:tc>
        <w:tc>
          <w:tcPr>
            <w:tcW w:w="453"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194,773</w:t>
            </w:r>
          </w:p>
        </w:tc>
        <w:tc>
          <w:tcPr>
            <w:tcW w:w="25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8</w:t>
            </w:r>
          </w:p>
        </w:tc>
        <w:tc>
          <w:tcPr>
            <w:tcW w:w="670" w:type="pct"/>
            <w:tcBorders>
              <w:top w:val="single" w:sz="4" w:space="0" w:color="auto"/>
              <w:left w:val="single" w:sz="4" w:space="0" w:color="auto"/>
              <w:bottom w:val="single" w:sz="4" w:space="0" w:color="auto"/>
              <w:right w:val="single" w:sz="4" w:space="0" w:color="auto"/>
            </w:tcBorders>
            <w:vAlign w:val="center"/>
          </w:tcPr>
          <w:p>
            <w:pPr>
              <w:jc w:val="right"/>
              <w:rPr>
                <w:szCs w:val="21"/>
              </w:rPr>
            </w:pPr>
            <w:r>
              <w:rPr>
                <w:szCs w:val="21"/>
              </w:rPr>
              <w:t>2,179,125</w:t>
            </w:r>
          </w:p>
        </w:tc>
      </w:tr>
    </w:tbl>
    <w:p>
      <w:pPr>
        <w:pStyle w:val="affffffffffffffffffffffffffffffffe"/>
      </w:pPr>
    </w:p>
    <w:bookmarkEnd w:id="506"/>
    <w:p>
      <w:pPr>
        <w:rPr>
          <w:szCs w:val="21"/>
        </w:rPr>
      </w:pPr>
      <w:r>
        <w:rPr>
          <w:rFonts w:hint="eastAsia"/>
          <w:szCs w:val="21"/>
        </w:rPr>
        <w:t>按单项计提坏账准备：</w:t>
      </w:r>
    </w:p>
    <w:sdt>
      <w:sdtPr>
        <w:alias w:val="是否适用：母公司应收账款按单项计提坏账准备[双击切换]"/>
        <w:tag w:val="_GBC_1cd34dae0bf14ebba3d99534844e7d95"/>
        <w:id w:val="197571553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bookmarkStart w:id="507" w:name="_Hlk533796752"/>
      <w:r>
        <w:rPr>
          <w:rFonts w:hint="eastAsia"/>
          <w:szCs w:val="21"/>
        </w:rPr>
        <w:t>位：</w:t>
      </w:r>
      <w:sdt>
        <w:sdtPr>
          <w:rPr>
            <w:rFonts w:hint="eastAsia"/>
            <w:szCs w:val="21"/>
          </w:rPr>
          <w:alias w:val="单位：母公司应收账款按单项计提坏账准备"/>
          <w:tag w:val="_GBC_92bc20ad98a2451daf91a5a49b199fd6"/>
          <w:id w:val="21016847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应收账款按单项计提坏账准备"/>
          <w:tag w:val="_GBC_0a6db35d2d144335a2ac2dfe3b629ff1"/>
          <w:id w:val="-12955122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2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951"/>
        <w:gridCol w:w="1216"/>
        <w:gridCol w:w="1636"/>
        <w:gridCol w:w="1494"/>
        <w:gridCol w:w="1024"/>
        <w:gridCol w:w="1683"/>
      </w:tblGrid>
      <w:tr>
        <w:sdt>
          <w:sdtPr>
            <w:rPr>
              <w:szCs w:val="21"/>
            </w:rPr>
            <w:tag w:val="_PLD_bf06f48741cf4f8683629bc86fe4253a"/>
            <w:id w:val="-210421687"/>
          </w:sdtPr>
          <w:sdtContent>
            <w:tc>
              <w:tcPr>
                <w:tcW w:w="655" w:type="pct"/>
                <w:vMerge w:val="restart"/>
                <w:vAlign w:val="center"/>
              </w:tcPr>
              <w:p>
                <w:pPr>
                  <w:jc w:val="center"/>
                  <w:rPr>
                    <w:szCs w:val="21"/>
                  </w:rPr>
                </w:pPr>
                <w:r>
                  <w:rPr>
                    <w:rFonts w:hint="eastAsia"/>
                    <w:szCs w:val="21"/>
                  </w:rPr>
                  <w:t>名称</w:t>
                </w:r>
              </w:p>
            </w:tc>
          </w:sdtContent>
        </w:sdt>
        <w:tc>
          <w:tcPr>
            <w:tcW w:w="1176" w:type="pct"/>
            <w:gridSpan w:val="2"/>
          </w:tcPr>
          <w:p>
            <w:pPr>
              <w:jc w:val="center"/>
              <w:rPr>
                <w:szCs w:val="21"/>
              </w:rPr>
            </w:pPr>
            <w:r>
              <w:rPr>
                <w:rFonts w:hint="eastAsia"/>
                <w:szCs w:val="21"/>
              </w:rPr>
              <w:t>期初余额</w:t>
            </w:r>
          </w:p>
        </w:tc>
        <w:sdt>
          <w:sdtPr>
            <w:rPr>
              <w:szCs w:val="21"/>
            </w:rPr>
            <w:tag w:val="_PLD_e8eabae632cb4a738dba30bece28c3a8"/>
            <w:id w:val="-1459957255"/>
          </w:sdtPr>
          <w:sdtContent>
            <w:tc>
              <w:tcPr>
                <w:tcW w:w="3169" w:type="pct"/>
                <w:gridSpan w:val="4"/>
                <w:vAlign w:val="center"/>
              </w:tcPr>
              <w:p>
                <w:pPr>
                  <w:jc w:val="center"/>
                  <w:rPr>
                    <w:szCs w:val="21"/>
                  </w:rPr>
                </w:pPr>
                <w:r>
                  <w:rPr>
                    <w:rFonts w:hint="eastAsia"/>
                    <w:szCs w:val="21"/>
                  </w:rPr>
                  <w:t>期末余额</w:t>
                </w:r>
              </w:p>
            </w:tc>
          </w:sdtContent>
        </w:sdt>
      </w:tr>
      <w:tr>
        <w:tc>
          <w:tcPr>
            <w:tcW w:w="655" w:type="pct"/>
            <w:vMerge/>
          </w:tcPr>
          <w:p>
            <w:pPr>
              <w:jc w:val="center"/>
              <w:rPr>
                <w:szCs w:val="21"/>
              </w:rPr>
            </w:pPr>
          </w:p>
        </w:tc>
        <w:tc>
          <w:tcPr>
            <w:tcW w:w="516" w:type="pct"/>
            <w:vAlign w:val="center"/>
          </w:tcPr>
          <w:p>
            <w:pPr>
              <w:jc w:val="center"/>
              <w:rPr>
                <w:b/>
                <w:bCs/>
                <w:color w:val="000000"/>
                <w:szCs w:val="21"/>
              </w:rPr>
            </w:pPr>
            <w:r>
              <w:rPr>
                <w:rFonts w:hint="eastAsia"/>
                <w:b/>
                <w:bCs/>
                <w:color w:val="000000"/>
                <w:szCs w:val="21"/>
              </w:rPr>
              <w:t>账面余额</w:t>
            </w:r>
          </w:p>
        </w:tc>
        <w:tc>
          <w:tcPr>
            <w:tcW w:w="660" w:type="pct"/>
            <w:vAlign w:val="center"/>
          </w:tcPr>
          <w:p>
            <w:pPr>
              <w:jc w:val="center"/>
              <w:rPr>
                <w:b/>
                <w:bCs/>
                <w:color w:val="000000"/>
                <w:szCs w:val="21"/>
              </w:rPr>
            </w:pPr>
            <w:r>
              <w:rPr>
                <w:rFonts w:hint="eastAsia"/>
                <w:b/>
                <w:bCs/>
                <w:color w:val="000000"/>
                <w:szCs w:val="21"/>
              </w:rPr>
              <w:t>坏账准备</w:t>
            </w:r>
          </w:p>
        </w:tc>
        <w:sdt>
          <w:sdtPr>
            <w:rPr>
              <w:szCs w:val="21"/>
            </w:rPr>
            <w:tag w:val="_PLD_0ea49c9284ac4750b9c5ffe19ec4732c"/>
            <w:id w:val="-1422173122"/>
          </w:sdtPr>
          <w:sdtContent>
            <w:tc>
              <w:tcPr>
                <w:tcW w:w="888" w:type="pct"/>
                <w:vAlign w:val="center"/>
              </w:tcPr>
              <w:p>
                <w:pPr>
                  <w:jc w:val="center"/>
                  <w:rPr>
                    <w:szCs w:val="21"/>
                  </w:rPr>
                </w:pPr>
                <w:r>
                  <w:rPr>
                    <w:rFonts w:hint="eastAsia"/>
                    <w:szCs w:val="21"/>
                  </w:rPr>
                  <w:t>账面余额</w:t>
                </w:r>
              </w:p>
            </w:tc>
          </w:sdtContent>
        </w:sdt>
        <w:sdt>
          <w:sdtPr>
            <w:rPr>
              <w:szCs w:val="21"/>
            </w:rPr>
            <w:tag w:val="_PLD_4e5b035254d34ab286177f908a392849"/>
            <w:id w:val="443358643"/>
          </w:sdtPr>
          <w:sdtContent>
            <w:tc>
              <w:tcPr>
                <w:tcW w:w="811" w:type="pct"/>
                <w:vAlign w:val="center"/>
              </w:tcPr>
              <w:p>
                <w:pPr>
                  <w:jc w:val="center"/>
                  <w:rPr>
                    <w:szCs w:val="21"/>
                  </w:rPr>
                </w:pPr>
                <w:r>
                  <w:rPr>
                    <w:rFonts w:hint="eastAsia"/>
                    <w:szCs w:val="21"/>
                  </w:rPr>
                  <w:t>坏账准备</w:t>
                </w:r>
              </w:p>
            </w:tc>
          </w:sdtContent>
        </w:sdt>
        <w:sdt>
          <w:sdtPr>
            <w:rPr>
              <w:szCs w:val="21"/>
            </w:rPr>
            <w:tag w:val="_PLD_9316156bac3c45f593fc5f35e8e28833"/>
            <w:id w:val="-1205637171"/>
          </w:sdtPr>
          <w:sdtContent>
            <w:tc>
              <w:tcPr>
                <w:tcW w:w="556" w:type="pct"/>
                <w:vAlign w:val="center"/>
              </w:tcPr>
              <w:p>
                <w:pPr>
                  <w:jc w:val="center"/>
                  <w:rPr>
                    <w:szCs w:val="21"/>
                  </w:rPr>
                </w:pPr>
                <w:r>
                  <w:rPr>
                    <w:szCs w:val="21"/>
                  </w:rPr>
                  <w:t>计提比例</w:t>
                </w:r>
                <w:r>
                  <w:rPr>
                    <w:rFonts w:hint="eastAsia"/>
                    <w:szCs w:val="21"/>
                  </w:rPr>
                  <w:t>（%）</w:t>
                </w:r>
              </w:p>
            </w:tc>
          </w:sdtContent>
        </w:sdt>
        <w:sdt>
          <w:sdtPr>
            <w:rPr>
              <w:szCs w:val="21"/>
            </w:rPr>
            <w:tag w:val="_PLD_20dce80930bd4c9eb9bd96af960a880b"/>
            <w:id w:val="1561754121"/>
          </w:sdtPr>
          <w:sdtContent>
            <w:tc>
              <w:tcPr>
                <w:tcW w:w="914" w:type="pct"/>
                <w:vAlign w:val="center"/>
              </w:tcPr>
              <w:p>
                <w:pPr>
                  <w:jc w:val="center"/>
                  <w:rPr>
                    <w:szCs w:val="21"/>
                  </w:rPr>
                </w:pPr>
                <w:r>
                  <w:rPr>
                    <w:rFonts w:hint="eastAsia"/>
                    <w:szCs w:val="21"/>
                  </w:rPr>
                  <w:t>计提理由</w:t>
                </w:r>
              </w:p>
            </w:tc>
          </w:sdtContent>
        </w:sdt>
      </w:tr>
      <w:tr>
        <w:tc>
          <w:tcPr>
            <w:tcW w:w="655" w:type="pct"/>
            <w:vAlign w:val="center"/>
          </w:tcPr>
          <w:p>
            <w:pPr>
              <w:rPr>
                <w:color w:val="000000"/>
                <w:szCs w:val="21"/>
              </w:rPr>
            </w:pPr>
            <w:r>
              <w:rPr>
                <w:rFonts w:hint="eastAsia"/>
                <w:color w:val="000000"/>
                <w:szCs w:val="21"/>
              </w:rPr>
              <w:t>公司1</w:t>
            </w:r>
          </w:p>
        </w:tc>
        <w:tc>
          <w:tcPr>
            <w:tcW w:w="516" w:type="pct"/>
            <w:vAlign w:val="center"/>
          </w:tcPr>
          <w:p>
            <w:pPr>
              <w:jc w:val="right"/>
              <w:rPr>
                <w:color w:val="000000"/>
                <w:szCs w:val="21"/>
              </w:rPr>
            </w:pPr>
            <w:r>
              <w:rPr>
                <w:rFonts w:hint="eastAsia"/>
                <w:color w:val="000000"/>
                <w:szCs w:val="21"/>
              </w:rPr>
              <w:t>262,282</w:t>
            </w:r>
          </w:p>
        </w:tc>
        <w:tc>
          <w:tcPr>
            <w:tcW w:w="660" w:type="pct"/>
            <w:vAlign w:val="center"/>
          </w:tcPr>
          <w:p>
            <w:pPr>
              <w:jc w:val="right"/>
              <w:rPr>
                <w:color w:val="000000"/>
                <w:szCs w:val="21"/>
              </w:rPr>
            </w:pPr>
            <w:r>
              <w:rPr>
                <w:rFonts w:hint="eastAsia"/>
                <w:color w:val="000000"/>
                <w:szCs w:val="21"/>
              </w:rPr>
              <w:t>185,697</w:t>
            </w:r>
          </w:p>
        </w:tc>
        <w:tc>
          <w:tcPr>
            <w:tcW w:w="888" w:type="pct"/>
            <w:vAlign w:val="center"/>
          </w:tcPr>
          <w:p>
            <w:pPr>
              <w:jc w:val="right"/>
              <w:rPr>
                <w:color w:val="000000"/>
                <w:szCs w:val="21"/>
              </w:rPr>
            </w:pPr>
            <w:r>
              <w:rPr>
                <w:rFonts w:hint="eastAsia"/>
                <w:color w:val="000000"/>
                <w:szCs w:val="21"/>
              </w:rPr>
              <w:t>235,613</w:t>
            </w:r>
          </w:p>
        </w:tc>
        <w:tc>
          <w:tcPr>
            <w:tcW w:w="811" w:type="pct"/>
            <w:vAlign w:val="center"/>
          </w:tcPr>
          <w:p>
            <w:pPr>
              <w:jc w:val="right"/>
              <w:rPr>
                <w:color w:val="000000"/>
                <w:szCs w:val="21"/>
              </w:rPr>
            </w:pPr>
            <w:r>
              <w:rPr>
                <w:color w:val="000000"/>
                <w:szCs w:val="21"/>
              </w:rPr>
              <w:t>189,497</w:t>
            </w:r>
          </w:p>
        </w:tc>
        <w:tc>
          <w:tcPr>
            <w:tcW w:w="556" w:type="pct"/>
            <w:vAlign w:val="center"/>
          </w:tcPr>
          <w:p>
            <w:pPr>
              <w:jc w:val="right"/>
              <w:rPr>
                <w:color w:val="000000"/>
                <w:szCs w:val="21"/>
              </w:rPr>
            </w:pPr>
            <w:r>
              <w:rPr>
                <w:rFonts w:hint="eastAsia"/>
                <w:color w:val="000000"/>
                <w:szCs w:val="21"/>
              </w:rPr>
              <w:t>80</w:t>
            </w:r>
          </w:p>
        </w:tc>
        <w:tc>
          <w:tcPr>
            <w:tcW w:w="914" w:type="pct"/>
            <w:vAlign w:val="center"/>
          </w:tcPr>
          <w:p>
            <w:pPr>
              <w:jc w:val="center"/>
              <w:rPr>
                <w:color w:val="000000"/>
                <w:szCs w:val="21"/>
              </w:rPr>
            </w:pPr>
            <w:r>
              <w:rPr>
                <w:rFonts w:hint="eastAsia"/>
                <w:color w:val="000000"/>
                <w:szCs w:val="21"/>
              </w:rPr>
              <w:t>预计部分无法收回</w:t>
            </w:r>
          </w:p>
        </w:tc>
      </w:tr>
      <w:tr>
        <w:tc>
          <w:tcPr>
            <w:tcW w:w="655" w:type="pct"/>
            <w:vAlign w:val="center"/>
          </w:tcPr>
          <w:p>
            <w:pPr>
              <w:rPr>
                <w:color w:val="000000"/>
                <w:szCs w:val="21"/>
              </w:rPr>
            </w:pPr>
            <w:r>
              <w:rPr>
                <w:rFonts w:hint="eastAsia"/>
                <w:color w:val="000000"/>
                <w:szCs w:val="21"/>
              </w:rPr>
              <w:t>公司2</w:t>
            </w:r>
          </w:p>
        </w:tc>
        <w:tc>
          <w:tcPr>
            <w:tcW w:w="516" w:type="pct"/>
            <w:vAlign w:val="center"/>
          </w:tcPr>
          <w:p>
            <w:pPr>
              <w:jc w:val="right"/>
              <w:rPr>
                <w:color w:val="000000"/>
                <w:szCs w:val="21"/>
              </w:rPr>
            </w:pPr>
            <w:r>
              <w:rPr>
                <w:rFonts w:hint="eastAsia"/>
                <w:color w:val="000000"/>
                <w:szCs w:val="21"/>
              </w:rPr>
              <w:t>4,769</w:t>
            </w:r>
          </w:p>
        </w:tc>
        <w:tc>
          <w:tcPr>
            <w:tcW w:w="660" w:type="pct"/>
            <w:vAlign w:val="center"/>
          </w:tcPr>
          <w:p>
            <w:pPr>
              <w:jc w:val="right"/>
              <w:rPr>
                <w:color w:val="000000"/>
                <w:szCs w:val="21"/>
              </w:rPr>
            </w:pPr>
            <w:r>
              <w:rPr>
                <w:rFonts w:hint="eastAsia"/>
                <w:color w:val="000000"/>
                <w:szCs w:val="21"/>
              </w:rPr>
              <w:t>4,769</w:t>
            </w:r>
          </w:p>
        </w:tc>
        <w:tc>
          <w:tcPr>
            <w:tcW w:w="888" w:type="pct"/>
            <w:vAlign w:val="center"/>
          </w:tcPr>
          <w:p>
            <w:pPr>
              <w:jc w:val="right"/>
              <w:rPr>
                <w:color w:val="000000"/>
                <w:szCs w:val="21"/>
              </w:rPr>
            </w:pPr>
            <w:r>
              <w:rPr>
                <w:rFonts w:hint="eastAsia"/>
                <w:color w:val="000000"/>
                <w:szCs w:val="21"/>
              </w:rPr>
              <w:t>4,769</w:t>
            </w:r>
          </w:p>
        </w:tc>
        <w:tc>
          <w:tcPr>
            <w:tcW w:w="811" w:type="pct"/>
            <w:vAlign w:val="center"/>
          </w:tcPr>
          <w:p>
            <w:pPr>
              <w:jc w:val="right"/>
              <w:rPr>
                <w:color w:val="000000"/>
                <w:szCs w:val="21"/>
              </w:rPr>
            </w:pPr>
            <w:r>
              <w:rPr>
                <w:rFonts w:hint="eastAsia"/>
                <w:color w:val="000000"/>
                <w:szCs w:val="21"/>
              </w:rPr>
              <w:t>4,769</w:t>
            </w:r>
          </w:p>
        </w:tc>
        <w:tc>
          <w:tcPr>
            <w:tcW w:w="556" w:type="pct"/>
            <w:vAlign w:val="center"/>
          </w:tcPr>
          <w:p>
            <w:pPr>
              <w:jc w:val="right"/>
              <w:rPr>
                <w:color w:val="000000"/>
                <w:szCs w:val="21"/>
              </w:rPr>
            </w:pPr>
            <w:r>
              <w:rPr>
                <w:rFonts w:hint="eastAsia"/>
                <w:color w:val="000000"/>
                <w:szCs w:val="21"/>
              </w:rPr>
              <w:t>100</w:t>
            </w:r>
          </w:p>
        </w:tc>
        <w:tc>
          <w:tcPr>
            <w:tcW w:w="914" w:type="pct"/>
            <w:vAlign w:val="center"/>
          </w:tcPr>
          <w:p>
            <w:pPr>
              <w:jc w:val="center"/>
              <w:rPr>
                <w:color w:val="000000"/>
                <w:szCs w:val="21"/>
              </w:rPr>
            </w:pPr>
            <w:r>
              <w:rPr>
                <w:rFonts w:hint="eastAsia"/>
                <w:color w:val="000000"/>
                <w:szCs w:val="21"/>
              </w:rPr>
              <w:t>预计无法收回</w:t>
            </w:r>
          </w:p>
        </w:tc>
      </w:tr>
      <w:tr>
        <w:tc>
          <w:tcPr>
            <w:tcW w:w="655" w:type="pct"/>
            <w:vAlign w:val="center"/>
          </w:tcPr>
          <w:p>
            <w:pPr>
              <w:rPr>
                <w:color w:val="000000"/>
                <w:szCs w:val="21"/>
              </w:rPr>
            </w:pPr>
            <w:r>
              <w:rPr>
                <w:rFonts w:hint="eastAsia"/>
                <w:color w:val="000000"/>
                <w:szCs w:val="21"/>
              </w:rPr>
              <w:t>其他不重大客户</w:t>
            </w:r>
          </w:p>
        </w:tc>
        <w:tc>
          <w:tcPr>
            <w:tcW w:w="516" w:type="pct"/>
            <w:vAlign w:val="center"/>
          </w:tcPr>
          <w:p>
            <w:pPr>
              <w:jc w:val="right"/>
              <w:rPr>
                <w:color w:val="000000"/>
                <w:szCs w:val="21"/>
              </w:rPr>
            </w:pPr>
            <w:r>
              <w:rPr>
                <w:rFonts w:hint="eastAsia"/>
                <w:color w:val="000000"/>
                <w:szCs w:val="21"/>
              </w:rPr>
              <w:t>604</w:t>
            </w:r>
          </w:p>
        </w:tc>
        <w:tc>
          <w:tcPr>
            <w:tcW w:w="660" w:type="pct"/>
            <w:vAlign w:val="center"/>
          </w:tcPr>
          <w:p>
            <w:pPr>
              <w:jc w:val="right"/>
              <w:rPr>
                <w:color w:val="000000"/>
                <w:szCs w:val="21"/>
              </w:rPr>
            </w:pPr>
            <w:r>
              <w:rPr>
                <w:rFonts w:hint="eastAsia"/>
                <w:color w:val="000000"/>
                <w:szCs w:val="21"/>
              </w:rPr>
              <w:t>604</w:t>
            </w:r>
          </w:p>
        </w:tc>
        <w:tc>
          <w:tcPr>
            <w:tcW w:w="888" w:type="pct"/>
            <w:vAlign w:val="center"/>
          </w:tcPr>
          <w:p>
            <w:pPr>
              <w:jc w:val="right"/>
              <w:rPr>
                <w:color w:val="000000"/>
                <w:szCs w:val="21"/>
              </w:rPr>
            </w:pPr>
            <w:r>
              <w:rPr>
                <w:rFonts w:hint="eastAsia"/>
                <w:color w:val="000000"/>
                <w:szCs w:val="21"/>
              </w:rPr>
              <w:t>508</w:t>
            </w:r>
          </w:p>
        </w:tc>
        <w:tc>
          <w:tcPr>
            <w:tcW w:w="811" w:type="pct"/>
            <w:vAlign w:val="center"/>
          </w:tcPr>
          <w:p>
            <w:pPr>
              <w:jc w:val="right"/>
              <w:rPr>
                <w:color w:val="000000"/>
                <w:szCs w:val="21"/>
              </w:rPr>
            </w:pPr>
            <w:r>
              <w:rPr>
                <w:rFonts w:hint="eastAsia"/>
                <w:color w:val="000000"/>
                <w:szCs w:val="21"/>
              </w:rPr>
              <w:t>508</w:t>
            </w:r>
          </w:p>
        </w:tc>
        <w:tc>
          <w:tcPr>
            <w:tcW w:w="556" w:type="pct"/>
            <w:vAlign w:val="center"/>
          </w:tcPr>
          <w:p>
            <w:pPr>
              <w:jc w:val="right"/>
              <w:rPr>
                <w:color w:val="000000"/>
                <w:szCs w:val="21"/>
              </w:rPr>
            </w:pPr>
            <w:r>
              <w:rPr>
                <w:rFonts w:hint="eastAsia"/>
                <w:color w:val="000000"/>
                <w:szCs w:val="21"/>
              </w:rPr>
              <w:t>100</w:t>
            </w:r>
          </w:p>
        </w:tc>
        <w:tc>
          <w:tcPr>
            <w:tcW w:w="914" w:type="pct"/>
            <w:vAlign w:val="center"/>
          </w:tcPr>
          <w:p>
            <w:pPr>
              <w:jc w:val="center"/>
              <w:rPr>
                <w:color w:val="000000"/>
                <w:szCs w:val="21"/>
              </w:rPr>
            </w:pPr>
            <w:r>
              <w:rPr>
                <w:rFonts w:hint="eastAsia"/>
                <w:color w:val="000000"/>
                <w:szCs w:val="21"/>
              </w:rPr>
              <w:t>预计无法收回</w:t>
            </w:r>
          </w:p>
        </w:tc>
      </w:tr>
      <w:tr>
        <w:tc>
          <w:tcPr>
            <w:tcW w:w="655" w:type="pct"/>
            <w:vAlign w:val="center"/>
          </w:tcPr>
          <w:p>
            <w:pPr>
              <w:jc w:val="center"/>
              <w:rPr>
                <w:szCs w:val="21"/>
              </w:rPr>
            </w:pPr>
            <w:r>
              <w:rPr>
                <w:rFonts w:hint="eastAsia"/>
                <w:szCs w:val="21"/>
              </w:rPr>
              <w:t>合计</w:t>
            </w:r>
          </w:p>
        </w:tc>
        <w:tc>
          <w:tcPr>
            <w:tcW w:w="516" w:type="pct"/>
          </w:tcPr>
          <w:p>
            <w:pPr>
              <w:jc w:val="right"/>
              <w:rPr>
                <w:szCs w:val="21"/>
              </w:rPr>
            </w:pPr>
            <w:r>
              <w:rPr>
                <w:szCs w:val="21"/>
              </w:rPr>
              <w:t>267,655</w:t>
            </w:r>
          </w:p>
        </w:tc>
        <w:tc>
          <w:tcPr>
            <w:tcW w:w="660" w:type="pct"/>
          </w:tcPr>
          <w:p>
            <w:pPr>
              <w:jc w:val="right"/>
              <w:rPr>
                <w:szCs w:val="21"/>
              </w:rPr>
            </w:pPr>
            <w:r>
              <w:rPr>
                <w:szCs w:val="21"/>
              </w:rPr>
              <w:t>191,070</w:t>
            </w:r>
          </w:p>
        </w:tc>
        <w:tc>
          <w:tcPr>
            <w:tcW w:w="888" w:type="pct"/>
          </w:tcPr>
          <w:p>
            <w:pPr>
              <w:jc w:val="right"/>
              <w:rPr>
                <w:szCs w:val="21"/>
              </w:rPr>
            </w:pPr>
            <w:r>
              <w:rPr>
                <w:szCs w:val="21"/>
              </w:rPr>
              <w:t>240,890</w:t>
            </w:r>
          </w:p>
        </w:tc>
        <w:tc>
          <w:tcPr>
            <w:tcW w:w="811" w:type="pct"/>
          </w:tcPr>
          <w:p>
            <w:pPr>
              <w:jc w:val="right"/>
              <w:rPr>
                <w:szCs w:val="21"/>
              </w:rPr>
            </w:pPr>
            <w:r>
              <w:rPr>
                <w:szCs w:val="21"/>
              </w:rPr>
              <w:t>194,774</w:t>
            </w:r>
          </w:p>
        </w:tc>
        <w:tc>
          <w:tcPr>
            <w:tcW w:w="556" w:type="pct"/>
          </w:tcPr>
          <w:p>
            <w:pPr>
              <w:jc w:val="right"/>
              <w:rPr>
                <w:szCs w:val="21"/>
              </w:rPr>
            </w:pPr>
          </w:p>
        </w:tc>
        <w:tc>
          <w:tcPr>
            <w:tcW w:w="914" w:type="pct"/>
            <w:vAlign w:val="center"/>
          </w:tcPr>
          <w:p>
            <w:pPr>
              <w:jc w:val="center"/>
              <w:rPr>
                <w:szCs w:val="21"/>
              </w:rPr>
            </w:pPr>
            <w:r>
              <w:rPr>
                <w:rFonts w:hint="eastAsia"/>
                <w:szCs w:val="21"/>
              </w:rPr>
              <w:t>/</w:t>
            </w:r>
          </w:p>
        </w:tc>
      </w:tr>
    </w:tbl>
    <w:p>
      <w:pPr>
        <w:rPr>
          <w:szCs w:val="21"/>
        </w:rPr>
      </w:pPr>
      <w:r>
        <w:rPr>
          <w:rFonts w:hint="eastAsia"/>
          <w:szCs w:val="21"/>
        </w:rPr>
        <w:t>按单项计提坏账准备的说明：</w:t>
      </w:r>
    </w:p>
    <w:sdt>
      <w:sdtPr>
        <w:rPr>
          <w:szCs w:val="21"/>
        </w:rPr>
        <w:alias w:val="是否适用：母公司应收账款按单项计提坏账准备的说明[双击切换]"/>
        <w:tag w:val="_GBC_30d6fcd4135245dd83d85379087b4e62"/>
        <w:id w:val="40564865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507" w:displacedByCustomXml="next"/>
    <w:sdt>
      <w:sdtPr>
        <w:tag w:val="_PLD_23aec57fe4b34ac2aa7d42cb52467101"/>
        <w:id w:val="351546629"/>
      </w:sdtPr>
      <w:sdtContent>
        <w:p>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1626038998"/>
        <w:lock w:val="contentLocked"/>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bookmarkStart w:id="508" w:name="_Hlk533796778"/>
      <w:r>
        <w:rPr>
          <w:rFonts w:hint="eastAsia"/>
          <w:szCs w:val="21"/>
        </w:rPr>
        <w:t>组合计提项目：</w:t>
      </w:r>
      <w:sdt>
        <w:sdtPr>
          <w:rPr>
            <w:rFonts w:hint="eastAsia"/>
            <w:szCs w:val="21"/>
          </w:rPr>
          <w:alias w:val="按组合计提坏账准备的应收账款明细-组合名称"/>
          <w:tag w:val="_GBC_f2cd2e7d8a6f493ebfd1838be7b87223"/>
          <w:id w:val="59218691"/>
          <w:placeholder>
            <w:docPart w:val="GBC22222222222222222222222222222"/>
          </w:placeholder>
          <w:comboBox/>
        </w:sdtPr>
        <w:sdtContent>
          <w:r>
            <w:rPr>
              <w:szCs w:val="21"/>
            </w:rPr>
            <w:t>-</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母公司应收账款按组合计提坏账准备"/>
          <w:tag w:val="_GBC_2da079c1515b4a8f95770937142fdccb"/>
          <w:id w:val="2675820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应收账款按组合计提坏账准备"/>
          <w:tag w:val="_GBC_f64b56aa027540f0b7ab78abc6fef514"/>
          <w:id w:val="-20635569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3"/>
        <w:gridCol w:w="2252"/>
        <w:gridCol w:w="2292"/>
        <w:gridCol w:w="2236"/>
      </w:tblGrid>
      <w:tr>
        <w:sdt>
          <w:sdtPr>
            <w:rPr>
              <w:szCs w:val="21"/>
            </w:rPr>
            <w:tag w:val="_PLD_685d7e84e47740668b70cce04f42de5b"/>
            <w:id w:val="578028123"/>
          </w:sdtPr>
          <w:sdtContent>
            <w:tc>
              <w:tcPr>
                <w:tcW w:w="1158" w:type="pct"/>
                <w:vMerge w:val="restart"/>
                <w:vAlign w:val="center"/>
              </w:tcPr>
              <w:p>
                <w:pPr>
                  <w:jc w:val="center"/>
                  <w:rPr>
                    <w:szCs w:val="21"/>
                  </w:rPr>
                </w:pPr>
                <w:r>
                  <w:rPr>
                    <w:rFonts w:hint="eastAsia"/>
                    <w:szCs w:val="21"/>
                  </w:rPr>
                  <w:t>名称</w:t>
                </w:r>
              </w:p>
            </w:tc>
          </w:sdtContent>
        </w:sdt>
        <w:sdt>
          <w:sdtPr>
            <w:rPr>
              <w:szCs w:val="21"/>
            </w:rPr>
            <w:tag w:val="_PLD_80bd7906b1fa41658076794e93d74585"/>
            <w:id w:val="-1514684395"/>
          </w:sdtPr>
          <w:sdtContent>
            <w:tc>
              <w:tcPr>
                <w:tcW w:w="3842" w:type="pct"/>
                <w:gridSpan w:val="3"/>
                <w:vAlign w:val="center"/>
              </w:tcPr>
              <w:p>
                <w:pPr>
                  <w:jc w:val="center"/>
                  <w:rPr>
                    <w:szCs w:val="21"/>
                  </w:rPr>
                </w:pPr>
                <w:r>
                  <w:rPr>
                    <w:rFonts w:hint="eastAsia"/>
                    <w:szCs w:val="21"/>
                  </w:rPr>
                  <w:t>期末余额</w:t>
                </w:r>
              </w:p>
            </w:tc>
          </w:sdtContent>
        </w:sdt>
      </w:tr>
      <w:tr>
        <w:tc>
          <w:tcPr>
            <w:tcW w:w="1158" w:type="pct"/>
            <w:vMerge/>
          </w:tcPr>
          <w:p>
            <w:pPr>
              <w:jc w:val="center"/>
              <w:rPr>
                <w:szCs w:val="21"/>
              </w:rPr>
            </w:pPr>
          </w:p>
        </w:tc>
        <w:sdt>
          <w:sdtPr>
            <w:rPr>
              <w:szCs w:val="21"/>
            </w:rPr>
            <w:tag w:val="_PLD_696cb3bb4809472f88c41396728262f5"/>
            <w:id w:val="1427853506"/>
          </w:sdtPr>
          <w:sdtContent>
            <w:tc>
              <w:tcPr>
                <w:tcW w:w="1276" w:type="pct"/>
                <w:vAlign w:val="center"/>
              </w:tcPr>
              <w:p>
                <w:pPr>
                  <w:jc w:val="center"/>
                  <w:rPr>
                    <w:szCs w:val="21"/>
                  </w:rPr>
                </w:pPr>
                <w:r>
                  <w:rPr>
                    <w:rFonts w:hint="eastAsia"/>
                    <w:szCs w:val="21"/>
                  </w:rPr>
                  <w:t>应收账款</w:t>
                </w:r>
              </w:p>
            </w:tc>
          </w:sdtContent>
        </w:sdt>
        <w:sdt>
          <w:sdtPr>
            <w:rPr>
              <w:szCs w:val="21"/>
            </w:rPr>
            <w:tag w:val="_PLD_70e2c6a60e9b4f08bbbb1a23cd403ade"/>
            <w:id w:val="1964765278"/>
          </w:sdtPr>
          <w:sdtContent>
            <w:tc>
              <w:tcPr>
                <w:tcW w:w="1299" w:type="pct"/>
                <w:vAlign w:val="center"/>
              </w:tcPr>
              <w:p>
                <w:pPr>
                  <w:jc w:val="center"/>
                  <w:rPr>
                    <w:szCs w:val="21"/>
                  </w:rPr>
                </w:pPr>
                <w:r>
                  <w:rPr>
                    <w:rFonts w:hint="eastAsia"/>
                    <w:szCs w:val="21"/>
                  </w:rPr>
                  <w:t>坏账准备</w:t>
                </w:r>
              </w:p>
            </w:tc>
          </w:sdtContent>
        </w:sdt>
        <w:sdt>
          <w:sdtPr>
            <w:rPr>
              <w:szCs w:val="21"/>
            </w:rPr>
            <w:tag w:val="_PLD_1fd76d95bed54fc5b0c669cf7b1d5e18"/>
            <w:id w:val="-1092774233"/>
          </w:sdtPr>
          <w:sdtContent>
            <w:tc>
              <w:tcPr>
                <w:tcW w:w="1267" w:type="pct"/>
                <w:vAlign w:val="center"/>
              </w:tcPr>
              <w:p>
                <w:pPr>
                  <w:jc w:val="center"/>
                  <w:rPr>
                    <w:szCs w:val="21"/>
                  </w:rPr>
                </w:pPr>
                <w:r>
                  <w:rPr>
                    <w:szCs w:val="21"/>
                  </w:rPr>
                  <w:t>计提比例</w:t>
                </w:r>
                <w:r>
                  <w:rPr>
                    <w:rFonts w:hint="eastAsia"/>
                    <w:szCs w:val="21"/>
                  </w:rPr>
                  <w:t>（%）</w:t>
                </w:r>
              </w:p>
            </w:tc>
          </w:sdtContent>
        </w:sdt>
      </w:tr>
      <w:tr>
        <w:tc>
          <w:tcPr>
            <w:tcW w:w="1158" w:type="pct"/>
            <w:vAlign w:val="center"/>
          </w:tcPr>
          <w:p>
            <w:pPr>
              <w:rPr>
                <w:color w:val="000000"/>
                <w:szCs w:val="21"/>
              </w:rPr>
            </w:pPr>
            <w:r>
              <w:rPr>
                <w:rFonts w:hint="eastAsia"/>
                <w:color w:val="000000"/>
                <w:szCs w:val="21"/>
              </w:rPr>
              <w:t>1年以内（含1年）</w:t>
            </w:r>
          </w:p>
        </w:tc>
        <w:tc>
          <w:tcPr>
            <w:tcW w:w="1276" w:type="pct"/>
            <w:vAlign w:val="center"/>
          </w:tcPr>
          <w:p>
            <w:pPr>
              <w:jc w:val="right"/>
              <w:rPr>
                <w:color w:val="000000"/>
                <w:szCs w:val="21"/>
              </w:rPr>
            </w:pPr>
            <w:r>
              <w:rPr>
                <w:rFonts w:hint="eastAsia"/>
                <w:color w:val="000000"/>
                <w:szCs w:val="21"/>
              </w:rPr>
              <w:t>176,056</w:t>
            </w:r>
          </w:p>
        </w:tc>
        <w:tc>
          <w:tcPr>
            <w:tcW w:w="1299" w:type="pct"/>
            <w:vAlign w:val="center"/>
          </w:tcPr>
          <w:p>
            <w:pPr>
              <w:jc w:val="right"/>
              <w:rPr>
                <w:color w:val="000000"/>
                <w:szCs w:val="21"/>
              </w:rPr>
            </w:pPr>
          </w:p>
        </w:tc>
        <w:tc>
          <w:tcPr>
            <w:tcW w:w="1267" w:type="pct"/>
            <w:vAlign w:val="center"/>
          </w:tcPr>
          <w:p>
            <w:pPr>
              <w:jc w:val="right"/>
              <w:rPr>
                <w:color w:val="000000"/>
                <w:szCs w:val="21"/>
              </w:rPr>
            </w:pPr>
          </w:p>
        </w:tc>
      </w:tr>
      <w:tr>
        <w:tc>
          <w:tcPr>
            <w:tcW w:w="1158" w:type="pct"/>
            <w:vAlign w:val="center"/>
          </w:tcPr>
          <w:p>
            <w:pPr>
              <w:rPr>
                <w:color w:val="000000"/>
                <w:szCs w:val="21"/>
              </w:rPr>
            </w:pPr>
            <w:r>
              <w:rPr>
                <w:rFonts w:hint="eastAsia"/>
                <w:color w:val="000000"/>
                <w:szCs w:val="21"/>
              </w:rPr>
              <w:t>1-2年</w:t>
            </w:r>
          </w:p>
        </w:tc>
        <w:tc>
          <w:tcPr>
            <w:tcW w:w="1276" w:type="pct"/>
            <w:vAlign w:val="center"/>
          </w:tcPr>
          <w:p>
            <w:pPr>
              <w:jc w:val="right"/>
              <w:rPr>
                <w:color w:val="000000"/>
                <w:szCs w:val="21"/>
              </w:rPr>
            </w:pPr>
            <w:r>
              <w:rPr>
                <w:rFonts w:hint="eastAsia"/>
                <w:color w:val="000000"/>
                <w:szCs w:val="21"/>
              </w:rPr>
              <w:t>1,120</w:t>
            </w:r>
          </w:p>
        </w:tc>
        <w:tc>
          <w:tcPr>
            <w:tcW w:w="1299" w:type="pct"/>
            <w:vAlign w:val="center"/>
          </w:tcPr>
          <w:p>
            <w:pPr>
              <w:jc w:val="right"/>
              <w:rPr>
                <w:color w:val="000000"/>
                <w:szCs w:val="21"/>
              </w:rPr>
            </w:pPr>
            <w:r>
              <w:rPr>
                <w:rFonts w:hint="eastAsia"/>
                <w:color w:val="000000"/>
                <w:szCs w:val="21"/>
              </w:rPr>
              <w:t>34</w:t>
            </w:r>
            <w:r>
              <w:rPr>
                <w:color w:val="000000"/>
                <w:szCs w:val="21"/>
              </w:rPr>
              <w:t>8</w:t>
            </w:r>
          </w:p>
        </w:tc>
        <w:tc>
          <w:tcPr>
            <w:tcW w:w="1267" w:type="pct"/>
            <w:vAlign w:val="center"/>
          </w:tcPr>
          <w:p>
            <w:pPr>
              <w:jc w:val="right"/>
              <w:rPr>
                <w:color w:val="000000"/>
                <w:szCs w:val="21"/>
              </w:rPr>
            </w:pPr>
            <w:r>
              <w:rPr>
                <w:rFonts w:hint="eastAsia"/>
                <w:color w:val="000000"/>
                <w:szCs w:val="21"/>
              </w:rPr>
              <w:t>31</w:t>
            </w:r>
          </w:p>
        </w:tc>
      </w:tr>
      <w:tr>
        <w:tc>
          <w:tcPr>
            <w:tcW w:w="1158" w:type="pct"/>
            <w:vAlign w:val="center"/>
          </w:tcPr>
          <w:p>
            <w:pPr>
              <w:rPr>
                <w:color w:val="000000"/>
                <w:szCs w:val="21"/>
              </w:rPr>
            </w:pPr>
            <w:r>
              <w:rPr>
                <w:rFonts w:hint="eastAsia"/>
                <w:color w:val="000000"/>
                <w:szCs w:val="21"/>
              </w:rPr>
              <w:t>2-3年</w:t>
            </w:r>
          </w:p>
        </w:tc>
        <w:tc>
          <w:tcPr>
            <w:tcW w:w="1276" w:type="pct"/>
            <w:vAlign w:val="center"/>
          </w:tcPr>
          <w:p>
            <w:pPr>
              <w:jc w:val="right"/>
              <w:rPr>
                <w:color w:val="000000"/>
                <w:szCs w:val="21"/>
              </w:rPr>
            </w:pPr>
            <w:r>
              <w:rPr>
                <w:rFonts w:hint="eastAsia"/>
                <w:color w:val="000000"/>
                <w:szCs w:val="21"/>
              </w:rPr>
              <w:t>15,910</w:t>
            </w:r>
          </w:p>
        </w:tc>
        <w:tc>
          <w:tcPr>
            <w:tcW w:w="1299" w:type="pct"/>
            <w:vAlign w:val="center"/>
          </w:tcPr>
          <w:p>
            <w:pPr>
              <w:jc w:val="right"/>
              <w:rPr>
                <w:color w:val="000000"/>
                <w:szCs w:val="21"/>
              </w:rPr>
            </w:pPr>
            <w:r>
              <w:rPr>
                <w:rFonts w:hint="eastAsia"/>
                <w:color w:val="000000"/>
                <w:szCs w:val="21"/>
              </w:rPr>
              <w:t>8,257</w:t>
            </w:r>
          </w:p>
        </w:tc>
        <w:tc>
          <w:tcPr>
            <w:tcW w:w="1267" w:type="pct"/>
            <w:vAlign w:val="center"/>
          </w:tcPr>
          <w:p>
            <w:pPr>
              <w:jc w:val="right"/>
              <w:rPr>
                <w:color w:val="000000"/>
                <w:szCs w:val="21"/>
              </w:rPr>
            </w:pPr>
            <w:r>
              <w:rPr>
                <w:rFonts w:hint="eastAsia"/>
                <w:color w:val="000000"/>
                <w:szCs w:val="21"/>
              </w:rPr>
              <w:t>52</w:t>
            </w:r>
          </w:p>
        </w:tc>
      </w:tr>
      <w:tr>
        <w:tc>
          <w:tcPr>
            <w:tcW w:w="1158" w:type="pct"/>
            <w:vAlign w:val="center"/>
          </w:tcPr>
          <w:p>
            <w:pPr>
              <w:rPr>
                <w:color w:val="000000"/>
                <w:szCs w:val="21"/>
              </w:rPr>
            </w:pPr>
            <w:r>
              <w:rPr>
                <w:rFonts w:hint="eastAsia"/>
                <w:color w:val="000000"/>
                <w:szCs w:val="21"/>
              </w:rPr>
              <w:t>3年以上</w:t>
            </w:r>
          </w:p>
        </w:tc>
        <w:tc>
          <w:tcPr>
            <w:tcW w:w="1276" w:type="pct"/>
            <w:vAlign w:val="center"/>
          </w:tcPr>
          <w:p>
            <w:pPr>
              <w:jc w:val="right"/>
              <w:rPr>
                <w:color w:val="000000"/>
                <w:szCs w:val="21"/>
              </w:rPr>
            </w:pPr>
            <w:r>
              <w:rPr>
                <w:rFonts w:hint="eastAsia"/>
                <w:color w:val="000000"/>
                <w:szCs w:val="21"/>
              </w:rPr>
              <w:t>2,188</w:t>
            </w:r>
          </w:p>
        </w:tc>
        <w:tc>
          <w:tcPr>
            <w:tcW w:w="1299" w:type="pct"/>
            <w:vAlign w:val="center"/>
          </w:tcPr>
          <w:p>
            <w:pPr>
              <w:jc w:val="right"/>
              <w:rPr>
                <w:color w:val="000000"/>
                <w:szCs w:val="21"/>
              </w:rPr>
            </w:pPr>
            <w:r>
              <w:rPr>
                <w:rFonts w:hint="eastAsia"/>
                <w:color w:val="000000"/>
                <w:szCs w:val="21"/>
              </w:rPr>
              <w:t>2,188</w:t>
            </w:r>
          </w:p>
        </w:tc>
        <w:tc>
          <w:tcPr>
            <w:tcW w:w="1267" w:type="pct"/>
            <w:vAlign w:val="center"/>
          </w:tcPr>
          <w:p>
            <w:pPr>
              <w:jc w:val="right"/>
              <w:rPr>
                <w:color w:val="000000"/>
                <w:szCs w:val="21"/>
              </w:rPr>
            </w:pPr>
            <w:r>
              <w:rPr>
                <w:rFonts w:hint="eastAsia"/>
                <w:color w:val="000000"/>
                <w:szCs w:val="21"/>
              </w:rPr>
              <w:t>100</w:t>
            </w:r>
          </w:p>
        </w:tc>
      </w:tr>
      <w:tr>
        <w:tc>
          <w:tcPr>
            <w:tcW w:w="1158" w:type="pct"/>
            <w:vAlign w:val="center"/>
          </w:tcPr>
          <w:p>
            <w:pPr>
              <w:jc w:val="center"/>
              <w:rPr>
                <w:szCs w:val="21"/>
              </w:rPr>
            </w:pPr>
            <w:r>
              <w:rPr>
                <w:rFonts w:hint="eastAsia"/>
                <w:szCs w:val="21"/>
              </w:rPr>
              <w:t>合计</w:t>
            </w:r>
          </w:p>
        </w:tc>
        <w:tc>
          <w:tcPr>
            <w:tcW w:w="1276" w:type="pct"/>
          </w:tcPr>
          <w:p>
            <w:pPr>
              <w:jc w:val="right"/>
              <w:rPr>
                <w:szCs w:val="21"/>
              </w:rPr>
            </w:pPr>
            <w:r>
              <w:rPr>
                <w:szCs w:val="21"/>
              </w:rPr>
              <w:t>195,274</w:t>
            </w:r>
          </w:p>
        </w:tc>
        <w:tc>
          <w:tcPr>
            <w:tcW w:w="1299" w:type="pct"/>
          </w:tcPr>
          <w:p>
            <w:pPr>
              <w:jc w:val="right"/>
              <w:rPr>
                <w:szCs w:val="21"/>
              </w:rPr>
            </w:pPr>
            <w:r>
              <w:rPr>
                <w:szCs w:val="21"/>
              </w:rPr>
              <w:t>10,793</w:t>
            </w:r>
          </w:p>
        </w:tc>
        <w:tc>
          <w:tcPr>
            <w:tcW w:w="1267" w:type="pct"/>
          </w:tcPr>
          <w:p>
            <w:pPr>
              <w:jc w:val="right"/>
              <w:rPr>
                <w:szCs w:val="21"/>
              </w:rPr>
            </w:pPr>
          </w:p>
        </w:tc>
      </w:tr>
    </w:tbl>
    <w:p>
      <w:pPr>
        <w:rPr>
          <w:szCs w:val="21"/>
        </w:rPr>
      </w:pPr>
      <w:r>
        <w:rPr>
          <w:rFonts w:hint="eastAsia"/>
          <w:szCs w:val="21"/>
        </w:rPr>
        <w:t>按组合计提坏账准备的说明：</w:t>
      </w:r>
    </w:p>
    <w:sdt>
      <w:sdtPr>
        <w:rPr>
          <w:szCs w:val="21"/>
        </w:rPr>
        <w:alias w:val="是否适用：母公司应收账款按组合计提坏账的确认标准及说明[双击切换]"/>
        <w:tag w:val="_GBC_63044b38e77844689beec86348cdea93"/>
        <w:id w:val="-44284465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e"/>
      </w:pPr>
      <w:bookmarkStart w:id="509" w:name="_Hlk534616017"/>
      <w:bookmarkEnd w:id="508"/>
      <w:r>
        <w:rPr>
          <w:rFonts w:hint="eastAsia"/>
        </w:rPr>
        <w:t>按预期信用损失一般模型计提坏账准备</w:t>
      </w:r>
    </w:p>
    <w:sdt>
      <w:sdtPr>
        <w:alias w:val="是否适用：母公司应收账款按一般预计信用损失模型计提坏账[双击切换]"/>
        <w:tag w:val="_GBC_681a6428f5004327ac9c72b5eb632f13"/>
        <w:id w:val="147942497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各阶段划分依据和坏账准备计提比例"/>
        <w:tag w:val="_GBC_715f45f6066e4ba295d3973a2eed903b"/>
        <w:id w:val="33467415"/>
        <w:placeholder>
          <w:docPart w:val="GBC22222222222222222222222222222"/>
        </w:placeholder>
      </w:sdtPr>
      <w:sdtContent>
        <w:p>
          <w:pPr>
            <w:rPr>
              <w:rFonts w:cs="Times New Roman"/>
              <w:bCs/>
              <w:szCs w:val="22"/>
            </w:rPr>
          </w:pPr>
          <w:r>
            <w:rPr>
              <w:rFonts w:cs="Times New Roman"/>
              <w:bCs/>
              <w:szCs w:val="22"/>
            </w:rPr>
            <w:t>-</w:t>
          </w:r>
        </w:p>
      </w:sdtContent>
    </w:sdt>
    <w:p>
      <w:pPr>
        <w:pStyle w:val="affffffffffffffffffffffffffffffffe"/>
      </w:pPr>
    </w:p>
    <w:p>
      <w:pPr>
        <w:pStyle w:val="affffffffffffffffffffffffffffffffffff"/>
      </w:pPr>
      <w:r>
        <w:rPr>
          <w:rFonts w:hint="eastAsia"/>
        </w:rPr>
        <w:t>对本期发生损失准备变动的应收账款账面余额显著变动的情况说明：</w:t>
      </w:r>
    </w:p>
    <w:sdt>
      <w:sdtPr>
        <w:rPr>
          <w:szCs w:val="21"/>
        </w:rPr>
        <w:alias w:val="是否适用：母公司对本期发生损失准备变动的账面余额显著变动的情况说明[双击切换]"/>
        <w:tag w:val="_GBC_2624b4d5ae5d4288ad7c6f9bcbcff810"/>
        <w:id w:val="1122501662"/>
        <w:placeholder>
          <w:docPart w:val="GBC22222222222222222222222222222"/>
        </w:placeholder>
      </w:sdtPr>
      <w:sdtContent>
        <w:p>
          <w:pPr>
            <w:autoSpaceDE w:val="0"/>
            <w:autoSpaceDN w:val="0"/>
            <w:adjustRightInd w:val="0"/>
            <w:ind w:rightChars="50" w:right="105"/>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rPr>
          <w:szCs w:val="21"/>
        </w:rPr>
      </w:pPr>
    </w:p>
    <w:p>
      <w:pPr>
        <w:pStyle w:val="afffffffffffffffffffffffffffffffff1"/>
        <w:numPr>
          <w:ilvl w:val="3"/>
          <w:numId w:val="193"/>
        </w:numPr>
        <w:ind w:left="426" w:hangingChars="202" w:hanging="426"/>
        <w:rPr>
          <w:szCs w:val="21"/>
        </w:rPr>
      </w:pPr>
      <w:bookmarkStart w:id="510" w:name="_Hlk534890665"/>
      <w:bookmarkEnd w:id="509"/>
      <w:r>
        <w:rPr>
          <w:rFonts w:hint="eastAsia"/>
          <w:szCs w:val="21"/>
        </w:rPr>
        <w:t>坏账准备的情况</w:t>
      </w:r>
    </w:p>
    <w:sdt>
      <w:sdtPr>
        <w:rPr>
          <w:szCs w:val="21"/>
        </w:rPr>
        <w:alias w:val="是否适用：母公司应收账款坏账准备情况[双击切换]"/>
        <w:tag w:val="_GBC_c4b273c4d86b423ea0abe5794b3a9a07"/>
        <w:id w:val="1314605923"/>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191103769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母公司应收账款坏账准备情况"/>
          <w:tag w:val="_GBC_e88786d88c2b4853820fef447c6f542a"/>
          <w:id w:val="-9171685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44"/>
        <w:gridCol w:w="1213"/>
        <w:gridCol w:w="1317"/>
        <w:gridCol w:w="1212"/>
        <w:gridCol w:w="1216"/>
        <w:gridCol w:w="1212"/>
        <w:gridCol w:w="1209"/>
      </w:tblGrid>
      <w:tr>
        <w:trPr>
          <w:jc w:val="center"/>
        </w:trPr>
        <w:sdt>
          <w:sdtPr>
            <w:rPr>
              <w:szCs w:val="21"/>
            </w:rPr>
            <w:tag w:val="_PLD_98300d230c0347eb87a2635ad51c1d00"/>
            <w:id w:val="-892189887"/>
          </w:sdtPr>
          <w:sdtContent>
            <w:tc>
              <w:tcPr>
                <w:tcW w:w="818" w:type="pct"/>
                <w:vMerge w:val="restart"/>
                <w:shd w:val="clear" w:color="auto" w:fill="FFFFFF"/>
                <w:vAlign w:val="center"/>
              </w:tcPr>
              <w:p>
                <w:pPr>
                  <w:widowControl w:val="0"/>
                  <w:jc w:val="center"/>
                  <w:rPr>
                    <w:szCs w:val="21"/>
                  </w:rPr>
                </w:pPr>
                <w:r>
                  <w:rPr>
                    <w:szCs w:val="21"/>
                  </w:rPr>
                  <w:t>类别</w:t>
                </w:r>
              </w:p>
            </w:tc>
          </w:sdtContent>
        </w:sdt>
        <w:sdt>
          <w:sdtPr>
            <w:rPr>
              <w:szCs w:val="21"/>
            </w:rPr>
            <w:tag w:val="_PLD_7769f2b383ef45cea01b90026bb353c2"/>
            <w:id w:val="1786619832"/>
          </w:sdtPr>
          <w:sdtContent>
            <w:tc>
              <w:tcPr>
                <w:tcW w:w="687" w:type="pct"/>
                <w:vMerge w:val="restart"/>
                <w:shd w:val="clear" w:color="auto" w:fill="FFFFFF"/>
                <w:vAlign w:val="center"/>
              </w:tcPr>
              <w:p>
                <w:pPr>
                  <w:widowControl w:val="0"/>
                  <w:jc w:val="center"/>
                  <w:rPr>
                    <w:szCs w:val="21"/>
                  </w:rPr>
                </w:pPr>
                <w:r>
                  <w:rPr>
                    <w:szCs w:val="21"/>
                  </w:rPr>
                  <w:t>期初余额</w:t>
                </w:r>
              </w:p>
            </w:tc>
          </w:sdtContent>
        </w:sdt>
        <w:sdt>
          <w:sdtPr>
            <w:rPr>
              <w:szCs w:val="21"/>
            </w:rPr>
            <w:tag w:val="_PLD_cd024d723ca84c77aded9d7b7313563b"/>
            <w:id w:val="-1300147940"/>
          </w:sdtPr>
          <w:sdtContent>
            <w:tc>
              <w:tcPr>
                <w:tcW w:w="2809" w:type="pct"/>
                <w:gridSpan w:val="4"/>
                <w:shd w:val="clear" w:color="auto" w:fill="FFFFFF"/>
                <w:vAlign w:val="center"/>
              </w:tcPr>
              <w:p>
                <w:pPr>
                  <w:widowControl w:val="0"/>
                  <w:jc w:val="center"/>
                  <w:rPr>
                    <w:szCs w:val="21"/>
                  </w:rPr>
                </w:pPr>
                <w:r>
                  <w:rPr>
                    <w:rFonts w:hint="eastAsia"/>
                    <w:szCs w:val="21"/>
                  </w:rPr>
                  <w:t>本期变动</w:t>
                </w:r>
                <w:r>
                  <w:rPr>
                    <w:szCs w:val="21"/>
                  </w:rPr>
                  <w:t>金额</w:t>
                </w:r>
              </w:p>
            </w:tc>
          </w:sdtContent>
        </w:sdt>
        <w:sdt>
          <w:sdtPr>
            <w:rPr>
              <w:szCs w:val="21"/>
            </w:rPr>
            <w:tag w:val="_PLD_1225558b3fd34599bc2c3f9eb23fba1e"/>
            <w:id w:val="-302086064"/>
          </w:sdtPr>
          <w:sdtContent>
            <w:tc>
              <w:tcPr>
                <w:tcW w:w="685" w:type="pct"/>
                <w:vMerge w:val="restart"/>
                <w:shd w:val="clear" w:color="auto" w:fill="FFFFFF"/>
                <w:vAlign w:val="center"/>
              </w:tcPr>
              <w:p>
                <w:pPr>
                  <w:widowControl w:val="0"/>
                  <w:jc w:val="center"/>
                  <w:rPr>
                    <w:szCs w:val="21"/>
                  </w:rPr>
                </w:pPr>
                <w:r>
                  <w:rPr>
                    <w:szCs w:val="21"/>
                  </w:rPr>
                  <w:t>期末余额</w:t>
                </w:r>
              </w:p>
            </w:tc>
          </w:sdtContent>
        </w:sdt>
      </w:tr>
      <w:tr>
        <w:trPr>
          <w:jc w:val="center"/>
        </w:trPr>
        <w:tc>
          <w:tcPr>
            <w:tcW w:w="818" w:type="pct"/>
            <w:vMerge/>
            <w:shd w:val="clear" w:color="auto" w:fill="FFFFFF"/>
          </w:tcPr>
          <w:p>
            <w:pPr>
              <w:widowControl w:val="0"/>
              <w:jc w:val="center"/>
              <w:rPr>
                <w:szCs w:val="21"/>
              </w:rPr>
            </w:pPr>
          </w:p>
        </w:tc>
        <w:tc>
          <w:tcPr>
            <w:tcW w:w="687" w:type="pct"/>
            <w:vMerge/>
            <w:shd w:val="clear" w:color="auto" w:fill="FFFFFF"/>
          </w:tcPr>
          <w:p>
            <w:pPr>
              <w:widowControl w:val="0"/>
              <w:jc w:val="center"/>
              <w:rPr>
                <w:szCs w:val="21"/>
              </w:rPr>
            </w:pPr>
          </w:p>
        </w:tc>
        <w:sdt>
          <w:sdtPr>
            <w:rPr>
              <w:szCs w:val="21"/>
            </w:rPr>
            <w:tag w:val="_PLD_3e1ba6e4785f430c89e70b3081ee1f0a"/>
            <w:id w:val="-864447540"/>
          </w:sdtPr>
          <w:sdtContent>
            <w:tc>
              <w:tcPr>
                <w:tcW w:w="746" w:type="pct"/>
                <w:shd w:val="clear" w:color="auto" w:fill="FFFFFF"/>
                <w:vAlign w:val="center"/>
              </w:tcPr>
              <w:p>
                <w:pPr>
                  <w:widowControl w:val="0"/>
                  <w:jc w:val="center"/>
                  <w:rPr>
                    <w:szCs w:val="21"/>
                  </w:rPr>
                </w:pPr>
                <w:r>
                  <w:rPr>
                    <w:szCs w:val="21"/>
                  </w:rPr>
                  <w:t>计提</w:t>
                </w:r>
              </w:p>
            </w:tc>
          </w:sdtContent>
        </w:sdt>
        <w:sdt>
          <w:sdtPr>
            <w:rPr>
              <w:szCs w:val="21"/>
            </w:rPr>
            <w:tag w:val="_PLD_e1238ab8ec634edb975aa51e169f4488"/>
            <w:id w:val="1795253413"/>
          </w:sdtPr>
          <w:sdtContent>
            <w:tc>
              <w:tcPr>
                <w:tcW w:w="687" w:type="pct"/>
                <w:shd w:val="clear" w:color="auto" w:fill="FFFFFF"/>
                <w:vAlign w:val="center"/>
              </w:tcPr>
              <w:p>
                <w:pPr>
                  <w:widowControl w:val="0"/>
                  <w:jc w:val="center"/>
                  <w:rPr>
                    <w:szCs w:val="21"/>
                  </w:rPr>
                </w:pPr>
                <w:r>
                  <w:rPr>
                    <w:rFonts w:hint="eastAsia"/>
                    <w:szCs w:val="21"/>
                  </w:rPr>
                  <w:t>收回或转</w:t>
                </w:r>
                <w:r>
                  <w:rPr>
                    <w:rFonts w:hint="eastAsia"/>
                    <w:szCs w:val="21"/>
                  </w:rPr>
                  <w:lastRenderedPageBreak/>
                  <w:t>回</w:t>
                </w:r>
              </w:p>
            </w:tc>
          </w:sdtContent>
        </w:sdt>
        <w:tc>
          <w:tcPr>
            <w:tcW w:w="689" w:type="pct"/>
            <w:shd w:val="clear" w:color="auto" w:fill="FFFFFF"/>
            <w:vAlign w:val="center"/>
          </w:tcPr>
          <w:sdt>
            <w:sdtPr>
              <w:rPr>
                <w:szCs w:val="21"/>
              </w:rPr>
              <w:tag w:val="_PLD_4909ee6a3062412caf5e93a150ca2e23"/>
              <w:id w:val="1825467329"/>
            </w:sdtPr>
            <w:sdtContent>
              <w:p>
                <w:pPr>
                  <w:widowControl w:val="0"/>
                  <w:jc w:val="center"/>
                  <w:rPr>
                    <w:szCs w:val="21"/>
                  </w:rPr>
                </w:pPr>
                <w:r>
                  <w:rPr>
                    <w:rFonts w:hint="eastAsia"/>
                    <w:szCs w:val="21"/>
                  </w:rPr>
                  <w:t>转销或核</w:t>
                </w:r>
                <w:r>
                  <w:rPr>
                    <w:rFonts w:hint="eastAsia"/>
                    <w:szCs w:val="21"/>
                  </w:rPr>
                  <w:lastRenderedPageBreak/>
                  <w:t>销</w:t>
                </w:r>
              </w:p>
            </w:sdtContent>
          </w:sdt>
        </w:tc>
        <w:tc>
          <w:tcPr>
            <w:tcW w:w="687" w:type="pct"/>
            <w:shd w:val="clear" w:color="auto" w:fill="FFFFFF"/>
            <w:vAlign w:val="center"/>
          </w:tcPr>
          <w:sdt>
            <w:sdtPr>
              <w:rPr>
                <w:szCs w:val="21"/>
              </w:rPr>
              <w:tag w:val="_PLD_b95e9591908443ef8eef29a18814ebfa"/>
              <w:id w:val="830026331"/>
            </w:sdtPr>
            <w:sdtContent>
              <w:p>
                <w:pPr>
                  <w:widowControl w:val="0"/>
                  <w:jc w:val="center"/>
                  <w:rPr>
                    <w:szCs w:val="21"/>
                  </w:rPr>
                </w:pPr>
                <w:r>
                  <w:rPr>
                    <w:rFonts w:hint="eastAsia"/>
                    <w:szCs w:val="21"/>
                  </w:rPr>
                  <w:t>其他变动</w:t>
                </w:r>
              </w:p>
            </w:sdtContent>
          </w:sdt>
        </w:tc>
        <w:tc>
          <w:tcPr>
            <w:tcW w:w="685" w:type="pct"/>
            <w:vMerge/>
            <w:shd w:val="clear" w:color="auto" w:fill="FFFFFF"/>
          </w:tcPr>
          <w:p>
            <w:pPr>
              <w:widowControl w:val="0"/>
              <w:jc w:val="right"/>
              <w:rPr>
                <w:szCs w:val="21"/>
              </w:rPr>
            </w:pPr>
          </w:p>
        </w:tc>
      </w:tr>
      <w:tr>
        <w:trPr>
          <w:jc w:val="center"/>
        </w:trPr>
        <w:tc>
          <w:tcPr>
            <w:tcW w:w="818" w:type="pct"/>
            <w:shd w:val="clear" w:color="auto" w:fill="auto"/>
            <w:vAlign w:val="center"/>
          </w:tcPr>
          <w:p>
            <w:pPr>
              <w:spacing w:line="360" w:lineRule="exact"/>
              <w:rPr>
                <w:szCs w:val="21"/>
              </w:rPr>
            </w:pPr>
            <w:r>
              <w:rPr>
                <w:rFonts w:hint="eastAsia"/>
                <w:szCs w:val="21"/>
              </w:rPr>
              <w:t>应收账款坏账准备</w:t>
            </w:r>
          </w:p>
        </w:tc>
        <w:tc>
          <w:tcPr>
            <w:tcW w:w="687" w:type="pct"/>
            <w:shd w:val="clear" w:color="auto" w:fill="auto"/>
            <w:vAlign w:val="center"/>
          </w:tcPr>
          <w:p>
            <w:pPr>
              <w:spacing w:line="360" w:lineRule="exact"/>
              <w:jc w:val="right"/>
              <w:rPr>
                <w:szCs w:val="21"/>
              </w:rPr>
            </w:pPr>
            <w:r>
              <w:rPr>
                <w:szCs w:val="21"/>
              </w:rPr>
              <w:t>194,773</w:t>
            </w:r>
          </w:p>
        </w:tc>
        <w:tc>
          <w:tcPr>
            <w:tcW w:w="746" w:type="pct"/>
            <w:shd w:val="clear" w:color="auto" w:fill="auto"/>
            <w:vAlign w:val="center"/>
          </w:tcPr>
          <w:p>
            <w:pPr>
              <w:spacing w:line="360" w:lineRule="exact"/>
              <w:jc w:val="right"/>
              <w:rPr>
                <w:szCs w:val="21"/>
              </w:rPr>
            </w:pPr>
            <w:r>
              <w:rPr>
                <w:szCs w:val="21"/>
              </w:rPr>
              <w:t>10,794</w:t>
            </w:r>
          </w:p>
        </w:tc>
        <w:tc>
          <w:tcPr>
            <w:tcW w:w="687" w:type="pct"/>
            <w:shd w:val="clear" w:color="auto" w:fill="auto"/>
            <w:vAlign w:val="center"/>
          </w:tcPr>
          <w:p>
            <w:pPr>
              <w:spacing w:line="360" w:lineRule="exact"/>
              <w:jc w:val="right"/>
              <w:rPr>
                <w:szCs w:val="21"/>
              </w:rPr>
            </w:pPr>
          </w:p>
        </w:tc>
        <w:tc>
          <w:tcPr>
            <w:tcW w:w="689" w:type="pct"/>
            <w:vAlign w:val="center"/>
          </w:tcPr>
          <w:p>
            <w:pPr>
              <w:spacing w:line="360" w:lineRule="exact"/>
              <w:jc w:val="right"/>
              <w:rPr>
                <w:szCs w:val="21"/>
              </w:rPr>
            </w:pPr>
          </w:p>
        </w:tc>
        <w:tc>
          <w:tcPr>
            <w:tcW w:w="687" w:type="pct"/>
            <w:vAlign w:val="center"/>
          </w:tcPr>
          <w:p>
            <w:pPr>
              <w:spacing w:line="360" w:lineRule="exact"/>
              <w:jc w:val="right"/>
              <w:rPr>
                <w:szCs w:val="21"/>
              </w:rPr>
            </w:pPr>
          </w:p>
        </w:tc>
        <w:tc>
          <w:tcPr>
            <w:tcW w:w="685" w:type="pct"/>
            <w:shd w:val="clear" w:color="auto" w:fill="auto"/>
            <w:vAlign w:val="center"/>
          </w:tcPr>
          <w:p>
            <w:pPr>
              <w:spacing w:line="360" w:lineRule="exact"/>
              <w:jc w:val="right"/>
              <w:rPr>
                <w:szCs w:val="21"/>
              </w:rPr>
            </w:pPr>
            <w:r>
              <w:rPr>
                <w:szCs w:val="21"/>
              </w:rPr>
              <w:t>205,567</w:t>
            </w:r>
          </w:p>
        </w:tc>
      </w:tr>
      <w:tr>
        <w:trPr>
          <w:jc w:val="center"/>
        </w:trPr>
        <w:tc>
          <w:tcPr>
            <w:tcW w:w="818" w:type="pct"/>
            <w:shd w:val="clear" w:color="auto" w:fill="auto"/>
          </w:tcPr>
          <w:p>
            <w:pPr>
              <w:widowControl w:val="0"/>
              <w:jc w:val="center"/>
              <w:rPr>
                <w:szCs w:val="21"/>
              </w:rPr>
            </w:pPr>
            <w:r>
              <w:rPr>
                <w:rFonts w:hint="eastAsia"/>
                <w:szCs w:val="21"/>
              </w:rPr>
              <w:t>合计</w:t>
            </w:r>
          </w:p>
        </w:tc>
        <w:tc>
          <w:tcPr>
            <w:tcW w:w="687" w:type="pct"/>
            <w:shd w:val="clear" w:color="auto" w:fill="auto"/>
            <w:vAlign w:val="center"/>
          </w:tcPr>
          <w:p>
            <w:pPr>
              <w:spacing w:line="360" w:lineRule="exact"/>
              <w:jc w:val="right"/>
              <w:rPr>
                <w:szCs w:val="21"/>
              </w:rPr>
            </w:pPr>
            <w:r>
              <w:rPr>
                <w:szCs w:val="21"/>
              </w:rPr>
              <w:t>194,773</w:t>
            </w:r>
          </w:p>
        </w:tc>
        <w:tc>
          <w:tcPr>
            <w:tcW w:w="746" w:type="pct"/>
            <w:shd w:val="clear" w:color="auto" w:fill="auto"/>
            <w:vAlign w:val="center"/>
          </w:tcPr>
          <w:p>
            <w:pPr>
              <w:spacing w:line="360" w:lineRule="exact"/>
              <w:jc w:val="right"/>
              <w:rPr>
                <w:szCs w:val="21"/>
              </w:rPr>
            </w:pPr>
            <w:r>
              <w:rPr>
                <w:szCs w:val="21"/>
              </w:rPr>
              <w:t>10,794</w:t>
            </w:r>
          </w:p>
        </w:tc>
        <w:tc>
          <w:tcPr>
            <w:tcW w:w="687" w:type="pct"/>
            <w:shd w:val="clear" w:color="auto" w:fill="auto"/>
            <w:vAlign w:val="center"/>
          </w:tcPr>
          <w:p>
            <w:pPr>
              <w:spacing w:line="360" w:lineRule="exact"/>
              <w:jc w:val="right"/>
              <w:rPr>
                <w:szCs w:val="21"/>
              </w:rPr>
            </w:pPr>
          </w:p>
        </w:tc>
        <w:tc>
          <w:tcPr>
            <w:tcW w:w="689" w:type="pct"/>
            <w:vAlign w:val="center"/>
          </w:tcPr>
          <w:p>
            <w:pPr>
              <w:spacing w:line="360" w:lineRule="exact"/>
              <w:jc w:val="right"/>
              <w:rPr>
                <w:szCs w:val="21"/>
              </w:rPr>
            </w:pPr>
          </w:p>
        </w:tc>
        <w:tc>
          <w:tcPr>
            <w:tcW w:w="687" w:type="pct"/>
            <w:vAlign w:val="center"/>
          </w:tcPr>
          <w:p>
            <w:pPr>
              <w:spacing w:line="360" w:lineRule="exact"/>
              <w:jc w:val="right"/>
              <w:rPr>
                <w:szCs w:val="21"/>
              </w:rPr>
            </w:pPr>
          </w:p>
        </w:tc>
        <w:tc>
          <w:tcPr>
            <w:tcW w:w="685" w:type="pct"/>
            <w:shd w:val="clear" w:color="auto" w:fill="auto"/>
            <w:vAlign w:val="center"/>
          </w:tcPr>
          <w:p>
            <w:pPr>
              <w:spacing w:line="360" w:lineRule="exact"/>
              <w:jc w:val="right"/>
              <w:rPr>
                <w:szCs w:val="21"/>
              </w:rPr>
            </w:pPr>
            <w:r>
              <w:rPr>
                <w:szCs w:val="21"/>
              </w:rPr>
              <w:t>205,567</w:t>
            </w:r>
          </w:p>
        </w:tc>
      </w:tr>
    </w:tbl>
    <w:p>
      <w:pPr>
        <w:pStyle w:val="affffffffffffffffffffffffffffffffffff"/>
        <w:rPr>
          <w:szCs w:val="21"/>
        </w:rPr>
      </w:pPr>
    </w:p>
    <w:p>
      <w:pPr>
        <w:pStyle w:val="affffffffffffffffffffffffffffffffe"/>
        <w:rPr>
          <w:szCs w:val="21"/>
        </w:rPr>
      </w:pPr>
      <w:bookmarkStart w:id="511" w:name="_Hlk153789356"/>
      <w:bookmarkEnd w:id="510"/>
      <w:r>
        <w:rPr>
          <w:rFonts w:hint="eastAsia"/>
          <w:szCs w:val="21"/>
        </w:rPr>
        <w:t>其中本期坏账准备收回或转回金额重要的：</w:t>
      </w:r>
    </w:p>
    <w:sdt>
      <w:sdtPr>
        <w:rPr>
          <w:szCs w:val="21"/>
        </w:rPr>
        <w:alias w:val="是否适用：母公司其中本期坏账准备收回或转回金额重要的[双击切换]"/>
        <w:tag w:val="_GBC_5f9ff028d97f4757bc779516f257bedd"/>
        <w:id w:val="813293811"/>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rPr>
          <w:szCs w:val="21"/>
        </w:rPr>
      </w:pPr>
    </w:p>
    <w:p>
      <w:pPr>
        <w:pStyle w:val="affffffffffffffffffffffffffffffffe"/>
        <w:rPr>
          <w:szCs w:val="21"/>
        </w:rPr>
      </w:pPr>
      <w:r>
        <w:rPr>
          <w:rFonts w:hint="eastAsia"/>
          <w:szCs w:val="21"/>
        </w:rPr>
        <w:t>其他说明：</w:t>
      </w:r>
    </w:p>
    <w:sdt>
      <w:sdtPr>
        <w:rPr>
          <w:szCs w:val="21"/>
        </w:rPr>
        <w:alias w:val="应收账款坏账准备情况的说明"/>
        <w:tag w:val="_GBC_cff8cbc4c64e413fadcc7d21dcb34fc7"/>
        <w:id w:val="1010411836"/>
        <w:placeholder>
          <w:docPart w:val="GBC22222222222222222222222222222"/>
        </w:placeholder>
      </w:sdtPr>
      <w:sdtContent>
        <w:p>
          <w:pPr>
            <w:ind w:rightChars="-759" w:right="-1594"/>
            <w:rPr>
              <w:szCs w:val="21"/>
            </w:rPr>
          </w:pPr>
          <w:r>
            <w:rPr>
              <w:szCs w:val="21"/>
            </w:rPr>
            <w:t>-</w:t>
          </w:r>
        </w:p>
      </w:sdtContent>
    </w:sdt>
    <w:p>
      <w:pPr>
        <w:ind w:rightChars="-759" w:right="-1594"/>
      </w:pPr>
    </w:p>
    <w:bookmarkEnd w:id="511"/>
    <w:p>
      <w:pPr>
        <w:pStyle w:val="afffffffffffffffffffffffffffffffff1"/>
        <w:numPr>
          <w:ilvl w:val="3"/>
          <w:numId w:val="193"/>
        </w:numPr>
        <w:ind w:left="426" w:hangingChars="202" w:hanging="426"/>
      </w:pPr>
      <w:r>
        <w:t>本期实际核销的应收</w:t>
      </w:r>
      <w:r>
        <w:rPr>
          <w:rFonts w:hint="eastAsia"/>
        </w:rPr>
        <w:t>账款</w:t>
      </w:r>
      <w:r>
        <w:t>情况</w:t>
      </w:r>
    </w:p>
    <w:sdt>
      <w:sdtPr>
        <w:alias w:val="是否适用：母公司本期实际核销的应收账款情况[双击切换]"/>
        <w:tag w:val="_GBC_a30d476ac6184bc98f9b334fa55067ac"/>
        <w:id w:val="-958100516"/>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51337600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应收账款核销说明：</w:t>
      </w:r>
    </w:p>
    <w:sdt>
      <w:sdtPr>
        <w:rPr>
          <w:rFonts w:hint="eastAsia"/>
          <w:szCs w:val="21"/>
        </w:rPr>
        <w:alias w:val="是否适用：母公司应收账款核销说明[双击切换]"/>
        <w:tag w:val="_GBC_2ba809c9e31c411795d7353d4b11a774"/>
        <w:id w:val="-419109278"/>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1"/>
        <w:numPr>
          <w:ilvl w:val="3"/>
          <w:numId w:val="193"/>
        </w:numPr>
        <w:ind w:left="426" w:hangingChars="202" w:hanging="426"/>
      </w:pPr>
      <w:bookmarkStart w:id="512" w:name="_Hlk153789714"/>
      <w:bookmarkStart w:id="513" w:name="_Hlk90023019"/>
      <w:r>
        <w:rPr>
          <w:rFonts w:hint="eastAsia"/>
        </w:rPr>
        <w:t>按欠款方归集的期末余额前五名的应收账款和合同资产情况</w:t>
      </w:r>
    </w:p>
    <w:sdt>
      <w:sdtPr>
        <w:rPr>
          <w:rFonts w:hint="eastAsia"/>
          <w:szCs w:val="21"/>
        </w:rPr>
        <w:alias w:val="是否适用：按欠款方归集的期末余额前五名的应收账款情况[双击切换]"/>
        <w:tag w:val="_GBC_7fffc10e897f45d19e0dc3f8ffc2224f"/>
        <w:id w:val="-1484767559"/>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e41caaf031c645a09f9ff82e1bde3008"/>
          <w:id w:val="-206401670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千元</w:t>
          </w:r>
        </w:sdtContent>
      </w:sdt>
      <w:r>
        <w:rPr>
          <w:rFonts w:hint="eastAsia"/>
          <w:szCs w:val="21"/>
        </w:rPr>
        <w:t xml:space="preserve">  币种：</w:t>
      </w:r>
      <w:sdt>
        <w:sdtPr>
          <w:rPr>
            <w:rFonts w:hint="eastAsia"/>
            <w:szCs w:val="21"/>
          </w:rPr>
          <w:alias w:val="币种：财务附注：应收账款前五名欠款情况"/>
          <w:tag w:val="_GBC_03b6faf9055245869ad37558d10f0525"/>
          <w:id w:val="14885127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7"/>
        <w:gridCol w:w="2208"/>
        <w:gridCol w:w="2204"/>
        <w:gridCol w:w="2204"/>
      </w:tblGrid>
      <w:tr>
        <w:trPr>
          <w:cantSplit/>
        </w:trPr>
        <w:sdt>
          <w:sdtPr>
            <w:rPr>
              <w:szCs w:val="21"/>
            </w:rPr>
            <w:tag w:val="_PLD_68ef52d85e9b4f23a72393cc4b01b204"/>
            <w:id w:val="-2126686665"/>
          </w:sdtPr>
          <w:sdtContent>
            <w:tc>
              <w:tcPr>
                <w:tcW w:w="1251" w:type="pct"/>
                <w:vAlign w:val="center"/>
              </w:tcPr>
              <w:p>
                <w:pPr>
                  <w:ind w:right="105"/>
                  <w:jc w:val="center"/>
                  <w:rPr>
                    <w:szCs w:val="21"/>
                  </w:rPr>
                </w:pPr>
                <w:r>
                  <w:rPr>
                    <w:rFonts w:hint="eastAsia"/>
                    <w:szCs w:val="21"/>
                  </w:rPr>
                  <w:t>单位名称</w:t>
                </w:r>
              </w:p>
            </w:tc>
          </w:sdtContent>
        </w:sdt>
        <w:sdt>
          <w:sdtPr>
            <w:rPr>
              <w:szCs w:val="21"/>
            </w:rPr>
            <w:tag w:val="_PLD_a62fd4b0ddfb407795d57ea0471df65a"/>
            <w:id w:val="-598949693"/>
          </w:sdtPr>
          <w:sdtContent>
            <w:tc>
              <w:tcPr>
                <w:tcW w:w="1251" w:type="pct"/>
                <w:vAlign w:val="center"/>
              </w:tcPr>
              <w:p>
                <w:pPr>
                  <w:ind w:right="73"/>
                  <w:jc w:val="center"/>
                  <w:rPr>
                    <w:szCs w:val="21"/>
                  </w:rPr>
                </w:pPr>
                <w:r>
                  <w:rPr>
                    <w:rFonts w:hint="eastAsia"/>
                    <w:szCs w:val="21"/>
                  </w:rPr>
                  <w:t>应收账款期末余额</w:t>
                </w:r>
              </w:p>
            </w:tc>
          </w:sdtContent>
        </w:sdt>
        <w:sdt>
          <w:sdtPr>
            <w:rPr>
              <w:szCs w:val="21"/>
            </w:rPr>
            <w:tag w:val="_PLD_e84ecb8c9e5146e8b4ede4a709c5ef5f"/>
            <w:id w:val="1423072905"/>
          </w:sdtPr>
          <w:sdtContent>
            <w:tc>
              <w:tcPr>
                <w:tcW w:w="1249" w:type="pct"/>
                <w:vAlign w:val="center"/>
              </w:tcPr>
              <w:p>
                <w:pPr>
                  <w:jc w:val="center"/>
                  <w:rPr>
                    <w:szCs w:val="21"/>
                  </w:rPr>
                </w:pPr>
                <w:r>
                  <w:rPr>
                    <w:rFonts w:hint="eastAsia"/>
                    <w:szCs w:val="21"/>
                  </w:rPr>
                  <w:t>占应收账款和合同资产期末余额合计数的比例（%）</w:t>
                </w:r>
              </w:p>
            </w:tc>
          </w:sdtContent>
        </w:sdt>
        <w:sdt>
          <w:sdtPr>
            <w:rPr>
              <w:szCs w:val="21"/>
            </w:rPr>
            <w:tag w:val="_PLD_da58e99405a342aa95b8ffb814c33752"/>
            <w:id w:val="19201870"/>
          </w:sdtPr>
          <w:sdtContent>
            <w:tc>
              <w:tcPr>
                <w:tcW w:w="1249" w:type="pct"/>
                <w:vAlign w:val="center"/>
              </w:tcPr>
              <w:p>
                <w:pPr>
                  <w:jc w:val="center"/>
                  <w:rPr>
                    <w:szCs w:val="21"/>
                  </w:rPr>
                </w:pPr>
                <w:r>
                  <w:rPr>
                    <w:rFonts w:hint="eastAsia"/>
                    <w:szCs w:val="21"/>
                  </w:rPr>
                  <w:t>坏账准备期末余额</w:t>
                </w:r>
              </w:p>
            </w:tc>
          </w:sdtContent>
        </w:sdt>
      </w:tr>
      <w:tr>
        <w:trPr>
          <w:cantSplit/>
        </w:trPr>
        <w:tc>
          <w:tcPr>
            <w:tcW w:w="1251" w:type="pct"/>
            <w:vAlign w:val="center"/>
          </w:tcPr>
          <w:p>
            <w:pPr>
              <w:rPr>
                <w:color w:val="000000"/>
                <w:szCs w:val="21"/>
              </w:rPr>
            </w:pPr>
            <w:r>
              <w:rPr>
                <w:rFonts w:hint="eastAsia"/>
                <w:color w:val="000000"/>
                <w:szCs w:val="21"/>
              </w:rPr>
              <w:t>公司1</w:t>
            </w:r>
          </w:p>
        </w:tc>
        <w:tc>
          <w:tcPr>
            <w:tcW w:w="1251" w:type="pct"/>
            <w:vAlign w:val="center"/>
          </w:tcPr>
          <w:p>
            <w:pPr>
              <w:jc w:val="right"/>
              <w:rPr>
                <w:color w:val="000000"/>
                <w:szCs w:val="21"/>
              </w:rPr>
            </w:pPr>
            <w:r>
              <w:rPr>
                <w:rFonts w:hint="eastAsia"/>
                <w:color w:val="000000"/>
                <w:szCs w:val="21"/>
              </w:rPr>
              <w:t>596,944</w:t>
            </w:r>
          </w:p>
        </w:tc>
        <w:tc>
          <w:tcPr>
            <w:tcW w:w="1249" w:type="pct"/>
            <w:vAlign w:val="center"/>
          </w:tcPr>
          <w:p>
            <w:pPr>
              <w:jc w:val="center"/>
              <w:rPr>
                <w:color w:val="000000"/>
                <w:szCs w:val="21"/>
              </w:rPr>
            </w:pPr>
            <w:r>
              <w:rPr>
                <w:color w:val="000000"/>
                <w:szCs w:val="21"/>
              </w:rPr>
              <w:t>23</w:t>
            </w:r>
          </w:p>
        </w:tc>
        <w:tc>
          <w:tcPr>
            <w:tcW w:w="1249" w:type="pct"/>
            <w:vAlign w:val="center"/>
          </w:tcPr>
          <w:p>
            <w:pPr>
              <w:jc w:val="right"/>
              <w:rPr>
                <w:color w:val="000000"/>
                <w:szCs w:val="21"/>
              </w:rPr>
            </w:pPr>
          </w:p>
        </w:tc>
      </w:tr>
      <w:tr>
        <w:trPr>
          <w:cantSplit/>
        </w:trPr>
        <w:tc>
          <w:tcPr>
            <w:tcW w:w="1251" w:type="pct"/>
            <w:vAlign w:val="center"/>
          </w:tcPr>
          <w:p>
            <w:pPr>
              <w:rPr>
                <w:color w:val="000000"/>
                <w:szCs w:val="21"/>
              </w:rPr>
            </w:pPr>
            <w:r>
              <w:rPr>
                <w:rFonts w:hint="eastAsia"/>
                <w:color w:val="000000"/>
                <w:szCs w:val="21"/>
              </w:rPr>
              <w:t>公司2</w:t>
            </w:r>
          </w:p>
        </w:tc>
        <w:tc>
          <w:tcPr>
            <w:tcW w:w="1251" w:type="pct"/>
            <w:vAlign w:val="center"/>
          </w:tcPr>
          <w:p>
            <w:pPr>
              <w:jc w:val="right"/>
              <w:rPr>
                <w:color w:val="000000"/>
                <w:szCs w:val="21"/>
              </w:rPr>
            </w:pPr>
            <w:r>
              <w:rPr>
                <w:rFonts w:hint="eastAsia"/>
                <w:color w:val="000000"/>
                <w:szCs w:val="21"/>
              </w:rPr>
              <w:t>516,120</w:t>
            </w:r>
          </w:p>
        </w:tc>
        <w:tc>
          <w:tcPr>
            <w:tcW w:w="1249" w:type="pct"/>
            <w:vAlign w:val="center"/>
          </w:tcPr>
          <w:p>
            <w:pPr>
              <w:jc w:val="center"/>
              <w:rPr>
                <w:color w:val="000000"/>
                <w:szCs w:val="21"/>
              </w:rPr>
            </w:pPr>
            <w:r>
              <w:rPr>
                <w:color w:val="000000"/>
                <w:szCs w:val="21"/>
              </w:rPr>
              <w:t>20</w:t>
            </w:r>
          </w:p>
        </w:tc>
        <w:tc>
          <w:tcPr>
            <w:tcW w:w="1249" w:type="pct"/>
            <w:vAlign w:val="center"/>
          </w:tcPr>
          <w:p>
            <w:pPr>
              <w:jc w:val="right"/>
              <w:rPr>
                <w:color w:val="000000"/>
                <w:szCs w:val="21"/>
              </w:rPr>
            </w:pPr>
          </w:p>
        </w:tc>
      </w:tr>
      <w:tr>
        <w:trPr>
          <w:cantSplit/>
        </w:trPr>
        <w:tc>
          <w:tcPr>
            <w:tcW w:w="1251" w:type="pct"/>
            <w:vAlign w:val="center"/>
          </w:tcPr>
          <w:p>
            <w:pPr>
              <w:rPr>
                <w:color w:val="000000"/>
                <w:szCs w:val="21"/>
              </w:rPr>
            </w:pPr>
            <w:r>
              <w:rPr>
                <w:rFonts w:hint="eastAsia"/>
                <w:color w:val="000000"/>
                <w:szCs w:val="21"/>
              </w:rPr>
              <w:t>公司3</w:t>
            </w:r>
          </w:p>
        </w:tc>
        <w:tc>
          <w:tcPr>
            <w:tcW w:w="1251" w:type="pct"/>
            <w:vAlign w:val="center"/>
          </w:tcPr>
          <w:p>
            <w:pPr>
              <w:jc w:val="right"/>
              <w:rPr>
                <w:color w:val="000000"/>
                <w:szCs w:val="21"/>
              </w:rPr>
            </w:pPr>
            <w:r>
              <w:rPr>
                <w:rFonts w:hint="eastAsia"/>
                <w:color w:val="000000"/>
                <w:szCs w:val="21"/>
              </w:rPr>
              <w:t>235,613</w:t>
            </w:r>
          </w:p>
        </w:tc>
        <w:tc>
          <w:tcPr>
            <w:tcW w:w="1249" w:type="pct"/>
            <w:vAlign w:val="center"/>
          </w:tcPr>
          <w:p>
            <w:pPr>
              <w:jc w:val="center"/>
              <w:rPr>
                <w:color w:val="000000"/>
                <w:szCs w:val="21"/>
              </w:rPr>
            </w:pPr>
            <w:r>
              <w:rPr>
                <w:color w:val="000000"/>
                <w:szCs w:val="21"/>
              </w:rPr>
              <w:t>9</w:t>
            </w:r>
          </w:p>
        </w:tc>
        <w:tc>
          <w:tcPr>
            <w:tcW w:w="1249" w:type="pct"/>
            <w:vAlign w:val="center"/>
          </w:tcPr>
          <w:p>
            <w:pPr>
              <w:jc w:val="right"/>
              <w:rPr>
                <w:color w:val="000000"/>
                <w:szCs w:val="21"/>
              </w:rPr>
            </w:pPr>
            <w:r>
              <w:rPr>
                <w:rFonts w:hint="eastAsia"/>
                <w:color w:val="000000"/>
                <w:szCs w:val="21"/>
              </w:rPr>
              <w:t>189,496</w:t>
            </w:r>
          </w:p>
        </w:tc>
      </w:tr>
      <w:tr>
        <w:trPr>
          <w:cantSplit/>
        </w:trPr>
        <w:tc>
          <w:tcPr>
            <w:tcW w:w="1251" w:type="pct"/>
            <w:vAlign w:val="center"/>
          </w:tcPr>
          <w:p>
            <w:pPr>
              <w:rPr>
                <w:color w:val="000000"/>
                <w:szCs w:val="21"/>
              </w:rPr>
            </w:pPr>
            <w:r>
              <w:rPr>
                <w:rFonts w:hint="eastAsia"/>
                <w:color w:val="000000"/>
                <w:szCs w:val="21"/>
              </w:rPr>
              <w:t>公司4</w:t>
            </w:r>
          </w:p>
        </w:tc>
        <w:tc>
          <w:tcPr>
            <w:tcW w:w="1251" w:type="pct"/>
            <w:vAlign w:val="center"/>
          </w:tcPr>
          <w:p>
            <w:pPr>
              <w:jc w:val="right"/>
              <w:rPr>
                <w:color w:val="000000"/>
                <w:szCs w:val="21"/>
              </w:rPr>
            </w:pPr>
            <w:r>
              <w:rPr>
                <w:rFonts w:hint="eastAsia"/>
                <w:color w:val="000000"/>
                <w:szCs w:val="21"/>
              </w:rPr>
              <w:t>198,962</w:t>
            </w:r>
          </w:p>
        </w:tc>
        <w:tc>
          <w:tcPr>
            <w:tcW w:w="1249" w:type="pct"/>
            <w:vAlign w:val="center"/>
          </w:tcPr>
          <w:p>
            <w:pPr>
              <w:jc w:val="center"/>
              <w:rPr>
                <w:color w:val="000000"/>
                <w:szCs w:val="21"/>
              </w:rPr>
            </w:pPr>
            <w:r>
              <w:rPr>
                <w:color w:val="000000"/>
                <w:szCs w:val="21"/>
              </w:rPr>
              <w:t>8</w:t>
            </w:r>
          </w:p>
        </w:tc>
        <w:tc>
          <w:tcPr>
            <w:tcW w:w="1249" w:type="pct"/>
            <w:vAlign w:val="center"/>
          </w:tcPr>
          <w:p>
            <w:pPr>
              <w:jc w:val="right"/>
              <w:rPr>
                <w:color w:val="000000"/>
                <w:szCs w:val="21"/>
              </w:rPr>
            </w:pPr>
          </w:p>
        </w:tc>
      </w:tr>
      <w:tr>
        <w:trPr>
          <w:cantSplit/>
        </w:trPr>
        <w:tc>
          <w:tcPr>
            <w:tcW w:w="1251" w:type="pct"/>
            <w:vAlign w:val="center"/>
          </w:tcPr>
          <w:p>
            <w:pPr>
              <w:rPr>
                <w:color w:val="000000"/>
                <w:szCs w:val="21"/>
              </w:rPr>
            </w:pPr>
            <w:r>
              <w:rPr>
                <w:rFonts w:hint="eastAsia"/>
                <w:color w:val="000000"/>
                <w:szCs w:val="21"/>
              </w:rPr>
              <w:t>公司5</w:t>
            </w:r>
          </w:p>
        </w:tc>
        <w:tc>
          <w:tcPr>
            <w:tcW w:w="1251" w:type="pct"/>
            <w:vAlign w:val="center"/>
          </w:tcPr>
          <w:p>
            <w:pPr>
              <w:jc w:val="right"/>
              <w:rPr>
                <w:color w:val="000000"/>
                <w:szCs w:val="21"/>
              </w:rPr>
            </w:pPr>
            <w:r>
              <w:rPr>
                <w:rFonts w:hint="eastAsia"/>
                <w:color w:val="000000"/>
                <w:szCs w:val="21"/>
              </w:rPr>
              <w:t>151,758</w:t>
            </w:r>
          </w:p>
        </w:tc>
        <w:tc>
          <w:tcPr>
            <w:tcW w:w="1249" w:type="pct"/>
            <w:vAlign w:val="center"/>
          </w:tcPr>
          <w:p>
            <w:pPr>
              <w:jc w:val="center"/>
              <w:rPr>
                <w:color w:val="000000"/>
                <w:szCs w:val="21"/>
                <w:highlight w:val="yellow"/>
              </w:rPr>
            </w:pPr>
            <w:r>
              <w:rPr>
                <w:color w:val="000000"/>
                <w:szCs w:val="21"/>
              </w:rPr>
              <w:t>6</w:t>
            </w:r>
          </w:p>
        </w:tc>
        <w:tc>
          <w:tcPr>
            <w:tcW w:w="1249" w:type="pct"/>
            <w:vAlign w:val="center"/>
          </w:tcPr>
          <w:p>
            <w:pPr>
              <w:jc w:val="right"/>
              <w:rPr>
                <w:color w:val="000000"/>
                <w:szCs w:val="21"/>
              </w:rPr>
            </w:pPr>
          </w:p>
        </w:tc>
      </w:tr>
      <w:tr>
        <w:trPr>
          <w:cantSplit/>
        </w:trPr>
        <w:tc>
          <w:tcPr>
            <w:tcW w:w="1251" w:type="pct"/>
            <w:vAlign w:val="center"/>
          </w:tcPr>
          <w:p>
            <w:pPr>
              <w:rPr>
                <w:color w:val="000000"/>
                <w:szCs w:val="21"/>
              </w:rPr>
            </w:pPr>
            <w:r>
              <w:rPr>
                <w:rFonts w:hint="eastAsia"/>
                <w:color w:val="000000"/>
                <w:szCs w:val="21"/>
              </w:rPr>
              <w:t>合计</w:t>
            </w:r>
          </w:p>
        </w:tc>
        <w:tc>
          <w:tcPr>
            <w:tcW w:w="1251" w:type="pct"/>
            <w:vAlign w:val="center"/>
          </w:tcPr>
          <w:p>
            <w:pPr>
              <w:jc w:val="right"/>
              <w:rPr>
                <w:color w:val="000000"/>
                <w:szCs w:val="21"/>
              </w:rPr>
            </w:pPr>
            <w:r>
              <w:rPr>
                <w:color w:val="000000"/>
                <w:szCs w:val="21"/>
              </w:rPr>
              <w:t>1,699,397</w:t>
            </w:r>
          </w:p>
        </w:tc>
        <w:tc>
          <w:tcPr>
            <w:tcW w:w="1249" w:type="pct"/>
            <w:vAlign w:val="center"/>
          </w:tcPr>
          <w:p>
            <w:pPr>
              <w:jc w:val="center"/>
              <w:rPr>
                <w:color w:val="000000"/>
                <w:szCs w:val="21"/>
              </w:rPr>
            </w:pPr>
            <w:r>
              <w:rPr>
                <w:rFonts w:hint="eastAsia"/>
                <w:color w:val="000000"/>
                <w:szCs w:val="21"/>
              </w:rPr>
              <w:t>6</w:t>
            </w:r>
            <w:r>
              <w:rPr>
                <w:color w:val="000000"/>
                <w:szCs w:val="21"/>
              </w:rPr>
              <w:t>6</w:t>
            </w:r>
          </w:p>
        </w:tc>
        <w:tc>
          <w:tcPr>
            <w:tcW w:w="1249" w:type="pct"/>
            <w:vAlign w:val="center"/>
          </w:tcPr>
          <w:p>
            <w:pPr>
              <w:jc w:val="right"/>
              <w:rPr>
                <w:color w:val="000000"/>
                <w:szCs w:val="21"/>
              </w:rPr>
            </w:pPr>
            <w:r>
              <w:rPr>
                <w:color w:val="000000"/>
                <w:szCs w:val="21"/>
              </w:rPr>
              <w:t>189,496</w:t>
            </w:r>
          </w:p>
        </w:tc>
      </w:tr>
    </w:tbl>
    <w:p>
      <w:pPr>
        <w:pStyle w:val="afffffffffffff8"/>
        <w:rPr>
          <w:szCs w:val="21"/>
        </w:rPr>
      </w:pPr>
    </w:p>
    <w:p>
      <w:pPr>
        <w:snapToGrid w:val="0"/>
        <w:spacing w:line="240" w:lineRule="atLeast"/>
        <w:rPr>
          <w:szCs w:val="21"/>
        </w:rPr>
      </w:pPr>
      <w:r>
        <w:rPr>
          <w:rFonts w:hint="eastAsia"/>
          <w:szCs w:val="21"/>
        </w:rPr>
        <w:t>其他说明：</w:t>
      </w:r>
    </w:p>
    <w:sdt>
      <w:sdtPr>
        <w:rPr>
          <w:szCs w:val="21"/>
        </w:rPr>
        <w:alias w:val="按欠款方归集的期末余额前五名的应收账款情况的说明"/>
        <w:tag w:val="_GBC_4233d26567cb46b2a0053fbc4949e5ad"/>
        <w:id w:val="-1331357328"/>
        <w:placeholder>
          <w:docPart w:val="GBC22222222222222222222222222222"/>
        </w:placeholder>
      </w:sdtPr>
      <w:sdtContent>
        <w:p>
          <w:pPr>
            <w:snapToGrid w:val="0"/>
            <w:spacing w:line="240" w:lineRule="atLeast"/>
            <w:rPr>
              <w:szCs w:val="21"/>
            </w:rPr>
          </w:pPr>
          <w:r>
            <w:rPr>
              <w:szCs w:val="21"/>
            </w:rPr>
            <w:t>-</w:t>
          </w:r>
        </w:p>
      </w:sdtContent>
    </w:sdt>
    <w:p>
      <w:pPr>
        <w:snapToGrid w:val="0"/>
        <w:spacing w:line="240" w:lineRule="atLeast"/>
        <w:rPr>
          <w:rFonts w:ascii="Times New Roman" w:hAnsi="Times New Roman"/>
          <w:szCs w:val="21"/>
        </w:rPr>
      </w:pPr>
    </w:p>
    <w:bookmarkEnd w:id="512"/>
    <w:bookmarkEnd w:id="513"/>
    <w:p>
      <w:pPr>
        <w:pStyle w:val="affffffffffffffffffffffffffffffffe"/>
        <w:rPr>
          <w:szCs w:val="21"/>
        </w:rPr>
      </w:pPr>
      <w:r>
        <w:rPr>
          <w:rFonts w:hint="eastAsia"/>
          <w:szCs w:val="21"/>
        </w:rPr>
        <w:t>其他</w:t>
      </w:r>
      <w:r>
        <w:rPr>
          <w:szCs w:val="21"/>
        </w:rPr>
        <w:t>说明：</w:t>
      </w:r>
    </w:p>
    <w:sdt>
      <w:sdtPr>
        <w:alias w:val="是否适用：母公司应收账款其他说明[双击切换]"/>
        <w:tag w:val="_GBC_4765684a53b9474f898fa6c2bd313427"/>
        <w:id w:val="601844093"/>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p>
      <w:pPr>
        <w:pStyle w:val="afffffffffffffffffffffffffffffffff0"/>
        <w:numPr>
          <w:ilvl w:val="0"/>
          <w:numId w:val="148"/>
        </w:numPr>
        <w:rPr>
          <w:rFonts w:ascii="宋体" w:hAnsi="宋体"/>
          <w:szCs w:val="21"/>
        </w:rPr>
      </w:pPr>
      <w:r>
        <w:rPr>
          <w:rFonts w:ascii="宋体" w:hAnsi="宋体" w:hint="eastAsia"/>
          <w:szCs w:val="21"/>
        </w:rPr>
        <w:t>其他应收款</w:t>
      </w:r>
    </w:p>
    <w:p>
      <w:pPr>
        <w:pStyle w:val="afffffffffffffffffffffffffffffffff1"/>
        <w:numPr>
          <w:ilvl w:val="0"/>
          <w:numId w:val="149"/>
        </w:numPr>
        <w:rPr>
          <w:szCs w:val="21"/>
        </w:rPr>
      </w:pPr>
      <w:bookmarkStart w:id="514" w:name="_Hlk153789873"/>
      <w:bookmarkStart w:id="515" w:name="_Hlk533796954"/>
      <w:r>
        <w:rPr>
          <w:rFonts w:hint="eastAsia"/>
          <w:szCs w:val="21"/>
        </w:rPr>
        <w:t>项目列示</w:t>
      </w:r>
    </w:p>
    <w:sdt>
      <w:sdtPr>
        <w:rPr>
          <w:szCs w:val="21"/>
        </w:rPr>
        <w:alias w:val="是否适用：母公司其他应收款分类列示[双击切换]"/>
        <w:tag w:val="_GBC_eca97260629e4985b01404cfe0f9630b"/>
        <w:id w:val="874045339"/>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其他应收款分类列示"/>
          <w:tag w:val="_GBC_3e648241a63447daac5dd00971efb146"/>
          <w:id w:val="-17162723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其他应收款分类列示"/>
          <w:tag w:val="_GBC_c7b8206dd7dd44fcb02f4cced206c1b8"/>
          <w:id w:val="10037796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3113"/>
        <w:gridCol w:w="2862"/>
        <w:gridCol w:w="2848"/>
      </w:tblGrid>
      <w:tr>
        <w:trPr>
          <w:cantSplit/>
        </w:trPr>
        <w:sdt>
          <w:sdtPr>
            <w:rPr>
              <w:szCs w:val="21"/>
            </w:rPr>
            <w:tag w:val="_PLD_3fbe550dc0704e7ebed42463d474129d"/>
            <w:id w:val="501945009"/>
          </w:sdtPr>
          <w:sdtContent>
            <w:tc>
              <w:tcPr>
                <w:tcW w:w="1764" w:type="pct"/>
                <w:vAlign w:val="center"/>
              </w:tcPr>
              <w:p>
                <w:pPr>
                  <w:jc w:val="center"/>
                  <w:rPr>
                    <w:szCs w:val="21"/>
                  </w:rPr>
                </w:pPr>
                <w:r>
                  <w:rPr>
                    <w:rFonts w:hint="eastAsia"/>
                    <w:szCs w:val="21"/>
                  </w:rPr>
                  <w:t>项目</w:t>
                </w:r>
              </w:p>
            </w:tc>
          </w:sdtContent>
        </w:sdt>
        <w:sdt>
          <w:sdtPr>
            <w:rPr>
              <w:szCs w:val="21"/>
            </w:rPr>
            <w:tag w:val="_PLD_5161bba6c7a3460784316b0695f47487"/>
            <w:id w:val="1801343117"/>
          </w:sdtPr>
          <w:sdtContent>
            <w:tc>
              <w:tcPr>
                <w:tcW w:w="1622" w:type="pct"/>
                <w:vAlign w:val="center"/>
              </w:tcPr>
              <w:p>
                <w:pPr>
                  <w:jc w:val="center"/>
                  <w:rPr>
                    <w:szCs w:val="21"/>
                  </w:rPr>
                </w:pPr>
                <w:r>
                  <w:rPr>
                    <w:rFonts w:hint="eastAsia"/>
                    <w:szCs w:val="21"/>
                  </w:rPr>
                  <w:t>期末余额</w:t>
                </w:r>
              </w:p>
            </w:tc>
          </w:sdtContent>
        </w:sdt>
        <w:sdt>
          <w:sdtPr>
            <w:rPr>
              <w:szCs w:val="21"/>
            </w:rPr>
            <w:tag w:val="_PLD_54007dfc9bc24ec0b86bc4694efe4938"/>
            <w:id w:val="-2108498035"/>
          </w:sdtPr>
          <w:sdtContent>
            <w:tc>
              <w:tcPr>
                <w:tcW w:w="1614" w:type="pct"/>
                <w:vAlign w:val="center"/>
              </w:tcPr>
              <w:p>
                <w:pPr>
                  <w:jc w:val="center"/>
                  <w:rPr>
                    <w:szCs w:val="21"/>
                  </w:rPr>
                </w:pPr>
                <w:r>
                  <w:rPr>
                    <w:rFonts w:hint="eastAsia"/>
                    <w:szCs w:val="21"/>
                  </w:rPr>
                  <w:t>期初余额</w:t>
                </w:r>
              </w:p>
            </w:tc>
          </w:sdtContent>
        </w:sdt>
      </w:tr>
      <w:tr>
        <w:trPr>
          <w:cantSplit/>
        </w:trPr>
        <w:tc>
          <w:tcPr>
            <w:tcW w:w="1764" w:type="pct"/>
          </w:tcPr>
          <w:p>
            <w:pPr>
              <w:ind w:right="5"/>
              <w:rPr>
                <w:szCs w:val="21"/>
              </w:rPr>
            </w:pPr>
            <w:r>
              <w:rPr>
                <w:rFonts w:hint="eastAsia"/>
                <w:szCs w:val="21"/>
              </w:rPr>
              <w:t>应收股利</w:t>
            </w:r>
          </w:p>
        </w:tc>
        <w:tc>
          <w:tcPr>
            <w:tcW w:w="1622" w:type="pct"/>
            <w:vAlign w:val="center"/>
          </w:tcPr>
          <w:p>
            <w:pPr>
              <w:spacing w:line="360" w:lineRule="exact"/>
              <w:jc w:val="right"/>
              <w:rPr>
                <w:szCs w:val="21"/>
              </w:rPr>
            </w:pPr>
            <w:r>
              <w:rPr>
                <w:szCs w:val="21"/>
              </w:rPr>
              <w:t>10,657,134</w:t>
            </w:r>
          </w:p>
        </w:tc>
        <w:tc>
          <w:tcPr>
            <w:tcW w:w="1614" w:type="pct"/>
            <w:vAlign w:val="center"/>
          </w:tcPr>
          <w:p>
            <w:pPr>
              <w:spacing w:line="360" w:lineRule="exact"/>
              <w:jc w:val="right"/>
              <w:rPr>
                <w:szCs w:val="21"/>
              </w:rPr>
            </w:pPr>
            <w:r>
              <w:rPr>
                <w:szCs w:val="21"/>
              </w:rPr>
              <w:t>4,949,900</w:t>
            </w:r>
          </w:p>
        </w:tc>
      </w:tr>
      <w:tr>
        <w:trPr>
          <w:cantSplit/>
        </w:trPr>
        <w:tc>
          <w:tcPr>
            <w:tcW w:w="1764" w:type="pct"/>
          </w:tcPr>
          <w:p>
            <w:pPr>
              <w:ind w:right="5"/>
              <w:rPr>
                <w:szCs w:val="21"/>
              </w:rPr>
            </w:pPr>
            <w:r>
              <w:rPr>
                <w:rFonts w:hint="eastAsia"/>
                <w:szCs w:val="21"/>
              </w:rPr>
              <w:t>其他应收款</w:t>
            </w:r>
          </w:p>
        </w:tc>
        <w:tc>
          <w:tcPr>
            <w:tcW w:w="1622" w:type="pct"/>
            <w:vAlign w:val="center"/>
          </w:tcPr>
          <w:p>
            <w:pPr>
              <w:spacing w:line="360" w:lineRule="exact"/>
              <w:jc w:val="right"/>
              <w:rPr>
                <w:szCs w:val="21"/>
              </w:rPr>
            </w:pPr>
            <w:r>
              <w:rPr>
                <w:szCs w:val="21"/>
              </w:rPr>
              <w:t>41,979,259</w:t>
            </w:r>
          </w:p>
        </w:tc>
        <w:tc>
          <w:tcPr>
            <w:tcW w:w="1614" w:type="pct"/>
            <w:vAlign w:val="center"/>
          </w:tcPr>
          <w:p>
            <w:pPr>
              <w:spacing w:line="360" w:lineRule="exact"/>
              <w:jc w:val="right"/>
              <w:rPr>
                <w:szCs w:val="21"/>
              </w:rPr>
            </w:pPr>
            <w:r>
              <w:rPr>
                <w:szCs w:val="21"/>
              </w:rPr>
              <w:t>32,017,465</w:t>
            </w:r>
          </w:p>
        </w:tc>
      </w:tr>
      <w:tr>
        <w:trPr>
          <w:cantSplit/>
        </w:trPr>
        <w:tc>
          <w:tcPr>
            <w:tcW w:w="1764" w:type="pct"/>
          </w:tcPr>
          <w:p>
            <w:pPr>
              <w:autoSpaceDE w:val="0"/>
              <w:autoSpaceDN w:val="0"/>
              <w:adjustRightInd w:val="0"/>
              <w:rPr>
                <w:szCs w:val="21"/>
              </w:rPr>
            </w:pPr>
            <w:r>
              <w:rPr>
                <w:rFonts w:hint="eastAsia"/>
                <w:szCs w:val="21"/>
              </w:rPr>
              <w:lastRenderedPageBreak/>
              <w:t>合计</w:t>
            </w:r>
          </w:p>
        </w:tc>
        <w:tc>
          <w:tcPr>
            <w:tcW w:w="1622" w:type="pct"/>
          </w:tcPr>
          <w:p>
            <w:pPr>
              <w:jc w:val="right"/>
              <w:rPr>
                <w:szCs w:val="21"/>
              </w:rPr>
            </w:pPr>
            <w:r>
              <w:rPr>
                <w:szCs w:val="21"/>
              </w:rPr>
              <w:t>52,636,393</w:t>
            </w:r>
          </w:p>
        </w:tc>
        <w:tc>
          <w:tcPr>
            <w:tcW w:w="1614" w:type="pct"/>
          </w:tcPr>
          <w:p>
            <w:pPr>
              <w:jc w:val="right"/>
              <w:rPr>
                <w:szCs w:val="21"/>
              </w:rPr>
            </w:pPr>
            <w:r>
              <w:rPr>
                <w:szCs w:val="21"/>
              </w:rPr>
              <w:t>36,967,365</w:t>
            </w:r>
          </w:p>
        </w:tc>
      </w:tr>
    </w:tbl>
    <w:p>
      <w:pPr>
        <w:pStyle w:val="affffffffffffffffffffffffffffffffe"/>
        <w:rPr>
          <w:szCs w:val="21"/>
        </w:rPr>
      </w:pPr>
    </w:p>
    <w:p>
      <w:pPr>
        <w:rPr>
          <w:szCs w:val="21"/>
        </w:rPr>
      </w:pPr>
      <w:bookmarkStart w:id="516" w:name="_Hlk533797002"/>
      <w:bookmarkEnd w:id="514"/>
      <w:bookmarkEnd w:id="515"/>
      <w:r>
        <w:rPr>
          <w:rFonts w:hint="eastAsia"/>
          <w:szCs w:val="21"/>
        </w:rPr>
        <w:t>其他说明：</w:t>
      </w:r>
    </w:p>
    <w:sdt>
      <w:sdtPr>
        <w:rPr>
          <w:szCs w:val="21"/>
        </w:rPr>
        <w:alias w:val="是否适用：母公司其他应收款分类列示其他说明[双击切换]"/>
        <w:tag w:val="_GBC_17d0b67d20cb486dbc08e07c11e1224a"/>
        <w:id w:val="2112394598"/>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516"/>
    <w:p>
      <w:pPr>
        <w:pStyle w:val="affffffffffffffffffffffffffffffffe"/>
        <w:rPr>
          <w:szCs w:val="21"/>
        </w:rPr>
      </w:pPr>
    </w:p>
    <w:p>
      <w:pPr>
        <w:pStyle w:val="afffffffffffffffffffffffffffffffff1"/>
        <w:numPr>
          <w:ilvl w:val="0"/>
          <w:numId w:val="149"/>
        </w:numPr>
        <w:rPr>
          <w:szCs w:val="21"/>
        </w:rPr>
      </w:pPr>
      <w:r>
        <w:rPr>
          <w:rFonts w:hint="eastAsia"/>
          <w:szCs w:val="21"/>
        </w:rPr>
        <w:t>应收利息</w:t>
      </w:r>
    </w:p>
    <w:p>
      <w:pPr>
        <w:pStyle w:val="afffffffffffffffffffffffffffffffff2"/>
        <w:numPr>
          <w:ilvl w:val="0"/>
          <w:numId w:val="150"/>
        </w:numPr>
        <w:ind w:leftChars="0"/>
        <w:rPr>
          <w:szCs w:val="21"/>
        </w:rPr>
      </w:pPr>
      <w:bookmarkStart w:id="517" w:name="_Hlk533797042"/>
      <w:r>
        <w:rPr>
          <w:rFonts w:hint="eastAsia"/>
          <w:szCs w:val="21"/>
        </w:rPr>
        <w:t>应收利息分类</w:t>
      </w:r>
    </w:p>
    <w:sdt>
      <w:sdtPr>
        <w:rPr>
          <w:szCs w:val="21"/>
        </w:rPr>
        <w:alias w:val="是否适用：母公司应收利息分类[双击切换]"/>
        <w:tag w:val="_GBC_5e0cba78d09b4764ada25ce89de1c4fd"/>
        <w:id w:val="-877459874"/>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2"/>
        <w:numPr>
          <w:ilvl w:val="0"/>
          <w:numId w:val="150"/>
        </w:numPr>
        <w:ind w:leftChars="0"/>
        <w:rPr>
          <w:rFonts w:asciiTheme="minorHAnsi" w:hAnsiTheme="minorHAnsi" w:cs="宋体"/>
          <w:kern w:val="0"/>
          <w:szCs w:val="22"/>
        </w:rPr>
      </w:pPr>
      <w:bookmarkStart w:id="518" w:name="_Hlk533797114"/>
      <w:bookmarkEnd w:id="517"/>
      <w:r>
        <w:rPr>
          <w:rFonts w:asciiTheme="minorHAnsi" w:hAnsiTheme="minorHAnsi" w:cs="宋体" w:hint="eastAsia"/>
          <w:kern w:val="0"/>
          <w:szCs w:val="22"/>
        </w:rPr>
        <w:t>重要逾期利息</w:t>
      </w:r>
    </w:p>
    <w:sdt>
      <w:sdtPr>
        <w:alias w:val="是否适用：母公司重要逾期利息[双击切换]"/>
        <w:tag w:val="_GBC_2d954f5af6a64a34941652eeb166dce8"/>
        <w:id w:val="-159670522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50"/>
        </w:numPr>
        <w:ind w:leftChars="0"/>
        <w:rPr>
          <w:rFonts w:asciiTheme="minorHAnsi" w:hAnsiTheme="minorHAnsi" w:cs="宋体"/>
          <w:kern w:val="0"/>
          <w:szCs w:val="22"/>
        </w:rPr>
      </w:pPr>
      <w:bookmarkStart w:id="519" w:name="_Hlk153789950"/>
      <w:bookmarkStart w:id="520" w:name="_Hlk154149455"/>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按坏账计提方法分类披露[双击切换]"/>
        <w:tag w:val="_GBC_fe4d472a766545fe91e93448a26e5403"/>
        <w:id w:val="212249218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母公司按单项计提坏账准备的详细情况[双击切换]"/>
        <w:tag w:val="_GBC_d06b9654dbc04fa7af49f1a5ad28f657"/>
        <w:id w:val="-82913848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母公司按单项计提坏账准备的说明[双击切换]"/>
        <w:tag w:val="_GBC_7a6fa6b7c7de4c12942ac6477ec9ffb8"/>
        <w:id w:val="-167695129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ce999ec0925c4191a03a5c3b162652e0"/>
        <w:id w:val="-1083676278"/>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pStyle w:val="afffffffffffffffffffffffffffffffff2"/>
        <w:numPr>
          <w:ilvl w:val="0"/>
          <w:numId w:val="150"/>
        </w:numPr>
        <w:ind w:leftChars="0"/>
        <w:rPr>
          <w:rFonts w:asciiTheme="minorHAnsi" w:hAnsiTheme="minorHAnsi" w:cs="宋体"/>
          <w:kern w:val="0"/>
          <w:szCs w:val="22"/>
        </w:rPr>
      </w:pPr>
      <w:bookmarkStart w:id="521" w:name="_Hlk533868784"/>
      <w:bookmarkEnd w:id="518"/>
      <w:bookmarkEnd w:id="519"/>
      <w:bookmarkEnd w:id="520"/>
      <w:r>
        <w:rPr>
          <w:rFonts w:asciiTheme="minorHAnsi" w:hAnsiTheme="minorHAnsi" w:cs="宋体" w:hint="eastAsia"/>
          <w:kern w:val="0"/>
          <w:szCs w:val="22"/>
        </w:rPr>
        <w:t>按</w:t>
      </w:r>
      <w:r>
        <w:rPr>
          <w:rFonts w:hint="eastAsia"/>
          <w:szCs w:val="22"/>
        </w:rPr>
        <w:t>预期信用损失一般模型计提坏账准备</w:t>
      </w:r>
    </w:p>
    <w:sdt>
      <w:sdtPr>
        <w:rPr>
          <w:szCs w:val="21"/>
        </w:rPr>
        <w:alias w:val="是否适用：母公司应收利息坏账准备调节表[双击切换]"/>
        <w:tag w:val="_GBC_f31c9323c5434941917fd7e42ea1fd1b"/>
        <w:id w:val="56716123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autoSpaceDE w:val="0"/>
        <w:autoSpaceDN w:val="0"/>
        <w:adjustRightInd w:val="0"/>
        <w:ind w:rightChars="50" w:right="105"/>
        <w:rPr>
          <w:szCs w:val="21"/>
        </w:rPr>
      </w:pPr>
      <w:bookmarkStart w:id="522" w:name="OLE_LINK5"/>
      <w:r>
        <w:rPr>
          <w:rFonts w:hint="eastAsia"/>
          <w:szCs w:val="21"/>
        </w:rPr>
        <w:t>各阶段划分依据和坏账准备计提比例</w:t>
      </w:r>
    </w:p>
    <w:bookmarkEnd w:id="522" w:displacedByCustomXml="next"/>
    <w:sdt>
      <w:sdtPr>
        <w:rPr>
          <w:rFonts w:cs="Times New Roman"/>
          <w:bCs/>
          <w:szCs w:val="22"/>
        </w:rPr>
        <w:alias w:val="应收利息各阶段划分依据和坏账准备计提比例"/>
        <w:tag w:val="_GBC_b77aa29618704a4d96dead6a87509661"/>
        <w:id w:val="-601262600"/>
        <w:placeholder>
          <w:docPart w:val="GBC22222222222222222222222222222"/>
        </w:placeholder>
      </w:sdtPr>
      <w:sdtContent>
        <w:p>
          <w:pPr>
            <w:rPr>
              <w:rFonts w:cs="Times New Roman"/>
              <w:bCs/>
              <w:szCs w:val="22"/>
            </w:rPr>
          </w:pPr>
          <w:r>
            <w:rPr>
              <w:rFonts w:cs="Times New Roman"/>
              <w:bCs/>
              <w:szCs w:val="22"/>
            </w:rPr>
            <w:t>-</w:t>
          </w:r>
        </w:p>
      </w:sdtContent>
    </w:sdt>
    <w:p>
      <w:pPr>
        <w:rPr>
          <w:rFonts w:cs="Times New Roman"/>
          <w:bCs/>
          <w:szCs w:val="22"/>
        </w:rPr>
      </w:pPr>
    </w:p>
    <w:p>
      <w:pPr>
        <w:pStyle w:val="affffffffffffffffffffffffffffffffffff"/>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333191425"/>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50"/>
        </w:numPr>
        <w:ind w:leftChars="0"/>
        <w:rPr>
          <w:rFonts w:asciiTheme="minorHAnsi" w:hAnsiTheme="minorHAnsi" w:cs="宋体"/>
          <w:kern w:val="0"/>
          <w:szCs w:val="22"/>
        </w:rPr>
      </w:pPr>
      <w:bookmarkStart w:id="523" w:name="_Hlk533797211"/>
      <w:bookmarkStart w:id="524" w:name="_Hlk154149866"/>
      <w:bookmarkStart w:id="525" w:name="_Hlk153790581"/>
      <w:bookmarkEnd w:id="521"/>
      <w:bookmarkEnd w:id="523"/>
      <w:r>
        <w:rPr>
          <w:rFonts w:asciiTheme="minorHAnsi" w:hAnsiTheme="minorHAnsi" w:cs="宋体" w:hint="eastAsia"/>
          <w:kern w:val="0"/>
          <w:szCs w:val="22"/>
        </w:rPr>
        <w:t>坏账准备的情况</w:t>
      </w:r>
    </w:p>
    <w:sdt>
      <w:sdtPr>
        <w:alias w:val="是否适用：母公司坏账准备情况[双击切换]"/>
        <w:tag w:val="_GBC_44a257b47fa748eca2cab9dd0877e841"/>
        <w:id w:val="-182026447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其中本期坏账准备收回或转回金额重要的：</w:t>
      </w:r>
    </w:p>
    <w:sdt>
      <w:sdtPr>
        <w:alias w:val="是否适用：本期坏账准备收回或转回金额重要的[双击切换]"/>
        <w:tag w:val="_GBC_dda1c249e9da4520abee515b8b42f5f4"/>
        <w:id w:val="12227062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母公司坏账准备情况的说明"/>
        <w:tag w:val="_GBC_31b65196a31b451f9f81b4cd487599d5"/>
        <w:id w:val="-236777262"/>
        <w:placeholder>
          <w:docPart w:val="GBC22222222222222222222222222222"/>
        </w:placeholder>
      </w:sdtPr>
      <w:sdtContent>
        <w:p>
          <w:pPr>
            <w:ind w:rightChars="20" w:right="42"/>
          </w:pPr>
          <w:r>
            <w:t>-</w:t>
          </w:r>
        </w:p>
      </w:sdtContent>
    </w:sdt>
    <w:p>
      <w:pPr>
        <w:ind w:rightChars="-759" w:right="-1594"/>
      </w:pPr>
    </w:p>
    <w:p>
      <w:pPr>
        <w:pStyle w:val="afffffffffffffffffffffffffffffffff2"/>
        <w:numPr>
          <w:ilvl w:val="0"/>
          <w:numId w:val="150"/>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196672864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其中重要的应收利息核销情况</w:t>
      </w:r>
    </w:p>
    <w:sdt>
      <w:sdtPr>
        <w:rPr>
          <w:rFonts w:hint="eastAsia"/>
          <w:szCs w:val="21"/>
        </w:rPr>
        <w:alias w:val="是否适用：母公司重要的核销情况[双击切换]"/>
        <w:tag w:val="_GBC_d68df6b80a1a45bcb388baf56df1b958"/>
        <w:id w:val="-1763169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核销说明：</w:t>
      </w:r>
    </w:p>
    <w:sdt>
      <w:sdtPr>
        <w:rPr>
          <w:szCs w:val="21"/>
        </w:rPr>
        <w:alias w:val="是否适用：母公司核销说明[双击切换]"/>
        <w:tag w:val="_GBC_dd0453ff96014cb191f4b96cd3787f15"/>
        <w:id w:val="2026668010"/>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524"/>
    <w:p>
      <w:pPr>
        <w:pStyle w:val="affffffffffffffffffffffffffffffffe"/>
      </w:pPr>
      <w:r>
        <w:rPr>
          <w:rFonts w:hint="eastAsia"/>
        </w:rPr>
        <w:t>其他说明：</w:t>
      </w:r>
    </w:p>
    <w:sdt>
      <w:sdtPr>
        <w:rPr>
          <w:rFonts w:hint="eastAsia"/>
          <w:szCs w:val="21"/>
        </w:rPr>
        <w:alias w:val="是否适用：应收利息的说明[双击切换]"/>
        <w:tag w:val="_GBC_9a3e6e5b075544d3b90be42ae9d883ef"/>
        <w:id w:val="-206170695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525"/>
    <w:p>
      <w:pPr>
        <w:pStyle w:val="afffffffffffffffffffffffffffffffff1"/>
        <w:numPr>
          <w:ilvl w:val="0"/>
          <w:numId w:val="149"/>
        </w:numPr>
      </w:pPr>
      <w:r>
        <w:rPr>
          <w:rFonts w:hint="eastAsia"/>
        </w:rPr>
        <w:t>应收股利</w:t>
      </w:r>
    </w:p>
    <w:p>
      <w:pPr>
        <w:pStyle w:val="afffffffffffffffffffffffffffffffff2"/>
        <w:numPr>
          <w:ilvl w:val="0"/>
          <w:numId w:val="151"/>
        </w:numPr>
        <w:ind w:leftChars="0"/>
        <w:rPr>
          <w:rFonts w:asciiTheme="minorHAnsi" w:hAnsiTheme="minorHAnsi" w:cs="宋体"/>
          <w:kern w:val="0"/>
          <w:szCs w:val="22"/>
        </w:rPr>
      </w:pPr>
      <w:bookmarkStart w:id="526" w:name="_Hlk533797257"/>
      <w:r>
        <w:rPr>
          <w:rFonts w:asciiTheme="minorHAnsi" w:hAnsiTheme="minorHAnsi" w:cs="宋体" w:hint="eastAsia"/>
          <w:kern w:val="0"/>
          <w:szCs w:val="22"/>
        </w:rPr>
        <w:t>应收股利</w:t>
      </w:r>
    </w:p>
    <w:sdt>
      <w:sdtPr>
        <w:alias w:val="是否适用：母公司应收股利[双击切换]"/>
        <w:tag w:val="_GBC_a52dcf5153694fbe9527781c61a5006e"/>
        <w:id w:val="-116469703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pStyle w:val="afffffffffffffffffffffffffffffffff2"/>
        <w:numPr>
          <w:ilvl w:val="0"/>
          <w:numId w:val="151"/>
        </w:numPr>
        <w:ind w:leftChars="0"/>
        <w:rPr>
          <w:rFonts w:asciiTheme="minorHAnsi" w:hAnsiTheme="minorHAnsi" w:cs="宋体"/>
          <w:kern w:val="0"/>
          <w:szCs w:val="22"/>
        </w:rPr>
      </w:pPr>
      <w:bookmarkStart w:id="527" w:name="_Hlk533797316"/>
      <w:bookmarkEnd w:id="526"/>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sdt>
      <w:sdtPr>
        <w:rPr>
          <w:szCs w:val="21"/>
        </w:rPr>
        <w:alias w:val="是否适用：母公司重要的账龄超过1年的应收股利[双击切换]"/>
        <w:tag w:val="_GBC_70eb463d08894908bb104ae0b258e76e"/>
        <w:id w:val="1003546361"/>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2"/>
        <w:numPr>
          <w:ilvl w:val="0"/>
          <w:numId w:val="151"/>
        </w:numPr>
        <w:ind w:leftChars="0"/>
        <w:rPr>
          <w:rFonts w:asciiTheme="minorHAnsi" w:hAnsiTheme="minorHAnsi" w:cs="宋体"/>
          <w:kern w:val="0"/>
          <w:szCs w:val="22"/>
        </w:rPr>
      </w:pPr>
      <w:bookmarkStart w:id="528" w:name="_Hlk153790907"/>
      <w:bookmarkStart w:id="529" w:name="_Hlk154150045"/>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母公司按坏账计提方法分类披露[双击切换]"/>
        <w:tag w:val="_GBC_3e6131bf64764260959e58957d1a923e"/>
        <w:id w:val="122434438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按单项计提坏账准备：</w:t>
      </w:r>
    </w:p>
    <w:sdt>
      <w:sdtPr>
        <w:alias w:val="是否适用：母公司按单项计提坏账准备的详细情况[双击切换]"/>
        <w:tag w:val="_GBC_0bffd65beafa48e6aca929c5c2140787"/>
        <w:id w:val="19559052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按单项计提坏账准备的说明：</w:t>
      </w:r>
    </w:p>
    <w:sdt>
      <w:sdtPr>
        <w:rPr>
          <w:szCs w:val="21"/>
        </w:rPr>
        <w:alias w:val="是否适用：母公司按单项计提坏账准备的说明[双击切换]"/>
        <w:tag w:val="_GBC_3ff3367dda784192860c78e5be49cae0"/>
        <w:id w:val="1613478317"/>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rPr>
          <w:rFonts w:ascii="Calibri" w:hAnsi="Calibri" w:cs="Times New Roman"/>
          <w:bCs/>
          <w:szCs w:val="22"/>
        </w:rPr>
      </w:pPr>
      <w:r>
        <w:rPr>
          <w:rFonts w:ascii="Calibri" w:hAnsi="Calibri" w:cs="Times New Roman" w:hint="eastAsia"/>
          <w:bCs/>
          <w:szCs w:val="22"/>
        </w:rPr>
        <w:t>按组合计提坏账准备：</w:t>
      </w:r>
    </w:p>
    <w:sdt>
      <w:sdtPr>
        <w:rPr>
          <w:rFonts w:ascii="Calibri" w:hAnsi="Calibri" w:cs="Times New Roman"/>
          <w:bCs/>
          <w:szCs w:val="22"/>
        </w:rPr>
        <w:alias w:val="是否适用：母公司按组合计提坏账准备的详细情况[双击切换]"/>
        <w:tag w:val="_GBC_5b769fae73d0491bae227d3968699870"/>
        <w:id w:val="-1749034545"/>
        <w:placeholder>
          <w:docPart w:val="GBC22222222222222222222222222222"/>
        </w:placeholder>
      </w:sdtPr>
      <w:sdtContent>
        <w:p>
          <w:pPr>
            <w:rPr>
              <w:szCs w:val="21"/>
            </w:rPr>
          </w:pPr>
          <w:r>
            <w:rPr>
              <w:rFonts w:cs="Times New Roman"/>
              <w:bCs/>
              <w:szCs w:val="22"/>
            </w:rPr>
            <w:fldChar w:fldCharType="begin"/>
          </w:r>
          <w:r>
            <w:rPr>
              <w:rFonts w:cs="Times New Roman"/>
              <w:bCs/>
              <w:szCs w:val="22"/>
            </w:rPr>
            <w:instrText xml:space="preserve"> MACROBUTTON  SnrToggleCheckbox □适用 </w:instrText>
          </w:r>
          <w:r>
            <w:rPr>
              <w:rFonts w:cs="Times New Roman"/>
              <w:bCs/>
              <w:szCs w:val="22"/>
            </w:rPr>
            <w:fldChar w:fldCharType="end"/>
          </w:r>
          <w:r>
            <w:rPr>
              <w:rFonts w:cs="Times New Roman"/>
              <w:bCs/>
              <w:szCs w:val="22"/>
            </w:rPr>
            <w:fldChar w:fldCharType="begin"/>
          </w:r>
          <w:r>
            <w:rPr>
              <w:rFonts w:cs="Times New Roman"/>
              <w:bCs/>
              <w:szCs w:val="22"/>
            </w:rPr>
            <w:instrText xml:space="preserve"> MACROBUTTON  SnrToggleCheckbox √不适用 </w:instrText>
          </w:r>
          <w:r>
            <w:rPr>
              <w:rFonts w:cs="Times New Roman"/>
              <w:bCs/>
              <w:szCs w:val="22"/>
            </w:rPr>
            <w:fldChar w:fldCharType="end"/>
          </w:r>
        </w:p>
      </w:sdtContent>
    </w:sdt>
    <w:p>
      <w:pPr>
        <w:rPr>
          <w:szCs w:val="21"/>
        </w:rPr>
      </w:pPr>
    </w:p>
    <w:p>
      <w:pPr>
        <w:rPr>
          <w:rFonts w:ascii="Calibri" w:hAnsi="Calibri" w:cs="Times New Roman"/>
          <w:b/>
          <w:bCs/>
          <w:szCs w:val="22"/>
        </w:rPr>
      </w:pPr>
    </w:p>
    <w:p>
      <w:pPr>
        <w:pStyle w:val="afffffffffffffffffffffffffffffffff2"/>
        <w:numPr>
          <w:ilvl w:val="0"/>
          <w:numId w:val="151"/>
        </w:numPr>
        <w:ind w:leftChars="0"/>
        <w:rPr>
          <w:rFonts w:asciiTheme="minorHAnsi" w:hAnsiTheme="minorHAnsi" w:cs="宋体"/>
          <w:kern w:val="0"/>
          <w:szCs w:val="22"/>
        </w:rPr>
      </w:pPr>
      <w:bookmarkStart w:id="530" w:name="_Hlk533868874"/>
      <w:bookmarkEnd w:id="527"/>
      <w:bookmarkEnd w:id="528"/>
      <w:bookmarkEnd w:id="529"/>
      <w:r>
        <w:rPr>
          <w:rFonts w:asciiTheme="minorHAnsi" w:hAnsiTheme="minorHAnsi" w:cs="宋体" w:hint="eastAsia"/>
          <w:kern w:val="0"/>
          <w:szCs w:val="22"/>
        </w:rPr>
        <w:t>按</w:t>
      </w:r>
      <w:r>
        <w:rPr>
          <w:rFonts w:hint="eastAsia"/>
          <w:szCs w:val="22"/>
        </w:rPr>
        <w:t>预期信用损失一般模型计提坏账准备</w:t>
      </w:r>
    </w:p>
    <w:sdt>
      <w:sdtPr>
        <w:alias w:val="是否适用：母公司应收股利坏账准备调节表[双击切换]"/>
        <w:tag w:val="_GBC_5cbd8c1c52fa42d19db26aadad6a74b8"/>
        <w:id w:val="118162682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2"/>
        </w:rPr>
        <w:alias w:val="应收股利各阶段划分依据和坏账准备计提比例"/>
        <w:tag w:val="_GBC_add0117a614f4e33bfb451894481c309"/>
        <w:id w:val="451441772"/>
        <w:placeholder>
          <w:docPart w:val="GBC22222222222222222222222222222"/>
        </w:placeholder>
      </w:sdtPr>
      <w:sdtContent>
        <w:p>
          <w:pPr>
            <w:rPr>
              <w:rFonts w:cs="Times New Roman"/>
              <w:bCs/>
              <w:szCs w:val="22"/>
            </w:rPr>
          </w:pPr>
          <w:r>
            <w:rPr>
              <w:rFonts w:cs="Times New Roman"/>
              <w:bCs/>
              <w:szCs w:val="22"/>
            </w:rPr>
            <w:t>-</w:t>
          </w:r>
        </w:p>
      </w:sdtContent>
    </w:sdt>
    <w:p>
      <w:pPr>
        <w:autoSpaceDE w:val="0"/>
        <w:autoSpaceDN w:val="0"/>
        <w:adjustRightInd w:val="0"/>
        <w:ind w:rightChars="50" w:right="105"/>
        <w:rPr>
          <w:szCs w:val="21"/>
        </w:rPr>
      </w:pPr>
    </w:p>
    <w:p>
      <w:pPr>
        <w:pStyle w:val="affffffffffffffffffffffffffffffffffff"/>
      </w:pPr>
      <w:r>
        <w:rPr>
          <w:rFonts w:hint="eastAsia"/>
        </w:rPr>
        <w:t>对本期发生损失准备变动的应收股利账面余额显著变动的情况说明：</w:t>
      </w:r>
    </w:p>
    <w:sdt>
      <w:sdtPr>
        <w:rPr>
          <w:rFonts w:hint="eastAsia"/>
          <w:szCs w:val="21"/>
        </w:rPr>
        <w:alias w:val="是否适用：母公司应收股利本期发生损失准备变动且账面余额显著变动的情况说明[双击切换]"/>
        <w:tag w:val="_GBC_97e9fe7a49b947f79ce9d174eeaf0f5f"/>
        <w:id w:val="-1651506660"/>
        <w:placeholder>
          <w:docPart w:val="GBC22222222222222222222222222222"/>
        </w:placeholder>
      </w:sdtPr>
      <w:sdtContent>
        <w:p>
          <w:pPr>
            <w:autoSpaceDE w:val="0"/>
            <w:autoSpaceDN w:val="0"/>
            <w:adjustRightInd w:val="0"/>
            <w:ind w:rightChars="50" w:right="105"/>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2"/>
        <w:numPr>
          <w:ilvl w:val="0"/>
          <w:numId w:val="151"/>
        </w:numPr>
        <w:ind w:leftChars="0"/>
        <w:rPr>
          <w:rFonts w:asciiTheme="minorHAnsi" w:hAnsiTheme="minorHAnsi" w:cs="宋体"/>
          <w:kern w:val="0"/>
          <w:szCs w:val="22"/>
        </w:rPr>
      </w:pPr>
      <w:bookmarkStart w:id="531" w:name="_Hlk153792018"/>
      <w:bookmarkStart w:id="532" w:name="_Hlk154150256"/>
      <w:bookmarkEnd w:id="530"/>
      <w:r>
        <w:rPr>
          <w:rFonts w:asciiTheme="minorHAnsi" w:hAnsiTheme="minorHAnsi" w:cs="宋体" w:hint="eastAsia"/>
          <w:kern w:val="0"/>
          <w:szCs w:val="22"/>
        </w:rPr>
        <w:t>坏账准备的情况</w:t>
      </w:r>
    </w:p>
    <w:sdt>
      <w:sdtPr>
        <w:alias w:val="是否适用：母公司坏账准备情况[双击切换]"/>
        <w:tag w:val="_GBC_821565a30d3745e0bc44de118b7dee6f"/>
        <w:id w:val="685175216"/>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其中本期坏账准备收回或转回金额重要的：</w:t>
      </w:r>
    </w:p>
    <w:sdt>
      <w:sdtPr>
        <w:alias w:val="是否适用：母公司本期坏账准备收回或转回金额重要的[双击切换]"/>
        <w:tag w:val="_GBC_0d1ed1559d1344db8b219f59e8d21024"/>
        <w:id w:val="173389572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r>
        <w:rPr>
          <w:rFonts w:hint="eastAsia"/>
        </w:rPr>
        <w:t>其他说明：</w:t>
      </w:r>
    </w:p>
    <w:sdt>
      <w:sdtPr>
        <w:alias w:val="母公司坏账准备情况的说明"/>
        <w:tag w:val="_GBC_1ed1f4303f9641fba538e08ef13fe5e7"/>
        <w:id w:val="1231265845"/>
        <w:placeholder>
          <w:docPart w:val="GBC22222222222222222222222222222"/>
        </w:placeholder>
      </w:sdtPr>
      <w:sdtContent>
        <w:p>
          <w:pPr>
            <w:ind w:rightChars="20" w:right="42"/>
          </w:pPr>
          <w:r>
            <w:t>-</w:t>
          </w:r>
        </w:p>
      </w:sdtContent>
    </w:sdt>
    <w:p>
      <w:pPr>
        <w:ind w:rightChars="-759" w:right="-1594"/>
      </w:pPr>
    </w:p>
    <w:p>
      <w:pPr>
        <w:pStyle w:val="afffffffffffffffffffffffffffffffff2"/>
        <w:numPr>
          <w:ilvl w:val="0"/>
          <w:numId w:val="151"/>
        </w:numPr>
        <w:ind w:leftChars="0"/>
        <w:rPr>
          <w:rFonts w:asciiTheme="minorHAnsi" w:hAnsiTheme="minorHAnsi" w:cs="宋体"/>
          <w:kern w:val="0"/>
          <w:szCs w:val="22"/>
        </w:rPr>
      </w:pPr>
      <w:bookmarkStart w:id="533" w:name="_Hlk155883151"/>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sdt>
      <w:sdtPr>
        <w:alias w:val="是否适用：母公司实际核销的情况[双击切换]"/>
        <w:tag w:val="_GBC_1b5ee2d7fd5a4b549b2a2bd673f1698a"/>
        <w:id w:val="-212460438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bookmarkEnd w:id="533"/>
    <w:p>
      <w:pPr>
        <w:rPr>
          <w:szCs w:val="21"/>
        </w:rPr>
      </w:pPr>
      <w:r>
        <w:rPr>
          <w:rFonts w:hint="eastAsia"/>
          <w:szCs w:val="21"/>
        </w:rPr>
        <w:t>其中重要的应收股利核销情况</w:t>
      </w:r>
    </w:p>
    <w:sdt>
      <w:sdtPr>
        <w:rPr>
          <w:rFonts w:hint="eastAsia"/>
          <w:szCs w:val="21"/>
        </w:rPr>
        <w:alias w:val="是否适用：母公司重要的核销情况[双击切换]"/>
        <w:tag w:val="_GBC_2151c3ad65384379897352f370874db1"/>
        <w:id w:val="1610079203"/>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核销说明：</w:t>
      </w:r>
    </w:p>
    <w:sdt>
      <w:sdtPr>
        <w:rPr>
          <w:szCs w:val="21"/>
        </w:rPr>
        <w:alias w:val="是否适用：母公司核销说明[双击切换]"/>
        <w:tag w:val="_GBC_f8d1d851a8a641b3b3733ca0037885d1"/>
        <w:id w:val="86045851"/>
        <w:placeholder>
          <w:docPart w:val="GBC22222222222222222222222222222"/>
        </w:placeholder>
      </w:sdtPr>
      <w:sdtContent>
        <w:p>
          <w:pPr>
            <w:snapToGrid w:val="0"/>
            <w:spacing w:line="240" w:lineRule="atLeast"/>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rPr>
          <w:szCs w:val="21"/>
        </w:rPr>
      </w:pPr>
      <w:bookmarkStart w:id="534" w:name="_Hlk533797406"/>
      <w:bookmarkEnd w:id="531"/>
      <w:bookmarkEnd w:id="532"/>
      <w:r>
        <w:rPr>
          <w:rFonts w:hint="eastAsia"/>
          <w:szCs w:val="21"/>
        </w:rPr>
        <w:t>其他说明：</w:t>
      </w:r>
    </w:p>
    <w:sdt>
      <w:sdtPr>
        <w:rPr>
          <w:szCs w:val="21"/>
        </w:rPr>
        <w:alias w:val="是否适用：母公司应收股利其他说明[双击切换]"/>
        <w:tag w:val="_GBC_75450c3c0332439986937f5dec59f65c"/>
        <w:id w:val="1437786062"/>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534"/>
    <w:p>
      <w:pPr>
        <w:pStyle w:val="affffffffffffffffffffffffffffffffe"/>
      </w:pPr>
    </w:p>
    <w:p>
      <w:pPr>
        <w:pStyle w:val="afffffffffffffffffffffffffffffffff1"/>
        <w:numPr>
          <w:ilvl w:val="0"/>
          <w:numId w:val="149"/>
        </w:numPr>
      </w:pPr>
      <w:r>
        <w:rPr>
          <w:rFonts w:hint="eastAsia"/>
        </w:rPr>
        <w:t>其他应收款</w:t>
      </w:r>
    </w:p>
    <w:p>
      <w:pPr>
        <w:pStyle w:val="afffffffffffffffffffffffffffffffff2"/>
        <w:numPr>
          <w:ilvl w:val="0"/>
          <w:numId w:val="194"/>
        </w:numPr>
        <w:ind w:leftChars="0"/>
        <w:rPr>
          <w:rFonts w:asciiTheme="minorHAnsi" w:hAnsiTheme="minorHAnsi" w:cs="宋体"/>
          <w:kern w:val="0"/>
          <w:szCs w:val="22"/>
        </w:rPr>
      </w:pPr>
      <w:bookmarkStart w:id="535" w:name="_Hlk153797719"/>
      <w:bookmarkStart w:id="536" w:name="_Hlk533797447"/>
      <w:r>
        <w:rPr>
          <w:rFonts w:asciiTheme="minorHAnsi" w:hAnsiTheme="minorHAnsi" w:cs="宋体" w:hint="eastAsia"/>
          <w:kern w:val="0"/>
          <w:szCs w:val="22"/>
        </w:rPr>
        <w:t>按账龄披露</w:t>
      </w:r>
    </w:p>
    <w:sdt>
      <w:sdtPr>
        <w:rPr>
          <w:szCs w:val="21"/>
        </w:rPr>
        <w:alias w:val="是否适用：母公司其他应收款按账龄披露[双击切换]"/>
        <w:tag w:val="_GBC_5c11b96990fa439da812b87b47ed4c80"/>
        <w:id w:val="1582337414"/>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3836317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其他应收款按账龄披露"/>
          <w:tag w:val="_GBC_5e3917487f6647c3bad62a8fb87ea91e"/>
          <w:id w:val="-14655007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993"/>
        <w:gridCol w:w="2915"/>
        <w:gridCol w:w="2915"/>
      </w:tblGrid>
      <w:tr>
        <w:trPr>
          <w:cantSplit/>
        </w:trPr>
        <w:sdt>
          <w:sdtPr>
            <w:rPr>
              <w:szCs w:val="21"/>
            </w:rPr>
            <w:tag w:val="_PLD_e6b4d3ce2efb49849027845f309f652a"/>
            <w:id w:val="-1568407175"/>
          </w:sdtPr>
          <w:sdtContent>
            <w:tc>
              <w:tcPr>
                <w:tcW w:w="16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账龄</w:t>
                </w:r>
              </w:p>
            </w:tc>
          </w:sdtContent>
        </w:sdt>
        <w:sdt>
          <w:sdtPr>
            <w:rPr>
              <w:szCs w:val="21"/>
            </w:rPr>
            <w:tag w:val="_PLD_2a2524c4aa88497fa0bf73f43366d799"/>
            <w:id w:val="-718660115"/>
          </w:sdtPr>
          <w:sdtContent>
            <w:tc>
              <w:tcPr>
                <w:tcW w:w="1652"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期末账面余额</w:t>
                </w:r>
              </w:p>
            </w:tc>
          </w:sdtContent>
        </w:sdt>
        <w:tc>
          <w:tcPr>
            <w:tcW w:w="1652" w:type="pct"/>
            <w:tcBorders>
              <w:top w:val="single" w:sz="4" w:space="0" w:color="auto"/>
              <w:left w:val="single" w:sz="4" w:space="0" w:color="auto"/>
              <w:bottom w:val="single" w:sz="4" w:space="0" w:color="auto"/>
              <w:right w:val="single" w:sz="4" w:space="0" w:color="auto"/>
            </w:tcBorders>
          </w:tcPr>
          <w:sdt>
            <w:sdtPr>
              <w:rPr>
                <w:szCs w:val="21"/>
              </w:rPr>
              <w:tag w:val="_PLD_63769de747ae44d5b345aed18107390b"/>
              <w:id w:val="1346372784"/>
            </w:sdtPr>
            <w:sdtContent>
              <w:p>
                <w:pPr>
                  <w:jc w:val="center"/>
                  <w:rPr>
                    <w:szCs w:val="21"/>
                  </w:rPr>
                </w:pPr>
                <w:r>
                  <w:rPr>
                    <w:rFonts w:hint="eastAsia"/>
                    <w:szCs w:val="21"/>
                  </w:rPr>
                  <w:t>期初账面余额</w:t>
                </w:r>
              </w:p>
            </w:sdtContent>
          </w:sdt>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szCs w:val="21"/>
              </w:rPr>
              <w:t>1年以内（含1年）</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41,929,461</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31,983,317</w:t>
            </w:r>
          </w:p>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szCs w:val="21"/>
              </w:rPr>
              <w:t>1-2年（含2年）</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61,231</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19,756</w:t>
            </w:r>
          </w:p>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szCs w:val="21"/>
              </w:rPr>
              <w:t>2-3年（含3年）</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1,679</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11,489</w:t>
            </w:r>
          </w:p>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szCs w:val="21"/>
              </w:rPr>
              <w:t>3年以上</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96,649</w:t>
            </w:r>
          </w:p>
        </w:tc>
        <w:tc>
          <w:tcPr>
            <w:tcW w:w="1652"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224,666</w:t>
            </w:r>
          </w:p>
        </w:tc>
      </w:tr>
      <w:tr>
        <w:trPr>
          <w:cantSplit/>
        </w:trPr>
        <w:tc>
          <w:tcPr>
            <w:tcW w:w="169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1652"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42,089,020</w:t>
            </w:r>
          </w:p>
        </w:tc>
        <w:tc>
          <w:tcPr>
            <w:tcW w:w="1652"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32,239,228</w:t>
            </w:r>
          </w:p>
        </w:tc>
      </w:tr>
    </w:tbl>
    <w:p>
      <w:pPr>
        <w:pStyle w:val="affffffffffffffffffffffffffffffffe"/>
        <w:rPr>
          <w:szCs w:val="21"/>
        </w:rPr>
      </w:pPr>
    </w:p>
    <w:bookmarkEnd w:id="535"/>
    <w:p>
      <w:pPr>
        <w:pStyle w:val="afffffffffffffffffffffffffffffffff2"/>
        <w:numPr>
          <w:ilvl w:val="0"/>
          <w:numId w:val="194"/>
        </w:numPr>
        <w:ind w:leftChars="0"/>
        <w:rPr>
          <w:rFonts w:asciiTheme="minorHAnsi" w:hAnsiTheme="minorHAnsi" w:cs="宋体"/>
          <w:kern w:val="0"/>
          <w:szCs w:val="21"/>
        </w:rPr>
      </w:pPr>
      <w:r>
        <w:rPr>
          <w:rFonts w:asciiTheme="minorHAnsi" w:hAnsiTheme="minorHAnsi" w:cs="宋体" w:hint="eastAsia"/>
          <w:kern w:val="0"/>
          <w:szCs w:val="21"/>
        </w:rPr>
        <w:t>按款项性质分类情况</w:t>
      </w:r>
    </w:p>
    <w:p>
      <w:pPr>
        <w:pStyle w:val="affffffffffffffffffffffffffffffffe"/>
        <w:rPr>
          <w:szCs w:val="21"/>
        </w:rPr>
      </w:pPr>
      <w:sdt>
        <w:sdtPr>
          <w:rPr>
            <w:szCs w:val="21"/>
          </w:rPr>
          <w:alias w:val="是否适用：母公司其他应收款按款项性质分类情况[双击切换]"/>
          <w:tag w:val="_GBC_a5e5418d19394a1c8f8093184d9b360a"/>
          <w:id w:val="751176132"/>
          <w:placeholder>
            <w:docPart w:val="GBC22222222222222222222222222222"/>
          </w:placeholder>
        </w:sdt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jc w:val="right"/>
        <w:rPr>
          <w:szCs w:val="21"/>
        </w:rPr>
      </w:pPr>
      <w:r>
        <w:rPr>
          <w:rFonts w:hint="eastAsia"/>
          <w:szCs w:val="21"/>
        </w:rPr>
        <w:t>单位：</w:t>
      </w:r>
      <w:sdt>
        <w:sdtPr>
          <w:rPr>
            <w:rFonts w:hint="eastAsia"/>
            <w:szCs w:val="21"/>
          </w:rPr>
          <w:alias w:val="单位：财务附注：母公司其他应收款按款项性质分类情况"/>
          <w:tag w:val="_GBC_451485fc33dc4b2c9be5a44730242ca7"/>
          <w:id w:val="-4987364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财务附注：母公司其他应收款按款项性质分类情况"/>
          <w:tag w:val="_GBC_f3e8ad411fc545a19718a43203281efd"/>
          <w:id w:val="19693911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46"/>
        <w:tblW w:w="5000" w:type="pct"/>
        <w:tblInd w:w="0" w:type="dxa"/>
        <w:tblLayout w:type="fixed"/>
        <w:tblLook w:val="0000" w:firstRow="0" w:lastRow="0" w:firstColumn="0" w:lastColumn="0" w:noHBand="0" w:noVBand="0"/>
      </w:tblPr>
      <w:tblGrid>
        <w:gridCol w:w="3000"/>
        <w:gridCol w:w="2906"/>
        <w:gridCol w:w="2917"/>
      </w:tblGrid>
      <w:tr>
        <w:sdt>
          <w:sdtPr>
            <w:rPr>
              <w:szCs w:val="21"/>
            </w:rPr>
            <w:tag w:val="_PLD_fa2a2127303b4deebb2bcaea193eb6d9"/>
            <w:id w:val="2095119164"/>
          </w:sdtPr>
          <w:sdtContent>
            <w:tc>
              <w:tcPr>
                <w:tcW w:w="1700" w:type="pct"/>
              </w:tcPr>
              <w:p>
                <w:pPr>
                  <w:jc w:val="center"/>
                  <w:rPr>
                    <w:szCs w:val="21"/>
                  </w:rPr>
                </w:pPr>
                <w:r>
                  <w:rPr>
                    <w:rFonts w:hint="eastAsia"/>
                    <w:szCs w:val="21"/>
                  </w:rPr>
                  <w:t>款项性质</w:t>
                </w:r>
              </w:p>
            </w:tc>
          </w:sdtContent>
        </w:sdt>
        <w:sdt>
          <w:sdtPr>
            <w:rPr>
              <w:szCs w:val="21"/>
            </w:rPr>
            <w:tag w:val="_PLD_aa55d719329144e5a0eafd36222d0851"/>
            <w:id w:val="-1427268847"/>
          </w:sdtPr>
          <w:sdtContent>
            <w:tc>
              <w:tcPr>
                <w:tcW w:w="1647" w:type="pct"/>
              </w:tcPr>
              <w:p>
                <w:pPr>
                  <w:jc w:val="center"/>
                  <w:rPr>
                    <w:szCs w:val="21"/>
                  </w:rPr>
                </w:pPr>
                <w:r>
                  <w:rPr>
                    <w:rFonts w:hint="eastAsia"/>
                    <w:szCs w:val="21"/>
                  </w:rPr>
                  <w:t>期末账面余额</w:t>
                </w:r>
              </w:p>
            </w:tc>
          </w:sdtContent>
        </w:sdt>
        <w:sdt>
          <w:sdtPr>
            <w:rPr>
              <w:szCs w:val="21"/>
            </w:rPr>
            <w:tag w:val="_PLD_146282129b6a4b52a6963dad9647679a"/>
            <w:id w:val="1229734109"/>
          </w:sdtPr>
          <w:sdtContent>
            <w:tc>
              <w:tcPr>
                <w:tcW w:w="1653" w:type="pct"/>
              </w:tcPr>
              <w:p>
                <w:pPr>
                  <w:jc w:val="center"/>
                  <w:rPr>
                    <w:szCs w:val="21"/>
                  </w:rPr>
                </w:pPr>
                <w:r>
                  <w:rPr>
                    <w:rFonts w:hint="eastAsia"/>
                    <w:szCs w:val="21"/>
                  </w:rPr>
                  <w:t>期初账面余额</w:t>
                </w:r>
              </w:p>
            </w:tc>
          </w:sdtContent>
        </w:sdt>
      </w:tr>
      <w:tr>
        <w:tc>
          <w:tcPr>
            <w:tcW w:w="1700" w:type="pct"/>
            <w:vAlign w:val="center"/>
          </w:tcPr>
          <w:p>
            <w:pPr>
              <w:spacing w:line="360" w:lineRule="exact"/>
              <w:jc w:val="left"/>
              <w:rPr>
                <w:szCs w:val="21"/>
              </w:rPr>
            </w:pPr>
            <w:r>
              <w:rPr>
                <w:rFonts w:hint="eastAsia"/>
                <w:szCs w:val="21"/>
              </w:rPr>
              <w:t>往来款</w:t>
            </w:r>
          </w:p>
        </w:tc>
        <w:tc>
          <w:tcPr>
            <w:tcW w:w="1647" w:type="pct"/>
            <w:vAlign w:val="center"/>
          </w:tcPr>
          <w:p>
            <w:pPr>
              <w:spacing w:line="360" w:lineRule="exact"/>
              <w:jc w:val="right"/>
              <w:rPr>
                <w:szCs w:val="21"/>
              </w:rPr>
            </w:pPr>
            <w:r>
              <w:rPr>
                <w:szCs w:val="21"/>
              </w:rPr>
              <w:t>41,760,015</w:t>
            </w:r>
          </w:p>
        </w:tc>
        <w:tc>
          <w:tcPr>
            <w:tcW w:w="1653" w:type="pct"/>
            <w:vAlign w:val="center"/>
          </w:tcPr>
          <w:p>
            <w:pPr>
              <w:spacing w:line="360" w:lineRule="exact"/>
              <w:jc w:val="right"/>
              <w:rPr>
                <w:szCs w:val="21"/>
              </w:rPr>
            </w:pPr>
            <w:r>
              <w:rPr>
                <w:szCs w:val="21"/>
              </w:rPr>
              <w:t>31,980,129</w:t>
            </w:r>
          </w:p>
        </w:tc>
      </w:tr>
      <w:tr>
        <w:tc>
          <w:tcPr>
            <w:tcW w:w="1700" w:type="pct"/>
            <w:vAlign w:val="center"/>
          </w:tcPr>
          <w:p>
            <w:pPr>
              <w:spacing w:line="360" w:lineRule="exact"/>
              <w:jc w:val="left"/>
              <w:rPr>
                <w:szCs w:val="21"/>
              </w:rPr>
            </w:pPr>
            <w:r>
              <w:rPr>
                <w:rFonts w:hint="eastAsia"/>
                <w:szCs w:val="21"/>
              </w:rPr>
              <w:t>预计无法收回的款项</w:t>
            </w:r>
          </w:p>
        </w:tc>
        <w:tc>
          <w:tcPr>
            <w:tcW w:w="1647" w:type="pct"/>
            <w:vAlign w:val="center"/>
          </w:tcPr>
          <w:p>
            <w:pPr>
              <w:spacing w:line="360" w:lineRule="exact"/>
              <w:jc w:val="right"/>
              <w:rPr>
                <w:szCs w:val="21"/>
              </w:rPr>
            </w:pPr>
            <w:r>
              <w:rPr>
                <w:szCs w:val="21"/>
              </w:rPr>
              <w:t>100,572</w:t>
            </w:r>
          </w:p>
        </w:tc>
        <w:tc>
          <w:tcPr>
            <w:tcW w:w="1653" w:type="pct"/>
            <w:vAlign w:val="center"/>
          </w:tcPr>
          <w:p>
            <w:pPr>
              <w:spacing w:line="360" w:lineRule="exact"/>
              <w:jc w:val="right"/>
              <w:rPr>
                <w:szCs w:val="21"/>
              </w:rPr>
            </w:pPr>
            <w:r>
              <w:rPr>
                <w:szCs w:val="21"/>
              </w:rPr>
              <w:t>212,536</w:t>
            </w:r>
          </w:p>
        </w:tc>
      </w:tr>
      <w:tr>
        <w:tc>
          <w:tcPr>
            <w:tcW w:w="1700" w:type="pct"/>
            <w:vAlign w:val="center"/>
          </w:tcPr>
          <w:p>
            <w:pPr>
              <w:spacing w:line="360" w:lineRule="exact"/>
              <w:jc w:val="left"/>
              <w:rPr>
                <w:szCs w:val="21"/>
              </w:rPr>
            </w:pPr>
            <w:r>
              <w:rPr>
                <w:rFonts w:hint="eastAsia"/>
                <w:szCs w:val="21"/>
              </w:rPr>
              <w:t>应收代垫款</w:t>
            </w:r>
          </w:p>
        </w:tc>
        <w:tc>
          <w:tcPr>
            <w:tcW w:w="1647" w:type="pct"/>
            <w:vAlign w:val="center"/>
          </w:tcPr>
          <w:p>
            <w:pPr>
              <w:spacing w:line="360" w:lineRule="exact"/>
              <w:jc w:val="right"/>
              <w:rPr>
                <w:szCs w:val="21"/>
              </w:rPr>
            </w:pPr>
            <w:r>
              <w:rPr>
                <w:szCs w:val="21"/>
              </w:rPr>
              <w:t>16,477</w:t>
            </w:r>
          </w:p>
        </w:tc>
        <w:tc>
          <w:tcPr>
            <w:tcW w:w="1653" w:type="pct"/>
            <w:vAlign w:val="center"/>
          </w:tcPr>
          <w:p>
            <w:pPr>
              <w:spacing w:line="360" w:lineRule="exact"/>
              <w:jc w:val="right"/>
              <w:rPr>
                <w:szCs w:val="21"/>
              </w:rPr>
            </w:pPr>
            <w:r>
              <w:rPr>
                <w:szCs w:val="21"/>
              </w:rPr>
              <w:t>26,959</w:t>
            </w:r>
          </w:p>
        </w:tc>
      </w:tr>
      <w:tr>
        <w:tc>
          <w:tcPr>
            <w:tcW w:w="1700" w:type="pct"/>
            <w:vAlign w:val="center"/>
          </w:tcPr>
          <w:p>
            <w:pPr>
              <w:spacing w:line="360" w:lineRule="exact"/>
              <w:jc w:val="left"/>
              <w:rPr>
                <w:szCs w:val="21"/>
              </w:rPr>
            </w:pPr>
            <w:r>
              <w:rPr>
                <w:rFonts w:hint="eastAsia"/>
                <w:szCs w:val="21"/>
              </w:rPr>
              <w:t>押金保证金</w:t>
            </w:r>
          </w:p>
        </w:tc>
        <w:tc>
          <w:tcPr>
            <w:tcW w:w="1647" w:type="pct"/>
            <w:vAlign w:val="center"/>
          </w:tcPr>
          <w:p>
            <w:pPr>
              <w:spacing w:line="360" w:lineRule="exact"/>
              <w:jc w:val="right"/>
              <w:rPr>
                <w:szCs w:val="21"/>
              </w:rPr>
            </w:pPr>
            <w:r>
              <w:rPr>
                <w:szCs w:val="21"/>
              </w:rPr>
              <w:t>201,005</w:t>
            </w:r>
          </w:p>
        </w:tc>
        <w:tc>
          <w:tcPr>
            <w:tcW w:w="1653" w:type="pct"/>
            <w:vAlign w:val="center"/>
          </w:tcPr>
          <w:p>
            <w:pPr>
              <w:spacing w:line="360" w:lineRule="exact"/>
              <w:jc w:val="right"/>
              <w:rPr>
                <w:szCs w:val="21"/>
              </w:rPr>
            </w:pPr>
            <w:r>
              <w:rPr>
                <w:szCs w:val="21"/>
              </w:rPr>
              <w:t>11,870</w:t>
            </w:r>
          </w:p>
        </w:tc>
      </w:tr>
      <w:tr>
        <w:tc>
          <w:tcPr>
            <w:tcW w:w="1700" w:type="pct"/>
            <w:vAlign w:val="center"/>
          </w:tcPr>
          <w:p>
            <w:pPr>
              <w:spacing w:line="360" w:lineRule="exact"/>
              <w:jc w:val="left"/>
              <w:rPr>
                <w:szCs w:val="21"/>
              </w:rPr>
            </w:pPr>
            <w:r>
              <w:rPr>
                <w:rFonts w:hint="eastAsia"/>
                <w:szCs w:val="21"/>
              </w:rPr>
              <w:t>备用金</w:t>
            </w:r>
          </w:p>
        </w:tc>
        <w:tc>
          <w:tcPr>
            <w:tcW w:w="1647" w:type="pct"/>
            <w:vAlign w:val="center"/>
          </w:tcPr>
          <w:p>
            <w:pPr>
              <w:spacing w:line="360" w:lineRule="exact"/>
              <w:jc w:val="right"/>
              <w:rPr>
                <w:szCs w:val="21"/>
              </w:rPr>
            </w:pPr>
            <w:r>
              <w:rPr>
                <w:szCs w:val="21"/>
              </w:rPr>
              <w:t>10,951</w:t>
            </w:r>
          </w:p>
        </w:tc>
        <w:tc>
          <w:tcPr>
            <w:tcW w:w="1653" w:type="pct"/>
            <w:vAlign w:val="center"/>
          </w:tcPr>
          <w:p>
            <w:pPr>
              <w:spacing w:line="360" w:lineRule="exact"/>
              <w:jc w:val="right"/>
              <w:rPr>
                <w:szCs w:val="21"/>
              </w:rPr>
            </w:pPr>
            <w:r>
              <w:rPr>
                <w:szCs w:val="21"/>
              </w:rPr>
              <w:t>7,734</w:t>
            </w:r>
          </w:p>
        </w:tc>
      </w:tr>
      <w:tr>
        <w:tc>
          <w:tcPr>
            <w:tcW w:w="1700" w:type="pct"/>
          </w:tcPr>
          <w:p>
            <w:pPr>
              <w:jc w:val="center"/>
              <w:rPr>
                <w:szCs w:val="21"/>
              </w:rPr>
            </w:pPr>
            <w:r>
              <w:rPr>
                <w:szCs w:val="21"/>
              </w:rPr>
              <w:t>合计</w:t>
            </w:r>
          </w:p>
        </w:tc>
        <w:tc>
          <w:tcPr>
            <w:tcW w:w="1647" w:type="pct"/>
          </w:tcPr>
          <w:p>
            <w:pPr>
              <w:jc w:val="right"/>
              <w:rPr>
                <w:szCs w:val="21"/>
              </w:rPr>
            </w:pPr>
            <w:r>
              <w:rPr>
                <w:szCs w:val="21"/>
              </w:rPr>
              <w:t>42,089,020</w:t>
            </w:r>
          </w:p>
        </w:tc>
        <w:tc>
          <w:tcPr>
            <w:tcW w:w="1653" w:type="pct"/>
          </w:tcPr>
          <w:p>
            <w:pPr>
              <w:jc w:val="right"/>
              <w:rPr>
                <w:szCs w:val="21"/>
              </w:rPr>
            </w:pPr>
            <w:r>
              <w:rPr>
                <w:szCs w:val="21"/>
              </w:rPr>
              <w:t>32,239,228</w:t>
            </w:r>
          </w:p>
        </w:tc>
      </w:tr>
    </w:tbl>
    <w:p>
      <w:pPr>
        <w:pStyle w:val="affffffffffffffffffffffffffffffffe"/>
        <w:rPr>
          <w:szCs w:val="21"/>
        </w:rPr>
      </w:pPr>
    </w:p>
    <w:p>
      <w:pPr>
        <w:pStyle w:val="afffffffffffffffffffffffffffffffff2"/>
        <w:numPr>
          <w:ilvl w:val="0"/>
          <w:numId w:val="194"/>
        </w:numPr>
        <w:ind w:leftChars="0"/>
        <w:rPr>
          <w:rFonts w:asciiTheme="minorHAnsi" w:hAnsiTheme="minorHAnsi" w:cs="宋体"/>
          <w:kern w:val="0"/>
          <w:szCs w:val="21"/>
        </w:rPr>
      </w:pPr>
      <w:bookmarkStart w:id="537" w:name="_Hlk533870927"/>
      <w:bookmarkEnd w:id="536"/>
      <w:r>
        <w:rPr>
          <w:rFonts w:asciiTheme="minorHAnsi" w:hAnsiTheme="minorHAnsi" w:cs="宋体" w:hint="eastAsia"/>
          <w:kern w:val="0"/>
          <w:szCs w:val="21"/>
        </w:rPr>
        <w:t>坏账准备计提情况</w:t>
      </w:r>
    </w:p>
    <w:sdt>
      <w:sdtPr>
        <w:rPr>
          <w:szCs w:val="21"/>
        </w:rPr>
        <w:alias w:val="是否适用：母公司其他应收款坏账准备调节表[双击切换]"/>
        <w:tag w:val="_GBC_34d55fda2adc4508bb77a03583cd3d2d"/>
        <w:id w:val="-1522081415"/>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Chars="50" w:right="105"/>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1483430685"/>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1143353684"/>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6"/>
        <w:gridCol w:w="1521"/>
        <w:gridCol w:w="1936"/>
        <w:gridCol w:w="1936"/>
        <w:gridCol w:w="1664"/>
      </w:tblGrid>
      <w:tr>
        <w:sdt>
          <w:sdtPr>
            <w:rPr>
              <w:sz w:val="21"/>
              <w:szCs w:val="21"/>
            </w:rPr>
            <w:tag w:val="_PLD_21b2d66f9e3e44f9a3867e2f9fa483ea"/>
            <w:id w:val="-134423246"/>
          </w:sdtPr>
          <w:sdtContent>
            <w:tc>
              <w:tcPr>
                <w:tcW w:w="1001" w:type="pct"/>
                <w:vMerge w:val="restar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坏账准备</w:t>
                </w:r>
              </w:p>
            </w:tc>
          </w:sdtContent>
        </w:sdt>
        <w:sdt>
          <w:sdtPr>
            <w:rPr>
              <w:sz w:val="21"/>
              <w:szCs w:val="21"/>
            </w:rPr>
            <w:tag w:val="_PLD_34b0b4bcbee6472f945ee1ca26e45970"/>
            <w:id w:val="901638790"/>
          </w:sdtPr>
          <w:sdtContent>
            <w:tc>
              <w:tcPr>
                <w:tcW w:w="862"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第一阶段</w:t>
                </w:r>
              </w:p>
            </w:tc>
          </w:sdtContent>
        </w:sdt>
        <w:sdt>
          <w:sdtPr>
            <w:rPr>
              <w:sz w:val="21"/>
              <w:szCs w:val="21"/>
            </w:rPr>
            <w:tag w:val="_PLD_aa89fd65169d424f824fd7e383c25916"/>
            <w:id w:val="1956207439"/>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第二阶段</w:t>
                </w:r>
              </w:p>
            </w:tc>
          </w:sdtContent>
        </w:sdt>
        <w:sdt>
          <w:sdtPr>
            <w:rPr>
              <w:sz w:val="21"/>
              <w:szCs w:val="21"/>
            </w:rPr>
            <w:tag w:val="_PLD_12639a93161546c79f54a930c0ece668"/>
            <w:id w:val="803434730"/>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第三阶段</w:t>
                </w:r>
              </w:p>
            </w:tc>
          </w:sdtContent>
        </w:sdt>
        <w:sdt>
          <w:sdtPr>
            <w:rPr>
              <w:sz w:val="21"/>
              <w:szCs w:val="21"/>
            </w:rPr>
            <w:tag w:val="_PLD_5a93d463a9c749a7a3988972a030308e"/>
            <w:id w:val="376907617"/>
          </w:sdtPr>
          <w:sdtContent>
            <w:tc>
              <w:tcPr>
                <w:tcW w:w="943" w:type="pct"/>
                <w:vMerge w:val="restar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合计</w:t>
                </w:r>
              </w:p>
            </w:tc>
          </w:sdtContent>
        </w:sdt>
      </w:tr>
      <w:tr>
        <w:tc>
          <w:tcPr>
            <w:tcW w:w="1001" w:type="pct"/>
            <w:vMerge/>
            <w:vAlign w:val="center"/>
          </w:tcPr>
          <w:p>
            <w:pPr>
              <w:jc w:val="center"/>
              <w:rPr>
                <w:color w:val="008000"/>
                <w:szCs w:val="21"/>
              </w:rPr>
            </w:pPr>
          </w:p>
        </w:tc>
        <w:sdt>
          <w:sdtPr>
            <w:rPr>
              <w:sz w:val="21"/>
              <w:szCs w:val="21"/>
            </w:rPr>
            <w:tag w:val="_PLD_6c31319b241149a587899b0690e3641d"/>
            <w:id w:val="318398174"/>
          </w:sdtPr>
          <w:sdtContent>
            <w:tc>
              <w:tcPr>
                <w:tcW w:w="862"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未来12个月预期信用损失</w:t>
                </w:r>
              </w:p>
            </w:tc>
          </w:sdtContent>
        </w:sdt>
        <w:sdt>
          <w:sdtPr>
            <w:rPr>
              <w:sz w:val="21"/>
              <w:szCs w:val="21"/>
            </w:rPr>
            <w:tag w:val="_PLD_4c23d250a4214769af939ed6c6506e15"/>
            <w:id w:val="-858498847"/>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rPr>
              <w:sz w:val="21"/>
              <w:szCs w:val="21"/>
            </w:rPr>
            <w:tag w:val="_PLD_96f4d1ff5d1541a5bcedcc9d7d297735"/>
            <w:id w:val="131223319"/>
          </w:sdtPr>
          <w:sdtContent>
            <w:tc>
              <w:tcPr>
                <w:tcW w:w="1097" w:type="pct"/>
                <w:vAlign w:val="center"/>
              </w:tcPr>
              <w:p>
                <w:pPr>
                  <w:pStyle w:val="TableParagraph"/>
                  <w:spacing w:after="0" w:line="240" w:lineRule="auto"/>
                  <w:jc w:val="center"/>
                  <w:rPr>
                    <w:rFonts w:ascii="宋体" w:eastAsia="宋体" w:hAnsi="宋体" w:cs="宋体"/>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943" w:type="pct"/>
            <w:vMerge/>
            <w:vAlign w:val="center"/>
          </w:tcPr>
          <w:p>
            <w:pPr>
              <w:jc w:val="center"/>
              <w:rPr>
                <w:color w:val="008000"/>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sz w:val="21"/>
                <w:szCs w:val="21"/>
                <w:lang w:eastAsia="zh-CN"/>
              </w:rPr>
              <w:lastRenderedPageBreak/>
              <w:t>2024年</w:t>
            </w:r>
            <w:r>
              <w:rPr>
                <w:rFonts w:ascii="宋体" w:eastAsia="宋体" w:hAnsi="宋体" w:cs="宋体" w:hint="eastAsia"/>
                <w:sz w:val="21"/>
                <w:szCs w:val="21"/>
                <w:lang w:eastAsia="zh-CN"/>
              </w:rPr>
              <w:t>1月1日余额</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r>
              <w:rPr>
                <w:bCs/>
                <w:szCs w:val="21"/>
              </w:rPr>
              <w:t>9,227</w:t>
            </w:r>
          </w:p>
        </w:tc>
        <w:tc>
          <w:tcPr>
            <w:tcW w:w="1097" w:type="pct"/>
            <w:vAlign w:val="center"/>
          </w:tcPr>
          <w:p>
            <w:pPr>
              <w:spacing w:line="360" w:lineRule="exact"/>
              <w:jc w:val="right"/>
              <w:rPr>
                <w:bCs/>
                <w:szCs w:val="21"/>
              </w:rPr>
            </w:pPr>
            <w:r>
              <w:rPr>
                <w:bCs/>
                <w:szCs w:val="21"/>
              </w:rPr>
              <w:t>212,536</w:t>
            </w:r>
          </w:p>
        </w:tc>
        <w:tc>
          <w:tcPr>
            <w:tcW w:w="943" w:type="pct"/>
            <w:vAlign w:val="center"/>
          </w:tcPr>
          <w:p>
            <w:pPr>
              <w:jc w:val="right"/>
              <w:rPr>
                <w:szCs w:val="21"/>
              </w:rPr>
            </w:pPr>
            <w:r>
              <w:rPr>
                <w:szCs w:val="21"/>
              </w:rPr>
              <w:t>221,763</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2024年1月1日余额在本期</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--转入第二阶段</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--转入第三阶段</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--转回第二阶段</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--转回第一阶段</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本期计提</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本期转回</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r>
              <w:rPr>
                <w:bCs/>
                <w:szCs w:val="21"/>
              </w:rPr>
              <w:t>38</w:t>
            </w:r>
          </w:p>
        </w:tc>
        <w:tc>
          <w:tcPr>
            <w:tcW w:w="1097" w:type="pct"/>
            <w:vAlign w:val="center"/>
          </w:tcPr>
          <w:p>
            <w:pPr>
              <w:spacing w:line="360" w:lineRule="exact"/>
              <w:jc w:val="right"/>
              <w:rPr>
                <w:bCs/>
                <w:szCs w:val="21"/>
              </w:rPr>
            </w:pPr>
            <w:r>
              <w:rPr>
                <w:bCs/>
                <w:szCs w:val="21"/>
              </w:rPr>
              <w:t>111,964</w:t>
            </w:r>
          </w:p>
        </w:tc>
        <w:tc>
          <w:tcPr>
            <w:tcW w:w="943" w:type="pct"/>
            <w:vAlign w:val="center"/>
          </w:tcPr>
          <w:p>
            <w:pPr>
              <w:jc w:val="right"/>
              <w:rPr>
                <w:szCs w:val="21"/>
              </w:rPr>
            </w:pPr>
            <w:r>
              <w:rPr>
                <w:szCs w:val="21"/>
              </w:rPr>
              <w:t>112,002</w:t>
            </w: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本期转销</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Theme="minorEastAsia" w:eastAsiaTheme="minorEastAsia" w:hAnsiTheme="minorEastAsia"/>
                <w:sz w:val="21"/>
                <w:szCs w:val="21"/>
              </w:rPr>
            </w:pPr>
            <w:r>
              <w:rPr>
                <w:rFonts w:asciiTheme="minorEastAsia" w:eastAsiaTheme="minorEastAsia" w:hAnsiTheme="minorEastAsia" w:hint="eastAsia"/>
                <w:sz w:val="21"/>
                <w:szCs w:val="21"/>
                <w:lang w:eastAsia="zh-CN"/>
              </w:rPr>
              <w:t>本期核销</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jc w:val="both"/>
              <w:rPr>
                <w:rFonts w:ascii="宋体" w:eastAsia="宋体" w:hAnsi="宋体" w:cs="宋体"/>
                <w:sz w:val="21"/>
                <w:szCs w:val="21"/>
                <w:lang w:eastAsia="zh-CN"/>
              </w:rPr>
            </w:pPr>
            <w:r>
              <w:rPr>
                <w:rFonts w:ascii="宋体" w:eastAsia="宋体" w:hAnsi="宋体" w:cs="宋体" w:hint="eastAsia"/>
                <w:sz w:val="21"/>
                <w:szCs w:val="21"/>
                <w:lang w:eastAsia="zh-CN"/>
              </w:rPr>
              <w:t>其他变动</w:t>
            </w:r>
          </w:p>
        </w:tc>
        <w:tc>
          <w:tcPr>
            <w:tcW w:w="862"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1097" w:type="pct"/>
            <w:vAlign w:val="center"/>
          </w:tcPr>
          <w:p>
            <w:pPr>
              <w:spacing w:line="360" w:lineRule="exact"/>
              <w:jc w:val="right"/>
              <w:rPr>
                <w:bCs/>
                <w:szCs w:val="21"/>
              </w:rPr>
            </w:pPr>
          </w:p>
        </w:tc>
        <w:tc>
          <w:tcPr>
            <w:tcW w:w="943" w:type="pct"/>
            <w:vAlign w:val="center"/>
          </w:tcPr>
          <w:p>
            <w:pPr>
              <w:jc w:val="right"/>
              <w:rPr>
                <w:szCs w:val="21"/>
              </w:rPr>
            </w:pPr>
          </w:p>
        </w:tc>
      </w:tr>
      <w:tr>
        <w:tc>
          <w:tcPr>
            <w:tcW w:w="1001" w:type="pct"/>
            <w:vAlign w:val="center"/>
          </w:tcPr>
          <w:p>
            <w:pPr>
              <w:pStyle w:val="TableParagraph"/>
              <w:spacing w:after="0" w:line="240" w:lineRule="auto"/>
              <w:rPr>
                <w:rFonts w:ascii="宋体" w:eastAsia="宋体" w:hAnsi="宋体" w:cs="宋体"/>
                <w:sz w:val="21"/>
                <w:szCs w:val="21"/>
                <w:lang w:eastAsia="zh-CN"/>
              </w:rPr>
            </w:pPr>
            <w:r>
              <w:rPr>
                <w:rFonts w:ascii="宋体" w:eastAsia="宋体" w:hAnsi="宋体" w:cs="宋体"/>
                <w:sz w:val="21"/>
                <w:szCs w:val="21"/>
                <w:lang w:eastAsia="zh-CN"/>
              </w:rPr>
              <w:t>2024年12月31日</w:t>
            </w:r>
            <w:r>
              <w:rPr>
                <w:rFonts w:ascii="宋体" w:eastAsia="宋体" w:hAnsi="宋体" w:cs="宋体" w:hint="eastAsia"/>
                <w:sz w:val="21"/>
                <w:szCs w:val="21"/>
                <w:lang w:eastAsia="zh-CN"/>
              </w:rPr>
              <w:t>余额</w:t>
            </w:r>
          </w:p>
        </w:tc>
        <w:tc>
          <w:tcPr>
            <w:tcW w:w="862" w:type="pct"/>
            <w:vAlign w:val="center"/>
          </w:tcPr>
          <w:p>
            <w:pPr>
              <w:jc w:val="right"/>
              <w:rPr>
                <w:szCs w:val="21"/>
              </w:rPr>
            </w:pPr>
          </w:p>
        </w:tc>
        <w:tc>
          <w:tcPr>
            <w:tcW w:w="1097" w:type="pct"/>
            <w:vAlign w:val="center"/>
          </w:tcPr>
          <w:p>
            <w:pPr>
              <w:jc w:val="right"/>
              <w:rPr>
                <w:szCs w:val="21"/>
              </w:rPr>
            </w:pPr>
            <w:r>
              <w:rPr>
                <w:szCs w:val="21"/>
              </w:rPr>
              <w:t>9,189</w:t>
            </w:r>
          </w:p>
        </w:tc>
        <w:tc>
          <w:tcPr>
            <w:tcW w:w="1097" w:type="pct"/>
            <w:vAlign w:val="center"/>
          </w:tcPr>
          <w:p>
            <w:pPr>
              <w:jc w:val="right"/>
              <w:rPr>
                <w:szCs w:val="21"/>
              </w:rPr>
            </w:pPr>
            <w:r>
              <w:rPr>
                <w:szCs w:val="21"/>
              </w:rPr>
              <w:t>100,572</w:t>
            </w:r>
          </w:p>
        </w:tc>
        <w:tc>
          <w:tcPr>
            <w:tcW w:w="943" w:type="pct"/>
            <w:vAlign w:val="center"/>
          </w:tcPr>
          <w:p>
            <w:pPr>
              <w:jc w:val="right"/>
              <w:rPr>
                <w:szCs w:val="21"/>
              </w:rPr>
            </w:pPr>
            <w:r>
              <w:rPr>
                <w:szCs w:val="21"/>
              </w:rPr>
              <w:t>109,761</w:t>
            </w:r>
          </w:p>
        </w:tc>
      </w:tr>
    </w:tbl>
    <w:p>
      <w:pPr>
        <w:pStyle w:val="affffffffffffffffffffffffffffffffe"/>
        <w:rPr>
          <w:szCs w:val="21"/>
        </w:rPr>
      </w:pPr>
    </w:p>
    <w:p>
      <w:pPr>
        <w:pStyle w:val="affffffffffffffffffffffffffffffffe"/>
        <w:rPr>
          <w:szCs w:val="21"/>
        </w:rPr>
      </w:pPr>
    </w:p>
    <w:p>
      <w:pPr>
        <w:autoSpaceDE w:val="0"/>
        <w:autoSpaceDN w:val="0"/>
        <w:adjustRightInd w:val="0"/>
        <w:ind w:rightChars="50" w:right="105"/>
        <w:rPr>
          <w:szCs w:val="21"/>
        </w:rPr>
      </w:pPr>
      <w:r>
        <w:rPr>
          <w:rFonts w:hint="eastAsia"/>
          <w:szCs w:val="21"/>
        </w:rPr>
        <w:t>各阶段划分依据和坏账准备计提比例</w:t>
      </w:r>
    </w:p>
    <w:sdt>
      <w:sdtPr>
        <w:rPr>
          <w:rFonts w:cs="Times New Roman"/>
          <w:bCs/>
          <w:szCs w:val="21"/>
        </w:rPr>
        <w:alias w:val="其他应收款各阶段划分依据和坏账准备计提比例"/>
        <w:tag w:val="_GBC_3c3eb8d29e064b68909ad636fcd177ff"/>
        <w:id w:val="-2074424203"/>
        <w:placeholder>
          <w:docPart w:val="GBC22222222222222222222222222222"/>
        </w:placeholder>
      </w:sdtPr>
      <w:sdtContent>
        <w:p>
          <w:pPr>
            <w:rPr>
              <w:rFonts w:cs="Times New Roman"/>
              <w:bCs/>
              <w:szCs w:val="21"/>
            </w:rPr>
          </w:pPr>
        </w:p>
        <w:tbl>
          <w:tblPr>
            <w:tblStyle w:val="affffffffff8"/>
            <w:tblW w:w="9577" w:type="dxa"/>
            <w:jc w:val="center"/>
            <w:tblLayout w:type="fixed"/>
            <w:tblLook w:val="04A0" w:firstRow="1" w:lastRow="0" w:firstColumn="1" w:lastColumn="0" w:noHBand="0" w:noVBand="1"/>
            <w:tblCaption w:val="D:\Users\202435566\Desktop\0-兖矿能源2024年TB（内蒙古金控）-0320\2024兖矿职衡tb|TB-合：兖矿能源.xlsx|披露附注|_jds1075260120231|0|desc|1_列1,2_列2,3_列3,4_列4,5_列5,6_列6||0|1"/>
          </w:tblPr>
          <w:tblGrid>
            <w:gridCol w:w="2983"/>
            <w:gridCol w:w="1362"/>
            <w:gridCol w:w="1047"/>
            <w:gridCol w:w="1256"/>
            <w:gridCol w:w="1465"/>
            <w:gridCol w:w="1464"/>
          </w:tblGrid>
          <w:tr>
            <w:trPr>
              <w:trHeight w:val="397"/>
              <w:tblHeader/>
              <w:jc w:val="center"/>
            </w:trPr>
            <w:tc>
              <w:tcPr>
                <w:tcW w:w="29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类别</w:t>
                </w:r>
              </w:p>
            </w:tc>
            <w:tc>
              <w:tcPr>
                <w:tcW w:w="65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期末余额</w:t>
                </w:r>
              </w:p>
            </w:tc>
          </w:tr>
          <w:tr>
            <w:trPr>
              <w:trHeight w:val="397"/>
              <w:tblHeader/>
              <w:jc w:val="center"/>
            </w:trPr>
            <w:tc>
              <w:tcPr>
                <w:tcW w:w="2983"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账面余额</w:t>
                </w:r>
              </w:p>
            </w:tc>
            <w:tc>
              <w:tcPr>
                <w:tcW w:w="2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坏账准备</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账面价值</w:t>
                </w:r>
              </w:p>
            </w:tc>
          </w:tr>
          <w:tr>
            <w:trPr>
              <w:trHeight w:val="397"/>
              <w:tblHeader/>
              <w:jc w:val="center"/>
            </w:trPr>
            <w:tc>
              <w:tcPr>
                <w:tcW w:w="2983"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金额</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比例（%）</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金额</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计提比例（%）</w:t>
                </w:r>
              </w:p>
            </w:tc>
            <w:tc>
              <w:tcPr>
                <w:tcW w:w="1464"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t>按单项计提坏账准备</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100,572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rFonts w:hint="eastAsia"/>
                    <w:color w:val="000000"/>
                    <w:szCs w:val="21"/>
                  </w:rPr>
                  <w:t>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100,572</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t>按组合</w:t>
                </w:r>
                <w:r>
                  <w:rPr>
                    <w:color w:val="000000"/>
                    <w:szCs w:val="21"/>
                  </w:rPr>
                  <w:t>计提坏账准备</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41,988,448</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9,189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rFonts w:hint="eastAsia"/>
                    <w:szCs w:val="21"/>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41,979,259</w:t>
                </w: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t>其中</w:t>
                </w:r>
                <w:r>
                  <w:rPr>
                    <w:color w:val="000000"/>
                    <w:szCs w:val="21"/>
                  </w:rPr>
                  <w: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leftChars="260" w:left="546"/>
                  <w:rPr>
                    <w:color w:val="000000"/>
                    <w:szCs w:val="21"/>
                  </w:rPr>
                </w:pPr>
                <w:r>
                  <w:rPr>
                    <w:rFonts w:hint="eastAsia"/>
                    <w:color w:val="000000"/>
                    <w:szCs w:val="21"/>
                  </w:rPr>
                  <w:t>账龄组合</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280,459</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9,189</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271,270</w:t>
                </w: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leftChars="260" w:left="546"/>
                  <w:rPr>
                    <w:color w:val="000000"/>
                    <w:szCs w:val="21"/>
                  </w:rPr>
                </w:pPr>
                <w:r>
                  <w:rPr>
                    <w:rFonts w:hint="eastAsia"/>
                    <w:color w:val="000000"/>
                    <w:szCs w:val="21"/>
                  </w:rPr>
                  <w:t>无风险组合</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41,707,989</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41,707,989</w:t>
                </w:r>
              </w:p>
            </w:tc>
          </w:tr>
          <w:tr>
            <w:trPr>
              <w:trHeight w:val="397"/>
              <w:jc w:val="center"/>
            </w:trPr>
            <w:tc>
              <w:tcPr>
                <w:tcW w:w="2983"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color w:val="000000"/>
                    <w:szCs w:val="21"/>
                    <w:u w:val="double"/>
                  </w:rPr>
                </w:pPr>
                <w:r>
                  <w:rPr>
                    <w:rFonts w:hint="eastAsia"/>
                    <w:color w:val="000000"/>
                    <w:szCs w:val="21"/>
                    <w:u w:val="double"/>
                  </w:rPr>
                  <w:t>合计</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42,089,020</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109,761</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rFonts w:hint="eastAsia"/>
                    <w:color w:val="000000"/>
                    <w:szCs w:val="21"/>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41,979,259</w:t>
                </w:r>
              </w:p>
            </w:tc>
          </w:tr>
        </w:tbl>
        <w:p>
          <w:pPr>
            <w:pStyle w:val="afffffffffffffffff9"/>
            <w:spacing w:after="120"/>
            <w:rPr>
              <w:szCs w:val="21"/>
            </w:rPr>
          </w:pPr>
        </w:p>
        <w:p>
          <w:pPr>
            <w:pStyle w:val="afffffffffffffffff9"/>
            <w:spacing w:after="120"/>
            <w:rPr>
              <w:szCs w:val="21"/>
            </w:rPr>
          </w:pPr>
          <w:r>
            <w:rPr>
              <w:rFonts w:hint="eastAsia"/>
              <w:szCs w:val="21"/>
            </w:rPr>
            <w:t>接上表：</w:t>
          </w:r>
        </w:p>
        <w:tbl>
          <w:tblPr>
            <w:tblStyle w:val="affffffffff8"/>
            <w:tblW w:w="8579" w:type="dxa"/>
            <w:jc w:val="center"/>
            <w:tblLayout w:type="fixed"/>
            <w:tblLook w:val="04A0" w:firstRow="1" w:lastRow="0" w:firstColumn="1" w:lastColumn="0" w:noHBand="0" w:noVBand="1"/>
            <w:tblCaption w:val="D:\Users\202435566\Desktop\0-兖矿能源2024年TB（内蒙古金控）-0320\2024兖矿职衡tb|TB-合：兖矿能源.xlsx|披露附注|_jds1075260120231|0|desc|1_列1,2_列7,3_列8,4_列9,5_列10,6_列11||0|1"/>
          </w:tblPr>
          <w:tblGrid>
            <w:gridCol w:w="1985"/>
            <w:gridCol w:w="1362"/>
            <w:gridCol w:w="1047"/>
            <w:gridCol w:w="1256"/>
            <w:gridCol w:w="1465"/>
            <w:gridCol w:w="1464"/>
          </w:tblGrid>
          <w:tr>
            <w:trPr>
              <w:trHeight w:val="397"/>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类别</w:t>
                </w:r>
              </w:p>
            </w:tc>
            <w:tc>
              <w:tcPr>
                <w:tcW w:w="6594" w:type="dxa"/>
                <w:gridSpan w:val="5"/>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期初余额</w:t>
                </w:r>
              </w:p>
            </w:tc>
          </w:tr>
          <w:tr>
            <w:trPr>
              <w:trHeight w:val="397"/>
              <w:tblHeader/>
              <w:jc w:val="center"/>
            </w:trPr>
            <w:tc>
              <w:tcPr>
                <w:tcW w:w="1985"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账面余额</w:t>
                </w:r>
              </w:p>
            </w:tc>
            <w:tc>
              <w:tcPr>
                <w:tcW w:w="27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坏账准备</w:t>
                </w:r>
              </w:p>
            </w:tc>
            <w:tc>
              <w:tcPr>
                <w:tcW w:w="14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账面价值</w:t>
                </w:r>
              </w:p>
            </w:tc>
          </w:tr>
          <w:tr>
            <w:trPr>
              <w:trHeight w:val="397"/>
              <w:tblHeader/>
              <w:jc w:val="center"/>
            </w:trPr>
            <w:tc>
              <w:tcPr>
                <w:tcW w:w="1985"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金额</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比例（%）</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金额</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b/>
                    <w:color w:val="000000"/>
                    <w:szCs w:val="21"/>
                  </w:rPr>
                </w:pPr>
                <w:r>
                  <w:rPr>
                    <w:rFonts w:hint="eastAsia"/>
                    <w:b/>
                    <w:color w:val="000000"/>
                    <w:szCs w:val="21"/>
                  </w:rPr>
                  <w:t>计提比例（%）</w:t>
                </w:r>
              </w:p>
            </w:tc>
            <w:tc>
              <w:tcPr>
                <w:tcW w:w="1464" w:type="dxa"/>
                <w:vMerge/>
                <w:tcBorders>
                  <w:top w:val="single" w:sz="4" w:space="0" w:color="auto"/>
                  <w:left w:val="single" w:sz="4" w:space="0" w:color="auto"/>
                  <w:bottom w:val="single" w:sz="4" w:space="0" w:color="auto"/>
                  <w:right w:val="single" w:sz="4" w:space="0" w:color="auto"/>
                </w:tcBorders>
                <w:vAlign w:val="center"/>
              </w:tcPr>
              <w:p>
                <w:pPr>
                  <w:spacing w:line="360" w:lineRule="exact"/>
                  <w:jc w:val="center"/>
                  <w:rPr>
                    <w:b/>
                    <w:color w:val="000000"/>
                    <w:szCs w:val="21"/>
                  </w:rPr>
                </w:pP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t>按单项计提坏账准备</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212,536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212,536</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w:t>
                </w: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lastRenderedPageBreak/>
                  <w:t>按组合</w:t>
                </w:r>
                <w:r>
                  <w:rPr>
                    <w:color w:val="000000"/>
                    <w:szCs w:val="21"/>
                  </w:rPr>
                  <w:t>计提坏账准备</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32,026,692</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9,227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6</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32,017,465</w:t>
                </w: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rPr>
                    <w:color w:val="000000"/>
                    <w:szCs w:val="21"/>
                  </w:rPr>
                </w:pPr>
                <w:r>
                  <w:rPr>
                    <w:rFonts w:hint="eastAsia"/>
                    <w:color w:val="000000"/>
                    <w:szCs w:val="21"/>
                  </w:rPr>
                  <w:t>其中</w:t>
                </w:r>
                <w:r>
                  <w:rPr>
                    <w:color w:val="000000"/>
                    <w:szCs w:val="21"/>
                  </w:rPr>
                  <w:t>：</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leftChars="260" w:left="546"/>
                  <w:rPr>
                    <w:color w:val="000000"/>
                    <w:szCs w:val="21"/>
                  </w:rPr>
                </w:pPr>
                <w:r>
                  <w:rPr>
                    <w:rFonts w:hint="eastAsia"/>
                    <w:color w:val="000000"/>
                    <w:szCs w:val="21"/>
                  </w:rPr>
                  <w:t>账龄组合</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153,376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9,227</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6</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144,149</w:t>
                </w: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ind w:leftChars="260" w:left="546"/>
                  <w:rPr>
                    <w:color w:val="000000"/>
                    <w:szCs w:val="21"/>
                  </w:rPr>
                </w:pPr>
                <w:r>
                  <w:rPr>
                    <w:rFonts w:hint="eastAsia"/>
                    <w:color w:val="000000"/>
                    <w:szCs w:val="21"/>
                  </w:rPr>
                  <w:t>无风险组合</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31,873,316</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99</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31,873,316</w:t>
                </w:r>
              </w:p>
            </w:tc>
          </w:tr>
          <w:tr>
            <w:trPr>
              <w:trHeight w:val="397"/>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center"/>
                  <w:rPr>
                    <w:color w:val="000000"/>
                    <w:szCs w:val="21"/>
                  </w:rPr>
                </w:pPr>
                <w:r>
                  <w:rPr>
                    <w:rFonts w:hint="eastAsia"/>
                    <w:color w:val="000000"/>
                    <w:szCs w:val="21"/>
                  </w:rPr>
                  <w:t>合计</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32,239,228</w:t>
                </w:r>
              </w:p>
            </w:tc>
            <w:tc>
              <w:tcPr>
                <w:tcW w:w="1047"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100</w:t>
                </w:r>
              </w:p>
            </w:tc>
            <w:tc>
              <w:tcPr>
                <w:tcW w:w="1256"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221,763</w:t>
                </w:r>
              </w:p>
            </w:tc>
            <w:tc>
              <w:tcPr>
                <w:tcW w:w="1465"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rFonts w:hint="eastAsia"/>
                    <w:color w:val="000000"/>
                    <w:szCs w:val="21"/>
                  </w:rPr>
                  <w:t>1</w:t>
                </w:r>
              </w:p>
            </w:tc>
            <w:tc>
              <w:tcPr>
                <w:tcW w:w="1464" w:type="dxa"/>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color w:val="000000"/>
                    <w:szCs w:val="21"/>
                  </w:rPr>
                </w:pPr>
                <w:r>
                  <w:rPr>
                    <w:color w:val="000000"/>
                    <w:szCs w:val="21"/>
                  </w:rPr>
                  <w:t>32,017,465</w:t>
                </w:r>
              </w:p>
            </w:tc>
          </w:tr>
        </w:tbl>
        <w:p>
          <w:pPr>
            <w:pStyle w:val="afffffffffffffffff9"/>
            <w:spacing w:after="120"/>
            <w:rPr>
              <w:szCs w:val="21"/>
            </w:rPr>
          </w:pPr>
        </w:p>
        <w:p>
          <w:pPr>
            <w:spacing w:afterLines="50" w:after="120" w:line="360" w:lineRule="exact"/>
            <w:ind w:firstLineChars="200" w:firstLine="420"/>
            <w:rPr>
              <w:szCs w:val="21"/>
            </w:rPr>
          </w:pPr>
          <w:r>
            <w:rPr>
              <w:rFonts w:hint="eastAsia"/>
              <w:szCs w:val="21"/>
            </w:rPr>
            <w:t>按单项</w:t>
          </w:r>
          <w:r>
            <w:rPr>
              <w:szCs w:val="21"/>
            </w:rPr>
            <w:t>计提坏账准备：</w:t>
          </w:r>
        </w:p>
        <w:tbl>
          <w:tblPr>
            <w:tblStyle w:val="affffffffff8"/>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D:\Users\202435566\Desktop\0-兖矿能源2024年TB（内蒙古金控）-0320\2024兖矿职衡tb|TB-合：兖矿能源.xlsx|披露附注|_jds1075280120231|0|desc|||0|1"/>
          </w:tblPr>
          <w:tblGrid>
            <w:gridCol w:w="2273"/>
            <w:gridCol w:w="992"/>
            <w:gridCol w:w="1277"/>
            <w:gridCol w:w="1134"/>
            <w:gridCol w:w="1134"/>
            <w:gridCol w:w="992"/>
            <w:gridCol w:w="1491"/>
          </w:tblGrid>
          <w:tr>
            <w:trPr>
              <w:trHeight w:val="397"/>
              <w:tblHeader/>
              <w:jc w:val="center"/>
            </w:trPr>
            <w:tc>
              <w:tcPr>
                <w:tcW w:w="2273" w:type="dxa"/>
                <w:vMerge w:val="restart"/>
                <w:vAlign w:val="center"/>
              </w:tcPr>
              <w:p>
                <w:pPr>
                  <w:spacing w:line="360" w:lineRule="exact"/>
                  <w:jc w:val="center"/>
                  <w:rPr>
                    <w:b/>
                    <w:szCs w:val="21"/>
                  </w:rPr>
                </w:pPr>
                <w:r>
                  <w:rPr>
                    <w:rFonts w:hint="eastAsia"/>
                    <w:b/>
                    <w:szCs w:val="21"/>
                  </w:rPr>
                  <w:t>名称</w:t>
                </w:r>
              </w:p>
            </w:tc>
            <w:tc>
              <w:tcPr>
                <w:tcW w:w="2269" w:type="dxa"/>
                <w:gridSpan w:val="2"/>
                <w:vAlign w:val="center"/>
              </w:tcPr>
              <w:p>
                <w:pPr>
                  <w:spacing w:line="360" w:lineRule="exact"/>
                  <w:jc w:val="center"/>
                  <w:rPr>
                    <w:b/>
                    <w:szCs w:val="21"/>
                  </w:rPr>
                </w:pPr>
                <w:r>
                  <w:rPr>
                    <w:rFonts w:hint="eastAsia"/>
                    <w:b/>
                    <w:szCs w:val="21"/>
                  </w:rPr>
                  <w:t>期初余额</w:t>
                </w:r>
              </w:p>
            </w:tc>
            <w:tc>
              <w:tcPr>
                <w:tcW w:w="4751" w:type="dxa"/>
                <w:gridSpan w:val="4"/>
                <w:vAlign w:val="center"/>
              </w:tcPr>
              <w:p>
                <w:pPr>
                  <w:spacing w:line="360" w:lineRule="exact"/>
                  <w:jc w:val="center"/>
                  <w:rPr>
                    <w:b/>
                    <w:szCs w:val="21"/>
                  </w:rPr>
                </w:pPr>
                <w:r>
                  <w:rPr>
                    <w:rFonts w:hint="eastAsia"/>
                    <w:b/>
                    <w:szCs w:val="21"/>
                  </w:rPr>
                  <w:t>期末余额</w:t>
                </w:r>
              </w:p>
            </w:tc>
          </w:tr>
          <w:tr>
            <w:trPr>
              <w:trHeight w:val="397"/>
              <w:tblHeader/>
              <w:jc w:val="center"/>
            </w:trPr>
            <w:tc>
              <w:tcPr>
                <w:tcW w:w="2273" w:type="dxa"/>
                <w:vMerge/>
                <w:vAlign w:val="center"/>
              </w:tcPr>
              <w:p>
                <w:pPr>
                  <w:spacing w:line="360" w:lineRule="exact"/>
                  <w:jc w:val="center"/>
                  <w:rPr>
                    <w:b/>
                    <w:szCs w:val="21"/>
                  </w:rPr>
                </w:pPr>
              </w:p>
            </w:tc>
            <w:tc>
              <w:tcPr>
                <w:tcW w:w="992" w:type="dxa"/>
                <w:vAlign w:val="center"/>
              </w:tcPr>
              <w:p>
                <w:pPr>
                  <w:spacing w:line="360" w:lineRule="exact"/>
                  <w:jc w:val="center"/>
                  <w:rPr>
                    <w:b/>
                    <w:szCs w:val="21"/>
                  </w:rPr>
                </w:pPr>
                <w:r>
                  <w:rPr>
                    <w:rFonts w:hint="eastAsia"/>
                    <w:b/>
                    <w:szCs w:val="21"/>
                  </w:rPr>
                  <w:t>账面余额</w:t>
                </w:r>
              </w:p>
            </w:tc>
            <w:tc>
              <w:tcPr>
                <w:tcW w:w="1277" w:type="dxa"/>
                <w:vAlign w:val="center"/>
              </w:tcPr>
              <w:p>
                <w:pPr>
                  <w:spacing w:line="360" w:lineRule="exact"/>
                  <w:jc w:val="center"/>
                  <w:rPr>
                    <w:b/>
                    <w:szCs w:val="21"/>
                  </w:rPr>
                </w:pPr>
                <w:r>
                  <w:rPr>
                    <w:rFonts w:hint="eastAsia"/>
                    <w:b/>
                    <w:szCs w:val="21"/>
                  </w:rPr>
                  <w:t>坏账准备</w:t>
                </w:r>
              </w:p>
            </w:tc>
            <w:tc>
              <w:tcPr>
                <w:tcW w:w="1134" w:type="dxa"/>
                <w:vAlign w:val="center"/>
              </w:tcPr>
              <w:p>
                <w:pPr>
                  <w:spacing w:line="360" w:lineRule="exact"/>
                  <w:jc w:val="center"/>
                  <w:rPr>
                    <w:b/>
                    <w:szCs w:val="21"/>
                  </w:rPr>
                </w:pPr>
                <w:r>
                  <w:rPr>
                    <w:rFonts w:hint="eastAsia"/>
                    <w:b/>
                    <w:szCs w:val="21"/>
                  </w:rPr>
                  <w:t>账面</w:t>
                </w:r>
                <w:r>
                  <w:rPr>
                    <w:b/>
                    <w:szCs w:val="21"/>
                  </w:rPr>
                  <w:t>余额</w:t>
                </w:r>
              </w:p>
            </w:tc>
            <w:tc>
              <w:tcPr>
                <w:tcW w:w="1134" w:type="dxa"/>
                <w:vAlign w:val="center"/>
              </w:tcPr>
              <w:p>
                <w:pPr>
                  <w:spacing w:line="360" w:lineRule="exact"/>
                  <w:jc w:val="center"/>
                  <w:rPr>
                    <w:b/>
                    <w:szCs w:val="21"/>
                  </w:rPr>
                </w:pPr>
                <w:r>
                  <w:rPr>
                    <w:rFonts w:hint="eastAsia"/>
                    <w:b/>
                    <w:szCs w:val="21"/>
                  </w:rPr>
                  <w:t>坏账准备</w:t>
                </w:r>
              </w:p>
            </w:tc>
            <w:tc>
              <w:tcPr>
                <w:tcW w:w="992" w:type="dxa"/>
                <w:vAlign w:val="center"/>
              </w:tcPr>
              <w:p>
                <w:pPr>
                  <w:spacing w:line="360" w:lineRule="exact"/>
                  <w:jc w:val="center"/>
                  <w:rPr>
                    <w:b/>
                    <w:szCs w:val="21"/>
                  </w:rPr>
                </w:pPr>
                <w:r>
                  <w:rPr>
                    <w:rFonts w:hint="eastAsia"/>
                    <w:b/>
                    <w:szCs w:val="21"/>
                  </w:rPr>
                  <w:t>计提比例（%）</w:t>
                </w:r>
              </w:p>
            </w:tc>
            <w:tc>
              <w:tcPr>
                <w:tcW w:w="1491" w:type="dxa"/>
                <w:vAlign w:val="center"/>
              </w:tcPr>
              <w:p>
                <w:pPr>
                  <w:spacing w:line="360" w:lineRule="exact"/>
                  <w:jc w:val="center"/>
                  <w:rPr>
                    <w:b/>
                    <w:szCs w:val="21"/>
                  </w:rPr>
                </w:pPr>
                <w:r>
                  <w:rPr>
                    <w:rFonts w:hint="eastAsia"/>
                    <w:b/>
                    <w:szCs w:val="21"/>
                  </w:rPr>
                  <w:t>计提理由</w:t>
                </w:r>
              </w:p>
            </w:tc>
          </w:tr>
          <w:tr>
            <w:trPr>
              <w:trHeight w:val="397"/>
              <w:jc w:val="center"/>
            </w:trPr>
            <w:tc>
              <w:tcPr>
                <w:tcW w:w="2273" w:type="dxa"/>
                <w:vAlign w:val="center"/>
              </w:tcPr>
              <w:p>
                <w:pPr>
                  <w:spacing w:line="360" w:lineRule="exact"/>
                  <w:rPr>
                    <w:szCs w:val="21"/>
                  </w:rPr>
                </w:pPr>
                <w:r>
                  <w:rPr>
                    <w:rFonts w:hint="eastAsia"/>
                    <w:szCs w:val="21"/>
                  </w:rPr>
                  <w:t>公司1</w:t>
                </w:r>
              </w:p>
            </w:tc>
            <w:tc>
              <w:tcPr>
                <w:tcW w:w="992" w:type="dxa"/>
                <w:vAlign w:val="center"/>
              </w:tcPr>
              <w:p>
                <w:pPr>
                  <w:spacing w:line="360" w:lineRule="exact"/>
                  <w:jc w:val="right"/>
                  <w:rPr>
                    <w:szCs w:val="21"/>
                  </w:rPr>
                </w:pPr>
                <w:r>
                  <w:rPr>
                    <w:szCs w:val="21"/>
                  </w:rPr>
                  <w:t>90,602</w:t>
                </w:r>
              </w:p>
            </w:tc>
            <w:tc>
              <w:tcPr>
                <w:tcW w:w="1277" w:type="dxa"/>
                <w:vAlign w:val="center"/>
              </w:tcPr>
              <w:p>
                <w:pPr>
                  <w:spacing w:line="360" w:lineRule="exact"/>
                  <w:jc w:val="right"/>
                  <w:rPr>
                    <w:szCs w:val="21"/>
                  </w:rPr>
                </w:pPr>
                <w:r>
                  <w:rPr>
                    <w:szCs w:val="21"/>
                  </w:rPr>
                  <w:t>90,602</w:t>
                </w:r>
              </w:p>
            </w:tc>
            <w:tc>
              <w:tcPr>
                <w:tcW w:w="1134" w:type="dxa"/>
                <w:vAlign w:val="center"/>
              </w:tcPr>
              <w:p>
                <w:pPr>
                  <w:spacing w:line="360" w:lineRule="exact"/>
                  <w:jc w:val="right"/>
                  <w:rPr>
                    <w:szCs w:val="21"/>
                  </w:rPr>
                </w:pPr>
              </w:p>
            </w:tc>
            <w:tc>
              <w:tcPr>
                <w:tcW w:w="1134" w:type="dxa"/>
                <w:vAlign w:val="center"/>
              </w:tcPr>
              <w:p>
                <w:pPr>
                  <w:spacing w:line="360" w:lineRule="exact"/>
                  <w:jc w:val="right"/>
                  <w:rPr>
                    <w:szCs w:val="21"/>
                  </w:rPr>
                </w:pPr>
              </w:p>
            </w:tc>
            <w:tc>
              <w:tcPr>
                <w:tcW w:w="992" w:type="dxa"/>
                <w:vAlign w:val="center"/>
              </w:tcPr>
              <w:p>
                <w:pPr>
                  <w:spacing w:line="360" w:lineRule="exact"/>
                  <w:jc w:val="right"/>
                  <w:rPr>
                    <w:szCs w:val="21"/>
                  </w:rPr>
                </w:pPr>
              </w:p>
            </w:tc>
            <w:tc>
              <w:tcPr>
                <w:tcW w:w="1491" w:type="dxa"/>
                <w:vAlign w:val="center"/>
              </w:tcPr>
              <w:p>
                <w:pPr>
                  <w:spacing w:line="360" w:lineRule="exact"/>
                  <w:rPr>
                    <w:szCs w:val="21"/>
                  </w:rPr>
                </w:pPr>
              </w:p>
            </w:tc>
          </w:tr>
          <w:tr>
            <w:trPr>
              <w:trHeight w:val="397"/>
              <w:jc w:val="center"/>
            </w:trPr>
            <w:tc>
              <w:tcPr>
                <w:tcW w:w="2273" w:type="dxa"/>
                <w:vAlign w:val="center"/>
              </w:tcPr>
              <w:p>
                <w:pPr>
                  <w:spacing w:line="360" w:lineRule="exact"/>
                  <w:rPr>
                    <w:szCs w:val="21"/>
                  </w:rPr>
                </w:pPr>
                <w:r>
                  <w:rPr>
                    <w:rFonts w:hint="eastAsia"/>
                    <w:szCs w:val="21"/>
                  </w:rPr>
                  <w:t>公司2</w:t>
                </w:r>
              </w:p>
            </w:tc>
            <w:tc>
              <w:tcPr>
                <w:tcW w:w="992" w:type="dxa"/>
                <w:vAlign w:val="center"/>
              </w:tcPr>
              <w:p>
                <w:pPr>
                  <w:spacing w:line="360" w:lineRule="exact"/>
                  <w:jc w:val="right"/>
                  <w:rPr>
                    <w:szCs w:val="21"/>
                  </w:rPr>
                </w:pPr>
                <w:r>
                  <w:rPr>
                    <w:szCs w:val="21"/>
                  </w:rPr>
                  <w:t>69,169</w:t>
                </w:r>
              </w:p>
            </w:tc>
            <w:tc>
              <w:tcPr>
                <w:tcW w:w="1277" w:type="dxa"/>
                <w:vAlign w:val="center"/>
              </w:tcPr>
              <w:p>
                <w:pPr>
                  <w:spacing w:line="360" w:lineRule="exact"/>
                  <w:jc w:val="right"/>
                  <w:rPr>
                    <w:szCs w:val="21"/>
                  </w:rPr>
                </w:pPr>
                <w:r>
                  <w:rPr>
                    <w:szCs w:val="21"/>
                  </w:rPr>
                  <w:t>69,169</w:t>
                </w:r>
              </w:p>
            </w:tc>
            <w:tc>
              <w:tcPr>
                <w:tcW w:w="1134" w:type="dxa"/>
                <w:vAlign w:val="center"/>
              </w:tcPr>
              <w:p>
                <w:pPr>
                  <w:spacing w:line="360" w:lineRule="exact"/>
                  <w:jc w:val="right"/>
                  <w:rPr>
                    <w:szCs w:val="21"/>
                  </w:rPr>
                </w:pPr>
                <w:r>
                  <w:rPr>
                    <w:szCs w:val="21"/>
                  </w:rPr>
                  <w:t>69,169</w:t>
                </w:r>
              </w:p>
            </w:tc>
            <w:tc>
              <w:tcPr>
                <w:tcW w:w="1134" w:type="dxa"/>
                <w:vAlign w:val="center"/>
              </w:tcPr>
              <w:p>
                <w:pPr>
                  <w:spacing w:line="360" w:lineRule="exact"/>
                  <w:jc w:val="right"/>
                  <w:rPr>
                    <w:szCs w:val="21"/>
                  </w:rPr>
                </w:pPr>
                <w:r>
                  <w:rPr>
                    <w:szCs w:val="21"/>
                  </w:rPr>
                  <w:t>69,169</w:t>
                </w:r>
              </w:p>
            </w:tc>
            <w:tc>
              <w:tcPr>
                <w:tcW w:w="992" w:type="dxa"/>
                <w:vAlign w:val="center"/>
              </w:tcPr>
              <w:p>
                <w:pPr>
                  <w:spacing w:line="360" w:lineRule="exact"/>
                  <w:jc w:val="right"/>
                  <w:rPr>
                    <w:szCs w:val="21"/>
                  </w:rPr>
                </w:pPr>
                <w:r>
                  <w:rPr>
                    <w:szCs w:val="21"/>
                  </w:rPr>
                  <w:t>100</w:t>
                </w:r>
              </w:p>
            </w:tc>
            <w:tc>
              <w:tcPr>
                <w:tcW w:w="1491" w:type="dxa"/>
                <w:vAlign w:val="center"/>
              </w:tcPr>
              <w:p>
                <w:pPr>
                  <w:spacing w:line="360" w:lineRule="exact"/>
                  <w:rPr>
                    <w:szCs w:val="21"/>
                  </w:rPr>
                </w:pPr>
                <w:r>
                  <w:rPr>
                    <w:rFonts w:hint="eastAsia"/>
                    <w:szCs w:val="21"/>
                  </w:rPr>
                  <w:t>预计无法收回</w:t>
                </w:r>
              </w:p>
            </w:tc>
          </w:tr>
          <w:tr>
            <w:trPr>
              <w:trHeight w:val="397"/>
              <w:jc w:val="center"/>
            </w:trPr>
            <w:tc>
              <w:tcPr>
                <w:tcW w:w="2273" w:type="dxa"/>
                <w:vAlign w:val="center"/>
              </w:tcPr>
              <w:p>
                <w:pPr>
                  <w:spacing w:line="360" w:lineRule="exact"/>
                  <w:rPr>
                    <w:szCs w:val="21"/>
                  </w:rPr>
                </w:pPr>
                <w:r>
                  <w:rPr>
                    <w:rFonts w:hint="eastAsia"/>
                    <w:szCs w:val="21"/>
                  </w:rPr>
                  <w:t>公司</w:t>
                </w:r>
                <w:r>
                  <w:rPr>
                    <w:szCs w:val="21"/>
                  </w:rPr>
                  <w:t>3</w:t>
                </w:r>
              </w:p>
            </w:tc>
            <w:tc>
              <w:tcPr>
                <w:tcW w:w="992" w:type="dxa"/>
                <w:vAlign w:val="center"/>
              </w:tcPr>
              <w:p>
                <w:pPr>
                  <w:spacing w:line="360" w:lineRule="exact"/>
                  <w:jc w:val="right"/>
                  <w:rPr>
                    <w:szCs w:val="21"/>
                  </w:rPr>
                </w:pPr>
                <w:r>
                  <w:rPr>
                    <w:szCs w:val="21"/>
                  </w:rPr>
                  <w:t>28,240</w:t>
                </w:r>
              </w:p>
            </w:tc>
            <w:tc>
              <w:tcPr>
                <w:tcW w:w="1277" w:type="dxa"/>
                <w:vAlign w:val="center"/>
              </w:tcPr>
              <w:p>
                <w:pPr>
                  <w:spacing w:line="360" w:lineRule="exact"/>
                  <w:jc w:val="right"/>
                  <w:rPr>
                    <w:szCs w:val="21"/>
                  </w:rPr>
                </w:pPr>
                <w:r>
                  <w:rPr>
                    <w:szCs w:val="21"/>
                  </w:rPr>
                  <w:t>28,240</w:t>
                </w:r>
              </w:p>
            </w:tc>
            <w:tc>
              <w:tcPr>
                <w:tcW w:w="1134" w:type="dxa"/>
                <w:vAlign w:val="center"/>
              </w:tcPr>
              <w:p>
                <w:pPr>
                  <w:spacing w:line="360" w:lineRule="exact"/>
                  <w:jc w:val="right"/>
                  <w:rPr>
                    <w:szCs w:val="21"/>
                  </w:rPr>
                </w:pPr>
                <w:r>
                  <w:rPr>
                    <w:szCs w:val="21"/>
                  </w:rPr>
                  <w:t>28,240</w:t>
                </w:r>
              </w:p>
            </w:tc>
            <w:tc>
              <w:tcPr>
                <w:tcW w:w="1134" w:type="dxa"/>
                <w:vAlign w:val="center"/>
              </w:tcPr>
              <w:p>
                <w:pPr>
                  <w:spacing w:line="360" w:lineRule="exact"/>
                  <w:jc w:val="right"/>
                  <w:rPr>
                    <w:szCs w:val="21"/>
                  </w:rPr>
                </w:pPr>
                <w:r>
                  <w:rPr>
                    <w:szCs w:val="21"/>
                  </w:rPr>
                  <w:t>28,240</w:t>
                </w:r>
              </w:p>
            </w:tc>
            <w:tc>
              <w:tcPr>
                <w:tcW w:w="992" w:type="dxa"/>
                <w:vAlign w:val="center"/>
              </w:tcPr>
              <w:p>
                <w:pPr>
                  <w:spacing w:line="360" w:lineRule="exact"/>
                  <w:jc w:val="right"/>
                  <w:rPr>
                    <w:szCs w:val="21"/>
                  </w:rPr>
                </w:pPr>
                <w:r>
                  <w:rPr>
                    <w:szCs w:val="21"/>
                  </w:rPr>
                  <w:t>100</w:t>
                </w:r>
              </w:p>
            </w:tc>
            <w:tc>
              <w:tcPr>
                <w:tcW w:w="1491" w:type="dxa"/>
                <w:vAlign w:val="center"/>
              </w:tcPr>
              <w:p>
                <w:pPr>
                  <w:spacing w:line="360" w:lineRule="exact"/>
                  <w:rPr>
                    <w:szCs w:val="21"/>
                  </w:rPr>
                </w:pPr>
                <w:r>
                  <w:rPr>
                    <w:rFonts w:hint="eastAsia"/>
                    <w:szCs w:val="21"/>
                  </w:rPr>
                  <w:t>预计无法收回</w:t>
                </w:r>
              </w:p>
            </w:tc>
          </w:tr>
          <w:tr>
            <w:trPr>
              <w:trHeight w:val="397"/>
              <w:jc w:val="center"/>
            </w:trPr>
            <w:tc>
              <w:tcPr>
                <w:tcW w:w="2273" w:type="dxa"/>
                <w:vAlign w:val="center"/>
              </w:tcPr>
              <w:p>
                <w:pPr>
                  <w:spacing w:line="360" w:lineRule="exact"/>
                  <w:rPr>
                    <w:szCs w:val="21"/>
                  </w:rPr>
                </w:pPr>
                <w:r>
                  <w:rPr>
                    <w:rFonts w:hint="eastAsia"/>
                    <w:szCs w:val="21"/>
                  </w:rPr>
                  <w:t>公司</w:t>
                </w:r>
                <w:r>
                  <w:rPr>
                    <w:szCs w:val="21"/>
                  </w:rPr>
                  <w:t>4</w:t>
                </w:r>
              </w:p>
            </w:tc>
            <w:tc>
              <w:tcPr>
                <w:tcW w:w="992" w:type="dxa"/>
                <w:vAlign w:val="center"/>
              </w:tcPr>
              <w:p>
                <w:pPr>
                  <w:spacing w:line="360" w:lineRule="exact"/>
                  <w:jc w:val="right"/>
                  <w:rPr>
                    <w:szCs w:val="21"/>
                  </w:rPr>
                </w:pPr>
                <w:r>
                  <w:rPr>
                    <w:szCs w:val="21"/>
                  </w:rPr>
                  <w:t>21,362</w:t>
                </w:r>
              </w:p>
            </w:tc>
            <w:tc>
              <w:tcPr>
                <w:tcW w:w="1277" w:type="dxa"/>
                <w:vAlign w:val="center"/>
              </w:tcPr>
              <w:p>
                <w:pPr>
                  <w:spacing w:line="360" w:lineRule="exact"/>
                  <w:jc w:val="right"/>
                  <w:rPr>
                    <w:szCs w:val="21"/>
                  </w:rPr>
                </w:pPr>
                <w:r>
                  <w:rPr>
                    <w:szCs w:val="21"/>
                  </w:rPr>
                  <w:t>21,362</w:t>
                </w:r>
              </w:p>
            </w:tc>
            <w:tc>
              <w:tcPr>
                <w:tcW w:w="1134" w:type="dxa"/>
                <w:vAlign w:val="center"/>
              </w:tcPr>
              <w:p>
                <w:pPr>
                  <w:spacing w:line="360" w:lineRule="exact"/>
                  <w:jc w:val="right"/>
                  <w:rPr>
                    <w:szCs w:val="21"/>
                  </w:rPr>
                </w:pPr>
              </w:p>
            </w:tc>
            <w:tc>
              <w:tcPr>
                <w:tcW w:w="1134" w:type="dxa"/>
                <w:vAlign w:val="center"/>
              </w:tcPr>
              <w:p>
                <w:pPr>
                  <w:spacing w:line="360" w:lineRule="exact"/>
                  <w:jc w:val="right"/>
                  <w:rPr>
                    <w:szCs w:val="21"/>
                  </w:rPr>
                </w:pPr>
              </w:p>
            </w:tc>
            <w:tc>
              <w:tcPr>
                <w:tcW w:w="992" w:type="dxa"/>
                <w:vAlign w:val="center"/>
              </w:tcPr>
              <w:p>
                <w:pPr>
                  <w:spacing w:line="360" w:lineRule="exact"/>
                  <w:jc w:val="right"/>
                  <w:rPr>
                    <w:szCs w:val="21"/>
                  </w:rPr>
                </w:pPr>
              </w:p>
            </w:tc>
            <w:tc>
              <w:tcPr>
                <w:tcW w:w="1491" w:type="dxa"/>
                <w:vAlign w:val="center"/>
              </w:tcPr>
              <w:p>
                <w:pPr>
                  <w:spacing w:line="360" w:lineRule="exact"/>
                  <w:rPr>
                    <w:szCs w:val="21"/>
                  </w:rPr>
                </w:pPr>
              </w:p>
            </w:tc>
          </w:tr>
          <w:tr>
            <w:trPr>
              <w:trHeight w:val="397"/>
              <w:jc w:val="center"/>
            </w:trPr>
            <w:tc>
              <w:tcPr>
                <w:tcW w:w="2273" w:type="dxa"/>
                <w:vAlign w:val="center"/>
              </w:tcPr>
              <w:p>
                <w:pPr>
                  <w:spacing w:line="360" w:lineRule="exact"/>
                  <w:rPr>
                    <w:szCs w:val="21"/>
                  </w:rPr>
                </w:pPr>
                <w:r>
                  <w:rPr>
                    <w:rFonts w:hint="eastAsia"/>
                    <w:szCs w:val="21"/>
                  </w:rPr>
                  <w:t>其他不重大客户</w:t>
                </w:r>
              </w:p>
            </w:tc>
            <w:tc>
              <w:tcPr>
                <w:tcW w:w="992" w:type="dxa"/>
                <w:vAlign w:val="center"/>
              </w:tcPr>
              <w:p>
                <w:pPr>
                  <w:spacing w:line="360" w:lineRule="exact"/>
                  <w:jc w:val="right"/>
                  <w:rPr>
                    <w:szCs w:val="21"/>
                  </w:rPr>
                </w:pPr>
                <w:r>
                  <w:rPr>
                    <w:szCs w:val="21"/>
                  </w:rPr>
                  <w:t>3,163</w:t>
                </w:r>
              </w:p>
            </w:tc>
            <w:tc>
              <w:tcPr>
                <w:tcW w:w="1277" w:type="dxa"/>
                <w:vAlign w:val="center"/>
              </w:tcPr>
              <w:p>
                <w:pPr>
                  <w:spacing w:line="360" w:lineRule="exact"/>
                  <w:jc w:val="right"/>
                  <w:rPr>
                    <w:szCs w:val="21"/>
                  </w:rPr>
                </w:pPr>
                <w:r>
                  <w:rPr>
                    <w:szCs w:val="21"/>
                  </w:rPr>
                  <w:t>3,163</w:t>
                </w:r>
              </w:p>
            </w:tc>
            <w:tc>
              <w:tcPr>
                <w:tcW w:w="1134" w:type="dxa"/>
                <w:vAlign w:val="center"/>
              </w:tcPr>
              <w:p>
                <w:pPr>
                  <w:spacing w:line="360" w:lineRule="exact"/>
                  <w:jc w:val="right"/>
                  <w:rPr>
                    <w:szCs w:val="21"/>
                  </w:rPr>
                </w:pPr>
                <w:r>
                  <w:rPr>
                    <w:szCs w:val="21"/>
                  </w:rPr>
                  <w:t>3,163</w:t>
                </w:r>
              </w:p>
            </w:tc>
            <w:tc>
              <w:tcPr>
                <w:tcW w:w="1134" w:type="dxa"/>
                <w:vAlign w:val="center"/>
              </w:tcPr>
              <w:p>
                <w:pPr>
                  <w:spacing w:line="360" w:lineRule="exact"/>
                  <w:jc w:val="right"/>
                  <w:rPr>
                    <w:szCs w:val="21"/>
                  </w:rPr>
                </w:pPr>
                <w:r>
                  <w:rPr>
                    <w:szCs w:val="21"/>
                  </w:rPr>
                  <w:t>3,163</w:t>
                </w:r>
              </w:p>
            </w:tc>
            <w:tc>
              <w:tcPr>
                <w:tcW w:w="992" w:type="dxa"/>
                <w:vAlign w:val="center"/>
              </w:tcPr>
              <w:p>
                <w:pPr>
                  <w:spacing w:line="360" w:lineRule="exact"/>
                  <w:jc w:val="right"/>
                  <w:rPr>
                    <w:szCs w:val="21"/>
                  </w:rPr>
                </w:pPr>
                <w:r>
                  <w:rPr>
                    <w:szCs w:val="21"/>
                  </w:rPr>
                  <w:t>100</w:t>
                </w:r>
              </w:p>
            </w:tc>
            <w:tc>
              <w:tcPr>
                <w:tcW w:w="1491" w:type="dxa"/>
                <w:vAlign w:val="center"/>
              </w:tcPr>
              <w:p>
                <w:pPr>
                  <w:spacing w:line="360" w:lineRule="exact"/>
                  <w:rPr>
                    <w:szCs w:val="21"/>
                  </w:rPr>
                </w:pPr>
                <w:r>
                  <w:rPr>
                    <w:rFonts w:hint="eastAsia"/>
                    <w:szCs w:val="21"/>
                  </w:rPr>
                  <w:t>预计无法收回</w:t>
                </w:r>
              </w:p>
            </w:tc>
          </w:tr>
          <w:tr>
            <w:trPr>
              <w:trHeight w:val="397"/>
              <w:jc w:val="center"/>
            </w:trPr>
            <w:tc>
              <w:tcPr>
                <w:tcW w:w="2273" w:type="dxa"/>
                <w:vAlign w:val="center"/>
              </w:tcPr>
              <w:p>
                <w:pPr>
                  <w:spacing w:line="360" w:lineRule="exact"/>
                  <w:jc w:val="center"/>
                  <w:rPr>
                    <w:szCs w:val="21"/>
                  </w:rPr>
                </w:pPr>
                <w:r>
                  <w:rPr>
                    <w:rFonts w:hint="eastAsia"/>
                    <w:szCs w:val="21"/>
                  </w:rPr>
                  <w:t>合计</w:t>
                </w:r>
              </w:p>
            </w:tc>
            <w:tc>
              <w:tcPr>
                <w:tcW w:w="992" w:type="dxa"/>
                <w:vAlign w:val="center"/>
              </w:tcPr>
              <w:p>
                <w:pPr>
                  <w:spacing w:line="360" w:lineRule="exact"/>
                  <w:jc w:val="right"/>
                  <w:rPr>
                    <w:szCs w:val="21"/>
                  </w:rPr>
                </w:pPr>
                <w:r>
                  <w:rPr>
                    <w:szCs w:val="21"/>
                  </w:rPr>
                  <w:t>212,536</w:t>
                </w:r>
              </w:p>
            </w:tc>
            <w:tc>
              <w:tcPr>
                <w:tcW w:w="1277" w:type="dxa"/>
                <w:vAlign w:val="center"/>
              </w:tcPr>
              <w:p>
                <w:pPr>
                  <w:spacing w:line="360" w:lineRule="exact"/>
                  <w:jc w:val="right"/>
                  <w:rPr>
                    <w:szCs w:val="21"/>
                  </w:rPr>
                </w:pPr>
                <w:r>
                  <w:rPr>
                    <w:szCs w:val="21"/>
                  </w:rPr>
                  <w:t>212,536</w:t>
                </w:r>
              </w:p>
            </w:tc>
            <w:tc>
              <w:tcPr>
                <w:tcW w:w="1134" w:type="dxa"/>
                <w:vAlign w:val="center"/>
              </w:tcPr>
              <w:p>
                <w:pPr>
                  <w:spacing w:line="360" w:lineRule="exact"/>
                  <w:jc w:val="right"/>
                  <w:rPr>
                    <w:szCs w:val="21"/>
                  </w:rPr>
                </w:pPr>
                <w:r>
                  <w:rPr>
                    <w:szCs w:val="21"/>
                  </w:rPr>
                  <w:t>100,572</w:t>
                </w:r>
              </w:p>
            </w:tc>
            <w:tc>
              <w:tcPr>
                <w:tcW w:w="1134" w:type="dxa"/>
                <w:vAlign w:val="center"/>
              </w:tcPr>
              <w:p>
                <w:pPr>
                  <w:spacing w:line="360" w:lineRule="exact"/>
                  <w:jc w:val="right"/>
                  <w:rPr>
                    <w:szCs w:val="21"/>
                  </w:rPr>
                </w:pPr>
                <w:r>
                  <w:rPr>
                    <w:szCs w:val="21"/>
                  </w:rPr>
                  <w:t>100,572</w:t>
                </w:r>
              </w:p>
            </w:tc>
            <w:tc>
              <w:tcPr>
                <w:tcW w:w="992" w:type="dxa"/>
                <w:vAlign w:val="center"/>
              </w:tcPr>
              <w:p>
                <w:pPr>
                  <w:spacing w:line="360" w:lineRule="exact"/>
                  <w:jc w:val="right"/>
                  <w:rPr>
                    <w:szCs w:val="21"/>
                  </w:rPr>
                </w:pPr>
              </w:p>
            </w:tc>
            <w:tc>
              <w:tcPr>
                <w:tcW w:w="1491" w:type="dxa"/>
                <w:vAlign w:val="center"/>
              </w:tcPr>
              <w:p>
                <w:pPr>
                  <w:spacing w:line="360" w:lineRule="exact"/>
                  <w:jc w:val="center"/>
                  <w:rPr>
                    <w:szCs w:val="21"/>
                  </w:rPr>
                </w:pPr>
              </w:p>
            </w:tc>
          </w:tr>
        </w:tbl>
        <w:p>
          <w:pPr>
            <w:rPr>
              <w:rFonts w:cs="Times New Roman"/>
              <w:bCs/>
              <w:szCs w:val="22"/>
            </w:rPr>
          </w:pPr>
        </w:p>
      </w:sdtContent>
    </w:sdt>
    <w:p>
      <w:pPr>
        <w:rPr>
          <w:rFonts w:cs="Times New Roman"/>
          <w:bCs/>
          <w:szCs w:val="22"/>
        </w:rPr>
      </w:pPr>
    </w:p>
    <w:p>
      <w:pPr>
        <w:pStyle w:val="affffffffffffffffffffffffffffffffffff"/>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89163331"/>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e"/>
      </w:pPr>
      <w:bookmarkStart w:id="538" w:name="_Hlk534806894"/>
      <w:bookmarkEnd w:id="537"/>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490093397"/>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2"/>
        <w:numPr>
          <w:ilvl w:val="0"/>
          <w:numId w:val="194"/>
        </w:numPr>
        <w:ind w:leftChars="0"/>
        <w:rPr>
          <w:rFonts w:asciiTheme="minorHAnsi" w:hAnsiTheme="minorHAnsi" w:cs="宋体"/>
          <w:kern w:val="0"/>
          <w:szCs w:val="22"/>
        </w:rPr>
      </w:pPr>
      <w:bookmarkStart w:id="539" w:name="_Hlk153797908"/>
      <w:bookmarkStart w:id="540" w:name="_Hlk533797618"/>
      <w:bookmarkEnd w:id="538"/>
      <w:r>
        <w:rPr>
          <w:rFonts w:asciiTheme="minorHAnsi" w:hAnsiTheme="minorHAnsi" w:cs="宋体" w:hint="eastAsia"/>
          <w:kern w:val="0"/>
          <w:szCs w:val="22"/>
        </w:rPr>
        <w:t>坏账准备的情况</w:t>
      </w:r>
    </w:p>
    <w:sdt>
      <w:sdtPr>
        <w:alias w:val="是否适用：母公司其他应收款坏账准备情况[双击切换]"/>
        <w:tag w:val="_GBC_fe964b2b8e824335995eaad4df852022"/>
        <w:id w:val="-430586964"/>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f4"/>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其他应收款坏账准备情况"/>
          <w:tag w:val="_GBC_80ca06374aba4f0bbde29d70a0ac7a15"/>
          <w:id w:val="-16585934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w:t>
      </w:r>
      <w:r>
        <w:rPr>
          <w:rFonts w:hint="eastAsia"/>
          <w:szCs w:val="21"/>
        </w:rPr>
        <w:t>币种：</w:t>
      </w:r>
      <w:sdt>
        <w:sdtPr>
          <w:rPr>
            <w:rFonts w:hint="eastAsia"/>
            <w:szCs w:val="21"/>
          </w:rPr>
          <w:alias w:val="币种：母公司其他应收款坏账准备情况"/>
          <w:tag w:val="_GBC_e2ca206ffc72482a9cbe8c86c5688b1f"/>
          <w:id w:val="-1205250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402"/>
        <w:gridCol w:w="1184"/>
        <w:gridCol w:w="1283"/>
        <w:gridCol w:w="1184"/>
        <w:gridCol w:w="1262"/>
        <w:gridCol w:w="1255"/>
        <w:gridCol w:w="1253"/>
      </w:tblGrid>
      <w:tr>
        <w:sdt>
          <w:sdtPr>
            <w:rPr>
              <w:szCs w:val="21"/>
            </w:rPr>
            <w:tag w:val="_PLD_599b4552113b431d9950cc345fc3c771"/>
            <w:id w:val="1983424998"/>
          </w:sdtPr>
          <w:sdtContent>
            <w:tc>
              <w:tcPr>
                <w:tcW w:w="795" w:type="pct"/>
                <w:vMerge w:val="restart"/>
                <w:shd w:val="clear" w:color="auto" w:fill="FFFFFF"/>
                <w:vAlign w:val="center"/>
              </w:tcPr>
              <w:p>
                <w:pPr>
                  <w:widowControl w:val="0"/>
                  <w:jc w:val="center"/>
                  <w:rPr>
                    <w:szCs w:val="21"/>
                  </w:rPr>
                </w:pPr>
                <w:r>
                  <w:rPr>
                    <w:szCs w:val="21"/>
                  </w:rPr>
                  <w:t>类别</w:t>
                </w:r>
              </w:p>
            </w:tc>
          </w:sdtContent>
        </w:sdt>
        <w:sdt>
          <w:sdtPr>
            <w:rPr>
              <w:szCs w:val="21"/>
            </w:rPr>
            <w:tag w:val="_PLD_b04fb91e27324be18dbb1170501ea7c2"/>
            <w:id w:val="1277293962"/>
          </w:sdtPr>
          <w:sdtContent>
            <w:tc>
              <w:tcPr>
                <w:tcW w:w="671" w:type="pct"/>
                <w:vMerge w:val="restart"/>
                <w:shd w:val="clear" w:color="auto" w:fill="FFFFFF"/>
                <w:vAlign w:val="center"/>
              </w:tcPr>
              <w:p>
                <w:pPr>
                  <w:widowControl w:val="0"/>
                  <w:jc w:val="center"/>
                  <w:rPr>
                    <w:szCs w:val="21"/>
                  </w:rPr>
                </w:pPr>
                <w:r>
                  <w:rPr>
                    <w:szCs w:val="21"/>
                  </w:rPr>
                  <w:t>期初余额</w:t>
                </w:r>
              </w:p>
            </w:tc>
          </w:sdtContent>
        </w:sdt>
        <w:sdt>
          <w:sdtPr>
            <w:rPr>
              <w:szCs w:val="21"/>
            </w:rPr>
            <w:tag w:val="_PLD_3162774660ba4bd791229ed0557bee42"/>
            <w:id w:val="472414412"/>
          </w:sdtPr>
          <w:sdtContent>
            <w:tc>
              <w:tcPr>
                <w:tcW w:w="2824" w:type="pct"/>
                <w:gridSpan w:val="4"/>
                <w:shd w:val="clear" w:color="auto" w:fill="FFFFFF"/>
                <w:vAlign w:val="center"/>
              </w:tcPr>
              <w:p>
                <w:pPr>
                  <w:widowControl w:val="0"/>
                  <w:jc w:val="center"/>
                  <w:rPr>
                    <w:szCs w:val="21"/>
                  </w:rPr>
                </w:pPr>
                <w:r>
                  <w:rPr>
                    <w:rFonts w:hint="eastAsia"/>
                    <w:szCs w:val="21"/>
                  </w:rPr>
                  <w:t>本期变动</w:t>
                </w:r>
                <w:r>
                  <w:rPr>
                    <w:szCs w:val="21"/>
                  </w:rPr>
                  <w:t>金额</w:t>
                </w:r>
              </w:p>
            </w:tc>
          </w:sdtContent>
        </w:sdt>
        <w:sdt>
          <w:sdtPr>
            <w:rPr>
              <w:szCs w:val="21"/>
            </w:rPr>
            <w:tag w:val="_PLD_d14d39f809c34e24be6fc317d43acf45"/>
            <w:id w:val="-1943986027"/>
          </w:sdtPr>
          <w:sdtContent>
            <w:tc>
              <w:tcPr>
                <w:tcW w:w="710" w:type="pct"/>
                <w:vMerge w:val="restart"/>
                <w:shd w:val="clear" w:color="auto" w:fill="FFFFFF"/>
                <w:vAlign w:val="center"/>
              </w:tcPr>
              <w:p>
                <w:pPr>
                  <w:widowControl w:val="0"/>
                  <w:jc w:val="center"/>
                  <w:rPr>
                    <w:szCs w:val="21"/>
                  </w:rPr>
                </w:pPr>
                <w:r>
                  <w:rPr>
                    <w:szCs w:val="21"/>
                  </w:rPr>
                  <w:t>期末余额</w:t>
                </w:r>
              </w:p>
            </w:tc>
          </w:sdtContent>
        </w:sdt>
      </w:tr>
      <w:tr>
        <w:tc>
          <w:tcPr>
            <w:tcW w:w="795" w:type="pct"/>
            <w:vMerge/>
            <w:shd w:val="clear" w:color="auto" w:fill="FFFFFF"/>
          </w:tcPr>
          <w:p>
            <w:pPr>
              <w:widowControl w:val="0"/>
              <w:jc w:val="center"/>
              <w:rPr>
                <w:szCs w:val="21"/>
              </w:rPr>
            </w:pPr>
          </w:p>
        </w:tc>
        <w:tc>
          <w:tcPr>
            <w:tcW w:w="671" w:type="pct"/>
            <w:vMerge/>
            <w:shd w:val="clear" w:color="auto" w:fill="FFFFFF"/>
          </w:tcPr>
          <w:p>
            <w:pPr>
              <w:widowControl w:val="0"/>
              <w:jc w:val="center"/>
              <w:rPr>
                <w:szCs w:val="21"/>
              </w:rPr>
            </w:pPr>
          </w:p>
        </w:tc>
        <w:sdt>
          <w:sdtPr>
            <w:rPr>
              <w:szCs w:val="21"/>
            </w:rPr>
            <w:tag w:val="_PLD_f408f7d036804cc28ba43a0439189aa1"/>
            <w:id w:val="919980295"/>
          </w:sdtPr>
          <w:sdtContent>
            <w:tc>
              <w:tcPr>
                <w:tcW w:w="727" w:type="pct"/>
                <w:shd w:val="clear" w:color="auto" w:fill="FFFFFF"/>
                <w:vAlign w:val="center"/>
              </w:tcPr>
              <w:p>
                <w:pPr>
                  <w:widowControl w:val="0"/>
                  <w:jc w:val="center"/>
                  <w:rPr>
                    <w:szCs w:val="21"/>
                  </w:rPr>
                </w:pPr>
                <w:r>
                  <w:rPr>
                    <w:szCs w:val="21"/>
                  </w:rPr>
                  <w:t>计提</w:t>
                </w:r>
              </w:p>
            </w:tc>
          </w:sdtContent>
        </w:sdt>
        <w:sdt>
          <w:sdtPr>
            <w:rPr>
              <w:szCs w:val="21"/>
            </w:rPr>
            <w:tag w:val="_PLD_694fce967684431e964389b1fbfd7773"/>
            <w:id w:val="1836102237"/>
          </w:sdtPr>
          <w:sdtContent>
            <w:tc>
              <w:tcPr>
                <w:tcW w:w="671" w:type="pct"/>
                <w:shd w:val="clear" w:color="auto" w:fill="FFFFFF"/>
                <w:vAlign w:val="center"/>
              </w:tcPr>
              <w:p>
                <w:pPr>
                  <w:widowControl w:val="0"/>
                  <w:jc w:val="center"/>
                  <w:rPr>
                    <w:szCs w:val="21"/>
                  </w:rPr>
                </w:pPr>
                <w:r>
                  <w:rPr>
                    <w:rFonts w:hint="eastAsia"/>
                    <w:szCs w:val="21"/>
                  </w:rPr>
                  <w:t>收回或转回</w:t>
                </w:r>
              </w:p>
            </w:tc>
          </w:sdtContent>
        </w:sdt>
        <w:sdt>
          <w:sdtPr>
            <w:rPr>
              <w:szCs w:val="21"/>
            </w:rPr>
            <w:tag w:val="_PLD_59153f559aba461288ad06bff0782b2d"/>
            <w:id w:val="-308177997"/>
          </w:sdtPr>
          <w:sdtContent>
            <w:tc>
              <w:tcPr>
                <w:tcW w:w="715" w:type="pct"/>
                <w:shd w:val="clear" w:color="auto" w:fill="FFFFFF"/>
                <w:vAlign w:val="center"/>
              </w:tcPr>
              <w:p>
                <w:pPr>
                  <w:widowControl w:val="0"/>
                  <w:jc w:val="center"/>
                  <w:rPr>
                    <w:szCs w:val="21"/>
                  </w:rPr>
                </w:pPr>
                <w:r>
                  <w:rPr>
                    <w:rFonts w:hint="eastAsia"/>
                    <w:szCs w:val="21"/>
                  </w:rPr>
                  <w:t>转销或核销</w:t>
                </w:r>
              </w:p>
            </w:tc>
          </w:sdtContent>
        </w:sdt>
        <w:tc>
          <w:tcPr>
            <w:tcW w:w="711" w:type="pct"/>
            <w:shd w:val="clear" w:color="auto" w:fill="FFFFFF"/>
            <w:vAlign w:val="center"/>
          </w:tcPr>
          <w:sdt>
            <w:sdtPr>
              <w:rPr>
                <w:szCs w:val="21"/>
              </w:rPr>
              <w:tag w:val="_PLD_51a0476d1e2f444f8723da1988f813f5"/>
              <w:id w:val="-1691214424"/>
            </w:sdtPr>
            <w:sdtContent>
              <w:p>
                <w:pPr>
                  <w:widowControl w:val="0"/>
                  <w:jc w:val="center"/>
                  <w:rPr>
                    <w:szCs w:val="21"/>
                  </w:rPr>
                </w:pPr>
                <w:r>
                  <w:rPr>
                    <w:rFonts w:hint="eastAsia"/>
                    <w:szCs w:val="21"/>
                  </w:rPr>
                  <w:t>其他变动</w:t>
                </w:r>
              </w:p>
            </w:sdtContent>
          </w:sdt>
        </w:tc>
        <w:tc>
          <w:tcPr>
            <w:tcW w:w="710" w:type="pct"/>
            <w:vMerge/>
            <w:shd w:val="clear" w:color="auto" w:fill="FFFFFF"/>
          </w:tcPr>
          <w:p>
            <w:pPr>
              <w:widowControl w:val="0"/>
              <w:jc w:val="right"/>
              <w:rPr>
                <w:szCs w:val="21"/>
              </w:rPr>
            </w:pPr>
          </w:p>
        </w:tc>
      </w:tr>
      <w:tr>
        <w:tc>
          <w:tcPr>
            <w:tcW w:w="795" w:type="pct"/>
            <w:shd w:val="clear" w:color="auto" w:fill="auto"/>
            <w:vAlign w:val="center"/>
          </w:tcPr>
          <w:p>
            <w:pPr>
              <w:spacing w:line="360" w:lineRule="exact"/>
              <w:rPr>
                <w:szCs w:val="21"/>
              </w:rPr>
            </w:pPr>
            <w:r>
              <w:rPr>
                <w:rFonts w:hint="eastAsia"/>
                <w:szCs w:val="21"/>
              </w:rPr>
              <w:t>其他应收款坏账准备</w:t>
            </w:r>
          </w:p>
        </w:tc>
        <w:tc>
          <w:tcPr>
            <w:tcW w:w="671" w:type="pct"/>
            <w:shd w:val="clear" w:color="auto" w:fill="auto"/>
            <w:vAlign w:val="center"/>
          </w:tcPr>
          <w:p>
            <w:pPr>
              <w:spacing w:line="360" w:lineRule="exact"/>
              <w:jc w:val="right"/>
              <w:rPr>
                <w:szCs w:val="21"/>
              </w:rPr>
            </w:pPr>
            <w:r>
              <w:rPr>
                <w:szCs w:val="21"/>
              </w:rPr>
              <w:t>221,763</w:t>
            </w:r>
          </w:p>
        </w:tc>
        <w:tc>
          <w:tcPr>
            <w:tcW w:w="727" w:type="pct"/>
            <w:shd w:val="clear" w:color="auto" w:fill="auto"/>
            <w:vAlign w:val="center"/>
          </w:tcPr>
          <w:p>
            <w:pPr>
              <w:spacing w:line="360" w:lineRule="exact"/>
              <w:jc w:val="right"/>
              <w:rPr>
                <w:szCs w:val="21"/>
              </w:rPr>
            </w:pPr>
          </w:p>
        </w:tc>
        <w:tc>
          <w:tcPr>
            <w:tcW w:w="671" w:type="pct"/>
            <w:shd w:val="clear" w:color="auto" w:fill="auto"/>
            <w:vAlign w:val="center"/>
          </w:tcPr>
          <w:p>
            <w:pPr>
              <w:spacing w:line="360" w:lineRule="exact"/>
              <w:jc w:val="right"/>
              <w:rPr>
                <w:szCs w:val="21"/>
              </w:rPr>
            </w:pPr>
            <w:r>
              <w:rPr>
                <w:szCs w:val="21"/>
              </w:rPr>
              <w:t>112,002</w:t>
            </w:r>
          </w:p>
        </w:tc>
        <w:tc>
          <w:tcPr>
            <w:tcW w:w="715" w:type="pct"/>
            <w:vAlign w:val="center"/>
          </w:tcPr>
          <w:p>
            <w:pPr>
              <w:spacing w:line="360" w:lineRule="exact"/>
              <w:jc w:val="right"/>
              <w:rPr>
                <w:szCs w:val="21"/>
              </w:rPr>
            </w:pPr>
          </w:p>
        </w:tc>
        <w:tc>
          <w:tcPr>
            <w:tcW w:w="711" w:type="pct"/>
            <w:vAlign w:val="center"/>
          </w:tcPr>
          <w:p>
            <w:pPr>
              <w:spacing w:line="360" w:lineRule="exact"/>
              <w:jc w:val="right"/>
              <w:rPr>
                <w:szCs w:val="21"/>
              </w:rPr>
            </w:pPr>
          </w:p>
        </w:tc>
        <w:tc>
          <w:tcPr>
            <w:tcW w:w="710" w:type="pct"/>
            <w:shd w:val="clear" w:color="auto" w:fill="auto"/>
            <w:vAlign w:val="center"/>
          </w:tcPr>
          <w:p>
            <w:pPr>
              <w:spacing w:line="360" w:lineRule="exact"/>
              <w:jc w:val="right"/>
              <w:rPr>
                <w:szCs w:val="21"/>
              </w:rPr>
            </w:pPr>
            <w:r>
              <w:rPr>
                <w:szCs w:val="21"/>
              </w:rPr>
              <w:t>109,761</w:t>
            </w:r>
          </w:p>
        </w:tc>
      </w:tr>
      <w:tr>
        <w:tc>
          <w:tcPr>
            <w:tcW w:w="795" w:type="pct"/>
            <w:shd w:val="clear" w:color="auto" w:fill="auto"/>
          </w:tcPr>
          <w:p>
            <w:pPr>
              <w:widowControl w:val="0"/>
              <w:jc w:val="center"/>
              <w:rPr>
                <w:szCs w:val="21"/>
              </w:rPr>
            </w:pPr>
            <w:r>
              <w:rPr>
                <w:rFonts w:hint="eastAsia"/>
                <w:szCs w:val="21"/>
              </w:rPr>
              <w:t>合计</w:t>
            </w:r>
          </w:p>
        </w:tc>
        <w:tc>
          <w:tcPr>
            <w:tcW w:w="671" w:type="pct"/>
            <w:shd w:val="clear" w:color="auto" w:fill="auto"/>
            <w:vAlign w:val="center"/>
          </w:tcPr>
          <w:p>
            <w:pPr>
              <w:spacing w:line="360" w:lineRule="exact"/>
              <w:jc w:val="right"/>
              <w:rPr>
                <w:szCs w:val="21"/>
              </w:rPr>
            </w:pPr>
            <w:r>
              <w:rPr>
                <w:szCs w:val="21"/>
              </w:rPr>
              <w:t>221,763</w:t>
            </w:r>
          </w:p>
        </w:tc>
        <w:tc>
          <w:tcPr>
            <w:tcW w:w="727" w:type="pct"/>
            <w:shd w:val="clear" w:color="auto" w:fill="auto"/>
            <w:vAlign w:val="center"/>
          </w:tcPr>
          <w:p>
            <w:pPr>
              <w:spacing w:line="360" w:lineRule="exact"/>
              <w:jc w:val="right"/>
              <w:rPr>
                <w:szCs w:val="21"/>
              </w:rPr>
            </w:pPr>
          </w:p>
        </w:tc>
        <w:tc>
          <w:tcPr>
            <w:tcW w:w="671" w:type="pct"/>
            <w:shd w:val="clear" w:color="auto" w:fill="auto"/>
            <w:vAlign w:val="center"/>
          </w:tcPr>
          <w:p>
            <w:pPr>
              <w:spacing w:line="360" w:lineRule="exact"/>
              <w:jc w:val="right"/>
              <w:rPr>
                <w:szCs w:val="21"/>
              </w:rPr>
            </w:pPr>
            <w:r>
              <w:rPr>
                <w:szCs w:val="21"/>
              </w:rPr>
              <w:t>112,002</w:t>
            </w:r>
          </w:p>
        </w:tc>
        <w:tc>
          <w:tcPr>
            <w:tcW w:w="715" w:type="pct"/>
            <w:vAlign w:val="center"/>
          </w:tcPr>
          <w:p>
            <w:pPr>
              <w:spacing w:line="360" w:lineRule="exact"/>
              <w:jc w:val="right"/>
              <w:rPr>
                <w:szCs w:val="21"/>
              </w:rPr>
            </w:pPr>
          </w:p>
        </w:tc>
        <w:tc>
          <w:tcPr>
            <w:tcW w:w="711" w:type="pct"/>
            <w:vAlign w:val="center"/>
          </w:tcPr>
          <w:p>
            <w:pPr>
              <w:spacing w:line="360" w:lineRule="exact"/>
              <w:jc w:val="right"/>
              <w:rPr>
                <w:szCs w:val="21"/>
              </w:rPr>
            </w:pPr>
          </w:p>
        </w:tc>
        <w:tc>
          <w:tcPr>
            <w:tcW w:w="710" w:type="pct"/>
            <w:shd w:val="clear" w:color="auto" w:fill="auto"/>
            <w:vAlign w:val="center"/>
          </w:tcPr>
          <w:p>
            <w:pPr>
              <w:spacing w:line="360" w:lineRule="exact"/>
              <w:jc w:val="right"/>
              <w:rPr>
                <w:szCs w:val="21"/>
              </w:rPr>
            </w:pPr>
            <w:r>
              <w:rPr>
                <w:szCs w:val="21"/>
              </w:rPr>
              <w:t>109,761</w:t>
            </w:r>
          </w:p>
        </w:tc>
      </w:tr>
    </w:tbl>
    <w:p>
      <w:pPr>
        <w:pStyle w:val="affffffffffffffffffffffffffffffffe"/>
      </w:pPr>
    </w:p>
    <w:p>
      <w:pPr>
        <w:pStyle w:val="affffffffffffffffffffffffffffffffe"/>
      </w:pPr>
      <w:r>
        <w:rPr>
          <w:rFonts w:hint="eastAsia"/>
        </w:rPr>
        <w:lastRenderedPageBreak/>
        <w:t>其中本期坏账准备转回或收回金额重要的：</w:t>
      </w:r>
    </w:p>
    <w:sdt>
      <w:sdtPr>
        <w:alias w:val="是否适用：母公司其他应收款坏账准备转回或收回金额重要的[双击切换]"/>
        <w:tag w:val="_GBC_f8ce6c07169e42188641fc1bc1ab86d4"/>
        <w:id w:val="-50159303"/>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bookmarkEnd w:id="540" w:displacedByCustomXml="prev"/>
    <w:p>
      <w:pPr>
        <w:rPr>
          <w:szCs w:val="21"/>
        </w:rPr>
      </w:pPr>
    </w:p>
    <w:p>
      <w:pPr>
        <w:ind w:rightChars="-759" w:right="-1594"/>
        <w:rPr>
          <w:szCs w:val="21"/>
        </w:rPr>
      </w:pPr>
      <w:r>
        <w:rPr>
          <w:rFonts w:hint="eastAsia"/>
          <w:szCs w:val="21"/>
        </w:rPr>
        <w:t>其他说明：</w:t>
      </w:r>
    </w:p>
    <w:sdt>
      <w:sdtPr>
        <w:rPr>
          <w:szCs w:val="21"/>
        </w:rPr>
        <w:alias w:val="其他应收款坏账准备情况的说明"/>
        <w:tag w:val="_GBC_66f33e1d4ef94cf78a5265ef0130e24d"/>
        <w:id w:val="2017498125"/>
        <w:placeholder>
          <w:docPart w:val="GBC22222222222222222222222222222"/>
        </w:placeholder>
      </w:sdtPr>
      <w:sdtContent>
        <w:p>
          <w:pPr>
            <w:ind w:rightChars="-759" w:right="-1594"/>
            <w:rPr>
              <w:szCs w:val="21"/>
            </w:rPr>
          </w:pPr>
          <w:r>
            <w:rPr>
              <w:szCs w:val="21"/>
            </w:rPr>
            <w:t>-</w:t>
          </w:r>
        </w:p>
      </w:sdtContent>
    </w:sdt>
    <w:p>
      <w:pPr>
        <w:ind w:rightChars="-759" w:right="-1594"/>
        <w:rPr>
          <w:szCs w:val="21"/>
        </w:rPr>
      </w:pPr>
    </w:p>
    <w:bookmarkEnd w:id="539"/>
    <w:p>
      <w:pPr>
        <w:pStyle w:val="afffffffffffffffffffffffffffffffff2"/>
        <w:numPr>
          <w:ilvl w:val="0"/>
          <w:numId w:val="194"/>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649250740"/>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szCs w:val="21"/>
        </w:rPr>
      </w:pPr>
      <w:r>
        <w:rPr>
          <w:rFonts w:hint="eastAsia"/>
          <w:szCs w:val="21"/>
        </w:rPr>
        <w:t>其中重要的其他应收款核销情况：</w:t>
      </w:r>
    </w:p>
    <w:sdt>
      <w:sdtPr>
        <w:rPr>
          <w:szCs w:val="21"/>
        </w:rPr>
        <w:alias w:val="是否适用：母公司其中重要的其他应收款核销情况[双击切换]"/>
        <w:tag w:val="_GBC_9c869030965c44c2962f562c051ed47e"/>
        <w:id w:val="-1549296341"/>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napToGrid w:val="0"/>
        <w:spacing w:line="240" w:lineRule="atLeast"/>
        <w:rPr>
          <w:szCs w:val="21"/>
        </w:rPr>
      </w:pPr>
      <w:r>
        <w:rPr>
          <w:rFonts w:hint="eastAsia"/>
          <w:szCs w:val="21"/>
        </w:rPr>
        <w:t>其他应收款核销说明：</w:t>
      </w:r>
    </w:p>
    <w:sdt>
      <w:sdtPr>
        <w:rPr>
          <w:rFonts w:hint="eastAsia"/>
          <w:szCs w:val="21"/>
        </w:rPr>
        <w:alias w:val="是否适用：母公司其他应收款核销说明[双击切换]"/>
        <w:tag w:val="_GBC_a3327d4637ec4274aa83caff4b6e71fd"/>
        <w:id w:val="-332297427"/>
        <w:placeholder>
          <w:docPart w:val="GBC22222222222222222222222222222"/>
        </w:placeholder>
      </w:sdt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pStyle w:val="afffffffffffffffffffffffffffffffff2"/>
        <w:numPr>
          <w:ilvl w:val="0"/>
          <w:numId w:val="194"/>
        </w:numPr>
        <w:ind w:leftChars="0"/>
        <w:rPr>
          <w:rFonts w:asciiTheme="minorHAnsi" w:hAnsiTheme="minorHAnsi" w:cs="宋体"/>
          <w:kern w:val="0"/>
          <w:szCs w:val="22"/>
        </w:rPr>
      </w:pPr>
      <w:bookmarkStart w:id="541" w:name="_Hlk153798048"/>
      <w:r>
        <w:rPr>
          <w:rFonts w:asciiTheme="minorHAnsi" w:hAnsiTheme="minorHAnsi" w:cs="宋体" w:hint="eastAsia"/>
          <w:kern w:val="0"/>
          <w:szCs w:val="22"/>
        </w:rPr>
        <w:t>按欠款方归集的期末余额前五名的其他应收款情况</w:t>
      </w:r>
    </w:p>
    <w:sdt>
      <w:sdtPr>
        <w:alias w:val="是否适用：母公司按欠款方归集的期末余额前五名的其他应收款情况[双击切换]"/>
        <w:tag w:val="_GBC_40b667221c1442478b0cdaa57feca3d8"/>
        <w:id w:val="-156247327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其他应收账款前五名欠款情况"/>
          <w:tag w:val="_GBC_a5049697dafb47839070e9dec68636fd"/>
          <w:id w:val="-56109254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财务附注：其他应收账款前五名欠款情况"/>
          <w:tag w:val="_GBC_6c4661b2d22f41aeb2f5a016fbe1a3ac"/>
          <w:id w:val="-499657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339"/>
        <w:gridCol w:w="1726"/>
        <w:gridCol w:w="1321"/>
        <w:gridCol w:w="1296"/>
        <w:gridCol w:w="1640"/>
      </w:tblGrid>
      <w:tr>
        <w:trPr>
          <w:cantSplit/>
        </w:trPr>
        <w:sdt>
          <w:sdtPr>
            <w:rPr>
              <w:szCs w:val="21"/>
            </w:rPr>
            <w:tag w:val="_PLD_97ae589741524eeaa277e2e3a81b13c6"/>
            <w:id w:val="153732066"/>
          </w:sdtPr>
          <w:sdtContent>
            <w:tc>
              <w:tcPr>
                <w:tcW w:w="865" w:type="pct"/>
                <w:vAlign w:val="center"/>
              </w:tcPr>
              <w:p>
                <w:pPr>
                  <w:ind w:right="105"/>
                  <w:jc w:val="center"/>
                  <w:rPr>
                    <w:szCs w:val="21"/>
                  </w:rPr>
                </w:pPr>
                <w:r>
                  <w:rPr>
                    <w:rFonts w:hint="eastAsia"/>
                    <w:szCs w:val="21"/>
                  </w:rPr>
                  <w:t>单位名称</w:t>
                </w:r>
              </w:p>
            </w:tc>
          </w:sdtContent>
        </w:sdt>
        <w:sdt>
          <w:sdtPr>
            <w:rPr>
              <w:szCs w:val="21"/>
            </w:rPr>
            <w:tag w:val="_PLD_c22b4ec5955348c988f93a834a184c51"/>
            <w:id w:val="250929774"/>
          </w:sdtPr>
          <w:sdtContent>
            <w:tc>
              <w:tcPr>
                <w:tcW w:w="690" w:type="pct"/>
                <w:vAlign w:val="center"/>
              </w:tcPr>
              <w:p>
                <w:pPr>
                  <w:ind w:right="73"/>
                  <w:jc w:val="center"/>
                  <w:rPr>
                    <w:szCs w:val="21"/>
                  </w:rPr>
                </w:pPr>
                <w:r>
                  <w:rPr>
                    <w:rFonts w:hint="eastAsia"/>
                    <w:szCs w:val="21"/>
                  </w:rPr>
                  <w:t>期末余额</w:t>
                </w:r>
              </w:p>
            </w:tc>
          </w:sdtContent>
        </w:sdt>
        <w:sdt>
          <w:sdtPr>
            <w:rPr>
              <w:szCs w:val="21"/>
            </w:rPr>
            <w:tag w:val="_PLD_a49ad92f72864a62b0f46c5d7fa4a110"/>
            <w:id w:val="-124467801"/>
          </w:sdtPr>
          <w:sdtContent>
            <w:tc>
              <w:tcPr>
                <w:tcW w:w="992" w:type="pct"/>
                <w:vAlign w:val="center"/>
              </w:tcPr>
              <w:p>
                <w:pPr>
                  <w:jc w:val="center"/>
                  <w:rPr>
                    <w:szCs w:val="21"/>
                  </w:rPr>
                </w:pPr>
                <w:r>
                  <w:rPr>
                    <w:rFonts w:hint="eastAsia"/>
                    <w:szCs w:val="21"/>
                  </w:rPr>
                  <w:t>占其他应收款期末余额合计数的比例(</w:t>
                </w:r>
                <w:r>
                  <w:rPr>
                    <w:szCs w:val="21"/>
                  </w:rPr>
                  <w:t>%)</w:t>
                </w:r>
              </w:p>
            </w:tc>
          </w:sdtContent>
        </w:sdt>
        <w:sdt>
          <w:sdtPr>
            <w:rPr>
              <w:szCs w:val="21"/>
            </w:rPr>
            <w:tag w:val="_PLD_c8433b11194a41288fcd24feb3e7d527"/>
            <w:id w:val="99457422"/>
          </w:sdtPr>
          <w:sdtContent>
            <w:tc>
              <w:tcPr>
                <w:tcW w:w="762" w:type="pct"/>
                <w:vAlign w:val="center"/>
              </w:tcPr>
              <w:p>
                <w:pPr>
                  <w:ind w:right="73"/>
                  <w:jc w:val="center"/>
                  <w:rPr>
                    <w:szCs w:val="21"/>
                  </w:rPr>
                </w:pPr>
                <w:r>
                  <w:rPr>
                    <w:rFonts w:hint="eastAsia"/>
                    <w:szCs w:val="21"/>
                  </w:rPr>
                  <w:t>款项的性质</w:t>
                </w:r>
              </w:p>
            </w:tc>
          </w:sdtContent>
        </w:sdt>
        <w:sdt>
          <w:sdtPr>
            <w:rPr>
              <w:szCs w:val="21"/>
            </w:rPr>
            <w:tag w:val="_PLD_003c0f3b03b34c10880da6ddba3d0f8c"/>
            <w:id w:val="745529175"/>
          </w:sdtPr>
          <w:sdtContent>
            <w:tc>
              <w:tcPr>
                <w:tcW w:w="748" w:type="pct"/>
                <w:vAlign w:val="center"/>
              </w:tcPr>
              <w:p>
                <w:pPr>
                  <w:ind w:right="73"/>
                  <w:jc w:val="center"/>
                  <w:rPr>
                    <w:szCs w:val="21"/>
                  </w:rPr>
                </w:pPr>
                <w:r>
                  <w:rPr>
                    <w:rFonts w:hint="eastAsia"/>
                    <w:szCs w:val="21"/>
                  </w:rPr>
                  <w:t>账龄</w:t>
                </w:r>
              </w:p>
            </w:tc>
          </w:sdtContent>
        </w:sdt>
        <w:sdt>
          <w:sdtPr>
            <w:rPr>
              <w:szCs w:val="21"/>
            </w:rPr>
            <w:tag w:val="_PLD_de96d0c3523e4231935073b8b7dd47be"/>
            <w:id w:val="2006714377"/>
          </w:sdtPr>
          <w:sdtContent>
            <w:tc>
              <w:tcPr>
                <w:tcW w:w="943" w:type="pct"/>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tr>
        <w:trPr>
          <w:cantSplit/>
        </w:trPr>
        <w:tc>
          <w:tcPr>
            <w:tcW w:w="865" w:type="pct"/>
            <w:vAlign w:val="center"/>
          </w:tcPr>
          <w:p>
            <w:pPr>
              <w:spacing w:line="360" w:lineRule="exact"/>
              <w:rPr>
                <w:szCs w:val="21"/>
              </w:rPr>
            </w:pPr>
            <w:r>
              <w:rPr>
                <w:rFonts w:hint="eastAsia"/>
                <w:szCs w:val="21"/>
              </w:rPr>
              <w:t>公司1</w:t>
            </w:r>
          </w:p>
        </w:tc>
        <w:tc>
          <w:tcPr>
            <w:tcW w:w="690" w:type="pct"/>
            <w:vAlign w:val="center"/>
          </w:tcPr>
          <w:p>
            <w:pPr>
              <w:spacing w:line="360" w:lineRule="exact"/>
              <w:jc w:val="right"/>
              <w:rPr>
                <w:szCs w:val="21"/>
              </w:rPr>
            </w:pPr>
            <w:r>
              <w:rPr>
                <w:szCs w:val="21"/>
              </w:rPr>
              <w:t>7,936,313</w:t>
            </w:r>
          </w:p>
        </w:tc>
        <w:tc>
          <w:tcPr>
            <w:tcW w:w="992" w:type="pct"/>
            <w:vAlign w:val="center"/>
          </w:tcPr>
          <w:p>
            <w:pPr>
              <w:spacing w:line="360" w:lineRule="exact"/>
              <w:jc w:val="right"/>
              <w:rPr>
                <w:szCs w:val="21"/>
              </w:rPr>
            </w:pPr>
            <w:r>
              <w:rPr>
                <w:szCs w:val="21"/>
              </w:rPr>
              <w:t>19</w:t>
            </w:r>
          </w:p>
        </w:tc>
        <w:tc>
          <w:tcPr>
            <w:tcW w:w="762" w:type="pct"/>
            <w:vAlign w:val="center"/>
          </w:tcPr>
          <w:p>
            <w:pPr>
              <w:spacing w:line="360" w:lineRule="exact"/>
              <w:rPr>
                <w:szCs w:val="21"/>
              </w:rPr>
            </w:pPr>
            <w:r>
              <w:rPr>
                <w:rFonts w:hint="eastAsia"/>
                <w:szCs w:val="21"/>
              </w:rPr>
              <w:t>往来款</w:t>
            </w:r>
          </w:p>
        </w:tc>
        <w:tc>
          <w:tcPr>
            <w:tcW w:w="748" w:type="pct"/>
            <w:vAlign w:val="center"/>
          </w:tcPr>
          <w:p>
            <w:pPr>
              <w:spacing w:line="360" w:lineRule="exact"/>
              <w:rPr>
                <w:szCs w:val="21"/>
              </w:rPr>
            </w:pPr>
            <w:r>
              <w:rPr>
                <w:szCs w:val="21"/>
              </w:rPr>
              <w:t>1年以内</w:t>
            </w:r>
          </w:p>
        </w:tc>
        <w:tc>
          <w:tcPr>
            <w:tcW w:w="943" w:type="pct"/>
            <w:vAlign w:val="center"/>
          </w:tcPr>
          <w:p>
            <w:pPr>
              <w:spacing w:line="360" w:lineRule="exact"/>
              <w:jc w:val="right"/>
              <w:rPr>
                <w:szCs w:val="21"/>
              </w:rPr>
            </w:pPr>
          </w:p>
        </w:tc>
      </w:tr>
      <w:tr>
        <w:trPr>
          <w:cantSplit/>
        </w:trPr>
        <w:tc>
          <w:tcPr>
            <w:tcW w:w="865" w:type="pct"/>
            <w:vAlign w:val="center"/>
          </w:tcPr>
          <w:p>
            <w:pPr>
              <w:spacing w:line="360" w:lineRule="exact"/>
              <w:rPr>
                <w:szCs w:val="21"/>
              </w:rPr>
            </w:pPr>
            <w:r>
              <w:rPr>
                <w:rFonts w:hint="eastAsia"/>
                <w:szCs w:val="21"/>
              </w:rPr>
              <w:t>公司2</w:t>
            </w:r>
          </w:p>
        </w:tc>
        <w:tc>
          <w:tcPr>
            <w:tcW w:w="690" w:type="pct"/>
            <w:vAlign w:val="center"/>
          </w:tcPr>
          <w:p>
            <w:pPr>
              <w:spacing w:line="360" w:lineRule="exact"/>
              <w:jc w:val="right"/>
              <w:rPr>
                <w:szCs w:val="21"/>
              </w:rPr>
            </w:pPr>
            <w:r>
              <w:rPr>
                <w:szCs w:val="21"/>
              </w:rPr>
              <w:t>7,205,000</w:t>
            </w:r>
          </w:p>
        </w:tc>
        <w:tc>
          <w:tcPr>
            <w:tcW w:w="992" w:type="pct"/>
            <w:vAlign w:val="center"/>
          </w:tcPr>
          <w:p>
            <w:pPr>
              <w:spacing w:line="360" w:lineRule="exact"/>
              <w:jc w:val="right"/>
              <w:rPr>
                <w:szCs w:val="21"/>
              </w:rPr>
            </w:pPr>
            <w:r>
              <w:rPr>
                <w:szCs w:val="21"/>
              </w:rPr>
              <w:t>17</w:t>
            </w:r>
          </w:p>
        </w:tc>
        <w:tc>
          <w:tcPr>
            <w:tcW w:w="762" w:type="pct"/>
            <w:vAlign w:val="center"/>
          </w:tcPr>
          <w:p>
            <w:pPr>
              <w:spacing w:line="360" w:lineRule="exact"/>
              <w:rPr>
                <w:szCs w:val="21"/>
              </w:rPr>
            </w:pPr>
            <w:r>
              <w:rPr>
                <w:rFonts w:hint="eastAsia"/>
                <w:szCs w:val="21"/>
              </w:rPr>
              <w:t>往来款</w:t>
            </w:r>
          </w:p>
        </w:tc>
        <w:tc>
          <w:tcPr>
            <w:tcW w:w="748" w:type="pct"/>
            <w:vAlign w:val="center"/>
          </w:tcPr>
          <w:p>
            <w:pPr>
              <w:spacing w:line="360" w:lineRule="exact"/>
              <w:rPr>
                <w:szCs w:val="21"/>
              </w:rPr>
            </w:pPr>
            <w:r>
              <w:rPr>
                <w:szCs w:val="21"/>
              </w:rPr>
              <w:t>1年以内</w:t>
            </w:r>
          </w:p>
        </w:tc>
        <w:tc>
          <w:tcPr>
            <w:tcW w:w="943" w:type="pct"/>
            <w:vAlign w:val="center"/>
          </w:tcPr>
          <w:p>
            <w:pPr>
              <w:spacing w:line="360" w:lineRule="exact"/>
              <w:jc w:val="right"/>
              <w:rPr>
                <w:szCs w:val="21"/>
              </w:rPr>
            </w:pPr>
          </w:p>
        </w:tc>
      </w:tr>
      <w:tr>
        <w:trPr>
          <w:cantSplit/>
        </w:trPr>
        <w:tc>
          <w:tcPr>
            <w:tcW w:w="865" w:type="pct"/>
            <w:vAlign w:val="center"/>
          </w:tcPr>
          <w:p>
            <w:pPr>
              <w:spacing w:line="360" w:lineRule="exact"/>
              <w:rPr>
                <w:szCs w:val="21"/>
              </w:rPr>
            </w:pPr>
            <w:r>
              <w:rPr>
                <w:rFonts w:hint="eastAsia"/>
                <w:szCs w:val="21"/>
              </w:rPr>
              <w:t>公司3</w:t>
            </w:r>
          </w:p>
        </w:tc>
        <w:tc>
          <w:tcPr>
            <w:tcW w:w="690" w:type="pct"/>
            <w:vAlign w:val="center"/>
          </w:tcPr>
          <w:p>
            <w:pPr>
              <w:spacing w:line="360" w:lineRule="exact"/>
              <w:jc w:val="right"/>
              <w:rPr>
                <w:szCs w:val="21"/>
              </w:rPr>
            </w:pPr>
            <w:r>
              <w:rPr>
                <w:szCs w:val="21"/>
              </w:rPr>
              <w:t>4,100,000</w:t>
            </w:r>
          </w:p>
        </w:tc>
        <w:tc>
          <w:tcPr>
            <w:tcW w:w="992" w:type="pct"/>
            <w:vAlign w:val="center"/>
          </w:tcPr>
          <w:p>
            <w:pPr>
              <w:spacing w:line="360" w:lineRule="exact"/>
              <w:jc w:val="right"/>
              <w:rPr>
                <w:szCs w:val="21"/>
              </w:rPr>
            </w:pPr>
            <w:r>
              <w:rPr>
                <w:szCs w:val="21"/>
              </w:rPr>
              <w:t>10</w:t>
            </w:r>
          </w:p>
        </w:tc>
        <w:tc>
          <w:tcPr>
            <w:tcW w:w="762" w:type="pct"/>
            <w:vAlign w:val="center"/>
          </w:tcPr>
          <w:p>
            <w:pPr>
              <w:spacing w:line="360" w:lineRule="exact"/>
              <w:rPr>
                <w:szCs w:val="21"/>
              </w:rPr>
            </w:pPr>
            <w:r>
              <w:rPr>
                <w:rFonts w:hint="eastAsia"/>
                <w:szCs w:val="21"/>
              </w:rPr>
              <w:t>往来款</w:t>
            </w:r>
          </w:p>
        </w:tc>
        <w:tc>
          <w:tcPr>
            <w:tcW w:w="748" w:type="pct"/>
            <w:vAlign w:val="center"/>
          </w:tcPr>
          <w:p>
            <w:pPr>
              <w:spacing w:line="360" w:lineRule="exact"/>
              <w:rPr>
                <w:szCs w:val="21"/>
              </w:rPr>
            </w:pPr>
            <w:r>
              <w:rPr>
                <w:szCs w:val="21"/>
              </w:rPr>
              <w:t>1年以内</w:t>
            </w:r>
          </w:p>
        </w:tc>
        <w:tc>
          <w:tcPr>
            <w:tcW w:w="943" w:type="pct"/>
            <w:vAlign w:val="center"/>
          </w:tcPr>
          <w:p>
            <w:pPr>
              <w:spacing w:line="360" w:lineRule="exact"/>
              <w:jc w:val="right"/>
              <w:rPr>
                <w:szCs w:val="21"/>
              </w:rPr>
            </w:pPr>
          </w:p>
        </w:tc>
      </w:tr>
      <w:tr>
        <w:trPr>
          <w:cantSplit/>
        </w:trPr>
        <w:tc>
          <w:tcPr>
            <w:tcW w:w="865" w:type="pct"/>
            <w:vAlign w:val="center"/>
          </w:tcPr>
          <w:p>
            <w:pPr>
              <w:spacing w:line="360" w:lineRule="exact"/>
              <w:rPr>
                <w:szCs w:val="21"/>
              </w:rPr>
            </w:pPr>
            <w:r>
              <w:rPr>
                <w:rFonts w:hint="eastAsia"/>
                <w:szCs w:val="21"/>
              </w:rPr>
              <w:t>公司4</w:t>
            </w:r>
          </w:p>
        </w:tc>
        <w:tc>
          <w:tcPr>
            <w:tcW w:w="690" w:type="pct"/>
            <w:vAlign w:val="center"/>
          </w:tcPr>
          <w:p>
            <w:pPr>
              <w:spacing w:line="360" w:lineRule="exact"/>
              <w:jc w:val="right"/>
              <w:rPr>
                <w:szCs w:val="21"/>
              </w:rPr>
            </w:pPr>
            <w:r>
              <w:rPr>
                <w:szCs w:val="21"/>
              </w:rPr>
              <w:t>4,000,000</w:t>
            </w:r>
          </w:p>
        </w:tc>
        <w:tc>
          <w:tcPr>
            <w:tcW w:w="992" w:type="pct"/>
            <w:vAlign w:val="center"/>
          </w:tcPr>
          <w:p>
            <w:pPr>
              <w:spacing w:line="360" w:lineRule="exact"/>
              <w:jc w:val="right"/>
              <w:rPr>
                <w:szCs w:val="21"/>
              </w:rPr>
            </w:pPr>
            <w:r>
              <w:rPr>
                <w:szCs w:val="21"/>
              </w:rPr>
              <w:t>10</w:t>
            </w:r>
          </w:p>
        </w:tc>
        <w:tc>
          <w:tcPr>
            <w:tcW w:w="762" w:type="pct"/>
            <w:vAlign w:val="center"/>
          </w:tcPr>
          <w:p>
            <w:pPr>
              <w:spacing w:line="360" w:lineRule="exact"/>
              <w:rPr>
                <w:szCs w:val="21"/>
              </w:rPr>
            </w:pPr>
            <w:r>
              <w:rPr>
                <w:rFonts w:hint="eastAsia"/>
                <w:szCs w:val="21"/>
              </w:rPr>
              <w:t>往来款</w:t>
            </w:r>
          </w:p>
        </w:tc>
        <w:tc>
          <w:tcPr>
            <w:tcW w:w="748" w:type="pct"/>
            <w:vAlign w:val="center"/>
          </w:tcPr>
          <w:p>
            <w:pPr>
              <w:spacing w:line="360" w:lineRule="exact"/>
              <w:rPr>
                <w:szCs w:val="21"/>
              </w:rPr>
            </w:pPr>
            <w:r>
              <w:rPr>
                <w:szCs w:val="21"/>
              </w:rPr>
              <w:t>1年以内</w:t>
            </w:r>
          </w:p>
        </w:tc>
        <w:tc>
          <w:tcPr>
            <w:tcW w:w="943" w:type="pct"/>
            <w:vAlign w:val="center"/>
          </w:tcPr>
          <w:p>
            <w:pPr>
              <w:spacing w:line="360" w:lineRule="exact"/>
              <w:jc w:val="right"/>
              <w:rPr>
                <w:szCs w:val="21"/>
              </w:rPr>
            </w:pPr>
          </w:p>
        </w:tc>
      </w:tr>
      <w:tr>
        <w:trPr>
          <w:cantSplit/>
        </w:trPr>
        <w:tc>
          <w:tcPr>
            <w:tcW w:w="865" w:type="pct"/>
            <w:vAlign w:val="center"/>
          </w:tcPr>
          <w:p>
            <w:pPr>
              <w:spacing w:line="360" w:lineRule="exact"/>
              <w:rPr>
                <w:szCs w:val="21"/>
              </w:rPr>
            </w:pPr>
            <w:r>
              <w:rPr>
                <w:rFonts w:hint="eastAsia"/>
                <w:szCs w:val="21"/>
              </w:rPr>
              <w:t>公司5</w:t>
            </w:r>
          </w:p>
        </w:tc>
        <w:tc>
          <w:tcPr>
            <w:tcW w:w="690" w:type="pct"/>
            <w:vAlign w:val="center"/>
          </w:tcPr>
          <w:p>
            <w:pPr>
              <w:spacing w:line="360" w:lineRule="exact"/>
              <w:jc w:val="right"/>
              <w:rPr>
                <w:szCs w:val="21"/>
              </w:rPr>
            </w:pPr>
            <w:r>
              <w:rPr>
                <w:szCs w:val="21"/>
              </w:rPr>
              <w:t>4,000,000</w:t>
            </w:r>
          </w:p>
        </w:tc>
        <w:tc>
          <w:tcPr>
            <w:tcW w:w="992" w:type="pct"/>
            <w:vAlign w:val="center"/>
          </w:tcPr>
          <w:p>
            <w:pPr>
              <w:spacing w:line="360" w:lineRule="exact"/>
              <w:jc w:val="right"/>
              <w:rPr>
                <w:szCs w:val="21"/>
              </w:rPr>
            </w:pPr>
            <w:r>
              <w:rPr>
                <w:szCs w:val="21"/>
              </w:rPr>
              <w:t>10</w:t>
            </w:r>
          </w:p>
        </w:tc>
        <w:tc>
          <w:tcPr>
            <w:tcW w:w="762" w:type="pct"/>
            <w:vAlign w:val="center"/>
          </w:tcPr>
          <w:p>
            <w:pPr>
              <w:spacing w:line="360" w:lineRule="exact"/>
              <w:rPr>
                <w:szCs w:val="21"/>
              </w:rPr>
            </w:pPr>
            <w:r>
              <w:rPr>
                <w:rFonts w:hint="eastAsia"/>
                <w:szCs w:val="21"/>
              </w:rPr>
              <w:t>往来款</w:t>
            </w:r>
          </w:p>
        </w:tc>
        <w:tc>
          <w:tcPr>
            <w:tcW w:w="748" w:type="pct"/>
            <w:vAlign w:val="center"/>
          </w:tcPr>
          <w:p>
            <w:pPr>
              <w:spacing w:line="360" w:lineRule="exact"/>
              <w:rPr>
                <w:szCs w:val="21"/>
              </w:rPr>
            </w:pPr>
            <w:r>
              <w:rPr>
                <w:szCs w:val="21"/>
              </w:rPr>
              <w:t>1年以内</w:t>
            </w:r>
          </w:p>
        </w:tc>
        <w:tc>
          <w:tcPr>
            <w:tcW w:w="943" w:type="pct"/>
            <w:vAlign w:val="center"/>
          </w:tcPr>
          <w:p>
            <w:pPr>
              <w:spacing w:line="360" w:lineRule="exact"/>
              <w:jc w:val="right"/>
              <w:rPr>
                <w:szCs w:val="21"/>
              </w:rPr>
            </w:pPr>
          </w:p>
        </w:tc>
      </w:tr>
      <w:tr>
        <w:trPr>
          <w:cantSplit/>
        </w:trPr>
        <w:tc>
          <w:tcPr>
            <w:tcW w:w="865" w:type="pct"/>
          </w:tcPr>
          <w:p>
            <w:pPr>
              <w:ind w:right="105"/>
              <w:jc w:val="center"/>
              <w:rPr>
                <w:szCs w:val="21"/>
              </w:rPr>
            </w:pPr>
            <w:r>
              <w:rPr>
                <w:rFonts w:hint="eastAsia"/>
                <w:szCs w:val="21"/>
              </w:rPr>
              <w:t>合计</w:t>
            </w:r>
          </w:p>
        </w:tc>
        <w:tc>
          <w:tcPr>
            <w:tcW w:w="690" w:type="pct"/>
          </w:tcPr>
          <w:p>
            <w:pPr>
              <w:ind w:right="73"/>
              <w:jc w:val="right"/>
              <w:rPr>
                <w:szCs w:val="21"/>
              </w:rPr>
            </w:pPr>
            <w:r>
              <w:rPr>
                <w:szCs w:val="21"/>
              </w:rPr>
              <w:t>27,241,313</w:t>
            </w:r>
          </w:p>
        </w:tc>
        <w:tc>
          <w:tcPr>
            <w:tcW w:w="992" w:type="pct"/>
          </w:tcPr>
          <w:p>
            <w:pPr>
              <w:jc w:val="right"/>
              <w:rPr>
                <w:szCs w:val="21"/>
              </w:rPr>
            </w:pPr>
            <w:r>
              <w:rPr>
                <w:szCs w:val="21"/>
              </w:rPr>
              <w:t>66</w:t>
            </w:r>
          </w:p>
        </w:tc>
        <w:tc>
          <w:tcPr>
            <w:tcW w:w="762" w:type="pct"/>
          </w:tcPr>
          <w:p>
            <w:pPr>
              <w:ind w:right="73"/>
              <w:jc w:val="center"/>
              <w:rPr>
                <w:szCs w:val="21"/>
              </w:rPr>
            </w:pPr>
            <w:r>
              <w:rPr>
                <w:szCs w:val="21"/>
              </w:rPr>
              <w:t>/</w:t>
            </w:r>
          </w:p>
        </w:tc>
        <w:tc>
          <w:tcPr>
            <w:tcW w:w="748" w:type="pct"/>
          </w:tcPr>
          <w:p>
            <w:pPr>
              <w:ind w:right="73"/>
              <w:jc w:val="center"/>
              <w:rPr>
                <w:szCs w:val="21"/>
              </w:rPr>
            </w:pPr>
            <w:r>
              <w:rPr>
                <w:szCs w:val="21"/>
              </w:rPr>
              <w:t>/</w:t>
            </w:r>
          </w:p>
        </w:tc>
        <w:tc>
          <w:tcPr>
            <w:tcW w:w="943" w:type="pct"/>
          </w:tcPr>
          <w:p>
            <w:pPr>
              <w:jc w:val="right"/>
              <w:rPr>
                <w:szCs w:val="21"/>
              </w:rPr>
            </w:pPr>
          </w:p>
        </w:tc>
      </w:tr>
    </w:tbl>
    <w:p>
      <w:pPr>
        <w:pStyle w:val="affffffffffffffffffffffffffffffffe"/>
      </w:pPr>
    </w:p>
    <w:p>
      <w:pPr>
        <w:pStyle w:val="afffffffffffffffffffffffffffffffff2"/>
        <w:numPr>
          <w:ilvl w:val="0"/>
          <w:numId w:val="194"/>
        </w:numPr>
        <w:ind w:leftChars="0"/>
        <w:rPr>
          <w:rFonts w:asciiTheme="minorHAnsi" w:hAnsiTheme="minorHAnsi" w:cs="宋体"/>
          <w:kern w:val="0"/>
          <w:szCs w:val="22"/>
        </w:rPr>
      </w:pPr>
      <w:bookmarkStart w:id="542" w:name="_Hlk153798113"/>
      <w:bookmarkEnd w:id="541"/>
      <w:r>
        <w:rPr>
          <w:rFonts w:asciiTheme="minorHAnsi" w:hAnsiTheme="minorHAnsi" w:cs="宋体"/>
          <w:kern w:val="0"/>
          <w:szCs w:val="22"/>
        </w:rPr>
        <w:t>因资金集中管理而列报于其他应收款</w:t>
      </w:r>
    </w:p>
    <w:sdt>
      <w:sdtPr>
        <w:alias w:val="是否适用：母公司因资金集中管理而列报于其他应收款[双击切换]"/>
        <w:tag w:val="_GBC_618dc514c72c4f30836fe51ef5fc4589"/>
        <w:id w:val="-1671867766"/>
        <w:placeholder>
          <w:docPart w:val="GBC22222222222222222222222222222"/>
        </w:placeholder>
      </w:sdtPr>
      <w:sdtContent>
        <w:p>
          <w:pPr>
            <w:snapToGrid w:val="0"/>
            <w:spacing w:line="240" w:lineRule="atLeast"/>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bookmarkEnd w:id="542"/>
    <w:p>
      <w:pPr>
        <w:pStyle w:val="affffffffffffffffffffffffffffffffe"/>
      </w:pPr>
      <w:r>
        <w:rPr>
          <w:rFonts w:hint="eastAsia"/>
        </w:rPr>
        <w:t>其他</w:t>
      </w:r>
      <w:r>
        <w:t>说明：</w:t>
      </w:r>
    </w:p>
    <w:sdt>
      <w:sdtPr>
        <w:rPr>
          <w:rFonts w:hint="eastAsia"/>
          <w:szCs w:val="21"/>
        </w:rPr>
        <w:alias w:val="是否适用：母公司其他应收款的其他说明[双击切换]"/>
        <w:tag w:val="_GBC_479bc9ed241548c695a3905f38eb23fd"/>
        <w:id w:val="-92595121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48"/>
        </w:numPr>
        <w:rPr>
          <w:rFonts w:ascii="宋体" w:hAnsi="宋体"/>
          <w:szCs w:val="21"/>
        </w:rPr>
      </w:pPr>
      <w:r>
        <w:rPr>
          <w:rFonts w:ascii="宋体" w:hAnsi="宋体" w:hint="eastAsia"/>
          <w:szCs w:val="21"/>
        </w:rPr>
        <w:t>长期股权投资</w:t>
      </w:r>
    </w:p>
    <w:sdt>
      <w:sdtPr>
        <w:alias w:val="是否适用：母公司长期股权投资[双击切换]"/>
        <w:tag w:val="_GBC_57a2f87498c64eab83308bdf3afc6268"/>
        <w:id w:val="37548497"/>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1712996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财务附注：长期股权投资"/>
          <w:tag w:val="_GBC_fbeeb4a7e8254b6dbbd1030f26dad505"/>
          <w:id w:val="-285734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5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1371"/>
        <w:gridCol w:w="717"/>
        <w:gridCol w:w="1371"/>
        <w:gridCol w:w="1371"/>
        <w:gridCol w:w="731"/>
        <w:gridCol w:w="1371"/>
      </w:tblGrid>
      <w:tr>
        <w:trPr>
          <w:cantSplit/>
          <w:jc w:val="center"/>
        </w:trPr>
        <w:sdt>
          <w:sdtPr>
            <w:rPr>
              <w:szCs w:val="21"/>
            </w:rPr>
            <w:tag w:val="_PLD_0747ffd7336145fcb6d5e622fab54966"/>
            <w:id w:val="-1212183455"/>
          </w:sdtPr>
          <w:sdtContent>
            <w:tc>
              <w:tcPr>
                <w:tcW w:w="1471" w:type="pct"/>
                <w:vMerge w:val="restart"/>
                <w:shd w:val="clear" w:color="auto" w:fill="auto"/>
                <w:vAlign w:val="center"/>
              </w:tcPr>
              <w:p>
                <w:pPr>
                  <w:jc w:val="center"/>
                  <w:rPr>
                    <w:szCs w:val="21"/>
                  </w:rPr>
                </w:pPr>
                <w:r>
                  <w:rPr>
                    <w:rFonts w:hint="eastAsia"/>
                    <w:szCs w:val="21"/>
                  </w:rPr>
                  <w:t>项目</w:t>
                </w:r>
              </w:p>
            </w:tc>
          </w:sdtContent>
        </w:sdt>
        <w:sdt>
          <w:sdtPr>
            <w:rPr>
              <w:szCs w:val="21"/>
            </w:rPr>
            <w:tag w:val="_PLD_0b9f6f6d89c44029bf1de3ed5f6a4aa0"/>
            <w:id w:val="-1139793124"/>
          </w:sdtPr>
          <w:sdtContent>
            <w:tc>
              <w:tcPr>
                <w:tcW w:w="1761" w:type="pct"/>
                <w:gridSpan w:val="3"/>
                <w:shd w:val="clear" w:color="auto" w:fill="auto"/>
                <w:vAlign w:val="center"/>
              </w:tcPr>
              <w:p>
                <w:pPr>
                  <w:jc w:val="center"/>
                  <w:rPr>
                    <w:szCs w:val="21"/>
                  </w:rPr>
                </w:pPr>
                <w:r>
                  <w:rPr>
                    <w:rFonts w:hint="eastAsia"/>
                    <w:szCs w:val="21"/>
                  </w:rPr>
                  <w:t>期末余额</w:t>
                </w:r>
              </w:p>
            </w:tc>
          </w:sdtContent>
        </w:sdt>
        <w:sdt>
          <w:sdtPr>
            <w:rPr>
              <w:szCs w:val="21"/>
            </w:rPr>
            <w:tag w:val="_PLD_d1ebeae29ff34029a10a8e0c447a171b"/>
            <w:id w:val="1103690088"/>
          </w:sdtPr>
          <w:sdtContent>
            <w:tc>
              <w:tcPr>
                <w:tcW w:w="1768" w:type="pct"/>
                <w:gridSpan w:val="3"/>
                <w:shd w:val="clear" w:color="auto" w:fill="auto"/>
                <w:vAlign w:val="center"/>
              </w:tcPr>
              <w:p>
                <w:pPr>
                  <w:jc w:val="center"/>
                  <w:rPr>
                    <w:szCs w:val="21"/>
                  </w:rPr>
                </w:pPr>
                <w:r>
                  <w:rPr>
                    <w:rFonts w:hint="eastAsia"/>
                    <w:szCs w:val="21"/>
                  </w:rPr>
                  <w:t>期初余额</w:t>
                </w:r>
              </w:p>
            </w:tc>
          </w:sdtContent>
        </w:sdt>
      </w:tr>
      <w:tr>
        <w:trPr>
          <w:cantSplit/>
          <w:jc w:val="center"/>
        </w:trPr>
        <w:tc>
          <w:tcPr>
            <w:tcW w:w="1471" w:type="pct"/>
            <w:vMerge/>
            <w:shd w:val="clear" w:color="auto" w:fill="auto"/>
            <w:vAlign w:val="center"/>
          </w:tcPr>
          <w:p>
            <w:pPr>
              <w:jc w:val="center"/>
              <w:rPr>
                <w:szCs w:val="21"/>
              </w:rPr>
            </w:pPr>
          </w:p>
        </w:tc>
        <w:sdt>
          <w:sdtPr>
            <w:rPr>
              <w:szCs w:val="21"/>
            </w:rPr>
            <w:tag w:val="_PLD_dd00c7deeb1e4ede9c3e40d64760a230"/>
            <w:id w:val="1879662811"/>
          </w:sdtPr>
          <w:sdtContent>
            <w:tc>
              <w:tcPr>
                <w:tcW w:w="698" w:type="pct"/>
                <w:shd w:val="clear" w:color="auto" w:fill="auto"/>
                <w:vAlign w:val="center"/>
              </w:tcPr>
              <w:p>
                <w:pPr>
                  <w:jc w:val="center"/>
                  <w:rPr>
                    <w:szCs w:val="21"/>
                  </w:rPr>
                </w:pPr>
                <w:r>
                  <w:rPr>
                    <w:rFonts w:hint="eastAsia"/>
                    <w:szCs w:val="21"/>
                  </w:rPr>
                  <w:t>账面余额</w:t>
                </w:r>
              </w:p>
            </w:tc>
          </w:sdtContent>
        </w:sdt>
        <w:sdt>
          <w:sdtPr>
            <w:rPr>
              <w:szCs w:val="21"/>
            </w:rPr>
            <w:tag w:val="_PLD_dc4e6ed6511949b7a546924cafae2546"/>
            <w:id w:val="383385778"/>
          </w:sdtPr>
          <w:sdtContent>
            <w:tc>
              <w:tcPr>
                <w:tcW w:w="365" w:type="pct"/>
                <w:shd w:val="clear" w:color="auto" w:fill="auto"/>
                <w:vAlign w:val="center"/>
              </w:tcPr>
              <w:p>
                <w:pPr>
                  <w:jc w:val="center"/>
                  <w:rPr>
                    <w:szCs w:val="21"/>
                  </w:rPr>
                </w:pPr>
                <w:r>
                  <w:rPr>
                    <w:rFonts w:hint="eastAsia"/>
                    <w:szCs w:val="21"/>
                  </w:rPr>
                  <w:t>减值准备</w:t>
                </w:r>
              </w:p>
            </w:tc>
          </w:sdtContent>
        </w:sdt>
        <w:sdt>
          <w:sdtPr>
            <w:rPr>
              <w:szCs w:val="21"/>
            </w:rPr>
            <w:tag w:val="_PLD_1d7bbdc4e6144c95a3fcb7369904bea6"/>
            <w:id w:val="-346493316"/>
          </w:sdtPr>
          <w:sdtContent>
            <w:tc>
              <w:tcPr>
                <w:tcW w:w="698" w:type="pct"/>
                <w:shd w:val="clear" w:color="auto" w:fill="auto"/>
                <w:vAlign w:val="center"/>
              </w:tcPr>
              <w:p>
                <w:pPr>
                  <w:jc w:val="center"/>
                  <w:rPr>
                    <w:szCs w:val="21"/>
                  </w:rPr>
                </w:pPr>
                <w:r>
                  <w:rPr>
                    <w:rFonts w:hint="eastAsia"/>
                    <w:szCs w:val="21"/>
                  </w:rPr>
                  <w:t>账面价值</w:t>
                </w:r>
              </w:p>
            </w:tc>
          </w:sdtContent>
        </w:sdt>
        <w:sdt>
          <w:sdtPr>
            <w:rPr>
              <w:szCs w:val="21"/>
            </w:rPr>
            <w:tag w:val="_PLD_bd8a9c944702423e9ff20ddba1c4b3aa"/>
            <w:id w:val="-2026394497"/>
          </w:sdtPr>
          <w:sdtContent>
            <w:tc>
              <w:tcPr>
                <w:tcW w:w="698" w:type="pct"/>
                <w:shd w:val="clear" w:color="auto" w:fill="auto"/>
                <w:vAlign w:val="center"/>
              </w:tcPr>
              <w:p>
                <w:pPr>
                  <w:jc w:val="center"/>
                  <w:rPr>
                    <w:szCs w:val="21"/>
                  </w:rPr>
                </w:pPr>
                <w:r>
                  <w:rPr>
                    <w:rFonts w:hint="eastAsia"/>
                    <w:szCs w:val="21"/>
                  </w:rPr>
                  <w:t>账面余额</w:t>
                </w:r>
              </w:p>
            </w:tc>
          </w:sdtContent>
        </w:sdt>
        <w:sdt>
          <w:sdtPr>
            <w:rPr>
              <w:szCs w:val="21"/>
            </w:rPr>
            <w:tag w:val="_PLD_708c7153bc9a48c792e109da0ba5f2f8"/>
            <w:id w:val="-523631484"/>
          </w:sdtPr>
          <w:sdtContent>
            <w:tc>
              <w:tcPr>
                <w:tcW w:w="372" w:type="pct"/>
                <w:shd w:val="clear" w:color="auto" w:fill="auto"/>
                <w:vAlign w:val="center"/>
              </w:tcPr>
              <w:p>
                <w:pPr>
                  <w:jc w:val="center"/>
                  <w:rPr>
                    <w:szCs w:val="21"/>
                  </w:rPr>
                </w:pPr>
                <w:r>
                  <w:rPr>
                    <w:rFonts w:hint="eastAsia"/>
                    <w:szCs w:val="21"/>
                  </w:rPr>
                  <w:t>减值准备</w:t>
                </w:r>
              </w:p>
            </w:tc>
          </w:sdtContent>
        </w:sdt>
        <w:sdt>
          <w:sdtPr>
            <w:rPr>
              <w:szCs w:val="21"/>
            </w:rPr>
            <w:tag w:val="_PLD_1516e7000a9747a28074e3f321fa96a7"/>
            <w:id w:val="-1878301059"/>
          </w:sdtPr>
          <w:sdtContent>
            <w:tc>
              <w:tcPr>
                <w:tcW w:w="698" w:type="pct"/>
                <w:shd w:val="clear" w:color="auto" w:fill="auto"/>
                <w:vAlign w:val="center"/>
              </w:tcPr>
              <w:p>
                <w:pPr>
                  <w:jc w:val="center"/>
                  <w:rPr>
                    <w:szCs w:val="21"/>
                  </w:rPr>
                </w:pPr>
                <w:r>
                  <w:rPr>
                    <w:rFonts w:hint="eastAsia"/>
                    <w:szCs w:val="21"/>
                  </w:rPr>
                  <w:t>账面价值</w:t>
                </w:r>
              </w:p>
            </w:tc>
          </w:sdtContent>
        </w:sdt>
      </w:tr>
      <w:tr>
        <w:trPr>
          <w:cantSplit/>
          <w:jc w:val="center"/>
        </w:trPr>
        <w:tc>
          <w:tcPr>
            <w:tcW w:w="1471" w:type="pct"/>
            <w:shd w:val="clear" w:color="auto" w:fill="auto"/>
            <w:vAlign w:val="center"/>
          </w:tcPr>
          <w:p>
            <w:pPr>
              <w:pStyle w:val="affffffffffffffffffffffffffffffffe"/>
              <w:rPr>
                <w:szCs w:val="21"/>
              </w:rPr>
            </w:pPr>
            <w:r>
              <w:rPr>
                <w:rFonts w:hint="eastAsia"/>
                <w:szCs w:val="21"/>
              </w:rPr>
              <w:t>对子公司投资</w:t>
            </w:r>
          </w:p>
        </w:tc>
        <w:tc>
          <w:tcPr>
            <w:tcW w:w="698" w:type="pct"/>
            <w:shd w:val="clear" w:color="auto" w:fill="auto"/>
            <w:vAlign w:val="center"/>
          </w:tcPr>
          <w:p>
            <w:pPr>
              <w:spacing w:line="360" w:lineRule="exact"/>
              <w:jc w:val="right"/>
              <w:rPr>
                <w:szCs w:val="21"/>
              </w:rPr>
            </w:pPr>
            <w:r>
              <w:rPr>
                <w:szCs w:val="21"/>
              </w:rPr>
              <w:t>98,656,624</w:t>
            </w:r>
          </w:p>
        </w:tc>
        <w:tc>
          <w:tcPr>
            <w:tcW w:w="365" w:type="pct"/>
            <w:shd w:val="clear" w:color="auto" w:fill="auto"/>
            <w:vAlign w:val="center"/>
          </w:tcPr>
          <w:p>
            <w:pPr>
              <w:spacing w:line="360" w:lineRule="exact"/>
              <w:jc w:val="right"/>
              <w:rPr>
                <w:szCs w:val="21"/>
              </w:rPr>
            </w:pPr>
          </w:p>
        </w:tc>
        <w:tc>
          <w:tcPr>
            <w:tcW w:w="698" w:type="pct"/>
            <w:shd w:val="clear" w:color="auto" w:fill="auto"/>
            <w:vAlign w:val="center"/>
          </w:tcPr>
          <w:p>
            <w:pPr>
              <w:spacing w:line="360" w:lineRule="exact"/>
              <w:jc w:val="right"/>
              <w:rPr>
                <w:szCs w:val="21"/>
              </w:rPr>
            </w:pPr>
            <w:r>
              <w:rPr>
                <w:szCs w:val="21"/>
              </w:rPr>
              <w:t>98,656,624</w:t>
            </w:r>
          </w:p>
        </w:tc>
        <w:tc>
          <w:tcPr>
            <w:tcW w:w="698" w:type="pct"/>
            <w:shd w:val="clear" w:color="auto" w:fill="auto"/>
            <w:vAlign w:val="center"/>
          </w:tcPr>
          <w:p>
            <w:pPr>
              <w:spacing w:line="360" w:lineRule="exact"/>
              <w:jc w:val="right"/>
              <w:rPr>
                <w:szCs w:val="21"/>
              </w:rPr>
            </w:pPr>
            <w:r>
              <w:rPr>
                <w:szCs w:val="21"/>
              </w:rPr>
              <w:t>96,480,662</w:t>
            </w:r>
          </w:p>
        </w:tc>
        <w:tc>
          <w:tcPr>
            <w:tcW w:w="372" w:type="pct"/>
            <w:shd w:val="clear" w:color="auto" w:fill="auto"/>
            <w:vAlign w:val="center"/>
          </w:tcPr>
          <w:p>
            <w:pPr>
              <w:spacing w:line="360" w:lineRule="exact"/>
              <w:jc w:val="right"/>
              <w:rPr>
                <w:szCs w:val="21"/>
              </w:rPr>
            </w:pPr>
          </w:p>
        </w:tc>
        <w:tc>
          <w:tcPr>
            <w:tcW w:w="698" w:type="pct"/>
            <w:shd w:val="clear" w:color="auto" w:fill="auto"/>
            <w:vAlign w:val="center"/>
          </w:tcPr>
          <w:p>
            <w:pPr>
              <w:spacing w:line="360" w:lineRule="exact"/>
              <w:jc w:val="right"/>
              <w:rPr>
                <w:szCs w:val="21"/>
              </w:rPr>
            </w:pPr>
            <w:r>
              <w:rPr>
                <w:szCs w:val="21"/>
              </w:rPr>
              <w:t>96,480,662</w:t>
            </w:r>
          </w:p>
        </w:tc>
      </w:tr>
      <w:tr>
        <w:trPr>
          <w:cantSplit/>
          <w:jc w:val="center"/>
        </w:trPr>
        <w:tc>
          <w:tcPr>
            <w:tcW w:w="1471" w:type="pct"/>
            <w:shd w:val="clear" w:color="auto" w:fill="auto"/>
            <w:vAlign w:val="center"/>
          </w:tcPr>
          <w:p>
            <w:pPr>
              <w:pStyle w:val="affffffffffffffffffffffffffffffffe"/>
              <w:rPr>
                <w:szCs w:val="21"/>
              </w:rPr>
            </w:pPr>
            <w:r>
              <w:rPr>
                <w:rFonts w:hint="eastAsia"/>
                <w:szCs w:val="21"/>
              </w:rPr>
              <w:t>对联营、合营企业投资</w:t>
            </w:r>
          </w:p>
        </w:tc>
        <w:tc>
          <w:tcPr>
            <w:tcW w:w="698" w:type="pct"/>
            <w:shd w:val="clear" w:color="auto" w:fill="auto"/>
            <w:vAlign w:val="center"/>
          </w:tcPr>
          <w:p>
            <w:pPr>
              <w:spacing w:line="360" w:lineRule="exact"/>
              <w:jc w:val="right"/>
              <w:rPr>
                <w:szCs w:val="21"/>
              </w:rPr>
            </w:pPr>
            <w:r>
              <w:rPr>
                <w:szCs w:val="21"/>
              </w:rPr>
              <w:t>7,505,946</w:t>
            </w:r>
          </w:p>
        </w:tc>
        <w:tc>
          <w:tcPr>
            <w:tcW w:w="365" w:type="pct"/>
            <w:shd w:val="clear" w:color="auto" w:fill="auto"/>
            <w:vAlign w:val="center"/>
          </w:tcPr>
          <w:p>
            <w:pPr>
              <w:spacing w:line="360" w:lineRule="exact"/>
              <w:jc w:val="right"/>
              <w:rPr>
                <w:szCs w:val="21"/>
              </w:rPr>
            </w:pPr>
          </w:p>
        </w:tc>
        <w:tc>
          <w:tcPr>
            <w:tcW w:w="698" w:type="pct"/>
            <w:shd w:val="clear" w:color="auto" w:fill="auto"/>
            <w:vAlign w:val="center"/>
          </w:tcPr>
          <w:p>
            <w:pPr>
              <w:spacing w:line="360" w:lineRule="exact"/>
              <w:jc w:val="right"/>
              <w:rPr>
                <w:szCs w:val="21"/>
              </w:rPr>
            </w:pPr>
            <w:r>
              <w:rPr>
                <w:szCs w:val="21"/>
              </w:rPr>
              <w:t>7,505,946</w:t>
            </w:r>
          </w:p>
        </w:tc>
        <w:tc>
          <w:tcPr>
            <w:tcW w:w="698" w:type="pct"/>
            <w:shd w:val="clear" w:color="auto" w:fill="auto"/>
            <w:vAlign w:val="center"/>
          </w:tcPr>
          <w:p>
            <w:pPr>
              <w:spacing w:line="360" w:lineRule="exact"/>
              <w:jc w:val="right"/>
              <w:rPr>
                <w:szCs w:val="21"/>
              </w:rPr>
            </w:pPr>
            <w:r>
              <w:rPr>
                <w:szCs w:val="21"/>
              </w:rPr>
              <w:t>6,992,977</w:t>
            </w:r>
          </w:p>
        </w:tc>
        <w:tc>
          <w:tcPr>
            <w:tcW w:w="372" w:type="pct"/>
            <w:shd w:val="clear" w:color="auto" w:fill="auto"/>
            <w:vAlign w:val="center"/>
          </w:tcPr>
          <w:p>
            <w:pPr>
              <w:spacing w:line="360" w:lineRule="exact"/>
              <w:jc w:val="right"/>
              <w:rPr>
                <w:szCs w:val="21"/>
              </w:rPr>
            </w:pPr>
          </w:p>
        </w:tc>
        <w:tc>
          <w:tcPr>
            <w:tcW w:w="698" w:type="pct"/>
            <w:shd w:val="clear" w:color="auto" w:fill="auto"/>
            <w:vAlign w:val="center"/>
          </w:tcPr>
          <w:p>
            <w:pPr>
              <w:spacing w:line="360" w:lineRule="exact"/>
              <w:jc w:val="right"/>
              <w:rPr>
                <w:szCs w:val="21"/>
              </w:rPr>
            </w:pPr>
            <w:r>
              <w:rPr>
                <w:szCs w:val="21"/>
              </w:rPr>
              <w:t>6,992,977</w:t>
            </w:r>
          </w:p>
        </w:tc>
      </w:tr>
      <w:tr>
        <w:trPr>
          <w:cantSplit/>
          <w:jc w:val="center"/>
        </w:trPr>
        <w:tc>
          <w:tcPr>
            <w:tcW w:w="1471" w:type="pct"/>
            <w:shd w:val="clear" w:color="auto" w:fill="auto"/>
            <w:vAlign w:val="center"/>
          </w:tcPr>
          <w:p>
            <w:pPr>
              <w:jc w:val="center"/>
              <w:rPr>
                <w:szCs w:val="21"/>
              </w:rPr>
            </w:pPr>
            <w:r>
              <w:rPr>
                <w:rFonts w:hint="eastAsia"/>
                <w:szCs w:val="21"/>
              </w:rPr>
              <w:t>合计</w:t>
            </w:r>
          </w:p>
        </w:tc>
        <w:tc>
          <w:tcPr>
            <w:tcW w:w="698" w:type="pct"/>
            <w:shd w:val="clear" w:color="auto" w:fill="auto"/>
            <w:vAlign w:val="center"/>
          </w:tcPr>
          <w:p>
            <w:pPr>
              <w:jc w:val="right"/>
              <w:rPr>
                <w:szCs w:val="21"/>
              </w:rPr>
            </w:pPr>
            <w:r>
              <w:rPr>
                <w:szCs w:val="21"/>
              </w:rPr>
              <w:t>106,162,570</w:t>
            </w:r>
          </w:p>
        </w:tc>
        <w:tc>
          <w:tcPr>
            <w:tcW w:w="365" w:type="pct"/>
            <w:shd w:val="clear" w:color="auto" w:fill="auto"/>
            <w:vAlign w:val="center"/>
          </w:tcPr>
          <w:p>
            <w:pPr>
              <w:jc w:val="right"/>
              <w:rPr>
                <w:szCs w:val="21"/>
              </w:rPr>
            </w:pPr>
          </w:p>
        </w:tc>
        <w:tc>
          <w:tcPr>
            <w:tcW w:w="698" w:type="pct"/>
            <w:shd w:val="clear" w:color="auto" w:fill="auto"/>
            <w:vAlign w:val="center"/>
          </w:tcPr>
          <w:p>
            <w:pPr>
              <w:jc w:val="right"/>
              <w:rPr>
                <w:szCs w:val="21"/>
              </w:rPr>
            </w:pPr>
            <w:r>
              <w:rPr>
                <w:szCs w:val="21"/>
              </w:rPr>
              <w:t>106,162,570</w:t>
            </w:r>
          </w:p>
        </w:tc>
        <w:tc>
          <w:tcPr>
            <w:tcW w:w="698" w:type="pct"/>
            <w:shd w:val="clear" w:color="auto" w:fill="auto"/>
            <w:vAlign w:val="center"/>
          </w:tcPr>
          <w:p>
            <w:pPr>
              <w:jc w:val="right"/>
              <w:rPr>
                <w:szCs w:val="21"/>
              </w:rPr>
            </w:pPr>
            <w:r>
              <w:rPr>
                <w:szCs w:val="21"/>
              </w:rPr>
              <w:t>103,473,639</w:t>
            </w:r>
          </w:p>
        </w:tc>
        <w:tc>
          <w:tcPr>
            <w:tcW w:w="372" w:type="pct"/>
            <w:shd w:val="clear" w:color="auto" w:fill="auto"/>
            <w:vAlign w:val="center"/>
          </w:tcPr>
          <w:p>
            <w:pPr>
              <w:jc w:val="right"/>
              <w:rPr>
                <w:szCs w:val="21"/>
              </w:rPr>
            </w:pPr>
          </w:p>
        </w:tc>
        <w:tc>
          <w:tcPr>
            <w:tcW w:w="698" w:type="pct"/>
            <w:shd w:val="clear" w:color="auto" w:fill="auto"/>
            <w:vAlign w:val="center"/>
          </w:tcPr>
          <w:p>
            <w:pPr>
              <w:jc w:val="right"/>
              <w:rPr>
                <w:szCs w:val="21"/>
              </w:rPr>
            </w:pPr>
            <w:r>
              <w:rPr>
                <w:szCs w:val="21"/>
              </w:rPr>
              <w:t>103,473,639</w:t>
            </w:r>
          </w:p>
        </w:tc>
      </w:tr>
    </w:tbl>
    <w:p>
      <w:pPr>
        <w:rPr>
          <w:szCs w:val="21"/>
        </w:rPr>
      </w:pPr>
    </w:p>
    <w:p>
      <w:pPr>
        <w:pStyle w:val="afffffffffffffffffffffffffffffffff1"/>
        <w:numPr>
          <w:ilvl w:val="0"/>
          <w:numId w:val="152"/>
        </w:numPr>
      </w:pPr>
      <w:bookmarkStart w:id="543" w:name="_Hlk183097113"/>
      <w:r>
        <w:rPr>
          <w:rFonts w:hint="eastAsia"/>
        </w:rPr>
        <w:lastRenderedPageBreak/>
        <w:t>对子公司投资</w:t>
      </w:r>
    </w:p>
    <w:sdt>
      <w:sdtPr>
        <w:alias w:val="是否适用：母公司对子公司投资[双击切换]"/>
        <w:tag w:val="_GBC_db6ca6099b0a42bca0cbba7ead69557f"/>
        <w:id w:val="398951774"/>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子公司投资"/>
          <w:tag w:val="_GBC_744810ff600d4176af7d45c0bf0b7978"/>
          <w:id w:val="-9718251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财务附注：对子公司投资"/>
          <w:tag w:val="_GBC_d2f8249dd813484db8850cd3e6e60609"/>
          <w:id w:val="41922009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726" w:type="pct"/>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1275"/>
        <w:gridCol w:w="861"/>
        <w:gridCol w:w="1162"/>
        <w:gridCol w:w="782"/>
        <w:gridCol w:w="760"/>
        <w:gridCol w:w="798"/>
        <w:gridCol w:w="1266"/>
        <w:gridCol w:w="790"/>
      </w:tblGrid>
      <w:tr>
        <w:trPr>
          <w:trHeight w:val="226"/>
        </w:trPr>
        <w:sdt>
          <w:sdtPr>
            <w:rPr>
              <w:szCs w:val="21"/>
            </w:rPr>
            <w:tag w:val="_PLD_d6bd1b977853473e95bd45b9709f33ad"/>
            <w:id w:val="754703417"/>
          </w:sdtPr>
          <w:sdtContent>
            <w:tc>
              <w:tcPr>
                <w:tcW w:w="1193"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被投资单位</w:t>
                </w:r>
              </w:p>
            </w:tc>
          </w:sdtContent>
        </w:sdt>
        <w:sdt>
          <w:sdtPr>
            <w:rPr>
              <w:szCs w:val="21"/>
            </w:rPr>
            <w:tag w:val="_PLD_dfca273db8c94621ae808db0b8393c3e"/>
            <w:id w:val="-248735102"/>
          </w:sdtPr>
          <w:sdtContent>
            <w:tc>
              <w:tcPr>
                <w:tcW w:w="631"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期初余额（账面价值）</w:t>
                </w:r>
              </w:p>
            </w:tc>
          </w:sdtContent>
        </w:sdt>
        <w:sdt>
          <w:sdtPr>
            <w:rPr>
              <w:szCs w:val="21"/>
            </w:rPr>
            <w:tag w:val="_PLD_207fa0db16cd408da51641aebf065076"/>
            <w:id w:val="-924491714"/>
          </w:sdtPr>
          <w:sdtContent>
            <w:tc>
              <w:tcPr>
                <w:tcW w:w="426"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减值准备期初余额</w:t>
                </w:r>
              </w:p>
            </w:tc>
          </w:sdtContent>
        </w:sdt>
        <w:sdt>
          <w:sdtPr>
            <w:rPr>
              <w:szCs w:val="21"/>
            </w:rPr>
            <w:tag w:val="_PLD_102d3532a197425b9668f17eda325ed9"/>
            <w:id w:val="-1948923373"/>
          </w:sdtPr>
          <w:sdtContent>
            <w:tc>
              <w:tcPr>
                <w:tcW w:w="17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本期增减变动</w:t>
                </w:r>
              </w:p>
            </w:tc>
          </w:sdtContent>
        </w:sdt>
        <w:sdt>
          <w:sdtPr>
            <w:rPr>
              <w:szCs w:val="21"/>
            </w:rPr>
            <w:tag w:val="_PLD_2554c67582634570800484fc9e2a0422"/>
            <w:id w:val="-1356424989"/>
          </w:sdtPr>
          <w:sdtContent>
            <w:tc>
              <w:tcPr>
                <w:tcW w:w="626"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期末余额（账面价值）</w:t>
                </w:r>
              </w:p>
            </w:tc>
          </w:sdtContent>
        </w:sdt>
        <w:sdt>
          <w:sdtPr>
            <w:rPr>
              <w:szCs w:val="21"/>
            </w:rPr>
            <w:tag w:val="_PLD_506ae787a0d747fd8b850b3b13cc1e28"/>
            <w:id w:val="-1718122743"/>
          </w:sdtPr>
          <w:sdtContent>
            <w:tc>
              <w:tcPr>
                <w:tcW w:w="391"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减值准备期末余额</w:t>
                </w:r>
              </w:p>
            </w:tc>
          </w:sdtContent>
        </w:sdt>
      </w:tr>
      <w:tr>
        <w:trPr>
          <w:trHeight w:val="405"/>
        </w:trPr>
        <w:tc>
          <w:tcPr>
            <w:tcW w:w="1193"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631"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426"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sdt>
          <w:sdtPr>
            <w:rPr>
              <w:szCs w:val="21"/>
            </w:rPr>
            <w:tag w:val="_PLD_82e1276ea16049878dd86dc7f97ce1b8"/>
            <w:id w:val="-1181047733"/>
          </w:sdtPr>
          <w:sdtContent>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追加投资</w:t>
                </w:r>
              </w:p>
            </w:tc>
          </w:sdtContent>
        </w:sdt>
        <w:sdt>
          <w:sdtPr>
            <w:rPr>
              <w:szCs w:val="21"/>
            </w:rPr>
            <w:tag w:val="_PLD_38bb9dba87bb42bfaf6b04b85c4cc3d4"/>
            <w:id w:val="906731729"/>
          </w:sdtPr>
          <w:sdtContent>
            <w:tc>
              <w:tcPr>
                <w:tcW w:w="387" w:type="pct"/>
                <w:tcBorders>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减少投资</w:t>
                </w:r>
              </w:p>
            </w:tc>
          </w:sdtContent>
        </w:sdt>
        <w:sdt>
          <w:sdtPr>
            <w:rPr>
              <w:szCs w:val="21"/>
            </w:rPr>
            <w:tag w:val="_PLD_c8ba4c1973d24083b160e5d4377dba54"/>
            <w:id w:val="-552073018"/>
          </w:sdtPr>
          <w:sdtContent>
            <w:tc>
              <w:tcPr>
                <w:tcW w:w="376" w:type="pct"/>
                <w:tcBorders>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计提减值准备</w:t>
                </w:r>
              </w:p>
            </w:tc>
          </w:sdtContent>
        </w:sdt>
        <w:sdt>
          <w:sdtPr>
            <w:rPr>
              <w:szCs w:val="21"/>
            </w:rPr>
            <w:tag w:val="_PLD_1fc11db026f7483585537cdf471d9062"/>
            <w:id w:val="-649749687"/>
          </w:sdtPr>
          <w:sdtContent>
            <w:tc>
              <w:tcPr>
                <w:tcW w:w="395" w:type="pct"/>
                <w:tcBorders>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w:t>
                </w:r>
              </w:p>
            </w:tc>
          </w:sdtContent>
        </w:sdt>
        <w:tc>
          <w:tcPr>
            <w:tcW w:w="626"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91"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陕西未来能源化工有限公司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8,137,346</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8,137,346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山东端信供应链管理有限公司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兖矿新疆能化有限公司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940,931</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940,931</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邹城诚验材料检测试验有限公司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300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300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山东华聚能源股份有限公司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599,523</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599,523</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兖矿鲁南化工有限公司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5,777,879</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5,777,879</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兖矿融资租赁有限公司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5,235,000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5,235,000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兖煤蓝天清洁能源有限公司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306,790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306,790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山东能源集团鲁西矿业有限公司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5,073,898</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5,073,898</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兖矿榆林精细化工有限公司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168,218</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168,218</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兖矿智慧生态有限责任公司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80,000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80,000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端信投资控股(北京)有限公司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4,060,000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4,060,000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兖矿煤化供销有限公司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91,198</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91,198</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兖州煤业榆林能化有限公司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1,400,000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1,400,000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兖矿能源（无锡）有限公司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131,933</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131,933</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山东兖煤航运有限公司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10,576</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10,576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上海巨匠资产管理有限公司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山东兖煤日照港储配煤有限公司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209,240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209,240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山东中鼎云联科技有限公司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51,000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51,000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兖煤矿业工程有限公司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85,200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85,200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兖矿济宁化工装备有限公司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55,724</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55,724</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端信投资控股（深圳）有限公司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1,100,000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1,100,000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内蒙古昊盛煤业有限公司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7,915,332</w:t>
            </w: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color w:val="000000"/>
                <w:szCs w:val="21"/>
              </w:rPr>
              <w:t>163,983</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8,079,315</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山东兖矿济三电力有限公司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616,352</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616,352</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lastRenderedPageBreak/>
              <w:t>青岛端信资产管理有限公司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兖矿能源集团国际贸易有限公司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300,000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300,000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兖煤菏泽能化有限公司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2,924,344</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2,924,344</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兖矿集团财务有限公司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4,948,236</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4,948,236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内蒙古矿业（集团）有限责任公司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3,962,290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3,962,290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山西和顺天池能源有限责任公司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73,180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73,180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兖矿能源（鄂尔多斯）有限公司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8,440,145</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8,440,145</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兖州煤业山西能化有限公司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435,026</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435,026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兖矿瑞丰国际贸易有限公司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102,000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102,000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兖矿煤化工程有限公司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14,465</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14,465</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青岛中兖贸易有限公司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53,012</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53,012</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兖煤国际（控股)有限公司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4,212,512</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4,212,512</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兖矿东华重工有限公司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2,154,177</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2,154,177</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兖矿物流科技有限公司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3,442,786</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3,442,786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兖州煤业澳大利亚有限公司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21,425,119</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21,425,119</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山东能源大厦上海有限公司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686,930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686,930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兖矿东平陆港有限公司</w:t>
            </w:r>
          </w:p>
        </w:tc>
        <w:tc>
          <w:tcPr>
            <w:tcW w:w="631"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60,000</w:t>
            </w:r>
          </w:p>
        </w:tc>
        <w:tc>
          <w:tcPr>
            <w:tcW w:w="42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60,000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山东兖矿国拓科技工程股份有限公司</w:t>
            </w:r>
          </w:p>
        </w:tc>
        <w:tc>
          <w:tcPr>
            <w:tcW w:w="63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125,943</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125,943</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德伯特机械（山东）有限公司</w:t>
            </w:r>
          </w:p>
        </w:tc>
        <w:tc>
          <w:tcPr>
            <w:tcW w:w="63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29,540</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29,540</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山东天玛智能控制技术有限公司</w:t>
            </w:r>
          </w:p>
        </w:tc>
        <w:tc>
          <w:tcPr>
            <w:tcW w:w="63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47,398</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47,398</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SMT沙尔夫有限公司</w:t>
            </w:r>
          </w:p>
        </w:tc>
        <w:tc>
          <w:tcPr>
            <w:tcW w:w="63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rFonts w:hint="eastAsia"/>
                <w:color w:val="000000"/>
                <w:szCs w:val="21"/>
              </w:rPr>
              <w:t>254,552</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254,552</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rPr>
                <w:color w:val="000000"/>
                <w:szCs w:val="21"/>
              </w:rPr>
            </w:pPr>
            <w:r>
              <w:rPr>
                <w:rFonts w:hint="eastAsia"/>
                <w:color w:val="000000"/>
                <w:szCs w:val="21"/>
              </w:rPr>
              <w:t>物泊科技有限公司</w:t>
            </w:r>
          </w:p>
        </w:tc>
        <w:tc>
          <w:tcPr>
            <w:tcW w:w="63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4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575"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1,554,546</w:t>
            </w:r>
          </w:p>
        </w:tc>
        <w:tc>
          <w:tcPr>
            <w:tcW w:w="387"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p>
        </w:tc>
        <w:tc>
          <w:tcPr>
            <w:tcW w:w="376"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395"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c>
          <w:tcPr>
            <w:tcW w:w="626" w:type="pct"/>
            <w:tcBorders>
              <w:top w:val="single" w:sz="4" w:space="0" w:color="auto"/>
              <w:left w:val="single" w:sz="4" w:space="0" w:color="auto"/>
              <w:bottom w:val="single" w:sz="4" w:space="0" w:color="auto"/>
              <w:right w:val="single" w:sz="4" w:space="0" w:color="auto"/>
            </w:tcBorders>
            <w:vAlign w:val="center"/>
          </w:tcPr>
          <w:p>
            <w:pPr>
              <w:jc w:val="right"/>
              <w:rPr>
                <w:color w:val="000000"/>
                <w:szCs w:val="21"/>
              </w:rPr>
            </w:pPr>
            <w:r>
              <w:rPr>
                <w:color w:val="000000"/>
                <w:szCs w:val="21"/>
              </w:rPr>
              <w:t>1,554,546</w:t>
            </w:r>
          </w:p>
        </w:tc>
        <w:tc>
          <w:tcPr>
            <w:tcW w:w="391" w:type="pct"/>
            <w:tcBorders>
              <w:top w:val="single" w:sz="4" w:space="0" w:color="auto"/>
              <w:left w:val="single" w:sz="4" w:space="0" w:color="auto"/>
              <w:bottom w:val="single" w:sz="4" w:space="0" w:color="auto"/>
              <w:right w:val="single" w:sz="4" w:space="0" w:color="auto"/>
            </w:tcBorders>
            <w:vAlign w:val="center"/>
          </w:tcPr>
          <w:p>
            <w:pPr>
              <w:rPr>
                <w:color w:val="000000"/>
                <w:szCs w:val="21"/>
              </w:rPr>
            </w:pPr>
          </w:p>
        </w:tc>
      </w:tr>
      <w:tr>
        <w:tc>
          <w:tcPr>
            <w:tcW w:w="1193"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rFonts w:hint="eastAsia"/>
                <w:szCs w:val="21"/>
              </w:rPr>
              <w:t>合计</w:t>
            </w:r>
          </w:p>
        </w:tc>
        <w:tc>
          <w:tcPr>
            <w:tcW w:w="631"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96,480,662</w:t>
            </w:r>
          </w:p>
        </w:tc>
        <w:tc>
          <w:tcPr>
            <w:tcW w:w="426" w:type="pct"/>
            <w:tcBorders>
              <w:top w:val="single" w:sz="4" w:space="0" w:color="auto"/>
              <w:left w:val="single" w:sz="4" w:space="0" w:color="auto"/>
              <w:bottom w:val="single" w:sz="4" w:space="0" w:color="auto"/>
              <w:right w:val="single" w:sz="4" w:space="0" w:color="auto"/>
            </w:tcBorders>
          </w:tcPr>
          <w:p>
            <w:pPr>
              <w:jc w:val="right"/>
              <w:rPr>
                <w:szCs w:val="21"/>
              </w:rPr>
            </w:pPr>
          </w:p>
        </w:tc>
        <w:tc>
          <w:tcPr>
            <w:tcW w:w="575"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2,175,962</w:t>
            </w:r>
          </w:p>
        </w:tc>
        <w:tc>
          <w:tcPr>
            <w:tcW w:w="387" w:type="pct"/>
            <w:tcBorders>
              <w:top w:val="single" w:sz="4" w:space="0" w:color="auto"/>
              <w:left w:val="single" w:sz="4" w:space="0" w:color="auto"/>
              <w:bottom w:val="single" w:sz="4" w:space="0" w:color="auto"/>
              <w:right w:val="single" w:sz="4" w:space="0" w:color="auto"/>
            </w:tcBorders>
          </w:tcPr>
          <w:p>
            <w:pPr>
              <w:jc w:val="right"/>
              <w:rPr>
                <w:szCs w:val="21"/>
              </w:rPr>
            </w:pPr>
          </w:p>
        </w:tc>
        <w:tc>
          <w:tcPr>
            <w:tcW w:w="376" w:type="pct"/>
            <w:tcBorders>
              <w:top w:val="single" w:sz="4" w:space="0" w:color="auto"/>
              <w:left w:val="single" w:sz="4" w:space="0" w:color="auto"/>
              <w:bottom w:val="single" w:sz="4" w:space="0" w:color="auto"/>
              <w:right w:val="single" w:sz="4" w:space="0" w:color="auto"/>
            </w:tcBorders>
          </w:tcPr>
          <w:p>
            <w:pPr>
              <w:jc w:val="right"/>
              <w:rPr>
                <w:szCs w:val="21"/>
              </w:rPr>
            </w:pPr>
          </w:p>
        </w:tc>
        <w:tc>
          <w:tcPr>
            <w:tcW w:w="395" w:type="pct"/>
            <w:tcBorders>
              <w:top w:val="single" w:sz="4" w:space="0" w:color="auto"/>
              <w:left w:val="single" w:sz="4" w:space="0" w:color="auto"/>
              <w:bottom w:val="single" w:sz="4" w:space="0" w:color="auto"/>
              <w:right w:val="single" w:sz="4" w:space="0" w:color="auto"/>
            </w:tcBorders>
          </w:tcPr>
          <w:p>
            <w:pPr>
              <w:jc w:val="right"/>
              <w:rPr>
                <w:szCs w:val="21"/>
              </w:rPr>
            </w:pPr>
          </w:p>
        </w:tc>
        <w:tc>
          <w:tcPr>
            <w:tcW w:w="626" w:type="pct"/>
            <w:tcBorders>
              <w:top w:val="single" w:sz="4" w:space="0" w:color="auto"/>
              <w:left w:val="single" w:sz="4" w:space="0" w:color="auto"/>
              <w:bottom w:val="single" w:sz="4" w:space="0" w:color="auto"/>
              <w:right w:val="single" w:sz="4" w:space="0" w:color="auto"/>
            </w:tcBorders>
          </w:tcPr>
          <w:p>
            <w:pPr>
              <w:jc w:val="right"/>
              <w:rPr>
                <w:szCs w:val="21"/>
              </w:rPr>
            </w:pPr>
            <w:r>
              <w:rPr>
                <w:szCs w:val="21"/>
              </w:rPr>
              <w:t>98,656,624</w:t>
            </w:r>
          </w:p>
        </w:tc>
        <w:tc>
          <w:tcPr>
            <w:tcW w:w="391" w:type="pct"/>
            <w:tcBorders>
              <w:top w:val="single" w:sz="4" w:space="0" w:color="auto"/>
              <w:left w:val="single" w:sz="4" w:space="0" w:color="auto"/>
              <w:bottom w:val="single" w:sz="4" w:space="0" w:color="auto"/>
              <w:right w:val="single" w:sz="4" w:space="0" w:color="auto"/>
            </w:tcBorders>
          </w:tcPr>
          <w:p>
            <w:pPr>
              <w:jc w:val="right"/>
              <w:rPr>
                <w:szCs w:val="21"/>
              </w:rPr>
            </w:pPr>
          </w:p>
        </w:tc>
      </w:tr>
    </w:tbl>
    <w:p>
      <w:pPr>
        <w:rPr>
          <w:szCs w:val="21"/>
        </w:rPr>
      </w:pPr>
    </w:p>
    <w:bookmarkEnd w:id="543"/>
    <w:p>
      <w:pPr>
        <w:rPr>
          <w:szCs w:val="21"/>
        </w:rPr>
        <w:sectPr>
          <w:pgSz w:w="11906" w:h="16838"/>
          <w:pgMar w:top="1525" w:right="1276" w:bottom="1440" w:left="1797" w:header="856" w:footer="992" w:gutter="0"/>
          <w:cols w:space="425"/>
          <w:docGrid w:linePitch="312"/>
        </w:sectPr>
      </w:pPr>
    </w:p>
    <w:p>
      <w:pPr>
        <w:rPr>
          <w:szCs w:val="21"/>
        </w:rPr>
      </w:pPr>
    </w:p>
    <w:p>
      <w:pPr>
        <w:pStyle w:val="afffffffffffffffffffffffffffffffff1"/>
        <w:numPr>
          <w:ilvl w:val="0"/>
          <w:numId w:val="152"/>
        </w:numPr>
      </w:pPr>
      <w:r>
        <w:rPr>
          <w:rFonts w:hint="eastAsia"/>
        </w:rPr>
        <w:t>对联营、合营企业投资</w:t>
      </w:r>
    </w:p>
    <w:sdt>
      <w:sdtPr>
        <w:rPr>
          <w:szCs w:val="21"/>
        </w:rPr>
        <w:alias w:val="是否适用：母公司对联营、合营企业投资[双击切换]"/>
        <w:tag w:val="_GBC_2e4760cb979247e69579530b3868e897"/>
        <w:id w:val="-1325278364"/>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967726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86165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3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20"/>
        <w:gridCol w:w="1162"/>
        <w:gridCol w:w="1164"/>
        <w:gridCol w:w="1026"/>
        <w:gridCol w:w="1206"/>
        <w:gridCol w:w="1082"/>
        <w:gridCol w:w="1088"/>
        <w:gridCol w:w="1203"/>
        <w:gridCol w:w="1188"/>
        <w:gridCol w:w="1162"/>
        <w:gridCol w:w="1179"/>
        <w:gridCol w:w="1123"/>
      </w:tblGrid>
      <w:tr>
        <w:trPr>
          <w:jc w:val="center"/>
        </w:trPr>
        <w:sdt>
          <w:sdtPr>
            <w:rPr>
              <w:szCs w:val="21"/>
            </w:rPr>
            <w:tag w:val="_PLD_cddf860d624b41069bef0850b92b7db2"/>
            <w:id w:val="1751007089"/>
          </w:sdtPr>
          <w:sdtContent>
            <w:tc>
              <w:tcPr>
                <w:tcW w:w="721"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投资</w:t>
                </w:r>
              </w:p>
              <w:p>
                <w:pPr>
                  <w:jc w:val="center"/>
                  <w:rPr>
                    <w:szCs w:val="21"/>
                  </w:rPr>
                </w:pPr>
                <w:r>
                  <w:rPr>
                    <w:rFonts w:hint="eastAsia"/>
                    <w:szCs w:val="21"/>
                  </w:rPr>
                  <w:t>单位</w:t>
                </w:r>
              </w:p>
            </w:tc>
          </w:sdtContent>
        </w:sdt>
        <w:sdt>
          <w:sdtPr>
            <w:rPr>
              <w:szCs w:val="21"/>
            </w:rPr>
            <w:tag w:val="_PLD_1e9893e3e3854470a87271f1c7db6cdb"/>
            <w:id w:val="802420117"/>
          </w:sdtPr>
          <w:sdtContent>
            <w:tc>
              <w:tcPr>
                <w:tcW w:w="395"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rPr>
              <w:szCs w:val="21"/>
            </w:rPr>
            <w:tag w:val="_PLD_51e202fa7d4541e8b1073ad1aab00e23"/>
            <w:id w:val="-739552003"/>
          </w:sdtPr>
          <w:sdtContent>
            <w:tc>
              <w:tcPr>
                <w:tcW w:w="31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本期增减变动</w:t>
                </w:r>
              </w:p>
            </w:tc>
          </w:sdtContent>
        </w:sdt>
        <w:sdt>
          <w:sdtPr>
            <w:rPr>
              <w:szCs w:val="21"/>
            </w:rPr>
            <w:tag w:val="_PLD_fb68ab3bfe254cb4ac4728b9c324a1ea"/>
            <w:id w:val="-897972964"/>
          </w:sdtPr>
          <w:sdtContent>
            <w:tc>
              <w:tcPr>
                <w:tcW w:w="401"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rPr>
              <w:szCs w:val="21"/>
            </w:rPr>
            <w:tag w:val="_PLD_79ea6426597c4707b961bbd96c8cf19f"/>
            <w:id w:val="1571769695"/>
          </w:sdtPr>
          <w:sdtContent>
            <w:tc>
              <w:tcPr>
                <w:tcW w:w="383"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减值准备期末余额</w:t>
                </w:r>
              </w:p>
            </w:tc>
          </w:sdtContent>
        </w:sdt>
      </w:tr>
      <w:tr>
        <w:trPr>
          <w:jc w:val="center"/>
        </w:trPr>
        <w:tc>
          <w:tcPr>
            <w:tcW w:w="721"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95"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sdt>
          <w:sdtPr>
            <w:rPr>
              <w:szCs w:val="21"/>
            </w:rPr>
            <w:tag w:val="_PLD_759fe0f59b6046308988b932a5f90e06"/>
            <w:id w:val="-1818792142"/>
          </w:sdtPr>
          <w:sdtContent>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追加投资</w:t>
                </w:r>
              </w:p>
            </w:tc>
          </w:sdtContent>
        </w:sdt>
        <w:sdt>
          <w:sdtPr>
            <w:rPr>
              <w:szCs w:val="21"/>
            </w:rPr>
            <w:tag w:val="_PLD_6f033bedb79a4bd7bc36dc52845a5ea0"/>
            <w:id w:val="555901962"/>
          </w:sdtPr>
          <w:sdtContent>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减少投资</w:t>
                </w:r>
              </w:p>
            </w:tc>
          </w:sdtContent>
        </w:sdt>
        <w:sdt>
          <w:sdtPr>
            <w:rPr>
              <w:szCs w:val="21"/>
            </w:rPr>
            <w:tag w:val="_PLD_67e4baac3d05451d940d328c18f19014"/>
            <w:id w:val="535635447"/>
          </w:sdtPr>
          <w:sdtContent>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权益法下确认的投资损益</w:t>
                </w:r>
              </w:p>
            </w:tc>
          </w:sdtContent>
        </w:sdt>
        <w:sdt>
          <w:sdtPr>
            <w:rPr>
              <w:szCs w:val="21"/>
            </w:rPr>
            <w:tag w:val="_PLD_700419003e5b4596b973710043374374"/>
            <w:id w:val="-1099251207"/>
          </w:sdtPr>
          <w:sdtContent>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其他综合收益调整</w:t>
                </w:r>
              </w:p>
            </w:tc>
          </w:sdtContent>
        </w:sdt>
        <w:sdt>
          <w:sdtPr>
            <w:rPr>
              <w:szCs w:val="21"/>
            </w:rPr>
            <w:tag w:val="_PLD_9318c7f257d249e0a0b9bf70263601d5"/>
            <w:id w:val="-633249918"/>
          </w:sdtPr>
          <w:sdtContent>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其他权益变动</w:t>
                </w:r>
              </w:p>
            </w:tc>
          </w:sdtContent>
        </w:sdt>
        <w:sdt>
          <w:sdtPr>
            <w:rPr>
              <w:szCs w:val="21"/>
            </w:rPr>
            <w:tag w:val="_PLD_efb3a8c8f6b64ad1a5fbb4cf67eb4c96"/>
            <w:id w:val="1353609294"/>
          </w:sdtPr>
          <w:sdtContent>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宣告发放现金股利或利润</w:t>
                </w:r>
              </w:p>
            </w:tc>
          </w:sdtContent>
        </w:sdt>
        <w:sdt>
          <w:sdtPr>
            <w:rPr>
              <w:szCs w:val="21"/>
            </w:rPr>
            <w:tag w:val="_PLD_2cc45ca82119420bb4d261a3eb788ba0"/>
            <w:id w:val="-1180804835"/>
          </w:sdtPr>
          <w:sdtContent>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计提减值准备</w:t>
                </w:r>
              </w:p>
            </w:tc>
          </w:sdtContent>
        </w:sdt>
        <w:sdt>
          <w:sdtPr>
            <w:rPr>
              <w:szCs w:val="21"/>
            </w:rPr>
            <w:tag w:val="_PLD_85d3aa0f514447b38d92097f7a30e385"/>
            <w:id w:val="-150984854"/>
          </w:sdtPr>
          <w:sdtContent>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其他</w:t>
                </w:r>
              </w:p>
            </w:tc>
          </w:sdtContent>
        </w:sdt>
        <w:tc>
          <w:tcPr>
            <w:tcW w:w="401"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c>
          <w:tcPr>
            <w:tcW w:w="383"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tr>
      <w:tr>
        <w:trPr>
          <w:jc w:val="center"/>
        </w:trPr>
        <w:sdt>
          <w:sdtPr>
            <w:rPr>
              <w:szCs w:val="21"/>
            </w:rPr>
            <w:tag w:val="_PLD_b5de7a3b12554dad8d8701df843651f7"/>
            <w:id w:val="1792927868"/>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一、合营企业</w:t>
                </w:r>
              </w:p>
            </w:tc>
          </w:sdtContent>
        </w:sdt>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圣地芬雷选煤工程技术（天津）有限公司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37,414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1,851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29,265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小计</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37,414</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1,851</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-10,000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29,265</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p>
        </w:tc>
      </w:tr>
      <w:tr>
        <w:trPr>
          <w:jc w:val="center"/>
        </w:trPr>
        <w:sdt>
          <w:sdtPr>
            <w:rPr>
              <w:szCs w:val="21"/>
            </w:rPr>
            <w:tag w:val="_PLD_473021cffa734643a0c35649ee4b5043"/>
            <w:id w:val="1534001609"/>
          </w:sdtPr>
          <w:sdtContent>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二、联营企业</w:t>
                </w:r>
              </w:p>
            </w:tc>
          </w:sdtContent>
        </w:sdt>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山东省东岳泰恒发展有限公司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244,730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2,150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246,880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齐鲁银行股份有限公司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2,570,513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350,830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219,409</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-16,388</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-125,647</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2,998,717</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华电邹县发电有限公司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1,095,952</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70,666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613</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-64,811</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1,102,420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山东宝能智维工业科技有限公司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2,025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-299</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1,726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山东新宝龙工业科技有限公司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52,416</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1,772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-1,639</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52,549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上海中期期货股份有限公司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731,090</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11,690</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742,780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山东能源（海南）智慧国际科技有限公司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81,763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3,197</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53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8,717</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93,730</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临商银行股份有限公司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2,156,759</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73,915</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4,188</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3,017</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2,237,879</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lastRenderedPageBreak/>
              <w:t>山东圣杨木业有限公司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兖矿集团邹城北晨养殖有限公司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济宁市洁美新型墙材有限公司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德伯特机械（山东）有限公司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20,315</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15,712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913</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color w:val="000000"/>
                <w:szCs w:val="21"/>
              </w:rPr>
              <w:t>-7,400</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-29,540</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rPr>
                <w:color w:val="000000"/>
                <w:szCs w:val="21"/>
              </w:rPr>
            </w:pPr>
            <w:r>
              <w:rPr>
                <w:rFonts w:hint="eastAsia"/>
                <w:color w:val="000000"/>
                <w:szCs w:val="21"/>
              </w:rPr>
              <w:t>山东天玛智能控制技术有限公司</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47,336</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62</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r>
              <w:rPr>
                <w:rFonts w:hint="eastAsia"/>
                <w:color w:val="000000"/>
                <w:szCs w:val="21"/>
              </w:rPr>
              <w:t>-47,398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color w:val="000000"/>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jc w:val="both"/>
              <w:rPr>
                <w:szCs w:val="21"/>
              </w:rPr>
            </w:pPr>
            <w:r>
              <w:rPr>
                <w:rFonts w:hint="eastAsia"/>
                <w:szCs w:val="21"/>
              </w:rPr>
              <w:t>小计</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6,955,563</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63,048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514,896</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223,650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-5,680</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-197,858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-76,938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7,476,681</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tr>
        <w:trPr>
          <w:jc w:val="center"/>
        </w:trPr>
        <w:tc>
          <w:tcPr>
            <w:tcW w:w="721"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6,992,977</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63,048</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516,747</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223,650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-5,680</w:t>
            </w:r>
          </w:p>
        </w:tc>
        <w:tc>
          <w:tcPr>
            <w:tcW w:w="409"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-207,858</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-76,938</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r>
              <w:rPr>
                <w:szCs w:val="21"/>
              </w:rPr>
              <w:t>7,505,946</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pPr>
              <w:jc w:val="right"/>
              <w:rPr>
                <w:szCs w:val="21"/>
              </w:rPr>
            </w:pPr>
          </w:p>
        </w:tc>
      </w:tr>
    </w:tbl>
    <w:p>
      <w:pPr>
        <w:rPr>
          <w:szCs w:val="21"/>
        </w:rPr>
      </w:pPr>
    </w:p>
    <w:p>
      <w:pPr>
        <w:keepNext/>
        <w:keepLines/>
        <w:widowControl w:val="0"/>
        <w:numPr>
          <w:ilvl w:val="0"/>
          <w:numId w:val="152"/>
        </w:numPr>
        <w:spacing w:before="60" w:line="360" w:lineRule="auto"/>
        <w:jc w:val="both"/>
        <w:outlineLvl w:val="3"/>
        <w:rPr>
          <w:szCs w:val="21"/>
        </w:rPr>
      </w:pPr>
      <w:bookmarkStart w:id="544" w:name="_Hlk155165896"/>
      <w:r>
        <w:rPr>
          <w:rFonts w:hint="eastAsia"/>
          <w:szCs w:val="21"/>
        </w:rPr>
        <w:t>长期股权投资的减值测试情况</w:t>
      </w:r>
    </w:p>
    <w:sdt>
      <w:sdtPr>
        <w:rPr>
          <w:szCs w:val="21"/>
        </w:rPr>
        <w:alias w:val="是否适用：减值测试情况[双击切换]"/>
        <w:tag w:val="_GBC_99f575f7d43c4e27846e49ee35c9e10f"/>
        <w:id w:val="-664943664"/>
        <w:placeholder>
          <w:docPart w:val="GBC22222222222222222222222222222"/>
        </w:placeholder>
      </w:sdtPr>
      <w:sdtContent>
        <w:p>
          <w:pPr>
            <w:pStyle w:val="affffffffffffffffffffffffffffffffe"/>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544"/>
    <w:p>
      <w:pPr>
        <w:rPr>
          <w:szCs w:val="21"/>
        </w:rPr>
      </w:pPr>
    </w:p>
    <w:p>
      <w:pPr>
        <w:rPr>
          <w:szCs w:val="21"/>
        </w:rPr>
      </w:pPr>
      <w:r>
        <w:rPr>
          <w:rFonts w:hint="eastAsia"/>
          <w:szCs w:val="21"/>
        </w:rPr>
        <w:t>其他说明：</w:t>
      </w:r>
    </w:p>
    <w:sdt>
      <w:sdtPr>
        <w:rPr>
          <w:rFonts w:hint="eastAsia"/>
          <w:szCs w:val="21"/>
        </w:rPr>
        <w:alias w:val="长期股权投资的说明"/>
        <w:tag w:val="_GBC_938f2ac679ca480c83553ff73f8b80b6"/>
        <w:id w:val="1449586340"/>
        <w:placeholder>
          <w:docPart w:val="GBC22222222222222222222222222222"/>
        </w:placeholder>
      </w:sdtPr>
      <w:sdtContent>
        <w:p>
          <w:pPr>
            <w:rPr>
              <w:szCs w:val="21"/>
            </w:rPr>
            <w:sectPr>
              <w:pgSz w:w="16838" w:h="11906" w:orient="landscape"/>
              <w:pgMar w:top="1797" w:right="1525" w:bottom="1276" w:left="1440" w:header="856" w:footer="992" w:gutter="0"/>
              <w:cols w:space="425"/>
              <w:docGrid w:linePitch="312"/>
            </w:sectPr>
          </w:pPr>
          <w:r>
            <w:rPr>
              <w:szCs w:val="21"/>
            </w:rPr>
            <w:t>-</w:t>
          </w:r>
        </w:p>
      </w:sdtContent>
    </w:sdt>
    <w:p>
      <w:pPr>
        <w:rPr>
          <w:szCs w:val="21"/>
        </w:rPr>
      </w:pPr>
    </w:p>
    <w:p>
      <w:pPr>
        <w:pStyle w:val="afffffffffffffffffffffffffffffffff0"/>
        <w:numPr>
          <w:ilvl w:val="0"/>
          <w:numId w:val="148"/>
        </w:numPr>
      </w:pPr>
      <w:r>
        <w:rPr>
          <w:rFonts w:hint="eastAsia"/>
        </w:rPr>
        <w:t>营业收入和营业成本</w:t>
      </w:r>
    </w:p>
    <w:p>
      <w:pPr>
        <w:pStyle w:val="afffffffffffffffffffffffffffffffff1"/>
        <w:numPr>
          <w:ilvl w:val="0"/>
          <w:numId w:val="153"/>
        </w:num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1855451557"/>
        <w:placeholder>
          <w:docPart w:val="GBC22222222222222222222222222222"/>
        </w:placeholder>
      </w:sdtPr>
      <w:sdtContent>
        <w:p>
          <w:pPr>
            <w:pStyle w:val="affffffffffffffffffffffffffffffffff4"/>
            <w:ind w:firstLineChars="0" w:firstLine="0"/>
            <w:jc w:val="left"/>
            <w:rPr>
              <w:rFonts w:ascii="宋体" w:hAnsi="宋体"/>
              <w:bCs/>
              <w:szCs w:val="21"/>
            </w:rPr>
          </w:pPr>
          <w:r>
            <w:rPr>
              <w:rFonts w:ascii="宋体" w:hAnsi="宋体"/>
              <w:bCs/>
              <w:szCs w:val="21"/>
            </w:rPr>
            <w:fldChar w:fldCharType="begin"/>
          </w:r>
          <w:r>
            <w:rPr>
              <w:rFonts w:ascii="宋体" w:hAnsi="宋体"/>
              <w:bCs/>
              <w:szCs w:val="21"/>
            </w:rPr>
            <w:instrText xml:space="preserve"> 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pPr>
        <w:pStyle w:val="affffffffffffffffffffffffffffffffff4"/>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4904858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千元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9773702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1"/>
        <w:gridCol w:w="1623"/>
        <w:gridCol w:w="1623"/>
        <w:gridCol w:w="1477"/>
        <w:gridCol w:w="1329"/>
      </w:tblGrid>
      <w:tr>
        <w:sdt>
          <w:sdtPr>
            <w:rPr>
              <w:szCs w:val="21"/>
            </w:rPr>
            <w:tag w:val="_PLD_03d52d676cf8435a8f7a530f92cd7617"/>
            <w:id w:val="-213977812"/>
          </w:sdtPr>
          <w:sdtContent>
            <w:tc>
              <w:tcPr>
                <w:tcW w:w="1570" w:type="pct"/>
                <w:vMerge w:val="restart"/>
                <w:tcBorders>
                  <w:top w:val="single" w:sz="4" w:space="0" w:color="auto"/>
                  <w:left w:val="single" w:sz="4" w:space="0" w:color="auto"/>
                  <w:right w:val="single" w:sz="4" w:space="0" w:color="auto"/>
                </w:tcBorders>
                <w:shd w:val="clear" w:color="auto" w:fill="auto"/>
                <w:vAlign w:val="center"/>
              </w:tcPr>
              <w:p>
                <w:pPr>
                  <w:jc w:val="center"/>
                  <w:rPr>
                    <w:szCs w:val="21"/>
                  </w:rPr>
                </w:pPr>
                <w:r>
                  <w:rPr>
                    <w:rFonts w:hint="eastAsia"/>
                    <w:szCs w:val="21"/>
                  </w:rPr>
                  <w:t>项目</w:t>
                </w:r>
              </w:p>
            </w:tc>
          </w:sdtContent>
        </w:sdt>
        <w:sdt>
          <w:sdtPr>
            <w:rPr>
              <w:szCs w:val="21"/>
            </w:rPr>
            <w:tag w:val="_PLD_32b5faadfe0b45d19044be5526af3c2d"/>
            <w:id w:val="172702223"/>
          </w:sdtPr>
          <w:sdtContent>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本期发生额</w:t>
                </w:r>
              </w:p>
            </w:tc>
          </w:sdtContent>
        </w:sdt>
        <w:sdt>
          <w:sdtPr>
            <w:rPr>
              <w:szCs w:val="21"/>
            </w:rPr>
            <w:tag w:val="_PLD_5e3b95dc7e564cbabd77bf88c8a43781"/>
            <w:id w:val="-1271937950"/>
          </w:sdtPr>
          <w:sdtContent>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上期发生额</w:t>
                </w:r>
              </w:p>
            </w:tc>
          </w:sdtContent>
        </w:sdt>
      </w:tr>
      <w:tr>
        <w:tc>
          <w:tcPr>
            <w:tcW w:w="1570" w:type="pct"/>
            <w:vMerge/>
            <w:tcBorders>
              <w:left w:val="single" w:sz="4" w:space="0" w:color="auto"/>
              <w:bottom w:val="single" w:sz="4" w:space="0" w:color="auto"/>
              <w:right w:val="single" w:sz="4" w:space="0" w:color="auto"/>
            </w:tcBorders>
            <w:shd w:val="clear" w:color="auto" w:fill="auto"/>
            <w:vAlign w:val="center"/>
          </w:tcPr>
          <w:p>
            <w:pPr>
              <w:jc w:val="center"/>
              <w:rPr>
                <w:szCs w:val="21"/>
              </w:rPr>
            </w:pPr>
          </w:p>
        </w:tc>
        <w:sdt>
          <w:sdtPr>
            <w:rPr>
              <w:szCs w:val="21"/>
            </w:rPr>
            <w:tag w:val="_PLD_35d68e9def174e9fb111f9c26dc6e586"/>
            <w:id w:val="1299494032"/>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收入</w:t>
                </w:r>
              </w:p>
            </w:tc>
          </w:sdtContent>
        </w:sdt>
        <w:sdt>
          <w:sdtPr>
            <w:rPr>
              <w:szCs w:val="21"/>
            </w:rPr>
            <w:tag w:val="_PLD_bca4c40811a6455bb6f684093a6c0c7d"/>
            <w:id w:val="1358315303"/>
          </w:sdtPr>
          <w:sdtContent>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成本</w:t>
                </w:r>
              </w:p>
            </w:tc>
          </w:sdtContent>
        </w:sdt>
        <w:sdt>
          <w:sdtPr>
            <w:rPr>
              <w:szCs w:val="21"/>
            </w:rPr>
            <w:tag w:val="_PLD_913bf231029842ff9aedaf2297b238c1"/>
            <w:id w:val="414210674"/>
          </w:sdtPr>
          <w:sdtContent>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收入</w:t>
                </w:r>
              </w:p>
            </w:tc>
          </w:sdtContent>
        </w:sdt>
        <w:sdt>
          <w:sdtPr>
            <w:rPr>
              <w:szCs w:val="21"/>
            </w:rPr>
            <w:tag w:val="_PLD_f626f406150145439510a3b7f1a71e39"/>
            <w:id w:val="536779068"/>
          </w:sdtPr>
          <w:sdtContent>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成本</w:t>
                </w:r>
              </w:p>
            </w:tc>
          </w:sdtContent>
        </w:sdt>
      </w:tr>
      <w:tr>
        <w:tc>
          <w:tcPr>
            <w:tcW w:w="1570"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主营业务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17,641,982</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8,399,361</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21,704,956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7,805,296</w:t>
            </w:r>
          </w:p>
        </w:tc>
      </w:tr>
      <w:tr>
        <w:tc>
          <w:tcPr>
            <w:tcW w:w="1570" w:type="pct"/>
            <w:tcBorders>
              <w:top w:val="single" w:sz="4" w:space="0" w:color="auto"/>
              <w:left w:val="single" w:sz="4" w:space="0" w:color="auto"/>
              <w:bottom w:val="single" w:sz="4" w:space="0" w:color="auto"/>
              <w:right w:val="single" w:sz="4" w:space="0" w:color="auto"/>
            </w:tcBorders>
            <w:shd w:val="clear" w:color="auto" w:fill="auto"/>
          </w:tcPr>
          <w:p>
            <w:pPr>
              <w:rPr>
                <w:szCs w:val="21"/>
              </w:rPr>
            </w:pPr>
            <w:r>
              <w:rPr>
                <w:rFonts w:hint="eastAsia"/>
                <w:szCs w:val="21"/>
              </w:rPr>
              <w:t>其他业务</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5,430,543</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6,313,550</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4,556,066</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pPr>
              <w:spacing w:line="360" w:lineRule="exact"/>
              <w:jc w:val="right"/>
              <w:rPr>
                <w:szCs w:val="21"/>
              </w:rPr>
            </w:pPr>
            <w:r>
              <w:rPr>
                <w:szCs w:val="21"/>
              </w:rPr>
              <w:t>5,331,354</w:t>
            </w:r>
          </w:p>
        </w:tc>
      </w:tr>
      <w:tr>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pPr>
              <w:jc w:val="center"/>
              <w:rPr>
                <w:szCs w:val="21"/>
              </w:rPr>
            </w:pPr>
            <w:r>
              <w:rPr>
                <w:rFonts w:hint="eastAsia"/>
                <w:szCs w:val="21"/>
              </w:rPr>
              <w:t>合计</w:t>
            </w:r>
          </w:p>
        </w:tc>
        <w:tc>
          <w:tcPr>
            <w:tcW w:w="920"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23,072,525</w:t>
            </w:r>
          </w:p>
        </w:tc>
        <w:tc>
          <w:tcPr>
            <w:tcW w:w="920"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14,712,911</w:t>
            </w:r>
          </w:p>
        </w:tc>
        <w:tc>
          <w:tcPr>
            <w:tcW w:w="837"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26,261,022</w:t>
            </w:r>
          </w:p>
        </w:tc>
        <w:tc>
          <w:tcPr>
            <w:tcW w:w="753" w:type="pct"/>
            <w:tcBorders>
              <w:top w:val="single" w:sz="4" w:space="0" w:color="auto"/>
              <w:left w:val="single" w:sz="4" w:space="0" w:color="auto"/>
              <w:bottom w:val="single" w:sz="4" w:space="0" w:color="auto"/>
              <w:right w:val="single" w:sz="4" w:space="0" w:color="auto"/>
            </w:tcBorders>
            <w:shd w:val="clear" w:color="auto" w:fill="auto"/>
          </w:tcPr>
          <w:p>
            <w:pPr>
              <w:jc w:val="right"/>
              <w:rPr>
                <w:szCs w:val="21"/>
              </w:rPr>
            </w:pPr>
            <w:r>
              <w:rPr>
                <w:szCs w:val="21"/>
              </w:rPr>
              <w:t>13,136,650</w:t>
            </w:r>
          </w:p>
        </w:tc>
      </w:tr>
    </w:tbl>
    <w:p>
      <w:pPr>
        <w:pStyle w:val="affffffffffffffffffffffffffffffffe"/>
      </w:pPr>
    </w:p>
    <w:bookmarkStart w:id="545" w:name="_Hlk153798384" w:displacedByCustomXml="next"/>
    <w:bookmarkStart w:id="546"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13500249"/>
        <w:placeholder>
          <w:docPart w:val="GBC22222222222222222222222222222"/>
        </w:placeholder>
      </w:sdtPr>
      <w:sdtEndPr>
        <w:rPr>
          <w:rFonts w:hint="default"/>
          <w:color w:val="000000" w:themeColor="text1"/>
        </w:rPr>
      </w:sdtEndPr>
      <w:sdtContent>
        <w:p>
          <w:pPr>
            <w:pStyle w:val="afffffffffffffffffffffffffffffffff1"/>
            <w:numPr>
              <w:ilvl w:val="0"/>
              <w:numId w:val="153"/>
            </w:numPr>
          </w:pPr>
          <w:r>
            <w:rPr>
              <w:rFonts w:hint="eastAsia"/>
            </w:rPr>
            <w:t>营业收入、营业成本的分解信息</w:t>
          </w:r>
          <w:r>
            <w:t xml:space="preserve"> </w:t>
          </w:r>
        </w:p>
        <w:sdt>
          <w:sdtPr>
            <w:rPr>
              <w:rFonts w:ascii="宋体" w:hAnsi="宋体"/>
              <w:szCs w:val="21"/>
            </w:rPr>
            <w:alias w:val="是否适用：母公司营业收入、营业成本的分解信息 [双击切换]"/>
            <w:tag w:val="_GBC_ebb0bd28b90c4b2b9a1a99758f2ade01"/>
            <w:id w:val="-520628409"/>
            <w:placeholder>
              <w:docPart w:val="GBC22222222222222222222222222222"/>
            </w:placeholder>
          </w:sdtPr>
          <w:sdtContent>
            <w:p>
              <w:pPr>
                <w:pStyle w:val="affffffffffffffffffffffffffffffffff4"/>
                <w:ind w:firstLineChars="0" w:firstLine="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affffffffffffffffffffffffffffffffff4"/>
            <w:ind w:firstLineChars="0" w:firstLine="0"/>
            <w:jc w:val="left"/>
          </w:pPr>
        </w:p>
        <w:p>
          <w:pPr>
            <w:pStyle w:val="affffffffffffffffffffffffffffffffe"/>
          </w:pPr>
          <w:r>
            <w:rPr>
              <w:rFonts w:hint="eastAsia"/>
            </w:rPr>
            <w:t>其他说明：</w:t>
          </w:r>
        </w:p>
        <w:sdt>
          <w:sdtPr>
            <w:alias w:val="是否适用：母公司营业收入、营业成本的分解信息说明 [双击切换]"/>
            <w:tag w:val="_GBC_579e9b003cbd4b94a5da57be65a206f7"/>
            <w:id w:val="363336040"/>
            <w:placeholder>
              <w:docPart w:val="GBC22222222222222222222222222222"/>
            </w:placeholder>
          </w:sdtPr>
          <w:sdtContent>
            <w:p>
              <w:pPr>
                <w:rPr>
                  <w:color w:val="000000" w:themeColor="text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color w:val="000000" w:themeColor="text1"/>
            </w:rPr>
          </w:pPr>
        </w:p>
      </w:sdtContent>
    </w:sdt>
    <w:p>
      <w:pPr>
        <w:pStyle w:val="afffffffffffffffffffffffffffffffff1"/>
        <w:numPr>
          <w:ilvl w:val="0"/>
          <w:numId w:val="153"/>
        </w:numPr>
        <w:rPr>
          <w:rFonts w:ascii="宋体" w:eastAsia="宋体" w:hAnsi="宋体" w:cs="宋体"/>
          <w:kern w:val="0"/>
          <w:szCs w:val="24"/>
        </w:rPr>
      </w:pPr>
      <w:bookmarkStart w:id="547" w:name="_Hlk155961563"/>
      <w:bookmarkEnd w:id="545"/>
      <w:r>
        <w:rPr>
          <w:rFonts w:ascii="宋体" w:eastAsia="宋体" w:hAnsi="宋体" w:cs="宋体" w:hint="eastAsia"/>
          <w:kern w:val="0"/>
          <w:szCs w:val="24"/>
        </w:rPr>
        <w:t>履约义务的说明</w:t>
      </w:r>
    </w:p>
    <w:sdt>
      <w:sdtPr>
        <w:alias w:val="是否适用：履约义务的说明[双击切换]"/>
        <w:tag w:val="_GBC_0b818a1fe50c41248e0bae7b16db682e"/>
        <w:id w:val="1843817648"/>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e"/>
      </w:pPr>
    </w:p>
    <w:p>
      <w:pPr>
        <w:pStyle w:val="afffffffffffffffffffffffffffffffff1"/>
        <w:numPr>
          <w:ilvl w:val="0"/>
          <w:numId w:val="153"/>
        </w:numPr>
      </w:pPr>
      <w:bookmarkStart w:id="548" w:name="_Hlk533798958"/>
      <w:bookmarkEnd w:id="546"/>
      <w:bookmarkEnd w:id="547"/>
      <w:r>
        <w:rPr>
          <w:rFonts w:hint="eastAsia"/>
        </w:rPr>
        <w:t>分摊至剩余履约义务的说明</w:t>
      </w:r>
    </w:p>
    <w:sdt>
      <w:sdtPr>
        <w:alias w:val="是否适用：母公司分摊至剩余履约义务的说明[双击切换]"/>
        <w:tag w:val="_GBC_7f0a9adae5ea4624a849a396f1ce90b1"/>
        <w:id w:val="-458410957"/>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rPr>
          <w:rFonts w:ascii="Arial" w:hAnsi="Arial"/>
          <w:szCs w:val="21"/>
        </w:rPr>
      </w:pPr>
    </w:p>
    <w:p>
      <w:pPr>
        <w:pStyle w:val="afffffffffffffffffffffffffffffffff1"/>
        <w:numPr>
          <w:ilvl w:val="0"/>
          <w:numId w:val="153"/>
        </w:numPr>
        <w:rPr>
          <w:rFonts w:ascii="宋体" w:eastAsia="宋体" w:hAnsi="宋体" w:cs="宋体"/>
          <w:kern w:val="0"/>
          <w:szCs w:val="24"/>
        </w:rPr>
      </w:pPr>
      <w:bookmarkStart w:id="549" w:name="_Hlk153798573"/>
      <w:bookmarkEnd w:id="548"/>
      <w:r>
        <w:rPr>
          <w:rFonts w:ascii="宋体" w:eastAsia="宋体" w:hAnsi="宋体" w:cs="宋体" w:hint="eastAsia"/>
          <w:kern w:val="0"/>
          <w:szCs w:val="24"/>
        </w:rPr>
        <w:t>重大合同变更或重大交易价格调整</w:t>
      </w:r>
    </w:p>
    <w:sdt>
      <w:sdtPr>
        <w:alias w:val="是否适用：母公司重大合同变更或重大交易价格调整[双击切换]"/>
        <w:tag w:val="_GBC_df0026b6a6ff4f0a99c85462586d2446"/>
        <w:id w:val="-777330562"/>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Arial" w:hAnsi="Arial"/>
          <w:szCs w:val="21"/>
        </w:rPr>
      </w:pPr>
    </w:p>
    <w:p>
      <w:pPr>
        <w:spacing w:before="60" w:after="60"/>
        <w:rPr>
          <w:szCs w:val="21"/>
        </w:rPr>
      </w:pPr>
      <w:bookmarkStart w:id="550" w:name="_Hlk533798751"/>
      <w:bookmarkEnd w:id="549"/>
      <w:r>
        <w:rPr>
          <w:rFonts w:hint="eastAsia"/>
          <w:szCs w:val="21"/>
        </w:rPr>
        <w:t>其他说明：</w:t>
      </w:r>
    </w:p>
    <w:p>
      <w:pPr>
        <w:rPr>
          <w:szCs w:val="21"/>
        </w:rPr>
      </w:pPr>
      <w:sdt>
        <w:sdtPr>
          <w:rPr>
            <w:szCs w:val="21"/>
          </w:rPr>
          <w:alias w:val="主营业务说明"/>
          <w:tag w:val="_GBC_fd583c7468404a3e83de872adae134a2"/>
          <w:id w:val="-1377927070"/>
          <w:placeholder>
            <w:docPart w:val="GBC22222222222222222222222222222"/>
          </w:placeholder>
        </w:sdtPr>
        <w:sdtContent>
          <w:r>
            <w:rPr>
              <w:szCs w:val="21"/>
            </w:rPr>
            <w:t>-</w:t>
          </w:r>
        </w:sdtContent>
      </w:sdt>
    </w:p>
    <w:p>
      <w:pPr>
        <w:rPr>
          <w:szCs w:val="21"/>
        </w:rPr>
      </w:pPr>
    </w:p>
    <w:p>
      <w:pPr>
        <w:pStyle w:val="afffffffffffffffffffffffffffffffff0"/>
        <w:numPr>
          <w:ilvl w:val="0"/>
          <w:numId w:val="148"/>
        </w:numPr>
        <w:rPr>
          <w:rFonts w:ascii="宋体" w:hAnsi="宋体"/>
          <w:szCs w:val="21"/>
        </w:rPr>
      </w:pPr>
      <w:bookmarkStart w:id="551" w:name="OLE_LINK6"/>
      <w:bookmarkStart w:id="552" w:name="_Hlk10548739"/>
      <w:bookmarkStart w:id="553" w:name="_Hlk24031063"/>
      <w:bookmarkEnd w:id="550"/>
      <w:r>
        <w:rPr>
          <w:rFonts w:ascii="宋体" w:hAnsi="宋体" w:hint="eastAsia"/>
          <w:szCs w:val="21"/>
        </w:rPr>
        <w:t>投资收益</w:t>
      </w:r>
      <w:bookmarkEnd w:id="551"/>
    </w:p>
    <w:sdt>
      <w:sdtPr>
        <w:alias w:val="是否适用：母公司投资收益[双击切换]"/>
        <w:tag w:val="_GBC_c2bb46ec06e343088b38ac6340f45fb2"/>
        <w:id w:val="-1938055710"/>
        <w:placeholder>
          <w:docPart w:val="GBC22222222222222222222222222222"/>
        </w:placeholder>
      </w:sdtPr>
      <w:sdtContent>
        <w:p>
          <w:pPr>
            <w:pStyle w:val="affffffffffffffffffffffffffffffffe"/>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9475847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千元</w:t>
          </w:r>
        </w:sdtContent>
      </w:sdt>
      <w:r>
        <w:t xml:space="preserve">  币种</w:t>
      </w:r>
      <w:r>
        <w:rPr>
          <w:rFonts w:hint="eastAsia"/>
        </w:rPr>
        <w:t>：</w:t>
      </w:r>
      <w:sdt>
        <w:sdtPr>
          <w:rPr>
            <w:rFonts w:hint="eastAsia"/>
          </w:rPr>
          <w:alias w:val="币种：财务附注：会计报表中的投资收益项目增加"/>
          <w:tag w:val="_GBC_4090bf40cd1647838a8c5908dbc544c5"/>
          <w:id w:val="15368535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ffffffff8"/>
        <w:tblW w:w="5405"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5"/>
        <w:gridCol w:w="2627"/>
        <w:gridCol w:w="2636"/>
      </w:tblGrid>
      <w:tr>
        <w:bookmarkStart w:id="554" w:name="_Hlk24031106" w:displacedByCustomXml="next"/>
        <w:sdt>
          <w:sdtPr>
            <w:rPr>
              <w:szCs w:val="21"/>
            </w:rPr>
            <w:tag w:val="_PLD_507ed5c985ab48c59a18c2d57dd68c9c"/>
            <w:id w:val="1994832037"/>
          </w:sdtPr>
          <w:sdtContent>
            <w:tc>
              <w:tcPr>
                <w:tcW w:w="2241" w:type="pct"/>
                <w:vAlign w:val="center"/>
              </w:tcPr>
              <w:p>
                <w:pPr>
                  <w:ind w:left="420" w:hanging="420"/>
                  <w:jc w:val="center"/>
                  <w:rPr>
                    <w:szCs w:val="21"/>
                  </w:rPr>
                </w:pPr>
                <w:r>
                  <w:rPr>
                    <w:rFonts w:hint="eastAsia"/>
                    <w:szCs w:val="21"/>
                  </w:rPr>
                  <w:t>项目</w:t>
                </w:r>
              </w:p>
            </w:tc>
          </w:sdtContent>
        </w:sdt>
        <w:sdt>
          <w:sdtPr>
            <w:rPr>
              <w:szCs w:val="21"/>
            </w:rPr>
            <w:tag w:val="_PLD_47187d04b5814de2ac4d8e7ab7f3dcf5"/>
            <w:id w:val="-19775469"/>
          </w:sdtPr>
          <w:sdtContent>
            <w:tc>
              <w:tcPr>
                <w:tcW w:w="1377" w:type="pct"/>
                <w:vAlign w:val="center"/>
              </w:tcPr>
              <w:p>
                <w:pPr>
                  <w:jc w:val="center"/>
                  <w:rPr>
                    <w:szCs w:val="21"/>
                  </w:rPr>
                </w:pPr>
                <w:r>
                  <w:rPr>
                    <w:rFonts w:hint="eastAsia"/>
                    <w:szCs w:val="21"/>
                  </w:rPr>
                  <w:t>本期发生额</w:t>
                </w:r>
              </w:p>
            </w:tc>
          </w:sdtContent>
        </w:sdt>
        <w:sdt>
          <w:sdtPr>
            <w:rPr>
              <w:szCs w:val="21"/>
            </w:rPr>
            <w:tag w:val="_PLD_9b38c11702ff453c93beb78507ab4be2"/>
            <w:id w:val="1929308137"/>
          </w:sdtPr>
          <w:sdtContent>
            <w:tc>
              <w:tcPr>
                <w:tcW w:w="1382" w:type="pct"/>
                <w:vAlign w:val="center"/>
              </w:tcPr>
              <w:p>
                <w:pPr>
                  <w:jc w:val="center"/>
                  <w:rPr>
                    <w:szCs w:val="21"/>
                  </w:rPr>
                </w:pPr>
                <w:r>
                  <w:rPr>
                    <w:rFonts w:hint="eastAsia"/>
                    <w:szCs w:val="21"/>
                  </w:rPr>
                  <w:t>上期发生额</w:t>
                </w:r>
              </w:p>
            </w:tc>
          </w:sdtContent>
        </w:sdt>
      </w:tr>
      <w:tr>
        <w:tc>
          <w:tcPr>
            <w:tcW w:w="2241" w:type="pct"/>
            <w:vAlign w:val="center"/>
          </w:tcPr>
          <w:p>
            <w:pPr>
              <w:spacing w:line="360" w:lineRule="exact"/>
              <w:rPr>
                <w:szCs w:val="21"/>
              </w:rPr>
            </w:pPr>
            <w:r>
              <w:rPr>
                <w:rFonts w:hint="eastAsia"/>
                <w:szCs w:val="21"/>
              </w:rPr>
              <w:t>成本法核算的长期股权投资收益</w:t>
            </w:r>
          </w:p>
        </w:tc>
        <w:tc>
          <w:tcPr>
            <w:tcW w:w="1377" w:type="pct"/>
            <w:vAlign w:val="center"/>
          </w:tcPr>
          <w:p>
            <w:pPr>
              <w:spacing w:line="360" w:lineRule="exact"/>
              <w:jc w:val="right"/>
              <w:rPr>
                <w:szCs w:val="21"/>
              </w:rPr>
            </w:pPr>
            <w:r>
              <w:rPr>
                <w:szCs w:val="21"/>
              </w:rPr>
              <w:t>10,276,159</w:t>
            </w:r>
          </w:p>
        </w:tc>
        <w:tc>
          <w:tcPr>
            <w:tcW w:w="1382" w:type="pct"/>
            <w:vAlign w:val="center"/>
          </w:tcPr>
          <w:p>
            <w:pPr>
              <w:spacing w:line="360" w:lineRule="exact"/>
              <w:jc w:val="right"/>
              <w:rPr>
                <w:szCs w:val="21"/>
              </w:rPr>
            </w:pPr>
            <w:r>
              <w:rPr>
                <w:szCs w:val="21"/>
              </w:rPr>
              <w:t>11,229,985</w:t>
            </w:r>
          </w:p>
        </w:tc>
      </w:tr>
      <w:tr>
        <w:tc>
          <w:tcPr>
            <w:tcW w:w="2241" w:type="pct"/>
            <w:vAlign w:val="center"/>
          </w:tcPr>
          <w:p>
            <w:pPr>
              <w:spacing w:line="360" w:lineRule="exact"/>
              <w:rPr>
                <w:szCs w:val="21"/>
              </w:rPr>
            </w:pPr>
            <w:r>
              <w:rPr>
                <w:rFonts w:hint="eastAsia"/>
                <w:szCs w:val="21"/>
              </w:rPr>
              <w:t>权益法核算的长期股权投资收益</w:t>
            </w:r>
          </w:p>
        </w:tc>
        <w:tc>
          <w:tcPr>
            <w:tcW w:w="1377" w:type="pct"/>
            <w:vAlign w:val="center"/>
          </w:tcPr>
          <w:p>
            <w:pPr>
              <w:spacing w:line="360" w:lineRule="exact"/>
              <w:jc w:val="right"/>
              <w:rPr>
                <w:szCs w:val="21"/>
              </w:rPr>
            </w:pPr>
            <w:r>
              <w:rPr>
                <w:szCs w:val="21"/>
              </w:rPr>
              <w:t>516,747</w:t>
            </w:r>
          </w:p>
        </w:tc>
        <w:tc>
          <w:tcPr>
            <w:tcW w:w="1382" w:type="pct"/>
            <w:vAlign w:val="center"/>
          </w:tcPr>
          <w:p>
            <w:pPr>
              <w:spacing w:line="360" w:lineRule="exact"/>
              <w:jc w:val="right"/>
              <w:rPr>
                <w:szCs w:val="21"/>
              </w:rPr>
            </w:pPr>
            <w:r>
              <w:rPr>
                <w:szCs w:val="21"/>
              </w:rPr>
              <w:t>493,282</w:t>
            </w:r>
          </w:p>
        </w:tc>
      </w:tr>
      <w:tr>
        <w:tc>
          <w:tcPr>
            <w:tcW w:w="2241" w:type="pct"/>
            <w:vAlign w:val="center"/>
          </w:tcPr>
          <w:p>
            <w:pPr>
              <w:spacing w:line="360" w:lineRule="exact"/>
              <w:rPr>
                <w:szCs w:val="21"/>
              </w:rPr>
            </w:pPr>
            <w:r>
              <w:rPr>
                <w:rFonts w:hint="eastAsia"/>
                <w:szCs w:val="21"/>
              </w:rPr>
              <w:t>其他债权投资持有期间取得的利息收入</w:t>
            </w:r>
          </w:p>
        </w:tc>
        <w:tc>
          <w:tcPr>
            <w:tcW w:w="1377" w:type="pct"/>
            <w:vAlign w:val="center"/>
          </w:tcPr>
          <w:p>
            <w:pPr>
              <w:spacing w:line="360" w:lineRule="exact"/>
              <w:jc w:val="right"/>
              <w:rPr>
                <w:szCs w:val="21"/>
              </w:rPr>
            </w:pPr>
            <w:r>
              <w:rPr>
                <w:szCs w:val="21"/>
              </w:rPr>
              <w:t>9,065</w:t>
            </w:r>
          </w:p>
        </w:tc>
        <w:tc>
          <w:tcPr>
            <w:tcW w:w="1382" w:type="pct"/>
            <w:vAlign w:val="center"/>
          </w:tcPr>
          <w:p>
            <w:pPr>
              <w:spacing w:line="360" w:lineRule="exact"/>
              <w:jc w:val="right"/>
              <w:rPr>
                <w:szCs w:val="21"/>
              </w:rPr>
            </w:pPr>
            <w:r>
              <w:rPr>
                <w:szCs w:val="21"/>
              </w:rPr>
              <w:t>58</w:t>
            </w:r>
          </w:p>
        </w:tc>
      </w:tr>
      <w:tr>
        <w:tc>
          <w:tcPr>
            <w:tcW w:w="2241" w:type="pct"/>
            <w:vAlign w:val="center"/>
          </w:tcPr>
          <w:p>
            <w:pPr>
              <w:spacing w:line="360" w:lineRule="exact"/>
              <w:rPr>
                <w:szCs w:val="21"/>
              </w:rPr>
            </w:pPr>
            <w:r>
              <w:rPr>
                <w:rFonts w:hint="eastAsia"/>
                <w:szCs w:val="21"/>
              </w:rPr>
              <w:t>处置交易性金融资产取得的投资收益</w:t>
            </w:r>
          </w:p>
        </w:tc>
        <w:tc>
          <w:tcPr>
            <w:tcW w:w="1377" w:type="pct"/>
            <w:vAlign w:val="center"/>
          </w:tcPr>
          <w:p>
            <w:pPr>
              <w:spacing w:line="360" w:lineRule="exact"/>
              <w:jc w:val="right"/>
              <w:rPr>
                <w:szCs w:val="21"/>
              </w:rPr>
            </w:pPr>
            <w:r>
              <w:rPr>
                <w:szCs w:val="21"/>
              </w:rPr>
              <w:t>3,833</w:t>
            </w:r>
          </w:p>
        </w:tc>
        <w:tc>
          <w:tcPr>
            <w:tcW w:w="1382" w:type="pct"/>
            <w:vAlign w:val="center"/>
          </w:tcPr>
          <w:p>
            <w:pPr>
              <w:spacing w:line="360" w:lineRule="exact"/>
              <w:jc w:val="right"/>
              <w:rPr>
                <w:szCs w:val="21"/>
              </w:rPr>
            </w:pPr>
          </w:p>
        </w:tc>
      </w:tr>
      <w:tr>
        <w:tc>
          <w:tcPr>
            <w:tcW w:w="2241" w:type="pct"/>
            <w:vAlign w:val="center"/>
          </w:tcPr>
          <w:p>
            <w:pPr>
              <w:jc w:val="center"/>
              <w:rPr>
                <w:szCs w:val="21"/>
              </w:rPr>
            </w:pPr>
            <w:r>
              <w:rPr>
                <w:rFonts w:hint="eastAsia"/>
                <w:szCs w:val="21"/>
              </w:rPr>
              <w:t>合计</w:t>
            </w:r>
          </w:p>
        </w:tc>
        <w:tc>
          <w:tcPr>
            <w:tcW w:w="1377" w:type="pct"/>
            <w:vAlign w:val="center"/>
          </w:tcPr>
          <w:p>
            <w:pPr>
              <w:jc w:val="right"/>
              <w:rPr>
                <w:szCs w:val="21"/>
              </w:rPr>
            </w:pPr>
            <w:r>
              <w:rPr>
                <w:szCs w:val="21"/>
              </w:rPr>
              <w:t>10,805,804</w:t>
            </w:r>
          </w:p>
        </w:tc>
        <w:tc>
          <w:tcPr>
            <w:tcW w:w="1382" w:type="pct"/>
            <w:vAlign w:val="center"/>
          </w:tcPr>
          <w:p>
            <w:pPr>
              <w:jc w:val="right"/>
              <w:rPr>
                <w:szCs w:val="21"/>
              </w:rPr>
            </w:pPr>
            <w:r>
              <w:rPr>
                <w:szCs w:val="21"/>
              </w:rPr>
              <w:t>11,723,325</w:t>
            </w:r>
          </w:p>
        </w:tc>
      </w:tr>
    </w:tbl>
    <w:p>
      <w:pPr>
        <w:spacing w:line="360" w:lineRule="exact"/>
        <w:rPr>
          <w:szCs w:val="21"/>
        </w:rPr>
      </w:pPr>
      <w:bookmarkStart w:id="555" w:name="_Hlk10720480"/>
      <w:bookmarkEnd w:id="552"/>
      <w:bookmarkEnd w:id="554"/>
      <w:r>
        <w:rPr>
          <w:rFonts w:hint="eastAsia"/>
          <w:szCs w:val="21"/>
        </w:rPr>
        <w:t>其他说明：</w:t>
      </w:r>
      <w:bookmarkEnd w:id="555"/>
    </w:p>
    <w:sdt>
      <w:sdtPr>
        <w:rPr>
          <w:szCs w:val="21"/>
        </w:rPr>
        <w:alias w:val="投资收益说明"/>
        <w:tag w:val="_GBC_003661b91b5144cfbf329a4aeb060fe6"/>
        <w:id w:val="925702038"/>
        <w:placeholder>
          <w:docPart w:val="GBC22222222222222222222222222222"/>
        </w:placeholder>
      </w:sdtPr>
      <w:sdtContent>
        <w:p>
          <w:pPr>
            <w:rPr>
              <w:szCs w:val="21"/>
            </w:rPr>
          </w:pPr>
          <w:r>
            <w:rPr>
              <w:szCs w:val="21"/>
            </w:rPr>
            <w:t>-</w:t>
          </w:r>
        </w:p>
      </w:sdtContent>
    </w:sdt>
    <w:p>
      <w:pPr>
        <w:rPr>
          <w:szCs w:val="21"/>
        </w:rPr>
      </w:pPr>
    </w:p>
    <w:bookmarkEnd w:id="553"/>
    <w:p>
      <w:pPr>
        <w:pStyle w:val="afffffffffffffffffffffffffffffffff0"/>
        <w:numPr>
          <w:ilvl w:val="0"/>
          <w:numId w:val="148"/>
        </w:numPr>
        <w:rPr>
          <w:szCs w:val="21"/>
        </w:rPr>
      </w:pPr>
      <w:r>
        <w:rPr>
          <w:rFonts w:hint="eastAsia"/>
          <w:szCs w:val="21"/>
        </w:rPr>
        <w:lastRenderedPageBreak/>
        <w:t>其他</w:t>
      </w:r>
    </w:p>
    <w:sdt>
      <w:sdtPr>
        <w:rPr>
          <w:rFonts w:hint="eastAsia"/>
          <w:szCs w:val="21"/>
        </w:rPr>
        <w:alias w:val="是否适用：母公司会计报表附注的其他说明事项[双击切换]"/>
        <w:tag w:val="_GBC_da1bbbf487cd4e98b945920735517f12"/>
        <w:id w:val="39054843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Chars="-759" w:right="-1594"/>
        <w:rPr>
          <w:szCs w:val="21"/>
        </w:rPr>
      </w:pPr>
    </w:p>
    <w:p>
      <w:pPr>
        <w:pStyle w:val="affffffffffffffffffffff2"/>
        <w:numPr>
          <w:ilvl w:val="0"/>
          <w:numId w:val="155"/>
        </w:numPr>
        <w:rPr>
          <w:rFonts w:ascii="宋体" w:hAnsi="宋体"/>
        </w:rPr>
      </w:pPr>
      <w:r>
        <w:rPr>
          <w:rFonts w:ascii="宋体" w:hAnsi="宋体" w:hint="eastAsia"/>
        </w:rPr>
        <w:t>补充资料</w:t>
      </w:r>
    </w:p>
    <w:p>
      <w:pPr>
        <w:pStyle w:val="afffffffffffffffffffffffffffffffff0"/>
        <w:numPr>
          <w:ilvl w:val="0"/>
          <w:numId w:val="195"/>
        </w:numPr>
        <w:rPr>
          <w:rFonts w:ascii="宋体" w:hAnsi="宋体"/>
          <w:szCs w:val="21"/>
        </w:rPr>
      </w:pPr>
      <w:bookmarkStart w:id="556" w:name="_Hlk535584690"/>
      <w:bookmarkStart w:id="557" w:name="_Hlk152579827"/>
      <w:r>
        <w:rPr>
          <w:rFonts w:ascii="宋体" w:hAnsi="宋体" w:hint="eastAsia"/>
          <w:szCs w:val="21"/>
        </w:rPr>
        <w:t>当期非经常性损益明细表</w:t>
      </w:r>
    </w:p>
    <w:sdt>
      <w:sdtPr>
        <w:alias w:val="是否适用：当期非经常性损益明细表[双击切换]"/>
        <w:tag w:val="_GBC_b3c7aec730db408a9d46da725d5662b4"/>
        <w:id w:val="-1072811779"/>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63d386bc1f1d45a9803caa6346ef271f"/>
          <w:id w:val="-1217582645"/>
          <w:placeholder>
            <w:docPart w:val="GBC22222222222222222222222222222"/>
          </w:placeholder>
          <w:dataBinding w:prefixMappings="xmlns:clcid-ci-ar='clcid-ci-ar'" w:xpath="/*/clcid-ci-ar:DanWeiKouChuFeiJingChangXingSunYiXiangMuHeJinE[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扣除非经常性损益项目和金额"/>
          <w:tag w:val="_GBC_fb530451edb743d2bcc0dacb892d672d"/>
          <w:id w:val="-1322113331"/>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g46"/>
        <w:tblW w:w="5000" w:type="pct"/>
        <w:jc w:val="center"/>
        <w:tblInd w:w="0" w:type="dxa"/>
        <w:tblLook w:val="04A0" w:firstRow="1" w:lastRow="0" w:firstColumn="1" w:lastColumn="0" w:noHBand="0" w:noVBand="1"/>
      </w:tblPr>
      <w:tblGrid>
        <w:gridCol w:w="6804"/>
        <w:gridCol w:w="2019"/>
      </w:tblGrid>
      <w:tr>
        <w:trPr>
          <w:jc w:val="center"/>
        </w:trPr>
        <w:sdt>
          <w:sdtPr>
            <w:rPr>
              <w:rFonts w:ascii="宋体" w:hAnsi="宋体"/>
              <w:szCs w:val="21"/>
            </w:rPr>
            <w:tag w:val="_PLD_f2882777d10a4346880b6d11ab006214"/>
            <w:id w:val="-956332152"/>
          </w:sdtPr>
          <w:sdtContent>
            <w:tc>
              <w:tcPr>
                <w:tcW w:w="3856" w:type="pct"/>
                <w:vAlign w:val="center"/>
              </w:tcPr>
              <w:p>
                <w:pPr>
                  <w:pStyle w:val="affffffffffffffffffffffffffffffffff4"/>
                  <w:ind w:firstLineChars="0" w:firstLine="0"/>
                  <w:jc w:val="center"/>
                  <w:rPr>
                    <w:rFonts w:ascii="宋体" w:hAnsi="宋体"/>
                    <w:szCs w:val="21"/>
                  </w:rPr>
                </w:pPr>
                <w:r>
                  <w:rPr>
                    <w:rFonts w:ascii="宋体" w:hAnsi="宋体" w:hint="eastAsia"/>
                    <w:szCs w:val="21"/>
                  </w:rPr>
                  <w:t>项目</w:t>
                </w:r>
              </w:p>
            </w:tc>
          </w:sdtContent>
        </w:sdt>
        <w:sdt>
          <w:sdtPr>
            <w:rPr>
              <w:rFonts w:ascii="宋体" w:hAnsi="宋体"/>
              <w:szCs w:val="21"/>
            </w:rPr>
            <w:tag w:val="_PLD_1f5c769dc7ea434a90d739329712e1ed"/>
            <w:id w:val="-921868419"/>
          </w:sdtPr>
          <w:sdtContent>
            <w:tc>
              <w:tcPr>
                <w:tcW w:w="1144" w:type="pct"/>
                <w:vAlign w:val="center"/>
              </w:tcPr>
              <w:p>
                <w:pPr>
                  <w:pStyle w:val="affffffffffffffffffffffffffffffffff4"/>
                  <w:ind w:firstLineChars="0" w:firstLine="0"/>
                  <w:jc w:val="center"/>
                  <w:rPr>
                    <w:rFonts w:ascii="宋体" w:hAnsi="宋体"/>
                    <w:szCs w:val="21"/>
                  </w:rPr>
                </w:pPr>
                <w:r>
                  <w:rPr>
                    <w:rFonts w:ascii="宋体" w:hAnsi="宋体" w:hint="eastAsia"/>
                    <w:szCs w:val="21"/>
                  </w:rPr>
                  <w:t>金额</w:t>
                </w:r>
              </w:p>
            </w:tc>
          </w:sdtContent>
        </w:sdt>
      </w:tr>
      <w:tr>
        <w:trPr>
          <w:jc w:val="center"/>
        </w:trPr>
        <w:tc>
          <w:tcPr>
            <w:tcW w:w="3856" w:type="pct"/>
            <w:vAlign w:val="center"/>
          </w:tcPr>
          <w:p>
            <w:pPr>
              <w:widowControl/>
              <w:spacing w:line="360" w:lineRule="exact"/>
              <w:jc w:val="left"/>
              <w:rPr>
                <w:szCs w:val="21"/>
              </w:rPr>
            </w:pPr>
            <w:r>
              <w:rPr>
                <w:rFonts w:hint="eastAsia"/>
                <w:szCs w:val="21"/>
              </w:rPr>
              <w:t>非流动性资产处置损益，包括已计提资产减值准备的冲销部分</w:t>
            </w:r>
          </w:p>
        </w:tc>
        <w:tc>
          <w:tcPr>
            <w:tcW w:w="1144" w:type="pct"/>
            <w:vAlign w:val="center"/>
          </w:tcPr>
          <w:p>
            <w:pPr>
              <w:widowControl/>
              <w:spacing w:line="360" w:lineRule="exact"/>
              <w:jc w:val="right"/>
              <w:rPr>
                <w:szCs w:val="21"/>
              </w:rPr>
            </w:pPr>
            <w:r>
              <w:rPr>
                <w:szCs w:val="21"/>
              </w:rPr>
              <w:t>357,575</w:t>
            </w:r>
          </w:p>
        </w:tc>
      </w:tr>
      <w:tr>
        <w:trPr>
          <w:jc w:val="center"/>
        </w:trPr>
        <w:tc>
          <w:tcPr>
            <w:tcW w:w="3856" w:type="pct"/>
            <w:vAlign w:val="center"/>
          </w:tcPr>
          <w:p>
            <w:pPr>
              <w:widowControl/>
              <w:spacing w:line="360" w:lineRule="exact"/>
              <w:jc w:val="left"/>
              <w:rPr>
                <w:szCs w:val="21"/>
              </w:rPr>
            </w:pPr>
            <w:r>
              <w:rPr>
                <w:rFonts w:hint="eastAsia"/>
                <w:szCs w:val="21"/>
              </w:rPr>
              <w:t>计入当期损益的政府补助，但与公司正常经营业务密切相关、符合国家政策规定、按照确定的标准享有、对公司损益产生持续影响的政府补助除外</w:t>
            </w:r>
          </w:p>
        </w:tc>
        <w:tc>
          <w:tcPr>
            <w:tcW w:w="1144" w:type="pct"/>
            <w:vAlign w:val="center"/>
          </w:tcPr>
          <w:p>
            <w:pPr>
              <w:widowControl/>
              <w:spacing w:line="360" w:lineRule="exact"/>
              <w:jc w:val="right"/>
              <w:rPr>
                <w:szCs w:val="21"/>
              </w:rPr>
            </w:pPr>
            <w:r>
              <w:rPr>
                <w:szCs w:val="21"/>
              </w:rPr>
              <w:t>322,303</w:t>
            </w:r>
          </w:p>
        </w:tc>
      </w:tr>
      <w:tr>
        <w:trPr>
          <w:jc w:val="center"/>
        </w:trPr>
        <w:tc>
          <w:tcPr>
            <w:tcW w:w="3856" w:type="pct"/>
            <w:vAlign w:val="center"/>
          </w:tcPr>
          <w:p>
            <w:pPr>
              <w:widowControl/>
              <w:spacing w:line="360" w:lineRule="exact"/>
              <w:jc w:val="left"/>
              <w:rPr>
                <w:szCs w:val="21"/>
              </w:rPr>
            </w:pPr>
            <w:r>
              <w:rPr>
                <w:rFonts w:hint="eastAsia"/>
                <w:szCs w:val="21"/>
              </w:rPr>
              <w:t>除同公司正常经营业务相关的有效套期保值业务外，非金融企业持有金融资产和金融负债产生的公允价值变动损益以及处置金融资产和金融负债产生的损益</w:t>
            </w:r>
          </w:p>
        </w:tc>
        <w:tc>
          <w:tcPr>
            <w:tcW w:w="1144" w:type="pct"/>
            <w:vAlign w:val="center"/>
          </w:tcPr>
          <w:p>
            <w:pPr>
              <w:widowControl/>
              <w:spacing w:line="360" w:lineRule="exact"/>
              <w:jc w:val="right"/>
              <w:rPr>
                <w:szCs w:val="21"/>
              </w:rPr>
            </w:pPr>
            <w:r>
              <w:rPr>
                <w:szCs w:val="21"/>
              </w:rPr>
              <w:t>64,443</w:t>
            </w:r>
          </w:p>
        </w:tc>
      </w:tr>
      <w:tr>
        <w:trPr>
          <w:jc w:val="center"/>
        </w:trPr>
        <w:tc>
          <w:tcPr>
            <w:tcW w:w="3856" w:type="pct"/>
            <w:vAlign w:val="center"/>
          </w:tcPr>
          <w:p>
            <w:pPr>
              <w:widowControl/>
              <w:spacing w:line="360" w:lineRule="exact"/>
              <w:jc w:val="left"/>
              <w:rPr>
                <w:szCs w:val="21"/>
              </w:rPr>
            </w:pPr>
            <w:r>
              <w:rPr>
                <w:rFonts w:hint="eastAsia"/>
                <w:szCs w:val="21"/>
              </w:rPr>
              <w:t>单独进行减值测试的应收款项减值准备转回</w:t>
            </w:r>
          </w:p>
        </w:tc>
        <w:tc>
          <w:tcPr>
            <w:tcW w:w="1144" w:type="pct"/>
            <w:vAlign w:val="center"/>
          </w:tcPr>
          <w:p>
            <w:pPr>
              <w:widowControl/>
              <w:spacing w:line="360" w:lineRule="exact"/>
              <w:jc w:val="right"/>
              <w:rPr>
                <w:szCs w:val="21"/>
              </w:rPr>
            </w:pPr>
            <w:r>
              <w:rPr>
                <w:szCs w:val="21"/>
              </w:rPr>
              <w:t>4,426</w:t>
            </w:r>
          </w:p>
        </w:tc>
      </w:tr>
      <w:tr>
        <w:trPr>
          <w:jc w:val="center"/>
        </w:trPr>
        <w:tc>
          <w:tcPr>
            <w:tcW w:w="3856" w:type="pct"/>
            <w:vAlign w:val="center"/>
          </w:tcPr>
          <w:p>
            <w:pPr>
              <w:widowControl/>
              <w:spacing w:line="360" w:lineRule="exact"/>
              <w:jc w:val="left"/>
              <w:rPr>
                <w:szCs w:val="21"/>
              </w:rPr>
            </w:pPr>
            <w:r>
              <w:rPr>
                <w:rFonts w:hint="eastAsia"/>
                <w:szCs w:val="21"/>
              </w:rPr>
              <w:t>企业取得子公司、联营企业及合营企业的投资成本小于取得投资时应享有被投资单位可辨认净资产公允价值产生的收益</w:t>
            </w:r>
          </w:p>
        </w:tc>
        <w:tc>
          <w:tcPr>
            <w:tcW w:w="1144" w:type="pct"/>
            <w:vAlign w:val="center"/>
          </w:tcPr>
          <w:p>
            <w:pPr>
              <w:widowControl/>
              <w:spacing w:line="360" w:lineRule="exact"/>
              <w:jc w:val="right"/>
              <w:rPr>
                <w:szCs w:val="21"/>
              </w:rPr>
            </w:pPr>
            <w:r>
              <w:rPr>
                <w:szCs w:val="21"/>
              </w:rPr>
              <w:t>134,765</w:t>
            </w:r>
          </w:p>
        </w:tc>
      </w:tr>
      <w:tr>
        <w:trPr>
          <w:jc w:val="center"/>
        </w:trPr>
        <w:tc>
          <w:tcPr>
            <w:tcW w:w="3856" w:type="pct"/>
            <w:vAlign w:val="center"/>
          </w:tcPr>
          <w:p>
            <w:pPr>
              <w:spacing w:line="360" w:lineRule="exact"/>
              <w:rPr>
                <w:szCs w:val="21"/>
              </w:rPr>
            </w:pPr>
            <w:r>
              <w:rPr>
                <w:rFonts w:hint="eastAsia"/>
                <w:szCs w:val="21"/>
              </w:rPr>
              <w:t>同一控制下企业合并产生的子公司期初至合并日的当期净损益</w:t>
            </w:r>
          </w:p>
        </w:tc>
        <w:tc>
          <w:tcPr>
            <w:tcW w:w="1144" w:type="pct"/>
            <w:vAlign w:val="center"/>
          </w:tcPr>
          <w:p>
            <w:pPr>
              <w:spacing w:line="360" w:lineRule="exact"/>
              <w:jc w:val="right"/>
              <w:rPr>
                <w:szCs w:val="21"/>
              </w:rPr>
            </w:pPr>
            <w:r>
              <w:rPr>
                <w:szCs w:val="21"/>
              </w:rPr>
              <w:t>-8,675</w:t>
            </w:r>
          </w:p>
        </w:tc>
      </w:tr>
      <w:tr>
        <w:trPr>
          <w:jc w:val="center"/>
        </w:trPr>
        <w:tc>
          <w:tcPr>
            <w:tcW w:w="3856" w:type="pct"/>
            <w:vAlign w:val="center"/>
          </w:tcPr>
          <w:p>
            <w:pPr>
              <w:widowControl/>
              <w:spacing w:line="360" w:lineRule="exact"/>
              <w:jc w:val="left"/>
              <w:rPr>
                <w:szCs w:val="21"/>
              </w:rPr>
            </w:pPr>
            <w:r>
              <w:rPr>
                <w:rFonts w:hint="eastAsia"/>
                <w:szCs w:val="21"/>
              </w:rPr>
              <w:t>债务重组损益</w:t>
            </w:r>
          </w:p>
        </w:tc>
        <w:tc>
          <w:tcPr>
            <w:tcW w:w="1144" w:type="pct"/>
            <w:vAlign w:val="center"/>
          </w:tcPr>
          <w:p>
            <w:pPr>
              <w:widowControl/>
              <w:spacing w:line="360" w:lineRule="exact"/>
              <w:jc w:val="right"/>
              <w:rPr>
                <w:szCs w:val="21"/>
              </w:rPr>
            </w:pPr>
            <w:r>
              <w:rPr>
                <w:szCs w:val="21"/>
              </w:rPr>
              <w:t>3,833</w:t>
            </w:r>
          </w:p>
        </w:tc>
      </w:tr>
      <w:tr>
        <w:trPr>
          <w:jc w:val="center"/>
        </w:trPr>
        <w:tc>
          <w:tcPr>
            <w:tcW w:w="3856" w:type="pct"/>
            <w:vAlign w:val="center"/>
          </w:tcPr>
          <w:p>
            <w:pPr>
              <w:widowControl/>
              <w:spacing w:line="360" w:lineRule="exact"/>
              <w:jc w:val="left"/>
              <w:rPr>
                <w:szCs w:val="21"/>
              </w:rPr>
            </w:pPr>
            <w:r>
              <w:rPr>
                <w:rFonts w:hint="eastAsia"/>
                <w:szCs w:val="21"/>
              </w:rPr>
              <w:t>采用公允价值模式进行后续计量的投资性房地产公允价值变动产生的损益</w:t>
            </w:r>
          </w:p>
        </w:tc>
        <w:tc>
          <w:tcPr>
            <w:tcW w:w="1144" w:type="pct"/>
            <w:vAlign w:val="center"/>
          </w:tcPr>
          <w:p>
            <w:pPr>
              <w:widowControl/>
              <w:spacing w:line="360" w:lineRule="exact"/>
              <w:jc w:val="right"/>
              <w:rPr>
                <w:szCs w:val="21"/>
              </w:rPr>
            </w:pPr>
            <w:r>
              <w:rPr>
                <w:szCs w:val="21"/>
              </w:rPr>
              <w:t>-7,788</w:t>
            </w:r>
          </w:p>
        </w:tc>
      </w:tr>
      <w:tr>
        <w:trPr>
          <w:jc w:val="center"/>
        </w:trPr>
        <w:tc>
          <w:tcPr>
            <w:tcW w:w="3856" w:type="pct"/>
            <w:vAlign w:val="center"/>
          </w:tcPr>
          <w:p>
            <w:pPr>
              <w:widowControl/>
              <w:spacing w:line="360" w:lineRule="exact"/>
              <w:jc w:val="left"/>
              <w:rPr>
                <w:szCs w:val="21"/>
              </w:rPr>
            </w:pPr>
            <w:r>
              <w:rPr>
                <w:szCs w:val="21"/>
              </w:rPr>
              <w:t>除上述各项之外的其他营业外收入和支出</w:t>
            </w:r>
          </w:p>
        </w:tc>
        <w:tc>
          <w:tcPr>
            <w:tcW w:w="1144" w:type="pct"/>
            <w:vAlign w:val="center"/>
          </w:tcPr>
          <w:p>
            <w:pPr>
              <w:widowControl/>
              <w:spacing w:line="360" w:lineRule="exact"/>
              <w:jc w:val="right"/>
              <w:rPr>
                <w:szCs w:val="21"/>
              </w:rPr>
            </w:pPr>
            <w:r>
              <w:rPr>
                <w:szCs w:val="21"/>
              </w:rPr>
              <w:t>159,621</w:t>
            </w:r>
          </w:p>
        </w:tc>
      </w:tr>
      <w:tr>
        <w:trPr>
          <w:jc w:val="center"/>
        </w:trPr>
        <w:tc>
          <w:tcPr>
            <w:tcW w:w="3856" w:type="pct"/>
            <w:vAlign w:val="center"/>
          </w:tcPr>
          <w:p>
            <w:pPr>
              <w:widowControl/>
              <w:spacing w:line="360" w:lineRule="exact"/>
              <w:jc w:val="left"/>
              <w:rPr>
                <w:szCs w:val="21"/>
              </w:rPr>
            </w:pPr>
            <w:r>
              <w:rPr>
                <w:szCs w:val="21"/>
              </w:rPr>
              <w:t>其他符合非经常性损益定义的损益项目</w:t>
            </w:r>
          </w:p>
        </w:tc>
        <w:tc>
          <w:tcPr>
            <w:tcW w:w="1144" w:type="pct"/>
            <w:vAlign w:val="center"/>
          </w:tcPr>
          <w:p>
            <w:pPr>
              <w:widowControl/>
              <w:spacing w:line="360" w:lineRule="exact"/>
              <w:jc w:val="right"/>
              <w:rPr>
                <w:szCs w:val="21"/>
              </w:rPr>
            </w:pPr>
          </w:p>
        </w:tc>
      </w:tr>
      <w:tr>
        <w:trPr>
          <w:jc w:val="center"/>
        </w:trPr>
        <w:tc>
          <w:tcPr>
            <w:tcW w:w="3856" w:type="pct"/>
            <w:vAlign w:val="center"/>
          </w:tcPr>
          <w:p>
            <w:pPr>
              <w:widowControl/>
              <w:spacing w:line="360" w:lineRule="exact"/>
              <w:jc w:val="left"/>
              <w:rPr>
                <w:szCs w:val="21"/>
              </w:rPr>
            </w:pPr>
            <w:r>
              <w:rPr>
                <w:rFonts w:hint="eastAsia"/>
                <w:szCs w:val="21"/>
              </w:rPr>
              <w:t>减：所得税影响金额</w:t>
            </w:r>
          </w:p>
        </w:tc>
        <w:tc>
          <w:tcPr>
            <w:tcW w:w="1144" w:type="pct"/>
            <w:vAlign w:val="center"/>
          </w:tcPr>
          <w:p>
            <w:pPr>
              <w:widowControl/>
              <w:spacing w:line="360" w:lineRule="exact"/>
              <w:jc w:val="right"/>
              <w:rPr>
                <w:szCs w:val="21"/>
              </w:rPr>
            </w:pPr>
            <w:r>
              <w:rPr>
                <w:szCs w:val="21"/>
              </w:rPr>
              <w:t>269,345</w:t>
            </w:r>
          </w:p>
        </w:tc>
      </w:tr>
      <w:tr>
        <w:trPr>
          <w:jc w:val="center"/>
        </w:trPr>
        <w:tc>
          <w:tcPr>
            <w:tcW w:w="3856" w:type="pct"/>
            <w:vAlign w:val="center"/>
          </w:tcPr>
          <w:p>
            <w:pPr>
              <w:widowControl/>
              <w:spacing w:line="360" w:lineRule="exact"/>
              <w:ind w:firstLineChars="200" w:firstLine="420"/>
              <w:jc w:val="left"/>
              <w:rPr>
                <w:szCs w:val="21"/>
              </w:rPr>
            </w:pPr>
            <w:r>
              <w:rPr>
                <w:rFonts w:hint="eastAsia"/>
                <w:szCs w:val="21"/>
              </w:rPr>
              <w:t>少数股东权益影响额（税后）</w:t>
            </w:r>
          </w:p>
        </w:tc>
        <w:tc>
          <w:tcPr>
            <w:tcW w:w="1144" w:type="pct"/>
            <w:vAlign w:val="center"/>
          </w:tcPr>
          <w:p>
            <w:pPr>
              <w:widowControl/>
              <w:spacing w:line="360" w:lineRule="exact"/>
              <w:jc w:val="right"/>
              <w:rPr>
                <w:szCs w:val="21"/>
              </w:rPr>
            </w:pPr>
            <w:r>
              <w:rPr>
                <w:szCs w:val="21"/>
              </w:rPr>
              <w:t>226,724</w:t>
            </w:r>
          </w:p>
        </w:tc>
      </w:tr>
      <w:tr>
        <w:trPr>
          <w:jc w:val="center"/>
        </w:trPr>
        <w:tc>
          <w:tcPr>
            <w:tcW w:w="3856" w:type="pct"/>
            <w:vAlign w:val="center"/>
          </w:tcPr>
          <w:p>
            <w:pPr>
              <w:pStyle w:val="affffffffffffffffffffffffffffffffff4"/>
              <w:ind w:firstLineChars="0" w:firstLine="0"/>
              <w:jc w:val="center"/>
              <w:rPr>
                <w:rFonts w:ascii="宋体" w:hAnsi="宋体"/>
                <w:szCs w:val="21"/>
              </w:rPr>
            </w:pPr>
            <w:r>
              <w:rPr>
                <w:rFonts w:ascii="宋体" w:hAnsi="宋体"/>
                <w:szCs w:val="21"/>
              </w:rPr>
              <w:t>合计</w:t>
            </w:r>
          </w:p>
        </w:tc>
        <w:tc>
          <w:tcPr>
            <w:tcW w:w="1144" w:type="pct"/>
            <w:vAlign w:val="center"/>
          </w:tcPr>
          <w:p>
            <w:pPr>
              <w:jc w:val="right"/>
              <w:rPr>
                <w:szCs w:val="21"/>
              </w:rPr>
            </w:pPr>
            <w:r>
              <w:rPr>
                <w:szCs w:val="21"/>
              </w:rPr>
              <w:t>534,434</w:t>
            </w:r>
            <w:r>
              <w:rPr>
                <w:rFonts w:hint="eastAsia"/>
                <w:szCs w:val="21"/>
              </w:rPr>
              <w:t xml:space="preserve">　</w:t>
            </w:r>
          </w:p>
        </w:tc>
      </w:tr>
    </w:tbl>
    <w:p>
      <w:pPr>
        <w:pStyle w:val="affffffffffffffffffffffffffffffffe"/>
      </w:pPr>
    </w:p>
    <w:p>
      <w:pPr>
        <w:rPr>
          <w:szCs w:val="21"/>
        </w:rPr>
      </w:pPr>
      <w:bookmarkStart w:id="558" w:name="_Hlk154752626"/>
      <w:bookmarkEnd w:id="556"/>
      <w:bookmarkEnd w:id="557"/>
      <w:r>
        <w:rPr>
          <w:rFonts w:hint="eastAsia"/>
          <w:szCs w:val="21"/>
        </w:rPr>
        <w:t>对公司将《公开发行证券的公司信息披露解释性公告第</w:t>
      </w:r>
      <w:r>
        <w:rPr>
          <w:szCs w:val="21"/>
        </w:rPr>
        <w:t>1号——非经常性损益》未列举的项目认定为非经常性损益项目且金额重大的，以及将《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200905179"/>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p>
      <w:pPr>
        <w:spacing w:line="360" w:lineRule="exact"/>
        <w:rPr>
          <w:szCs w:val="21"/>
        </w:rPr>
      </w:pPr>
      <w:r>
        <w:rPr>
          <w:rFonts w:hint="eastAsia"/>
          <w:szCs w:val="21"/>
        </w:rPr>
        <w:t>其他说明：</w:t>
      </w:r>
    </w:p>
    <w:sdt>
      <w:sdtPr>
        <w:rPr>
          <w:szCs w:val="21"/>
        </w:rPr>
        <w:alias w:val="是否适用：非经常性损益的其他说明[双击切换]"/>
        <w:tag w:val="_GBC_02aa469151f448ef8b478dba20a7d811"/>
        <w:id w:val="-790202359"/>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affffffffffffffffffffffffffffffffe"/>
      </w:pPr>
    </w:p>
    <w:bookmarkEnd w:id="558"/>
    <w:p>
      <w:pPr>
        <w:pStyle w:val="afffffffffffffffffffffffffffffffff0"/>
        <w:numPr>
          <w:ilvl w:val="0"/>
          <w:numId w:val="195"/>
        </w:numPr>
        <w:rPr>
          <w:szCs w:val="21"/>
        </w:rPr>
      </w:pPr>
      <w:r>
        <w:rPr>
          <w:rFonts w:hint="eastAsia"/>
          <w:szCs w:val="21"/>
        </w:rPr>
        <w:t>净资产</w:t>
      </w:r>
      <w:r>
        <w:rPr>
          <w:rFonts w:ascii="宋体" w:hAnsi="宋体" w:hint="eastAsia"/>
          <w:szCs w:val="21"/>
        </w:rPr>
        <w:t>收益率</w:t>
      </w:r>
      <w:r>
        <w:rPr>
          <w:rFonts w:hint="eastAsia"/>
          <w:szCs w:val="21"/>
        </w:rPr>
        <w:t>及每股收益</w:t>
      </w:r>
    </w:p>
    <w:sdt>
      <w:sdtPr>
        <w:alias w:val="是否适用：净资产收益率及每股收益[双击切换]"/>
        <w:tag w:val="_GBC_c0f530bdf9ee48239f470eda08b303d7"/>
        <w:id w:val="106537783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affffffffff8"/>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0"/>
        <w:gridCol w:w="1795"/>
        <w:gridCol w:w="2093"/>
        <w:gridCol w:w="2095"/>
      </w:tblGrid>
      <w:tr>
        <w:trPr>
          <w:trHeight w:val="270"/>
        </w:trPr>
        <w:sdt>
          <w:sdtPr>
            <w:rPr>
              <w:szCs w:val="21"/>
            </w:rPr>
            <w:tag w:val="_PLD_85d9a7abc9cd45768b2b5f99afa4a4ef"/>
            <w:id w:val="602235408"/>
          </w:sdtPr>
          <w:sdtContent>
            <w:tc>
              <w:tcPr>
                <w:tcW w:w="1609" w:type="pct"/>
                <w:vMerge w:val="restar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报告期利润</w:t>
                </w:r>
              </w:p>
            </w:tc>
          </w:sdtContent>
        </w:sdt>
        <w:sdt>
          <w:sdtPr>
            <w:rPr>
              <w:szCs w:val="21"/>
            </w:rPr>
            <w:tag w:val="_PLD_7f5ad103cbb04f7d904001b07266bf41"/>
            <w:id w:val="1163672166"/>
          </w:sdtPr>
          <w:sdtContent>
            <w:tc>
              <w:tcPr>
                <w:tcW w:w="1017" w:type="pct"/>
                <w:vMerge w:val="restart"/>
                <w:tcBorders>
                  <w:top w:val="single" w:sz="4" w:space="0" w:color="auto"/>
                  <w:left w:val="single" w:sz="4" w:space="0" w:color="auto"/>
                  <w:right w:val="single" w:sz="4" w:space="0" w:color="auto"/>
                </w:tcBorders>
                <w:vAlign w:val="center"/>
              </w:tcPr>
              <w:p>
                <w:pPr>
                  <w:jc w:val="center"/>
                  <w:rPr>
                    <w:szCs w:val="21"/>
                  </w:rPr>
                </w:pPr>
                <w:r>
                  <w:rPr>
                    <w:szCs w:val="21"/>
                  </w:rPr>
                  <w:t>加权平均净资产收益率（%）</w:t>
                </w:r>
              </w:p>
            </w:tc>
          </w:sdtContent>
        </w:sdt>
        <w:sdt>
          <w:sdtPr>
            <w:rPr>
              <w:szCs w:val="21"/>
            </w:rPr>
            <w:tag w:val="_PLD_adaa515ff68f455d8bcd75e516da3040"/>
            <w:id w:val="-1533809748"/>
          </w:sdtPr>
          <w:sdtContent>
            <w:tc>
              <w:tcPr>
                <w:tcW w:w="2373" w:type="pct"/>
                <w:gridSpan w:val="2"/>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每股收益</w:t>
                </w:r>
              </w:p>
            </w:tc>
          </w:sdtContent>
        </w:sdt>
      </w:tr>
      <w:tr>
        <w:trPr>
          <w:trHeight w:val="360"/>
        </w:trPr>
        <w:tc>
          <w:tcPr>
            <w:tcW w:w="1609" w:type="pct"/>
            <w:vMerge/>
            <w:tcBorders>
              <w:top w:val="single" w:sz="4" w:space="0" w:color="auto"/>
              <w:left w:val="single" w:sz="4" w:space="0" w:color="auto"/>
              <w:bottom w:val="single" w:sz="4" w:space="0" w:color="auto"/>
              <w:right w:val="single" w:sz="4" w:space="0" w:color="auto"/>
            </w:tcBorders>
            <w:vAlign w:val="center"/>
          </w:tcPr>
          <w:p>
            <w:pPr>
              <w:jc w:val="center"/>
              <w:rPr>
                <w:szCs w:val="21"/>
              </w:rPr>
            </w:pPr>
          </w:p>
        </w:tc>
        <w:tc>
          <w:tcPr>
            <w:tcW w:w="1017" w:type="pct"/>
            <w:vMerge/>
            <w:tcBorders>
              <w:left w:val="single" w:sz="4" w:space="0" w:color="auto"/>
              <w:bottom w:val="single" w:sz="4" w:space="0" w:color="auto"/>
              <w:right w:val="single" w:sz="4" w:space="0" w:color="auto"/>
            </w:tcBorders>
            <w:vAlign w:val="center"/>
          </w:tcPr>
          <w:p>
            <w:pPr>
              <w:jc w:val="center"/>
              <w:rPr>
                <w:szCs w:val="21"/>
              </w:rPr>
            </w:pPr>
          </w:p>
        </w:tc>
        <w:sdt>
          <w:sdtPr>
            <w:rPr>
              <w:szCs w:val="21"/>
            </w:rPr>
            <w:tag w:val="_PLD_503a9e353572491fb64751c75881b5ac"/>
            <w:id w:val="-1873140309"/>
          </w:sdtPr>
          <w:sdtContent>
            <w:tc>
              <w:tcPr>
                <w:tcW w:w="1186"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基本每股收益</w:t>
                </w:r>
              </w:p>
            </w:tc>
          </w:sdtContent>
        </w:sdt>
        <w:sdt>
          <w:sdtPr>
            <w:rPr>
              <w:szCs w:val="21"/>
            </w:rPr>
            <w:tag w:val="_PLD_b57959d0e3714f2590eb4529892e5c18"/>
            <w:id w:val="1621028498"/>
          </w:sdtPr>
          <w:sdtContent>
            <w:tc>
              <w:tcPr>
                <w:tcW w:w="1187" w:type="pct"/>
                <w:tcBorders>
                  <w:top w:val="single" w:sz="4" w:space="0" w:color="auto"/>
                  <w:left w:val="single" w:sz="4" w:space="0" w:color="auto"/>
                  <w:bottom w:val="single" w:sz="4" w:space="0" w:color="auto"/>
                  <w:right w:val="single" w:sz="4" w:space="0" w:color="auto"/>
                </w:tcBorders>
                <w:vAlign w:val="center"/>
              </w:tcPr>
              <w:p>
                <w:pPr>
                  <w:jc w:val="center"/>
                  <w:rPr>
                    <w:szCs w:val="21"/>
                  </w:rPr>
                </w:pPr>
                <w:r>
                  <w:rPr>
                    <w:szCs w:val="21"/>
                  </w:rPr>
                  <w:t>稀释每股收益</w:t>
                </w:r>
              </w:p>
            </w:tc>
          </w:sdtContent>
        </w:sdt>
      </w:tr>
      <w:tr>
        <w:trPr>
          <w:trHeight w:val="360"/>
        </w:trPr>
        <w:tc>
          <w:tcPr>
            <w:tcW w:w="160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18.30</w:t>
            </w:r>
          </w:p>
        </w:tc>
        <w:tc>
          <w:tcPr>
            <w:tcW w:w="11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1.46</w:t>
            </w:r>
          </w:p>
        </w:tc>
        <w:tc>
          <w:tcPr>
            <w:tcW w:w="1187"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szCs w:val="21"/>
              </w:rPr>
            </w:pPr>
            <w:r>
              <w:rPr>
                <w:szCs w:val="21"/>
              </w:rPr>
              <w:t>1.45</w:t>
            </w:r>
          </w:p>
        </w:tc>
      </w:tr>
      <w:tr>
        <w:trPr>
          <w:trHeight w:val="360"/>
        </w:trPr>
        <w:tc>
          <w:tcPr>
            <w:tcW w:w="1609" w:type="pct"/>
            <w:tcBorders>
              <w:top w:val="single" w:sz="4" w:space="0" w:color="auto"/>
              <w:left w:val="single" w:sz="4" w:space="0" w:color="auto"/>
              <w:bottom w:val="single" w:sz="4" w:space="0" w:color="auto"/>
              <w:right w:val="single" w:sz="4" w:space="0" w:color="auto"/>
            </w:tcBorders>
            <w:vAlign w:val="center"/>
          </w:tcPr>
          <w:p>
            <w:pPr>
              <w:spacing w:line="360" w:lineRule="exact"/>
              <w:rPr>
                <w:szCs w:val="21"/>
              </w:rPr>
            </w:pPr>
            <w:r>
              <w:rPr>
                <w:rFonts w:hint="eastAsia"/>
                <w:szCs w:val="21"/>
              </w:rPr>
              <w:lastRenderedPageBreak/>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szCs w:val="21"/>
              </w:rPr>
              <w:t>17.62</w:t>
            </w:r>
          </w:p>
        </w:tc>
        <w:tc>
          <w:tcPr>
            <w:tcW w:w="1186"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1.40</w:t>
            </w:r>
          </w:p>
        </w:tc>
        <w:tc>
          <w:tcPr>
            <w:tcW w:w="1187" w:type="pct"/>
            <w:tcBorders>
              <w:top w:val="single" w:sz="4" w:space="0" w:color="auto"/>
              <w:left w:val="single" w:sz="4" w:space="0" w:color="auto"/>
              <w:bottom w:val="single" w:sz="4" w:space="0" w:color="auto"/>
              <w:right w:val="single" w:sz="4" w:space="0" w:color="auto"/>
            </w:tcBorders>
            <w:vAlign w:val="center"/>
          </w:tcPr>
          <w:p>
            <w:pPr>
              <w:spacing w:line="360" w:lineRule="exact"/>
              <w:jc w:val="right"/>
              <w:rPr>
                <w:color w:val="000000"/>
                <w:szCs w:val="21"/>
              </w:rPr>
            </w:pPr>
            <w:r>
              <w:rPr>
                <w:color w:val="000000"/>
                <w:szCs w:val="21"/>
              </w:rPr>
              <w:t>1.39</w:t>
            </w:r>
          </w:p>
        </w:tc>
      </w:tr>
    </w:tbl>
    <w:p>
      <w:pPr>
        <w:rPr>
          <w:szCs w:val="21"/>
        </w:rPr>
      </w:pPr>
    </w:p>
    <w:p>
      <w:pPr>
        <w:pStyle w:val="afffffffffffffffffffffffffffffffff0"/>
        <w:numPr>
          <w:ilvl w:val="0"/>
          <w:numId w:val="195"/>
        </w:numPr>
        <w:rPr>
          <w:rFonts w:ascii="宋体" w:hAnsi="宋体"/>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741409283"/>
        <w:lock w:val="contentLocked"/>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afffffffffffffffffffffffffffffffff1"/>
        <w:numPr>
          <w:ilvl w:val="0"/>
          <w:numId w:val="154"/>
        </w:numPr>
      </w:pPr>
      <w:r>
        <w:rPr>
          <w:rFonts w:hint="eastAsia"/>
        </w:rPr>
        <w:t>同时按照国际会计准则与按中国会计准则披露的财务报告中净利润和净资产差异情况</w:t>
      </w:r>
    </w:p>
    <w:sdt>
      <w:sdtPr>
        <w:rPr>
          <w:rFonts w:hint="eastAsia"/>
          <w:szCs w:val="21"/>
        </w:rPr>
        <w:alias w:val="是否适用：同时按照国际会计准则与按中国会计准则披露的财务报告中净利润和净资产差异情况[双击切换]"/>
        <w:tag w:val="_GBC_d4b99094c68c4643b25e25a564d131d1"/>
        <w:id w:val="1276596735"/>
        <w:placeholder>
          <w:docPart w:val="GBC22222222222222222222222222222"/>
        </w:placeholder>
      </w:sdt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同时按照国际会计准则与按中国会计准则披露的财务报告中净利润和净资产差异情况"/>
          <w:tag w:val="_GBC_4a9c4891050f46febb181a926ba461ae"/>
          <w:id w:val="50663309"/>
          <w:placeholder>
            <w:docPart w:val="GBC22222222222222222222222222222"/>
          </w:placeholder>
          <w:dataBinding w:prefixMappings="xmlns:clcid-ci-ar='clcid-ci-ar'" w:xpath="/*/clcid-ci-ar:DanWeiTongShiAnZhaoGuoJiKuaiJiZhunZeYuAnZhongGuoKuaiJiZhunZePiLuDeCaiWuBaoGaoZhongJingLiRunHeJingZiChanChaYiQingKuang[not(@periodRef)]" w:storeItemID="{89EBAB94-44A0-46A2-B712-30D997D04A6D}"/>
          <w:comboBox w:lastValue="千元">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千元</w:t>
          </w:r>
        </w:sdtContent>
      </w:sdt>
      <w:r>
        <w:rPr>
          <w:rFonts w:hint="eastAsia"/>
          <w:szCs w:val="21"/>
        </w:rPr>
        <w:t xml:space="preserve">  币种：</w:t>
      </w:r>
      <w:sdt>
        <w:sdtPr>
          <w:rPr>
            <w:rFonts w:hint="eastAsia"/>
            <w:szCs w:val="21"/>
          </w:rPr>
          <w:alias w:val="币种：同时按照国际会计准则与按中国会计准则披露的财务报告中净利润和净资产差异情况"/>
          <w:tag w:val="_GBC_aa48a8ffe5904da68453612258b0bfaa"/>
          <w:id w:val="-232085195"/>
          <w:placeholder>
            <w:docPart w:val="GBC22222222222222222222222222222"/>
          </w:placeholder>
          <w:dataBinding w:prefixMappings="xmlns:clcid-ci-ar='clcid-ci-ar'" w:xpath="/*/clcid-ci-ar:BiZhongTongShiAnZhaoGuoJiKuaiJiZhunZeYuAnZhongGuoKuaiJiZhunZePiLuDeCaiWuBaoGaoZhongJingLiRunHeJingZiChanChaYiQingKuang[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ffffffff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1475"/>
        <w:gridCol w:w="1477"/>
        <w:gridCol w:w="1475"/>
        <w:gridCol w:w="1477"/>
      </w:tblGrid>
      <w:tr>
        <w:trPr>
          <w:trHeight w:val="298"/>
        </w:trPr>
        <w:tc>
          <w:tcPr>
            <w:tcW w:w="1654" w:type="pct"/>
            <w:vMerge w:val="restart"/>
            <w:shd w:val="clear" w:color="auto" w:fill="auto"/>
            <w:vAlign w:val="center"/>
          </w:tcPr>
          <w:p>
            <w:pPr>
              <w:jc w:val="center"/>
              <w:rPr>
                <w:szCs w:val="21"/>
              </w:rPr>
            </w:pPr>
          </w:p>
        </w:tc>
        <w:sdt>
          <w:sdtPr>
            <w:rPr>
              <w:szCs w:val="21"/>
            </w:rPr>
            <w:tag w:val="_PLD_024e18d5f232482baf41a0f3085e0920"/>
            <w:id w:val="-1388802591"/>
          </w:sdtPr>
          <w:sdtContent>
            <w:tc>
              <w:tcPr>
                <w:tcW w:w="1673" w:type="pct"/>
                <w:gridSpan w:val="2"/>
                <w:shd w:val="clear" w:color="auto" w:fill="auto"/>
                <w:vAlign w:val="center"/>
              </w:tcPr>
              <w:p>
                <w:pPr>
                  <w:jc w:val="center"/>
                  <w:rPr>
                    <w:szCs w:val="21"/>
                  </w:rPr>
                </w:pPr>
                <w:r>
                  <w:rPr>
                    <w:rFonts w:hint="eastAsia"/>
                    <w:szCs w:val="21"/>
                  </w:rPr>
                  <w:t>归属于上市公司股东的净利润</w:t>
                </w:r>
              </w:p>
            </w:tc>
          </w:sdtContent>
        </w:sdt>
        <w:sdt>
          <w:sdtPr>
            <w:rPr>
              <w:szCs w:val="21"/>
            </w:rPr>
            <w:tag w:val="_PLD_74ae34b8caa548c69fb90a429721e871"/>
            <w:id w:val="1448268336"/>
          </w:sdtPr>
          <w:sdtContent>
            <w:tc>
              <w:tcPr>
                <w:tcW w:w="1673" w:type="pct"/>
                <w:gridSpan w:val="2"/>
                <w:shd w:val="clear" w:color="auto" w:fill="auto"/>
                <w:vAlign w:val="center"/>
              </w:tcPr>
              <w:p>
                <w:pPr>
                  <w:jc w:val="center"/>
                  <w:rPr>
                    <w:szCs w:val="21"/>
                  </w:rPr>
                </w:pPr>
                <w:r>
                  <w:rPr>
                    <w:rFonts w:hint="eastAsia"/>
                    <w:szCs w:val="21"/>
                  </w:rPr>
                  <w:t>归属于上市公司股东的净资产</w:t>
                </w:r>
              </w:p>
            </w:tc>
          </w:sdtContent>
        </w:sdt>
      </w:tr>
      <w:tr>
        <w:tc>
          <w:tcPr>
            <w:tcW w:w="1654" w:type="pct"/>
            <w:vMerge/>
            <w:shd w:val="clear" w:color="auto" w:fill="auto"/>
            <w:vAlign w:val="center"/>
          </w:tcPr>
          <w:p>
            <w:pPr>
              <w:jc w:val="center"/>
              <w:rPr>
                <w:szCs w:val="21"/>
              </w:rPr>
            </w:pPr>
          </w:p>
        </w:tc>
        <w:sdt>
          <w:sdtPr>
            <w:rPr>
              <w:szCs w:val="21"/>
            </w:rPr>
            <w:tag w:val="_PLD_c7129e730cf84191aa1826818da93240"/>
            <w:id w:val="-454406009"/>
          </w:sdtPr>
          <w:sdtContent>
            <w:tc>
              <w:tcPr>
                <w:tcW w:w="836" w:type="pct"/>
                <w:shd w:val="clear" w:color="auto" w:fill="auto"/>
                <w:vAlign w:val="center"/>
              </w:tcPr>
              <w:p>
                <w:pPr>
                  <w:jc w:val="center"/>
                  <w:rPr>
                    <w:szCs w:val="21"/>
                  </w:rPr>
                </w:pPr>
                <w:r>
                  <w:rPr>
                    <w:rFonts w:hint="eastAsia"/>
                    <w:szCs w:val="21"/>
                  </w:rPr>
                  <w:t>本期发生额</w:t>
                </w:r>
              </w:p>
            </w:tc>
          </w:sdtContent>
        </w:sdt>
        <w:sdt>
          <w:sdtPr>
            <w:rPr>
              <w:szCs w:val="21"/>
            </w:rPr>
            <w:tag w:val="_PLD_c4db839c354947fd8745e666a8067fce"/>
            <w:id w:val="-1785950644"/>
          </w:sdtPr>
          <w:sdtContent>
            <w:tc>
              <w:tcPr>
                <w:tcW w:w="837" w:type="pct"/>
                <w:shd w:val="clear" w:color="auto" w:fill="auto"/>
                <w:vAlign w:val="center"/>
              </w:tcPr>
              <w:p>
                <w:pPr>
                  <w:jc w:val="center"/>
                  <w:rPr>
                    <w:szCs w:val="21"/>
                  </w:rPr>
                </w:pPr>
                <w:r>
                  <w:rPr>
                    <w:rFonts w:hint="eastAsia"/>
                    <w:szCs w:val="21"/>
                  </w:rPr>
                  <w:t>上期发生额</w:t>
                </w:r>
              </w:p>
            </w:tc>
          </w:sdtContent>
        </w:sdt>
        <w:sdt>
          <w:sdtPr>
            <w:rPr>
              <w:szCs w:val="21"/>
            </w:rPr>
            <w:tag w:val="_PLD_1d5d7e03d0eb417f92247cc25d1bba89"/>
            <w:id w:val="1210837176"/>
          </w:sdtPr>
          <w:sdtContent>
            <w:tc>
              <w:tcPr>
                <w:tcW w:w="836" w:type="pct"/>
                <w:shd w:val="clear" w:color="auto" w:fill="auto"/>
                <w:vAlign w:val="center"/>
              </w:tcPr>
              <w:p>
                <w:pPr>
                  <w:jc w:val="center"/>
                  <w:rPr>
                    <w:szCs w:val="21"/>
                  </w:rPr>
                </w:pPr>
                <w:r>
                  <w:rPr>
                    <w:rFonts w:hint="eastAsia"/>
                    <w:szCs w:val="21"/>
                  </w:rPr>
                  <w:t>期末余额</w:t>
                </w:r>
              </w:p>
            </w:tc>
          </w:sdtContent>
        </w:sdt>
        <w:sdt>
          <w:sdtPr>
            <w:rPr>
              <w:szCs w:val="21"/>
            </w:rPr>
            <w:tag w:val="_PLD_06249b5a9b9b4d189488049bace5a89c"/>
            <w:id w:val="1020816960"/>
          </w:sdtPr>
          <w:sdtContent>
            <w:tc>
              <w:tcPr>
                <w:tcW w:w="837" w:type="pct"/>
                <w:shd w:val="clear" w:color="auto" w:fill="auto"/>
                <w:vAlign w:val="center"/>
              </w:tcPr>
              <w:p>
                <w:pPr>
                  <w:jc w:val="center"/>
                  <w:rPr>
                    <w:szCs w:val="21"/>
                  </w:rPr>
                </w:pPr>
                <w:r>
                  <w:rPr>
                    <w:rFonts w:hint="eastAsia"/>
                    <w:szCs w:val="21"/>
                  </w:rPr>
                  <w:t>期初余额</w:t>
                </w:r>
              </w:p>
            </w:tc>
          </w:sdtContent>
        </w:sdt>
      </w:tr>
      <w:tr>
        <w:tc>
          <w:tcPr>
            <w:tcW w:w="1654" w:type="pct"/>
            <w:shd w:val="clear" w:color="auto" w:fill="auto"/>
            <w:vAlign w:val="center"/>
          </w:tcPr>
          <w:p>
            <w:pPr>
              <w:jc w:val="both"/>
              <w:rPr>
                <w:szCs w:val="21"/>
              </w:rPr>
            </w:pPr>
            <w:r>
              <w:rPr>
                <w:rFonts w:hint="eastAsia"/>
                <w:szCs w:val="21"/>
              </w:rPr>
              <w:t>按中国会计准则</w:t>
            </w:r>
          </w:p>
        </w:tc>
        <w:tc>
          <w:tcPr>
            <w:tcW w:w="836" w:type="pct"/>
            <w:shd w:val="clear" w:color="auto" w:fill="auto"/>
            <w:vAlign w:val="center"/>
          </w:tcPr>
          <w:p>
            <w:pPr>
              <w:spacing w:line="360" w:lineRule="exact"/>
              <w:jc w:val="right"/>
              <w:rPr>
                <w:szCs w:val="21"/>
              </w:rPr>
            </w:pPr>
            <w:r>
              <w:rPr>
                <w:szCs w:val="21"/>
              </w:rPr>
              <w:t>14,425,051</w:t>
            </w:r>
          </w:p>
        </w:tc>
        <w:tc>
          <w:tcPr>
            <w:tcW w:w="837" w:type="pct"/>
            <w:shd w:val="clear" w:color="auto" w:fill="auto"/>
            <w:vAlign w:val="center"/>
          </w:tcPr>
          <w:p>
            <w:pPr>
              <w:spacing w:line="360" w:lineRule="exact"/>
              <w:jc w:val="right"/>
              <w:rPr>
                <w:szCs w:val="21"/>
              </w:rPr>
            </w:pPr>
            <w:r>
              <w:rPr>
                <w:szCs w:val="21"/>
              </w:rPr>
              <w:t>20,143,947</w:t>
            </w:r>
          </w:p>
        </w:tc>
        <w:tc>
          <w:tcPr>
            <w:tcW w:w="836" w:type="pct"/>
            <w:shd w:val="clear" w:color="auto" w:fill="auto"/>
            <w:vAlign w:val="center"/>
          </w:tcPr>
          <w:p>
            <w:pPr>
              <w:spacing w:line="360" w:lineRule="exact"/>
              <w:jc w:val="right"/>
              <w:rPr>
                <w:szCs w:val="21"/>
              </w:rPr>
            </w:pPr>
            <w:r>
              <w:rPr>
                <w:szCs w:val="21"/>
              </w:rPr>
              <w:t>82,594,456</w:t>
            </w:r>
          </w:p>
        </w:tc>
        <w:tc>
          <w:tcPr>
            <w:tcW w:w="837" w:type="pct"/>
            <w:shd w:val="clear" w:color="auto" w:fill="auto"/>
            <w:vAlign w:val="center"/>
          </w:tcPr>
          <w:p>
            <w:pPr>
              <w:spacing w:line="360" w:lineRule="exact"/>
              <w:jc w:val="right"/>
              <w:rPr>
                <w:szCs w:val="21"/>
              </w:rPr>
            </w:pPr>
            <w:r>
              <w:rPr>
                <w:szCs w:val="21"/>
              </w:rPr>
              <w:t>72,827,965</w:t>
            </w:r>
          </w:p>
        </w:tc>
      </w:tr>
      <w:tr>
        <w:sdt>
          <w:sdtPr>
            <w:rPr>
              <w:szCs w:val="21"/>
            </w:rPr>
            <w:tag w:val="_PLD_cc0171220fa04c20ae903b3935aef8ee"/>
            <w:id w:val="-454105694"/>
          </w:sdtPr>
          <w:sdtContent>
            <w:tc>
              <w:tcPr>
                <w:tcW w:w="5000" w:type="pct"/>
                <w:gridSpan w:val="5"/>
                <w:shd w:val="clear" w:color="auto" w:fill="auto"/>
                <w:vAlign w:val="center"/>
              </w:tcPr>
              <w:p>
                <w:pPr>
                  <w:rPr>
                    <w:szCs w:val="21"/>
                  </w:rPr>
                </w:pPr>
                <w:r>
                  <w:rPr>
                    <w:rFonts w:hint="eastAsia"/>
                    <w:szCs w:val="21"/>
                  </w:rPr>
                  <w:t>按国际会计准则调整的项目及金额：</w:t>
                </w:r>
              </w:p>
            </w:tc>
          </w:sdtContent>
        </w:sdt>
      </w:tr>
      <w:tr>
        <w:tc>
          <w:tcPr>
            <w:tcW w:w="1654" w:type="pct"/>
            <w:shd w:val="clear" w:color="auto" w:fill="auto"/>
            <w:vAlign w:val="center"/>
          </w:tcPr>
          <w:p>
            <w:pPr>
              <w:spacing w:line="360" w:lineRule="exact"/>
              <w:rPr>
                <w:szCs w:val="21"/>
              </w:rPr>
            </w:pPr>
            <w:r>
              <w:rPr>
                <w:szCs w:val="21"/>
              </w:rPr>
              <w:t>1.同一控制下合并</w:t>
            </w:r>
          </w:p>
        </w:tc>
        <w:tc>
          <w:tcPr>
            <w:tcW w:w="836" w:type="pct"/>
            <w:shd w:val="clear" w:color="auto" w:fill="auto"/>
            <w:vAlign w:val="center"/>
          </w:tcPr>
          <w:p>
            <w:pPr>
              <w:spacing w:line="360" w:lineRule="exact"/>
              <w:jc w:val="right"/>
              <w:rPr>
                <w:szCs w:val="21"/>
              </w:rPr>
            </w:pPr>
          </w:p>
        </w:tc>
        <w:tc>
          <w:tcPr>
            <w:tcW w:w="837" w:type="pct"/>
            <w:shd w:val="clear" w:color="auto" w:fill="auto"/>
            <w:vAlign w:val="center"/>
          </w:tcPr>
          <w:p>
            <w:pPr>
              <w:spacing w:line="360" w:lineRule="exact"/>
              <w:jc w:val="right"/>
              <w:rPr>
                <w:szCs w:val="21"/>
              </w:rPr>
            </w:pPr>
          </w:p>
        </w:tc>
        <w:tc>
          <w:tcPr>
            <w:tcW w:w="836" w:type="pct"/>
            <w:shd w:val="clear" w:color="auto" w:fill="auto"/>
            <w:vAlign w:val="center"/>
          </w:tcPr>
          <w:p>
            <w:pPr>
              <w:spacing w:line="360" w:lineRule="exact"/>
              <w:jc w:val="right"/>
              <w:rPr>
                <w:szCs w:val="21"/>
              </w:rPr>
            </w:pPr>
          </w:p>
        </w:tc>
        <w:tc>
          <w:tcPr>
            <w:tcW w:w="837" w:type="pct"/>
            <w:shd w:val="clear" w:color="auto" w:fill="auto"/>
            <w:vAlign w:val="center"/>
          </w:tcPr>
          <w:p>
            <w:pPr>
              <w:spacing w:line="360" w:lineRule="exact"/>
              <w:jc w:val="right"/>
              <w:rPr>
                <w:szCs w:val="21"/>
              </w:rPr>
            </w:pPr>
          </w:p>
        </w:tc>
      </w:tr>
      <w:tr>
        <w:tc>
          <w:tcPr>
            <w:tcW w:w="1654" w:type="pct"/>
            <w:shd w:val="clear" w:color="auto" w:fill="auto"/>
            <w:vAlign w:val="center"/>
          </w:tcPr>
          <w:p>
            <w:pPr>
              <w:spacing w:line="360" w:lineRule="exact"/>
              <w:rPr>
                <w:szCs w:val="21"/>
              </w:rPr>
            </w:pPr>
            <w:r>
              <w:rPr>
                <w:szCs w:val="21"/>
              </w:rPr>
              <w:t>2.专项储备（注1）</w:t>
            </w:r>
          </w:p>
        </w:tc>
        <w:tc>
          <w:tcPr>
            <w:tcW w:w="836" w:type="pct"/>
            <w:shd w:val="clear" w:color="auto" w:fill="auto"/>
            <w:vAlign w:val="center"/>
          </w:tcPr>
          <w:p>
            <w:pPr>
              <w:spacing w:line="360" w:lineRule="exact"/>
              <w:jc w:val="right"/>
              <w:rPr>
                <w:szCs w:val="21"/>
              </w:rPr>
            </w:pPr>
            <w:r>
              <w:rPr>
                <w:szCs w:val="21"/>
              </w:rPr>
              <w:t>482,460</w:t>
            </w:r>
          </w:p>
        </w:tc>
        <w:tc>
          <w:tcPr>
            <w:tcW w:w="837" w:type="pct"/>
            <w:shd w:val="clear" w:color="auto" w:fill="auto"/>
            <w:vAlign w:val="center"/>
          </w:tcPr>
          <w:p>
            <w:pPr>
              <w:spacing w:line="360" w:lineRule="exact"/>
              <w:jc w:val="right"/>
              <w:rPr>
                <w:szCs w:val="21"/>
              </w:rPr>
            </w:pPr>
            <w:r>
              <w:rPr>
                <w:szCs w:val="21"/>
              </w:rPr>
              <w:t>1,219,583</w:t>
            </w:r>
          </w:p>
        </w:tc>
        <w:tc>
          <w:tcPr>
            <w:tcW w:w="836" w:type="pct"/>
            <w:shd w:val="clear" w:color="auto" w:fill="auto"/>
            <w:vAlign w:val="center"/>
          </w:tcPr>
          <w:p>
            <w:pPr>
              <w:spacing w:line="360" w:lineRule="exact"/>
              <w:jc w:val="right"/>
              <w:rPr>
                <w:szCs w:val="21"/>
              </w:rPr>
            </w:pPr>
            <w:r>
              <w:rPr>
                <w:szCs w:val="21"/>
              </w:rPr>
              <w:t>-24,703</w:t>
            </w:r>
          </w:p>
        </w:tc>
        <w:tc>
          <w:tcPr>
            <w:tcW w:w="837" w:type="pct"/>
            <w:shd w:val="clear" w:color="auto" w:fill="auto"/>
            <w:vAlign w:val="center"/>
          </w:tcPr>
          <w:p>
            <w:pPr>
              <w:spacing w:line="360" w:lineRule="exact"/>
              <w:jc w:val="right"/>
              <w:rPr>
                <w:szCs w:val="21"/>
              </w:rPr>
            </w:pPr>
            <w:r>
              <w:rPr>
                <w:szCs w:val="21"/>
              </w:rPr>
              <w:t>-28,158</w:t>
            </w:r>
          </w:p>
        </w:tc>
      </w:tr>
      <w:tr>
        <w:tc>
          <w:tcPr>
            <w:tcW w:w="1654" w:type="pct"/>
            <w:shd w:val="clear" w:color="auto" w:fill="auto"/>
            <w:vAlign w:val="center"/>
          </w:tcPr>
          <w:p>
            <w:pPr>
              <w:spacing w:line="360" w:lineRule="exact"/>
              <w:rPr>
                <w:szCs w:val="21"/>
              </w:rPr>
            </w:pPr>
            <w:r>
              <w:rPr>
                <w:szCs w:val="21"/>
              </w:rPr>
              <w:t>3.永续资本债券（注2）</w:t>
            </w:r>
          </w:p>
        </w:tc>
        <w:tc>
          <w:tcPr>
            <w:tcW w:w="836" w:type="pct"/>
            <w:shd w:val="clear" w:color="auto" w:fill="auto"/>
            <w:vAlign w:val="center"/>
          </w:tcPr>
          <w:p>
            <w:pPr>
              <w:spacing w:line="360" w:lineRule="exact"/>
              <w:jc w:val="right"/>
              <w:rPr>
                <w:szCs w:val="21"/>
              </w:rPr>
            </w:pPr>
          </w:p>
        </w:tc>
        <w:tc>
          <w:tcPr>
            <w:tcW w:w="837" w:type="pct"/>
            <w:shd w:val="clear" w:color="auto" w:fill="auto"/>
            <w:vAlign w:val="center"/>
          </w:tcPr>
          <w:p>
            <w:pPr>
              <w:spacing w:line="360" w:lineRule="exact"/>
              <w:jc w:val="right"/>
              <w:rPr>
                <w:szCs w:val="21"/>
              </w:rPr>
            </w:pPr>
          </w:p>
        </w:tc>
        <w:tc>
          <w:tcPr>
            <w:tcW w:w="836" w:type="pct"/>
            <w:shd w:val="clear" w:color="auto" w:fill="auto"/>
            <w:vAlign w:val="center"/>
          </w:tcPr>
          <w:p>
            <w:pPr>
              <w:spacing w:line="360" w:lineRule="exact"/>
              <w:jc w:val="right"/>
              <w:rPr>
                <w:szCs w:val="21"/>
              </w:rPr>
            </w:pPr>
            <w:r>
              <w:rPr>
                <w:szCs w:val="21"/>
              </w:rPr>
              <w:t>23,267,221</w:t>
            </w:r>
          </w:p>
        </w:tc>
        <w:tc>
          <w:tcPr>
            <w:tcW w:w="837" w:type="pct"/>
            <w:shd w:val="clear" w:color="auto" w:fill="auto"/>
            <w:vAlign w:val="center"/>
          </w:tcPr>
          <w:p>
            <w:pPr>
              <w:spacing w:line="360" w:lineRule="exact"/>
              <w:jc w:val="right"/>
              <w:rPr>
                <w:szCs w:val="21"/>
              </w:rPr>
            </w:pPr>
            <w:r>
              <w:rPr>
                <w:szCs w:val="21"/>
              </w:rPr>
              <w:t xml:space="preserve">16,541,777 </w:t>
            </w:r>
          </w:p>
        </w:tc>
      </w:tr>
      <w:tr>
        <w:tc>
          <w:tcPr>
            <w:tcW w:w="1654" w:type="pct"/>
            <w:shd w:val="clear" w:color="auto" w:fill="auto"/>
            <w:vAlign w:val="center"/>
          </w:tcPr>
          <w:p>
            <w:pPr>
              <w:spacing w:line="360" w:lineRule="exact"/>
              <w:rPr>
                <w:szCs w:val="21"/>
              </w:rPr>
            </w:pPr>
            <w:r>
              <w:rPr>
                <w:szCs w:val="21"/>
              </w:rPr>
              <w:t>4.无形资产减值损失（注3）</w:t>
            </w:r>
          </w:p>
        </w:tc>
        <w:tc>
          <w:tcPr>
            <w:tcW w:w="836" w:type="pct"/>
            <w:shd w:val="clear" w:color="auto" w:fill="auto"/>
            <w:vAlign w:val="center"/>
          </w:tcPr>
          <w:p>
            <w:pPr>
              <w:spacing w:line="360" w:lineRule="exact"/>
              <w:jc w:val="right"/>
              <w:rPr>
                <w:szCs w:val="21"/>
              </w:rPr>
            </w:pPr>
            <w:r>
              <w:rPr>
                <w:szCs w:val="21"/>
              </w:rPr>
              <w:t>10,199</w:t>
            </w:r>
          </w:p>
        </w:tc>
        <w:tc>
          <w:tcPr>
            <w:tcW w:w="837" w:type="pct"/>
            <w:shd w:val="clear" w:color="auto" w:fill="auto"/>
            <w:vAlign w:val="center"/>
          </w:tcPr>
          <w:p>
            <w:pPr>
              <w:spacing w:line="360" w:lineRule="exact"/>
              <w:jc w:val="right"/>
              <w:rPr>
                <w:szCs w:val="21"/>
              </w:rPr>
            </w:pPr>
            <w:r>
              <w:rPr>
                <w:szCs w:val="21"/>
              </w:rPr>
              <w:t>10,199</w:t>
            </w:r>
          </w:p>
        </w:tc>
        <w:tc>
          <w:tcPr>
            <w:tcW w:w="836" w:type="pct"/>
            <w:shd w:val="clear" w:color="auto" w:fill="auto"/>
            <w:vAlign w:val="center"/>
          </w:tcPr>
          <w:p>
            <w:pPr>
              <w:spacing w:line="360" w:lineRule="exact"/>
              <w:jc w:val="right"/>
              <w:rPr>
                <w:szCs w:val="21"/>
              </w:rPr>
            </w:pPr>
            <w:r>
              <w:rPr>
                <w:szCs w:val="21"/>
              </w:rPr>
              <w:t>-58,843</w:t>
            </w:r>
          </w:p>
        </w:tc>
        <w:tc>
          <w:tcPr>
            <w:tcW w:w="837" w:type="pct"/>
            <w:shd w:val="clear" w:color="auto" w:fill="auto"/>
            <w:vAlign w:val="center"/>
          </w:tcPr>
          <w:p>
            <w:pPr>
              <w:spacing w:line="360" w:lineRule="exact"/>
              <w:jc w:val="right"/>
              <w:rPr>
                <w:szCs w:val="21"/>
              </w:rPr>
            </w:pPr>
            <w:r>
              <w:rPr>
                <w:szCs w:val="21"/>
              </w:rPr>
              <w:t>-69,042</w:t>
            </w:r>
          </w:p>
        </w:tc>
      </w:tr>
      <w:tr>
        <w:tc>
          <w:tcPr>
            <w:tcW w:w="1654" w:type="pct"/>
            <w:shd w:val="clear" w:color="auto" w:fill="auto"/>
            <w:vAlign w:val="center"/>
          </w:tcPr>
          <w:p>
            <w:pPr>
              <w:spacing w:line="360" w:lineRule="exact"/>
              <w:rPr>
                <w:szCs w:val="21"/>
              </w:rPr>
            </w:pPr>
            <w:r>
              <w:rPr>
                <w:szCs w:val="21"/>
              </w:rPr>
              <w:t>5.递延税项（注4）</w:t>
            </w:r>
          </w:p>
        </w:tc>
        <w:tc>
          <w:tcPr>
            <w:tcW w:w="836" w:type="pct"/>
            <w:shd w:val="clear" w:color="auto" w:fill="auto"/>
            <w:vAlign w:val="center"/>
          </w:tcPr>
          <w:p>
            <w:pPr>
              <w:spacing w:line="360" w:lineRule="exact"/>
              <w:jc w:val="right"/>
              <w:rPr>
                <w:szCs w:val="21"/>
              </w:rPr>
            </w:pPr>
            <w:r>
              <w:rPr>
                <w:szCs w:val="21"/>
              </w:rPr>
              <w:t>-123,675</w:t>
            </w:r>
          </w:p>
        </w:tc>
        <w:tc>
          <w:tcPr>
            <w:tcW w:w="837" w:type="pct"/>
            <w:shd w:val="clear" w:color="auto" w:fill="auto"/>
            <w:vAlign w:val="center"/>
          </w:tcPr>
          <w:p>
            <w:pPr>
              <w:spacing w:line="360" w:lineRule="exact"/>
              <w:jc w:val="right"/>
              <w:rPr>
                <w:szCs w:val="21"/>
              </w:rPr>
            </w:pPr>
            <w:r>
              <w:rPr>
                <w:szCs w:val="21"/>
              </w:rPr>
              <w:t>-307,955</w:t>
            </w:r>
          </w:p>
        </w:tc>
        <w:tc>
          <w:tcPr>
            <w:tcW w:w="836" w:type="pct"/>
            <w:shd w:val="clear" w:color="auto" w:fill="auto"/>
            <w:vAlign w:val="center"/>
          </w:tcPr>
          <w:p>
            <w:pPr>
              <w:spacing w:line="360" w:lineRule="exact"/>
              <w:jc w:val="right"/>
              <w:rPr>
                <w:szCs w:val="21"/>
              </w:rPr>
            </w:pPr>
            <w:r>
              <w:rPr>
                <w:szCs w:val="21"/>
              </w:rPr>
              <w:t>800,704</w:t>
            </w:r>
          </w:p>
        </w:tc>
        <w:tc>
          <w:tcPr>
            <w:tcW w:w="837" w:type="pct"/>
            <w:shd w:val="clear" w:color="auto" w:fill="auto"/>
            <w:vAlign w:val="center"/>
          </w:tcPr>
          <w:p>
            <w:pPr>
              <w:spacing w:line="360" w:lineRule="exact"/>
              <w:jc w:val="right"/>
              <w:rPr>
                <w:szCs w:val="21"/>
              </w:rPr>
            </w:pPr>
            <w:r>
              <w:rPr>
                <w:szCs w:val="21"/>
              </w:rPr>
              <w:t>924,379</w:t>
            </w:r>
          </w:p>
        </w:tc>
      </w:tr>
      <w:tr>
        <w:tc>
          <w:tcPr>
            <w:tcW w:w="1654" w:type="pct"/>
            <w:shd w:val="clear" w:color="auto" w:fill="auto"/>
            <w:vAlign w:val="center"/>
          </w:tcPr>
          <w:p>
            <w:pPr>
              <w:spacing w:line="360" w:lineRule="exact"/>
              <w:rPr>
                <w:szCs w:val="21"/>
              </w:rPr>
            </w:pPr>
            <w:r>
              <w:rPr>
                <w:szCs w:val="21"/>
              </w:rPr>
              <w:t>6.其他</w:t>
            </w:r>
          </w:p>
        </w:tc>
        <w:tc>
          <w:tcPr>
            <w:tcW w:w="836" w:type="pct"/>
            <w:shd w:val="clear" w:color="auto" w:fill="auto"/>
            <w:vAlign w:val="center"/>
          </w:tcPr>
          <w:p>
            <w:pPr>
              <w:spacing w:line="360" w:lineRule="exact"/>
              <w:jc w:val="right"/>
              <w:rPr>
                <w:szCs w:val="21"/>
              </w:rPr>
            </w:pPr>
          </w:p>
        </w:tc>
        <w:tc>
          <w:tcPr>
            <w:tcW w:w="837" w:type="pct"/>
            <w:shd w:val="clear" w:color="auto" w:fill="auto"/>
            <w:vAlign w:val="center"/>
          </w:tcPr>
          <w:p>
            <w:pPr>
              <w:spacing w:line="360" w:lineRule="exact"/>
              <w:jc w:val="right"/>
              <w:rPr>
                <w:szCs w:val="21"/>
              </w:rPr>
            </w:pPr>
          </w:p>
        </w:tc>
        <w:tc>
          <w:tcPr>
            <w:tcW w:w="836" w:type="pct"/>
            <w:shd w:val="clear" w:color="auto" w:fill="auto"/>
            <w:vAlign w:val="center"/>
          </w:tcPr>
          <w:p>
            <w:pPr>
              <w:spacing w:line="360" w:lineRule="exact"/>
              <w:jc w:val="right"/>
              <w:rPr>
                <w:szCs w:val="21"/>
              </w:rPr>
            </w:pPr>
          </w:p>
        </w:tc>
        <w:tc>
          <w:tcPr>
            <w:tcW w:w="837" w:type="pct"/>
            <w:shd w:val="clear" w:color="auto" w:fill="auto"/>
            <w:vAlign w:val="center"/>
          </w:tcPr>
          <w:p>
            <w:pPr>
              <w:spacing w:line="360" w:lineRule="exact"/>
              <w:jc w:val="right"/>
              <w:rPr>
                <w:szCs w:val="21"/>
              </w:rPr>
            </w:pPr>
          </w:p>
        </w:tc>
      </w:tr>
      <w:tr>
        <w:tc>
          <w:tcPr>
            <w:tcW w:w="1654" w:type="pct"/>
            <w:shd w:val="clear" w:color="auto" w:fill="auto"/>
            <w:vAlign w:val="center"/>
          </w:tcPr>
          <w:p>
            <w:pPr>
              <w:spacing w:line="360" w:lineRule="exact"/>
              <w:rPr>
                <w:szCs w:val="21"/>
              </w:rPr>
            </w:pPr>
            <w:r>
              <w:rPr>
                <w:szCs w:val="21"/>
              </w:rPr>
              <w:t>按国际会计准则</w:t>
            </w:r>
          </w:p>
        </w:tc>
        <w:tc>
          <w:tcPr>
            <w:tcW w:w="836" w:type="pct"/>
            <w:shd w:val="clear" w:color="auto" w:fill="auto"/>
            <w:vAlign w:val="center"/>
          </w:tcPr>
          <w:p>
            <w:pPr>
              <w:spacing w:line="360" w:lineRule="exact"/>
              <w:jc w:val="right"/>
              <w:rPr>
                <w:szCs w:val="21"/>
              </w:rPr>
            </w:pPr>
            <w:r>
              <w:rPr>
                <w:szCs w:val="21"/>
              </w:rPr>
              <w:t>14,056,067</w:t>
            </w:r>
          </w:p>
        </w:tc>
        <w:tc>
          <w:tcPr>
            <w:tcW w:w="837" w:type="pct"/>
            <w:shd w:val="clear" w:color="auto" w:fill="auto"/>
            <w:vAlign w:val="center"/>
          </w:tcPr>
          <w:p>
            <w:pPr>
              <w:spacing w:line="360" w:lineRule="exact"/>
              <w:jc w:val="right"/>
              <w:rPr>
                <w:bCs/>
                <w:szCs w:val="21"/>
              </w:rPr>
            </w:pPr>
            <w:r>
              <w:rPr>
                <w:bCs/>
                <w:szCs w:val="21"/>
              </w:rPr>
              <w:t>19,222,120</w:t>
            </w:r>
          </w:p>
        </w:tc>
        <w:tc>
          <w:tcPr>
            <w:tcW w:w="836" w:type="pct"/>
            <w:shd w:val="clear" w:color="auto" w:fill="auto"/>
            <w:vAlign w:val="center"/>
          </w:tcPr>
          <w:p>
            <w:pPr>
              <w:spacing w:line="360" w:lineRule="exact"/>
              <w:jc w:val="right"/>
              <w:rPr>
                <w:bCs/>
                <w:szCs w:val="21"/>
              </w:rPr>
            </w:pPr>
            <w:r>
              <w:rPr>
                <w:bCs/>
                <w:szCs w:val="21"/>
              </w:rPr>
              <w:t>58,610,077</w:t>
            </w:r>
          </w:p>
        </w:tc>
        <w:tc>
          <w:tcPr>
            <w:tcW w:w="837" w:type="pct"/>
            <w:shd w:val="clear" w:color="auto" w:fill="auto"/>
            <w:vAlign w:val="center"/>
          </w:tcPr>
          <w:p>
            <w:pPr>
              <w:spacing w:line="360" w:lineRule="exact"/>
              <w:jc w:val="right"/>
              <w:rPr>
                <w:szCs w:val="21"/>
              </w:rPr>
            </w:pPr>
            <w:r>
              <w:rPr>
                <w:szCs w:val="21"/>
              </w:rPr>
              <w:t>55,459,009</w:t>
            </w:r>
          </w:p>
        </w:tc>
      </w:tr>
    </w:tbl>
    <w:p>
      <w:pPr>
        <w:pStyle w:val="affffffffffffffffffffffffffffffffe"/>
      </w:pPr>
    </w:p>
    <w:p>
      <w:pPr>
        <w:autoSpaceDE w:val="0"/>
        <w:autoSpaceDN w:val="0"/>
        <w:adjustRightInd w:val="0"/>
        <w:spacing w:afterLines="50" w:after="120" w:line="360" w:lineRule="exact"/>
        <w:ind w:firstLineChars="200" w:firstLine="420"/>
      </w:pPr>
      <w:r>
        <w:rPr>
          <w:rFonts w:hint="eastAsia"/>
        </w:rPr>
        <w:t>注</w:t>
      </w:r>
      <w:r>
        <w:t>1</w:t>
      </w:r>
      <w:r>
        <w:rPr>
          <w:rFonts w:hint="eastAsia"/>
        </w:rPr>
        <w:t>：如本附注“五、（三十八）各专项储备”所述，按中国政府相关机构的有关规定，煤炭企业应根据煤炭产量计提维简费、生产安全费及其他类似性质的费用，记入当期费用并在所有者权益中的专项储备单独反映。按规定范围使用专项储备形成固定资产时，应在计入相关资产成本的同时全额结转累计折旧。而按国际财务报告准则，这些费用应于发生时确认，相关资本性支出于发生时确认为固定资产，按相应的折旧方法计提折旧。</w:t>
      </w:r>
    </w:p>
    <w:p>
      <w:pPr>
        <w:autoSpaceDE w:val="0"/>
        <w:autoSpaceDN w:val="0"/>
        <w:adjustRightInd w:val="0"/>
        <w:spacing w:afterLines="50" w:after="120" w:line="360" w:lineRule="exact"/>
        <w:ind w:firstLineChars="200" w:firstLine="420"/>
      </w:pPr>
      <w:r>
        <w:rPr>
          <w:rFonts w:hint="eastAsia"/>
        </w:rPr>
        <w:t>注</w:t>
      </w:r>
      <w:r>
        <w:t>2</w:t>
      </w:r>
      <w:r>
        <w:rPr>
          <w:rFonts w:hint="eastAsia"/>
        </w:rPr>
        <w:t>：根据中国会计准则，母公司发行的永续资本债券在报表中列示于归属于母公司的所有者权益中，子公司发行的永续资本债券在报表中列示于少数股东权益，而在国际准则中需要在权益变动表单独列示。</w:t>
      </w:r>
    </w:p>
    <w:p>
      <w:pPr>
        <w:autoSpaceDE w:val="0"/>
        <w:autoSpaceDN w:val="0"/>
        <w:adjustRightInd w:val="0"/>
        <w:spacing w:afterLines="50" w:after="120" w:line="360" w:lineRule="exact"/>
        <w:ind w:firstLineChars="200" w:firstLine="420"/>
      </w:pPr>
      <w:r>
        <w:rPr>
          <w:rFonts w:hint="eastAsia"/>
        </w:rPr>
        <w:t>注</w:t>
      </w:r>
      <w:r>
        <w:t>3</w:t>
      </w:r>
      <w:r>
        <w:rPr>
          <w:rFonts w:hint="eastAsia"/>
        </w:rPr>
        <w:t>：根据中国会计准则，长期资产减值准备一经确认，不得转回，在国际准则下，长期资产减值准备可以转回。</w:t>
      </w:r>
    </w:p>
    <w:p>
      <w:pPr>
        <w:autoSpaceDE w:val="0"/>
        <w:autoSpaceDN w:val="0"/>
        <w:adjustRightInd w:val="0"/>
        <w:spacing w:afterLines="50" w:after="120" w:line="360" w:lineRule="exact"/>
        <w:ind w:firstLineChars="200" w:firstLine="420"/>
      </w:pPr>
      <w:r>
        <w:rPr>
          <w:rFonts w:hint="eastAsia"/>
        </w:rPr>
        <w:t>注</w:t>
      </w:r>
      <w:r>
        <w:t>4</w:t>
      </w:r>
      <w:r>
        <w:rPr>
          <w:rFonts w:hint="eastAsia"/>
        </w:rPr>
        <w:t>：上述准则差异同时带来税务及少数股东权益的影响差异。</w:t>
      </w:r>
    </w:p>
    <w:p>
      <w:pPr>
        <w:pStyle w:val="afffffffffffffffffffffffffffffffff1"/>
        <w:numPr>
          <w:ilvl w:val="0"/>
          <w:numId w:val="154"/>
        </w:numPr>
      </w:pPr>
      <w:r>
        <w:rPr>
          <w:rFonts w:hint="eastAsia"/>
        </w:rPr>
        <w:t>同时按照境外会计准则与按中国会计准则披露的财务报告中净利润和净资产差异情况</w:t>
      </w:r>
    </w:p>
    <w:sdt>
      <w:sdtPr>
        <w:rPr>
          <w:szCs w:val="21"/>
        </w:rPr>
        <w:alias w:val="是否适用：同时按照境外会计准则与按中国会计准则披露的财务报告中净利润和净资产差异情况[双击切换]"/>
        <w:tag w:val="_GBC_843a3e6ff7b04c838cebdbe1b6b920a2"/>
        <w:id w:val="-339007781"/>
        <w:placeholder>
          <w:docPart w:val="GBC22222222222222222222222222222"/>
        </w:placeholder>
      </w:sdtPr>
      <w:sdtContent>
        <w:p>
          <w:pPr>
            <w:tabs>
              <w:tab w:val="left" w:pos="9720"/>
            </w:tabs>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9720"/>
        </w:tabs>
        <w:rPr>
          <w:szCs w:val="21"/>
        </w:rPr>
      </w:pPr>
    </w:p>
    <w:p>
      <w:pPr>
        <w:pStyle w:val="afffffffffffffffffffffffffffffffff1"/>
        <w:numPr>
          <w:ilvl w:val="0"/>
          <w:numId w:val="154"/>
        </w:numPr>
        <w:ind w:left="0" w:firstLine="0"/>
      </w:pPr>
      <w:r>
        <w:rPr>
          <w:rFonts w:hint="eastAsia"/>
        </w:rPr>
        <w:t>境内外会计准则下会计数据差异说明，对已经境外审计机构审计的数据进行差异调节的，应注明该境外机构的名称</w:t>
      </w:r>
    </w:p>
    <w:sdt>
      <w:sdtPr>
        <w:rPr>
          <w:rFonts w:hint="eastAsia"/>
          <w:szCs w:val="21"/>
        </w:rPr>
        <w:alias w:val="是否适用：境内外会计准则下会计数据差异说明[双击切换]"/>
        <w:tag w:val="_GBC_a497ab3028c94c17bbc010bcee842739"/>
        <w:id w:val="-205565016"/>
        <w:placeholder>
          <w:docPart w:val="GBC22222222222222222222222222222"/>
        </w:placeholder>
      </w:sdtPr>
      <w:sdtContent>
        <w:p>
          <w:pPr>
            <w:rPr>
              <w:rFonts w:cstheme="minorBidi"/>
              <w:kern w:val="2"/>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pStyle w:val="afffffffffffffffffffffffffffffffff0"/>
        <w:numPr>
          <w:ilvl w:val="0"/>
          <w:numId w:val="195"/>
        </w:numPr>
        <w:rPr>
          <w:szCs w:val="21"/>
        </w:rPr>
      </w:pPr>
      <w:r>
        <w:rPr>
          <w:rFonts w:hint="eastAsia"/>
          <w:szCs w:val="21"/>
        </w:rPr>
        <w:lastRenderedPageBreak/>
        <w:t>其他</w:t>
      </w:r>
    </w:p>
    <w:sdt>
      <w:sdtPr>
        <w:rPr>
          <w:rFonts w:hint="eastAsia"/>
          <w:szCs w:val="21"/>
        </w:rPr>
        <w:alias w:val="是否适用：补充资料其他说明事项[双击切换]"/>
        <w:tag w:val="_GBC_96c49cb17ab64891ac1d396be649be3c"/>
        <w:id w:val="-1573502706"/>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p>
      <w:pPr>
        <w:spacing w:line="360" w:lineRule="exact"/>
        <w:ind w:right="5"/>
        <w:rPr>
          <w:b/>
          <w:bCs/>
          <w:sz w:val="24"/>
        </w:rPr>
      </w:pPr>
      <w:bookmarkStart w:id="559" w:name="_Hlk90043452"/>
      <w:bookmarkStart w:id="560" w:name="_Hlk89951888"/>
    </w:p>
    <w:p>
      <w:pPr>
        <w:wordWrap w:val="0"/>
        <w:spacing w:line="360" w:lineRule="exact"/>
        <w:jc w:val="right"/>
        <w:rPr>
          <w:u w:val="single"/>
        </w:rPr>
      </w:pPr>
      <w:r>
        <w:t>董事长：</w:t>
      </w:r>
      <w:sdt>
        <w:sdtPr>
          <w:alias w:val="报告发布人"/>
          <w:tag w:val="_GBC_728ad6dff57942a69e22fcccc1f10a3c"/>
          <w:id w:val="-435600567"/>
          <w:placeholder>
            <w:docPart w:val="GBC22222222222222222222222222222"/>
          </w:placeholder>
        </w:sdtPr>
        <w:sdtContent>
          <w:r>
            <w:rPr>
              <w:rFonts w:hint="eastAsia"/>
            </w:rPr>
            <w:t>李伟</w:t>
          </w:r>
        </w:sdtContent>
      </w:sdt>
      <w:r>
        <w:rPr>
          <w:rFonts w:hint="eastAsia"/>
        </w:rPr>
        <w:t xml:space="preserve"> </w:t>
      </w:r>
    </w:p>
    <w:p>
      <w:pPr>
        <w:spacing w:line="360" w:lineRule="exact"/>
        <w:jc w:val="right"/>
      </w:pPr>
      <w:r>
        <w:t>董事会批准报送日期：</w:t>
      </w:r>
      <w:sdt>
        <w:sdtPr>
          <w:alias w:val="报告董事会批准报送日期"/>
          <w:tag w:val="_GBC_7b8c4a7926dc47299591537f5943936d"/>
          <w:id w:val="-1608269461"/>
          <w:placeholder>
            <w:docPart w:val="GBC22222222222222222222222222222"/>
          </w:placeholder>
          <w:date w:fullDate="2025-03-28T00:00:00Z">
            <w:dateFormat w:val="yyyy'年'M'月'd'日'"/>
            <w:lid w:val="zh-CN"/>
            <w:storeMappedDataAs w:val="dateTime"/>
            <w:calendar w:val="gregorian"/>
          </w:date>
        </w:sdtPr>
        <w:sdtContent>
          <w:r>
            <w:rPr>
              <w:rFonts w:hint="eastAsia"/>
            </w:rPr>
            <w:t>2025年3月28日</w:t>
          </w:r>
        </w:sdtContent>
      </w:sdt>
      <w:r>
        <w:rPr>
          <w:rFonts w:hint="eastAsia"/>
        </w:rPr>
        <w:t xml:space="preserve"> </w:t>
      </w:r>
    </w:p>
    <w:bookmarkEnd w:id="559"/>
    <w:bookmarkEnd w:id="560"/>
    <w:p>
      <w:pPr>
        <w:spacing w:line="360" w:lineRule="exact"/>
        <w:ind w:right="5"/>
      </w:pPr>
    </w:p>
    <w:p>
      <w:pPr>
        <w:spacing w:line="360" w:lineRule="exact"/>
        <w:ind w:right="5"/>
        <w:rPr>
          <w:b/>
          <w:sz w:val="24"/>
        </w:rPr>
      </w:pPr>
      <w:r>
        <w:rPr>
          <w:b/>
          <w:sz w:val="24"/>
        </w:rPr>
        <w:t>修订信息</w:t>
      </w:r>
    </w:p>
    <w:sdt>
      <w:sdtPr>
        <w:alias w:val="是否适用：修订信息表[双击切换]"/>
        <w:tag w:val="_GBC_888e757d42a24d3a87b71f50b0589b0a"/>
        <w:id w:val="-1899588152"/>
        <w:placeholder>
          <w:docPart w:val="GBC22222222222222222222222222222"/>
        </w:placeholder>
      </w:sdtPr>
      <w:sdtContent>
        <w:p>
          <w:pPr>
            <w:pStyle w:val="affffffffffffffffffffffffffffffffe"/>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ectPr>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pPr>
        <w:pStyle w:val="affffffd"/>
      </w:pPr>
      <w:r>
        <w:separator/>
      </w:r>
    </w:p>
  </w:endnote>
  <w:endnote w:type="continuationSeparator" w:id="0">
    <w:p>
      <w:pPr>
        <w:pStyle w:val="affffffd"/>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FZLTSK--GBK1-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MHei-Light-Identity-H">
    <w:altName w:val="MingLiU-ExtB"/>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fffff"/>
      <w:jc w:val="center"/>
    </w:pPr>
    <w:r>
      <w:rPr>
        <w:b/>
        <w:bCs/>
        <w:sz w:val="24"/>
        <w:szCs w:val="24"/>
      </w:rPr>
      <w:fldChar w:fldCharType="begin"/>
    </w:r>
    <w:r>
      <w:rPr>
        <w:b/>
        <w:bCs/>
      </w:rPr>
      <w:instrText>PAGE</w:instrText>
    </w:r>
    <w:r>
      <w:rPr>
        <w:b/>
        <w:bCs/>
        <w:sz w:val="24"/>
        <w:szCs w:val="24"/>
      </w:rPr>
      <w:fldChar w:fldCharType="separate"/>
    </w:r>
    <w:r>
      <w:rPr>
        <w:b/>
        <w:bCs/>
        <w:noProof/>
      </w:rPr>
      <w:t>107</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160</w:t>
    </w:r>
    <w:r>
      <w:rPr>
        <w:b/>
        <w:bCs/>
        <w:sz w:val="24"/>
        <w:szCs w:val="24"/>
      </w:rPr>
      <w:fldChar w:fldCharType="end"/>
    </w:r>
  </w:p>
  <w:p>
    <w:pPr>
      <w:pStyle w:val="affff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pStyle w:val="affffffd"/>
      </w:pPr>
      <w:r>
        <w:separator/>
      </w:r>
    </w:p>
  </w:footnote>
  <w:footnote w:type="continuationSeparator" w:id="0">
    <w:p>
      <w:pPr>
        <w:pStyle w:val="affffffd"/>
      </w:pPr>
      <w:r>
        <w:continuationSeparator/>
      </w:r>
    </w:p>
  </w:footnote>
</w:footnot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
            <w:rPr>
              <w:rStyle w:val="a3"/>
              <w:rFonts w:hint="eastAsia"/>
              <w:color w:val="333399"/>
              <w:u w:val="single"/>
            </w:rPr>
            <w:t xml:space="preserve">　　　</w:t>
          </w:r>
        </w:p>
      </w:docPartBody>
    </w:docPart>
    <w:docPart>
      <w:docPartPr>
        <w:name w:val="2F26C5A6DFD64358AB9C67B240153A1A"/>
        <w:category>
          <w:name w:val="常规"/>
          <w:gallery w:val="placeholder"/>
        </w:category>
        <w:types>
          <w:type w:val="bbPlcHdr"/>
        </w:types>
        <w:behaviors>
          <w:behavior w:val="content"/>
        </w:behaviors>
        <w:guid w:val="{8CF11A04-54D7-45B0-B8EF-668FA8D0F448}"/>
      </w:docPartPr>
      <w:docPartBody>
        <w:p>
          <w:pPr>
            <w:pStyle w:val="2F26C5A6DFD64358AB9C67B240153A1A"/>
          </w:pPr>
          <w:r>
            <w:rPr>
              <w:rStyle w:val="a3"/>
              <w:rFonts w:hint="eastAsia"/>
            </w:rPr>
            <w:t xml:space="preserve">　</w:t>
          </w:r>
        </w:p>
      </w:docPartBody>
    </w:docPart>
    <w:docPart>
      <w:docPartPr>
        <w:name w:val="8DF9EFA013024CA792185DB4AA0C875F"/>
        <w:category>
          <w:name w:val="常规"/>
          <w:gallery w:val="placeholder"/>
        </w:category>
        <w:types>
          <w:type w:val="bbPlcHdr"/>
        </w:types>
        <w:behaviors>
          <w:behavior w:val="content"/>
        </w:behaviors>
        <w:guid w:val="{A9457136-4A59-42D4-86C9-CCB8D7A54905}"/>
      </w:docPartPr>
      <w:docPartBody>
        <w:p>
          <w:pPr>
            <w:pStyle w:val="8DF9EFA013024CA792185DB4AA0C875F"/>
          </w:pPr>
          <w:r>
            <w:rPr>
              <w:rStyle w:val="a3"/>
              <w:rFonts w:hint="eastAsia"/>
              <w:color w:val="333399"/>
              <w:u w:val="single"/>
            </w:rPr>
            <w:t xml:space="preserve">　　　</w:t>
          </w:r>
        </w:p>
      </w:docPartBody>
    </w:docPart>
    <w:docPart>
      <w:docPartPr>
        <w:name w:val="FC0AA1DAB95F4571BDCF6C952573F579"/>
        <w:category>
          <w:name w:val="常规"/>
          <w:gallery w:val="placeholder"/>
        </w:category>
        <w:types>
          <w:type w:val="bbPlcHdr"/>
        </w:types>
        <w:behaviors>
          <w:behavior w:val="content"/>
        </w:behaviors>
        <w:guid w:val="{7632676B-9548-4C18-B9A3-EE5290EF6666}"/>
      </w:docPartPr>
      <w:docPartBody>
        <w:p>
          <w:pPr>
            <w:pStyle w:val="FC0AA1DAB95F4571BDCF6C952573F579"/>
          </w:pPr>
          <w:r>
            <w:rPr>
              <w:rStyle w:val="a3"/>
              <w:rFonts w:hint="eastAsia"/>
              <w:color w:val="333399"/>
              <w:u w:val="single"/>
            </w:rPr>
            <w:t xml:space="preserve">　　　</w:t>
          </w:r>
        </w:p>
      </w:docPartBody>
    </w:docPart>
    <w:docPart>
      <w:docPartPr>
        <w:name w:val="486774EE9B3640778E71078DD74A3980"/>
        <w:category>
          <w:name w:val="常规"/>
          <w:gallery w:val="placeholder"/>
        </w:category>
        <w:types>
          <w:type w:val="bbPlcHdr"/>
        </w:types>
        <w:behaviors>
          <w:behavior w:val="content"/>
        </w:behaviors>
        <w:guid w:val="{C6B09263-370A-47FB-BA9B-2944FFDD50CE}"/>
      </w:docPartPr>
      <w:docPartBody>
        <w:p/>
      </w:docPartBody>
    </w:docPart>
    <w:docPart>
      <w:docPartPr>
        <w:name w:val="8BAB6B8AF07542BDBE35C7826D63E8C8"/>
        <w:category>
          <w:name w:val="常规"/>
          <w:gallery w:val="placeholder"/>
        </w:category>
        <w:types>
          <w:type w:val="bbPlcHdr"/>
        </w:types>
        <w:behaviors>
          <w:behavior w:val="content"/>
        </w:behaviors>
        <w:guid w:val="{6B5CC420-D7B4-4C13-8187-98B71C049046}"/>
      </w:docPartPr>
      <w:docPartBody>
        <w:p>
          <w:pPr>
            <w:pStyle w:val="8BAB6B8AF07542BDBE35C7826D63E8C8"/>
          </w:pPr>
          <w:r>
            <w:rPr>
              <w:rStyle w:val="a3"/>
              <w:rFonts w:hint="eastAsia"/>
            </w:rPr>
            <w:t xml:space="preserve">　</w:t>
          </w:r>
        </w:p>
      </w:docPartBody>
    </w:docPart>
    <w:docPart>
      <w:docPartPr>
        <w:name w:val="BBC9C2D7143046AA8631B675D582448B"/>
        <w:category>
          <w:name w:val="常规"/>
          <w:gallery w:val="placeholder"/>
        </w:category>
        <w:types>
          <w:type w:val="bbPlcHdr"/>
        </w:types>
        <w:behaviors>
          <w:behavior w:val="content"/>
        </w:behaviors>
        <w:guid w:val="{2E9817EA-03D4-4223-A783-9319DF6BE5E9}"/>
      </w:docPartPr>
      <w:docPartBody>
        <w:p>
          <w:pPr>
            <w:pStyle w:val="BBC9C2D7143046AA8631B675D582448B"/>
          </w:pPr>
          <w:r>
            <w:rPr>
              <w:rStyle w:val="a3"/>
              <w:rFonts w:hint="eastAsia"/>
              <w:color w:val="333399"/>
              <w:u w:val="single"/>
            </w:rPr>
            <w:t xml:space="preserve">　　　</w:t>
          </w:r>
        </w:p>
      </w:docPartBody>
    </w:docPart>
    <w:docPart>
      <w:docPartPr>
        <w:name w:val="F050C2D7B0F64B23B47C45B0C8A576F5"/>
        <w:category>
          <w:name w:val="常规"/>
          <w:gallery w:val="placeholder"/>
        </w:category>
        <w:types>
          <w:type w:val="bbPlcHdr"/>
        </w:types>
        <w:behaviors>
          <w:behavior w:val="content"/>
        </w:behaviors>
        <w:guid w:val="{B2783F96-2DD4-4276-B20F-FEC0ED141070}"/>
      </w:docPartPr>
      <w:docPartBody>
        <w:p>
          <w:pPr>
            <w:pStyle w:val="F050C2D7B0F64B23B47C45B0C8A576F5"/>
          </w:pPr>
          <w:r>
            <w:rPr>
              <w:rStyle w:val="a3"/>
              <w:rFonts w:hint="eastAsia"/>
            </w:rPr>
            <w:t xml:space="preserve">　</w:t>
          </w:r>
        </w:p>
      </w:docPartBody>
    </w:docPart>
    <w:docPart>
      <w:docPartPr>
        <w:name w:val="928F7BCFF8204A478D5E269CEA0C4F17"/>
        <w:category>
          <w:name w:val="常规"/>
          <w:gallery w:val="placeholder"/>
        </w:category>
        <w:types>
          <w:type w:val="bbPlcHdr"/>
        </w:types>
        <w:behaviors>
          <w:behavior w:val="content"/>
        </w:behaviors>
        <w:guid w:val="{1698A8BE-F7F7-4F5F-8609-4CEECAF37073}"/>
      </w:docPartPr>
      <w:docPartBody>
        <w:p>
          <w:pPr>
            <w:pStyle w:val="928F7BCFF8204A478D5E269CEA0C4F17"/>
          </w:pPr>
          <w:r>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CJK JP Regular">
    <w:altName w:val="宋体"/>
    <w:panose1 w:val="00000000000000000000"/>
    <w:charset w:val="86"/>
    <w:family w:val="swiss"/>
    <w:notTrueType/>
    <w:pitch w:val="variable"/>
    <w:sig w:usb0="30000207" w:usb1="2BDF3C10" w:usb2="00000016" w:usb3="00000000" w:csb0="002E0107" w:csb1="00000000"/>
  </w:font>
  <w:font w:name="Arial Unicode MS">
    <w:panose1 w:val="020B0604020202020204"/>
    <w:charset w:val="86"/>
    <w:family w:val="swiss"/>
    <w:pitch w:val="variable"/>
    <w:sig w:usb0="F7FFAFFF" w:usb1="E9DFFFFF" w:usb2="0000003F" w:usb3="00000000" w:csb0="003F01FF" w:csb1="00000000"/>
  </w:font>
  <w:font w:name="Helvetica-Narrow">
    <w:altName w:val="Arial Narrow"/>
    <w:charset w:val="00"/>
    <w:family w:val="swiss"/>
    <w:pitch w:val="default"/>
    <w:sig w:usb0="00000003" w:usb1="00000000" w:usb2="00000000" w:usb3="00000000" w:csb0="00000001" w:csb1="00000000"/>
  </w:font>
  <w:font w:name="FZLTSK--GBK1-0">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MHei-Light-Identity-H">
    <w:altName w:val="MingLiU-ExtB"/>
    <w:panose1 w:val="00000000000000000000"/>
    <w:charset w:val="00"/>
    <w:family w:val="roman"/>
    <w:notTrueType/>
    <w:pitch w:val="default"/>
  </w:font>
  <w:font w:name="宋体-方正超大字符集">
    <w:altName w:val="宋体"/>
    <w:charset w:val="86"/>
    <w:family w:val="script"/>
    <w:pitch w:val="fixed"/>
    <w:sig w:usb0="00000001"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仿宋_GB2312">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revisionView w:markup="0" w:comments="0" w:insDel="0" w:formatting="0"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Pr>
      <w:color w:val="808080"/>
    </w:rPr>
  </w:style>
  <w:style w:type="paragraph" w:customStyle="1" w:styleId="2F26C5A6DFD64358AB9C67B240153A1A">
    <w:name w:val="2F26C5A6DFD64358AB9C67B240153A1A"/>
    <w:pPr>
      <w:widowControl w:val="0"/>
      <w:jc w:val="both"/>
    </w:pPr>
  </w:style>
  <w:style w:type="paragraph" w:customStyle="1" w:styleId="8DF9EFA013024CA792185DB4AA0C875F">
    <w:name w:val="8DF9EFA013024CA792185DB4AA0C875F"/>
    <w:pPr>
      <w:widowControl w:val="0"/>
      <w:jc w:val="both"/>
    </w:pPr>
  </w:style>
  <w:style w:type="paragraph" w:customStyle="1" w:styleId="FC0AA1DAB95F4571BDCF6C952573F579">
    <w:name w:val="FC0AA1DAB95F4571BDCF6C952573F579"/>
    <w:pPr>
      <w:widowControl w:val="0"/>
      <w:jc w:val="both"/>
    </w:pPr>
  </w:style>
  <w:style w:type="paragraph" w:customStyle="1" w:styleId="8BAB6B8AF07542BDBE35C7826D63E8C8">
    <w:name w:val="8BAB6B8AF07542BDBE35C7826D63E8C8"/>
    <w:pPr>
      <w:widowControl w:val="0"/>
      <w:jc w:val="both"/>
    </w:pPr>
  </w:style>
  <w:style w:type="paragraph" w:customStyle="1" w:styleId="BBC9C2D7143046AA8631B675D582448B">
    <w:name w:val="BBC9C2D7143046AA8631B675D582448B"/>
    <w:pPr>
      <w:widowControl w:val="0"/>
      <w:spacing w:after="160" w:line="278" w:lineRule="auto"/>
    </w:pPr>
    <w:rPr>
      <w:sz w:val="22"/>
      <w:szCs w:val="24"/>
      <w14:ligatures w14:val="standardContextual"/>
    </w:rPr>
  </w:style>
  <w:style w:type="paragraph" w:customStyle="1" w:styleId="F050C2D7B0F64B23B47C45B0C8A576F5">
    <w:name w:val="F050C2D7B0F64B23B47C45B0C8A576F5"/>
    <w:pPr>
      <w:widowControl w:val="0"/>
      <w:jc w:val="both"/>
    </w:pPr>
  </w:style>
  <w:style w:type="paragraph" w:customStyle="1" w:styleId="928F7BCFF8204A478D5E269CEA0C4F17">
    <w:name w:val="928F7BCFF8204A478D5E269CEA0C4F17"/>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afffffd"/>
      <w:tabs>
        <w:tab w:val="clear" w:pos="8306"/>
        <w:tab w:val="left" w:pos="8364"/>
        <w:tab w:val="left" w:pos="8505"/>
      </w:tabs>
      <w:ind w:rightChars="10" w:right="21"/>
      <w:rPr>
        <w:rFonts w:ascii="宋体" w:hAnsi="宋体"/>
        <w:b/>
      </w:rPr>
    </w:pPr>
    <w:sdt>
      <w:sdtPr>
        <w:rPr>
          <w:rFonts w:ascii="宋体" w:hAnsi="宋体"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Content>
        <w:r>
          <w:rPr>
            <w:rFonts w:ascii="宋体" w:hAnsi="宋体" w:hint="eastAsia"/>
          </w:rPr>
          <w:t>兖矿能源集团股份有限公司</w:t>
        </w:r>
      </w:sdtContent>
    </w:sdt>
    <w:r>
      <w:rPr>
        <w:rFonts w:ascii="宋体" w:hAnsi="宋体" w:hint="eastAsia"/>
      </w:rPr>
      <w:t>2024年年度报告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C94"/>
    <w:multiLevelType w:val="multilevel"/>
    <w:tmpl w:val="34A31B81"/>
    <w:lvl w:ilvl="0">
      <w:start w:val="1"/>
      <w:numFmt w:val="chineseCountingThousand"/>
      <w:pStyle w:val="a"/>
      <w:suff w:val="nothing"/>
      <w:lvlText w:val="%1、"/>
      <w:lvlJc w:val="left"/>
      <w:pPr>
        <w:ind w:left="420" w:firstLine="0"/>
      </w:pPr>
      <w:rPr>
        <w:rFonts w:ascii="黑体" w:eastAsia="黑体" w:hint="eastAsia"/>
        <w:b/>
        <w:sz w:val="24"/>
      </w:rPr>
    </w:lvl>
    <w:lvl w:ilvl="1">
      <w:start w:val="1"/>
      <w:numFmt w:val="chineseCountingThousand"/>
      <w:pStyle w:val="a0"/>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426" w:firstLine="0"/>
      </w:pPr>
      <w:rPr>
        <w:rFonts w:ascii="宋体" w:eastAsia="宋体" w:hint="eastAsia"/>
        <w:b w:val="0"/>
        <w:i w:val="0"/>
        <w:iCs/>
        <w:color w:val="auto"/>
        <w:sz w:val="21"/>
      </w:rPr>
    </w:lvl>
    <w:lvl w:ilvl="3">
      <w:start w:val="1"/>
      <w:numFmt w:val="decimal"/>
      <w:pStyle w:val="a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 w15:restartNumberingAfterBreak="0">
    <w:nsid w:val="01066E22"/>
    <w:multiLevelType w:val="multilevel"/>
    <w:tmpl w:val="03EE2D7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 w15:restartNumberingAfterBreak="0">
    <w:nsid w:val="01472606"/>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26E5CF8"/>
    <w:multiLevelType w:val="multilevel"/>
    <w:tmpl w:val="457C178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B86DB7"/>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41F464C"/>
    <w:multiLevelType w:val="hybridMultilevel"/>
    <w:tmpl w:val="91FC1C08"/>
    <w:lvl w:ilvl="0" w:tplc="A072D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8A600282">
      <w:start w:val="1"/>
      <w:numFmt w:val="decimal"/>
      <w:suff w:val="space"/>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4665D86"/>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04753050"/>
    <w:multiLevelType w:val="multilevel"/>
    <w:tmpl w:val="34A31B81"/>
    <w:lvl w:ilvl="0">
      <w:start w:val="1"/>
      <w:numFmt w:val="chineseCountingThousand"/>
      <w:pStyle w:val="a2"/>
      <w:suff w:val="nothing"/>
      <w:lvlText w:val="%1、"/>
      <w:lvlJc w:val="left"/>
      <w:pPr>
        <w:ind w:left="420" w:firstLine="0"/>
      </w:pPr>
      <w:rPr>
        <w:rFonts w:ascii="黑体" w:eastAsia="黑体" w:hint="eastAsia"/>
        <w:b/>
        <w:sz w:val="24"/>
      </w:rPr>
    </w:lvl>
    <w:lvl w:ilvl="1">
      <w:start w:val="1"/>
      <w:numFmt w:val="chineseCountingThousand"/>
      <w:pStyle w:val="a3"/>
      <w:suff w:val="nothing"/>
      <w:lvlText w:val="（%2）"/>
      <w:lvlJc w:val="left"/>
      <w:pPr>
        <w:ind w:left="426" w:firstLine="0"/>
      </w:pPr>
      <w:rPr>
        <w:rFonts w:ascii="宋体" w:eastAsia="宋体" w:hint="eastAsia"/>
        <w:b w:val="0"/>
        <w:sz w:val="21"/>
        <w:lang w:val="en-US"/>
      </w:rPr>
    </w:lvl>
    <w:lvl w:ilvl="2">
      <w:start w:val="1"/>
      <w:numFmt w:val="decimal"/>
      <w:pStyle w:val="a4"/>
      <w:suff w:val="nothing"/>
      <w:lvlText w:val="%3."/>
      <w:lvlJc w:val="left"/>
      <w:pPr>
        <w:ind w:left="0" w:firstLine="0"/>
      </w:pPr>
      <w:rPr>
        <w:rFonts w:ascii="宋体" w:eastAsia="宋体" w:hint="eastAsia"/>
        <w:b w:val="0"/>
        <w:i w:val="0"/>
        <w:iCs/>
        <w:color w:val="auto"/>
        <w:sz w:val="21"/>
      </w:rPr>
    </w:lvl>
    <w:lvl w:ilvl="3">
      <w:start w:val="1"/>
      <w:numFmt w:val="decimal"/>
      <w:pStyle w:val="a5"/>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8" w15:restartNumberingAfterBreak="0">
    <w:nsid w:val="047A74C4"/>
    <w:multiLevelType w:val="multilevel"/>
    <w:tmpl w:val="ECD43B4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 w15:restartNumberingAfterBreak="0">
    <w:nsid w:val="052206D4"/>
    <w:multiLevelType w:val="multilevel"/>
    <w:tmpl w:val="6778030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05D4330A"/>
    <w:multiLevelType w:val="multilevel"/>
    <w:tmpl w:val="17184312"/>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06400091"/>
    <w:multiLevelType w:val="multilevel"/>
    <w:tmpl w:val="34A31B81"/>
    <w:lvl w:ilvl="0">
      <w:start w:val="1"/>
      <w:numFmt w:val="chineseCountingThousand"/>
      <w:pStyle w:val="a6"/>
      <w:suff w:val="nothing"/>
      <w:lvlText w:val="%1、"/>
      <w:lvlJc w:val="left"/>
      <w:pPr>
        <w:ind w:left="420" w:firstLine="0"/>
      </w:pPr>
      <w:rPr>
        <w:rFonts w:ascii="黑体" w:eastAsia="黑体" w:hint="eastAsia"/>
        <w:b/>
        <w:sz w:val="24"/>
      </w:rPr>
    </w:lvl>
    <w:lvl w:ilvl="1">
      <w:start w:val="1"/>
      <w:numFmt w:val="chineseCountingThousand"/>
      <w:pStyle w:val="a7"/>
      <w:suff w:val="nothing"/>
      <w:lvlText w:val="（%2）"/>
      <w:lvlJc w:val="left"/>
      <w:pPr>
        <w:ind w:left="426" w:firstLine="0"/>
      </w:pPr>
      <w:rPr>
        <w:rFonts w:ascii="宋体" w:eastAsia="宋体" w:hint="eastAsia"/>
        <w:b w:val="0"/>
        <w:sz w:val="21"/>
        <w:lang w:val="en-US"/>
      </w:rPr>
    </w:lvl>
    <w:lvl w:ilvl="2">
      <w:start w:val="1"/>
      <w:numFmt w:val="decimal"/>
      <w:pStyle w:val="a8"/>
      <w:suff w:val="nothing"/>
      <w:lvlText w:val="%3."/>
      <w:lvlJc w:val="left"/>
      <w:pPr>
        <w:ind w:left="0" w:firstLine="0"/>
      </w:pPr>
      <w:rPr>
        <w:rFonts w:ascii="宋体" w:eastAsia="宋体" w:hint="eastAsia"/>
        <w:b w:val="0"/>
        <w:i w:val="0"/>
        <w:iCs/>
        <w:color w:val="auto"/>
        <w:sz w:val="21"/>
      </w:rPr>
    </w:lvl>
    <w:lvl w:ilvl="3">
      <w:start w:val="1"/>
      <w:numFmt w:val="decimal"/>
      <w:pStyle w:val="a9"/>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2" w15:restartNumberingAfterBreak="0">
    <w:nsid w:val="066209DA"/>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6A76411"/>
    <w:multiLevelType w:val="hybridMultilevel"/>
    <w:tmpl w:val="21401E38"/>
    <w:lvl w:ilvl="0" w:tplc="C0C03F26">
      <w:start w:val="1"/>
      <w:numFmt w:val="decimal"/>
      <w:suff w:val="nothing"/>
      <w:lvlText w:val="(%1)."/>
      <w:lvlJc w:val="left"/>
      <w:pPr>
        <w:ind w:left="0" w:firstLine="0"/>
      </w:pPr>
      <w:rPr>
        <w:rFonts w:asciiTheme="minorEastAsia" w:eastAsia="宋体"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4" w15:restartNumberingAfterBreak="0">
    <w:nsid w:val="07EB0221"/>
    <w:multiLevelType w:val="hybridMultilevel"/>
    <w:tmpl w:val="F7FE559A"/>
    <w:lvl w:ilvl="0" w:tplc="66AA0CF2">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08D2125E"/>
    <w:multiLevelType w:val="multilevel"/>
    <w:tmpl w:val="34A31B81"/>
    <w:lvl w:ilvl="0">
      <w:start w:val="1"/>
      <w:numFmt w:val="chineseCountingThousand"/>
      <w:pStyle w:val="aa"/>
      <w:suff w:val="nothing"/>
      <w:lvlText w:val="%1、"/>
      <w:lvlJc w:val="left"/>
      <w:pPr>
        <w:ind w:left="420" w:firstLine="0"/>
      </w:pPr>
      <w:rPr>
        <w:rFonts w:ascii="黑体" w:eastAsia="黑体" w:hint="eastAsia"/>
        <w:b/>
        <w:sz w:val="24"/>
      </w:rPr>
    </w:lvl>
    <w:lvl w:ilvl="1">
      <w:start w:val="1"/>
      <w:numFmt w:val="chineseCountingThousand"/>
      <w:pStyle w:val="ab"/>
      <w:suff w:val="nothing"/>
      <w:lvlText w:val="（%2）"/>
      <w:lvlJc w:val="left"/>
      <w:pPr>
        <w:ind w:left="426" w:firstLine="0"/>
      </w:pPr>
      <w:rPr>
        <w:rFonts w:ascii="宋体" w:eastAsia="宋体" w:hint="eastAsia"/>
        <w:b w:val="0"/>
        <w:sz w:val="21"/>
        <w:lang w:val="en-US"/>
      </w:rPr>
    </w:lvl>
    <w:lvl w:ilvl="2">
      <w:start w:val="1"/>
      <w:numFmt w:val="decimal"/>
      <w:pStyle w:val="ac"/>
      <w:suff w:val="nothing"/>
      <w:lvlText w:val="%3."/>
      <w:lvlJc w:val="left"/>
      <w:pPr>
        <w:ind w:left="0" w:firstLine="0"/>
      </w:pPr>
      <w:rPr>
        <w:rFonts w:ascii="宋体" w:eastAsia="宋体" w:hint="eastAsia"/>
        <w:b w:val="0"/>
        <w:i w:val="0"/>
        <w:iCs/>
        <w:color w:val="auto"/>
        <w:sz w:val="21"/>
      </w:rPr>
    </w:lvl>
    <w:lvl w:ilvl="3">
      <w:start w:val="1"/>
      <w:numFmt w:val="decimal"/>
      <w:pStyle w:val="ad"/>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6" w15:restartNumberingAfterBreak="0">
    <w:nsid w:val="09D44BFA"/>
    <w:multiLevelType w:val="multilevel"/>
    <w:tmpl w:val="34A31B81"/>
    <w:lvl w:ilvl="0">
      <w:start w:val="1"/>
      <w:numFmt w:val="chineseCountingThousand"/>
      <w:pStyle w:val="ae"/>
      <w:suff w:val="nothing"/>
      <w:lvlText w:val="%1、"/>
      <w:lvlJc w:val="left"/>
      <w:pPr>
        <w:ind w:left="420" w:firstLine="0"/>
      </w:pPr>
      <w:rPr>
        <w:rFonts w:ascii="黑体" w:eastAsia="黑体" w:hint="eastAsia"/>
        <w:b/>
        <w:sz w:val="24"/>
      </w:rPr>
    </w:lvl>
    <w:lvl w:ilvl="1">
      <w:start w:val="1"/>
      <w:numFmt w:val="chineseCountingThousand"/>
      <w:pStyle w:val="af"/>
      <w:suff w:val="nothing"/>
      <w:lvlText w:val="（%2）"/>
      <w:lvlJc w:val="left"/>
      <w:pPr>
        <w:ind w:left="426" w:firstLine="0"/>
      </w:pPr>
      <w:rPr>
        <w:rFonts w:ascii="宋体" w:eastAsia="宋体" w:hint="eastAsia"/>
        <w:b w:val="0"/>
        <w:sz w:val="21"/>
        <w:lang w:val="en-US"/>
      </w:rPr>
    </w:lvl>
    <w:lvl w:ilvl="2">
      <w:start w:val="1"/>
      <w:numFmt w:val="decimal"/>
      <w:pStyle w:val="af0"/>
      <w:suff w:val="nothing"/>
      <w:lvlText w:val="%3."/>
      <w:lvlJc w:val="left"/>
      <w:pPr>
        <w:ind w:left="0" w:firstLine="0"/>
      </w:pPr>
      <w:rPr>
        <w:rFonts w:ascii="宋体" w:eastAsia="宋体" w:hint="eastAsia"/>
        <w:b w:val="0"/>
        <w:i w:val="0"/>
        <w:iCs/>
        <w:color w:val="auto"/>
        <w:sz w:val="21"/>
      </w:rPr>
    </w:lvl>
    <w:lvl w:ilvl="3">
      <w:start w:val="1"/>
      <w:numFmt w:val="decimal"/>
      <w:pStyle w:val="af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7" w15:restartNumberingAfterBreak="0">
    <w:nsid w:val="09E70AB9"/>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8" w15:restartNumberingAfterBreak="0">
    <w:nsid w:val="0A4C3B12"/>
    <w:multiLevelType w:val="multilevel"/>
    <w:tmpl w:val="A356872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space"/>
      <w:lvlText w:val="%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0AAA4E1B"/>
    <w:multiLevelType w:val="multilevel"/>
    <w:tmpl w:val="1FD019D7"/>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0" w15:restartNumberingAfterBreak="0">
    <w:nsid w:val="0B6F4995"/>
    <w:multiLevelType w:val="hybridMultilevel"/>
    <w:tmpl w:val="BD32CB6E"/>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C8A46E4"/>
    <w:multiLevelType w:val="multilevel"/>
    <w:tmpl w:val="3D78759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15:restartNumberingAfterBreak="0">
    <w:nsid w:val="0CC34D13"/>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D38477E"/>
    <w:multiLevelType w:val="multilevel"/>
    <w:tmpl w:val="130E7244"/>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0D775395"/>
    <w:multiLevelType w:val="multilevel"/>
    <w:tmpl w:val="1180CE1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5" w15:restartNumberingAfterBreak="0">
    <w:nsid w:val="0E783BE7"/>
    <w:multiLevelType w:val="hybridMultilevel"/>
    <w:tmpl w:val="E1E4AD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0F1A159B"/>
    <w:multiLevelType w:val="hybridMultilevel"/>
    <w:tmpl w:val="FAB221AA"/>
    <w:lvl w:ilvl="0" w:tplc="E9CCE58E">
      <w:start w:val="1"/>
      <w:numFmt w:val="decimal"/>
      <w:lvlText w:val="(%1)"/>
      <w:lvlJc w:val="left"/>
      <w:pPr>
        <w:ind w:left="0" w:firstLine="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107F0843"/>
    <w:multiLevelType w:val="multilevel"/>
    <w:tmpl w:val="34A31B81"/>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28" w15:restartNumberingAfterBreak="0">
    <w:nsid w:val="10A95388"/>
    <w:multiLevelType w:val="multilevel"/>
    <w:tmpl w:val="7A6140D4"/>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10F24209"/>
    <w:multiLevelType w:val="multilevel"/>
    <w:tmpl w:val="34A31B81"/>
    <w:lvl w:ilvl="0">
      <w:start w:val="1"/>
      <w:numFmt w:val="chineseCountingThousand"/>
      <w:pStyle w:val="af2"/>
      <w:suff w:val="nothing"/>
      <w:lvlText w:val="%1、"/>
      <w:lvlJc w:val="left"/>
      <w:pPr>
        <w:ind w:left="420" w:firstLine="0"/>
      </w:pPr>
      <w:rPr>
        <w:rFonts w:ascii="黑体" w:eastAsia="黑体" w:hint="eastAsia"/>
        <w:b/>
        <w:sz w:val="24"/>
      </w:rPr>
    </w:lvl>
    <w:lvl w:ilvl="1">
      <w:start w:val="1"/>
      <w:numFmt w:val="chineseCountingThousand"/>
      <w:pStyle w:val="af3"/>
      <w:suff w:val="nothing"/>
      <w:lvlText w:val="（%2）"/>
      <w:lvlJc w:val="left"/>
      <w:pPr>
        <w:ind w:left="426" w:firstLine="0"/>
      </w:pPr>
      <w:rPr>
        <w:rFonts w:ascii="宋体" w:eastAsia="宋体" w:hint="eastAsia"/>
        <w:b w:val="0"/>
        <w:sz w:val="21"/>
        <w:lang w:val="en-US"/>
      </w:rPr>
    </w:lvl>
    <w:lvl w:ilvl="2">
      <w:start w:val="1"/>
      <w:numFmt w:val="decimal"/>
      <w:pStyle w:val="af4"/>
      <w:suff w:val="nothing"/>
      <w:lvlText w:val="%3."/>
      <w:lvlJc w:val="left"/>
      <w:pPr>
        <w:ind w:left="0" w:firstLine="0"/>
      </w:pPr>
      <w:rPr>
        <w:rFonts w:ascii="宋体" w:eastAsia="宋体" w:hint="eastAsia"/>
        <w:b w:val="0"/>
        <w:i w:val="0"/>
        <w:iCs/>
        <w:color w:val="auto"/>
        <w:sz w:val="21"/>
      </w:rPr>
    </w:lvl>
    <w:lvl w:ilvl="3">
      <w:start w:val="1"/>
      <w:numFmt w:val="decimal"/>
      <w:pStyle w:val="af5"/>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30" w15:restartNumberingAfterBreak="0">
    <w:nsid w:val="116576FB"/>
    <w:multiLevelType w:val="multilevel"/>
    <w:tmpl w:val="E51AAFDE"/>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11BE5369"/>
    <w:multiLevelType w:val="multilevel"/>
    <w:tmpl w:val="34A31B81"/>
    <w:lvl w:ilvl="0">
      <w:start w:val="1"/>
      <w:numFmt w:val="chineseCountingThousand"/>
      <w:pStyle w:val="af6"/>
      <w:suff w:val="nothing"/>
      <w:lvlText w:val="%1、"/>
      <w:lvlJc w:val="left"/>
      <w:pPr>
        <w:ind w:left="420" w:firstLine="0"/>
      </w:pPr>
      <w:rPr>
        <w:rFonts w:ascii="黑体" w:eastAsia="黑体" w:hint="eastAsia"/>
        <w:b/>
        <w:sz w:val="24"/>
      </w:rPr>
    </w:lvl>
    <w:lvl w:ilvl="1">
      <w:start w:val="1"/>
      <w:numFmt w:val="chineseCountingThousand"/>
      <w:pStyle w:val="af7"/>
      <w:suff w:val="nothing"/>
      <w:lvlText w:val="（%2）"/>
      <w:lvlJc w:val="left"/>
      <w:pPr>
        <w:ind w:left="426" w:firstLine="0"/>
      </w:pPr>
      <w:rPr>
        <w:rFonts w:ascii="宋体" w:eastAsia="宋体" w:hint="eastAsia"/>
        <w:b w:val="0"/>
        <w:sz w:val="21"/>
        <w:lang w:val="en-US"/>
      </w:rPr>
    </w:lvl>
    <w:lvl w:ilvl="2">
      <w:start w:val="1"/>
      <w:numFmt w:val="decimal"/>
      <w:pStyle w:val="af8"/>
      <w:suff w:val="nothing"/>
      <w:lvlText w:val="%3."/>
      <w:lvlJc w:val="left"/>
      <w:pPr>
        <w:ind w:left="0" w:firstLine="0"/>
      </w:pPr>
      <w:rPr>
        <w:rFonts w:ascii="宋体" w:eastAsia="宋体" w:hint="eastAsia"/>
        <w:b w:val="0"/>
        <w:i w:val="0"/>
        <w:iCs/>
        <w:color w:val="auto"/>
        <w:sz w:val="21"/>
      </w:rPr>
    </w:lvl>
    <w:lvl w:ilvl="3">
      <w:start w:val="1"/>
      <w:numFmt w:val="decimal"/>
      <w:pStyle w:val="af9"/>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32" w15:restartNumberingAfterBreak="0">
    <w:nsid w:val="12003877"/>
    <w:multiLevelType w:val="multilevel"/>
    <w:tmpl w:val="34A31B81"/>
    <w:lvl w:ilvl="0">
      <w:start w:val="1"/>
      <w:numFmt w:val="chineseCountingThousand"/>
      <w:pStyle w:val="afa"/>
      <w:suff w:val="nothing"/>
      <w:lvlText w:val="%1、"/>
      <w:lvlJc w:val="left"/>
      <w:pPr>
        <w:ind w:left="420" w:firstLine="0"/>
      </w:pPr>
      <w:rPr>
        <w:rFonts w:ascii="黑体" w:eastAsia="黑体" w:hint="eastAsia"/>
        <w:b/>
        <w:sz w:val="24"/>
      </w:rPr>
    </w:lvl>
    <w:lvl w:ilvl="1">
      <w:start w:val="1"/>
      <w:numFmt w:val="chineseCountingThousand"/>
      <w:pStyle w:val="afb"/>
      <w:suff w:val="nothing"/>
      <w:lvlText w:val="（%2）"/>
      <w:lvlJc w:val="left"/>
      <w:pPr>
        <w:ind w:left="426" w:firstLine="0"/>
      </w:pPr>
      <w:rPr>
        <w:rFonts w:ascii="宋体" w:eastAsia="宋体" w:hint="eastAsia"/>
        <w:b w:val="0"/>
        <w:sz w:val="21"/>
        <w:lang w:val="en-US"/>
      </w:rPr>
    </w:lvl>
    <w:lvl w:ilvl="2">
      <w:start w:val="1"/>
      <w:numFmt w:val="decimal"/>
      <w:pStyle w:val="afc"/>
      <w:suff w:val="nothing"/>
      <w:lvlText w:val="%3."/>
      <w:lvlJc w:val="left"/>
      <w:pPr>
        <w:ind w:left="0" w:firstLine="0"/>
      </w:pPr>
      <w:rPr>
        <w:rFonts w:ascii="宋体" w:eastAsia="宋体" w:hint="eastAsia"/>
        <w:b w:val="0"/>
        <w:i w:val="0"/>
        <w:iCs/>
        <w:color w:val="auto"/>
        <w:sz w:val="21"/>
      </w:rPr>
    </w:lvl>
    <w:lvl w:ilvl="3">
      <w:start w:val="1"/>
      <w:numFmt w:val="decimal"/>
      <w:pStyle w:val="afd"/>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33" w15:restartNumberingAfterBreak="0">
    <w:nsid w:val="12550118"/>
    <w:multiLevelType w:val="multilevel"/>
    <w:tmpl w:val="34A31B81"/>
    <w:lvl w:ilvl="0">
      <w:start w:val="1"/>
      <w:numFmt w:val="chineseCountingThousand"/>
      <w:pStyle w:val="afe"/>
      <w:suff w:val="nothing"/>
      <w:lvlText w:val="%1、"/>
      <w:lvlJc w:val="left"/>
      <w:pPr>
        <w:ind w:left="420" w:firstLine="0"/>
      </w:pPr>
      <w:rPr>
        <w:rFonts w:ascii="黑体" w:eastAsia="黑体" w:hint="eastAsia"/>
        <w:b/>
        <w:sz w:val="24"/>
      </w:rPr>
    </w:lvl>
    <w:lvl w:ilvl="1">
      <w:start w:val="1"/>
      <w:numFmt w:val="chineseCountingThousand"/>
      <w:pStyle w:val="aff"/>
      <w:suff w:val="nothing"/>
      <w:lvlText w:val="（%2）"/>
      <w:lvlJc w:val="left"/>
      <w:pPr>
        <w:ind w:left="426" w:firstLine="0"/>
      </w:pPr>
      <w:rPr>
        <w:rFonts w:ascii="宋体" w:eastAsia="宋体" w:hint="eastAsia"/>
        <w:b w:val="0"/>
        <w:sz w:val="21"/>
        <w:lang w:val="en-US"/>
      </w:rPr>
    </w:lvl>
    <w:lvl w:ilvl="2">
      <w:start w:val="1"/>
      <w:numFmt w:val="decimal"/>
      <w:pStyle w:val="aff0"/>
      <w:suff w:val="nothing"/>
      <w:lvlText w:val="%3."/>
      <w:lvlJc w:val="left"/>
      <w:pPr>
        <w:ind w:left="0" w:firstLine="0"/>
      </w:pPr>
      <w:rPr>
        <w:rFonts w:ascii="宋体" w:eastAsia="宋体" w:hint="eastAsia"/>
        <w:b w:val="0"/>
        <w:i w:val="0"/>
        <w:iCs/>
        <w:color w:val="auto"/>
        <w:sz w:val="21"/>
      </w:rPr>
    </w:lvl>
    <w:lvl w:ilvl="3">
      <w:start w:val="1"/>
      <w:numFmt w:val="decimal"/>
      <w:pStyle w:val="aff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34" w15:restartNumberingAfterBreak="0">
    <w:nsid w:val="133C130D"/>
    <w:multiLevelType w:val="multilevel"/>
    <w:tmpl w:val="45EE0604"/>
    <w:lvl w:ilvl="0">
      <w:start w:val="1"/>
      <w:numFmt w:val="japaneseCounting"/>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13A022AD"/>
    <w:multiLevelType w:val="multilevel"/>
    <w:tmpl w:val="A050C10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6" w15:restartNumberingAfterBreak="0">
    <w:nsid w:val="14595E15"/>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14B64454"/>
    <w:multiLevelType w:val="multilevel"/>
    <w:tmpl w:val="34A31B81"/>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38" w15:restartNumberingAfterBreak="0">
    <w:nsid w:val="14F76E2B"/>
    <w:multiLevelType w:val="hybridMultilevel"/>
    <w:tmpl w:val="CECC16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15C96443"/>
    <w:multiLevelType w:val="multilevel"/>
    <w:tmpl w:val="6834F940"/>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0" w15:restartNumberingAfterBreak="0">
    <w:nsid w:val="1663183A"/>
    <w:multiLevelType w:val="multilevel"/>
    <w:tmpl w:val="520C604D"/>
    <w:lvl w:ilvl="0">
      <w:start w:val="1"/>
      <w:numFmt w:val="decimal"/>
      <w:lvlText w:val="(%1)"/>
      <w:lvlJc w:val="left"/>
      <w:pPr>
        <w:ind w:left="0" w:firstLine="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190C04AC"/>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19B43528"/>
    <w:multiLevelType w:val="multilevel"/>
    <w:tmpl w:val="40C2C0E0"/>
    <w:lvl w:ilvl="0">
      <w:start w:val="1"/>
      <w:numFmt w:val="chineseCountingThousand"/>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3" w15:restartNumberingAfterBreak="0">
    <w:nsid w:val="19EA4905"/>
    <w:multiLevelType w:val="multilevel"/>
    <w:tmpl w:val="34A31B81"/>
    <w:lvl w:ilvl="0">
      <w:start w:val="1"/>
      <w:numFmt w:val="chineseCountingThousand"/>
      <w:pStyle w:val="aff2"/>
      <w:suff w:val="nothing"/>
      <w:lvlText w:val="%1、"/>
      <w:lvlJc w:val="left"/>
      <w:pPr>
        <w:ind w:left="420" w:firstLine="0"/>
      </w:pPr>
      <w:rPr>
        <w:rFonts w:ascii="黑体" w:eastAsia="黑体" w:hint="eastAsia"/>
        <w:b/>
        <w:sz w:val="24"/>
      </w:rPr>
    </w:lvl>
    <w:lvl w:ilvl="1">
      <w:start w:val="1"/>
      <w:numFmt w:val="chineseCountingThousand"/>
      <w:pStyle w:val="aff3"/>
      <w:suff w:val="nothing"/>
      <w:lvlText w:val="（%2）"/>
      <w:lvlJc w:val="left"/>
      <w:pPr>
        <w:ind w:left="426" w:firstLine="0"/>
      </w:pPr>
      <w:rPr>
        <w:rFonts w:ascii="宋体" w:eastAsia="宋体" w:hint="eastAsia"/>
        <w:b w:val="0"/>
        <w:sz w:val="21"/>
        <w:lang w:val="en-US"/>
      </w:rPr>
    </w:lvl>
    <w:lvl w:ilvl="2">
      <w:start w:val="1"/>
      <w:numFmt w:val="decimal"/>
      <w:pStyle w:val="aff4"/>
      <w:suff w:val="nothing"/>
      <w:lvlText w:val="%3."/>
      <w:lvlJc w:val="left"/>
      <w:pPr>
        <w:ind w:left="0" w:firstLine="0"/>
      </w:pPr>
      <w:rPr>
        <w:rFonts w:ascii="宋体" w:eastAsia="宋体" w:hint="eastAsia"/>
        <w:b w:val="0"/>
        <w:i w:val="0"/>
        <w:iCs/>
        <w:color w:val="auto"/>
        <w:sz w:val="21"/>
      </w:rPr>
    </w:lvl>
    <w:lvl w:ilvl="3">
      <w:start w:val="1"/>
      <w:numFmt w:val="decimal"/>
      <w:pStyle w:val="aff5"/>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44" w15:restartNumberingAfterBreak="0">
    <w:nsid w:val="1A597F5D"/>
    <w:multiLevelType w:val="multilevel"/>
    <w:tmpl w:val="29AAB2EE"/>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45" w15:restartNumberingAfterBreak="0">
    <w:nsid w:val="1A770B07"/>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1A7C423C"/>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47" w15:restartNumberingAfterBreak="0">
    <w:nsid w:val="1A8C1263"/>
    <w:multiLevelType w:val="hybridMultilevel"/>
    <w:tmpl w:val="8D8E1858"/>
    <w:lvl w:ilvl="0" w:tplc="5538AEC8">
      <w:start w:val="1"/>
      <w:numFmt w:val="decimal"/>
      <w:lvlText w:val="%1、"/>
      <w:lvlJc w:val="left"/>
      <w:pPr>
        <w:ind w:left="420" w:hanging="420"/>
      </w:pPr>
      <w:rPr>
        <w:rFonts w:ascii="宋体" w:eastAsia="宋体" w:hAnsi="宋体"/>
        <w:b/>
      </w:rPr>
    </w:lvl>
    <w:lvl w:ilvl="1" w:tplc="5DB0C7C4">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1CAD6244"/>
    <w:multiLevelType w:val="multilevel"/>
    <w:tmpl w:val="334C7392"/>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1DD35DA1"/>
    <w:multiLevelType w:val="multilevel"/>
    <w:tmpl w:val="E956391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0" w15:restartNumberingAfterBreak="0">
    <w:nsid w:val="1E363095"/>
    <w:multiLevelType w:val="multilevel"/>
    <w:tmpl w:val="6D80650E"/>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1E4211A8"/>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1EB11D21"/>
    <w:multiLevelType w:val="hybridMultilevel"/>
    <w:tmpl w:val="48F0A9F6"/>
    <w:lvl w:ilvl="0" w:tplc="6F963A76">
      <w:start w:val="1"/>
      <w:numFmt w:val="chineseCountingThousand"/>
      <w:suff w:val="space"/>
      <w:lvlText w:val="(%1)"/>
      <w:lvlJc w:val="left"/>
      <w:pPr>
        <w:ind w:left="420" w:hanging="420"/>
      </w:pPr>
      <w:rPr>
        <w:rFonts w:ascii="宋体" w:eastAsia="宋体" w:hAnsi="宋体" w:hint="eastAsia"/>
      </w:r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1F646E9C"/>
    <w:multiLevelType w:val="hybridMultilevel"/>
    <w:tmpl w:val="42AC2AFE"/>
    <w:lvl w:ilvl="0" w:tplc="901299E4">
      <w:start w:val="1"/>
      <w:numFmt w:val="chineseCountingThousand"/>
      <w:suff w:val="nothing"/>
      <w:lvlText w:val="%1、"/>
      <w:lvlJc w:val="left"/>
      <w:pPr>
        <w:ind w:left="420" w:hanging="420"/>
      </w:pPr>
      <w:rPr>
        <w:rFonts w:hint="eastAsia"/>
      </w:rPr>
    </w:lvl>
    <w:lvl w:ilvl="1" w:tplc="E14E1754">
      <w:start w:val="1"/>
      <w:numFmt w:val="decimal"/>
      <w:lvlText w:val="%2）"/>
      <w:lvlJc w:val="left"/>
      <w:pPr>
        <w:ind w:left="780" w:hanging="360"/>
      </w:pPr>
      <w:rPr>
        <w:rFonts w:hint="default"/>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21A20134"/>
    <w:multiLevelType w:val="multilevel"/>
    <w:tmpl w:val="D95ADF92"/>
    <w:lvl w:ilvl="0">
      <w:start w:val="1"/>
      <w:numFmt w:val="chineseCountingThousand"/>
      <w:lvlText w:val="(%1)"/>
      <w:lvlJc w:val="left"/>
      <w:pPr>
        <w:ind w:left="425" w:hanging="425"/>
      </w:pPr>
      <w:rPr>
        <w:rFonts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5" w15:restartNumberingAfterBreak="0">
    <w:nsid w:val="227A5190"/>
    <w:multiLevelType w:val="hybridMultilevel"/>
    <w:tmpl w:val="9198FF76"/>
    <w:lvl w:ilvl="0" w:tplc="9D02DAFA">
      <w:start w:val="1"/>
      <w:numFmt w:val="decimal"/>
      <w:suff w:val="nothing"/>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56" w15:restartNumberingAfterBreak="0">
    <w:nsid w:val="22AA14CB"/>
    <w:multiLevelType w:val="hybridMultilevel"/>
    <w:tmpl w:val="DE1A12C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22F8408D"/>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24A33843"/>
    <w:multiLevelType w:val="hybridMultilevel"/>
    <w:tmpl w:val="F1BEA67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25241E8C"/>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0" w15:restartNumberingAfterBreak="0">
    <w:nsid w:val="253C2098"/>
    <w:multiLevelType w:val="multilevel"/>
    <w:tmpl w:val="59EF7C0F"/>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1" w15:restartNumberingAfterBreak="0">
    <w:nsid w:val="25B07826"/>
    <w:multiLevelType w:val="hybridMultilevel"/>
    <w:tmpl w:val="B734BF56"/>
    <w:lvl w:ilvl="0" w:tplc="B7FE1A2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2" w15:restartNumberingAfterBreak="0">
    <w:nsid w:val="261A6621"/>
    <w:multiLevelType w:val="multilevel"/>
    <w:tmpl w:val="6A7A6C4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3" w15:restartNumberingAfterBreak="0">
    <w:nsid w:val="28DE74DC"/>
    <w:multiLevelType w:val="hybridMultilevel"/>
    <w:tmpl w:val="24B4966A"/>
    <w:lvl w:ilvl="0" w:tplc="C910E878">
      <w:start w:val="1"/>
      <w:numFmt w:val="decimal"/>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15:restartNumberingAfterBreak="0">
    <w:nsid w:val="29445030"/>
    <w:multiLevelType w:val="multilevel"/>
    <w:tmpl w:val="67183E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294731BC"/>
    <w:multiLevelType w:val="hybridMultilevel"/>
    <w:tmpl w:val="1D82818C"/>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2DD4774E">
      <w:start w:val="1"/>
      <w:numFmt w:val="chineseCountingThousand"/>
      <w:suff w:val="nothing"/>
      <w:lvlText w:val="(%3)"/>
      <w:lvlJc w:val="left"/>
      <w:pPr>
        <w:ind w:left="1260" w:hanging="126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2AAB1FF8"/>
    <w:multiLevelType w:val="hybridMultilevel"/>
    <w:tmpl w:val="53B243CA"/>
    <w:lvl w:ilvl="0" w:tplc="5984A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2B0B79F2"/>
    <w:multiLevelType w:val="hybridMultilevel"/>
    <w:tmpl w:val="3D02CDB6"/>
    <w:lvl w:ilvl="0" w:tplc="0409000F">
      <w:start w:val="1"/>
      <w:numFmt w:val="decimal"/>
      <w:lvlText w:val="%1."/>
      <w:lvlJc w:val="left"/>
      <w:pPr>
        <w:ind w:left="0" w:firstLine="0"/>
      </w:pPr>
      <w:rPr>
        <w:rFonts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68" w15:restartNumberingAfterBreak="0">
    <w:nsid w:val="2C7366CB"/>
    <w:multiLevelType w:val="multilevel"/>
    <w:tmpl w:val="133085D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15:restartNumberingAfterBreak="0">
    <w:nsid w:val="2CA20750"/>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2CFF7802"/>
    <w:multiLevelType w:val="hybridMultilevel"/>
    <w:tmpl w:val="844CFB22"/>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2D4164E9"/>
    <w:multiLevelType w:val="multilevel"/>
    <w:tmpl w:val="34A31B81"/>
    <w:lvl w:ilvl="0">
      <w:start w:val="1"/>
      <w:numFmt w:val="chineseCountingThousand"/>
      <w:pStyle w:val="aff6"/>
      <w:suff w:val="nothing"/>
      <w:lvlText w:val="%1、"/>
      <w:lvlJc w:val="left"/>
      <w:pPr>
        <w:ind w:left="420" w:firstLine="0"/>
      </w:pPr>
      <w:rPr>
        <w:rFonts w:ascii="黑体" w:eastAsia="黑体" w:hint="eastAsia"/>
        <w:b/>
        <w:sz w:val="24"/>
      </w:rPr>
    </w:lvl>
    <w:lvl w:ilvl="1">
      <w:start w:val="1"/>
      <w:numFmt w:val="chineseCountingThousand"/>
      <w:pStyle w:val="aff7"/>
      <w:suff w:val="nothing"/>
      <w:lvlText w:val="（%2）"/>
      <w:lvlJc w:val="left"/>
      <w:pPr>
        <w:ind w:left="426" w:firstLine="0"/>
      </w:pPr>
      <w:rPr>
        <w:rFonts w:ascii="宋体" w:eastAsia="宋体" w:hint="eastAsia"/>
        <w:b w:val="0"/>
        <w:sz w:val="21"/>
        <w:lang w:val="en-US"/>
      </w:rPr>
    </w:lvl>
    <w:lvl w:ilvl="2">
      <w:start w:val="1"/>
      <w:numFmt w:val="decimal"/>
      <w:pStyle w:val="aff8"/>
      <w:suff w:val="nothing"/>
      <w:lvlText w:val="%3."/>
      <w:lvlJc w:val="left"/>
      <w:pPr>
        <w:ind w:left="0" w:firstLine="0"/>
      </w:pPr>
      <w:rPr>
        <w:rFonts w:ascii="宋体" w:eastAsia="宋体" w:hint="eastAsia"/>
        <w:b w:val="0"/>
        <w:i w:val="0"/>
        <w:iCs/>
        <w:color w:val="auto"/>
        <w:sz w:val="21"/>
      </w:rPr>
    </w:lvl>
    <w:lvl w:ilvl="3">
      <w:start w:val="1"/>
      <w:numFmt w:val="decimal"/>
      <w:pStyle w:val="aff9"/>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72" w15:restartNumberingAfterBreak="0">
    <w:nsid w:val="2D4E5236"/>
    <w:multiLevelType w:val="multilevel"/>
    <w:tmpl w:val="AD74BCB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3" w15:restartNumberingAfterBreak="0">
    <w:nsid w:val="2E9124C6"/>
    <w:multiLevelType w:val="multilevel"/>
    <w:tmpl w:val="8EF0137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2EA76A14"/>
    <w:multiLevelType w:val="hybridMultilevel"/>
    <w:tmpl w:val="C0724FE4"/>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2F185B06"/>
    <w:multiLevelType w:val="hybridMultilevel"/>
    <w:tmpl w:val="7B12DC8E"/>
    <w:lvl w:ilvl="0" w:tplc="EC843682">
      <w:start w:val="1"/>
      <w:numFmt w:val="decimal"/>
      <w:suff w:val="nothing"/>
      <w:lvlText w:val="(%1)."/>
      <w:lvlJc w:val="left"/>
      <w:pPr>
        <w:ind w:left="420" w:hanging="420"/>
      </w:pPr>
      <w:rPr>
        <w:rFonts w:asciiTheme="minorEastAsia" w:eastAsia="宋体" w:hAnsiTheme="min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15:restartNumberingAfterBreak="0">
    <w:nsid w:val="2F5D44BC"/>
    <w:multiLevelType w:val="hybridMultilevel"/>
    <w:tmpl w:val="3DB84156"/>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7" w15:restartNumberingAfterBreak="0">
    <w:nsid w:val="2FE52018"/>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30141FD3"/>
    <w:multiLevelType w:val="multilevel"/>
    <w:tmpl w:val="6B587320"/>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9" w15:restartNumberingAfterBreak="0">
    <w:nsid w:val="316E084C"/>
    <w:multiLevelType w:val="hybridMultilevel"/>
    <w:tmpl w:val="DA6E4592"/>
    <w:lvl w:ilvl="0" w:tplc="04090017">
      <w:start w:val="1"/>
      <w:numFmt w:val="chineseCountingThousand"/>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322E413B"/>
    <w:multiLevelType w:val="multilevel"/>
    <w:tmpl w:val="228F0FB9"/>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32885AF4"/>
    <w:multiLevelType w:val="multilevel"/>
    <w:tmpl w:val="34A31B81"/>
    <w:lvl w:ilvl="0">
      <w:start w:val="1"/>
      <w:numFmt w:val="chineseCountingThousand"/>
      <w:pStyle w:val="affa"/>
      <w:suff w:val="nothing"/>
      <w:lvlText w:val="%1、"/>
      <w:lvlJc w:val="left"/>
      <w:pPr>
        <w:ind w:left="420" w:firstLine="0"/>
      </w:pPr>
      <w:rPr>
        <w:rFonts w:ascii="黑体" w:eastAsia="黑体" w:hint="eastAsia"/>
        <w:b/>
        <w:sz w:val="24"/>
      </w:rPr>
    </w:lvl>
    <w:lvl w:ilvl="1">
      <w:start w:val="1"/>
      <w:numFmt w:val="chineseCountingThousand"/>
      <w:pStyle w:val="affb"/>
      <w:suff w:val="nothing"/>
      <w:lvlText w:val="（%2）"/>
      <w:lvlJc w:val="left"/>
      <w:pPr>
        <w:ind w:left="426" w:firstLine="0"/>
      </w:pPr>
      <w:rPr>
        <w:rFonts w:ascii="宋体" w:eastAsia="宋体" w:hint="eastAsia"/>
        <w:b w:val="0"/>
        <w:sz w:val="21"/>
        <w:lang w:val="en-US"/>
      </w:rPr>
    </w:lvl>
    <w:lvl w:ilvl="2">
      <w:start w:val="1"/>
      <w:numFmt w:val="decimal"/>
      <w:pStyle w:val="affc"/>
      <w:suff w:val="nothing"/>
      <w:lvlText w:val="%3."/>
      <w:lvlJc w:val="left"/>
      <w:pPr>
        <w:ind w:left="0" w:firstLine="0"/>
      </w:pPr>
      <w:rPr>
        <w:rFonts w:ascii="宋体" w:eastAsia="宋体" w:hint="eastAsia"/>
        <w:b w:val="0"/>
        <w:i w:val="0"/>
        <w:iCs/>
        <w:color w:val="auto"/>
        <w:sz w:val="21"/>
      </w:rPr>
    </w:lvl>
    <w:lvl w:ilvl="3">
      <w:start w:val="1"/>
      <w:numFmt w:val="decimal"/>
      <w:pStyle w:val="affd"/>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82" w15:restartNumberingAfterBreak="0">
    <w:nsid w:val="32D1317D"/>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3" w15:restartNumberingAfterBreak="0">
    <w:nsid w:val="337B446B"/>
    <w:multiLevelType w:val="hybridMultilevel"/>
    <w:tmpl w:val="D4740CEA"/>
    <w:lvl w:ilvl="0" w:tplc="B33A38C6">
      <w:start w:val="1"/>
      <w:numFmt w:val="chineseCountingThousand"/>
      <w:lvlText w:val="%1、"/>
      <w:lvlJc w:val="left"/>
      <w:pPr>
        <w:ind w:left="0" w:firstLine="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33A46958"/>
    <w:multiLevelType w:val="hybridMultilevel"/>
    <w:tmpl w:val="301AD136"/>
    <w:lvl w:ilvl="0" w:tplc="5F8E241E">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15:restartNumberingAfterBreak="0">
    <w:nsid w:val="344C0592"/>
    <w:multiLevelType w:val="multilevel"/>
    <w:tmpl w:val="8C1C903A"/>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6" w15:restartNumberingAfterBreak="0">
    <w:nsid w:val="34A54E95"/>
    <w:multiLevelType w:val="hybridMultilevel"/>
    <w:tmpl w:val="86BAFC2E"/>
    <w:lvl w:ilvl="0" w:tplc="C910E878">
      <w:start w:val="1"/>
      <w:numFmt w:val="decimal"/>
      <w:lvlText w:val="%1、 "/>
      <w:lvlJc w:val="left"/>
      <w:pPr>
        <w:ind w:left="440" w:hanging="440"/>
      </w:pPr>
      <w:rPr>
        <w:rFonts w:ascii="宋体" w:eastAsia="宋体" w:hAnsi="宋体" w:hint="eastAsia"/>
        <w:b/>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87" w15:restartNumberingAfterBreak="0">
    <w:nsid w:val="35832366"/>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15:restartNumberingAfterBreak="0">
    <w:nsid w:val="36871232"/>
    <w:multiLevelType w:val="multilevel"/>
    <w:tmpl w:val="4A125FEF"/>
    <w:lvl w:ilvl="0">
      <w:start w:val="1"/>
      <w:numFmt w:val="decimal"/>
      <w:lvlText w:val="%1、"/>
      <w:lvlJc w:val="left"/>
      <w:pPr>
        <w:ind w:left="420" w:hanging="420"/>
      </w:pPr>
      <w:rPr>
        <w:rFonts w:asciiTheme="majorEastAsia" w:eastAsia="宋体" w:hAnsiTheme="majorEastAsia"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36953FF5"/>
    <w:multiLevelType w:val="hybridMultilevel"/>
    <w:tmpl w:val="B0F8A52C"/>
    <w:lvl w:ilvl="0" w:tplc="3570608A">
      <w:start w:val="1"/>
      <w:numFmt w:val="decimal"/>
      <w:suff w:val="nothing"/>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38687096">
      <w:start w:val="1"/>
      <w:numFmt w:val="decimal"/>
      <w:suff w:val="space"/>
      <w:lvlText w:val="%4."/>
      <w:lvlJc w:val="left"/>
      <w:pPr>
        <w:ind w:left="440" w:hanging="440"/>
      </w:pPr>
      <w:rPr>
        <w:rFonts w:hint="eastAsia"/>
      </w:r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90" w15:restartNumberingAfterBreak="0">
    <w:nsid w:val="36AD5A4D"/>
    <w:multiLevelType w:val="multilevel"/>
    <w:tmpl w:val="34A31B81"/>
    <w:lvl w:ilvl="0">
      <w:start w:val="1"/>
      <w:numFmt w:val="chineseCountingThousand"/>
      <w:pStyle w:val="affe"/>
      <w:suff w:val="nothing"/>
      <w:lvlText w:val="%1、"/>
      <w:lvlJc w:val="left"/>
      <w:pPr>
        <w:ind w:left="420" w:firstLine="0"/>
      </w:pPr>
      <w:rPr>
        <w:rFonts w:ascii="黑体" w:eastAsia="黑体" w:hint="eastAsia"/>
        <w:b/>
        <w:sz w:val="24"/>
      </w:rPr>
    </w:lvl>
    <w:lvl w:ilvl="1">
      <w:start w:val="1"/>
      <w:numFmt w:val="chineseCountingThousand"/>
      <w:pStyle w:val="afff"/>
      <w:suff w:val="nothing"/>
      <w:lvlText w:val="（%2）"/>
      <w:lvlJc w:val="left"/>
      <w:pPr>
        <w:ind w:left="426" w:firstLine="0"/>
      </w:pPr>
      <w:rPr>
        <w:rFonts w:ascii="宋体" w:eastAsia="宋体" w:hint="eastAsia"/>
        <w:b w:val="0"/>
        <w:sz w:val="21"/>
        <w:lang w:val="en-US"/>
      </w:rPr>
    </w:lvl>
    <w:lvl w:ilvl="2">
      <w:start w:val="1"/>
      <w:numFmt w:val="decimal"/>
      <w:pStyle w:val="afff0"/>
      <w:suff w:val="nothing"/>
      <w:lvlText w:val="%3."/>
      <w:lvlJc w:val="left"/>
      <w:pPr>
        <w:ind w:left="0" w:firstLine="0"/>
      </w:pPr>
      <w:rPr>
        <w:rFonts w:ascii="宋体" w:eastAsia="宋体" w:hint="eastAsia"/>
        <w:b w:val="0"/>
        <w:i w:val="0"/>
        <w:iCs/>
        <w:color w:val="auto"/>
        <w:sz w:val="21"/>
      </w:rPr>
    </w:lvl>
    <w:lvl w:ilvl="3">
      <w:start w:val="1"/>
      <w:numFmt w:val="decimal"/>
      <w:pStyle w:val="afff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91" w15:restartNumberingAfterBreak="0">
    <w:nsid w:val="36D67A0E"/>
    <w:multiLevelType w:val="multilevel"/>
    <w:tmpl w:val="58C25FCB"/>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2" w15:restartNumberingAfterBreak="0">
    <w:nsid w:val="38A24EAD"/>
    <w:multiLevelType w:val="multilevel"/>
    <w:tmpl w:val="3D008FD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3" w15:restartNumberingAfterBreak="0">
    <w:nsid w:val="38C5193B"/>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4" w15:restartNumberingAfterBreak="0">
    <w:nsid w:val="3A63251F"/>
    <w:multiLevelType w:val="hybridMultilevel"/>
    <w:tmpl w:val="56F6773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91EECB86">
      <w:start w:val="1"/>
      <w:numFmt w:val="chineseCountingThousand"/>
      <w:suff w:val="nothing"/>
      <w:lvlText w:val="(%4)"/>
      <w:lvlJc w:val="left"/>
      <w:pPr>
        <w:ind w:left="0" w:firstLine="0"/>
      </w:pPr>
      <w:rPr>
        <w:rFonts w:ascii="宋体" w:eastAsia="宋体" w:hAnsi="宋体"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3D907A46"/>
    <w:multiLevelType w:val="hybridMultilevel"/>
    <w:tmpl w:val="5F60557E"/>
    <w:lvl w:ilvl="0" w:tplc="3D0C5F60">
      <w:start w:val="1"/>
      <w:numFmt w:val="decimal"/>
      <w:suff w:val="nothing"/>
      <w:lvlText w:val="(%1). "/>
      <w:lvlJc w:val="left"/>
      <w:pPr>
        <w:ind w:left="420"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3E7B4087"/>
    <w:multiLevelType w:val="multilevel"/>
    <w:tmpl w:val="1D50FF1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7" w15:restartNumberingAfterBreak="0">
    <w:nsid w:val="3EE04557"/>
    <w:multiLevelType w:val="multilevel"/>
    <w:tmpl w:val="19BCC432"/>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lvlText w:val="%4."/>
      <w:lvlJc w:val="left"/>
      <w:pPr>
        <w:ind w:left="426" w:firstLine="0"/>
      </w:pPr>
      <w:rPr>
        <w:rFonts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98" w15:restartNumberingAfterBreak="0">
    <w:nsid w:val="3EED487D"/>
    <w:multiLevelType w:val="multilevel"/>
    <w:tmpl w:val="69BA4BB7"/>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3F0E38F2"/>
    <w:multiLevelType w:val="multilevel"/>
    <w:tmpl w:val="1BCF0D86"/>
    <w:lvl w:ilvl="0">
      <w:start w:val="1"/>
      <w:numFmt w:val="decimal"/>
      <w:lvlText w:val="(%1)"/>
      <w:lvlJc w:val="left"/>
      <w:pPr>
        <w:ind w:left="0" w:firstLine="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0" w15:restartNumberingAfterBreak="0">
    <w:nsid w:val="3F416C8E"/>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1" w15:restartNumberingAfterBreak="0">
    <w:nsid w:val="3F7D615E"/>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02" w15:restartNumberingAfterBreak="0">
    <w:nsid w:val="417D144E"/>
    <w:multiLevelType w:val="hybridMultilevel"/>
    <w:tmpl w:val="435EE116"/>
    <w:lvl w:ilvl="0" w:tplc="901299E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3" w15:restartNumberingAfterBreak="0">
    <w:nsid w:val="41923F1A"/>
    <w:multiLevelType w:val="hybridMultilevel"/>
    <w:tmpl w:val="6AAEF69E"/>
    <w:lvl w:ilvl="0" w:tplc="6BF0380C">
      <w:start w:val="1"/>
      <w:numFmt w:val="decimal"/>
      <w:lvlText w:val="%1、"/>
      <w:lvlJc w:val="left"/>
      <w:pPr>
        <w:ind w:left="440" w:hanging="440"/>
      </w:pPr>
      <w:rPr>
        <w:rFonts w:asciiTheme="majorEastAsia" w:eastAsia="宋体" w:hAnsiTheme="maj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04" w15:restartNumberingAfterBreak="0">
    <w:nsid w:val="426971F6"/>
    <w:multiLevelType w:val="multilevel"/>
    <w:tmpl w:val="D1927836"/>
    <w:lvl w:ilvl="0">
      <w:start w:val="1"/>
      <w:numFmt w:val="decimal"/>
      <w:suff w:val="space"/>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5" w15:restartNumberingAfterBreak="0">
    <w:nsid w:val="433578F2"/>
    <w:multiLevelType w:val="multilevel"/>
    <w:tmpl w:val="107CBBFC"/>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6" w15:restartNumberingAfterBreak="0">
    <w:nsid w:val="435F45D1"/>
    <w:multiLevelType w:val="hybridMultilevel"/>
    <w:tmpl w:val="A112CBFE"/>
    <w:lvl w:ilvl="0" w:tplc="6BF0380C">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7" w15:restartNumberingAfterBreak="0">
    <w:nsid w:val="439F72FD"/>
    <w:multiLevelType w:val="multilevel"/>
    <w:tmpl w:val="D7BE114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15:restartNumberingAfterBreak="0">
    <w:nsid w:val="444A1A12"/>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9" w15:restartNumberingAfterBreak="0">
    <w:nsid w:val="447034C7"/>
    <w:multiLevelType w:val="multilevel"/>
    <w:tmpl w:val="34A31B81"/>
    <w:lvl w:ilvl="0">
      <w:start w:val="1"/>
      <w:numFmt w:val="chineseCountingThousand"/>
      <w:pStyle w:val="afff2"/>
      <w:suff w:val="nothing"/>
      <w:lvlText w:val="%1、"/>
      <w:lvlJc w:val="left"/>
      <w:pPr>
        <w:ind w:left="420" w:firstLine="0"/>
      </w:pPr>
      <w:rPr>
        <w:rFonts w:ascii="黑体" w:eastAsia="黑体" w:hint="eastAsia"/>
        <w:b/>
        <w:sz w:val="24"/>
      </w:rPr>
    </w:lvl>
    <w:lvl w:ilvl="1">
      <w:start w:val="1"/>
      <w:numFmt w:val="chineseCountingThousand"/>
      <w:pStyle w:val="afff3"/>
      <w:suff w:val="nothing"/>
      <w:lvlText w:val="（%2）"/>
      <w:lvlJc w:val="left"/>
      <w:pPr>
        <w:ind w:left="426" w:firstLine="0"/>
      </w:pPr>
      <w:rPr>
        <w:rFonts w:ascii="宋体" w:eastAsia="宋体" w:hint="eastAsia"/>
        <w:b w:val="0"/>
        <w:sz w:val="21"/>
        <w:lang w:val="en-US"/>
      </w:rPr>
    </w:lvl>
    <w:lvl w:ilvl="2">
      <w:start w:val="1"/>
      <w:numFmt w:val="decimal"/>
      <w:pStyle w:val="afff4"/>
      <w:suff w:val="nothing"/>
      <w:lvlText w:val="%3."/>
      <w:lvlJc w:val="left"/>
      <w:pPr>
        <w:ind w:left="0" w:firstLine="0"/>
      </w:pPr>
      <w:rPr>
        <w:rFonts w:ascii="宋体" w:eastAsia="宋体" w:hint="eastAsia"/>
        <w:b w:val="0"/>
        <w:i w:val="0"/>
        <w:iCs/>
        <w:color w:val="auto"/>
        <w:sz w:val="21"/>
      </w:rPr>
    </w:lvl>
    <w:lvl w:ilvl="3">
      <w:start w:val="1"/>
      <w:numFmt w:val="decimal"/>
      <w:pStyle w:val="afff5"/>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10" w15:restartNumberingAfterBreak="0">
    <w:nsid w:val="453D7C4C"/>
    <w:multiLevelType w:val="multilevel"/>
    <w:tmpl w:val="96D02F8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1" w15:restartNumberingAfterBreak="0">
    <w:nsid w:val="46840507"/>
    <w:multiLevelType w:val="multilevel"/>
    <w:tmpl w:val="9E245952"/>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2" w15:restartNumberingAfterBreak="0">
    <w:nsid w:val="468949E2"/>
    <w:multiLevelType w:val="multilevel"/>
    <w:tmpl w:val="7F94F9A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3" w15:restartNumberingAfterBreak="0">
    <w:nsid w:val="47210AF0"/>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473E5C0D"/>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15:restartNumberingAfterBreak="0">
    <w:nsid w:val="47B11BA7"/>
    <w:multiLevelType w:val="multilevel"/>
    <w:tmpl w:val="B96263F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6" w15:restartNumberingAfterBreak="0">
    <w:nsid w:val="482D2FB8"/>
    <w:multiLevelType w:val="multilevel"/>
    <w:tmpl w:val="EB70A8C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7" w15:restartNumberingAfterBreak="0">
    <w:nsid w:val="48A63F99"/>
    <w:multiLevelType w:val="multilevel"/>
    <w:tmpl w:val="34A31B81"/>
    <w:lvl w:ilvl="0">
      <w:start w:val="1"/>
      <w:numFmt w:val="chineseCountingThousand"/>
      <w:pStyle w:val="afff6"/>
      <w:suff w:val="nothing"/>
      <w:lvlText w:val="%1、"/>
      <w:lvlJc w:val="left"/>
      <w:pPr>
        <w:ind w:left="420" w:firstLine="0"/>
      </w:pPr>
      <w:rPr>
        <w:rFonts w:ascii="黑体" w:eastAsia="黑体" w:hint="eastAsia"/>
        <w:b/>
        <w:sz w:val="24"/>
      </w:rPr>
    </w:lvl>
    <w:lvl w:ilvl="1">
      <w:start w:val="1"/>
      <w:numFmt w:val="chineseCountingThousand"/>
      <w:pStyle w:val="afff7"/>
      <w:suff w:val="nothing"/>
      <w:lvlText w:val="（%2）"/>
      <w:lvlJc w:val="left"/>
      <w:pPr>
        <w:ind w:left="426" w:firstLine="0"/>
      </w:pPr>
      <w:rPr>
        <w:rFonts w:ascii="宋体" w:eastAsia="宋体" w:hint="eastAsia"/>
        <w:b w:val="0"/>
        <w:sz w:val="21"/>
        <w:lang w:val="en-US"/>
      </w:rPr>
    </w:lvl>
    <w:lvl w:ilvl="2">
      <w:start w:val="1"/>
      <w:numFmt w:val="decimal"/>
      <w:pStyle w:val="afff8"/>
      <w:suff w:val="nothing"/>
      <w:lvlText w:val="%3."/>
      <w:lvlJc w:val="left"/>
      <w:pPr>
        <w:ind w:left="0" w:firstLine="0"/>
      </w:pPr>
      <w:rPr>
        <w:rFonts w:ascii="宋体" w:eastAsia="宋体" w:hint="eastAsia"/>
        <w:b w:val="0"/>
        <w:i w:val="0"/>
        <w:iCs/>
        <w:color w:val="auto"/>
        <w:sz w:val="21"/>
      </w:rPr>
    </w:lvl>
    <w:lvl w:ilvl="3">
      <w:start w:val="1"/>
      <w:numFmt w:val="decimal"/>
      <w:pStyle w:val="afff9"/>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18" w15:restartNumberingAfterBreak="0">
    <w:nsid w:val="492B3C0D"/>
    <w:multiLevelType w:val="hybridMultilevel"/>
    <w:tmpl w:val="F75ABCEE"/>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9" w15:restartNumberingAfterBreak="0">
    <w:nsid w:val="49EC296F"/>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4A7B0D08"/>
    <w:multiLevelType w:val="multilevel"/>
    <w:tmpl w:val="60BC9F56"/>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lvlText w:val="%4."/>
      <w:lvlJc w:val="left"/>
      <w:pPr>
        <w:ind w:left="426" w:firstLine="0"/>
      </w:pPr>
      <w:rPr>
        <w:rFonts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21" w15:restartNumberingAfterBreak="0">
    <w:nsid w:val="4C511093"/>
    <w:multiLevelType w:val="multilevel"/>
    <w:tmpl w:val="6E04E8AE"/>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2" w15:restartNumberingAfterBreak="0">
    <w:nsid w:val="4CA21DE5"/>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15:restartNumberingAfterBreak="0">
    <w:nsid w:val="4E375115"/>
    <w:multiLevelType w:val="multilevel"/>
    <w:tmpl w:val="6B96254F"/>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4" w15:restartNumberingAfterBreak="0">
    <w:nsid w:val="4E8D4F7C"/>
    <w:multiLevelType w:val="hybridMultilevel"/>
    <w:tmpl w:val="3CFCE378"/>
    <w:lvl w:ilvl="0" w:tplc="1DCEDF78">
      <w:start w:val="1"/>
      <w:numFmt w:val="decimal"/>
      <w:lvlText w:val="(%1)."/>
      <w:lvlJc w:val="left"/>
      <w:pPr>
        <w:ind w:left="440" w:hanging="440"/>
      </w:pPr>
      <w:rPr>
        <w:rFonts w:asciiTheme="majorEastAsia" w:eastAsiaTheme="majorEastAsia" w:hAnsiTheme="majorEastAsia"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5" w15:restartNumberingAfterBreak="0">
    <w:nsid w:val="510F6AAC"/>
    <w:multiLevelType w:val="multilevel"/>
    <w:tmpl w:val="7ED88D08"/>
    <w:lvl w:ilvl="0">
      <w:start w:val="1"/>
      <w:numFmt w:val="decimal"/>
      <w:lvlText w:val="%1."/>
      <w:lvlJc w:val="left"/>
      <w:pPr>
        <w:ind w:left="420" w:firstLine="0"/>
      </w:pPr>
      <w:rPr>
        <w:rFonts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26" w15:restartNumberingAfterBreak="0">
    <w:nsid w:val="51480C4D"/>
    <w:multiLevelType w:val="multilevel"/>
    <w:tmpl w:val="7D1C3A4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7" w15:restartNumberingAfterBreak="0">
    <w:nsid w:val="51C5366F"/>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52B5409B"/>
    <w:multiLevelType w:val="multilevel"/>
    <w:tmpl w:val="A81E0A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9" w15:restartNumberingAfterBreak="0">
    <w:nsid w:val="54EB1416"/>
    <w:multiLevelType w:val="hybridMultilevel"/>
    <w:tmpl w:val="46A0E5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15:restartNumberingAfterBreak="0">
    <w:nsid w:val="553A5417"/>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15:restartNumberingAfterBreak="0">
    <w:nsid w:val="556B2D46"/>
    <w:multiLevelType w:val="multilevel"/>
    <w:tmpl w:val="9C76E8E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2" w15:restartNumberingAfterBreak="0">
    <w:nsid w:val="56E143D0"/>
    <w:multiLevelType w:val="multilevel"/>
    <w:tmpl w:val="C41A9794"/>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3" w15:restartNumberingAfterBreak="0">
    <w:nsid w:val="578309C3"/>
    <w:multiLevelType w:val="hybridMultilevel"/>
    <w:tmpl w:val="B87CE9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4" w15:restartNumberingAfterBreak="0">
    <w:nsid w:val="57A33FA9"/>
    <w:multiLevelType w:val="singleLevel"/>
    <w:tmpl w:val="CDD43242"/>
    <w:lvl w:ilvl="0">
      <w:start w:val="3"/>
      <w:numFmt w:val="chineseCounting"/>
      <w:suff w:val="nothing"/>
      <w:lvlText w:val="（%1）"/>
      <w:lvlJc w:val="left"/>
      <w:rPr>
        <w:rFonts w:hint="eastAsia"/>
      </w:rPr>
    </w:lvl>
  </w:abstractNum>
  <w:abstractNum w:abstractNumId="135" w15:restartNumberingAfterBreak="0">
    <w:nsid w:val="58226077"/>
    <w:multiLevelType w:val="multilevel"/>
    <w:tmpl w:val="178C964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6" w15:restartNumberingAfterBreak="0">
    <w:nsid w:val="584054AC"/>
    <w:multiLevelType w:val="hybridMultilevel"/>
    <w:tmpl w:val="2D22EA8E"/>
    <w:lvl w:ilvl="0" w:tplc="D6D68888">
      <w:start w:val="1"/>
      <w:numFmt w:val="decimal"/>
      <w:pStyle w:val="afffa"/>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7" w15:restartNumberingAfterBreak="0">
    <w:nsid w:val="588366F6"/>
    <w:multiLevelType w:val="hybridMultilevel"/>
    <w:tmpl w:val="F0EC1E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59420A27"/>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9" w15:restartNumberingAfterBreak="0">
    <w:nsid w:val="59D4626C"/>
    <w:multiLevelType w:val="multilevel"/>
    <w:tmpl w:val="34A31B81"/>
    <w:lvl w:ilvl="0">
      <w:start w:val="1"/>
      <w:numFmt w:val="chineseCountingThousand"/>
      <w:pStyle w:val="afffb"/>
      <w:suff w:val="nothing"/>
      <w:lvlText w:val="%1、"/>
      <w:lvlJc w:val="left"/>
      <w:pPr>
        <w:ind w:left="420" w:firstLine="0"/>
      </w:pPr>
      <w:rPr>
        <w:rFonts w:ascii="黑体" w:eastAsia="黑体" w:hint="eastAsia"/>
        <w:b/>
        <w:sz w:val="24"/>
      </w:rPr>
    </w:lvl>
    <w:lvl w:ilvl="1">
      <w:start w:val="1"/>
      <w:numFmt w:val="chineseCountingThousand"/>
      <w:pStyle w:val="afffc"/>
      <w:suff w:val="nothing"/>
      <w:lvlText w:val="（%2）"/>
      <w:lvlJc w:val="left"/>
      <w:pPr>
        <w:ind w:left="426" w:firstLine="0"/>
      </w:pPr>
      <w:rPr>
        <w:rFonts w:ascii="宋体" w:eastAsia="宋体" w:hint="eastAsia"/>
        <w:b w:val="0"/>
        <w:sz w:val="21"/>
        <w:lang w:val="en-US"/>
      </w:rPr>
    </w:lvl>
    <w:lvl w:ilvl="2">
      <w:start w:val="1"/>
      <w:numFmt w:val="decimal"/>
      <w:pStyle w:val="afffd"/>
      <w:suff w:val="nothing"/>
      <w:lvlText w:val="%3."/>
      <w:lvlJc w:val="left"/>
      <w:pPr>
        <w:ind w:left="0" w:firstLine="0"/>
      </w:pPr>
      <w:rPr>
        <w:rFonts w:ascii="宋体" w:eastAsia="宋体" w:hint="eastAsia"/>
        <w:b w:val="0"/>
        <w:i w:val="0"/>
        <w:iCs/>
        <w:color w:val="auto"/>
        <w:sz w:val="21"/>
      </w:rPr>
    </w:lvl>
    <w:lvl w:ilvl="3">
      <w:start w:val="1"/>
      <w:numFmt w:val="decimal"/>
      <w:pStyle w:val="afffe"/>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40" w15:restartNumberingAfterBreak="0">
    <w:nsid w:val="5C7375BB"/>
    <w:multiLevelType w:val="multilevel"/>
    <w:tmpl w:val="DBD056C6"/>
    <w:lvl w:ilvl="0">
      <w:start w:val="1"/>
      <w:numFmt w:val="chineseCountingThousand"/>
      <w:suff w:val="space"/>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3). "/>
      <w:lvlJc w:val="left"/>
      <w:pPr>
        <w:ind w:left="1418" w:hanging="567"/>
      </w:pPr>
      <w:rPr>
        <w:rFonts w:ascii="宋体" w:eastAsia="宋体" w:hAnsi="宋体"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1" w15:restartNumberingAfterBreak="0">
    <w:nsid w:val="5CFF71C9"/>
    <w:multiLevelType w:val="multilevel"/>
    <w:tmpl w:val="34A31B81"/>
    <w:lvl w:ilvl="0">
      <w:start w:val="1"/>
      <w:numFmt w:val="chineseCountingThousand"/>
      <w:pStyle w:val="affff"/>
      <w:suff w:val="nothing"/>
      <w:lvlText w:val="%1、"/>
      <w:lvlJc w:val="left"/>
      <w:pPr>
        <w:ind w:left="420" w:firstLine="0"/>
      </w:pPr>
      <w:rPr>
        <w:rFonts w:ascii="黑体" w:eastAsia="黑体" w:hint="eastAsia"/>
        <w:b/>
        <w:sz w:val="24"/>
      </w:rPr>
    </w:lvl>
    <w:lvl w:ilvl="1">
      <w:start w:val="1"/>
      <w:numFmt w:val="chineseCountingThousand"/>
      <w:pStyle w:val="affff0"/>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426" w:firstLine="0"/>
      </w:pPr>
      <w:rPr>
        <w:rFonts w:ascii="宋体" w:eastAsia="宋体" w:hint="eastAsia"/>
        <w:b w:val="0"/>
        <w:i w:val="0"/>
        <w:iCs/>
        <w:color w:val="auto"/>
        <w:sz w:val="21"/>
      </w:rPr>
    </w:lvl>
    <w:lvl w:ilvl="3">
      <w:start w:val="1"/>
      <w:numFmt w:val="decimal"/>
      <w:pStyle w:val="affff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42" w15:restartNumberingAfterBreak="0">
    <w:nsid w:val="5D0C5D07"/>
    <w:multiLevelType w:val="hybridMultilevel"/>
    <w:tmpl w:val="484E6CD6"/>
    <w:lvl w:ilvl="0" w:tplc="A920D782">
      <w:start w:val="1"/>
      <w:numFmt w:val="decimal"/>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3" w15:restartNumberingAfterBreak="0">
    <w:nsid w:val="5D5B488C"/>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4" w15:restartNumberingAfterBreak="0">
    <w:nsid w:val="5E830FD0"/>
    <w:multiLevelType w:val="hybridMultilevel"/>
    <w:tmpl w:val="8112F3B0"/>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5" w15:restartNumberingAfterBreak="0">
    <w:nsid w:val="5F2F6A0E"/>
    <w:multiLevelType w:val="multilevel"/>
    <w:tmpl w:val="9D2E7DD8"/>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6" w15:restartNumberingAfterBreak="0">
    <w:nsid w:val="5F6E46C7"/>
    <w:multiLevelType w:val="multilevel"/>
    <w:tmpl w:val="1C08A60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7" w15:restartNumberingAfterBreak="0">
    <w:nsid w:val="5F742B92"/>
    <w:multiLevelType w:val="multilevel"/>
    <w:tmpl w:val="6BAAE41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48" w15:restartNumberingAfterBreak="0">
    <w:nsid w:val="5F797442"/>
    <w:multiLevelType w:val="hybridMultilevel"/>
    <w:tmpl w:val="FEFA4B46"/>
    <w:lvl w:ilvl="0" w:tplc="04090017">
      <w:start w:val="1"/>
      <w:numFmt w:val="chineseCountingThousand"/>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9" w15:restartNumberingAfterBreak="0">
    <w:nsid w:val="5FA03FEB"/>
    <w:multiLevelType w:val="hybridMultilevel"/>
    <w:tmpl w:val="685AE41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0" w15:restartNumberingAfterBreak="0">
    <w:nsid w:val="607706E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1" w15:restartNumberingAfterBreak="0">
    <w:nsid w:val="60E902C8"/>
    <w:multiLevelType w:val="multilevel"/>
    <w:tmpl w:val="B080B554"/>
    <w:lvl w:ilvl="0">
      <w:start w:val="1"/>
      <w:numFmt w:val="chineseCountingThousand"/>
      <w:lvlText w:val="(%1)"/>
      <w:lvlJc w:val="left"/>
      <w:pPr>
        <w:ind w:left="360" w:hanging="360"/>
      </w:pPr>
      <w:rPr>
        <w:rFonts w:hint="default"/>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52" w15:restartNumberingAfterBreak="0">
    <w:nsid w:val="63C9555C"/>
    <w:multiLevelType w:val="hybridMultilevel"/>
    <w:tmpl w:val="F0EC1E2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3" w15:restartNumberingAfterBreak="0">
    <w:nsid w:val="63F4410A"/>
    <w:multiLevelType w:val="multilevel"/>
    <w:tmpl w:val="70A4034A"/>
    <w:lvl w:ilvl="0">
      <w:start w:val="1"/>
      <w:numFmt w:val="chineseCountingThousand"/>
      <w:suff w:val="nothing"/>
      <w:lvlText w:val="（%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154" w15:restartNumberingAfterBreak="0">
    <w:nsid w:val="646837A5"/>
    <w:multiLevelType w:val="hybridMultilevel"/>
    <w:tmpl w:val="BB786DCA"/>
    <w:lvl w:ilvl="0" w:tplc="FFFFFFFF">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5" w15:restartNumberingAfterBreak="0">
    <w:nsid w:val="65077CD2"/>
    <w:multiLevelType w:val="hybridMultilevel"/>
    <w:tmpl w:val="15548972"/>
    <w:lvl w:ilvl="0" w:tplc="009E294C">
      <w:start w:val="1"/>
      <w:numFmt w:val="decimal"/>
      <w:suff w:val="nothing"/>
      <w:lvlText w:val="%1、 "/>
      <w:lvlJc w:val="left"/>
      <w:pPr>
        <w:ind w:left="420" w:hanging="420"/>
      </w:pPr>
      <w:rPr>
        <w:rFonts w:ascii="宋体" w:eastAsia="宋体" w:hAnsi="宋体" w:hint="eastAsia"/>
        <w: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6" w15:restartNumberingAfterBreak="0">
    <w:nsid w:val="653D30BD"/>
    <w:multiLevelType w:val="multilevel"/>
    <w:tmpl w:val="2D223BC3"/>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7" w15:restartNumberingAfterBreak="0">
    <w:nsid w:val="65971353"/>
    <w:multiLevelType w:val="multilevel"/>
    <w:tmpl w:val="34A31B81"/>
    <w:lvl w:ilvl="0">
      <w:start w:val="1"/>
      <w:numFmt w:val="chineseCountingThousand"/>
      <w:pStyle w:val="affff2"/>
      <w:suff w:val="nothing"/>
      <w:lvlText w:val="%1、"/>
      <w:lvlJc w:val="left"/>
      <w:pPr>
        <w:ind w:left="420" w:firstLine="0"/>
      </w:pPr>
      <w:rPr>
        <w:rFonts w:ascii="黑体" w:eastAsia="黑体" w:hint="eastAsia"/>
        <w:b/>
        <w:sz w:val="24"/>
      </w:rPr>
    </w:lvl>
    <w:lvl w:ilvl="1">
      <w:start w:val="1"/>
      <w:numFmt w:val="chineseCountingThousand"/>
      <w:pStyle w:val="affff3"/>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426" w:firstLine="0"/>
      </w:pPr>
      <w:rPr>
        <w:rFonts w:ascii="宋体" w:eastAsia="宋体" w:hint="eastAsia"/>
        <w:b w:val="0"/>
        <w:i w:val="0"/>
        <w:iCs/>
        <w:color w:val="auto"/>
        <w:sz w:val="21"/>
      </w:rPr>
    </w:lvl>
    <w:lvl w:ilvl="3">
      <w:start w:val="1"/>
      <w:numFmt w:val="decimal"/>
      <w:pStyle w:val="affff4"/>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58" w15:restartNumberingAfterBreak="0">
    <w:nsid w:val="669D5A6C"/>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59" w15:restartNumberingAfterBreak="0">
    <w:nsid w:val="66EB135B"/>
    <w:multiLevelType w:val="hybridMultilevel"/>
    <w:tmpl w:val="C896B57E"/>
    <w:lvl w:ilvl="0" w:tplc="82D2240C">
      <w:start w:val="1"/>
      <w:numFmt w:val="chineseCountingThousand"/>
      <w:suff w:val="nothing"/>
      <w:lvlText w:val="%1、"/>
      <w:lvlJc w:val="left"/>
      <w:pPr>
        <w:ind w:left="450" w:hanging="450"/>
      </w:pPr>
      <w:rPr>
        <w:rFonts w:hint="eastAsia"/>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0" w15:restartNumberingAfterBreak="0">
    <w:nsid w:val="670B5D4A"/>
    <w:multiLevelType w:val="hybridMultilevel"/>
    <w:tmpl w:val="058888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1" w15:restartNumberingAfterBreak="0">
    <w:nsid w:val="67586D35"/>
    <w:multiLevelType w:val="hybridMultilevel"/>
    <w:tmpl w:val="6E761D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681529D6"/>
    <w:multiLevelType w:val="hybridMultilevel"/>
    <w:tmpl w:val="1BA012E2"/>
    <w:lvl w:ilvl="0" w:tplc="F22C1BCE">
      <w:start w:val="1"/>
      <w:numFmt w:val="chineseCountingThousand"/>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3" w15:restartNumberingAfterBreak="0">
    <w:nsid w:val="68D205DE"/>
    <w:multiLevelType w:val="multilevel"/>
    <w:tmpl w:val="694D0F7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4" w15:restartNumberingAfterBreak="0">
    <w:nsid w:val="69FA6F41"/>
    <w:multiLevelType w:val="hybridMultilevel"/>
    <w:tmpl w:val="BB786DCA"/>
    <w:lvl w:ilvl="0" w:tplc="FFFFFFFF">
      <w:start w:val="1"/>
      <w:numFmt w:val="decimal"/>
      <w:lvlText w:val="%1、"/>
      <w:lvlJc w:val="left"/>
      <w:pPr>
        <w:ind w:left="440" w:hanging="440"/>
      </w:pPr>
      <w:rPr>
        <w:rFonts w:asciiTheme="majorEastAsia" w:eastAsia="宋体" w:hAnsiTheme="majorEastAsia"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65" w15:restartNumberingAfterBreak="0">
    <w:nsid w:val="6A57546F"/>
    <w:multiLevelType w:val="hybridMultilevel"/>
    <w:tmpl w:val="4906E5CA"/>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6" w15:restartNumberingAfterBreak="0">
    <w:nsid w:val="6B7B2114"/>
    <w:multiLevelType w:val="hybridMultilevel"/>
    <w:tmpl w:val="A82072B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7" w15:restartNumberingAfterBreak="0">
    <w:nsid w:val="6C3925EA"/>
    <w:multiLevelType w:val="hybridMultilevel"/>
    <w:tmpl w:val="767E4386"/>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8" w15:restartNumberingAfterBreak="0">
    <w:nsid w:val="6CB060E3"/>
    <w:multiLevelType w:val="multilevel"/>
    <w:tmpl w:val="04364DD5"/>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9" w15:restartNumberingAfterBreak="0">
    <w:nsid w:val="6DA05965"/>
    <w:multiLevelType w:val="multilevel"/>
    <w:tmpl w:val="34A31B81"/>
    <w:lvl w:ilvl="0">
      <w:start w:val="1"/>
      <w:numFmt w:val="chineseCountingThousand"/>
      <w:pStyle w:val="affff5"/>
      <w:suff w:val="nothing"/>
      <w:lvlText w:val="%1、"/>
      <w:lvlJc w:val="left"/>
      <w:pPr>
        <w:ind w:left="420" w:firstLine="0"/>
      </w:pPr>
      <w:rPr>
        <w:rFonts w:ascii="黑体" w:eastAsia="黑体" w:hint="eastAsia"/>
        <w:b/>
        <w:sz w:val="24"/>
      </w:rPr>
    </w:lvl>
    <w:lvl w:ilvl="1">
      <w:start w:val="1"/>
      <w:numFmt w:val="chineseCountingThousand"/>
      <w:pStyle w:val="affff6"/>
      <w:suff w:val="nothing"/>
      <w:lvlText w:val="（%2）"/>
      <w:lvlJc w:val="left"/>
      <w:pPr>
        <w:ind w:left="426" w:firstLine="0"/>
      </w:pPr>
      <w:rPr>
        <w:rFonts w:ascii="宋体" w:eastAsia="宋体" w:hint="eastAsia"/>
        <w:b w:val="0"/>
        <w:sz w:val="21"/>
        <w:lang w:val="en-US"/>
      </w:rPr>
    </w:lvl>
    <w:lvl w:ilvl="2">
      <w:start w:val="1"/>
      <w:numFmt w:val="decimal"/>
      <w:pStyle w:val="affff7"/>
      <w:suff w:val="nothing"/>
      <w:lvlText w:val="%3."/>
      <w:lvlJc w:val="left"/>
      <w:pPr>
        <w:ind w:left="0" w:firstLine="0"/>
      </w:pPr>
      <w:rPr>
        <w:rFonts w:ascii="宋体" w:eastAsia="宋体" w:hint="eastAsia"/>
        <w:b w:val="0"/>
        <w:i w:val="0"/>
        <w:iCs/>
        <w:color w:val="auto"/>
        <w:sz w:val="21"/>
      </w:rPr>
    </w:lvl>
    <w:lvl w:ilvl="3">
      <w:start w:val="1"/>
      <w:numFmt w:val="decimal"/>
      <w:pStyle w:val="affff8"/>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70" w15:restartNumberingAfterBreak="0">
    <w:nsid w:val="6DE24938"/>
    <w:multiLevelType w:val="multilevel"/>
    <w:tmpl w:val="4C28FEBE"/>
    <w:lvl w:ilvl="0">
      <w:start w:val="1"/>
      <w:numFmt w:val="decimal"/>
      <w:suff w:val="space"/>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71" w15:restartNumberingAfterBreak="0">
    <w:nsid w:val="6E36577B"/>
    <w:multiLevelType w:val="hybridMultilevel"/>
    <w:tmpl w:val="760C37F0"/>
    <w:lvl w:ilvl="0" w:tplc="0409000F">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2" w15:restartNumberingAfterBreak="0">
    <w:nsid w:val="6FDA4F3D"/>
    <w:multiLevelType w:val="multilevel"/>
    <w:tmpl w:val="34A31B81"/>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pStyle w:val="affff9"/>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73" w15:restartNumberingAfterBreak="0">
    <w:nsid w:val="6FE56142"/>
    <w:multiLevelType w:val="hybridMultilevel"/>
    <w:tmpl w:val="2D22EA8E"/>
    <w:lvl w:ilvl="0" w:tplc="D6D68888">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4" w15:restartNumberingAfterBreak="0">
    <w:nsid w:val="70177697"/>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5" w15:restartNumberingAfterBreak="0">
    <w:nsid w:val="70E00F54"/>
    <w:multiLevelType w:val="multilevel"/>
    <w:tmpl w:val="8C1C903A"/>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6" w15:restartNumberingAfterBreak="0">
    <w:nsid w:val="728C3E33"/>
    <w:multiLevelType w:val="hybridMultilevel"/>
    <w:tmpl w:val="90C8B8DE"/>
    <w:lvl w:ilvl="0" w:tplc="53E4BEA0">
      <w:start w:val="1"/>
      <w:numFmt w:val="decimal"/>
      <w:lvlText w:val="(%1)."/>
      <w:lvlJc w:val="left"/>
      <w:pPr>
        <w:ind w:left="0" w:firstLine="0"/>
      </w:pPr>
      <w:rPr>
        <w:rFonts w:asciiTheme="majorEastAsia" w:eastAsia="宋体" w:hAnsiTheme="majorEastAsia" w:hint="eastAsia"/>
      </w:rPr>
    </w:lvl>
    <w:lvl w:ilvl="1" w:tplc="04090019" w:tentative="1">
      <w:start w:val="1"/>
      <w:numFmt w:val="lowerLetter"/>
      <w:lvlText w:val="%2)"/>
      <w:lvlJc w:val="left"/>
      <w:pPr>
        <w:ind w:left="985" w:hanging="440"/>
      </w:pPr>
    </w:lvl>
    <w:lvl w:ilvl="2" w:tplc="0409001B" w:tentative="1">
      <w:start w:val="1"/>
      <w:numFmt w:val="lowerRoman"/>
      <w:lvlText w:val="%3."/>
      <w:lvlJc w:val="right"/>
      <w:pPr>
        <w:ind w:left="1425" w:hanging="440"/>
      </w:pPr>
    </w:lvl>
    <w:lvl w:ilvl="3" w:tplc="0409000F" w:tentative="1">
      <w:start w:val="1"/>
      <w:numFmt w:val="decimal"/>
      <w:lvlText w:val="%4."/>
      <w:lvlJc w:val="left"/>
      <w:pPr>
        <w:ind w:left="1865" w:hanging="440"/>
      </w:pPr>
    </w:lvl>
    <w:lvl w:ilvl="4" w:tplc="04090019" w:tentative="1">
      <w:start w:val="1"/>
      <w:numFmt w:val="lowerLetter"/>
      <w:lvlText w:val="%5)"/>
      <w:lvlJc w:val="left"/>
      <w:pPr>
        <w:ind w:left="2305" w:hanging="440"/>
      </w:pPr>
    </w:lvl>
    <w:lvl w:ilvl="5" w:tplc="0409001B" w:tentative="1">
      <w:start w:val="1"/>
      <w:numFmt w:val="lowerRoman"/>
      <w:lvlText w:val="%6."/>
      <w:lvlJc w:val="right"/>
      <w:pPr>
        <w:ind w:left="2745" w:hanging="440"/>
      </w:pPr>
    </w:lvl>
    <w:lvl w:ilvl="6" w:tplc="0409000F" w:tentative="1">
      <w:start w:val="1"/>
      <w:numFmt w:val="decimal"/>
      <w:lvlText w:val="%7."/>
      <w:lvlJc w:val="left"/>
      <w:pPr>
        <w:ind w:left="3185" w:hanging="440"/>
      </w:pPr>
    </w:lvl>
    <w:lvl w:ilvl="7" w:tplc="04090019" w:tentative="1">
      <w:start w:val="1"/>
      <w:numFmt w:val="lowerLetter"/>
      <w:lvlText w:val="%8)"/>
      <w:lvlJc w:val="left"/>
      <w:pPr>
        <w:ind w:left="3625" w:hanging="440"/>
      </w:pPr>
    </w:lvl>
    <w:lvl w:ilvl="8" w:tplc="0409001B" w:tentative="1">
      <w:start w:val="1"/>
      <w:numFmt w:val="lowerRoman"/>
      <w:lvlText w:val="%9."/>
      <w:lvlJc w:val="right"/>
      <w:pPr>
        <w:ind w:left="4065" w:hanging="440"/>
      </w:pPr>
    </w:lvl>
  </w:abstractNum>
  <w:abstractNum w:abstractNumId="177" w15:restartNumberingAfterBreak="0">
    <w:nsid w:val="72F4485C"/>
    <w:multiLevelType w:val="hybridMultilevel"/>
    <w:tmpl w:val="7242E74C"/>
    <w:lvl w:ilvl="0" w:tplc="10E8FEC4">
      <w:start w:val="1"/>
      <w:numFmt w:val="chineseCountingThousand"/>
      <w:suff w:val="space"/>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8" w15:restartNumberingAfterBreak="0">
    <w:nsid w:val="73D168E3"/>
    <w:multiLevelType w:val="multilevel"/>
    <w:tmpl w:val="02666C6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79" w15:restartNumberingAfterBreak="0">
    <w:nsid w:val="741638F6"/>
    <w:multiLevelType w:val="hybridMultilevel"/>
    <w:tmpl w:val="2CC2716C"/>
    <w:lvl w:ilvl="0" w:tplc="A4EC6042">
      <w:start w:val="1"/>
      <w:numFmt w:val="chineseCountingThousand"/>
      <w:suff w:val="space"/>
      <w:lvlText w:val="(%1)"/>
      <w:lvlJc w:val="right"/>
      <w:pPr>
        <w:ind w:left="425" w:firstLine="199"/>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0" w15:restartNumberingAfterBreak="0">
    <w:nsid w:val="77A01A06"/>
    <w:multiLevelType w:val="hybridMultilevel"/>
    <w:tmpl w:val="83028B0C"/>
    <w:lvl w:ilvl="0" w:tplc="66346C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1" w15:restartNumberingAfterBreak="0">
    <w:nsid w:val="78216897"/>
    <w:multiLevelType w:val="multilevel"/>
    <w:tmpl w:val="3A0E649E"/>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82" w15:restartNumberingAfterBreak="0">
    <w:nsid w:val="786D2DBD"/>
    <w:multiLevelType w:val="multilevel"/>
    <w:tmpl w:val="3EA6FAAA"/>
    <w:lvl w:ilvl="0">
      <w:start w:val="1"/>
      <w:numFmt w:val="chineseCountingThousand"/>
      <w:suff w:val="nothing"/>
      <w:lvlText w:val="%1、"/>
      <w:lvlJc w:val="left"/>
      <w:pPr>
        <w:ind w:left="420" w:firstLine="0"/>
      </w:pPr>
      <w:rPr>
        <w:rFonts w:ascii="黑体" w:eastAsia="黑体" w:hint="eastAsia"/>
        <w:b/>
        <w:sz w:val="24"/>
      </w:rPr>
    </w:lvl>
    <w:lvl w:ilvl="1">
      <w:start w:val="1"/>
      <w:numFmt w:val="chineseCountingThousand"/>
      <w:suff w:val="nothing"/>
      <w:lvlText w:val="（%2）"/>
      <w:lvlJc w:val="left"/>
      <w:pPr>
        <w:ind w:left="426" w:firstLine="0"/>
      </w:pPr>
      <w:rPr>
        <w:rFonts w:ascii="宋体" w:eastAsia="宋体" w:hint="eastAsia"/>
        <w:b w:val="0"/>
        <w:sz w:val="21"/>
        <w:lang w:val="en-US"/>
      </w:rPr>
    </w:lvl>
    <w:lvl w:ilvl="2">
      <w:start w:val="1"/>
      <w:numFmt w:val="decimal"/>
      <w:suff w:val="nothing"/>
      <w:lvlText w:val="%3."/>
      <w:lvlJc w:val="left"/>
      <w:pPr>
        <w:ind w:left="0" w:firstLine="0"/>
      </w:pPr>
      <w:rPr>
        <w:rFonts w:ascii="宋体" w:eastAsia="宋体" w:hint="eastAsia"/>
        <w:b w:val="0"/>
        <w:i w:val="0"/>
        <w:iCs/>
        <w:color w:val="auto"/>
        <w:sz w:val="21"/>
      </w:rPr>
    </w:lvl>
    <w:lvl w:ilvl="3">
      <w:start w:val="1"/>
      <w:numFmt w:val="decimal"/>
      <w:lvlText w:val="%4."/>
      <w:lvlJc w:val="left"/>
      <w:pPr>
        <w:ind w:left="426" w:firstLine="0"/>
      </w:pPr>
      <w:rPr>
        <w:rFonts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83" w15:restartNumberingAfterBreak="0">
    <w:nsid w:val="78BD3525"/>
    <w:multiLevelType w:val="hybridMultilevel"/>
    <w:tmpl w:val="EC7CDA9A"/>
    <w:lvl w:ilvl="0" w:tplc="04090017">
      <w:start w:val="1"/>
      <w:numFmt w:val="chineseCountingThousand"/>
      <w:lvlText w:val="(%1)"/>
      <w:lvlJc w:val="left"/>
      <w:pPr>
        <w:ind w:left="420" w:hanging="420"/>
      </w:pPr>
    </w:lvl>
    <w:lvl w:ilvl="1" w:tplc="38A0B97E">
      <w:start w:val="1"/>
      <w:numFmt w:val="decimal"/>
      <w:lvlText w:val="(%2). "/>
      <w:lvlJc w:val="left"/>
      <w:pPr>
        <w:ind w:left="84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4" w15:restartNumberingAfterBreak="0">
    <w:nsid w:val="79BC7FED"/>
    <w:multiLevelType w:val="multilevel"/>
    <w:tmpl w:val="E8A0EAD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5" w15:restartNumberingAfterBreak="0">
    <w:nsid w:val="7A2D5164"/>
    <w:multiLevelType w:val="hybridMultilevel"/>
    <w:tmpl w:val="86D2BF24"/>
    <w:lvl w:ilvl="0" w:tplc="9064ADEA">
      <w:start w:val="1"/>
      <w:numFmt w:val="decimal"/>
      <w:suff w:val="spac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6" w15:restartNumberingAfterBreak="0">
    <w:nsid w:val="7A5D1933"/>
    <w:multiLevelType w:val="multilevel"/>
    <w:tmpl w:val="34A31B81"/>
    <w:lvl w:ilvl="0">
      <w:start w:val="1"/>
      <w:numFmt w:val="chineseCountingThousand"/>
      <w:pStyle w:val="affffa"/>
      <w:suff w:val="nothing"/>
      <w:lvlText w:val="%1、"/>
      <w:lvlJc w:val="left"/>
      <w:pPr>
        <w:ind w:left="420" w:firstLine="0"/>
      </w:pPr>
      <w:rPr>
        <w:rFonts w:ascii="黑体" w:eastAsia="黑体" w:hint="eastAsia"/>
        <w:b/>
        <w:sz w:val="24"/>
      </w:rPr>
    </w:lvl>
    <w:lvl w:ilvl="1">
      <w:start w:val="1"/>
      <w:numFmt w:val="chineseCountingThousand"/>
      <w:pStyle w:val="affffb"/>
      <w:suff w:val="nothing"/>
      <w:lvlText w:val="（%2）"/>
      <w:lvlJc w:val="left"/>
      <w:pPr>
        <w:ind w:left="426" w:firstLine="0"/>
      </w:pPr>
      <w:rPr>
        <w:rFonts w:ascii="宋体" w:eastAsia="宋体" w:hint="eastAsia"/>
        <w:b w:val="0"/>
        <w:sz w:val="21"/>
        <w:lang w:val="en-US"/>
      </w:rPr>
    </w:lvl>
    <w:lvl w:ilvl="2">
      <w:start w:val="1"/>
      <w:numFmt w:val="decimal"/>
      <w:pStyle w:val="affffc"/>
      <w:suff w:val="nothing"/>
      <w:lvlText w:val="%3."/>
      <w:lvlJc w:val="left"/>
      <w:pPr>
        <w:ind w:left="0" w:firstLine="0"/>
      </w:pPr>
      <w:rPr>
        <w:rFonts w:ascii="宋体" w:eastAsia="宋体" w:hint="eastAsia"/>
        <w:b w:val="0"/>
        <w:i w:val="0"/>
        <w:iCs/>
        <w:color w:val="auto"/>
        <w:sz w:val="21"/>
      </w:rPr>
    </w:lvl>
    <w:lvl w:ilvl="3">
      <w:start w:val="1"/>
      <w:numFmt w:val="decimal"/>
      <w:pStyle w:val="affffd"/>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87" w15:restartNumberingAfterBreak="0">
    <w:nsid w:val="7A6C665E"/>
    <w:multiLevelType w:val="multilevel"/>
    <w:tmpl w:val="34A31B81"/>
    <w:lvl w:ilvl="0">
      <w:start w:val="1"/>
      <w:numFmt w:val="chineseCountingThousand"/>
      <w:pStyle w:val="affffe"/>
      <w:suff w:val="nothing"/>
      <w:lvlText w:val="%1、"/>
      <w:lvlJc w:val="left"/>
      <w:pPr>
        <w:ind w:left="420" w:firstLine="0"/>
      </w:pPr>
      <w:rPr>
        <w:rFonts w:ascii="黑体" w:eastAsia="黑体" w:hint="eastAsia"/>
        <w:b/>
        <w:sz w:val="24"/>
      </w:rPr>
    </w:lvl>
    <w:lvl w:ilvl="1">
      <w:start w:val="1"/>
      <w:numFmt w:val="chineseCountingThousand"/>
      <w:pStyle w:val="afffff"/>
      <w:suff w:val="nothing"/>
      <w:lvlText w:val="（%2）"/>
      <w:lvlJc w:val="left"/>
      <w:pPr>
        <w:ind w:left="426" w:firstLine="0"/>
      </w:pPr>
      <w:rPr>
        <w:rFonts w:ascii="宋体" w:eastAsia="宋体" w:hint="eastAsia"/>
        <w:b w:val="0"/>
        <w:sz w:val="21"/>
        <w:lang w:val="en-US"/>
      </w:rPr>
    </w:lvl>
    <w:lvl w:ilvl="2">
      <w:start w:val="1"/>
      <w:numFmt w:val="decimal"/>
      <w:pStyle w:val="afffff0"/>
      <w:suff w:val="nothing"/>
      <w:lvlText w:val="%3."/>
      <w:lvlJc w:val="left"/>
      <w:pPr>
        <w:ind w:left="0" w:firstLine="0"/>
      </w:pPr>
      <w:rPr>
        <w:rFonts w:ascii="宋体" w:eastAsia="宋体" w:hint="eastAsia"/>
        <w:b w:val="0"/>
        <w:i w:val="0"/>
        <w:iCs/>
        <w:color w:val="auto"/>
        <w:sz w:val="21"/>
      </w:rPr>
    </w:lvl>
    <w:lvl w:ilvl="3">
      <w:start w:val="1"/>
      <w:numFmt w:val="decimal"/>
      <w:pStyle w:val="afffff1"/>
      <w:suff w:val="nothing"/>
      <w:lvlText w:val="（%4）"/>
      <w:lvlJc w:val="left"/>
      <w:pPr>
        <w:ind w:left="426" w:firstLine="0"/>
      </w:pPr>
      <w:rPr>
        <w:rFonts w:ascii="宋体" w:eastAsia="宋体" w:hint="eastAsia"/>
        <w:b w:val="0"/>
        <w:sz w:val="21"/>
      </w:rPr>
    </w:lvl>
    <w:lvl w:ilvl="4">
      <w:start w:val="1"/>
      <w:numFmt w:val="decimal"/>
      <w:lvlText w:val="%1.%2.%3.%4.%5"/>
      <w:lvlJc w:val="left"/>
      <w:pPr>
        <w:tabs>
          <w:tab w:val="left" w:pos="-478"/>
        </w:tabs>
        <w:ind w:left="-1209" w:firstLine="0"/>
      </w:pPr>
      <w:rPr>
        <w:rFonts w:hint="eastAsia"/>
      </w:rPr>
    </w:lvl>
    <w:lvl w:ilvl="5">
      <w:start w:val="1"/>
      <w:numFmt w:val="decimal"/>
      <w:lvlText w:val="%1.%2.%3.%4.%5.%6"/>
      <w:lvlJc w:val="left"/>
      <w:pPr>
        <w:tabs>
          <w:tab w:val="left" w:pos="-881"/>
        </w:tabs>
        <w:ind w:left="-1612" w:firstLine="0"/>
      </w:pPr>
      <w:rPr>
        <w:rFonts w:hint="eastAsia"/>
      </w:rPr>
    </w:lvl>
    <w:lvl w:ilvl="6">
      <w:start w:val="1"/>
      <w:numFmt w:val="decimal"/>
      <w:lvlText w:val="%1.%2.%3.%4.%5.%6.%7"/>
      <w:lvlJc w:val="left"/>
      <w:pPr>
        <w:tabs>
          <w:tab w:val="left" w:pos="-1284"/>
        </w:tabs>
        <w:ind w:left="-2015" w:firstLine="0"/>
      </w:pPr>
      <w:rPr>
        <w:rFonts w:hint="eastAsia"/>
      </w:rPr>
    </w:lvl>
    <w:lvl w:ilvl="7">
      <w:start w:val="1"/>
      <w:numFmt w:val="decimal"/>
      <w:lvlText w:val="%1.%2.%3.%4.%5.%6.%7.%8"/>
      <w:lvlJc w:val="left"/>
      <w:pPr>
        <w:tabs>
          <w:tab w:val="left" w:pos="-1687"/>
        </w:tabs>
        <w:ind w:left="-2418" w:firstLine="0"/>
      </w:pPr>
      <w:rPr>
        <w:rFonts w:hint="eastAsia"/>
      </w:rPr>
    </w:lvl>
    <w:lvl w:ilvl="8">
      <w:start w:val="1"/>
      <w:numFmt w:val="decimal"/>
      <w:lvlText w:val="%1.%2.%3.%4.%5.%6.%7.%8.%9"/>
      <w:lvlJc w:val="left"/>
      <w:pPr>
        <w:tabs>
          <w:tab w:val="left" w:pos="-2090"/>
        </w:tabs>
        <w:ind w:left="-2821" w:firstLine="0"/>
      </w:pPr>
      <w:rPr>
        <w:rFonts w:hint="eastAsia"/>
      </w:rPr>
    </w:lvl>
  </w:abstractNum>
  <w:abstractNum w:abstractNumId="188" w15:restartNumberingAfterBreak="0">
    <w:nsid w:val="7B6F3154"/>
    <w:multiLevelType w:val="hybridMultilevel"/>
    <w:tmpl w:val="D1402194"/>
    <w:lvl w:ilvl="0" w:tplc="455A1FA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9" w15:restartNumberingAfterBreak="0">
    <w:nsid w:val="7D185FC5"/>
    <w:multiLevelType w:val="hybridMultilevel"/>
    <w:tmpl w:val="D8AA92AC"/>
    <w:lvl w:ilvl="0" w:tplc="0409000F">
      <w:start w:val="1"/>
      <w:numFmt w:val="decimal"/>
      <w:lvlText w:val="%1."/>
      <w:lvlJc w:val="left"/>
      <w:pPr>
        <w:ind w:left="0" w:firstLine="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0" w15:restartNumberingAfterBreak="0">
    <w:nsid w:val="7D1D026B"/>
    <w:multiLevelType w:val="hybridMultilevel"/>
    <w:tmpl w:val="0488380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1" w15:restartNumberingAfterBreak="0">
    <w:nsid w:val="7DE62A8D"/>
    <w:multiLevelType w:val="hybridMultilevel"/>
    <w:tmpl w:val="4838E57A"/>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2" w15:restartNumberingAfterBreak="0">
    <w:nsid w:val="7DEE7028"/>
    <w:multiLevelType w:val="hybridMultilevel"/>
    <w:tmpl w:val="63B456AC"/>
    <w:lvl w:ilvl="0" w:tplc="6E1A6CA8">
      <w:start w:val="1"/>
      <w:numFmt w:val="decimal"/>
      <w:lvlText w:val="%1、"/>
      <w:lvlJc w:val="left"/>
      <w:pPr>
        <w:ind w:left="420" w:hanging="420"/>
      </w:pPr>
      <w:rPr>
        <w:rFonts w:asciiTheme="majorEastAsia" w:eastAsia="宋体" w:hAnsiTheme="majorEastAsia"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3" w15:restartNumberingAfterBreak="0">
    <w:nsid w:val="7F6F1F2E"/>
    <w:multiLevelType w:val="hybridMultilevel"/>
    <w:tmpl w:val="C7E2CF8E"/>
    <w:lvl w:ilvl="0" w:tplc="8D9886B0">
      <w:start w:val="1"/>
      <w:numFmt w:val="decimal"/>
      <w:suff w:val="space"/>
      <w:lvlText w:val="1.%1"/>
      <w:lvlJc w:val="left"/>
      <w:pPr>
        <w:ind w:left="0" w:firstLine="0"/>
      </w:pPr>
      <w:rPr>
        <w:rFonts w:asciiTheme="minorEastAsia" w:eastAsia="宋体" w:hAnsiTheme="minorEastAsia"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4" w15:restartNumberingAfterBreak="0">
    <w:nsid w:val="7F9E206A"/>
    <w:multiLevelType w:val="multilevel"/>
    <w:tmpl w:val="BAE443D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305940540">
    <w:abstractNumId w:val="159"/>
  </w:num>
  <w:num w:numId="2" w16cid:durableId="1897086242">
    <w:abstractNumId w:val="39"/>
  </w:num>
  <w:num w:numId="3" w16cid:durableId="342361685">
    <w:abstractNumId w:val="145"/>
  </w:num>
  <w:num w:numId="4" w16cid:durableId="852064627">
    <w:abstractNumId w:val="114"/>
  </w:num>
  <w:num w:numId="5" w16cid:durableId="2095123645">
    <w:abstractNumId w:val="83"/>
  </w:num>
  <w:num w:numId="6" w16cid:durableId="122115151">
    <w:abstractNumId w:val="183"/>
  </w:num>
  <w:num w:numId="7" w16cid:durableId="808716045">
    <w:abstractNumId w:val="52"/>
  </w:num>
  <w:num w:numId="8" w16cid:durableId="1051323">
    <w:abstractNumId w:val="6"/>
  </w:num>
  <w:num w:numId="9" w16cid:durableId="1166941324">
    <w:abstractNumId w:val="72"/>
  </w:num>
  <w:num w:numId="10" w16cid:durableId="379016970">
    <w:abstractNumId w:val="44"/>
  </w:num>
  <w:num w:numId="11" w16cid:durableId="2141266372">
    <w:abstractNumId w:val="22"/>
  </w:num>
  <w:num w:numId="12" w16cid:durableId="134760052">
    <w:abstractNumId w:val="26"/>
  </w:num>
  <w:num w:numId="13" w16cid:durableId="1509249893">
    <w:abstractNumId w:val="94"/>
  </w:num>
  <w:num w:numId="14" w16cid:durableId="1909147449">
    <w:abstractNumId w:val="78"/>
  </w:num>
  <w:num w:numId="15" w16cid:durableId="110825701">
    <w:abstractNumId w:val="177"/>
  </w:num>
  <w:num w:numId="16" w16cid:durableId="209614413">
    <w:abstractNumId w:val="84"/>
  </w:num>
  <w:num w:numId="17" w16cid:durableId="636227271">
    <w:abstractNumId w:val="121"/>
  </w:num>
  <w:num w:numId="18" w16cid:durableId="679504212">
    <w:abstractNumId w:val="106"/>
  </w:num>
  <w:num w:numId="19" w16cid:durableId="2068525304">
    <w:abstractNumId w:val="126"/>
  </w:num>
  <w:num w:numId="20" w16cid:durableId="1100643523">
    <w:abstractNumId w:val="23"/>
  </w:num>
  <w:num w:numId="21" w16cid:durableId="1240141466">
    <w:abstractNumId w:val="105"/>
  </w:num>
  <w:num w:numId="22" w16cid:durableId="1141726058">
    <w:abstractNumId w:val="75"/>
  </w:num>
  <w:num w:numId="23" w16cid:durableId="446697594">
    <w:abstractNumId w:val="102"/>
  </w:num>
  <w:num w:numId="24" w16cid:durableId="640231713">
    <w:abstractNumId w:val="162"/>
  </w:num>
  <w:num w:numId="25" w16cid:durableId="1773697833">
    <w:abstractNumId w:val="103"/>
  </w:num>
  <w:num w:numId="26" w16cid:durableId="1467548499">
    <w:abstractNumId w:val="63"/>
  </w:num>
  <w:num w:numId="27" w16cid:durableId="1611232882">
    <w:abstractNumId w:val="55"/>
  </w:num>
  <w:num w:numId="28" w16cid:durableId="62458674">
    <w:abstractNumId w:val="13"/>
  </w:num>
  <w:num w:numId="29" w16cid:durableId="2019041073">
    <w:abstractNumId w:val="155"/>
  </w:num>
  <w:num w:numId="30" w16cid:durableId="909995456">
    <w:abstractNumId w:val="164"/>
  </w:num>
  <w:num w:numId="31" w16cid:durableId="2125343627">
    <w:abstractNumId w:val="176"/>
  </w:num>
  <w:num w:numId="32" w16cid:durableId="1800221371">
    <w:abstractNumId w:val="193"/>
  </w:num>
  <w:num w:numId="33" w16cid:durableId="1666322062">
    <w:abstractNumId w:val="93"/>
  </w:num>
  <w:num w:numId="34" w16cid:durableId="1443765484">
    <w:abstractNumId w:val="60"/>
  </w:num>
  <w:num w:numId="35" w16cid:durableId="1334188911">
    <w:abstractNumId w:val="113"/>
  </w:num>
  <w:num w:numId="36" w16cid:durableId="1552617295">
    <w:abstractNumId w:val="181"/>
  </w:num>
  <w:num w:numId="37" w16cid:durableId="1322998697">
    <w:abstractNumId w:val="127"/>
  </w:num>
  <w:num w:numId="38" w16cid:durableId="317617873">
    <w:abstractNumId w:val="34"/>
  </w:num>
  <w:num w:numId="39" w16cid:durableId="1120487596">
    <w:abstractNumId w:val="77"/>
  </w:num>
  <w:num w:numId="40" w16cid:durableId="405109538">
    <w:abstractNumId w:val="150"/>
  </w:num>
  <w:num w:numId="41" w16cid:durableId="657222772">
    <w:abstractNumId w:val="153"/>
  </w:num>
  <w:num w:numId="42" w16cid:durableId="1018892930">
    <w:abstractNumId w:val="100"/>
  </w:num>
  <w:num w:numId="43" w16cid:durableId="2009867267">
    <w:abstractNumId w:val="163"/>
  </w:num>
  <w:num w:numId="44" w16cid:durableId="2041540790">
    <w:abstractNumId w:val="101"/>
  </w:num>
  <w:num w:numId="45" w16cid:durableId="62997784">
    <w:abstractNumId w:val="158"/>
  </w:num>
  <w:num w:numId="46" w16cid:durableId="840315862">
    <w:abstractNumId w:val="69"/>
  </w:num>
  <w:num w:numId="47" w16cid:durableId="1485466244">
    <w:abstractNumId w:val="119"/>
  </w:num>
  <w:num w:numId="48" w16cid:durableId="1990013276">
    <w:abstractNumId w:val="80"/>
  </w:num>
  <w:num w:numId="49" w16cid:durableId="1511409632">
    <w:abstractNumId w:val="108"/>
  </w:num>
  <w:num w:numId="50" w16cid:durableId="519048944">
    <w:abstractNumId w:val="40"/>
  </w:num>
  <w:num w:numId="51" w16cid:durableId="914973076">
    <w:abstractNumId w:val="99"/>
  </w:num>
  <w:num w:numId="52" w16cid:durableId="1860969007">
    <w:abstractNumId w:val="12"/>
  </w:num>
  <w:num w:numId="53" w16cid:durableId="1191647357">
    <w:abstractNumId w:val="91"/>
  </w:num>
  <w:num w:numId="54" w16cid:durableId="1194346414">
    <w:abstractNumId w:val="64"/>
  </w:num>
  <w:num w:numId="55" w16cid:durableId="927350805">
    <w:abstractNumId w:val="134"/>
  </w:num>
  <w:num w:numId="56" w16cid:durableId="1402411633">
    <w:abstractNumId w:val="36"/>
  </w:num>
  <w:num w:numId="57" w16cid:durableId="2051178034">
    <w:abstractNumId w:val="174"/>
  </w:num>
  <w:num w:numId="58" w16cid:durableId="1220753289">
    <w:abstractNumId w:val="19"/>
  </w:num>
  <w:num w:numId="59" w16cid:durableId="1551844117">
    <w:abstractNumId w:val="4"/>
  </w:num>
  <w:num w:numId="60" w16cid:durableId="1730416624">
    <w:abstractNumId w:val="88"/>
  </w:num>
  <w:num w:numId="61" w16cid:durableId="1558786346">
    <w:abstractNumId w:val="123"/>
  </w:num>
  <w:num w:numId="62" w16cid:durableId="1226339450">
    <w:abstractNumId w:val="98"/>
  </w:num>
  <w:num w:numId="63" w16cid:durableId="32508468">
    <w:abstractNumId w:val="168"/>
  </w:num>
  <w:num w:numId="64" w16cid:durableId="363025555">
    <w:abstractNumId w:val="156"/>
  </w:num>
  <w:num w:numId="65" w16cid:durableId="445927682">
    <w:abstractNumId w:val="28"/>
  </w:num>
  <w:num w:numId="66" w16cid:durableId="48842208">
    <w:abstractNumId w:val="57"/>
  </w:num>
  <w:num w:numId="67" w16cid:durableId="1944216778">
    <w:abstractNumId w:val="154"/>
  </w:num>
  <w:num w:numId="68" w16cid:durableId="328288050">
    <w:abstractNumId w:val="109"/>
  </w:num>
  <w:num w:numId="69" w16cid:durableId="1038122153">
    <w:abstractNumId w:val="33"/>
  </w:num>
  <w:num w:numId="70" w16cid:durableId="1279410122">
    <w:abstractNumId w:val="117"/>
  </w:num>
  <w:num w:numId="71" w16cid:durableId="442386301">
    <w:abstractNumId w:val="139"/>
  </w:num>
  <w:num w:numId="72" w16cid:durableId="337389393">
    <w:abstractNumId w:val="172"/>
  </w:num>
  <w:num w:numId="73" w16cid:durableId="701980310">
    <w:abstractNumId w:val="186"/>
  </w:num>
  <w:num w:numId="74" w16cid:durableId="1121193725">
    <w:abstractNumId w:val="81"/>
  </w:num>
  <w:num w:numId="75" w16cid:durableId="1582595033">
    <w:abstractNumId w:val="0"/>
  </w:num>
  <w:num w:numId="76" w16cid:durableId="1092506317">
    <w:abstractNumId w:val="11"/>
  </w:num>
  <w:num w:numId="77" w16cid:durableId="718013370">
    <w:abstractNumId w:val="29"/>
  </w:num>
  <w:num w:numId="78" w16cid:durableId="1972396439">
    <w:abstractNumId w:val="71"/>
  </w:num>
  <w:num w:numId="79" w16cid:durableId="698550706">
    <w:abstractNumId w:val="16"/>
  </w:num>
  <w:num w:numId="80" w16cid:durableId="348875407">
    <w:abstractNumId w:val="31"/>
  </w:num>
  <w:num w:numId="81" w16cid:durableId="99381010">
    <w:abstractNumId w:val="7"/>
  </w:num>
  <w:num w:numId="82" w16cid:durableId="551158376">
    <w:abstractNumId w:val="157"/>
  </w:num>
  <w:num w:numId="83" w16cid:durableId="221134522">
    <w:abstractNumId w:val="137"/>
  </w:num>
  <w:num w:numId="84" w16cid:durableId="219295209">
    <w:abstractNumId w:val="187"/>
  </w:num>
  <w:num w:numId="85" w16cid:durableId="1043486317">
    <w:abstractNumId w:val="90"/>
  </w:num>
  <w:num w:numId="86" w16cid:durableId="725688220">
    <w:abstractNumId w:val="15"/>
  </w:num>
  <w:num w:numId="87" w16cid:durableId="144201418">
    <w:abstractNumId w:val="32"/>
  </w:num>
  <w:num w:numId="88" w16cid:durableId="1849902985">
    <w:abstractNumId w:val="43"/>
  </w:num>
  <w:num w:numId="89" w16cid:durableId="1502546628">
    <w:abstractNumId w:val="169"/>
  </w:num>
  <w:num w:numId="90" w16cid:durableId="1144733698">
    <w:abstractNumId w:val="136"/>
  </w:num>
  <w:num w:numId="91" w16cid:durableId="1547184702">
    <w:abstractNumId w:val="141"/>
  </w:num>
  <w:num w:numId="92" w16cid:durableId="1056785428">
    <w:abstractNumId w:val="10"/>
  </w:num>
  <w:num w:numId="93" w16cid:durableId="1168521250">
    <w:abstractNumId w:val="42"/>
  </w:num>
  <w:num w:numId="94" w16cid:durableId="1473597185">
    <w:abstractNumId w:val="140"/>
  </w:num>
  <w:num w:numId="95" w16cid:durableId="948321439">
    <w:abstractNumId w:val="53"/>
  </w:num>
  <w:num w:numId="96" w16cid:durableId="1789426871">
    <w:abstractNumId w:val="25"/>
  </w:num>
  <w:num w:numId="97" w16cid:durableId="661350585">
    <w:abstractNumId w:val="173"/>
  </w:num>
  <w:num w:numId="98" w16cid:durableId="380902103">
    <w:abstractNumId w:val="14"/>
  </w:num>
  <w:num w:numId="99" w16cid:durableId="1577860653">
    <w:abstractNumId w:val="185"/>
  </w:num>
  <w:num w:numId="100" w16cid:durableId="138353409">
    <w:abstractNumId w:val="18"/>
  </w:num>
  <w:num w:numId="101" w16cid:durableId="1071537963">
    <w:abstractNumId w:val="122"/>
  </w:num>
  <w:num w:numId="102" w16cid:durableId="1295065424">
    <w:abstractNumId w:val="30"/>
  </w:num>
  <w:num w:numId="103" w16cid:durableId="2136680666">
    <w:abstractNumId w:val="179"/>
  </w:num>
  <w:num w:numId="104" w16cid:durableId="414743369">
    <w:abstractNumId w:val="1"/>
  </w:num>
  <w:num w:numId="105" w16cid:durableId="1528323929">
    <w:abstractNumId w:val="142"/>
  </w:num>
  <w:num w:numId="106" w16cid:durableId="1216744662">
    <w:abstractNumId w:val="86"/>
  </w:num>
  <w:num w:numId="107" w16cid:durableId="1938371158">
    <w:abstractNumId w:val="182"/>
  </w:num>
  <w:num w:numId="108" w16cid:durableId="1774475790">
    <w:abstractNumId w:val="133"/>
  </w:num>
  <w:num w:numId="109" w16cid:durableId="1288273915">
    <w:abstractNumId w:val="76"/>
  </w:num>
  <w:num w:numId="110" w16cid:durableId="1457528535">
    <w:abstractNumId w:val="149"/>
  </w:num>
  <w:num w:numId="111" w16cid:durableId="1687442356">
    <w:abstractNumId w:val="138"/>
  </w:num>
  <w:num w:numId="112" w16cid:durableId="1112745519">
    <w:abstractNumId w:val="85"/>
  </w:num>
  <w:num w:numId="113" w16cid:durableId="28650014">
    <w:abstractNumId w:val="175"/>
  </w:num>
  <w:num w:numId="114" w16cid:durableId="303435972">
    <w:abstractNumId w:val="92"/>
  </w:num>
  <w:num w:numId="115" w16cid:durableId="1708942058">
    <w:abstractNumId w:val="143"/>
  </w:num>
  <w:num w:numId="116" w16cid:durableId="256060166">
    <w:abstractNumId w:val="128"/>
  </w:num>
  <w:num w:numId="117" w16cid:durableId="2026903543">
    <w:abstractNumId w:val="131"/>
  </w:num>
  <w:num w:numId="118" w16cid:durableId="841899537">
    <w:abstractNumId w:val="73"/>
  </w:num>
  <w:num w:numId="119" w16cid:durableId="1346442659">
    <w:abstractNumId w:val="45"/>
  </w:num>
  <w:num w:numId="120" w16cid:durableId="1620335068">
    <w:abstractNumId w:val="130"/>
  </w:num>
  <w:num w:numId="121" w16cid:durableId="1964727648">
    <w:abstractNumId w:val="192"/>
  </w:num>
  <w:num w:numId="122" w16cid:durableId="301233280">
    <w:abstractNumId w:val="190"/>
  </w:num>
  <w:num w:numId="123" w16cid:durableId="461309966">
    <w:abstractNumId w:val="2"/>
  </w:num>
  <w:num w:numId="124" w16cid:durableId="1567758829">
    <w:abstractNumId w:val="87"/>
  </w:num>
  <w:num w:numId="125" w16cid:durableId="1443189189">
    <w:abstractNumId w:val="189"/>
  </w:num>
  <w:num w:numId="126" w16cid:durableId="632758619">
    <w:abstractNumId w:val="20"/>
  </w:num>
  <w:num w:numId="127" w16cid:durableId="1754081987">
    <w:abstractNumId w:val="166"/>
  </w:num>
  <w:num w:numId="128" w16cid:durableId="1650328536">
    <w:abstractNumId w:val="171"/>
  </w:num>
  <w:num w:numId="129" w16cid:durableId="872767480">
    <w:abstractNumId w:val="67"/>
  </w:num>
  <w:num w:numId="130" w16cid:durableId="468668782">
    <w:abstractNumId w:val="47"/>
  </w:num>
  <w:num w:numId="131" w16cid:durableId="1139959908">
    <w:abstractNumId w:val="148"/>
  </w:num>
  <w:num w:numId="132" w16cid:durableId="1483547987">
    <w:abstractNumId w:val="132"/>
  </w:num>
  <w:num w:numId="133" w16cid:durableId="1072003877">
    <w:abstractNumId w:val="37"/>
  </w:num>
  <w:num w:numId="134" w16cid:durableId="1422027080">
    <w:abstractNumId w:val="65"/>
  </w:num>
  <w:num w:numId="135" w16cid:durableId="78790977">
    <w:abstractNumId w:val="9"/>
  </w:num>
  <w:num w:numId="136" w16cid:durableId="388042370">
    <w:abstractNumId w:val="188"/>
  </w:num>
  <w:num w:numId="137" w16cid:durableId="1279683162">
    <w:abstractNumId w:val="56"/>
  </w:num>
  <w:num w:numId="138" w16cid:durableId="1893224423">
    <w:abstractNumId w:val="161"/>
  </w:num>
  <w:num w:numId="139" w16cid:durableId="77143757">
    <w:abstractNumId w:val="107"/>
  </w:num>
  <w:num w:numId="140" w16cid:durableId="7146232">
    <w:abstractNumId w:val="62"/>
  </w:num>
  <w:num w:numId="141" w16cid:durableId="1726565543">
    <w:abstractNumId w:val="151"/>
  </w:num>
  <w:num w:numId="142" w16cid:durableId="130709807">
    <w:abstractNumId w:val="27"/>
  </w:num>
  <w:num w:numId="143" w16cid:durableId="593175046">
    <w:abstractNumId w:val="194"/>
  </w:num>
  <w:num w:numId="144" w16cid:durableId="1944536169">
    <w:abstractNumId w:val="115"/>
  </w:num>
  <w:num w:numId="145" w16cid:durableId="869344340">
    <w:abstractNumId w:val="50"/>
  </w:num>
  <w:num w:numId="146" w16cid:durableId="1606500537">
    <w:abstractNumId w:val="35"/>
  </w:num>
  <w:num w:numId="147" w16cid:durableId="388501430">
    <w:abstractNumId w:val="8"/>
  </w:num>
  <w:num w:numId="148" w16cid:durableId="510267479">
    <w:abstractNumId w:val="54"/>
  </w:num>
  <w:num w:numId="149" w16cid:durableId="1645424482">
    <w:abstractNumId w:val="152"/>
  </w:num>
  <w:num w:numId="150" w16cid:durableId="1771268724">
    <w:abstractNumId w:val="17"/>
  </w:num>
  <w:num w:numId="151" w16cid:durableId="2144809027">
    <w:abstractNumId w:val="46"/>
  </w:num>
  <w:num w:numId="152" w16cid:durableId="180363848">
    <w:abstractNumId w:val="70"/>
  </w:num>
  <w:num w:numId="153" w16cid:durableId="1004669198">
    <w:abstractNumId w:val="144"/>
  </w:num>
  <w:num w:numId="154" w16cid:durableId="560292001">
    <w:abstractNumId w:val="167"/>
  </w:num>
  <w:num w:numId="155" w16cid:durableId="484319481">
    <w:abstractNumId w:val="184"/>
  </w:num>
  <w:num w:numId="156" w16cid:durableId="1001205036">
    <w:abstractNumId w:val="104"/>
  </w:num>
  <w:num w:numId="157" w16cid:durableId="908001740">
    <w:abstractNumId w:val="170"/>
  </w:num>
  <w:num w:numId="158" w16cid:durableId="618537729">
    <w:abstractNumId w:val="89"/>
  </w:num>
  <w:num w:numId="159" w16cid:durableId="1451363049">
    <w:abstractNumId w:val="5"/>
  </w:num>
  <w:num w:numId="160" w16cid:durableId="1696735388">
    <w:abstractNumId w:val="95"/>
  </w:num>
  <w:num w:numId="161" w16cid:durableId="1267812540">
    <w:abstractNumId w:val="41"/>
  </w:num>
  <w:num w:numId="162" w16cid:durableId="1825657256">
    <w:abstractNumId w:val="38"/>
  </w:num>
  <w:num w:numId="163" w16cid:durableId="1418479757">
    <w:abstractNumId w:val="59"/>
  </w:num>
  <w:num w:numId="164" w16cid:durableId="859857572">
    <w:abstractNumId w:val="124"/>
  </w:num>
  <w:num w:numId="165" w16cid:durableId="1107386116">
    <w:abstractNumId w:val="82"/>
  </w:num>
  <w:num w:numId="166" w16cid:durableId="1826900013">
    <w:abstractNumId w:val="147"/>
  </w:num>
  <w:num w:numId="167" w16cid:durableId="519198821">
    <w:abstractNumId w:val="112"/>
  </w:num>
  <w:num w:numId="168" w16cid:durableId="2104449812">
    <w:abstractNumId w:val="110"/>
  </w:num>
  <w:num w:numId="169" w16cid:durableId="1863087132">
    <w:abstractNumId w:val="191"/>
  </w:num>
  <w:num w:numId="170" w16cid:durableId="1245334780">
    <w:abstractNumId w:val="97"/>
  </w:num>
  <w:num w:numId="171" w16cid:durableId="1402675612">
    <w:abstractNumId w:val="180"/>
  </w:num>
  <w:num w:numId="172" w16cid:durableId="2115517409">
    <w:abstractNumId w:val="66"/>
  </w:num>
  <w:num w:numId="173" w16cid:durableId="808664957">
    <w:abstractNumId w:val="111"/>
  </w:num>
  <w:num w:numId="174" w16cid:durableId="715785548">
    <w:abstractNumId w:val="24"/>
  </w:num>
  <w:num w:numId="175" w16cid:durableId="1882668688">
    <w:abstractNumId w:val="135"/>
  </w:num>
  <w:num w:numId="176" w16cid:durableId="336619131">
    <w:abstractNumId w:val="118"/>
  </w:num>
  <w:num w:numId="177" w16cid:durableId="1494444382">
    <w:abstractNumId w:val="165"/>
  </w:num>
  <w:num w:numId="178" w16cid:durableId="113058731">
    <w:abstractNumId w:val="125"/>
  </w:num>
  <w:num w:numId="179" w16cid:durableId="34887045">
    <w:abstractNumId w:val="120"/>
  </w:num>
  <w:num w:numId="180" w16cid:durableId="612830557">
    <w:abstractNumId w:val="68"/>
  </w:num>
  <w:num w:numId="181" w16cid:durableId="703868548">
    <w:abstractNumId w:val="74"/>
  </w:num>
  <w:num w:numId="182" w16cid:durableId="1767456481">
    <w:abstractNumId w:val="129"/>
  </w:num>
  <w:num w:numId="183" w16cid:durableId="911507172">
    <w:abstractNumId w:val="48"/>
  </w:num>
  <w:num w:numId="184" w16cid:durableId="425006044">
    <w:abstractNumId w:val="58"/>
  </w:num>
  <w:num w:numId="185" w16cid:durableId="1672561125">
    <w:abstractNumId w:val="51"/>
  </w:num>
  <w:num w:numId="186" w16cid:durableId="865486775">
    <w:abstractNumId w:val="146"/>
  </w:num>
  <w:num w:numId="187" w16cid:durableId="1062480371">
    <w:abstractNumId w:val="178"/>
  </w:num>
  <w:num w:numId="188" w16cid:durableId="1295519911">
    <w:abstractNumId w:val="160"/>
  </w:num>
  <w:num w:numId="189" w16cid:durableId="1548449677">
    <w:abstractNumId w:val="3"/>
  </w:num>
  <w:num w:numId="190" w16cid:durableId="524752643">
    <w:abstractNumId w:val="49"/>
  </w:num>
  <w:num w:numId="191" w16cid:durableId="220677452">
    <w:abstractNumId w:val="96"/>
  </w:num>
  <w:num w:numId="192" w16cid:durableId="203565909">
    <w:abstractNumId w:val="21"/>
  </w:num>
  <w:num w:numId="193" w16cid:durableId="1699501708">
    <w:abstractNumId w:val="116"/>
  </w:num>
  <w:num w:numId="194" w16cid:durableId="1443501470">
    <w:abstractNumId w:val="61"/>
  </w:num>
  <w:num w:numId="195" w16cid:durableId="1119685831">
    <w:abstractNumId w:val="79"/>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isclosure_Version" w:val="true"/>
  </w:docVar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A5A23D6-FDA8-4936-B845-03801C45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ffff2">
    <w:name w:val="Normal"/>
    <w:qFormat/>
    <w:rPr>
      <w:rFonts w:ascii="宋体" w:hAnsi="宋体" w:cs="宋体"/>
      <w:szCs w:val="24"/>
    </w:rPr>
  </w:style>
  <w:style w:type="paragraph" w:styleId="1">
    <w:name w:val="heading 1"/>
    <w:basedOn w:val="afffff2"/>
    <w:next w:val="afffff2"/>
    <w:link w:val="10"/>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fffff2"/>
    <w:next w:val="afffff2"/>
    <w:link w:val="20"/>
    <w:qFormat/>
    <w:pPr>
      <w:keepNext/>
      <w:keepLines/>
      <w:widowControl w:val="0"/>
      <w:spacing w:before="60" w:line="360" w:lineRule="auto"/>
      <w:jc w:val="both"/>
      <w:outlineLvl w:val="1"/>
    </w:pPr>
    <w:rPr>
      <w:rFonts w:ascii="Arial" w:hAnsi="Arial" w:cs="Times New Roman"/>
      <w:b/>
      <w:bCs/>
      <w:kern w:val="2"/>
      <w:szCs w:val="21"/>
    </w:rPr>
  </w:style>
  <w:style w:type="paragraph" w:styleId="3">
    <w:name w:val="heading 3"/>
    <w:basedOn w:val="afffff2"/>
    <w:next w:val="afffff2"/>
    <w:link w:val="30"/>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styleId="4">
    <w:name w:val="heading 4"/>
    <w:basedOn w:val="afffff2"/>
    <w:next w:val="afffff2"/>
    <w:link w:val="40"/>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styleId="5">
    <w:name w:val="heading 5"/>
    <w:basedOn w:val="afffff2"/>
    <w:next w:val="afffff2"/>
    <w:link w:val="50"/>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styleId="6">
    <w:name w:val="heading 6"/>
    <w:basedOn w:val="afffff2"/>
    <w:next w:val="afffff2"/>
    <w:link w:val="60"/>
    <w:uiPriority w:val="9"/>
    <w:unhideWhenUsed/>
    <w:qFormat/>
    <w:pPr>
      <w:keepNext/>
      <w:keepLines/>
      <w:spacing w:before="60" w:after="60"/>
      <w:outlineLvl w:val="5"/>
    </w:pPr>
    <w:rPr>
      <w:rFonts w:asciiTheme="majorHAnsi" w:hAnsiTheme="majorHAnsi" w:cstheme="majorBidi"/>
      <w:b/>
      <w:bCs/>
    </w:rPr>
  </w:style>
  <w:style w:type="character" w:default="1" w:styleId="afffff3">
    <w:name w:val="Default Paragraph Font"/>
    <w:uiPriority w:val="1"/>
    <w:semiHidden/>
    <w:unhideWhenUsed/>
  </w:style>
  <w:style w:type="table" w:default="1" w:styleId="afffff4">
    <w:name w:val="Normal Table"/>
    <w:link w:val="afffff5"/>
    <w:uiPriority w:val="99"/>
    <w:semiHidden/>
    <w:unhideWhenUsed/>
    <w:tblPr>
      <w:tblInd w:w="0" w:type="dxa"/>
      <w:tblCellMar>
        <w:top w:w="0" w:type="dxa"/>
        <w:left w:w="108" w:type="dxa"/>
        <w:bottom w:w="0" w:type="dxa"/>
        <w:right w:w="108" w:type="dxa"/>
      </w:tblCellMar>
    </w:tblPr>
  </w:style>
  <w:style w:type="numbering" w:default="1" w:styleId="afffff6">
    <w:name w:val="No List"/>
    <w:uiPriority w:val="99"/>
    <w:semiHidden/>
    <w:unhideWhenUsed/>
  </w:style>
  <w:style w:type="character" w:customStyle="1" w:styleId="10">
    <w:name w:val="标题 1 字符"/>
    <w:basedOn w:val="afffff3"/>
    <w:link w:val="1"/>
    <w:uiPriority w:val="99"/>
    <w:rPr>
      <w:rFonts w:eastAsia="黑体"/>
      <w:b/>
      <w:bCs/>
      <w:kern w:val="44"/>
      <w:sz w:val="28"/>
      <w:szCs w:val="44"/>
    </w:rPr>
  </w:style>
  <w:style w:type="character" w:customStyle="1" w:styleId="20">
    <w:name w:val="标题 2 字符"/>
    <w:aliases w:val="标题 2 Char Char Char 字符"/>
    <w:basedOn w:val="afffff3"/>
    <w:link w:val="2"/>
    <w:rPr>
      <w:rFonts w:ascii="Arial" w:hAnsi="Arial"/>
      <w:b/>
      <w:bCs/>
      <w:kern w:val="2"/>
      <w:sz w:val="21"/>
      <w:szCs w:val="21"/>
    </w:rPr>
  </w:style>
  <w:style w:type="character" w:customStyle="1" w:styleId="30">
    <w:name w:val="标题 3 字符"/>
    <w:basedOn w:val="afffff3"/>
    <w:link w:val="3"/>
    <w:uiPriority w:val="9"/>
    <w:qFormat/>
    <w:rPr>
      <w:b/>
      <w:bCs/>
      <w:kern w:val="2"/>
      <w:sz w:val="21"/>
      <w:szCs w:val="32"/>
    </w:rPr>
  </w:style>
  <w:style w:type="character" w:customStyle="1" w:styleId="40">
    <w:name w:val="标题 4 字符"/>
    <w:basedOn w:val="afffff3"/>
    <w:link w:val="4"/>
    <w:uiPriority w:val="9"/>
    <w:qFormat/>
    <w:rPr>
      <w:rFonts w:asciiTheme="minorEastAsia" w:eastAsiaTheme="minorEastAsia" w:hAnsiTheme="minorEastAsia"/>
      <w:b/>
      <w:bCs/>
      <w:kern w:val="2"/>
      <w:sz w:val="21"/>
      <w:szCs w:val="28"/>
    </w:rPr>
  </w:style>
  <w:style w:type="character" w:customStyle="1" w:styleId="50">
    <w:name w:val="标题 5 字符"/>
    <w:basedOn w:val="afffff3"/>
    <w:link w:val="5"/>
    <w:uiPriority w:val="9"/>
    <w:rPr>
      <w:b/>
      <w:bCs/>
      <w:kern w:val="2"/>
      <w:sz w:val="21"/>
      <w:szCs w:val="28"/>
    </w:rPr>
  </w:style>
  <w:style w:type="paragraph" w:styleId="TOC1">
    <w:name w:val="toc 1"/>
    <w:basedOn w:val="afffff2"/>
    <w:next w:val="afffff2"/>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table" w:styleId="afffff7">
    <w:name w:val="Table Grid"/>
    <w:basedOn w:val="afffff4"/>
    <w:link w:val="afffff8"/>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9">
    <w:name w:val="Salutation"/>
    <w:basedOn w:val="afffff2"/>
    <w:next w:val="afffff2"/>
    <w:link w:val="afffffa"/>
    <w:uiPriority w:val="99"/>
    <w:qFormat/>
    <w:pPr>
      <w:widowControl w:val="0"/>
      <w:jc w:val="both"/>
    </w:pPr>
    <w:rPr>
      <w:rFonts w:ascii="Times New Roman" w:hAnsi="Times New Roman" w:cs="Times New Roman"/>
      <w:kern w:val="2"/>
      <w:szCs w:val="21"/>
    </w:rPr>
  </w:style>
  <w:style w:type="character" w:customStyle="1" w:styleId="afffffa">
    <w:name w:val="称呼 字符"/>
    <w:basedOn w:val="afffff3"/>
    <w:link w:val="afffff9"/>
    <w:uiPriority w:val="99"/>
    <w:rPr>
      <w:rFonts w:ascii="Times New Roman" w:eastAsia="宋体" w:hAnsi="Times New Roman" w:cs="Times New Roman"/>
      <w:szCs w:val="21"/>
    </w:rPr>
  </w:style>
  <w:style w:type="paragraph" w:styleId="afffffb">
    <w:name w:val="List Paragraph"/>
    <w:basedOn w:val="afffff2"/>
    <w:link w:val="afffffc"/>
    <w:uiPriority w:val="34"/>
    <w:qFormat/>
    <w:pPr>
      <w:widowControl w:val="0"/>
      <w:ind w:firstLineChars="200" w:firstLine="420"/>
      <w:jc w:val="both"/>
    </w:pPr>
    <w:rPr>
      <w:rFonts w:ascii="Calibri" w:hAnsi="Calibri" w:cs="Times New Roman"/>
      <w:kern w:val="2"/>
      <w:szCs w:val="22"/>
    </w:rPr>
  </w:style>
  <w:style w:type="paragraph" w:styleId="afffffd">
    <w:name w:val="header"/>
    <w:basedOn w:val="afffff2"/>
    <w:link w:val="afffffe"/>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e">
    <w:name w:val="页眉 字符"/>
    <w:basedOn w:val="afffff3"/>
    <w:link w:val="afffffd"/>
    <w:uiPriority w:val="99"/>
    <w:rPr>
      <w:rFonts w:ascii="Calibri" w:eastAsia="宋体" w:hAnsi="Calibri" w:cs="Times New Roman"/>
      <w:sz w:val="18"/>
      <w:szCs w:val="18"/>
    </w:rPr>
  </w:style>
  <w:style w:type="paragraph" w:styleId="affffff">
    <w:name w:val="footer"/>
    <w:basedOn w:val="afffff2"/>
    <w:link w:val="affffff0"/>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0">
    <w:name w:val="页脚 字符"/>
    <w:basedOn w:val="afffff3"/>
    <w:link w:val="affffff"/>
    <w:uiPriority w:val="99"/>
    <w:rPr>
      <w:rFonts w:ascii="Calibri" w:eastAsia="宋体" w:hAnsi="Calibri" w:cs="Times New Roman"/>
      <w:sz w:val="18"/>
      <w:szCs w:val="18"/>
    </w:rPr>
  </w:style>
  <w:style w:type="paragraph" w:styleId="affffff1">
    <w:name w:val="Plain Text"/>
    <w:basedOn w:val="afffff2"/>
    <w:link w:val="affffff2"/>
    <w:pPr>
      <w:widowControl w:val="0"/>
      <w:jc w:val="both"/>
    </w:pPr>
    <w:rPr>
      <w:rFonts w:hAnsi="Courier New" w:cs="Times New Roman"/>
      <w:kern w:val="2"/>
      <w:szCs w:val="20"/>
    </w:rPr>
  </w:style>
  <w:style w:type="character" w:customStyle="1" w:styleId="affffff2">
    <w:name w:val="纯文本 字符"/>
    <w:basedOn w:val="afffff3"/>
    <w:link w:val="affffff1"/>
    <w:rPr>
      <w:rFonts w:ascii="宋体" w:eastAsia="宋体" w:hAnsi="Courier New" w:cs="Times New Roman"/>
      <w:szCs w:val="20"/>
    </w:rPr>
  </w:style>
  <w:style w:type="paragraph" w:styleId="affffff3">
    <w:name w:val="Note Heading"/>
    <w:basedOn w:val="afffff2"/>
    <w:next w:val="afffff2"/>
    <w:link w:val="affffff4"/>
    <w:uiPriority w:val="99"/>
    <w:pPr>
      <w:widowControl w:val="0"/>
      <w:jc w:val="center"/>
    </w:pPr>
    <w:rPr>
      <w:rFonts w:ascii="Times New Roman" w:hAnsi="Times New Roman" w:cs="Times New Roman"/>
      <w:kern w:val="2"/>
      <w:szCs w:val="21"/>
    </w:rPr>
  </w:style>
  <w:style w:type="character" w:customStyle="1" w:styleId="affffff4">
    <w:name w:val="注释标题 字符"/>
    <w:basedOn w:val="afffff3"/>
    <w:link w:val="affffff3"/>
    <w:uiPriority w:val="99"/>
    <w:rPr>
      <w:rFonts w:ascii="Times New Roman" w:eastAsia="宋体" w:hAnsi="Times New Roman" w:cs="Times New Roman"/>
      <w:szCs w:val="21"/>
    </w:rPr>
  </w:style>
  <w:style w:type="paragraph" w:styleId="affffff5">
    <w:name w:val="No Spacing"/>
    <w:link w:val="affffff6"/>
    <w:uiPriority w:val="1"/>
    <w:qFormat/>
    <w:pPr>
      <w:widowControl w:val="0"/>
      <w:jc w:val="both"/>
    </w:pPr>
    <w:rPr>
      <w:kern w:val="2"/>
      <w:szCs w:val="22"/>
    </w:rPr>
  </w:style>
  <w:style w:type="character" w:customStyle="1" w:styleId="60">
    <w:name w:val="标题 6 字符"/>
    <w:basedOn w:val="afffff3"/>
    <w:link w:val="6"/>
    <w:uiPriority w:val="9"/>
    <w:rPr>
      <w:rFonts w:asciiTheme="majorHAnsi" w:hAnsiTheme="majorHAnsi" w:cstheme="majorBidi"/>
      <w:b/>
      <w:bCs/>
      <w:sz w:val="21"/>
      <w:szCs w:val="24"/>
    </w:rPr>
  </w:style>
  <w:style w:type="paragraph" w:styleId="affffff7">
    <w:name w:val="Normal (Web)"/>
    <w:basedOn w:val="afffff2"/>
    <w:link w:val="affffff8"/>
    <w:uiPriority w:val="99"/>
    <w:pPr>
      <w:spacing w:before="100" w:beforeAutospacing="1" w:after="100" w:afterAutospacing="1"/>
    </w:pPr>
    <w:rPr>
      <w:sz w:val="24"/>
    </w:rPr>
  </w:style>
  <w:style w:type="paragraph" w:styleId="affffff9">
    <w:name w:val="Normal Indent"/>
    <w:basedOn w:val="afffff2"/>
    <w:link w:val="affffffa"/>
    <w:pPr>
      <w:widowControl w:val="0"/>
      <w:ind w:firstLineChars="200" w:firstLine="420"/>
      <w:jc w:val="both"/>
    </w:pPr>
    <w:rPr>
      <w:rFonts w:ascii="Times New Roman" w:hAnsi="Times New Roman" w:cs="Times New Roman"/>
      <w:kern w:val="2"/>
      <w:szCs w:val="21"/>
    </w:rPr>
  </w:style>
  <w:style w:type="paragraph" w:customStyle="1" w:styleId="11">
    <w:name w:val="1"/>
    <w:basedOn w:val="afffff2"/>
    <w:next w:val="afffffb"/>
    <w:link w:val="affffffb"/>
    <w:uiPriority w:val="34"/>
    <w:qFormat/>
    <w:pPr>
      <w:widowControl w:val="0"/>
      <w:ind w:firstLineChars="200" w:firstLine="420"/>
      <w:jc w:val="both"/>
    </w:pPr>
    <w:rPr>
      <w:rFonts w:ascii="Calibri" w:hAnsi="Calibri" w:cs="Times New Roman"/>
      <w:kern w:val="2"/>
      <w:szCs w:val="22"/>
    </w:rPr>
  </w:style>
  <w:style w:type="paragraph" w:customStyle="1" w:styleId="TableParagraph">
    <w:name w:val="Table Paragraph"/>
    <w:basedOn w:val="afffff2"/>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paragraph" w:customStyle="1" w:styleId="51">
    <w:name w:val="5"/>
    <w:basedOn w:val="afffff2"/>
    <w:next w:val="afffffb"/>
    <w:link w:val="affffffc"/>
    <w:uiPriority w:val="34"/>
    <w:qFormat/>
    <w:pPr>
      <w:widowControl w:val="0"/>
      <w:ind w:firstLineChars="200" w:firstLine="420"/>
      <w:jc w:val="both"/>
    </w:pPr>
    <w:rPr>
      <w:rFonts w:ascii="Calibri" w:hAnsi="Calibri" w:cs="Times New Roman"/>
      <w:kern w:val="2"/>
      <w:szCs w:val="22"/>
    </w:rPr>
  </w:style>
  <w:style w:type="table" w:customStyle="1" w:styleId="g114">
    <w:name w:val="g114"/>
    <w:basedOn w:val="afffff4"/>
    <w:uiPriority w:val="59"/>
    <w:qFormat/>
    <w:pPr>
      <w:widowControl w:val="0"/>
      <w:jc w:val="both"/>
    </w:pPr>
    <w:rPr>
      <w:rFonts w:ascii="Times New Roman" w:eastAsia="Times New Roman" w:hAnsi="Times New Roman"/>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
    <w:name w:val="g2"/>
    <w:uiPriority w:val="99"/>
    <w:semiHidden/>
    <w:unhideWhenUsed/>
    <w:rPr>
      <w:sz w:val="20"/>
      <w:szCs w:val="20"/>
    </w:rPr>
    <w:tblPr>
      <w:tblInd w:w="0" w:type="dxa"/>
      <w:tblCellMar>
        <w:top w:w="0" w:type="dxa"/>
        <w:left w:w="108" w:type="dxa"/>
        <w:bottom w:w="0" w:type="dxa"/>
        <w:right w:w="108" w:type="dxa"/>
      </w:tblCellMar>
    </w:tblPr>
  </w:style>
  <w:style w:type="character" w:customStyle="1" w:styleId="affffff8">
    <w:name w:val="普通(网站) 字符"/>
    <w:basedOn w:val="afffff3"/>
    <w:link w:val="affffff7"/>
    <w:uiPriority w:val="99"/>
    <w:rPr>
      <w:rFonts w:ascii="宋体" w:hAnsi="宋体" w:cs="宋体"/>
      <w:sz w:val="24"/>
      <w:szCs w:val="24"/>
    </w:rPr>
  </w:style>
  <w:style w:type="character" w:customStyle="1" w:styleId="afffffc">
    <w:name w:val="列表段落 字符"/>
    <w:basedOn w:val="afffff3"/>
    <w:link w:val="afffffb"/>
    <w:uiPriority w:val="34"/>
    <w:rPr>
      <w:kern w:val="2"/>
      <w:szCs w:val="22"/>
    </w:rPr>
  </w:style>
  <w:style w:type="character" w:customStyle="1" w:styleId="affffff6">
    <w:name w:val="无间隔 字符"/>
    <w:basedOn w:val="afffff3"/>
    <w:link w:val="affffff5"/>
    <w:uiPriority w:val="1"/>
    <w:rPr>
      <w:kern w:val="2"/>
      <w:szCs w:val="22"/>
    </w:rPr>
  </w:style>
  <w:style w:type="character" w:customStyle="1" w:styleId="affffffa">
    <w:name w:val="正文缩进 字符"/>
    <w:basedOn w:val="afffff3"/>
    <w:link w:val="affffff9"/>
    <w:unhideWhenUsed/>
    <w:rPr>
      <w:rFonts w:ascii="Times New Roman" w:hAnsi="Times New Roman"/>
      <w:kern w:val="2"/>
    </w:rPr>
  </w:style>
  <w:style w:type="table" w:customStyle="1" w:styleId="110">
    <w:name w:val="网格型11"/>
    <w:basedOn w:val="afffff4"/>
    <w:uiPriority w:val="59"/>
    <w:qFormat/>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2611">
    <w:name w:val="g2611"/>
    <w:uiPriority w:val="99"/>
    <w:semiHidden/>
    <w:rPr>
      <w:rFonts w:ascii="宋体" w:hAnsi="宋体" w:cs="Calibri"/>
      <w:kern w:val="2"/>
      <w:szCs w:val="28"/>
    </w:rPr>
    <w:tblPr>
      <w:tblCellMar>
        <w:top w:w="0" w:type="dxa"/>
        <w:left w:w="108" w:type="dxa"/>
        <w:bottom w:w="0" w:type="dxa"/>
        <w:right w:w="108" w:type="dxa"/>
      </w:tblCellMar>
    </w:tblPr>
  </w:style>
  <w:style w:type="table" w:customStyle="1" w:styleId="g262">
    <w:name w:val="g262"/>
    <w:uiPriority w:val="99"/>
    <w:semiHidden/>
    <w:rPr>
      <w:rFonts w:ascii="宋体" w:hAnsi="宋体" w:cs="Calibri"/>
      <w:kern w:val="2"/>
      <w:szCs w:val="28"/>
    </w:rPr>
    <w:tblPr>
      <w:tblCellMar>
        <w:top w:w="0" w:type="dxa"/>
        <w:left w:w="108" w:type="dxa"/>
        <w:bottom w:w="0" w:type="dxa"/>
        <w:right w:w="108" w:type="dxa"/>
      </w:tblCellMar>
    </w:tblPr>
  </w:style>
  <w:style w:type="table" w:customStyle="1" w:styleId="g11">
    <w:name w:val="g11"/>
    <w:uiPriority w:val="99"/>
    <w:semiHidden/>
    <w:rPr>
      <w:rFonts w:ascii="宋体" w:hAnsi="宋体" w:cs="Calibri"/>
      <w:kern w:val="2"/>
      <w:szCs w:val="28"/>
    </w:rPr>
    <w:tblPr>
      <w:tblCellMar>
        <w:top w:w="0" w:type="dxa"/>
        <w:left w:w="108" w:type="dxa"/>
        <w:bottom w:w="0" w:type="dxa"/>
        <w:right w:w="108" w:type="dxa"/>
      </w:tblCellMar>
    </w:tblPr>
  </w:style>
  <w:style w:type="table" w:customStyle="1" w:styleId="g1011">
    <w:name w:val="g1011"/>
    <w:basedOn w:val="afffff4"/>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1"/>
    <w:basedOn w:val="afffff4"/>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102">
    <w:name w:val="g102"/>
    <w:uiPriority w:val="99"/>
    <w:semiHidden/>
    <w:qFormat/>
    <w:rPr>
      <w:rFonts w:ascii="宋体" w:hAnsi="宋体" w:cs="Calibri"/>
      <w:kern w:val="2"/>
      <w:szCs w:val="28"/>
    </w:rPr>
    <w:tblPr>
      <w:tblCellMar>
        <w:top w:w="0" w:type="dxa"/>
        <w:left w:w="108" w:type="dxa"/>
        <w:bottom w:w="0" w:type="dxa"/>
        <w:right w:w="108" w:type="dxa"/>
      </w:tblCellMar>
    </w:tblPr>
  </w:style>
  <w:style w:type="table" w:customStyle="1" w:styleId="g5">
    <w:name w:val="g5"/>
    <w:semiHidden/>
    <w:qFormat/>
    <w:tblPr>
      <w:tblCellMar>
        <w:top w:w="0" w:type="dxa"/>
        <w:left w:w="108" w:type="dxa"/>
        <w:bottom w:w="0" w:type="dxa"/>
        <w:right w:w="108" w:type="dxa"/>
      </w:tblCellMar>
    </w:tblPr>
  </w:style>
  <w:style w:type="table" w:customStyle="1" w:styleId="g12">
    <w:name w:val="g12"/>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18">
    <w:name w:val="g18"/>
    <w:uiPriority w:val="99"/>
    <w:semiHidden/>
    <w:unhideWhenUsed/>
    <w:qFormat/>
    <w:tblPr>
      <w:tblCellMar>
        <w:top w:w="0" w:type="dxa"/>
        <w:left w:w="108" w:type="dxa"/>
        <w:bottom w:w="0" w:type="dxa"/>
        <w:right w:w="108" w:type="dxa"/>
      </w:tblCellMar>
    </w:tblPr>
  </w:style>
  <w:style w:type="table" w:customStyle="1" w:styleId="g19">
    <w:name w:val="g1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g22">
    <w:name w:val="g22"/>
    <w:qFormat/>
    <w:rPr>
      <w:rFonts w:ascii="宋体" w:hAnsi="宋体"/>
      <w:kern w:val="2"/>
    </w:rPr>
    <w:tblPr>
      <w:tblCellMar>
        <w:top w:w="0" w:type="dxa"/>
        <w:left w:w="0" w:type="dxa"/>
        <w:bottom w:w="0" w:type="dxa"/>
        <w:right w:w="0" w:type="dxa"/>
      </w:tblCellMar>
    </w:tblPr>
  </w:style>
  <w:style w:type="paragraph" w:customStyle="1" w:styleId="affffffd">
    <w:link w:val="affffffe"/>
    <w:qFormat/>
    <w:rPr>
      <w:rFonts w:ascii="宋体" w:hAnsi="宋体" w:cs="宋体"/>
      <w:szCs w:val="24"/>
    </w:rPr>
  </w:style>
  <w:style w:type="paragraph" w:customStyle="1" w:styleId="afffffff">
    <w:basedOn w:val="affffffd"/>
    <w:link w:val="afffffff0"/>
    <w:semiHidden/>
    <w:unhideWhenUsed/>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1">
    <w:basedOn w:val="affffffd"/>
    <w:link w:val="afffffff2"/>
    <w:semiHidden/>
    <w:unhideWhenUsed/>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3">
    <w:basedOn w:val="affffffd"/>
    <w:link w:val="afffffff4"/>
    <w:semiHidden/>
    <w:unhideWhenUsed/>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5">
    <w:basedOn w:val="affffffd"/>
    <w:link w:val="afffffff6"/>
    <w:semiHidden/>
    <w:unhideWhenUsed/>
    <w:qFormat/>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7">
    <w:link w:val="afffffff8"/>
    <w:semiHidden/>
    <w:qFormat/>
  </w:style>
  <w:style w:type="paragraph" w:customStyle="1" w:styleId="affffffc">
    <w:basedOn w:val="affffffd"/>
    <w:link w:val="51"/>
    <w:pPr>
      <w:widowControl w:val="0"/>
      <w:jc w:val="both"/>
    </w:pPr>
    <w:rPr>
      <w:rFonts w:ascii="Times New Roman" w:hAnsi="Times New Roman" w:cs="Times New Roman"/>
      <w:kern w:val="2"/>
      <w:szCs w:val="21"/>
    </w:rPr>
  </w:style>
  <w:style w:type="character" w:customStyle="1" w:styleId="affffffb">
    <w:basedOn w:val="afffffff7"/>
    <w:link w:val="11"/>
    <w:uiPriority w:val="99"/>
    <w:qFormat/>
    <w:rPr>
      <w:rFonts w:ascii="Times New Roman" w:eastAsia="宋体" w:hAnsi="Times New Roman" w:cs="Times New Roman"/>
      <w:szCs w:val="21"/>
    </w:rPr>
  </w:style>
  <w:style w:type="paragraph" w:customStyle="1" w:styleId="afffffff9">
    <w:basedOn w:val="affffffd"/>
    <w:link w:val="afffffffa"/>
    <w:uiPriority w:val="34"/>
    <w:qFormat/>
    <w:pPr>
      <w:widowControl w:val="0"/>
      <w:ind w:firstLineChars="200" w:firstLine="420"/>
      <w:jc w:val="both"/>
    </w:pPr>
    <w:rPr>
      <w:rFonts w:ascii="Calibri" w:hAnsi="Calibri" w:cs="Times New Roman"/>
      <w:kern w:val="2"/>
      <w:szCs w:val="22"/>
    </w:rPr>
  </w:style>
  <w:style w:type="paragraph" w:customStyle="1" w:styleId="afffffffb">
    <w:link w:val="afffffffc"/>
    <w:uiPriority w:val="1"/>
    <w:qFormat/>
    <w:pPr>
      <w:widowControl w:val="0"/>
      <w:jc w:val="both"/>
    </w:pPr>
    <w:rPr>
      <w:kern w:val="2"/>
      <w:szCs w:val="22"/>
    </w:rPr>
  </w:style>
  <w:style w:type="paragraph" w:customStyle="1" w:styleId="afffffffd">
    <w:link w:val="afffffffe"/>
    <w:qFormat/>
    <w:rPr>
      <w:rFonts w:ascii="宋体" w:hAnsi="宋体" w:cs="宋体"/>
    </w:rPr>
  </w:style>
  <w:style w:type="table" w:customStyle="1" w:styleId="g1">
    <w:name w:val="g1"/>
    <w:uiPriority w:val="99"/>
    <w:semiHidden/>
    <w:unhideWhenUsed/>
    <w:qFormat/>
    <w:tblPr>
      <w:tblCellMar>
        <w:top w:w="0" w:type="dxa"/>
        <w:left w:w="108" w:type="dxa"/>
        <w:bottom w:w="0" w:type="dxa"/>
        <w:right w:w="108" w:type="dxa"/>
      </w:tblCellMar>
    </w:tblPr>
  </w:style>
  <w:style w:type="table" w:customStyle="1" w:styleId="g6">
    <w:name w:val="g6"/>
    <w:autoRedefine/>
    <w:uiPriority w:val="99"/>
    <w:semiHidden/>
    <w:unhideWhenUsed/>
    <w:qFormat/>
    <w:rPr>
      <w:rFonts w:ascii="宋体" w:hAnsi="宋体" w:cs="宋体"/>
    </w:rPr>
    <w:tblPr>
      <w:tblCellMar>
        <w:top w:w="0" w:type="dxa"/>
        <w:left w:w="108" w:type="dxa"/>
        <w:bottom w:w="0" w:type="dxa"/>
        <w:right w:w="108" w:type="dxa"/>
      </w:tblCellMar>
    </w:tblPr>
  </w:style>
  <w:style w:type="paragraph" w:customStyle="1" w:styleId="affffffff">
    <w:link w:val="affffffff0"/>
    <w:qFormat/>
    <w:rPr>
      <w:rFonts w:ascii="宋体" w:hAnsi="宋体" w:cs="宋体"/>
      <w:szCs w:val="24"/>
    </w:rPr>
  </w:style>
  <w:style w:type="paragraph" w:customStyle="1" w:styleId="affffffff1">
    <w:basedOn w:val="affffffff"/>
    <w:link w:val="affffffff2"/>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3">
    <w:basedOn w:val="affffffff"/>
    <w:link w:val="affffffff4"/>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5">
    <w:basedOn w:val="affffffff"/>
    <w:link w:val="affffffff6"/>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7">
    <w:basedOn w:val="affffffff"/>
    <w:link w:val="affffffff8"/>
    <w:uiPriority w:val="34"/>
    <w:qFormat/>
    <w:pPr>
      <w:widowControl w:val="0"/>
      <w:ind w:firstLineChars="200" w:firstLine="420"/>
      <w:jc w:val="both"/>
    </w:pPr>
    <w:rPr>
      <w:rFonts w:ascii="Calibri" w:hAnsi="Calibri" w:cs="Times New Roman"/>
      <w:kern w:val="2"/>
      <w:szCs w:val="22"/>
    </w:rPr>
  </w:style>
  <w:style w:type="paragraph" w:customStyle="1" w:styleId="affffffff9">
    <w:link w:val="affffffffa"/>
    <w:autoRedefine/>
    <w:qFormat/>
    <w:rPr>
      <w:rFonts w:ascii="宋体" w:hAnsi="宋体" w:cs="宋体"/>
    </w:rPr>
  </w:style>
  <w:style w:type="table" w:customStyle="1" w:styleId="g3">
    <w:name w:val="g3"/>
    <w:uiPriority w:val="99"/>
    <w:semiHidden/>
    <w:unhideWhenUsed/>
    <w:tblPr>
      <w:tblInd w:w="0" w:type="dxa"/>
      <w:tblCellMar>
        <w:top w:w="0" w:type="dxa"/>
        <w:left w:w="108" w:type="dxa"/>
        <w:bottom w:w="0" w:type="dxa"/>
        <w:right w:w="108" w:type="dxa"/>
      </w:tblCellMar>
    </w:tblPr>
  </w:style>
  <w:style w:type="paragraph" w:customStyle="1" w:styleId="afffffff0">
    <w:basedOn w:val="afffff2"/>
    <w:next w:val="afffff2"/>
    <w:link w:val="afffffff"/>
    <w:uiPriority w:val="99"/>
    <w:pPr>
      <w:widowControl w:val="0"/>
      <w:jc w:val="center"/>
    </w:pPr>
    <w:rPr>
      <w:rFonts w:ascii="Times New Roman" w:hAnsi="Times New Roman" w:cs="Times New Roman"/>
      <w:kern w:val="2"/>
      <w:szCs w:val="21"/>
    </w:rPr>
  </w:style>
  <w:style w:type="character" w:customStyle="1" w:styleId="affffffe">
    <w:basedOn w:val="afffff3"/>
    <w:link w:val="affffffd"/>
    <w:uiPriority w:val="99"/>
    <w:rPr>
      <w:rFonts w:ascii="Times New Roman" w:eastAsia="宋体" w:hAnsi="Times New Roman" w:cs="Times New Roman"/>
      <w:szCs w:val="21"/>
    </w:rPr>
  </w:style>
  <w:style w:type="character" w:customStyle="1" w:styleId="affffffffb">
    <w:basedOn w:val="afffff3"/>
    <w:qFormat/>
    <w:rPr>
      <w:kern w:val="2"/>
      <w:sz w:val="21"/>
      <w:szCs w:val="24"/>
    </w:rPr>
  </w:style>
  <w:style w:type="character" w:customStyle="1" w:styleId="affffffffc">
    <w:basedOn w:val="afffff3"/>
    <w:uiPriority w:val="99"/>
    <w:semiHidden/>
    <w:rPr>
      <w:rFonts w:ascii="宋体"/>
      <w:kern w:val="2"/>
      <w:sz w:val="18"/>
      <w:szCs w:val="18"/>
    </w:rPr>
  </w:style>
  <w:style w:type="paragraph" w:customStyle="1" w:styleId="affffffffd">
    <w:basedOn w:val="afffff2"/>
    <w:next w:val="afffff2"/>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ffffff0">
    <w:basedOn w:val="afffff2"/>
    <w:link w:val="affffffff"/>
    <w:uiPriority w:val="99"/>
    <w:semiHidden/>
    <w:unhideWhenUsed/>
    <w:pPr>
      <w:snapToGrid w:val="0"/>
    </w:pPr>
  </w:style>
  <w:style w:type="paragraph" w:customStyle="1" w:styleId="affffffffe">
    <w:basedOn w:val="afffff2"/>
    <w:uiPriority w:val="99"/>
    <w:semiHidden/>
    <w:unhideWhenUsed/>
    <w:pPr>
      <w:widowControl w:val="0"/>
      <w:snapToGrid w:val="0"/>
    </w:pPr>
    <w:rPr>
      <w:rFonts w:ascii="Calibri" w:hAnsi="Calibri" w:cs="Times New Roman"/>
      <w:kern w:val="2"/>
      <w:sz w:val="18"/>
      <w:szCs w:val="18"/>
    </w:rPr>
  </w:style>
  <w:style w:type="character" w:customStyle="1" w:styleId="afffffffff">
    <w:basedOn w:val="afffff3"/>
    <w:uiPriority w:val="99"/>
    <w:semiHidden/>
    <w:rPr>
      <w:kern w:val="2"/>
      <w:sz w:val="18"/>
      <w:szCs w:val="18"/>
    </w:rPr>
  </w:style>
  <w:style w:type="paragraph" w:customStyle="1" w:styleId="afff2">
    <w:basedOn w:val="afffff2"/>
    <w:autoRedefine/>
    <w:qFormat/>
    <w:pPr>
      <w:numPr>
        <w:numId w:val="68"/>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3">
    <w:basedOn w:val="afffff2"/>
    <w:link w:val="afffffffff0"/>
    <w:autoRedefine/>
    <w:qFormat/>
    <w:pPr>
      <w:numPr>
        <w:ilvl w:val="1"/>
        <w:numId w:val="68"/>
      </w:numPr>
      <w:spacing w:afterLines="50" w:after="156" w:line="360" w:lineRule="exact"/>
      <w:outlineLvl w:val="1"/>
    </w:pPr>
    <w:rPr>
      <w:rFonts w:hAnsiTheme="minorHAnsi" w:cstheme="minorBidi"/>
      <w:kern w:val="2"/>
      <w14:ligatures w14:val="standardContextual"/>
    </w:rPr>
  </w:style>
  <w:style w:type="paragraph" w:customStyle="1" w:styleId="afff4">
    <w:basedOn w:val="afffff2"/>
    <w:autoRedefine/>
    <w:qFormat/>
    <w:pPr>
      <w:numPr>
        <w:ilvl w:val="2"/>
        <w:numId w:val="68"/>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5">
    <w:basedOn w:val="afffff2"/>
    <w:link w:val="afffffffff1"/>
    <w:autoRedefine/>
    <w:qFormat/>
    <w:pPr>
      <w:numPr>
        <w:ilvl w:val="3"/>
        <w:numId w:val="68"/>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2">
    <w:link w:val="afffffffff3"/>
    <w:qFormat/>
    <w:rPr>
      <w:rFonts w:ascii="宋体" w:hAnsi="宋体" w:cs="宋体"/>
      <w:szCs w:val="24"/>
    </w:rPr>
  </w:style>
  <w:style w:type="character" w:customStyle="1" w:styleId="afffffffff4">
    <w:link w:val="afffffffff5"/>
    <w:uiPriority w:val="1"/>
    <w:semiHidden/>
    <w:unhideWhenUsed/>
  </w:style>
  <w:style w:type="paragraph" w:customStyle="1" w:styleId="afffffffff6">
    <w:basedOn w:val="afffffffff2"/>
    <w:link w:val="afffffffff7"/>
    <w:uiPriority w:val="99"/>
    <w:pPr>
      <w:widowControl w:val="0"/>
      <w:spacing w:after="120"/>
      <w:jc w:val="both"/>
    </w:pPr>
    <w:rPr>
      <w:rFonts w:ascii="Times New Roman" w:hAnsi="Times New Roman" w:cs="Times New Roman"/>
      <w:kern w:val="2"/>
      <w:szCs w:val="21"/>
    </w:rPr>
  </w:style>
  <w:style w:type="paragraph" w:customStyle="1" w:styleId="afffffff4">
    <w:basedOn w:val="afffffffff2"/>
    <w:next w:val="afff2"/>
    <w:link w:val="afffffff3"/>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2">
    <w:basedOn w:val="afffffffff4"/>
    <w:link w:val="afffffff1"/>
    <w:uiPriority w:val="10"/>
    <w:rPr>
      <w:rFonts w:asciiTheme="majorHAnsi" w:hAnsiTheme="majorHAnsi" w:cstheme="majorBidi"/>
      <w:b/>
      <w:bCs/>
      <w:kern w:val="2"/>
      <w:sz w:val="32"/>
      <w:szCs w:val="32"/>
    </w:rPr>
  </w:style>
  <w:style w:type="character" w:customStyle="1" w:styleId="afffffffff8">
    <w:basedOn w:val="afffffffff4"/>
    <w:uiPriority w:val="99"/>
    <w:semiHidden/>
    <w:rPr>
      <w:kern w:val="2"/>
      <w:sz w:val="18"/>
      <w:szCs w:val="18"/>
    </w:rPr>
  </w:style>
  <w:style w:type="paragraph" w:customStyle="1" w:styleId="afe">
    <w:basedOn w:val="afffffffff2"/>
    <w:link w:val="afffffffff9"/>
    <w:autoRedefine/>
    <w:qFormat/>
    <w:pPr>
      <w:numPr>
        <w:numId w:val="69"/>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
    <w:basedOn w:val="afffffffff2"/>
    <w:autoRedefine/>
    <w:qFormat/>
    <w:pPr>
      <w:numPr>
        <w:ilvl w:val="1"/>
        <w:numId w:val="69"/>
      </w:numPr>
      <w:spacing w:afterLines="50" w:after="156" w:line="360" w:lineRule="exact"/>
      <w:outlineLvl w:val="1"/>
    </w:pPr>
    <w:rPr>
      <w:rFonts w:hAnsiTheme="minorHAnsi" w:cstheme="minorBidi"/>
      <w:kern w:val="2"/>
      <w14:ligatures w14:val="standardContextual"/>
    </w:rPr>
  </w:style>
  <w:style w:type="paragraph" w:customStyle="1" w:styleId="aff0">
    <w:basedOn w:val="afffffffff2"/>
    <w:autoRedefine/>
    <w:qFormat/>
    <w:pPr>
      <w:numPr>
        <w:ilvl w:val="2"/>
        <w:numId w:val="69"/>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1">
    <w:basedOn w:val="afffffffff2"/>
    <w:link w:val="afffffffffa"/>
    <w:autoRedefine/>
    <w:qFormat/>
    <w:pPr>
      <w:numPr>
        <w:ilvl w:val="3"/>
        <w:numId w:val="69"/>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e">
    <w:basedOn w:val="afffffffff6"/>
    <w:link w:val="afffffffd"/>
    <w:uiPriority w:val="99"/>
    <w:semiHidden/>
    <w:unhideWhenUsed/>
    <w:pPr>
      <w:widowControl/>
      <w:ind w:firstLineChars="100" w:firstLine="420"/>
      <w:jc w:val="left"/>
    </w:pPr>
    <w:rPr>
      <w:rFonts w:ascii="宋体" w:hAnsi="宋体" w:cs="宋体"/>
      <w:kern w:val="0"/>
      <w:szCs w:val="24"/>
    </w:rPr>
  </w:style>
  <w:style w:type="numbering" w:customStyle="1" w:styleId="afffff8">
    <w:link w:val="afffff7"/>
    <w:uiPriority w:val="99"/>
    <w:semiHidden/>
    <w:unhideWhenUsed/>
  </w:style>
  <w:style w:type="paragraph" w:customStyle="1" w:styleId="afffffffffb">
    <w:qFormat/>
    <w:rPr>
      <w:rFonts w:ascii="宋体" w:hAnsi="宋体" w:cs="宋体"/>
      <w:szCs w:val="24"/>
    </w:rPr>
  </w:style>
  <w:style w:type="paragraph" w:customStyle="1" w:styleId="afffffffffc">
    <w:basedOn w:val="afffffffffb"/>
    <w:qFormat/>
    <w:pPr>
      <w:ind w:firstLineChars="200" w:firstLine="420"/>
    </w:pPr>
  </w:style>
  <w:style w:type="character" w:customStyle="1" w:styleId="afffffffffd">
    <w:basedOn w:val="afffff3"/>
    <w:uiPriority w:val="99"/>
    <w:semiHidden/>
    <w:rPr>
      <w:rFonts w:ascii="宋体" w:hAnsi="宋体" w:cs="宋体"/>
      <w:sz w:val="21"/>
      <w:szCs w:val="24"/>
    </w:rPr>
  </w:style>
  <w:style w:type="character" w:customStyle="1" w:styleId="afffffffffe">
    <w:basedOn w:val="afffff3"/>
    <w:uiPriority w:val="99"/>
    <w:semiHidden/>
    <w:rPr>
      <w:kern w:val="2"/>
      <w:sz w:val="18"/>
      <w:szCs w:val="18"/>
    </w:rPr>
  </w:style>
  <w:style w:type="paragraph" w:customStyle="1" w:styleId="afff6">
    <w:basedOn w:val="afffff2"/>
    <w:autoRedefine/>
    <w:qFormat/>
    <w:pPr>
      <w:numPr>
        <w:numId w:val="70"/>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7">
    <w:basedOn w:val="afffff2"/>
    <w:autoRedefine/>
    <w:qFormat/>
    <w:pPr>
      <w:numPr>
        <w:ilvl w:val="1"/>
        <w:numId w:val="70"/>
      </w:numPr>
      <w:spacing w:afterLines="50" w:after="156" w:line="360" w:lineRule="exact"/>
      <w:outlineLvl w:val="1"/>
    </w:pPr>
    <w:rPr>
      <w:rFonts w:hAnsiTheme="minorHAnsi" w:cstheme="minorBidi"/>
      <w:kern w:val="2"/>
      <w14:ligatures w14:val="standardContextual"/>
    </w:rPr>
  </w:style>
  <w:style w:type="paragraph" w:customStyle="1" w:styleId="afff8">
    <w:basedOn w:val="afffff2"/>
    <w:autoRedefine/>
    <w:qFormat/>
    <w:pPr>
      <w:numPr>
        <w:ilvl w:val="2"/>
        <w:numId w:val="70"/>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9">
    <w:basedOn w:val="afffff2"/>
    <w:autoRedefine/>
    <w:qFormat/>
    <w:pPr>
      <w:numPr>
        <w:ilvl w:val="3"/>
        <w:numId w:val="70"/>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
    <w:qFormat/>
    <w:rPr>
      <w:rFonts w:ascii="宋体" w:hAnsi="宋体" w:cs="宋体"/>
      <w:szCs w:val="24"/>
    </w:rPr>
  </w:style>
  <w:style w:type="paragraph" w:customStyle="1" w:styleId="afffb">
    <w:basedOn w:val="affffffffff"/>
    <w:autoRedefine/>
    <w:qFormat/>
    <w:pPr>
      <w:numPr>
        <w:numId w:val="71"/>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c">
    <w:basedOn w:val="affffffffff"/>
    <w:autoRedefine/>
    <w:qFormat/>
    <w:pPr>
      <w:numPr>
        <w:ilvl w:val="1"/>
        <w:numId w:val="71"/>
      </w:numPr>
      <w:spacing w:afterLines="50" w:after="156" w:line="360" w:lineRule="exact"/>
      <w:outlineLvl w:val="1"/>
    </w:pPr>
    <w:rPr>
      <w:rFonts w:hAnsiTheme="minorHAnsi" w:cstheme="minorBidi"/>
      <w:kern w:val="2"/>
      <w14:ligatures w14:val="standardContextual"/>
    </w:rPr>
  </w:style>
  <w:style w:type="paragraph" w:customStyle="1" w:styleId="afffd">
    <w:basedOn w:val="affffffffff"/>
    <w:link w:val="affffffffff0"/>
    <w:autoRedefine/>
    <w:qFormat/>
    <w:pPr>
      <w:numPr>
        <w:ilvl w:val="2"/>
        <w:numId w:val="71"/>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e">
    <w:basedOn w:val="affffffffff"/>
    <w:autoRedefine/>
    <w:qFormat/>
    <w:pPr>
      <w:numPr>
        <w:ilvl w:val="3"/>
        <w:numId w:val="71"/>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1">
    <w:qFormat/>
    <w:rPr>
      <w:rFonts w:ascii="宋体" w:hAnsi="宋体" w:cs="宋体"/>
      <w:szCs w:val="24"/>
    </w:rPr>
  </w:style>
  <w:style w:type="paragraph" w:customStyle="1" w:styleId="affffa">
    <w:basedOn w:val="affffffffff1"/>
    <w:autoRedefine/>
    <w:qFormat/>
    <w:pPr>
      <w:numPr>
        <w:numId w:val="73"/>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fb">
    <w:basedOn w:val="affffffffff1"/>
    <w:autoRedefine/>
    <w:qFormat/>
    <w:pPr>
      <w:numPr>
        <w:ilvl w:val="1"/>
        <w:numId w:val="73"/>
      </w:numPr>
      <w:spacing w:afterLines="50" w:after="156" w:line="360" w:lineRule="exact"/>
      <w:outlineLvl w:val="1"/>
    </w:pPr>
    <w:rPr>
      <w:rFonts w:hAnsiTheme="minorHAnsi" w:cstheme="minorBidi"/>
      <w:kern w:val="2"/>
      <w14:ligatures w14:val="standardContextual"/>
    </w:rPr>
  </w:style>
  <w:style w:type="paragraph" w:customStyle="1" w:styleId="affffc">
    <w:basedOn w:val="affffffffff1"/>
    <w:autoRedefine/>
    <w:qFormat/>
    <w:pPr>
      <w:numPr>
        <w:ilvl w:val="2"/>
        <w:numId w:val="73"/>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fd">
    <w:basedOn w:val="affffffffff1"/>
    <w:link w:val="affffffffff2"/>
    <w:autoRedefine/>
    <w:qFormat/>
    <w:pPr>
      <w:numPr>
        <w:ilvl w:val="3"/>
        <w:numId w:val="73"/>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3">
    <w:qFormat/>
    <w:rPr>
      <w:rFonts w:ascii="宋体" w:hAnsi="宋体" w:cs="宋体"/>
      <w:szCs w:val="24"/>
    </w:rPr>
  </w:style>
  <w:style w:type="paragraph" w:customStyle="1" w:styleId="affa">
    <w:basedOn w:val="affffffffff3"/>
    <w:autoRedefine/>
    <w:qFormat/>
    <w:pPr>
      <w:numPr>
        <w:numId w:val="74"/>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b">
    <w:basedOn w:val="affffffffff3"/>
    <w:link w:val="affffffffff4"/>
    <w:autoRedefine/>
    <w:qFormat/>
    <w:pPr>
      <w:numPr>
        <w:ilvl w:val="1"/>
        <w:numId w:val="74"/>
      </w:numPr>
      <w:spacing w:afterLines="50" w:after="156" w:line="360" w:lineRule="exact"/>
      <w:outlineLvl w:val="1"/>
    </w:pPr>
    <w:rPr>
      <w:rFonts w:hAnsiTheme="minorHAnsi" w:cstheme="minorBidi"/>
      <w:kern w:val="2"/>
      <w14:ligatures w14:val="standardContextual"/>
    </w:rPr>
  </w:style>
  <w:style w:type="paragraph" w:customStyle="1" w:styleId="affc">
    <w:basedOn w:val="affffffffff3"/>
    <w:link w:val="affffffffff5"/>
    <w:autoRedefine/>
    <w:qFormat/>
    <w:pPr>
      <w:numPr>
        <w:ilvl w:val="2"/>
        <w:numId w:val="74"/>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d">
    <w:basedOn w:val="affffffffff3"/>
    <w:link w:val="affffffffff6"/>
    <w:autoRedefine/>
    <w:qFormat/>
    <w:pPr>
      <w:numPr>
        <w:ilvl w:val="3"/>
        <w:numId w:val="74"/>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7">
    <w:qFormat/>
    <w:rPr>
      <w:rFonts w:ascii="宋体" w:hAnsi="宋体" w:cs="宋体"/>
      <w:szCs w:val="24"/>
    </w:rPr>
  </w:style>
  <w:style w:type="paragraph" w:customStyle="1" w:styleId="affff9">
    <w:basedOn w:val="affffffffff7"/>
    <w:link w:val="affffffffff8"/>
    <w:autoRedefine/>
    <w:qFormat/>
    <w:pPr>
      <w:numPr>
        <w:ilvl w:val="3"/>
        <w:numId w:val="72"/>
      </w:numPr>
      <w:snapToGrid w:val="0"/>
      <w:spacing w:afterLines="50" w:after="156" w:line="360" w:lineRule="exact"/>
      <w:jc w:val="both"/>
      <w:outlineLvl w:val="3"/>
    </w:pPr>
    <w:rPr>
      <w:rFonts w:hAnsiTheme="minorHAnsi" w:cstheme="minorBidi"/>
      <w:kern w:val="2"/>
      <w14:ligatures w14:val="standardContextual"/>
    </w:rPr>
  </w:style>
  <w:style w:type="paragraph" w:customStyle="1" w:styleId="a">
    <w:basedOn w:val="affffffffff1"/>
    <w:autoRedefine/>
    <w:qFormat/>
    <w:pPr>
      <w:numPr>
        <w:numId w:val="75"/>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0">
    <w:basedOn w:val="affffffffff1"/>
    <w:autoRedefine/>
    <w:qFormat/>
    <w:pPr>
      <w:numPr>
        <w:ilvl w:val="1"/>
        <w:numId w:val="75"/>
      </w:numPr>
      <w:spacing w:afterLines="50" w:after="156" w:line="360" w:lineRule="exact"/>
      <w:outlineLvl w:val="1"/>
    </w:pPr>
    <w:rPr>
      <w:rFonts w:hAnsiTheme="minorHAnsi" w:cstheme="minorBidi"/>
      <w:kern w:val="2"/>
      <w14:ligatures w14:val="standardContextual"/>
    </w:rPr>
  </w:style>
  <w:style w:type="paragraph" w:customStyle="1" w:styleId="a1">
    <w:basedOn w:val="affffffffff1"/>
    <w:autoRedefine/>
    <w:qFormat/>
    <w:pPr>
      <w:numPr>
        <w:ilvl w:val="3"/>
        <w:numId w:val="75"/>
      </w:numPr>
      <w:snapToGrid w:val="0"/>
      <w:spacing w:afterLines="50" w:after="156" w:line="360" w:lineRule="exact"/>
      <w:jc w:val="both"/>
      <w:outlineLvl w:val="3"/>
    </w:pPr>
    <w:rPr>
      <w:rFonts w:hAnsiTheme="minorHAnsi" w:cstheme="minorBidi"/>
      <w:kern w:val="2"/>
      <w14:ligatures w14:val="standardContextual"/>
    </w:rPr>
  </w:style>
  <w:style w:type="table" w:customStyle="1" w:styleId="affffffffff9">
    <w:semiHidden/>
    <w:qFormat/>
    <w:tblPr>
      <w:tblCellMar>
        <w:top w:w="0" w:type="dxa"/>
        <w:left w:w="108" w:type="dxa"/>
        <w:bottom w:w="0" w:type="dxa"/>
        <w:right w:w="108" w:type="dxa"/>
      </w:tblCellMar>
    </w:tblPr>
  </w:style>
  <w:style w:type="table" w:customStyle="1" w:styleId="affffffffffa">
    <w:semiHidden/>
    <w:qFormat/>
    <w:tblPr>
      <w:tblCellMar>
        <w:top w:w="0" w:type="dxa"/>
        <w:left w:w="108" w:type="dxa"/>
        <w:bottom w:w="0" w:type="dxa"/>
        <w:right w:w="108" w:type="dxa"/>
      </w:tblCellMar>
    </w:tblPr>
  </w:style>
  <w:style w:type="table" w:customStyle="1" w:styleId="affffffffffb">
    <w:semiHidden/>
    <w:qFormat/>
    <w:tblPr>
      <w:tblCellMar>
        <w:top w:w="0" w:type="dxa"/>
        <w:left w:w="108" w:type="dxa"/>
        <w:bottom w:w="0" w:type="dxa"/>
        <w:right w:w="108" w:type="dxa"/>
      </w:tblCellMar>
    </w:tblPr>
  </w:style>
  <w:style w:type="table" w:customStyle="1" w:styleId="g47">
    <w:name w:val="g4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fc">
    <w:semiHidden/>
    <w:qFormat/>
    <w:tblPr>
      <w:tblCellMar>
        <w:top w:w="0" w:type="dxa"/>
        <w:left w:w="108" w:type="dxa"/>
        <w:bottom w:w="0" w:type="dxa"/>
        <w:right w:w="108" w:type="dxa"/>
      </w:tblCellMar>
    </w:tblPr>
  </w:style>
  <w:style w:type="paragraph" w:customStyle="1" w:styleId="affffffffffd">
    <w:qFormat/>
    <w:rPr>
      <w:rFonts w:ascii="宋体" w:hAnsi="宋体" w:cs="宋体"/>
      <w:szCs w:val="24"/>
    </w:rPr>
  </w:style>
  <w:style w:type="table" w:customStyle="1" w:styleId="affffffffffe">
    <w:link w:val="afffffffffff"/>
    <w:uiPriority w:val="99"/>
    <w:semiHidden/>
    <w:unhideWhenUsed/>
    <w:tblPr>
      <w:tblInd w:w="0" w:type="dxa"/>
      <w:tblCellMar>
        <w:top w:w="0" w:type="dxa"/>
        <w:left w:w="108" w:type="dxa"/>
        <w:bottom w:w="0" w:type="dxa"/>
        <w:right w:w="108" w:type="dxa"/>
      </w:tblCellMar>
    </w:tblPr>
  </w:style>
  <w:style w:type="paragraph" w:customStyle="1" w:styleId="a6">
    <w:basedOn w:val="affffffffffd"/>
    <w:autoRedefine/>
    <w:qFormat/>
    <w:pPr>
      <w:numPr>
        <w:numId w:val="76"/>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7">
    <w:basedOn w:val="affffffffffd"/>
    <w:autoRedefine/>
    <w:qFormat/>
    <w:pPr>
      <w:numPr>
        <w:ilvl w:val="1"/>
        <w:numId w:val="76"/>
      </w:numPr>
      <w:spacing w:afterLines="50" w:after="156" w:line="360" w:lineRule="exact"/>
      <w:outlineLvl w:val="1"/>
    </w:pPr>
    <w:rPr>
      <w:rFonts w:hAnsiTheme="minorHAnsi" w:cstheme="minorBidi"/>
      <w:kern w:val="2"/>
      <w14:ligatures w14:val="standardContextual"/>
    </w:rPr>
  </w:style>
  <w:style w:type="paragraph" w:customStyle="1" w:styleId="a8">
    <w:basedOn w:val="affffffffffd"/>
    <w:autoRedefine/>
    <w:qFormat/>
    <w:pPr>
      <w:numPr>
        <w:ilvl w:val="2"/>
        <w:numId w:val="76"/>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9">
    <w:basedOn w:val="affffffffffd"/>
    <w:autoRedefine/>
    <w:qFormat/>
    <w:pPr>
      <w:numPr>
        <w:ilvl w:val="3"/>
        <w:numId w:val="76"/>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0">
    <w:qFormat/>
    <w:rPr>
      <w:rFonts w:ascii="宋体" w:hAnsi="宋体" w:cs="宋体"/>
      <w:szCs w:val="24"/>
    </w:rPr>
  </w:style>
  <w:style w:type="paragraph" w:customStyle="1" w:styleId="af2">
    <w:basedOn w:val="afffffffffff0"/>
    <w:autoRedefine/>
    <w:qFormat/>
    <w:pPr>
      <w:numPr>
        <w:numId w:val="77"/>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3">
    <w:basedOn w:val="afffffffffff0"/>
    <w:link w:val="afffffffffff1"/>
    <w:autoRedefine/>
    <w:qFormat/>
    <w:pPr>
      <w:numPr>
        <w:ilvl w:val="1"/>
        <w:numId w:val="77"/>
      </w:numPr>
      <w:spacing w:afterLines="50" w:after="156" w:line="360" w:lineRule="exact"/>
      <w:outlineLvl w:val="1"/>
    </w:pPr>
    <w:rPr>
      <w:rFonts w:hAnsiTheme="minorHAnsi" w:cstheme="minorBidi"/>
      <w:kern w:val="2"/>
      <w14:ligatures w14:val="standardContextual"/>
    </w:rPr>
  </w:style>
  <w:style w:type="paragraph" w:customStyle="1" w:styleId="af4">
    <w:basedOn w:val="afffffffffff0"/>
    <w:autoRedefine/>
    <w:qFormat/>
    <w:pPr>
      <w:numPr>
        <w:ilvl w:val="2"/>
        <w:numId w:val="77"/>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5">
    <w:basedOn w:val="afffffffffff0"/>
    <w:link w:val="afffffffffff2"/>
    <w:autoRedefine/>
    <w:qFormat/>
    <w:pPr>
      <w:numPr>
        <w:ilvl w:val="3"/>
        <w:numId w:val="77"/>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6">
    <w:basedOn w:val="affffffffffd"/>
    <w:autoRedefine/>
    <w:qFormat/>
    <w:pPr>
      <w:numPr>
        <w:numId w:val="78"/>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7">
    <w:basedOn w:val="affffffffffd"/>
    <w:autoRedefine/>
    <w:qFormat/>
    <w:pPr>
      <w:numPr>
        <w:ilvl w:val="1"/>
        <w:numId w:val="78"/>
      </w:numPr>
      <w:spacing w:afterLines="50" w:after="156" w:line="360" w:lineRule="exact"/>
      <w:outlineLvl w:val="1"/>
    </w:pPr>
    <w:rPr>
      <w:rFonts w:hAnsiTheme="minorHAnsi" w:cstheme="minorBidi"/>
      <w:kern w:val="2"/>
      <w14:ligatures w14:val="standardContextual"/>
    </w:rPr>
  </w:style>
  <w:style w:type="paragraph" w:customStyle="1" w:styleId="aff8">
    <w:basedOn w:val="affffffffffd"/>
    <w:autoRedefine/>
    <w:qFormat/>
    <w:pPr>
      <w:numPr>
        <w:ilvl w:val="2"/>
        <w:numId w:val="78"/>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9">
    <w:basedOn w:val="affffffffffd"/>
    <w:autoRedefine/>
    <w:qFormat/>
    <w:pPr>
      <w:numPr>
        <w:ilvl w:val="3"/>
        <w:numId w:val="78"/>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3">
    <w:qFormat/>
    <w:rPr>
      <w:rFonts w:ascii="宋体" w:hAnsi="宋体" w:cs="宋体"/>
      <w:szCs w:val="24"/>
    </w:rPr>
  </w:style>
  <w:style w:type="paragraph" w:customStyle="1" w:styleId="ae">
    <w:basedOn w:val="afffffffffff3"/>
    <w:autoRedefine/>
    <w:qFormat/>
    <w:pPr>
      <w:numPr>
        <w:numId w:val="79"/>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
    <w:basedOn w:val="afffffffffff3"/>
    <w:autoRedefine/>
    <w:qFormat/>
    <w:pPr>
      <w:numPr>
        <w:ilvl w:val="1"/>
        <w:numId w:val="79"/>
      </w:numPr>
      <w:spacing w:afterLines="50" w:after="156" w:line="360" w:lineRule="exact"/>
      <w:outlineLvl w:val="1"/>
    </w:pPr>
    <w:rPr>
      <w:rFonts w:hAnsiTheme="minorHAnsi" w:cstheme="minorBidi"/>
      <w:kern w:val="2"/>
      <w14:ligatures w14:val="standardContextual"/>
    </w:rPr>
  </w:style>
  <w:style w:type="paragraph" w:customStyle="1" w:styleId="af0">
    <w:basedOn w:val="afffffffffff3"/>
    <w:autoRedefine/>
    <w:qFormat/>
    <w:pPr>
      <w:numPr>
        <w:ilvl w:val="2"/>
        <w:numId w:val="79"/>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1">
    <w:basedOn w:val="afffffffffff3"/>
    <w:autoRedefine/>
    <w:qFormat/>
    <w:pPr>
      <w:numPr>
        <w:ilvl w:val="3"/>
        <w:numId w:val="79"/>
      </w:numPr>
      <w:snapToGrid w:val="0"/>
      <w:spacing w:afterLines="50" w:after="156" w:line="360" w:lineRule="exact"/>
      <w:jc w:val="both"/>
      <w:outlineLvl w:val="3"/>
    </w:pPr>
    <w:rPr>
      <w:rFonts w:hAnsiTheme="minorHAnsi" w:cstheme="minorBidi"/>
      <w:kern w:val="2"/>
      <w14:ligatures w14:val="standardContextual"/>
    </w:rPr>
  </w:style>
  <w:style w:type="table" w:customStyle="1" w:styleId="afffffffffff4">
    <w:semiHidden/>
    <w:qFormat/>
    <w:tblPr>
      <w:tblCellMar>
        <w:top w:w="0" w:type="dxa"/>
        <w:left w:w="108" w:type="dxa"/>
        <w:bottom w:w="0" w:type="dxa"/>
        <w:right w:w="108" w:type="dxa"/>
      </w:tblCellMar>
    </w:tblPr>
  </w:style>
  <w:style w:type="paragraph" w:customStyle="1" w:styleId="afffffffffff5">
    <w:qFormat/>
    <w:rPr>
      <w:rFonts w:ascii="宋体" w:hAnsi="宋体" w:cs="宋体"/>
      <w:szCs w:val="24"/>
    </w:rPr>
  </w:style>
  <w:style w:type="paragraph" w:customStyle="1" w:styleId="af6">
    <w:basedOn w:val="afffffffffff5"/>
    <w:link w:val="afffffffffff6"/>
    <w:autoRedefine/>
    <w:qFormat/>
    <w:pPr>
      <w:numPr>
        <w:numId w:val="80"/>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7">
    <w:basedOn w:val="afffffffffff5"/>
    <w:autoRedefine/>
    <w:qFormat/>
    <w:pPr>
      <w:numPr>
        <w:ilvl w:val="1"/>
        <w:numId w:val="80"/>
      </w:numPr>
      <w:spacing w:afterLines="50" w:after="156" w:line="360" w:lineRule="exact"/>
      <w:outlineLvl w:val="1"/>
    </w:pPr>
    <w:rPr>
      <w:rFonts w:hAnsiTheme="minorHAnsi" w:cstheme="minorBidi"/>
      <w:kern w:val="2"/>
      <w14:ligatures w14:val="standardContextual"/>
    </w:rPr>
  </w:style>
  <w:style w:type="paragraph" w:customStyle="1" w:styleId="af8">
    <w:basedOn w:val="afffffffffff5"/>
    <w:link w:val="afffffffffff7"/>
    <w:autoRedefine/>
    <w:qFormat/>
    <w:pPr>
      <w:numPr>
        <w:ilvl w:val="2"/>
        <w:numId w:val="80"/>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9">
    <w:basedOn w:val="afffffffffff5"/>
    <w:autoRedefine/>
    <w:qFormat/>
    <w:pPr>
      <w:numPr>
        <w:ilvl w:val="3"/>
        <w:numId w:val="80"/>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8">
    <w:qFormat/>
    <w:rPr>
      <w:rFonts w:ascii="宋体" w:hAnsi="宋体" w:cs="宋体"/>
      <w:szCs w:val="24"/>
    </w:rPr>
  </w:style>
  <w:style w:type="character" w:customStyle="1" w:styleId="afffffffffff9">
    <w:uiPriority w:val="1"/>
    <w:semiHidden/>
    <w:unhideWhenUsed/>
  </w:style>
  <w:style w:type="character" w:customStyle="1" w:styleId="affffffffff5">
    <w:basedOn w:val="afffffffffff9"/>
    <w:link w:val="affc"/>
    <w:qFormat/>
    <w:rPr>
      <w:rFonts w:ascii="宋体" w:hAnsiTheme="minorHAnsi" w:cstheme="minorBidi"/>
      <w:kern w:val="2"/>
      <w:szCs w:val="24"/>
      <w14:ligatures w14:val="standardContextual"/>
    </w:rPr>
  </w:style>
  <w:style w:type="paragraph" w:customStyle="1" w:styleId="a2">
    <w:basedOn w:val="afffffffffff8"/>
    <w:autoRedefine/>
    <w:qFormat/>
    <w:pPr>
      <w:numPr>
        <w:numId w:val="81"/>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3">
    <w:basedOn w:val="afffffffffff8"/>
    <w:autoRedefine/>
    <w:qFormat/>
    <w:pPr>
      <w:numPr>
        <w:ilvl w:val="1"/>
        <w:numId w:val="81"/>
      </w:numPr>
      <w:spacing w:afterLines="50" w:after="156" w:line="360" w:lineRule="exact"/>
      <w:outlineLvl w:val="1"/>
    </w:pPr>
    <w:rPr>
      <w:rFonts w:hAnsiTheme="minorHAnsi" w:cstheme="minorBidi"/>
      <w:kern w:val="2"/>
      <w14:ligatures w14:val="standardContextual"/>
    </w:rPr>
  </w:style>
  <w:style w:type="paragraph" w:customStyle="1" w:styleId="a4">
    <w:basedOn w:val="afffffffffff8"/>
    <w:autoRedefine/>
    <w:qFormat/>
    <w:pPr>
      <w:numPr>
        <w:ilvl w:val="2"/>
        <w:numId w:val="81"/>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5">
    <w:basedOn w:val="afffffffffff8"/>
    <w:autoRedefine/>
    <w:qFormat/>
    <w:pPr>
      <w:numPr>
        <w:ilvl w:val="3"/>
        <w:numId w:val="81"/>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2">
    <w:basedOn w:val="afffffffffff5"/>
    <w:autoRedefine/>
    <w:qFormat/>
    <w:pPr>
      <w:numPr>
        <w:numId w:val="82"/>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f3">
    <w:basedOn w:val="afffffffffff5"/>
    <w:link w:val="afffffffffffa"/>
    <w:autoRedefine/>
    <w:qFormat/>
    <w:pPr>
      <w:numPr>
        <w:ilvl w:val="1"/>
        <w:numId w:val="82"/>
      </w:numPr>
      <w:spacing w:afterLines="50" w:after="156" w:line="360" w:lineRule="exact"/>
      <w:outlineLvl w:val="1"/>
    </w:pPr>
    <w:rPr>
      <w:rFonts w:hAnsiTheme="minorHAnsi" w:cstheme="minorBidi"/>
      <w:kern w:val="2"/>
      <w14:ligatures w14:val="standardContextual"/>
    </w:rPr>
  </w:style>
  <w:style w:type="paragraph" w:customStyle="1" w:styleId="affff4">
    <w:basedOn w:val="afffffffffff5"/>
    <w:autoRedefine/>
    <w:qFormat/>
    <w:pPr>
      <w:numPr>
        <w:ilvl w:val="3"/>
        <w:numId w:val="82"/>
      </w:numPr>
      <w:snapToGrid w:val="0"/>
      <w:spacing w:afterLines="50" w:after="156" w:line="360" w:lineRule="exact"/>
      <w:jc w:val="both"/>
      <w:outlineLvl w:val="3"/>
    </w:pPr>
    <w:rPr>
      <w:rFonts w:hAnsiTheme="minorHAnsi" w:cstheme="minorBidi"/>
      <w:kern w:val="2"/>
      <w14:ligatures w14:val="standardContextual"/>
    </w:rPr>
  </w:style>
  <w:style w:type="table" w:customStyle="1" w:styleId="afffffffc">
    <w:link w:val="afffffffb"/>
    <w:semiHidden/>
    <w:qFormat/>
    <w:tblPr>
      <w:tblCellMar>
        <w:top w:w="0" w:type="dxa"/>
        <w:left w:w="108" w:type="dxa"/>
        <w:bottom w:w="0" w:type="dxa"/>
        <w:right w:w="108" w:type="dxa"/>
      </w:tblCellMar>
    </w:tblPr>
  </w:style>
  <w:style w:type="table" w:customStyle="1" w:styleId="afffffffffffb">
    <w:uiPriority w:val="99"/>
    <w:semiHidden/>
    <w:unhideWhenUsed/>
    <w:qFormat/>
    <w:tblPr>
      <w:tblCellMar>
        <w:top w:w="0" w:type="dxa"/>
        <w:left w:w="108" w:type="dxa"/>
        <w:bottom w:w="0" w:type="dxa"/>
        <w:right w:w="108" w:type="dxa"/>
      </w:tblCellMar>
    </w:tblPr>
  </w:style>
  <w:style w:type="table" w:customStyle="1" w:styleId="afffffffffffc">
    <w:semiHidden/>
    <w:qFormat/>
    <w:tblPr>
      <w:tblCellMar>
        <w:top w:w="0" w:type="dxa"/>
        <w:left w:w="108" w:type="dxa"/>
        <w:bottom w:w="0" w:type="dxa"/>
        <w:right w:w="108" w:type="dxa"/>
      </w:tblCellMar>
    </w:tblPr>
  </w:style>
  <w:style w:type="table" w:customStyle="1" w:styleId="afffffff6">
    <w:link w:val="afffffff5"/>
    <w:semiHidden/>
    <w:qFormat/>
    <w:tblPr>
      <w:tblCellMar>
        <w:top w:w="0" w:type="dxa"/>
        <w:left w:w="108" w:type="dxa"/>
        <w:bottom w:w="0" w:type="dxa"/>
        <w:right w:w="108" w:type="dxa"/>
      </w:tblCellMar>
    </w:tblPr>
  </w:style>
  <w:style w:type="table" w:customStyle="1" w:styleId="affffffff2">
    <w:link w:val="affffffff1"/>
    <w:semiHidden/>
    <w:qFormat/>
    <w:tblPr>
      <w:tblCellMar>
        <w:top w:w="0" w:type="dxa"/>
        <w:left w:w="108" w:type="dxa"/>
        <w:bottom w:w="0" w:type="dxa"/>
        <w:right w:w="108" w:type="dxa"/>
      </w:tblCellMar>
    </w:tblPr>
  </w:style>
  <w:style w:type="table" w:customStyle="1" w:styleId="affffffff4">
    <w:link w:val="affffffff3"/>
    <w:uiPriority w:val="99"/>
    <w:semiHidden/>
    <w:unhideWhenUsed/>
    <w:qFormat/>
    <w:tblPr>
      <w:tblCellMar>
        <w:top w:w="0" w:type="dxa"/>
        <w:left w:w="108" w:type="dxa"/>
        <w:bottom w:w="0" w:type="dxa"/>
        <w:right w:w="108" w:type="dxa"/>
      </w:tblCellMar>
    </w:tblPr>
  </w:style>
  <w:style w:type="table" w:customStyle="1" w:styleId="affffffff6">
    <w:basedOn w:val="affffffff4"/>
    <w:link w:val="affffffff5"/>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8">
    <w:basedOn w:val="affffffff4"/>
    <w:link w:val="affffffff7"/>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a">
    <w:link w:val="affffffff9"/>
    <w:autoRedefine/>
    <w:uiPriority w:val="99"/>
    <w:semiHidden/>
    <w:unhideWhenUsed/>
    <w:qFormat/>
    <w:rPr>
      <w:rFonts w:ascii="宋体" w:hAnsi="宋体" w:cs="宋体"/>
    </w:rPr>
    <w:tblPr>
      <w:tblCellMar>
        <w:top w:w="0" w:type="dxa"/>
        <w:left w:w="108" w:type="dxa"/>
        <w:bottom w:w="0" w:type="dxa"/>
        <w:right w:w="108" w:type="dxa"/>
      </w:tblCellMar>
    </w:tblPr>
  </w:style>
  <w:style w:type="table" w:customStyle="1" w:styleId="afffffffffffd">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ffe">
    <w:uiPriority w:val="42"/>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46">
    <w:name w:val="g46"/>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fff">
    <w:uiPriority w:val="99"/>
    <w:semiHidden/>
    <w:unhideWhenUsed/>
    <w:tblPr>
      <w:tblInd w:w="0" w:type="dxa"/>
      <w:tblCellMar>
        <w:top w:w="0" w:type="dxa"/>
        <w:left w:w="108" w:type="dxa"/>
        <w:bottom w:w="0" w:type="dxa"/>
        <w:right w:w="108" w:type="dxa"/>
      </w:tblCellMar>
    </w:tblPr>
  </w:style>
  <w:style w:type="table" w:customStyle="1" w:styleId="afffffffff3">
    <w:basedOn w:val="affffffffffff"/>
    <w:link w:val="afffffffff2"/>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0">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5">
    <w:link w:val="afffffffff4"/>
    <w:semiHidden/>
    <w:qFormat/>
    <w:tblPr>
      <w:tblCellMar>
        <w:top w:w="0" w:type="dxa"/>
        <w:left w:w="108" w:type="dxa"/>
        <w:bottom w:w="0" w:type="dxa"/>
        <w:right w:w="108" w:type="dxa"/>
      </w:tblCellMar>
    </w:tblPr>
  </w:style>
  <w:style w:type="table" w:customStyle="1" w:styleId="affffffffffff1">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7">
    <w:link w:val="afffffffff6"/>
    <w:semiHidden/>
    <w:qFormat/>
    <w:tblPr>
      <w:tblCellMar>
        <w:top w:w="0" w:type="dxa"/>
        <w:left w:w="108" w:type="dxa"/>
        <w:bottom w:w="0" w:type="dxa"/>
        <w:right w:w="108" w:type="dxa"/>
      </w:tblCellMar>
    </w:tblPr>
  </w:style>
  <w:style w:type="table" w:customStyle="1" w:styleId="affffffffffff2">
    <w:link w:val="affffffffffff3"/>
    <w:uiPriority w:val="99"/>
    <w:semiHidden/>
    <w:unhideWhenUsed/>
    <w:qFormat/>
    <w:tblPr>
      <w:tblCellMar>
        <w:top w:w="0" w:type="dxa"/>
        <w:left w:w="108" w:type="dxa"/>
        <w:bottom w:w="0" w:type="dxa"/>
        <w:right w:w="108" w:type="dxa"/>
      </w:tblCellMar>
    </w:tblPr>
  </w:style>
  <w:style w:type="table" w:customStyle="1" w:styleId="afffffffffa">
    <w:basedOn w:val="affffffffffff2"/>
    <w:link w:val="aff1"/>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4">
    <w:basedOn w:val="affffffffffff2"/>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5">
    <w:uiPriority w:val="42"/>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6">
    <w:uiPriority w:val="42"/>
    <w:tblPr>
      <w:tblStyleRowBandSize w:val="1"/>
      <w:tblStyleColBandSize w:val="1"/>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7">
    <w:uiPriority w:val="99"/>
    <w:semiHidden/>
    <w:unhideWhenUsed/>
    <w:tblPr>
      <w:tblInd w:w="0" w:type="dxa"/>
      <w:tblCellMar>
        <w:top w:w="0" w:type="dxa"/>
        <w:left w:w="108" w:type="dxa"/>
        <w:bottom w:w="0" w:type="dxa"/>
        <w:right w:w="108" w:type="dxa"/>
      </w:tblCellMar>
    </w:tblPr>
  </w:style>
  <w:style w:type="table" w:customStyle="1" w:styleId="afffffff8">
    <w:basedOn w:val="affffffffffff7"/>
    <w:link w:val="afffffff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8">
    <w:basedOn w:val="affffffffffff7"/>
    <w:uiPriority w:val="59"/>
    <w:qFormat/>
    <w:pPr>
      <w:widowControl w:val="0"/>
      <w:jc w:val="both"/>
    </w:pPr>
    <w:rPr>
      <w:rFonts w:ascii="Times New Roman" w:eastAsia="Times New Roman" w:hAnsi="Times New Roman"/>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9">
    <w:basedOn w:val="affffffffffff7"/>
    <w:uiPriority w:val="59"/>
    <w:qFormat/>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a">
    <w:basedOn w:val="affffffffffff7"/>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b">
    <w:basedOn w:val="affffffffffff7"/>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a">
    <w:link w:val="afffffff9"/>
    <w:semiHidden/>
    <w:qFormat/>
    <w:tblPr>
      <w:tblCellMar>
        <w:top w:w="0" w:type="dxa"/>
        <w:left w:w="108" w:type="dxa"/>
        <w:bottom w:w="0" w:type="dxa"/>
        <w:right w:w="108" w:type="dxa"/>
      </w:tblCellMar>
    </w:tblPr>
  </w:style>
  <w:style w:type="table" w:customStyle="1" w:styleId="affffffffffffc">
    <w:semiHidden/>
    <w:qFormat/>
    <w:tblPr>
      <w:tblCellMar>
        <w:top w:w="0" w:type="dxa"/>
        <w:left w:w="108" w:type="dxa"/>
        <w:bottom w:w="0" w:type="dxa"/>
        <w:right w:w="108" w:type="dxa"/>
      </w:tblCellMar>
    </w:tblPr>
  </w:style>
  <w:style w:type="table" w:customStyle="1" w:styleId="affffffffffffd">
    <w:uiPriority w:val="99"/>
    <w:semiHidden/>
    <w:unhideWhenUsed/>
    <w:qFormat/>
    <w:tblPr>
      <w:tblCellMar>
        <w:top w:w="0" w:type="dxa"/>
        <w:left w:w="108" w:type="dxa"/>
        <w:bottom w:w="0" w:type="dxa"/>
        <w:right w:w="108" w:type="dxa"/>
      </w:tblCellMar>
    </w:tblPr>
  </w:style>
  <w:style w:type="table" w:customStyle="1" w:styleId="affffffffffffe">
    <w:basedOn w:val="affffffffffffd"/>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
    <w:basedOn w:val="affffffffffffd"/>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0">
    <w:basedOn w:val="affffffffffff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1">
    <w:basedOn w:val="affffffffffff7"/>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2">
    <w:basedOn w:val="affffffffffff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3">
    <w:basedOn w:val="affffffffffff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4">
    <w:uiPriority w:val="99"/>
    <w:semiHidden/>
    <w:unhideWhenUsed/>
    <w:qFormat/>
    <w:tblPr>
      <w:tblCellMar>
        <w:top w:w="0" w:type="dxa"/>
        <w:left w:w="108" w:type="dxa"/>
        <w:bottom w:w="0" w:type="dxa"/>
        <w:right w:w="108" w:type="dxa"/>
      </w:tblCellMar>
    </w:tblPr>
  </w:style>
  <w:style w:type="table" w:customStyle="1" w:styleId="afffffffffffff5">
    <w:basedOn w:val="afffffffffffff4"/>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6">
    <w:basedOn w:val="afffffffffffff4"/>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7">
    <w:basedOn w:val="affffffffffff7"/>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8">
    <w:qFormat/>
    <w:rPr>
      <w:rFonts w:ascii="宋体" w:hAnsi="宋体" w:cs="宋体"/>
      <w:szCs w:val="24"/>
    </w:rPr>
  </w:style>
  <w:style w:type="paragraph" w:customStyle="1" w:styleId="afffffffffffff9">
    <w:basedOn w:val="afffffffffffff8"/>
    <w:next w:val="affffb"/>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2CharCharChar">
    <w:name w:val="标题 2 Char Char Char"/>
    <w:basedOn w:val="afffffffffffff8"/>
    <w:next w:val="affffb"/>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a">
    <w:basedOn w:val="afffffffffffff8"/>
    <w:next w:val="affffb"/>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b">
    <w:basedOn w:val="afffffffffffff8"/>
    <w:next w:val="affffb"/>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c">
    <w:basedOn w:val="afffffffffffff8"/>
    <w:next w:val="affffb"/>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d">
    <w:basedOn w:val="afffffffffffff8"/>
    <w:next w:val="affffb"/>
    <w:uiPriority w:val="9"/>
    <w:unhideWhenUsed/>
    <w:qFormat/>
    <w:pPr>
      <w:keepNext/>
      <w:keepLines/>
      <w:spacing w:before="60" w:after="60"/>
      <w:outlineLvl w:val="5"/>
    </w:pPr>
    <w:rPr>
      <w:rFonts w:asciiTheme="majorHAnsi" w:hAnsiTheme="majorHAnsi" w:cstheme="majorBidi"/>
      <w:b/>
      <w:bCs/>
    </w:rPr>
  </w:style>
  <w:style w:type="character" w:customStyle="1" w:styleId="afffffffffffffe">
    <w:uiPriority w:val="1"/>
    <w:semiHidden/>
    <w:unhideWhenUsed/>
  </w:style>
  <w:style w:type="table" w:customStyle="1" w:styleId="affffffffff8">
    <w:link w:val="affff9"/>
    <w:semiHidden/>
    <w:unhideWhenUsed/>
    <w:tblPr>
      <w:tblInd w:w="0" w:type="dxa"/>
      <w:tblCellMar>
        <w:top w:w="0" w:type="dxa"/>
        <w:left w:w="108" w:type="dxa"/>
        <w:bottom w:w="0" w:type="dxa"/>
        <w:right w:w="108" w:type="dxa"/>
      </w:tblCellMar>
    </w:tblPr>
  </w:style>
  <w:style w:type="numbering" w:customStyle="1" w:styleId="affffffffffffff">
    <w:uiPriority w:val="99"/>
    <w:semiHidden/>
    <w:unhideWhenUsed/>
  </w:style>
  <w:style w:type="paragraph" w:customStyle="1" w:styleId="affffffffffffff0">
    <w:basedOn w:val="afffffffffffff8"/>
    <w:next w:val="affffb"/>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table" w:customStyle="1" w:styleId="affffffffffffff1">
    <w:basedOn w:val="affffffffff8"/>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2">
    <w:basedOn w:val="afffffffffffff8"/>
    <w:next w:val="affffb"/>
    <w:uiPriority w:val="99"/>
    <w:qFormat/>
    <w:pPr>
      <w:widowControl w:val="0"/>
      <w:jc w:val="both"/>
    </w:pPr>
    <w:rPr>
      <w:rFonts w:ascii="Times New Roman" w:hAnsi="Times New Roman" w:cs="Times New Roman"/>
      <w:kern w:val="2"/>
      <w:szCs w:val="21"/>
    </w:rPr>
  </w:style>
  <w:style w:type="character" w:customStyle="1" w:styleId="affffffffff6">
    <w:basedOn w:val="afffffffffffffe"/>
    <w:link w:val="affd"/>
    <w:rPr>
      <w:rFonts w:ascii="宋体" w:hAnsiTheme="minorHAnsi" w:cstheme="minorBidi"/>
      <w:kern w:val="2"/>
      <w:szCs w:val="24"/>
      <w14:ligatures w14:val="standardContextual"/>
    </w:rPr>
  </w:style>
  <w:style w:type="paragraph" w:customStyle="1" w:styleId="affffffffffffff3">
    <w:basedOn w:val="afffffffffffff8"/>
    <w:uiPriority w:val="34"/>
    <w:qFormat/>
    <w:pPr>
      <w:widowControl w:val="0"/>
      <w:ind w:firstLineChars="200" w:firstLine="420"/>
      <w:jc w:val="both"/>
    </w:pPr>
    <w:rPr>
      <w:rFonts w:ascii="Calibri" w:hAnsi="Calibri" w:cs="Times New Roman"/>
      <w:kern w:val="2"/>
      <w:szCs w:val="22"/>
    </w:rPr>
  </w:style>
  <w:style w:type="paragraph" w:customStyle="1" w:styleId="affffffffffffff4">
    <w:basedOn w:val="afffffffffffff8"/>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2">
    <w:basedOn w:val="afffffffffffffe"/>
    <w:link w:val="af5"/>
    <w:rPr>
      <w:rFonts w:ascii="宋体" w:hAnsiTheme="minorHAnsi" w:cstheme="minorBidi"/>
      <w:kern w:val="2"/>
      <w:szCs w:val="24"/>
      <w14:ligatures w14:val="standardContextual"/>
    </w:rPr>
  </w:style>
  <w:style w:type="paragraph" w:customStyle="1" w:styleId="affffffffffffff5">
    <w:basedOn w:val="afffffffffffff8"/>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0">
    <w:basedOn w:val="afffffffffffffe"/>
    <w:link w:val="afff3"/>
    <w:rPr>
      <w:rFonts w:ascii="宋体" w:hAnsiTheme="minorHAnsi" w:cstheme="minorBidi"/>
      <w:kern w:val="2"/>
      <w:szCs w:val="24"/>
      <w14:ligatures w14:val="standardContextual"/>
    </w:rPr>
  </w:style>
  <w:style w:type="paragraph" w:customStyle="1" w:styleId="affffffffffffff6">
    <w:basedOn w:val="afffffffffffff8"/>
    <w:pPr>
      <w:widowControl w:val="0"/>
      <w:jc w:val="both"/>
    </w:pPr>
    <w:rPr>
      <w:rFonts w:hAnsi="Courier New" w:cs="Times New Roman"/>
      <w:kern w:val="2"/>
      <w:szCs w:val="20"/>
    </w:rPr>
  </w:style>
  <w:style w:type="character" w:customStyle="1" w:styleId="afffffffff1">
    <w:basedOn w:val="afffffffffffffe"/>
    <w:link w:val="afff5"/>
    <w:qFormat/>
    <w:rPr>
      <w:rFonts w:ascii="宋体" w:hAnsiTheme="minorHAnsi" w:cstheme="minorBidi"/>
      <w:kern w:val="2"/>
      <w:szCs w:val="24"/>
      <w14:ligatures w14:val="standardContextual"/>
    </w:rPr>
  </w:style>
  <w:style w:type="paragraph" w:customStyle="1" w:styleId="affffffffffffff7">
    <w:basedOn w:val="afffffffffffff8"/>
    <w:next w:val="affffb"/>
    <w:uiPriority w:val="99"/>
    <w:pPr>
      <w:widowControl w:val="0"/>
      <w:jc w:val="center"/>
    </w:pPr>
    <w:rPr>
      <w:rFonts w:ascii="Times New Roman" w:hAnsi="Times New Roman" w:cs="Times New Roman"/>
      <w:kern w:val="2"/>
      <w:szCs w:val="21"/>
    </w:rPr>
  </w:style>
  <w:style w:type="character" w:customStyle="1" w:styleId="afffffffffffa">
    <w:basedOn w:val="afffffffffffffe"/>
    <w:link w:val="affff3"/>
    <w:rPr>
      <w:rFonts w:ascii="宋体" w:hAnsiTheme="minorHAnsi" w:cstheme="minorBidi"/>
      <w:kern w:val="2"/>
      <w:szCs w:val="24"/>
      <w14:ligatures w14:val="standardContextual"/>
    </w:rPr>
  </w:style>
  <w:style w:type="paragraph" w:customStyle="1" w:styleId="affffffffffffff8">
    <w:uiPriority w:val="1"/>
    <w:qFormat/>
    <w:pPr>
      <w:widowControl w:val="0"/>
      <w:jc w:val="both"/>
    </w:pPr>
    <w:rPr>
      <w:kern w:val="2"/>
      <w:szCs w:val="22"/>
    </w:rPr>
  </w:style>
  <w:style w:type="paragraph" w:customStyle="1" w:styleId="affffffffffffff9">
    <w:basedOn w:val="afffffffffffff8"/>
    <w:uiPriority w:val="99"/>
    <w:pPr>
      <w:spacing w:before="100" w:beforeAutospacing="1" w:after="100" w:afterAutospacing="1"/>
    </w:pPr>
    <w:rPr>
      <w:sz w:val="24"/>
    </w:rPr>
  </w:style>
  <w:style w:type="paragraph" w:customStyle="1" w:styleId="affffffffffffffa">
    <w:basedOn w:val="afffffffffffff8"/>
    <w:pPr>
      <w:widowControl w:val="0"/>
      <w:ind w:firstLineChars="200" w:firstLine="420"/>
      <w:jc w:val="both"/>
    </w:pPr>
    <w:rPr>
      <w:rFonts w:ascii="Times New Roman" w:hAnsi="Times New Roman" w:cs="Times New Roman"/>
      <w:kern w:val="2"/>
      <w:szCs w:val="21"/>
    </w:rPr>
  </w:style>
  <w:style w:type="paragraph" w:customStyle="1" w:styleId="affffffffffffffb">
    <w:basedOn w:val="afffffffffffff8"/>
    <w:next w:val="af3"/>
    <w:uiPriority w:val="34"/>
    <w:qFormat/>
    <w:pPr>
      <w:widowControl w:val="0"/>
      <w:ind w:firstLineChars="200" w:firstLine="420"/>
      <w:jc w:val="both"/>
    </w:pPr>
    <w:rPr>
      <w:rFonts w:ascii="Calibri" w:hAnsi="Calibri" w:cs="Times New Roman"/>
      <w:kern w:val="2"/>
      <w:szCs w:val="22"/>
    </w:rPr>
  </w:style>
  <w:style w:type="paragraph" w:customStyle="1" w:styleId="affffffffffffffc">
    <w:basedOn w:val="afffffffffffff8"/>
    <w:next w:val="af3"/>
    <w:uiPriority w:val="34"/>
    <w:qFormat/>
    <w:pPr>
      <w:widowControl w:val="0"/>
      <w:ind w:firstLineChars="200" w:firstLine="420"/>
      <w:jc w:val="both"/>
    </w:pPr>
    <w:rPr>
      <w:rFonts w:ascii="Calibri" w:hAnsi="Calibri" w:cs="Times New Roman"/>
      <w:kern w:val="2"/>
      <w:szCs w:val="22"/>
    </w:rPr>
  </w:style>
  <w:style w:type="table" w:customStyle="1" w:styleId="affffffffffffffd">
    <w:basedOn w:val="affffffffff8"/>
    <w:uiPriority w:val="59"/>
    <w:qFormat/>
    <w:pPr>
      <w:widowControl w:val="0"/>
      <w:jc w:val="both"/>
    </w:pPr>
    <w:rPr>
      <w:rFonts w:ascii="Times New Roman" w:eastAsia="Times New Roman" w:hAnsi="Times New Roman"/>
      <w:kern w:val="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7">
    <w:basedOn w:val="afffffffffffffe"/>
    <w:link w:val="af8"/>
    <w:rPr>
      <w:rFonts w:ascii="宋体" w:hAnsiTheme="minorHAnsi" w:cstheme="minorBidi"/>
      <w:kern w:val="2"/>
      <w:szCs w:val="24"/>
      <w14:ligatures w14:val="standardContextual"/>
    </w:rPr>
  </w:style>
  <w:style w:type="character" w:customStyle="1" w:styleId="afffffffffff1">
    <w:basedOn w:val="afffffffffffffe"/>
    <w:link w:val="af3"/>
    <w:rPr>
      <w:rFonts w:ascii="宋体" w:hAnsiTheme="minorHAnsi" w:cstheme="minorBidi"/>
      <w:kern w:val="2"/>
      <w:szCs w:val="24"/>
      <w14:ligatures w14:val="standardContextual"/>
    </w:rPr>
  </w:style>
  <w:style w:type="character" w:customStyle="1" w:styleId="afffffffffff6">
    <w:basedOn w:val="afffffffffffffe"/>
    <w:link w:val="af6"/>
    <w:rPr>
      <w:rFonts w:ascii="黑体" w:eastAsia="黑体" w:hAnsiTheme="minorHAnsi" w:cstheme="minorBidi"/>
      <w:b/>
      <w:kern w:val="2"/>
      <w:sz w:val="24"/>
      <w:szCs w:val="24"/>
      <w14:ligatures w14:val="standardContextual"/>
    </w:rPr>
  </w:style>
  <w:style w:type="character" w:customStyle="1" w:styleId="afffffffff9">
    <w:basedOn w:val="afffffffffffffe"/>
    <w:link w:val="afe"/>
    <w:unhideWhenUsed/>
    <w:rPr>
      <w:rFonts w:ascii="黑体" w:eastAsia="黑体" w:hAnsiTheme="minorHAnsi" w:cstheme="minorBidi"/>
      <w:b/>
      <w:kern w:val="2"/>
      <w:sz w:val="24"/>
      <w:szCs w:val="24"/>
      <w14:ligatures w14:val="standardContextual"/>
    </w:rPr>
  </w:style>
  <w:style w:type="table" w:customStyle="1" w:styleId="affffffffffffffe">
    <w:basedOn w:val="affffffffff8"/>
    <w:uiPriority w:val="59"/>
    <w:qFormat/>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
    <w:basedOn w:val="affffffffff8"/>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0">
    <w:basedOn w:val="affffffffff8"/>
    <w:uiPriority w:val="59"/>
    <w:pPr>
      <w:widowControl w:val="0"/>
      <w:jc w:val="both"/>
    </w:pPr>
    <w:rPr>
      <w:rFonts w:ascii="Times New Roman" w:hAnsi="Times New Roman"/>
      <w:kern w:val="2"/>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1">
    <w:qFormat/>
    <w:rPr>
      <w:rFonts w:ascii="宋体" w:hAnsi="宋体" w:cs="宋体"/>
      <w:szCs w:val="24"/>
    </w:rPr>
  </w:style>
  <w:style w:type="paragraph" w:customStyle="1" w:styleId="afffffffffff">
    <w:basedOn w:val="afffffffffffffff1"/>
    <w:link w:val="affffffffffe"/>
    <w:semiHidden/>
    <w:unhideWhenUsed/>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2">
    <w:basedOn w:val="afffffffffffffff1"/>
    <w:semiHidden/>
    <w:unhideWhenUsed/>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3">
    <w:basedOn w:val="afffffffffffffff1"/>
    <w:semiHidden/>
    <w:unhideWhenUsed/>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4">
    <w:basedOn w:val="afffffffffffffff1"/>
    <w:semiHidden/>
    <w:unhideWhenUsed/>
    <w:qFormat/>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ffffffff5">
    <w:semiHidden/>
    <w:qFormat/>
  </w:style>
  <w:style w:type="paragraph" w:customStyle="1" w:styleId="afffffffffffffff6">
    <w:basedOn w:val="afffffffffffffff1"/>
    <w:pPr>
      <w:widowControl w:val="0"/>
      <w:jc w:val="both"/>
    </w:pPr>
    <w:rPr>
      <w:rFonts w:ascii="Times New Roman" w:hAnsi="Times New Roman" w:cs="Times New Roman"/>
      <w:kern w:val="2"/>
      <w:szCs w:val="21"/>
    </w:rPr>
  </w:style>
  <w:style w:type="character" w:customStyle="1" w:styleId="afffffffffffffff7">
    <w:basedOn w:val="afffffffffffffff5"/>
    <w:uiPriority w:val="99"/>
    <w:qFormat/>
    <w:rPr>
      <w:rFonts w:ascii="Times New Roman" w:eastAsia="宋体" w:hAnsi="Times New Roman" w:cs="Times New Roman"/>
      <w:szCs w:val="21"/>
    </w:rPr>
  </w:style>
  <w:style w:type="paragraph" w:customStyle="1" w:styleId="afffffffffffffff8">
    <w:basedOn w:val="afffffffffffffff1"/>
    <w:uiPriority w:val="34"/>
    <w:qFormat/>
    <w:pPr>
      <w:widowControl w:val="0"/>
      <w:ind w:firstLineChars="200" w:firstLine="420"/>
      <w:jc w:val="both"/>
    </w:pPr>
    <w:rPr>
      <w:rFonts w:ascii="Calibri" w:hAnsi="Calibri" w:cs="Times New Roman"/>
      <w:kern w:val="2"/>
      <w:szCs w:val="22"/>
    </w:rPr>
  </w:style>
  <w:style w:type="paragraph" w:customStyle="1" w:styleId="afffffffffffffff9">
    <w:uiPriority w:val="1"/>
    <w:qFormat/>
    <w:pPr>
      <w:widowControl w:val="0"/>
      <w:jc w:val="both"/>
    </w:pPr>
    <w:rPr>
      <w:kern w:val="2"/>
      <w:szCs w:val="22"/>
    </w:rPr>
  </w:style>
  <w:style w:type="paragraph" w:customStyle="1" w:styleId="afffffffffffffffa">
    <w:qFormat/>
    <w:rPr>
      <w:rFonts w:ascii="宋体" w:hAnsi="宋体" w:cs="宋体"/>
    </w:rPr>
  </w:style>
  <w:style w:type="paragraph" w:customStyle="1" w:styleId="afffffffffffffffb">
    <w:basedOn w:val="afffffffffffffff1"/>
    <w:qFormat/>
    <w:pPr>
      <w:ind w:firstLineChars="200" w:firstLine="420"/>
    </w:pPr>
  </w:style>
  <w:style w:type="paragraph" w:customStyle="1" w:styleId="afffffffffffffffc">
    <w:qFormat/>
    <w:rPr>
      <w:rFonts w:ascii="宋体" w:hAnsi="宋体" w:cs="宋体"/>
      <w:szCs w:val="24"/>
    </w:rPr>
  </w:style>
  <w:style w:type="paragraph" w:customStyle="1" w:styleId="afffffffffffffffd">
    <w:basedOn w:val="afffffffffffffffc"/>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e">
    <w:basedOn w:val="afffffffffffffffc"/>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
    <w:basedOn w:val="afffffffffffffffc"/>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0">
    <w:basedOn w:val="afffffffffffffffc"/>
    <w:uiPriority w:val="34"/>
    <w:qFormat/>
    <w:pPr>
      <w:widowControl w:val="0"/>
      <w:ind w:firstLineChars="200" w:firstLine="420"/>
      <w:jc w:val="both"/>
    </w:pPr>
    <w:rPr>
      <w:rFonts w:ascii="Calibri" w:hAnsi="Calibri" w:cs="Times New Roman"/>
      <w:kern w:val="2"/>
      <w:szCs w:val="22"/>
    </w:rPr>
  </w:style>
  <w:style w:type="paragraph" w:customStyle="1" w:styleId="affffffffffffffff1">
    <w:autoRedefine/>
    <w:qFormat/>
    <w:rPr>
      <w:rFonts w:ascii="宋体" w:hAnsi="宋体" w:cs="宋体"/>
    </w:rPr>
  </w:style>
  <w:style w:type="paragraph" w:customStyle="1" w:styleId="affffffffffff3">
    <w:link w:val="affffffffffff2"/>
    <w:qFormat/>
    <w:rPr>
      <w:rFonts w:ascii="宋体" w:hAnsi="宋体" w:cs="宋体"/>
      <w:szCs w:val="24"/>
    </w:rPr>
  </w:style>
  <w:style w:type="paragraph" w:customStyle="1" w:styleId="afffff5">
    <w:basedOn w:val="afffffffffffff8"/>
    <w:next w:val="affffb"/>
    <w:link w:val="afffff4"/>
    <w:uiPriority w:val="99"/>
    <w:pPr>
      <w:widowControl w:val="0"/>
      <w:jc w:val="center"/>
    </w:pPr>
    <w:rPr>
      <w:rFonts w:ascii="Times New Roman" w:hAnsi="Times New Roman" w:cs="Times New Roman"/>
      <w:kern w:val="2"/>
      <w:szCs w:val="21"/>
    </w:rPr>
  </w:style>
  <w:style w:type="character" w:customStyle="1" w:styleId="affffffffffffffff2">
    <w:basedOn w:val="afffffffffffffe"/>
    <w:uiPriority w:val="99"/>
    <w:rPr>
      <w:rFonts w:ascii="Times New Roman" w:eastAsia="宋体" w:hAnsi="Times New Roman" w:cs="Times New Roman"/>
      <w:szCs w:val="21"/>
    </w:rPr>
  </w:style>
  <w:style w:type="character" w:customStyle="1" w:styleId="affffffffffffffff3">
    <w:basedOn w:val="afffffffffffffe"/>
    <w:qFormat/>
    <w:rPr>
      <w:kern w:val="2"/>
      <w:sz w:val="21"/>
      <w:szCs w:val="24"/>
    </w:rPr>
  </w:style>
  <w:style w:type="character" w:customStyle="1" w:styleId="affffffffffffffff4">
    <w:basedOn w:val="afffffffffffffe"/>
    <w:uiPriority w:val="99"/>
    <w:semiHidden/>
    <w:rPr>
      <w:rFonts w:ascii="宋体"/>
      <w:kern w:val="2"/>
      <w:sz w:val="18"/>
      <w:szCs w:val="18"/>
    </w:rPr>
  </w:style>
  <w:style w:type="paragraph" w:customStyle="1" w:styleId="affffffffffffffff5">
    <w:basedOn w:val="afffffffffffff8"/>
    <w:next w:val="affffb"/>
    <w:uiPriority w:val="10"/>
    <w:qFormat/>
    <w:pPr>
      <w:widowControl w:val="0"/>
      <w:spacing w:before="240" w:after="60"/>
      <w:jc w:val="center"/>
      <w:outlineLvl w:val="0"/>
    </w:pPr>
    <w:rPr>
      <w:rFonts w:asciiTheme="majorHAnsi" w:hAnsiTheme="majorHAnsi" w:cstheme="majorBidi"/>
      <w:b/>
      <w:bCs/>
      <w:kern w:val="2"/>
      <w:sz w:val="32"/>
      <w:szCs w:val="32"/>
    </w:rPr>
  </w:style>
  <w:style w:type="paragraph" w:customStyle="1" w:styleId="affffffffffffffff6">
    <w:basedOn w:val="afffffffffffff8"/>
    <w:uiPriority w:val="99"/>
    <w:semiHidden/>
    <w:unhideWhenUsed/>
    <w:pPr>
      <w:snapToGrid w:val="0"/>
    </w:pPr>
  </w:style>
  <w:style w:type="character" w:customStyle="1" w:styleId="affffffffffffffff7">
    <w:basedOn w:val="afffffffffffffe"/>
    <w:uiPriority w:val="99"/>
    <w:semiHidden/>
    <w:rPr>
      <w:rFonts w:ascii="宋体" w:hAnsi="宋体" w:cs="宋体"/>
      <w:sz w:val="21"/>
      <w:szCs w:val="24"/>
    </w:rPr>
  </w:style>
  <w:style w:type="paragraph" w:customStyle="1" w:styleId="affffffffffffffff8">
    <w:basedOn w:val="afffffffffffff8"/>
    <w:uiPriority w:val="99"/>
    <w:semiHidden/>
    <w:unhideWhenUsed/>
    <w:pPr>
      <w:widowControl w:val="0"/>
      <w:snapToGrid w:val="0"/>
    </w:pPr>
    <w:rPr>
      <w:rFonts w:ascii="Calibri" w:hAnsi="Calibri" w:cs="Times New Roman"/>
      <w:kern w:val="2"/>
      <w:sz w:val="18"/>
      <w:szCs w:val="18"/>
    </w:rPr>
  </w:style>
  <w:style w:type="character" w:customStyle="1" w:styleId="affffffffffffffff9">
    <w:basedOn w:val="afffffffffffffe"/>
    <w:uiPriority w:val="99"/>
    <w:semiHidden/>
    <w:rPr>
      <w:kern w:val="2"/>
      <w:sz w:val="18"/>
      <w:szCs w:val="18"/>
    </w:rPr>
  </w:style>
  <w:style w:type="paragraph" w:customStyle="1" w:styleId="affffe">
    <w:basedOn w:val="afffffffffffff8"/>
    <w:autoRedefine/>
    <w:qFormat/>
    <w:pPr>
      <w:numPr>
        <w:numId w:val="84"/>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ff">
    <w:basedOn w:val="afffffffffffff8"/>
    <w:autoRedefine/>
    <w:qFormat/>
    <w:pPr>
      <w:numPr>
        <w:ilvl w:val="1"/>
        <w:numId w:val="84"/>
      </w:numPr>
      <w:spacing w:afterLines="50" w:after="156" w:line="360" w:lineRule="exact"/>
      <w:outlineLvl w:val="1"/>
    </w:pPr>
    <w:rPr>
      <w:rFonts w:hAnsiTheme="minorHAnsi" w:cstheme="minorBidi"/>
      <w:kern w:val="2"/>
      <w14:ligatures w14:val="standardContextual"/>
    </w:rPr>
  </w:style>
  <w:style w:type="paragraph" w:customStyle="1" w:styleId="afffff0">
    <w:basedOn w:val="afffffffffffff8"/>
    <w:autoRedefine/>
    <w:qFormat/>
    <w:pPr>
      <w:numPr>
        <w:ilvl w:val="2"/>
        <w:numId w:val="84"/>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ff1">
    <w:basedOn w:val="afffffffffffff8"/>
    <w:autoRedefine/>
    <w:qFormat/>
    <w:pPr>
      <w:numPr>
        <w:ilvl w:val="3"/>
        <w:numId w:val="84"/>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a">
    <w:qFormat/>
    <w:rPr>
      <w:rFonts w:ascii="宋体" w:hAnsi="宋体" w:cs="宋体"/>
      <w:szCs w:val="24"/>
    </w:rPr>
  </w:style>
  <w:style w:type="character" w:customStyle="1" w:styleId="affffffffffffffffb">
    <w:uiPriority w:val="1"/>
    <w:semiHidden/>
    <w:unhideWhenUsed/>
  </w:style>
  <w:style w:type="character" w:customStyle="1" w:styleId="affffffffffffffffc">
    <w:basedOn w:val="affffffffffffffffb"/>
    <w:qFormat/>
    <w:rPr>
      <w:rFonts w:ascii="Times New Roman" w:eastAsia="宋体" w:hAnsi="Times New Roman" w:cs="Times New Roman"/>
      <w:szCs w:val="21"/>
    </w:rPr>
  </w:style>
  <w:style w:type="paragraph" w:customStyle="1" w:styleId="affffffffffffffffd">
    <w:basedOn w:val="affffffffffffffffa"/>
    <w:uiPriority w:val="99"/>
    <w:pPr>
      <w:widowControl w:val="0"/>
      <w:spacing w:after="120"/>
      <w:jc w:val="both"/>
    </w:pPr>
    <w:rPr>
      <w:rFonts w:ascii="Times New Roman" w:hAnsi="Times New Roman" w:cs="Times New Roman"/>
      <w:kern w:val="2"/>
      <w:szCs w:val="21"/>
    </w:rPr>
  </w:style>
  <w:style w:type="paragraph" w:customStyle="1" w:styleId="affffffffffffffffe">
    <w:basedOn w:val="affffffffffffffffa"/>
    <w:next w:val="af1"/>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
    <w:basedOn w:val="affffffffffffffffb"/>
    <w:uiPriority w:val="10"/>
    <w:rPr>
      <w:rFonts w:asciiTheme="majorHAnsi" w:hAnsiTheme="majorHAnsi" w:cstheme="majorBidi"/>
      <w:b/>
      <w:bCs/>
      <w:kern w:val="2"/>
      <w:sz w:val="32"/>
      <w:szCs w:val="32"/>
    </w:rPr>
  </w:style>
  <w:style w:type="character" w:customStyle="1" w:styleId="afffffffffffffffff0">
    <w:basedOn w:val="affffffffffffffffb"/>
    <w:uiPriority w:val="99"/>
    <w:semiHidden/>
    <w:rPr>
      <w:kern w:val="2"/>
      <w:sz w:val="18"/>
      <w:szCs w:val="18"/>
    </w:rPr>
  </w:style>
  <w:style w:type="paragraph" w:customStyle="1" w:styleId="affe">
    <w:basedOn w:val="affffffffffffffffa"/>
    <w:autoRedefine/>
    <w:qFormat/>
    <w:pPr>
      <w:numPr>
        <w:numId w:val="85"/>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
    <w:basedOn w:val="affffffffffffffffa"/>
    <w:autoRedefine/>
    <w:qFormat/>
    <w:pPr>
      <w:numPr>
        <w:ilvl w:val="1"/>
        <w:numId w:val="85"/>
      </w:numPr>
      <w:spacing w:afterLines="50" w:after="156" w:line="360" w:lineRule="exact"/>
      <w:outlineLvl w:val="1"/>
    </w:pPr>
    <w:rPr>
      <w:rFonts w:hAnsiTheme="minorHAnsi" w:cstheme="minorBidi"/>
      <w:kern w:val="2"/>
      <w14:ligatures w14:val="standardContextual"/>
    </w:rPr>
  </w:style>
  <w:style w:type="paragraph" w:customStyle="1" w:styleId="afff0">
    <w:basedOn w:val="affffffffffffffffa"/>
    <w:autoRedefine/>
    <w:qFormat/>
    <w:pPr>
      <w:numPr>
        <w:ilvl w:val="2"/>
        <w:numId w:val="85"/>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1">
    <w:basedOn w:val="affffffffffffffffa"/>
    <w:autoRedefine/>
    <w:qFormat/>
    <w:pPr>
      <w:numPr>
        <w:ilvl w:val="3"/>
        <w:numId w:val="85"/>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1">
    <w:basedOn w:val="affffffffffffffffd"/>
    <w:uiPriority w:val="99"/>
    <w:semiHidden/>
    <w:unhideWhenUsed/>
    <w:pPr>
      <w:widowControl/>
      <w:ind w:firstLineChars="100" w:firstLine="420"/>
      <w:jc w:val="left"/>
    </w:pPr>
    <w:rPr>
      <w:rFonts w:ascii="宋体" w:hAnsi="宋体" w:cs="宋体"/>
      <w:kern w:val="0"/>
      <w:szCs w:val="24"/>
    </w:rPr>
  </w:style>
  <w:style w:type="numbering" w:customStyle="1" w:styleId="affffffffff4">
    <w:link w:val="affb"/>
    <w:semiHidden/>
    <w:unhideWhenUsed/>
  </w:style>
  <w:style w:type="paragraph" w:customStyle="1" w:styleId="afffffffffffffffff2">
    <w:qFormat/>
    <w:rPr>
      <w:rFonts w:ascii="宋体" w:hAnsi="宋体" w:cs="宋体"/>
      <w:szCs w:val="24"/>
    </w:rPr>
  </w:style>
  <w:style w:type="paragraph" w:customStyle="1" w:styleId="afffffffffffffffff3">
    <w:basedOn w:val="afffffffffffffffff2"/>
    <w:qFormat/>
    <w:pPr>
      <w:ind w:firstLineChars="200" w:firstLine="420"/>
    </w:pPr>
  </w:style>
  <w:style w:type="paragraph" w:customStyle="1" w:styleId="afffffffffffffffff4">
    <w:qFormat/>
    <w:rPr>
      <w:rFonts w:ascii="宋体" w:hAnsi="宋体" w:cs="宋体"/>
      <w:szCs w:val="24"/>
    </w:rPr>
  </w:style>
  <w:style w:type="paragraph" w:customStyle="1" w:styleId="afffffffffffffffff5">
    <w:basedOn w:val="afffffffffffffffff4"/>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character" w:customStyle="1" w:styleId="afffffffffffffffff6">
    <w:basedOn w:val="afffffffffffffe"/>
    <w:uiPriority w:val="99"/>
    <w:semiHidden/>
    <w:rPr>
      <w:rFonts w:ascii="宋体" w:hAnsi="宋体" w:cs="宋体"/>
      <w:sz w:val="21"/>
      <w:szCs w:val="24"/>
    </w:rPr>
  </w:style>
  <w:style w:type="character" w:customStyle="1" w:styleId="afffffffffffffffff7">
    <w:basedOn w:val="afffffffffffffe"/>
    <w:uiPriority w:val="99"/>
    <w:semiHidden/>
    <w:rPr>
      <w:kern w:val="2"/>
      <w:sz w:val="18"/>
      <w:szCs w:val="18"/>
    </w:rPr>
  </w:style>
  <w:style w:type="paragraph" w:customStyle="1" w:styleId="aa">
    <w:basedOn w:val="afffffffffffff8"/>
    <w:autoRedefine/>
    <w:qFormat/>
    <w:pPr>
      <w:numPr>
        <w:numId w:val="86"/>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b">
    <w:basedOn w:val="afffffffffffff8"/>
    <w:autoRedefine/>
    <w:qFormat/>
    <w:pPr>
      <w:numPr>
        <w:ilvl w:val="1"/>
        <w:numId w:val="86"/>
      </w:numPr>
      <w:spacing w:afterLines="50" w:after="156" w:line="360" w:lineRule="exact"/>
      <w:outlineLvl w:val="1"/>
    </w:pPr>
    <w:rPr>
      <w:rFonts w:hAnsiTheme="minorHAnsi" w:cstheme="minorBidi"/>
      <w:kern w:val="2"/>
      <w14:ligatures w14:val="standardContextual"/>
    </w:rPr>
  </w:style>
  <w:style w:type="paragraph" w:customStyle="1" w:styleId="ac">
    <w:basedOn w:val="afffffffffffff8"/>
    <w:autoRedefine/>
    <w:qFormat/>
    <w:pPr>
      <w:numPr>
        <w:ilvl w:val="2"/>
        <w:numId w:val="86"/>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d">
    <w:basedOn w:val="afffffffffffff8"/>
    <w:autoRedefine/>
    <w:qFormat/>
    <w:pPr>
      <w:numPr>
        <w:ilvl w:val="3"/>
        <w:numId w:val="86"/>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8">
    <w:qFormat/>
    <w:rPr>
      <w:rFonts w:ascii="宋体" w:hAnsi="宋体" w:cs="宋体"/>
      <w:szCs w:val="24"/>
    </w:rPr>
  </w:style>
  <w:style w:type="paragraph" w:customStyle="1" w:styleId="afa">
    <w:basedOn w:val="afffffffffffffffff8"/>
    <w:autoRedefine/>
    <w:qFormat/>
    <w:pPr>
      <w:numPr>
        <w:numId w:val="87"/>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b">
    <w:basedOn w:val="afffffffffffffffff8"/>
    <w:autoRedefine/>
    <w:qFormat/>
    <w:pPr>
      <w:numPr>
        <w:ilvl w:val="1"/>
        <w:numId w:val="87"/>
      </w:numPr>
      <w:spacing w:afterLines="50" w:after="156" w:line="360" w:lineRule="exact"/>
      <w:outlineLvl w:val="1"/>
    </w:pPr>
    <w:rPr>
      <w:rFonts w:hAnsiTheme="minorHAnsi" w:cstheme="minorBidi"/>
      <w:kern w:val="2"/>
      <w14:ligatures w14:val="standardContextual"/>
    </w:rPr>
  </w:style>
  <w:style w:type="paragraph" w:customStyle="1" w:styleId="afc">
    <w:basedOn w:val="afffffffffffffffff8"/>
    <w:autoRedefine/>
    <w:qFormat/>
    <w:pPr>
      <w:numPr>
        <w:ilvl w:val="2"/>
        <w:numId w:val="87"/>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d">
    <w:basedOn w:val="afffffffffffffffff8"/>
    <w:autoRedefine/>
    <w:qFormat/>
    <w:pPr>
      <w:numPr>
        <w:ilvl w:val="3"/>
        <w:numId w:val="87"/>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9">
    <w:basedOn w:val="afffffffffffffffff8"/>
    <w:qFormat/>
    <w:pPr>
      <w:snapToGrid w:val="0"/>
      <w:spacing w:afterLines="50" w:after="156" w:line="360" w:lineRule="exact"/>
      <w:ind w:firstLineChars="200" w:firstLine="420"/>
      <w:jc w:val="both"/>
    </w:pPr>
    <w:rPr>
      <w:rFonts w:hAnsiTheme="minorHAnsi" w:cstheme="minorBidi"/>
      <w:kern w:val="2"/>
      <w:szCs w:val="18"/>
      <w14:ligatures w14:val="standardContextual"/>
    </w:rPr>
  </w:style>
  <w:style w:type="table" w:customStyle="1" w:styleId="afffffffffffffffffa">
    <w:semiHidden/>
    <w:qFormat/>
    <w:tblPr>
      <w:tblCellMar>
        <w:top w:w="0" w:type="dxa"/>
        <w:left w:w="108" w:type="dxa"/>
        <w:bottom w:w="0" w:type="dxa"/>
        <w:right w:w="108" w:type="dxa"/>
      </w:tblCellMar>
    </w:tblPr>
  </w:style>
  <w:style w:type="table" w:customStyle="1" w:styleId="afffffffffffffffffb">
    <w:semiHidden/>
    <w:qFormat/>
    <w:tblPr>
      <w:tblCellMar>
        <w:top w:w="0" w:type="dxa"/>
        <w:left w:w="108" w:type="dxa"/>
        <w:bottom w:w="0" w:type="dxa"/>
        <w:right w:w="108" w:type="dxa"/>
      </w:tblCellMar>
    </w:tblPr>
  </w:style>
  <w:style w:type="table" w:customStyle="1" w:styleId="afffffffffffffffffc">
    <w:uiPriority w:val="99"/>
    <w:semiHidden/>
    <w:unhideWhenUsed/>
    <w:qFormat/>
    <w:tblPr>
      <w:tblCellMar>
        <w:top w:w="0" w:type="dxa"/>
        <w:left w:w="108" w:type="dxa"/>
        <w:bottom w:w="0" w:type="dxa"/>
        <w:right w:w="108" w:type="dxa"/>
      </w:tblCellMar>
    </w:tblPr>
  </w:style>
  <w:style w:type="table" w:customStyle="1" w:styleId="afffffffffffffffffd">
    <w:basedOn w:val="afffffffffffffffffc"/>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e">
    <w:basedOn w:val="afffffffffffffffffc"/>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ffffffffffffffffff">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customStyle="1" w:styleId="affffffffffffffffff0">
    <w:uiPriority w:val="99"/>
    <w:semiHidden/>
    <w:unhideWhenUsed/>
    <w:qFormat/>
    <w:tblPr>
      <w:tblCellMar>
        <w:top w:w="0" w:type="dxa"/>
        <w:left w:w="108" w:type="dxa"/>
        <w:bottom w:w="0" w:type="dxa"/>
        <w:right w:w="108" w:type="dxa"/>
      </w:tblCellMar>
    </w:tblPr>
  </w:style>
  <w:style w:type="table" w:customStyle="1" w:styleId="affffffffffffffffff1">
    <w:basedOn w:val="affffffffffffffffff0"/>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ffffffffffffff2">
    <w:basedOn w:val="affffffffffffffffff0"/>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ffffffffffffffffff3">
    <w:qFormat/>
    <w:rPr>
      <w:rFonts w:ascii="宋体" w:hAnsi="宋体" w:cs="宋体"/>
      <w:szCs w:val="24"/>
    </w:rPr>
  </w:style>
  <w:style w:type="paragraph" w:customStyle="1" w:styleId="affffffffffffffffff4">
    <w:basedOn w:val="affffffffffffffffff3"/>
    <w:next w:val="afffb"/>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5">
    <w:basedOn w:val="affffffffffffffffff3"/>
    <w:next w:val="afffb"/>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6">
    <w:basedOn w:val="affffffffffffffffff3"/>
    <w:next w:val="afffb"/>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7">
    <w:basedOn w:val="affffffffffffffffff3"/>
    <w:next w:val="afffb"/>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8">
    <w:basedOn w:val="affffffffffffffffff3"/>
    <w:next w:val="afffb"/>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fff9">
    <w:basedOn w:val="affffffffffffffffff3"/>
    <w:next w:val="afffb"/>
    <w:uiPriority w:val="9"/>
    <w:unhideWhenUsed/>
    <w:qFormat/>
    <w:pPr>
      <w:keepNext/>
      <w:keepLines/>
      <w:spacing w:before="60" w:after="60"/>
      <w:outlineLvl w:val="5"/>
    </w:pPr>
    <w:rPr>
      <w:rFonts w:asciiTheme="majorHAnsi" w:hAnsiTheme="majorHAnsi" w:cstheme="majorBidi"/>
      <w:b/>
      <w:bCs/>
    </w:rPr>
  </w:style>
  <w:style w:type="character" w:customStyle="1" w:styleId="affffffffffffffffffa">
    <w:uiPriority w:val="1"/>
    <w:semiHidden/>
    <w:unhideWhenUsed/>
  </w:style>
  <w:style w:type="numbering" w:customStyle="1" w:styleId="affffffffffffffffffb">
    <w:uiPriority w:val="99"/>
    <w:semiHidden/>
    <w:unhideWhenUsed/>
  </w:style>
  <w:style w:type="paragraph" w:customStyle="1" w:styleId="affffffffffffffffffc">
    <w:basedOn w:val="affffffffffffffffff3"/>
    <w:next w:val="afffb"/>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table" w:customStyle="1" w:styleId="affffffffffffffffffd">
    <w:basedOn w:val="affffffffffff7"/>
    <w:uiPriority w:val="39"/>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e">
    <w:basedOn w:val="affffffffffffffffff3"/>
    <w:next w:val="afffb"/>
    <w:uiPriority w:val="99"/>
    <w:qFormat/>
    <w:pPr>
      <w:widowControl w:val="0"/>
      <w:jc w:val="both"/>
    </w:pPr>
    <w:rPr>
      <w:rFonts w:ascii="Times New Roman" w:hAnsi="Times New Roman" w:cs="Times New Roman"/>
      <w:kern w:val="2"/>
      <w:szCs w:val="21"/>
    </w:rPr>
  </w:style>
  <w:style w:type="character" w:customStyle="1" w:styleId="afffffffffffffffffff">
    <w:basedOn w:val="affffffffffffffffffa"/>
    <w:uiPriority w:val="99"/>
    <w:rPr>
      <w:rFonts w:ascii="Times New Roman" w:eastAsia="宋体" w:hAnsi="Times New Roman" w:cs="Times New Roman"/>
      <w:szCs w:val="21"/>
    </w:rPr>
  </w:style>
  <w:style w:type="paragraph" w:customStyle="1" w:styleId="afffffffffffffffffff0">
    <w:basedOn w:val="affffffffffffffffff3"/>
    <w:uiPriority w:val="34"/>
    <w:qFormat/>
    <w:pPr>
      <w:widowControl w:val="0"/>
      <w:ind w:firstLineChars="200" w:firstLine="420"/>
      <w:jc w:val="both"/>
    </w:pPr>
    <w:rPr>
      <w:rFonts w:ascii="Calibri" w:hAnsi="Calibri" w:cs="Times New Roman"/>
      <w:kern w:val="2"/>
      <w:szCs w:val="22"/>
    </w:rPr>
  </w:style>
  <w:style w:type="paragraph" w:customStyle="1" w:styleId="afffffffffffffffffff1">
    <w:basedOn w:val="affffffffffffffffff3"/>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2">
    <w:basedOn w:val="affffffffffffffffffa"/>
    <w:uiPriority w:val="99"/>
    <w:rPr>
      <w:rFonts w:ascii="Calibri" w:eastAsia="宋体" w:hAnsi="Calibri" w:cs="Times New Roman"/>
      <w:sz w:val="18"/>
      <w:szCs w:val="18"/>
    </w:rPr>
  </w:style>
  <w:style w:type="paragraph" w:customStyle="1" w:styleId="afffffffffffffffffff3">
    <w:basedOn w:val="affffffffffffffffff3"/>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4">
    <w:basedOn w:val="affffffffffffffffffa"/>
    <w:uiPriority w:val="99"/>
    <w:rPr>
      <w:rFonts w:ascii="Calibri" w:eastAsia="宋体" w:hAnsi="Calibri" w:cs="Times New Roman"/>
      <w:sz w:val="18"/>
      <w:szCs w:val="18"/>
    </w:rPr>
  </w:style>
  <w:style w:type="paragraph" w:customStyle="1" w:styleId="afffffffffffffffffff5">
    <w:basedOn w:val="affffffffffffffffff3"/>
    <w:pPr>
      <w:widowControl w:val="0"/>
      <w:jc w:val="both"/>
    </w:pPr>
    <w:rPr>
      <w:rFonts w:hAnsi="Courier New" w:cs="Times New Roman"/>
      <w:kern w:val="2"/>
      <w:szCs w:val="20"/>
    </w:rPr>
  </w:style>
  <w:style w:type="character" w:customStyle="1" w:styleId="afffffffffffffffffff6">
    <w:basedOn w:val="affffffffffffffffffa"/>
    <w:rPr>
      <w:rFonts w:ascii="宋体" w:eastAsia="宋体" w:hAnsi="Courier New" w:cs="Times New Roman"/>
      <w:szCs w:val="20"/>
    </w:rPr>
  </w:style>
  <w:style w:type="paragraph" w:customStyle="1" w:styleId="afffffffffffffffffff7">
    <w:basedOn w:val="affffffffffffffffff3"/>
    <w:next w:val="afffb"/>
    <w:uiPriority w:val="99"/>
    <w:pPr>
      <w:widowControl w:val="0"/>
      <w:jc w:val="center"/>
    </w:pPr>
    <w:rPr>
      <w:rFonts w:ascii="Times New Roman" w:hAnsi="Times New Roman" w:cs="Times New Roman"/>
      <w:kern w:val="2"/>
      <w:szCs w:val="21"/>
    </w:rPr>
  </w:style>
  <w:style w:type="character" w:customStyle="1" w:styleId="afffffffffffffffffff8">
    <w:basedOn w:val="affffffffffffffffffa"/>
    <w:uiPriority w:val="99"/>
    <w:rPr>
      <w:rFonts w:ascii="Times New Roman" w:eastAsia="宋体" w:hAnsi="Times New Roman" w:cs="Times New Roman"/>
      <w:szCs w:val="21"/>
    </w:rPr>
  </w:style>
  <w:style w:type="paragraph" w:customStyle="1" w:styleId="afffffffffffffffffff9">
    <w:uiPriority w:val="1"/>
    <w:qFormat/>
    <w:pPr>
      <w:widowControl w:val="0"/>
      <w:jc w:val="both"/>
    </w:pPr>
    <w:rPr>
      <w:kern w:val="2"/>
      <w:szCs w:val="22"/>
    </w:rPr>
  </w:style>
  <w:style w:type="paragraph" w:customStyle="1" w:styleId="afffffffffffffffffffa">
    <w:basedOn w:val="affffffffffffffffff3"/>
    <w:uiPriority w:val="99"/>
    <w:pPr>
      <w:spacing w:before="100" w:beforeAutospacing="1" w:after="100" w:afterAutospacing="1"/>
    </w:pPr>
    <w:rPr>
      <w:sz w:val="24"/>
    </w:rPr>
  </w:style>
  <w:style w:type="paragraph" w:customStyle="1" w:styleId="afffffffffffffffffffb">
    <w:basedOn w:val="affffffffffffffffff3"/>
    <w:pPr>
      <w:widowControl w:val="0"/>
      <w:ind w:firstLineChars="200" w:firstLine="420"/>
      <w:jc w:val="both"/>
    </w:pPr>
    <w:rPr>
      <w:rFonts w:ascii="Times New Roman" w:hAnsi="Times New Roman" w:cs="Times New Roman"/>
      <w:kern w:val="2"/>
      <w:szCs w:val="21"/>
    </w:rPr>
  </w:style>
  <w:style w:type="paragraph" w:customStyle="1" w:styleId="afffffffffffffffffffc">
    <w:basedOn w:val="affffffffffffffffff3"/>
    <w:uiPriority w:val="34"/>
    <w:qFormat/>
    <w:pPr>
      <w:widowControl w:val="0"/>
      <w:ind w:firstLineChars="200" w:firstLine="420"/>
      <w:jc w:val="both"/>
    </w:pPr>
    <w:rPr>
      <w:rFonts w:ascii="Calibri" w:hAnsi="Calibri" w:cs="Times New Roman"/>
      <w:kern w:val="2"/>
      <w:szCs w:val="22"/>
    </w:rPr>
  </w:style>
  <w:style w:type="paragraph" w:customStyle="1" w:styleId="afffffffffffffffffffd">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e">
    <w:basedOn w:val="affffffffffffffffffa"/>
    <w:uiPriority w:val="99"/>
    <w:rPr>
      <w:rFonts w:ascii="宋体" w:hAnsi="宋体" w:cs="宋体"/>
      <w:sz w:val="24"/>
      <w:szCs w:val="24"/>
    </w:rPr>
  </w:style>
  <w:style w:type="character" w:customStyle="1" w:styleId="affffffffffffffffffff">
    <w:basedOn w:val="affffffffffffffffffa"/>
    <w:uiPriority w:val="34"/>
    <w:rPr>
      <w:kern w:val="2"/>
      <w:szCs w:val="22"/>
    </w:rPr>
  </w:style>
  <w:style w:type="character" w:customStyle="1" w:styleId="affffffffffffffffffff0">
    <w:basedOn w:val="affffffffffffffffffa"/>
    <w:uiPriority w:val="1"/>
    <w:rPr>
      <w:kern w:val="2"/>
      <w:szCs w:val="22"/>
    </w:rPr>
  </w:style>
  <w:style w:type="character" w:customStyle="1" w:styleId="affffffffffffffffffff1">
    <w:basedOn w:val="affffffffffffffffffa"/>
    <w:unhideWhenUsed/>
    <w:rPr>
      <w:rFonts w:ascii="Times New Roman" w:hAnsi="Times New Roman"/>
      <w:kern w:val="2"/>
    </w:rPr>
  </w:style>
  <w:style w:type="paragraph" w:customStyle="1" w:styleId="affffffffffffffffffff2">
    <w:qFormat/>
    <w:rPr>
      <w:rFonts w:ascii="宋体" w:hAnsi="宋体" w:cs="宋体"/>
      <w:szCs w:val="24"/>
    </w:rPr>
  </w:style>
  <w:style w:type="paragraph" w:customStyle="1" w:styleId="affffffffffffffffffff3">
    <w:basedOn w:val="affffffffffffffffffff2"/>
    <w:semiHidden/>
    <w:unhideWhenUsed/>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4">
    <w:basedOn w:val="affffffffffffffffffff2"/>
    <w:semiHidden/>
    <w:unhideWhenUsed/>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5">
    <w:basedOn w:val="affffffffffffffffffff2"/>
    <w:semiHidden/>
    <w:unhideWhenUsed/>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6">
    <w:basedOn w:val="affffffffffffffffffff2"/>
    <w:semiHidden/>
    <w:unhideWhenUsed/>
    <w:qFormat/>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fffffffffffff7">
    <w:semiHidden/>
    <w:qFormat/>
  </w:style>
  <w:style w:type="paragraph" w:customStyle="1" w:styleId="affffffffffffffffffff8">
    <w:basedOn w:val="affffffffffffffffffff2"/>
    <w:pPr>
      <w:widowControl w:val="0"/>
      <w:jc w:val="both"/>
    </w:pPr>
    <w:rPr>
      <w:rFonts w:ascii="Times New Roman" w:hAnsi="Times New Roman" w:cs="Times New Roman"/>
      <w:kern w:val="2"/>
      <w:szCs w:val="21"/>
    </w:rPr>
  </w:style>
  <w:style w:type="character" w:customStyle="1" w:styleId="affffffffffffffffffff9">
    <w:basedOn w:val="affffffffffffffffffff7"/>
    <w:uiPriority w:val="99"/>
    <w:qFormat/>
    <w:rPr>
      <w:rFonts w:ascii="Times New Roman" w:eastAsia="宋体" w:hAnsi="Times New Roman" w:cs="Times New Roman"/>
      <w:szCs w:val="21"/>
    </w:rPr>
  </w:style>
  <w:style w:type="paragraph" w:customStyle="1" w:styleId="affffffffffffffffffffa">
    <w:basedOn w:val="affffffffffffffffffff2"/>
    <w:uiPriority w:val="34"/>
    <w:qFormat/>
    <w:pPr>
      <w:widowControl w:val="0"/>
      <w:ind w:firstLineChars="200" w:firstLine="420"/>
      <w:jc w:val="both"/>
    </w:pPr>
    <w:rPr>
      <w:rFonts w:ascii="Calibri" w:hAnsi="Calibri" w:cs="Times New Roman"/>
      <w:kern w:val="2"/>
      <w:szCs w:val="22"/>
    </w:rPr>
  </w:style>
  <w:style w:type="paragraph" w:customStyle="1" w:styleId="affffffffffffffffffffb">
    <w:basedOn w:val="affffffffffffffffffff2"/>
    <w:qFormat/>
    <w:pPr>
      <w:widowControl w:val="0"/>
      <w:spacing w:before="100" w:after="100"/>
      <w:jc w:val="both"/>
    </w:pPr>
    <w:rPr>
      <w:rFonts w:ascii="Calibri" w:hAnsi="Calibri" w:cs="Times New Roman"/>
      <w:kern w:val="2"/>
    </w:rPr>
  </w:style>
  <w:style w:type="paragraph" w:customStyle="1" w:styleId="affffffffffffffffffffc">
    <w:uiPriority w:val="1"/>
    <w:qFormat/>
    <w:pPr>
      <w:widowControl w:val="0"/>
      <w:jc w:val="both"/>
    </w:pPr>
    <w:rPr>
      <w:kern w:val="2"/>
      <w:szCs w:val="22"/>
    </w:rPr>
  </w:style>
  <w:style w:type="paragraph" w:customStyle="1" w:styleId="affffffffffffffffffffd">
    <w:qFormat/>
    <w:rPr>
      <w:rFonts w:ascii="宋体" w:hAnsi="宋体" w:cs="宋体"/>
    </w:rPr>
  </w:style>
  <w:style w:type="paragraph" w:customStyle="1" w:styleId="affffffffffffffffffffe">
    <w:basedOn w:val="affffffffffffffffffff2"/>
    <w:qFormat/>
    <w:rPr>
      <w:bCs/>
    </w:rPr>
  </w:style>
  <w:style w:type="paragraph" w:customStyle="1" w:styleId="afffffffffffffffffffff">
    <w:basedOn w:val="affffffffffffffffffff2"/>
    <w:qFormat/>
    <w:pPr>
      <w:ind w:firstLineChars="200" w:firstLine="420"/>
    </w:pPr>
  </w:style>
  <w:style w:type="paragraph" w:customStyle="1" w:styleId="afffffffffffffffffffff0">
    <w:qFormat/>
    <w:rPr>
      <w:rFonts w:ascii="宋体" w:hAnsi="宋体" w:cs="宋体"/>
      <w:szCs w:val="24"/>
    </w:rPr>
  </w:style>
  <w:style w:type="paragraph" w:customStyle="1" w:styleId="afffffffffffffffffffff1">
    <w:basedOn w:val="afffffffffffffffffffff0"/>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f2">
    <w:basedOn w:val="afffffffffffffffffffff0"/>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3">
    <w:basedOn w:val="afffffffffffffffffffff0"/>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4">
    <w:basedOn w:val="afffffffffffffffffffff0"/>
    <w:uiPriority w:val="34"/>
    <w:qFormat/>
    <w:pPr>
      <w:widowControl w:val="0"/>
      <w:ind w:firstLineChars="200" w:firstLine="420"/>
      <w:jc w:val="both"/>
    </w:pPr>
    <w:rPr>
      <w:rFonts w:ascii="Calibri" w:hAnsi="Calibri" w:cs="Times New Roman"/>
      <w:kern w:val="2"/>
      <w:szCs w:val="22"/>
    </w:rPr>
  </w:style>
  <w:style w:type="paragraph" w:customStyle="1" w:styleId="afffffffffffffffffffff5">
    <w:autoRedefine/>
    <w:qFormat/>
    <w:rPr>
      <w:rFonts w:ascii="宋体" w:hAnsi="宋体" w:cs="宋体"/>
    </w:rPr>
  </w:style>
  <w:style w:type="paragraph" w:customStyle="1" w:styleId="afffffffffffffffffffff6">
    <w:qFormat/>
    <w:rPr>
      <w:rFonts w:ascii="宋体" w:hAnsi="宋体" w:cs="宋体"/>
      <w:szCs w:val="24"/>
    </w:rPr>
  </w:style>
  <w:style w:type="paragraph" w:customStyle="1" w:styleId="afffffffffffffffffffff7">
    <w:basedOn w:val="affffffffffffffffff3"/>
    <w:next w:val="afffb"/>
    <w:uiPriority w:val="99"/>
    <w:pPr>
      <w:widowControl w:val="0"/>
      <w:jc w:val="center"/>
    </w:pPr>
    <w:rPr>
      <w:rFonts w:ascii="Times New Roman" w:hAnsi="Times New Roman" w:cs="Times New Roman"/>
      <w:kern w:val="2"/>
      <w:szCs w:val="21"/>
    </w:rPr>
  </w:style>
  <w:style w:type="character" w:customStyle="1" w:styleId="afffffffffffffffffffff8">
    <w:basedOn w:val="affffffffffffffffffa"/>
    <w:uiPriority w:val="99"/>
    <w:rPr>
      <w:rFonts w:ascii="Times New Roman" w:eastAsia="宋体" w:hAnsi="Times New Roman" w:cs="Times New Roman"/>
      <w:szCs w:val="21"/>
    </w:rPr>
  </w:style>
  <w:style w:type="character" w:customStyle="1" w:styleId="afffffffffffffffffffff9">
    <w:basedOn w:val="affffffffffffffffffa"/>
    <w:qFormat/>
    <w:rPr>
      <w:kern w:val="2"/>
      <w:sz w:val="21"/>
      <w:szCs w:val="24"/>
    </w:rPr>
  </w:style>
  <w:style w:type="character" w:customStyle="1" w:styleId="afffffffffffffffffffffa">
    <w:basedOn w:val="affffffffffffffffffa"/>
    <w:uiPriority w:val="99"/>
    <w:semiHidden/>
    <w:rPr>
      <w:rFonts w:ascii="宋体"/>
      <w:kern w:val="2"/>
      <w:sz w:val="18"/>
      <w:szCs w:val="18"/>
    </w:rPr>
  </w:style>
  <w:style w:type="paragraph" w:customStyle="1" w:styleId="afffffffffffffffffffffb">
    <w:basedOn w:val="affffffffffffffffff3"/>
    <w:next w:val="afffb"/>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c">
    <w:basedOn w:val="affffffffffffffffffa"/>
    <w:uiPriority w:val="10"/>
    <w:rPr>
      <w:rFonts w:asciiTheme="majorHAnsi" w:hAnsiTheme="majorHAnsi" w:cstheme="majorBidi"/>
      <w:b/>
      <w:bCs/>
      <w:kern w:val="2"/>
      <w:sz w:val="32"/>
      <w:szCs w:val="32"/>
    </w:rPr>
  </w:style>
  <w:style w:type="paragraph" w:customStyle="1" w:styleId="afffffffffffffffffffffd">
    <w:basedOn w:val="affffffffffffffffff3"/>
    <w:uiPriority w:val="99"/>
    <w:semiHidden/>
    <w:unhideWhenUsed/>
    <w:pPr>
      <w:snapToGrid w:val="0"/>
    </w:pPr>
  </w:style>
  <w:style w:type="character" w:customStyle="1" w:styleId="afffffffffffffffffffffe">
    <w:basedOn w:val="affffffffffffffffffa"/>
    <w:uiPriority w:val="99"/>
    <w:semiHidden/>
    <w:rPr>
      <w:rFonts w:ascii="宋体" w:hAnsi="宋体" w:cs="宋体"/>
      <w:sz w:val="21"/>
      <w:szCs w:val="24"/>
    </w:rPr>
  </w:style>
  <w:style w:type="paragraph" w:customStyle="1" w:styleId="affffffffffffffffffffff">
    <w:basedOn w:val="affffffffffffffffff3"/>
    <w:uiPriority w:val="99"/>
    <w:semiHidden/>
    <w:unhideWhenUsed/>
    <w:pPr>
      <w:widowControl w:val="0"/>
      <w:snapToGrid w:val="0"/>
    </w:pPr>
    <w:rPr>
      <w:rFonts w:ascii="Calibri" w:hAnsi="Calibri" w:cs="Times New Roman"/>
      <w:kern w:val="2"/>
      <w:sz w:val="18"/>
      <w:szCs w:val="18"/>
    </w:rPr>
  </w:style>
  <w:style w:type="character" w:customStyle="1" w:styleId="affffffffffffffffffffff0">
    <w:basedOn w:val="affffffffffffffffffa"/>
    <w:uiPriority w:val="99"/>
    <w:semiHidden/>
    <w:rPr>
      <w:kern w:val="2"/>
      <w:sz w:val="18"/>
      <w:szCs w:val="18"/>
    </w:rPr>
  </w:style>
  <w:style w:type="paragraph" w:customStyle="1" w:styleId="aff2">
    <w:basedOn w:val="affffffffffffffffff3"/>
    <w:autoRedefine/>
    <w:qFormat/>
    <w:pPr>
      <w:numPr>
        <w:numId w:val="88"/>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3">
    <w:basedOn w:val="affffffffffffffffff3"/>
    <w:autoRedefine/>
    <w:qFormat/>
    <w:pPr>
      <w:numPr>
        <w:ilvl w:val="1"/>
        <w:numId w:val="88"/>
      </w:numPr>
      <w:spacing w:afterLines="50" w:after="156" w:line="360" w:lineRule="exact"/>
      <w:outlineLvl w:val="1"/>
    </w:pPr>
    <w:rPr>
      <w:rFonts w:hAnsiTheme="minorHAnsi" w:cstheme="minorBidi"/>
      <w:kern w:val="2"/>
      <w14:ligatures w14:val="standardContextual"/>
    </w:rPr>
  </w:style>
  <w:style w:type="paragraph" w:customStyle="1" w:styleId="aff4">
    <w:basedOn w:val="affffffffffffffffff3"/>
    <w:autoRedefine/>
    <w:qFormat/>
    <w:pPr>
      <w:numPr>
        <w:ilvl w:val="2"/>
        <w:numId w:val="88"/>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5">
    <w:basedOn w:val="affffffffffffffffff3"/>
    <w:autoRedefine/>
    <w:qFormat/>
    <w:pPr>
      <w:numPr>
        <w:ilvl w:val="3"/>
        <w:numId w:val="88"/>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fffff1">
    <w:qFormat/>
    <w:rPr>
      <w:rFonts w:ascii="宋体" w:hAnsi="宋体" w:cs="宋体"/>
      <w:szCs w:val="24"/>
    </w:rPr>
  </w:style>
  <w:style w:type="paragraph" w:customStyle="1" w:styleId="affffffffffffffffffffff2">
    <w:basedOn w:val="affffffffffffffffffffff1"/>
    <w:next w:val="a3"/>
    <w:qFormat/>
    <w:pPr>
      <w:keepNext/>
      <w:keepLines/>
      <w:widowControl w:val="0"/>
      <w:spacing w:before="60" w:line="360" w:lineRule="auto"/>
      <w:jc w:val="both"/>
      <w:outlineLvl w:val="1"/>
    </w:pPr>
    <w:rPr>
      <w:rFonts w:ascii="Arial" w:hAnsi="Arial" w:cs="Times New Roman"/>
      <w:b/>
      <w:bCs/>
      <w:kern w:val="2"/>
      <w:szCs w:val="21"/>
    </w:rPr>
  </w:style>
  <w:style w:type="character" w:customStyle="1" w:styleId="affffffffffffffffffffff3">
    <w:uiPriority w:val="1"/>
    <w:semiHidden/>
    <w:unhideWhenUsed/>
  </w:style>
  <w:style w:type="character" w:customStyle="1" w:styleId="affffffffff0">
    <w:basedOn w:val="affffffffffffffffffffff3"/>
    <w:link w:val="afffd"/>
    <w:qFormat/>
    <w:rPr>
      <w:rFonts w:ascii="宋体" w:hAnsiTheme="minorHAnsi" w:cstheme="minorBidi"/>
      <w:kern w:val="2"/>
      <w:szCs w:val="24"/>
      <w14:ligatures w14:val="standardContextual"/>
    </w:rPr>
  </w:style>
  <w:style w:type="paragraph" w:customStyle="1" w:styleId="affffffffffffffffffffff4">
    <w:basedOn w:val="affffffffffffffffffffff1"/>
    <w:uiPriority w:val="99"/>
    <w:pPr>
      <w:widowControl w:val="0"/>
      <w:spacing w:after="120"/>
      <w:jc w:val="both"/>
    </w:pPr>
    <w:rPr>
      <w:rFonts w:ascii="Times New Roman" w:hAnsi="Times New Roman" w:cs="Times New Roman"/>
      <w:kern w:val="2"/>
      <w:szCs w:val="21"/>
    </w:rPr>
  </w:style>
  <w:style w:type="paragraph" w:customStyle="1" w:styleId="affffffffffffffffffffff5">
    <w:basedOn w:val="affffffffffffffffffffff1"/>
    <w:next w:val="a3"/>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6">
    <w:basedOn w:val="affffffffffffffffffffff3"/>
    <w:uiPriority w:val="10"/>
    <w:rPr>
      <w:rFonts w:asciiTheme="majorHAnsi" w:hAnsiTheme="majorHAnsi" w:cstheme="majorBidi"/>
      <w:b/>
      <w:bCs/>
      <w:kern w:val="2"/>
      <w:sz w:val="32"/>
      <w:szCs w:val="32"/>
    </w:rPr>
  </w:style>
  <w:style w:type="character" w:customStyle="1" w:styleId="affffffffffffffffffffff7">
    <w:basedOn w:val="affffffffffffffffffffff3"/>
    <w:uiPriority w:val="99"/>
    <w:semiHidden/>
    <w:rPr>
      <w:kern w:val="2"/>
      <w:sz w:val="18"/>
      <w:szCs w:val="18"/>
    </w:rPr>
  </w:style>
  <w:style w:type="paragraph" w:customStyle="1" w:styleId="affff5">
    <w:basedOn w:val="affffffffffffffffffffff1"/>
    <w:autoRedefine/>
    <w:qFormat/>
    <w:pPr>
      <w:numPr>
        <w:numId w:val="89"/>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f6">
    <w:basedOn w:val="affffffffffffffffffffff1"/>
    <w:autoRedefine/>
    <w:qFormat/>
    <w:pPr>
      <w:numPr>
        <w:ilvl w:val="1"/>
        <w:numId w:val="89"/>
      </w:numPr>
      <w:spacing w:afterLines="50" w:after="156" w:line="360" w:lineRule="exact"/>
      <w:outlineLvl w:val="1"/>
    </w:pPr>
    <w:rPr>
      <w:rFonts w:hAnsiTheme="minorHAnsi" w:cstheme="minorBidi"/>
      <w:kern w:val="2"/>
      <w14:ligatures w14:val="standardContextual"/>
    </w:rPr>
  </w:style>
  <w:style w:type="paragraph" w:customStyle="1" w:styleId="affff7">
    <w:basedOn w:val="affffffffffffffffffffff1"/>
    <w:autoRedefine/>
    <w:qFormat/>
    <w:pPr>
      <w:numPr>
        <w:ilvl w:val="2"/>
        <w:numId w:val="89"/>
      </w:numPr>
      <w:snapToGrid w:val="0"/>
      <w:spacing w:afterLines="50" w:after="156" w:line="360" w:lineRule="exact"/>
      <w:ind w:left="426"/>
      <w:jc w:val="both"/>
      <w:outlineLvl w:val="2"/>
    </w:pPr>
    <w:rPr>
      <w:rFonts w:hAnsiTheme="minorHAnsi" w:cstheme="minorBidi"/>
      <w:kern w:val="2"/>
      <w14:ligatures w14:val="standardContextual"/>
    </w:rPr>
  </w:style>
  <w:style w:type="paragraph" w:customStyle="1" w:styleId="affff8">
    <w:basedOn w:val="affffffffffffffffffffff1"/>
    <w:autoRedefine/>
    <w:qFormat/>
    <w:pPr>
      <w:numPr>
        <w:ilvl w:val="3"/>
        <w:numId w:val="89"/>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fffff8">
    <w:basedOn w:val="affffffffffffffffffffff4"/>
    <w:uiPriority w:val="99"/>
    <w:semiHidden/>
    <w:unhideWhenUsed/>
    <w:pPr>
      <w:widowControl/>
      <w:ind w:firstLineChars="100" w:firstLine="420"/>
      <w:jc w:val="left"/>
    </w:pPr>
    <w:rPr>
      <w:rFonts w:ascii="宋体" w:hAnsi="宋体" w:cs="宋体"/>
      <w:kern w:val="0"/>
      <w:szCs w:val="24"/>
    </w:rPr>
  </w:style>
  <w:style w:type="character" w:customStyle="1" w:styleId="affffffffffffffffffffff9">
    <w:basedOn w:val="affffffffffffffffffffff3"/>
    <w:uiPriority w:val="99"/>
    <w:semiHidden/>
    <w:rPr>
      <w:rFonts w:ascii="宋体" w:hAnsi="宋体" w:cs="宋体"/>
      <w:szCs w:val="24"/>
    </w:rPr>
  </w:style>
  <w:style w:type="table" w:customStyle="1" w:styleId="affffffffffffffffffffffa">
    <w:semiHidden/>
    <w:qFormat/>
    <w:tblPr>
      <w:tblCellMar>
        <w:top w:w="0" w:type="dxa"/>
        <w:left w:w="108" w:type="dxa"/>
        <w:bottom w:w="0" w:type="dxa"/>
        <w:right w:w="108" w:type="dxa"/>
      </w:tblCellMar>
    </w:tblPr>
  </w:style>
  <w:style w:type="numbering" w:customStyle="1" w:styleId="affffffffff2">
    <w:link w:val="affffd"/>
    <w:semiHidden/>
    <w:unhideWhenUsed/>
  </w:style>
  <w:style w:type="paragraph" w:customStyle="1" w:styleId="affffffffffffffffffffffb">
    <w:basedOn w:val="affffffffffffffffff3"/>
    <w:next w:val="afffb"/>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c">
    <w:basedOn w:val="affffffffffffffffff3"/>
    <w:next w:val="afffb"/>
    <w:uiPriority w:val="99"/>
    <w:qFormat/>
    <w:pPr>
      <w:widowControl w:val="0"/>
      <w:jc w:val="both"/>
    </w:pPr>
    <w:rPr>
      <w:rFonts w:ascii="Times New Roman" w:hAnsi="Times New Roman" w:cs="Times New Roman"/>
      <w:kern w:val="2"/>
      <w:szCs w:val="21"/>
    </w:rPr>
  </w:style>
  <w:style w:type="character" w:customStyle="1" w:styleId="affffffffffffffffffffffd">
    <w:basedOn w:val="affffffffffffffffffa"/>
    <w:uiPriority w:val="99"/>
    <w:rPr>
      <w:rFonts w:ascii="Times New Roman" w:eastAsia="宋体" w:hAnsi="Times New Roman" w:cs="Times New Roman"/>
      <w:szCs w:val="21"/>
    </w:rPr>
  </w:style>
  <w:style w:type="paragraph" w:customStyle="1" w:styleId="affffffffffffffffffffffe">
    <w:basedOn w:val="affffffffffffffffff3"/>
    <w:uiPriority w:val="34"/>
    <w:qFormat/>
    <w:pPr>
      <w:widowControl w:val="0"/>
      <w:ind w:firstLineChars="200" w:firstLine="420"/>
      <w:jc w:val="both"/>
    </w:pPr>
    <w:rPr>
      <w:rFonts w:ascii="Calibri" w:hAnsi="Calibri" w:cs="Times New Roman"/>
      <w:kern w:val="2"/>
      <w:szCs w:val="22"/>
    </w:rPr>
  </w:style>
  <w:style w:type="paragraph" w:customStyle="1" w:styleId="afffffffffffffffffffffff">
    <w:basedOn w:val="affffffffffffffffff3"/>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0">
    <w:basedOn w:val="affffffffffffffffffa"/>
    <w:uiPriority w:val="99"/>
    <w:rPr>
      <w:rFonts w:ascii="Calibri" w:eastAsia="宋体" w:hAnsi="Calibri" w:cs="Times New Roman"/>
      <w:sz w:val="18"/>
      <w:szCs w:val="18"/>
    </w:rPr>
  </w:style>
  <w:style w:type="paragraph" w:customStyle="1" w:styleId="afffffffffffffffffffffff1">
    <w:basedOn w:val="affffffffffffffffff3"/>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2">
    <w:basedOn w:val="affffffffffffffffffa"/>
    <w:uiPriority w:val="99"/>
    <w:rPr>
      <w:rFonts w:ascii="Calibri" w:eastAsia="宋体" w:hAnsi="Calibri" w:cs="Times New Roman"/>
      <w:sz w:val="18"/>
      <w:szCs w:val="18"/>
    </w:rPr>
  </w:style>
  <w:style w:type="paragraph" w:customStyle="1" w:styleId="afffffffffffffffffffffff3">
    <w:basedOn w:val="affffffffffffffffff3"/>
    <w:pPr>
      <w:widowControl w:val="0"/>
      <w:jc w:val="both"/>
    </w:pPr>
    <w:rPr>
      <w:rFonts w:hAnsi="Courier New" w:cs="Times New Roman"/>
      <w:kern w:val="2"/>
      <w:szCs w:val="20"/>
    </w:rPr>
  </w:style>
  <w:style w:type="character" w:customStyle="1" w:styleId="afffffffffffffffffffffff4">
    <w:basedOn w:val="affffffffffffffffffa"/>
    <w:rPr>
      <w:rFonts w:ascii="宋体" w:eastAsia="宋体" w:hAnsi="Courier New" w:cs="Times New Roman"/>
      <w:szCs w:val="20"/>
    </w:rPr>
  </w:style>
  <w:style w:type="paragraph" w:customStyle="1" w:styleId="afffffffffffffffffffffff5">
    <w:basedOn w:val="affffffffffffffffff3"/>
    <w:next w:val="afffb"/>
    <w:uiPriority w:val="99"/>
    <w:pPr>
      <w:widowControl w:val="0"/>
      <w:jc w:val="center"/>
    </w:pPr>
    <w:rPr>
      <w:rFonts w:ascii="Times New Roman" w:hAnsi="Times New Roman" w:cs="Times New Roman"/>
      <w:kern w:val="2"/>
      <w:szCs w:val="21"/>
    </w:rPr>
  </w:style>
  <w:style w:type="character" w:customStyle="1" w:styleId="afffffffffffffffffffffff6">
    <w:basedOn w:val="affffffffffffffffffa"/>
    <w:uiPriority w:val="99"/>
    <w:rPr>
      <w:rFonts w:ascii="Times New Roman" w:eastAsia="宋体" w:hAnsi="Times New Roman" w:cs="Times New Roman"/>
      <w:szCs w:val="21"/>
    </w:rPr>
  </w:style>
  <w:style w:type="character" w:customStyle="1" w:styleId="afffffffffffffffffffffff7">
    <w:basedOn w:val="affffffffffffffffffa"/>
    <w:qFormat/>
    <w:rPr>
      <w:kern w:val="2"/>
      <w:sz w:val="21"/>
      <w:szCs w:val="24"/>
    </w:rPr>
  </w:style>
  <w:style w:type="paragraph" w:customStyle="1" w:styleId="afffffffffffffffffffffff8">
    <w:basedOn w:val="affffffffffffffffff3"/>
    <w:qFormat/>
    <w:pPr>
      <w:widowControl w:val="0"/>
      <w:spacing w:before="100" w:after="100"/>
      <w:jc w:val="both"/>
    </w:pPr>
    <w:rPr>
      <w:rFonts w:ascii="Calibri" w:hAnsi="Calibri" w:cs="Times New Roman"/>
      <w:kern w:val="2"/>
    </w:rPr>
  </w:style>
  <w:style w:type="paragraph" w:customStyle="1" w:styleId="afffffffffffffffffffffff9">
    <w:uiPriority w:val="1"/>
    <w:qFormat/>
    <w:pPr>
      <w:widowControl w:val="0"/>
      <w:jc w:val="both"/>
    </w:pPr>
    <w:rPr>
      <w:kern w:val="2"/>
      <w:szCs w:val="22"/>
    </w:rPr>
  </w:style>
  <w:style w:type="paragraph" w:customStyle="1" w:styleId="afffffffffffffffffffffffa">
    <w:basedOn w:val="affffffffffffffffff3"/>
    <w:uiPriority w:val="99"/>
    <w:pPr>
      <w:spacing w:before="100" w:beforeAutospacing="1" w:after="100" w:afterAutospacing="1"/>
    </w:pPr>
    <w:rPr>
      <w:sz w:val="24"/>
    </w:rPr>
  </w:style>
  <w:style w:type="paragraph" w:customStyle="1" w:styleId="afffffffffffffffffffffffb">
    <w:basedOn w:val="affffffffffffffffff3"/>
    <w:pPr>
      <w:widowControl w:val="0"/>
      <w:ind w:firstLineChars="200" w:firstLine="420"/>
      <w:jc w:val="both"/>
    </w:pPr>
    <w:rPr>
      <w:rFonts w:ascii="Times New Roman" w:hAnsi="Times New Roman" w:cs="Times New Roman"/>
      <w:kern w:val="2"/>
      <w:szCs w:val="21"/>
    </w:rPr>
  </w:style>
  <w:style w:type="paragraph" w:customStyle="1" w:styleId="afffffffffffffffffffffffc">
    <w:basedOn w:val="affffffffffffffffff3"/>
    <w:uiPriority w:val="34"/>
    <w:qFormat/>
    <w:pPr>
      <w:widowControl w:val="0"/>
      <w:ind w:firstLineChars="200" w:firstLine="420"/>
      <w:jc w:val="both"/>
    </w:pPr>
    <w:rPr>
      <w:rFonts w:ascii="Calibri" w:hAnsi="Calibri" w:cs="Times New Roman"/>
      <w:kern w:val="2"/>
      <w:szCs w:val="22"/>
    </w:rPr>
  </w:style>
  <w:style w:type="paragraph" w:customStyle="1" w:styleId="afffffffffffffffffffffffd">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e">
    <w:basedOn w:val="affffffffffffffffffa"/>
    <w:uiPriority w:val="99"/>
    <w:rPr>
      <w:rFonts w:ascii="宋体" w:hAnsi="宋体" w:cs="宋体"/>
      <w:sz w:val="24"/>
      <w:szCs w:val="24"/>
    </w:rPr>
  </w:style>
  <w:style w:type="character" w:customStyle="1" w:styleId="affffffffffffffffffffffff">
    <w:basedOn w:val="affffffffffffffffffa"/>
    <w:uiPriority w:val="34"/>
    <w:rPr>
      <w:kern w:val="2"/>
      <w:szCs w:val="22"/>
    </w:rPr>
  </w:style>
  <w:style w:type="character" w:customStyle="1" w:styleId="affffffffffffffffffffffff0">
    <w:basedOn w:val="affffffffffffffffffa"/>
    <w:uiPriority w:val="1"/>
    <w:rPr>
      <w:kern w:val="2"/>
      <w:szCs w:val="22"/>
    </w:rPr>
  </w:style>
  <w:style w:type="character" w:customStyle="1" w:styleId="affffffffffffffffffffffff1">
    <w:basedOn w:val="affffffffffffffffffa"/>
    <w:unhideWhenUsed/>
    <w:rPr>
      <w:rFonts w:ascii="Times New Roman" w:hAnsi="Times New Roman"/>
      <w:kern w:val="2"/>
    </w:rPr>
  </w:style>
  <w:style w:type="paragraph" w:customStyle="1" w:styleId="affffffffffffffffffffffff2">
    <w:qFormat/>
    <w:rPr>
      <w:rFonts w:ascii="宋体" w:hAnsi="宋体" w:cs="宋体"/>
      <w:szCs w:val="24"/>
    </w:rPr>
  </w:style>
  <w:style w:type="paragraph" w:customStyle="1" w:styleId="affffffffffffffffffffffff3">
    <w:basedOn w:val="affffffffffffffffffffffff2"/>
    <w:semiHidden/>
    <w:unhideWhenUsed/>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ffff4">
    <w:basedOn w:val="affffffffffffffffffffffff2"/>
    <w:semiHidden/>
    <w:unhideWhenUsed/>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5">
    <w:basedOn w:val="affffffffffffffffffffffff2"/>
    <w:semiHidden/>
    <w:unhideWhenUsed/>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6">
    <w:basedOn w:val="affffffffffffffffffffffff2"/>
    <w:semiHidden/>
    <w:unhideWhenUsed/>
    <w:qFormat/>
    <w:pPr>
      <w:keepNext/>
      <w:keepLines/>
      <w:widowControl w:val="0"/>
      <w:spacing w:before="60" w:line="360" w:lineRule="auto"/>
      <w:ind w:leftChars="50" w:left="50"/>
      <w:jc w:val="both"/>
      <w:outlineLvl w:val="4"/>
    </w:pPr>
    <w:rPr>
      <w:rFonts w:ascii="Calibri" w:hAnsi="Calibri" w:cs="Times New Roman"/>
      <w:b/>
      <w:bCs/>
      <w:kern w:val="2"/>
      <w:szCs w:val="28"/>
    </w:rPr>
  </w:style>
  <w:style w:type="character" w:customStyle="1" w:styleId="affffffffffffffffffffffff7">
    <w:semiHidden/>
    <w:qFormat/>
  </w:style>
  <w:style w:type="paragraph" w:customStyle="1" w:styleId="affffffffffffffffffffffff8">
    <w:basedOn w:val="affffffffffffffffffffffff2"/>
    <w:pPr>
      <w:widowControl w:val="0"/>
      <w:jc w:val="both"/>
    </w:pPr>
    <w:rPr>
      <w:rFonts w:ascii="Times New Roman" w:hAnsi="Times New Roman" w:cs="Times New Roman"/>
      <w:kern w:val="2"/>
      <w:szCs w:val="21"/>
    </w:rPr>
  </w:style>
  <w:style w:type="character" w:customStyle="1" w:styleId="affffffffffffffffffffffff9">
    <w:basedOn w:val="affffffffffffffffffffffff7"/>
    <w:uiPriority w:val="99"/>
    <w:qFormat/>
    <w:rPr>
      <w:rFonts w:ascii="Times New Roman" w:eastAsia="宋体" w:hAnsi="Times New Roman" w:cs="Times New Roman"/>
      <w:szCs w:val="21"/>
    </w:rPr>
  </w:style>
  <w:style w:type="paragraph" w:customStyle="1" w:styleId="affffffffffffffffffffffffa">
    <w:basedOn w:val="affffffffffffffffffffffff2"/>
    <w:uiPriority w:val="34"/>
    <w:qFormat/>
    <w:pPr>
      <w:widowControl w:val="0"/>
      <w:ind w:firstLineChars="200" w:firstLine="420"/>
      <w:jc w:val="both"/>
    </w:pPr>
    <w:rPr>
      <w:rFonts w:ascii="Calibri" w:hAnsi="Calibri" w:cs="Times New Roman"/>
      <w:kern w:val="2"/>
      <w:szCs w:val="22"/>
    </w:rPr>
  </w:style>
  <w:style w:type="paragraph" w:customStyle="1" w:styleId="affffffffffffffffffffffffb">
    <w:basedOn w:val="affffffffffffffffffffffff2"/>
    <w:qFormat/>
    <w:pPr>
      <w:widowControl w:val="0"/>
      <w:spacing w:before="100" w:after="100"/>
      <w:jc w:val="both"/>
    </w:pPr>
    <w:rPr>
      <w:rFonts w:ascii="Calibri" w:hAnsi="Calibri" w:cs="Times New Roman"/>
      <w:kern w:val="2"/>
    </w:rPr>
  </w:style>
  <w:style w:type="paragraph" w:customStyle="1" w:styleId="affffffffffffffffffffffffc">
    <w:uiPriority w:val="1"/>
    <w:qFormat/>
    <w:pPr>
      <w:widowControl w:val="0"/>
      <w:jc w:val="both"/>
    </w:pPr>
    <w:rPr>
      <w:kern w:val="2"/>
      <w:szCs w:val="22"/>
    </w:rPr>
  </w:style>
  <w:style w:type="paragraph" w:customStyle="1" w:styleId="affffffffffffffffffffffffd">
    <w:qFormat/>
    <w:rPr>
      <w:rFonts w:ascii="宋体" w:hAnsi="宋体" w:cs="宋体"/>
    </w:rPr>
  </w:style>
  <w:style w:type="paragraph" w:customStyle="1" w:styleId="affffffffffffffffffffffffe">
    <w:basedOn w:val="affffffffffffffffffffffff2"/>
    <w:qFormat/>
    <w:rPr>
      <w:bCs/>
    </w:rPr>
  </w:style>
  <w:style w:type="paragraph" w:customStyle="1" w:styleId="afffffffffffffffffffffffff">
    <w:basedOn w:val="affffffffffffffffffffffff2"/>
    <w:qFormat/>
    <w:pPr>
      <w:ind w:firstLineChars="200" w:firstLine="420"/>
    </w:pPr>
  </w:style>
  <w:style w:type="paragraph" w:customStyle="1" w:styleId="afffffffffffffffffffffffff0">
    <w:qFormat/>
    <w:rPr>
      <w:rFonts w:ascii="宋体" w:hAnsi="宋体" w:cs="宋体"/>
      <w:szCs w:val="24"/>
    </w:rPr>
  </w:style>
  <w:style w:type="paragraph" w:customStyle="1" w:styleId="afffffffffffffffffffffffff1">
    <w:basedOn w:val="afffffffffffffffffffffffff0"/>
    <w:qFormat/>
    <w:pPr>
      <w:keepNext/>
      <w:keepLines/>
      <w:widowControl w:val="0"/>
      <w:spacing w:before="60" w:line="360" w:lineRule="auto"/>
      <w:jc w:val="both"/>
      <w:outlineLvl w:val="1"/>
    </w:pPr>
    <w:rPr>
      <w:rFonts w:ascii="Arial" w:hAnsi="Arial" w:cs="Times New Roman"/>
      <w:b/>
      <w:bCs/>
      <w:kern w:val="2"/>
      <w:szCs w:val="21"/>
    </w:rPr>
  </w:style>
  <w:style w:type="paragraph" w:customStyle="1" w:styleId="afffffffffffffffffffffffff2">
    <w:basedOn w:val="afffffffffffffffffffffffff0"/>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f3">
    <w:basedOn w:val="afffffffffffffffffffffffff0"/>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f4">
    <w:basedOn w:val="afffffffffffffffffffffffff0"/>
    <w:uiPriority w:val="34"/>
    <w:qFormat/>
    <w:pPr>
      <w:widowControl w:val="0"/>
      <w:ind w:firstLineChars="200" w:firstLine="420"/>
      <w:jc w:val="both"/>
    </w:pPr>
    <w:rPr>
      <w:rFonts w:ascii="Calibri" w:hAnsi="Calibri" w:cs="Times New Roman"/>
      <w:kern w:val="2"/>
      <w:szCs w:val="22"/>
    </w:rPr>
  </w:style>
  <w:style w:type="paragraph" w:customStyle="1" w:styleId="afffffffffffffffffffffffff5">
    <w:autoRedefine/>
    <w:qFormat/>
    <w:rPr>
      <w:rFonts w:ascii="宋体" w:hAnsi="宋体" w:cs="宋体"/>
    </w:rPr>
  </w:style>
  <w:style w:type="paragraph" w:customStyle="1" w:styleId="afffffffffffffffffffffffff6">
    <w:basedOn w:val="affffffffffffffffff3"/>
    <w:next w:val="afffb"/>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7">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ff8">
    <w:basedOn w:val="affffffffffffffffffffffff7"/>
    <w:uiPriority w:val="99"/>
    <w:qFormat/>
    <w:rPr>
      <w:rFonts w:ascii="Times New Roman" w:eastAsia="宋体" w:hAnsi="Times New Roman" w:cs="Times New Roman"/>
      <w:szCs w:val="21"/>
    </w:rPr>
  </w:style>
  <w:style w:type="paragraph" w:customStyle="1" w:styleId="afffffffffffffffffffffffff9">
    <w:basedOn w:val="affffffffffffffffff3"/>
    <w:uiPriority w:val="99"/>
    <w:semiHidden/>
    <w:unhideWhenUsed/>
    <w:rPr>
      <w:sz w:val="18"/>
      <w:szCs w:val="18"/>
    </w:rPr>
  </w:style>
  <w:style w:type="character" w:customStyle="1" w:styleId="afffffffffffffffffffffffffa">
    <w:basedOn w:val="affffffffffffffffffa"/>
    <w:uiPriority w:val="99"/>
    <w:semiHidden/>
    <w:rPr>
      <w:rFonts w:ascii="宋体" w:hAnsi="宋体" w:cs="宋体"/>
      <w:sz w:val="18"/>
      <w:szCs w:val="18"/>
    </w:rPr>
  </w:style>
  <w:style w:type="character" w:customStyle="1" w:styleId="afffffffffffffffffffffffffb">
    <w:basedOn w:val="affffffffffffffffffa"/>
    <w:uiPriority w:val="99"/>
    <w:semiHidden/>
    <w:unhideWhenUsed/>
    <w:qFormat/>
    <w:rPr>
      <w:sz w:val="21"/>
      <w:szCs w:val="21"/>
    </w:rPr>
  </w:style>
  <w:style w:type="paragraph" w:customStyle="1" w:styleId="afffffffffffffffffffffffffc">
    <w:uiPriority w:val="99"/>
    <w:semiHidden/>
    <w:unhideWhenUsed/>
    <w:rPr>
      <w:rFonts w:ascii="宋体" w:hAnsi="宋体" w:cs="宋体"/>
      <w:b/>
      <w:bCs/>
      <w:szCs w:val="24"/>
    </w:rPr>
  </w:style>
  <w:style w:type="character" w:customStyle="1" w:styleId="afffffffffffffffffffffffffd">
    <w:uiPriority w:val="99"/>
    <w:semiHidden/>
    <w:rPr>
      <w:rFonts w:ascii="宋体" w:eastAsia="宋体" w:hAnsi="宋体" w:cs="宋体"/>
      <w:b/>
      <w:bCs/>
      <w:szCs w:val="24"/>
    </w:rPr>
  </w:style>
  <w:style w:type="character" w:customStyle="1" w:styleId="afffffffffffffffffffffffffe">
    <w:basedOn w:val="affffffffffffffffffa"/>
    <w:uiPriority w:val="99"/>
    <w:rPr>
      <w:color w:val="808080"/>
    </w:rPr>
  </w:style>
  <w:style w:type="paragraph" w:customStyle="1" w:styleId="affffffffffffffffffffffffff">
    <w:basedOn w:val="affffffffffffffffff3"/>
    <w:next w:val="afffb"/>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0">
    <w:basedOn w:val="affffffffffffffffff3"/>
    <w:next w:val="afffb"/>
    <w:uiPriority w:val="9"/>
    <w:unhideWhenUsed/>
    <w:qFormat/>
    <w:pPr>
      <w:keepNext/>
      <w:keepLines/>
      <w:spacing w:before="240" w:after="64" w:line="320" w:lineRule="auto"/>
      <w:outlineLvl w:val="6"/>
    </w:pPr>
    <w:rPr>
      <w:b/>
      <w:bCs/>
      <w:sz w:val="24"/>
    </w:rPr>
  </w:style>
  <w:style w:type="character" w:customStyle="1" w:styleId="affffffffffffffffffffffffff1">
    <w:basedOn w:val="affffffffffffffffffa"/>
    <w:uiPriority w:val="99"/>
    <w:rPr>
      <w:rFonts w:eastAsia="黑体"/>
      <w:b/>
      <w:bCs/>
      <w:kern w:val="44"/>
      <w:sz w:val="28"/>
      <w:szCs w:val="44"/>
    </w:rPr>
  </w:style>
  <w:style w:type="paragraph" w:customStyle="1" w:styleId="affffffffffffffffffffffffff2">
    <w:basedOn w:val="affffffffffffffffffffffffff"/>
    <w:next w:val="afffb"/>
    <w:uiPriority w:val="39"/>
    <w:qFormat/>
    <w:pPr>
      <w:widowControl/>
      <w:spacing w:before="480" w:after="0" w:line="276" w:lineRule="auto"/>
      <w:outlineLvl w:val="9"/>
    </w:pPr>
    <w:rPr>
      <w:rFonts w:ascii="Cambria" w:eastAsia="宋体" w:hAnsi="Cambria"/>
      <w:color w:val="365F91"/>
      <w:kern w:val="0"/>
      <w:szCs w:val="28"/>
    </w:rPr>
  </w:style>
  <w:style w:type="paragraph" w:customStyle="1" w:styleId="affffffffffffffffffffffffff3">
    <w:basedOn w:val="affffffffffffffffff3"/>
    <w:next w:val="afffb"/>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4">
    <w:basedOn w:val="affffffffffffffffff3"/>
    <w:next w:val="afffb"/>
    <w:autoRedefine/>
    <w:uiPriority w:val="39"/>
    <w:qFormat/>
    <w:pPr>
      <w:widowControl w:val="0"/>
      <w:ind w:leftChars="200" w:left="420"/>
      <w:jc w:val="both"/>
    </w:pPr>
    <w:rPr>
      <w:rFonts w:ascii="Times New Roman" w:hAnsi="Times New Roman" w:cs="Times New Roman"/>
      <w:kern w:val="2"/>
      <w:szCs w:val="21"/>
    </w:rPr>
  </w:style>
  <w:style w:type="character" w:customStyle="1" w:styleId="affffffffffffffffffffffffff5">
    <w:basedOn w:val="affffffffffffffffffa"/>
    <w:uiPriority w:val="99"/>
    <w:rPr>
      <w:rFonts w:cs="Times New Roman"/>
      <w:color w:val="0000FF"/>
      <w:u w:val="single"/>
    </w:rPr>
  </w:style>
  <w:style w:type="character" w:customStyle="1" w:styleId="affffffffffffffffffffffffff6">
    <w:basedOn w:val="affffffffffffffffffa"/>
    <w:uiPriority w:val="99"/>
    <w:qFormat/>
    <w:rPr>
      <w:rFonts w:eastAsia="宋体" w:cs="Times New Roman"/>
      <w:kern w:val="2"/>
      <w:sz w:val="21"/>
      <w:szCs w:val="21"/>
      <w:lang w:val="en-US" w:eastAsia="zh-CN" w:bidi="ar-SA"/>
    </w:rPr>
  </w:style>
  <w:style w:type="paragraph" w:customStyle="1" w:styleId="affffffffffffffffffffffffff7">
    <w:basedOn w:val="affffffffffffffffff3"/>
    <w:qFormat/>
    <w:pPr>
      <w:widowControl w:val="0"/>
    </w:pPr>
    <w:rPr>
      <w:rFonts w:ascii="Times New Roman" w:hAnsi="Times New Roman" w:cs="Times New Roman"/>
      <w:kern w:val="2"/>
      <w:szCs w:val="21"/>
    </w:rPr>
  </w:style>
  <w:style w:type="character" w:customStyle="1" w:styleId="affffffffffffffffffffffffff8">
    <w:basedOn w:val="affffffffffffffffffa"/>
    <w:qFormat/>
    <w:rPr>
      <w:rFonts w:ascii="Times New Roman" w:eastAsia="宋体" w:hAnsi="Times New Roman" w:cs="Times New Roman"/>
      <w:szCs w:val="21"/>
    </w:rPr>
  </w:style>
  <w:style w:type="paragraph" w:customStyle="1" w:styleId="affffffffffffffffffffffffff9">
    <w:basedOn w:val="affffffffffffffffff3"/>
    <w:uiPriority w:val="99"/>
    <w:unhideWhenUsed/>
    <w:pPr>
      <w:widowControl w:val="0"/>
      <w:jc w:val="both"/>
    </w:pPr>
    <w:rPr>
      <w:rFonts w:ascii="Calibri" w:hAnsi="Calibri" w:cs="Times New Roman"/>
      <w:kern w:val="2"/>
      <w:sz w:val="18"/>
      <w:szCs w:val="18"/>
    </w:rPr>
  </w:style>
  <w:style w:type="paragraph" w:customStyle="1" w:styleId="affffffffffffffffffffffffffa">
    <w:basedOn w:val="affffffffffffffffff3"/>
    <w:next w:val="afffb"/>
    <w:uiPriority w:val="99"/>
    <w:qFormat/>
    <w:pPr>
      <w:widowControl w:val="0"/>
      <w:jc w:val="both"/>
    </w:pPr>
    <w:rPr>
      <w:rFonts w:ascii="Times New Roman" w:hAnsi="Times New Roman" w:cs="Times New Roman"/>
      <w:kern w:val="2"/>
      <w:szCs w:val="21"/>
    </w:rPr>
  </w:style>
  <w:style w:type="character" w:customStyle="1" w:styleId="affffffffffffffffffffffffffb">
    <w:basedOn w:val="affffffffffffffffffa"/>
    <w:uiPriority w:val="99"/>
    <w:rPr>
      <w:rFonts w:ascii="Times New Roman" w:eastAsia="宋体" w:hAnsi="Times New Roman" w:cs="Times New Roman"/>
      <w:szCs w:val="21"/>
    </w:rPr>
  </w:style>
  <w:style w:type="character" w:customStyle="1" w:styleId="affffffffffffffffffffffffffc">
    <w:basedOn w:val="affffffffffffffffffa"/>
    <w:uiPriority w:val="99"/>
    <w:rPr>
      <w:rFonts w:eastAsia="宋体" w:cs="Times New Roman"/>
      <w:color w:val="FF0000"/>
      <w:kern w:val="2"/>
      <w:sz w:val="24"/>
      <w:szCs w:val="24"/>
      <w:lang w:val="en-US" w:eastAsia="zh-CN" w:bidi="ar-SA"/>
    </w:rPr>
  </w:style>
  <w:style w:type="paragraph" w:customStyle="1" w:styleId="affffffffffffffffffffffffffd">
    <w:basedOn w:val="affffffffffffffffff3"/>
    <w:uiPriority w:val="99"/>
    <w:pPr>
      <w:spacing w:before="100" w:after="100"/>
      <w:jc w:val="right"/>
    </w:pPr>
    <w:rPr>
      <w:rFonts w:ascii="Arial Unicode MS" w:eastAsia="Arial Unicode MS" w:hAnsi="Times New Roman" w:cs="Times New Roman"/>
      <w:sz w:val="18"/>
      <w:szCs w:val="18"/>
    </w:rPr>
  </w:style>
  <w:style w:type="paragraph" w:customStyle="1" w:styleId="affffffffffffffffffffffffffe">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ffff">
    <w:basedOn w:val="affffffffffffffffffffffffff8"/>
    <w:uiPriority w:val="99"/>
    <w:rPr>
      <w:rFonts w:ascii="Calibri" w:eastAsia="宋体" w:hAnsi="Calibri" w:cs="Times New Roman"/>
      <w:b/>
      <w:bCs/>
      <w:szCs w:val="21"/>
    </w:rPr>
  </w:style>
  <w:style w:type="paragraph" w:customStyle="1" w:styleId="afffffffffffffffffffffffffff0">
    <w:basedOn w:val="affffffffffffffffffffffffff7"/>
    <w:uiPriority w:val="99"/>
    <w:unhideWhenUsed/>
    <w:rPr>
      <w:rFonts w:ascii="Calibri" w:hAnsi="Calibri"/>
      <w:b/>
      <w:bCs/>
      <w:szCs w:val="22"/>
    </w:rPr>
  </w:style>
  <w:style w:type="paragraph" w:customStyle="1" w:styleId="afffffffffffffffffffffffffff1">
    <w:basedOn w:val="affffffffffffffffff3"/>
    <w:next w:val="afffb"/>
    <w:autoRedefine/>
    <w:uiPriority w:val="39"/>
    <w:unhideWhenUsed/>
    <w:qFormat/>
    <w:pPr>
      <w:spacing w:after="100" w:line="276" w:lineRule="auto"/>
      <w:ind w:left="440"/>
    </w:pPr>
    <w:rPr>
      <w:rFonts w:ascii="Calibri" w:hAnsi="Calibri" w:cs="Times New Roman"/>
      <w:sz w:val="22"/>
      <w:szCs w:val="22"/>
    </w:rPr>
  </w:style>
  <w:style w:type="paragraph" w:customStyle="1" w:styleId="afffffffffffffffffffffffffff2">
    <w:basedOn w:val="affffffffffffffffff3"/>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3">
    <w:basedOn w:val="affffffffffffffffffa"/>
    <w:uiPriority w:val="99"/>
    <w:rPr>
      <w:rFonts w:ascii="Calibri" w:eastAsia="宋体" w:hAnsi="Calibri" w:cs="Times New Roman"/>
      <w:sz w:val="18"/>
      <w:szCs w:val="18"/>
    </w:rPr>
  </w:style>
  <w:style w:type="paragraph" w:customStyle="1" w:styleId="afffffffffffffffffffffffffff4">
    <w:basedOn w:val="affffffffffffffffff3"/>
    <w:uiPriority w:val="99"/>
    <w:unhideWhenUsed/>
    <w:pPr>
      <w:widowControl w:val="0"/>
      <w:tabs>
        <w:tab w:val="center" w:pos="4153"/>
        <w:tab w:val="right" w:pos="8306"/>
      </w:tabs>
      <w:snapToGrid w:val="0"/>
    </w:pPr>
    <w:rPr>
      <w:rFonts w:ascii="Calibri" w:hAnsi="Calibri" w:cs="Times New Roman"/>
      <w:kern w:val="2"/>
      <w:sz w:val="18"/>
      <w:szCs w:val="18"/>
    </w:rPr>
  </w:style>
  <w:style w:type="character" w:customStyle="1" w:styleId="afffffffffffffffffffffffffff5">
    <w:basedOn w:val="affffffffffffffffffa"/>
    <w:uiPriority w:val="99"/>
    <w:rPr>
      <w:rFonts w:ascii="Calibri" w:eastAsia="宋体" w:hAnsi="Calibri" w:cs="Times New Roman"/>
      <w:sz w:val="18"/>
      <w:szCs w:val="18"/>
    </w:rPr>
  </w:style>
  <w:style w:type="paragraph" w:customStyle="1" w:styleId="afffffffffffffffffffffffffff6">
    <w:basedOn w:val="affffffffffffffffff3"/>
    <w:pPr>
      <w:widowControl w:val="0"/>
      <w:jc w:val="both"/>
    </w:pPr>
    <w:rPr>
      <w:rFonts w:hAnsi="Courier New" w:cs="Times New Roman"/>
      <w:kern w:val="2"/>
      <w:szCs w:val="20"/>
    </w:rPr>
  </w:style>
  <w:style w:type="character" w:customStyle="1" w:styleId="afffffffffffffffffffffffffff7">
    <w:basedOn w:val="affffffffffffffffffa"/>
    <w:qFormat/>
    <w:rPr>
      <w:rFonts w:ascii="宋体" w:eastAsia="宋体" w:hAnsi="Courier New" w:cs="Times New Roman"/>
      <w:szCs w:val="20"/>
    </w:rPr>
  </w:style>
  <w:style w:type="character" w:customStyle="1" w:styleId="afffffffffffffffffffffffffff8">
    <w:basedOn w:val="affffffffffffffffffa"/>
    <w:rPr>
      <w:rFonts w:eastAsia="宋体" w:cs="Times New Roman"/>
      <w:kern w:val="2"/>
      <w:sz w:val="24"/>
      <w:szCs w:val="24"/>
      <w:lang w:val="en-US" w:eastAsia="zh-CN" w:bidi="ar-SA"/>
    </w:rPr>
  </w:style>
  <w:style w:type="paragraph" w:customStyle="1" w:styleId="afffffffffffffffffffffffffff9">
    <w:basedOn w:val="affffffffffffffffff3"/>
    <w:uiPriority w:val="99"/>
    <w:pPr>
      <w:widowControl w:val="0"/>
      <w:spacing w:after="120"/>
      <w:jc w:val="both"/>
    </w:pPr>
    <w:rPr>
      <w:rFonts w:ascii="Times New Roman" w:hAnsi="Times New Roman" w:cs="Times New Roman"/>
      <w:kern w:val="2"/>
      <w:szCs w:val="21"/>
    </w:rPr>
  </w:style>
  <w:style w:type="character" w:customStyle="1" w:styleId="afffffffffffffffffffffffffffa">
    <w:basedOn w:val="affffffffffffffffffa"/>
    <w:uiPriority w:val="99"/>
    <w:rPr>
      <w:rFonts w:ascii="Times New Roman" w:eastAsia="宋体" w:hAnsi="Times New Roman" w:cs="Times New Roman"/>
      <w:szCs w:val="21"/>
    </w:rPr>
  </w:style>
  <w:style w:type="paragraph" w:customStyle="1" w:styleId="afffffffffffffffffffffffffffb">
    <w:basedOn w:val="affffffffffffffffff3"/>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afffffffffffffffffffffffffffc">
    <w:basedOn w:val="affffffffffffffffff3"/>
    <w:next w:val="afffb"/>
    <w:uiPriority w:val="99"/>
    <w:pPr>
      <w:widowControl w:val="0"/>
      <w:ind w:leftChars="2500" w:left="100"/>
      <w:jc w:val="both"/>
    </w:pPr>
    <w:rPr>
      <w:rFonts w:ascii="Times New Roman" w:hAnsi="Times New Roman" w:cs="Times New Roman"/>
      <w:kern w:val="2"/>
      <w:szCs w:val="21"/>
    </w:rPr>
  </w:style>
  <w:style w:type="paragraph" w:customStyle="1" w:styleId="afffffffffffffffffffffffffffd">
    <w:basedOn w:val="affffffffffffffffff3"/>
    <w:next w:val="afffb"/>
    <w:uiPriority w:val="99"/>
    <w:pPr>
      <w:widowControl w:val="0"/>
      <w:jc w:val="center"/>
    </w:pPr>
    <w:rPr>
      <w:rFonts w:ascii="Times New Roman" w:hAnsi="Times New Roman" w:cs="Times New Roman"/>
      <w:kern w:val="2"/>
      <w:szCs w:val="21"/>
    </w:rPr>
  </w:style>
  <w:style w:type="character" w:customStyle="1" w:styleId="afffffffffffffffffffffffffffe">
    <w:basedOn w:val="affffffffffffffffffa"/>
    <w:uiPriority w:val="99"/>
    <w:rPr>
      <w:rFonts w:ascii="Times New Roman" w:eastAsia="宋体" w:hAnsi="Times New Roman" w:cs="Times New Roman"/>
      <w:szCs w:val="21"/>
    </w:rPr>
  </w:style>
  <w:style w:type="paragraph" w:customStyle="1" w:styleId="affffffffffffffffffffffffffff">
    <w:basedOn w:val="affffffffffffffffff3"/>
    <w:next w:val="afffb"/>
    <w:semiHidden/>
    <w:pPr>
      <w:widowControl w:val="0"/>
      <w:spacing w:before="120"/>
      <w:jc w:val="both"/>
    </w:pPr>
    <w:rPr>
      <w:rFonts w:ascii="Arial" w:hAnsi="Arial" w:cs="Times New Roman"/>
      <w:b/>
      <w:bCs/>
      <w:kern w:val="2"/>
      <w:szCs w:val="21"/>
    </w:rPr>
  </w:style>
  <w:style w:type="paragraph" w:customStyle="1" w:styleId="affffffffffffffffffffffffffff0">
    <w:basedOn w:val="affffffffffffffffff3"/>
    <w:pPr>
      <w:keepNext/>
      <w:keepLines/>
      <w:widowControl w:val="0"/>
      <w:spacing w:before="60" w:after="60"/>
      <w:ind w:hangingChars="200" w:hanging="420"/>
      <w:jc w:val="both"/>
      <w:outlineLvl w:val="4"/>
    </w:pPr>
    <w:rPr>
      <w:rFonts w:cs="Times New Roman"/>
      <w:b/>
      <w:bCs/>
      <w:kern w:val="2"/>
      <w:szCs w:val="21"/>
    </w:rPr>
  </w:style>
  <w:style w:type="paragraph" w:customStyle="1" w:styleId="affffffffffffffffffffffffffff1">
    <w:hidden/>
    <w:uiPriority w:val="99"/>
    <w:semiHidden/>
    <w:rPr>
      <w:kern w:val="2"/>
      <w:szCs w:val="22"/>
    </w:rPr>
  </w:style>
  <w:style w:type="character" w:customStyle="1" w:styleId="affffffffffffffffffffffffffff2">
    <w:basedOn w:val="affffffffffffffffffa"/>
    <w:qFormat/>
    <w:rPr>
      <w:kern w:val="2"/>
      <w:sz w:val="21"/>
      <w:szCs w:val="24"/>
    </w:rPr>
  </w:style>
  <w:style w:type="paragraph" w:customStyle="1" w:styleId="affffffffffffffffffffffffffff3">
    <w:basedOn w:val="affffffffffffffffff3"/>
    <w:qFormat/>
    <w:pPr>
      <w:widowControl w:val="0"/>
      <w:spacing w:before="100" w:after="100"/>
      <w:jc w:val="both"/>
    </w:pPr>
    <w:rPr>
      <w:rFonts w:ascii="Calibri" w:hAnsi="Calibri" w:cs="Times New Roman"/>
      <w:kern w:val="2"/>
    </w:rPr>
  </w:style>
  <w:style w:type="paragraph" w:customStyle="1" w:styleId="affffffffffffffffffffffffffff4">
    <w:basedOn w:val="affffffffffffffffff3"/>
    <w:uiPriority w:val="99"/>
    <w:semiHidden/>
    <w:unhideWhenUsed/>
    <w:pPr>
      <w:widowControl w:val="0"/>
      <w:jc w:val="both"/>
    </w:pPr>
    <w:rPr>
      <w:rFonts w:hAnsi="Calibri" w:cs="Times New Roman"/>
      <w:kern w:val="2"/>
      <w:sz w:val="18"/>
      <w:szCs w:val="18"/>
    </w:rPr>
  </w:style>
  <w:style w:type="character" w:customStyle="1" w:styleId="affffffffffffffffffffffffffff5">
    <w:basedOn w:val="affffffffffffffffffa"/>
    <w:uiPriority w:val="99"/>
    <w:semiHidden/>
    <w:rPr>
      <w:rFonts w:ascii="宋体"/>
      <w:kern w:val="2"/>
      <w:sz w:val="18"/>
      <w:szCs w:val="18"/>
    </w:rPr>
  </w:style>
  <w:style w:type="character" w:customStyle="1" w:styleId="affffffffffffffffffffffffffff6">
    <w:basedOn w:val="affffffffffffffffffa"/>
    <w:uiPriority w:val="99"/>
    <w:semiHidden/>
    <w:rPr>
      <w:color w:val="auto"/>
    </w:rPr>
  </w:style>
  <w:style w:type="numbering" w:customStyle="1" w:styleId="affffffffffffffffffffffffffff7">
    <w:uiPriority w:val="99"/>
  </w:style>
  <w:style w:type="paragraph" w:customStyle="1" w:styleId="affffffffffffffffffffffffffff8">
    <w:basedOn w:val="affffffffffffffffff3"/>
    <w:next w:val="afffb"/>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9">
    <w:basedOn w:val="affffffffffffffffffa"/>
    <w:uiPriority w:val="10"/>
    <w:rPr>
      <w:rFonts w:asciiTheme="majorHAnsi" w:hAnsiTheme="majorHAnsi" w:cstheme="majorBidi"/>
      <w:b/>
      <w:bCs/>
      <w:kern w:val="2"/>
      <w:sz w:val="32"/>
      <w:szCs w:val="32"/>
    </w:rPr>
  </w:style>
  <w:style w:type="paragraph" w:customStyle="1" w:styleId="affffffffffffffffffffffffffffa">
    <w:uiPriority w:val="1"/>
    <w:qFormat/>
    <w:pPr>
      <w:widowControl w:val="0"/>
      <w:jc w:val="both"/>
    </w:pPr>
    <w:rPr>
      <w:kern w:val="2"/>
      <w:szCs w:val="22"/>
    </w:rPr>
  </w:style>
  <w:style w:type="paragraph" w:customStyle="1" w:styleId="affffffffffffffffffffffffffffb">
    <w:basedOn w:val="affffffffffffffffff3"/>
    <w:next w:val="afffb"/>
    <w:autoRedefine/>
    <w:uiPriority w:val="39"/>
    <w:unhideWhenUsed/>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c">
    <w:basedOn w:val="affffffffffffffffff3"/>
    <w:next w:val="afffb"/>
    <w:autoRedefine/>
    <w:uiPriority w:val="39"/>
    <w:unhideWhenUsed/>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d">
    <w:basedOn w:val="affffffffffffffffff3"/>
    <w:next w:val="afffb"/>
    <w:autoRedefine/>
    <w:uiPriority w:val="39"/>
    <w:unhideWhenUsed/>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e">
    <w:basedOn w:val="affffffffffffffffff3"/>
    <w:next w:val="afffb"/>
    <w:autoRedefine/>
    <w:uiPriority w:val="39"/>
    <w:unhideWhenUsed/>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
    <w:basedOn w:val="affffffffffffffffff3"/>
    <w:next w:val="afffb"/>
    <w:autoRedefine/>
    <w:uiPriority w:val="39"/>
    <w:unhideWhenUsed/>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0">
    <w:basedOn w:val="affffffffffffffffff3"/>
    <w:next w:val="afffb"/>
    <w:autoRedefine/>
    <w:uiPriority w:val="39"/>
    <w:unhideWhenUsed/>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1">
    <w:basedOn w:val="affffffffffffffffff3"/>
    <w:uiPriority w:val="99"/>
    <w:pPr>
      <w:spacing w:before="100" w:beforeAutospacing="1" w:after="100" w:afterAutospacing="1"/>
    </w:pPr>
    <w:rPr>
      <w:sz w:val="24"/>
    </w:rPr>
  </w:style>
  <w:style w:type="paragraph" w:customStyle="1" w:styleId="afffffffffffffffffffffffffffff2">
    <w:basedOn w:val="affffffffffffffffff3"/>
    <w:uiPriority w:val="99"/>
    <w:semiHidden/>
    <w:unhideWhenUsed/>
    <w:pPr>
      <w:snapToGrid w:val="0"/>
    </w:pPr>
  </w:style>
  <w:style w:type="character" w:customStyle="1" w:styleId="afffffffffffffffffffffffffffff3">
    <w:basedOn w:val="affffffffffffffffffa"/>
    <w:uiPriority w:val="99"/>
    <w:semiHidden/>
    <w:rPr>
      <w:rFonts w:ascii="宋体" w:hAnsi="宋体" w:cs="宋体"/>
      <w:sz w:val="21"/>
      <w:szCs w:val="24"/>
    </w:rPr>
  </w:style>
  <w:style w:type="character" w:customStyle="1" w:styleId="afffffffffffffffffffffffffffff4">
    <w:basedOn w:val="affffffffffffffffffa"/>
    <w:uiPriority w:val="99"/>
    <w:semiHidden/>
    <w:unhideWhenUsed/>
    <w:rPr>
      <w:vertAlign w:val="superscript"/>
    </w:rPr>
  </w:style>
  <w:style w:type="character" w:customStyle="1" w:styleId="afffffffffffffffffffffffffffff5">
    <w:basedOn w:val="affffffffffffffffffffffffff8"/>
    <w:uiPriority w:val="99"/>
    <w:semiHidden/>
    <w:rPr>
      <w:rFonts w:ascii="Times New Roman" w:eastAsia="宋体" w:hAnsi="Times New Roman" w:cs="Times New Roman"/>
      <w:b/>
      <w:bCs/>
      <w:szCs w:val="21"/>
    </w:rPr>
  </w:style>
  <w:style w:type="paragraph" w:customStyle="1" w:styleId="afffffffffffffffffffffffffffff6">
    <w:basedOn w:val="affffffffffffffffff3"/>
    <w:next w:val="afffb"/>
    <w:autoRedefine/>
    <w:semiHidden/>
    <w:pPr>
      <w:ind w:firstLineChars="200" w:firstLine="420"/>
    </w:pPr>
    <w:rPr>
      <w:rFonts w:cs="Times New Roman"/>
      <w:color w:val="000000"/>
      <w:szCs w:val="21"/>
    </w:rPr>
  </w:style>
  <w:style w:type="character" w:customStyle="1" w:styleId="afffffffffffffffffffffffffffff7">
    <w:basedOn w:val="affffffffffffffffffa"/>
  </w:style>
  <w:style w:type="paragraph" w:customStyle="1" w:styleId="afffffffffffffffffffffffffffff8">
    <w:basedOn w:val="affffffffffffffffff3"/>
    <w:pPr>
      <w:widowControl w:val="0"/>
      <w:ind w:firstLineChars="200" w:firstLine="420"/>
      <w:jc w:val="both"/>
    </w:pPr>
    <w:rPr>
      <w:rFonts w:ascii="Times New Roman" w:hAnsi="Times New Roman" w:cs="Times New Roman"/>
      <w:kern w:val="2"/>
      <w:szCs w:val="21"/>
    </w:rPr>
  </w:style>
  <w:style w:type="paragraph" w:customStyle="1" w:styleId="afffffffffffffffffffffffffffff9">
    <w:basedOn w:val="affffffffffffffffff3"/>
    <w:pPr>
      <w:widowControl w:val="0"/>
      <w:tabs>
        <w:tab w:val="left" w:pos="1200"/>
      </w:tabs>
      <w:jc w:val="both"/>
    </w:pPr>
    <w:rPr>
      <w:rFonts w:ascii="Times New Roman" w:hAnsi="Times New Roman" w:cs="Times New Roman"/>
      <w:kern w:val="2"/>
      <w:szCs w:val="21"/>
    </w:rPr>
  </w:style>
  <w:style w:type="paragraph" w:customStyle="1" w:styleId="afffffffffffffffffffffffffffffa">
    <w:basedOn w:val="affffffffffffffffff3"/>
    <w:next w:val="afffb"/>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b">
    <w:basedOn w:val="affffffffffffffffffa"/>
    <w:rPr>
      <w:rFonts w:ascii="Times New Roman" w:hAnsi="Times New Roman"/>
      <w:b/>
      <w:kern w:val="2"/>
      <w:sz w:val="21"/>
      <w:szCs w:val="24"/>
    </w:rPr>
  </w:style>
  <w:style w:type="character" w:customStyle="1" w:styleId="afffffffffffffffffffffffffffffc">
    <w:basedOn w:val="affffffffffffffffffa"/>
    <w:uiPriority w:val="9"/>
    <w:rPr>
      <w:rFonts w:ascii="宋体" w:hAnsi="宋体" w:cs="宋体"/>
      <w:b/>
      <w:bCs/>
      <w:sz w:val="24"/>
      <w:szCs w:val="24"/>
    </w:rPr>
  </w:style>
  <w:style w:type="character" w:customStyle="1" w:styleId="afffffffffffffffffffffffffffffd">
    <w:basedOn w:val="affffffffffffffffffffffffff8"/>
    <w:uiPriority w:val="99"/>
    <w:semiHidden/>
    <w:rPr>
      <w:rFonts w:ascii="Times New Roman" w:eastAsia="宋体" w:hAnsi="Times New Roman" w:cs="Times New Roman"/>
      <w:b/>
      <w:bCs/>
      <w:szCs w:val="21"/>
    </w:rPr>
  </w:style>
  <w:style w:type="character" w:customStyle="1" w:styleId="afffffffffffffffffffffffffffffe">
    <w:uiPriority w:val="9"/>
    <w:rPr>
      <w:rFonts w:ascii="Cambria" w:hAnsi="Cambria"/>
      <w:b/>
      <w:bCs/>
      <w:kern w:val="2"/>
      <w:sz w:val="21"/>
      <w:szCs w:val="28"/>
    </w:rPr>
  </w:style>
  <w:style w:type="paragraph" w:customStyle="1" w:styleId="affffffffffffffffffffffffffffff">
    <w:basedOn w:val="affffffffffffffffff3"/>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0">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1">
    <w:uiPriority w:val="9"/>
    <w:rPr>
      <w:b/>
      <w:bCs/>
      <w:kern w:val="2"/>
      <w:sz w:val="21"/>
      <w:szCs w:val="32"/>
    </w:rPr>
  </w:style>
  <w:style w:type="character" w:customStyle="1" w:styleId="affffffffffffffffffffffffffffff2">
    <w:qFormat/>
    <w:rPr>
      <w:rFonts w:ascii="Times New Roman" w:hAnsi="Times New Roman"/>
      <w:kern w:val="2"/>
      <w:sz w:val="21"/>
      <w:szCs w:val="21"/>
    </w:rPr>
  </w:style>
  <w:style w:type="character" w:customStyle="1" w:styleId="affffffffffffffffffffffffffffff3">
    <w:uiPriority w:val="9"/>
    <w:rPr>
      <w:b/>
      <w:bCs/>
      <w:kern w:val="2"/>
      <w:sz w:val="21"/>
      <w:szCs w:val="32"/>
    </w:rPr>
  </w:style>
  <w:style w:type="character" w:customStyle="1" w:styleId="affffffffffffffffffffffffffffff4">
    <w:rPr>
      <w:rFonts w:ascii="Arial" w:hAnsi="Arial"/>
      <w:b/>
      <w:bCs/>
      <w:kern w:val="2"/>
      <w:sz w:val="21"/>
      <w:szCs w:val="21"/>
    </w:rPr>
  </w:style>
  <w:style w:type="character" w:customStyle="1" w:styleId="affffffffffffffffffffffffffffff5">
    <w:uiPriority w:val="9"/>
    <w:rPr>
      <w:b/>
      <w:bCs/>
      <w:kern w:val="2"/>
      <w:sz w:val="21"/>
      <w:szCs w:val="28"/>
    </w:rPr>
  </w:style>
  <w:style w:type="paragraph" w:customStyle="1" w:styleId="affffffffffffffffffffffffffffff6">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7">
    <w:uiPriority w:val="99"/>
    <w:rPr>
      <w:rFonts w:ascii="Times New Roman" w:hAnsi="Times New Roman"/>
      <w:kern w:val="2"/>
      <w:sz w:val="21"/>
      <w:szCs w:val="21"/>
    </w:rPr>
  </w:style>
  <w:style w:type="character" w:customStyle="1" w:styleId="affffffffffffffffffffffffffffff8">
    <w:rPr>
      <w:rFonts w:ascii="FZLTSK--GBK1-0" w:hAnsi="FZLTSK--GBK1-0" w:hint="default"/>
      <w:b w:val="0"/>
      <w:bCs w:val="0"/>
      <w:i w:val="0"/>
      <w:iCs w:val="0"/>
      <w:color w:val="000000"/>
      <w:sz w:val="20"/>
      <w:szCs w:val="20"/>
    </w:rPr>
  </w:style>
  <w:style w:type="character" w:customStyle="1" w:styleId="affffffffffffffffffffffffffffff9">
    <w:uiPriority w:val="9"/>
    <w:rPr>
      <w:b/>
      <w:bCs/>
      <w:kern w:val="2"/>
      <w:sz w:val="21"/>
      <w:szCs w:val="28"/>
    </w:rPr>
  </w:style>
  <w:style w:type="character" w:customStyle="1" w:styleId="affffffffffffffffffffffffffffffa">
    <w:uiPriority w:val="99"/>
    <w:semiHidden/>
    <w:locked/>
    <w:rPr>
      <w:rFonts w:ascii="Times New Roman" w:hAnsi="Times New Roman"/>
      <w:kern w:val="2"/>
      <w:sz w:val="21"/>
      <w:szCs w:val="21"/>
    </w:rPr>
  </w:style>
  <w:style w:type="character" w:customStyle="1" w:styleId="affffffffffffffffffffffffffffffb">
    <w:rPr>
      <w:rFonts w:ascii="Arial" w:hAnsi="Arial"/>
      <w:b/>
      <w:bCs/>
      <w:kern w:val="2"/>
      <w:sz w:val="21"/>
      <w:szCs w:val="21"/>
    </w:rPr>
  </w:style>
  <w:style w:type="character" w:customStyle="1" w:styleId="affffffffffffffffffffffffffffffc">
    <w:uiPriority w:val="99"/>
    <w:rPr>
      <w:rFonts w:ascii="Times New Roman" w:hAnsi="Times New Roman"/>
      <w:kern w:val="2"/>
      <w:sz w:val="21"/>
      <w:szCs w:val="21"/>
    </w:rPr>
  </w:style>
  <w:style w:type="character" w:customStyle="1" w:styleId="affffffffffffffffffffffffffffffd">
    <w:uiPriority w:val="9"/>
    <w:rPr>
      <w:b/>
      <w:bCs/>
      <w:kern w:val="2"/>
      <w:sz w:val="21"/>
      <w:szCs w:val="28"/>
    </w:rPr>
  </w:style>
  <w:style w:type="paragraph" w:customStyle="1" w:styleId="affffffffffffffffffffffffffffffe">
    <w:basedOn w:val="affffffffffffffffff3"/>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
    <w:uiPriority w:val="9"/>
    <w:rPr>
      <w:b/>
      <w:bCs/>
      <w:kern w:val="2"/>
      <w:sz w:val="21"/>
      <w:szCs w:val="32"/>
    </w:rPr>
  </w:style>
  <w:style w:type="character" w:customStyle="1" w:styleId="afffffffffffffffffffffffffffffff0">
    <w:uiPriority w:val="9"/>
    <w:rPr>
      <w:b/>
      <w:bCs/>
      <w:kern w:val="2"/>
      <w:sz w:val="21"/>
      <w:szCs w:val="32"/>
    </w:rPr>
  </w:style>
  <w:style w:type="character" w:customStyle="1" w:styleId="afffffffffffffffffffffffffffffff1">
    <w:rPr>
      <w:rFonts w:ascii="Times New Roman" w:hAnsi="Times New Roman"/>
      <w:kern w:val="2"/>
      <w:sz w:val="21"/>
      <w:szCs w:val="21"/>
    </w:rPr>
  </w:style>
  <w:style w:type="character" w:customStyle="1" w:styleId="afffffffffffffffffffffffffffffff2">
    <w:uiPriority w:val="9"/>
    <w:rPr>
      <w:rFonts w:ascii="Cambria" w:hAnsi="Cambria"/>
      <w:b/>
      <w:bCs/>
      <w:kern w:val="2"/>
      <w:sz w:val="21"/>
      <w:szCs w:val="28"/>
    </w:rPr>
  </w:style>
  <w:style w:type="paragraph" w:customStyle="1" w:styleId="afffffffffffffffffffffffffffffff3">
    <w:basedOn w:val="affffffffffffffffff3"/>
    <w:uiPriority w:val="99"/>
    <w:semiHidden/>
    <w:unhideWhenUsed/>
    <w:pPr>
      <w:widowControl w:val="0"/>
      <w:snapToGrid w:val="0"/>
    </w:pPr>
    <w:rPr>
      <w:rFonts w:ascii="Calibri" w:hAnsi="Calibri" w:cs="Times New Roman"/>
      <w:kern w:val="2"/>
      <w:sz w:val="18"/>
      <w:szCs w:val="18"/>
    </w:rPr>
  </w:style>
  <w:style w:type="character" w:customStyle="1" w:styleId="afffffffffffffffffffffffffffffff4">
    <w:basedOn w:val="affffffffffffffffffa"/>
    <w:uiPriority w:val="99"/>
    <w:semiHidden/>
    <w:rPr>
      <w:kern w:val="2"/>
      <w:sz w:val="18"/>
      <w:szCs w:val="18"/>
    </w:rPr>
  </w:style>
  <w:style w:type="character" w:customStyle="1" w:styleId="afffffffffffffffffffffffffffffff5">
    <w:uiPriority w:val="99"/>
    <w:semiHidden/>
    <w:unhideWhenUsed/>
    <w:rPr>
      <w:vertAlign w:val="superscript"/>
    </w:rPr>
  </w:style>
  <w:style w:type="paragraph" w:customStyle="1" w:styleId="afffffffffffffffffffffffffffffff6">
    <w:basedOn w:val="affffffffffffffffff3"/>
    <w:autoRedefine/>
    <w:qFormat/>
    <w:pPr>
      <w:spacing w:beforeLines="100" w:before="240" w:afterLines="100" w:after="240" w:line="360" w:lineRule="exact"/>
      <w:jc w:val="both"/>
    </w:pPr>
    <w:rPr>
      <w:rFonts w:ascii="黑体" w:eastAsia="黑体" w:hAnsiTheme="minorHAnsi" w:cstheme="minorBidi"/>
      <w:b/>
      <w:kern w:val="2"/>
      <w:sz w:val="24"/>
      <w14:ligatures w14:val="standardContextual"/>
    </w:rPr>
  </w:style>
  <w:style w:type="paragraph" w:customStyle="1" w:styleId="afffffffffffffffffffffffffffffff7">
    <w:basedOn w:val="affffffffffffffffff3"/>
    <w:autoRedefine/>
    <w:qFormat/>
    <w:pPr>
      <w:spacing w:afterLines="50" w:after="156" w:line="360" w:lineRule="exact"/>
      <w:ind w:left="426"/>
      <w:outlineLvl w:val="1"/>
    </w:pPr>
    <w:rPr>
      <w:rFonts w:hAnsiTheme="minorHAnsi" w:cstheme="minorBidi"/>
      <w:kern w:val="2"/>
      <w14:ligatures w14:val="standardContextual"/>
    </w:rPr>
  </w:style>
  <w:style w:type="paragraph" w:customStyle="1" w:styleId="afffffffffffffffffffffffffffffff8">
    <w:basedOn w:val="affffffffffffffffff3"/>
    <w:autoRedefine/>
    <w:qFormat/>
    <w:pPr>
      <w:snapToGrid w:val="0"/>
      <w:spacing w:afterLines="50" w:after="156" w:line="360" w:lineRule="exact"/>
      <w:ind w:left="426"/>
      <w:jc w:val="both"/>
      <w:outlineLvl w:val="2"/>
    </w:pPr>
    <w:rPr>
      <w:rFonts w:hAnsiTheme="minorHAnsi" w:cstheme="minorBidi"/>
      <w:kern w:val="2"/>
      <w14:ligatures w14:val="standardContextual"/>
    </w:rPr>
  </w:style>
  <w:style w:type="character" w:customStyle="1" w:styleId="afffffffffffffffffffffffffffffff9">
    <w:basedOn w:val="affffffffffffffffffa"/>
    <w:rPr>
      <w:rFonts w:ascii="宋体" w:hAnsiTheme="minorHAnsi" w:cstheme="minorBidi"/>
      <w:kern w:val="2"/>
      <w:szCs w:val="24"/>
      <w14:ligatures w14:val="standardContextual"/>
    </w:rPr>
  </w:style>
  <w:style w:type="paragraph" w:customStyle="1" w:styleId="afffffffffffffffffffffffffffffffa">
    <w:basedOn w:val="affffffffffffffffff3"/>
    <w:autoRedefine/>
    <w:qFormat/>
    <w:pPr>
      <w:snapToGrid w:val="0"/>
      <w:spacing w:afterLines="50" w:after="156" w:line="360" w:lineRule="exact"/>
      <w:ind w:left="426"/>
      <w:jc w:val="both"/>
      <w:outlineLvl w:val="3"/>
    </w:pPr>
    <w:rPr>
      <w:rFonts w:hAnsiTheme="minorHAnsi" w:cstheme="minorBidi"/>
      <w:kern w:val="2"/>
      <w14:ligatures w14:val="standardContextual"/>
    </w:rPr>
  </w:style>
  <w:style w:type="character" w:customStyle="1" w:styleId="afffffffffffffffffffffffffffffffb">
    <w:basedOn w:val="affffffffffffffffffa"/>
    <w:rPr>
      <w:rFonts w:ascii="宋体" w:hAnsiTheme="minorHAnsi" w:cstheme="minorBidi"/>
      <w:kern w:val="2"/>
      <w:szCs w:val="24"/>
      <w14:ligatures w14:val="standardContextual"/>
    </w:rPr>
  </w:style>
  <w:style w:type="character" w:customStyle="1" w:styleId="afffffffffffffffffffffffffffffffc">
    <w:basedOn w:val="affffffffffffffffffa"/>
  </w:style>
  <w:style w:type="paragraph" w:customStyle="1" w:styleId="afffffffffffffffffffffffffffffffd">
    <w:basedOn w:val="affffffffffffffffff3"/>
    <w:qFormat/>
    <w:pPr>
      <w:snapToGrid w:val="0"/>
      <w:spacing w:afterLines="50" w:after="156" w:line="360" w:lineRule="exact"/>
      <w:ind w:firstLineChars="200" w:firstLine="420"/>
      <w:jc w:val="both"/>
    </w:pPr>
    <w:rPr>
      <w:rFonts w:hAnsiTheme="minorHAnsi" w:cstheme="minorBidi"/>
      <w:kern w:val="2"/>
      <w:szCs w:val="18"/>
      <w14:ligatures w14:val="standardContextual"/>
    </w:rPr>
  </w:style>
  <w:style w:type="character" w:customStyle="1" w:styleId="afffffffffffffffffffffffffffffffe">
    <w:basedOn w:val="affffffffffffffffffa"/>
    <w:rPr>
      <w:rFonts w:ascii="宋体" w:hAnsiTheme="minorHAnsi" w:cstheme="minorBidi"/>
      <w:kern w:val="2"/>
      <w:szCs w:val="18"/>
      <w14:ligatures w14:val="standardContextual"/>
    </w:rPr>
  </w:style>
  <w:style w:type="paragraph" w:customStyle="1" w:styleId="affffffffffffffffffffffffffffffff">
    <w:basedOn w:val="afffffffffffffffffffffffffff9"/>
    <w:uiPriority w:val="99"/>
    <w:semiHidden/>
    <w:unhideWhenUsed/>
    <w:pPr>
      <w:widowControl/>
      <w:ind w:firstLineChars="100" w:firstLine="420"/>
      <w:jc w:val="left"/>
    </w:pPr>
    <w:rPr>
      <w:rFonts w:ascii="宋体" w:hAnsi="宋体" w:cs="宋体"/>
      <w:kern w:val="0"/>
      <w:szCs w:val="24"/>
    </w:rPr>
  </w:style>
  <w:style w:type="character" w:customStyle="1" w:styleId="affffffffffffffffffffffffffffffff0">
    <w:basedOn w:val="afffffffffffffffffffffffffffa"/>
    <w:uiPriority w:val="99"/>
    <w:semiHidden/>
    <w:rPr>
      <w:rFonts w:ascii="宋体" w:eastAsia="宋体" w:hAnsi="宋体" w:cs="宋体"/>
      <w:szCs w:val="24"/>
    </w:rPr>
  </w:style>
  <w:style w:type="paragraph" w:customStyle="1" w:styleId="affffffffffffffffffffffffffffffff1">
    <w:basedOn w:val="affffffffffffffffff3"/>
    <w:uiPriority w:val="99"/>
    <w:semiHidden/>
    <w:unhideWhenUsed/>
    <w:pPr>
      <w:spacing w:after="120"/>
      <w:ind w:leftChars="200" w:left="420"/>
    </w:pPr>
  </w:style>
  <w:style w:type="character" w:customStyle="1" w:styleId="affffffffffffffffffffffffffffffff2">
    <w:basedOn w:val="affffffffffffffffffa"/>
    <w:uiPriority w:val="99"/>
    <w:semiHidden/>
    <w:rPr>
      <w:rFonts w:ascii="宋体" w:hAnsi="宋体" w:cs="宋体"/>
      <w:szCs w:val="24"/>
    </w:rPr>
  </w:style>
  <w:style w:type="paragraph" w:customStyle="1" w:styleId="affffffffffffffffffffffffffffffff3">
    <w:basedOn w:val="affffffffffffffffffffffffffffffff1"/>
    <w:uiPriority w:val="99"/>
    <w:semiHidden/>
    <w:unhideWhenUsed/>
    <w:pPr>
      <w:ind w:firstLineChars="200" w:firstLine="420"/>
    </w:pPr>
  </w:style>
  <w:style w:type="character" w:customStyle="1" w:styleId="affffffffffffffffffffffffffffffff4">
    <w:basedOn w:val="affffffffffffffffffffffffffffffff2"/>
    <w:uiPriority w:val="99"/>
    <w:semiHidden/>
    <w:rPr>
      <w:rFonts w:ascii="宋体" w:hAnsi="宋体" w:cs="宋体"/>
      <w:szCs w:val="24"/>
    </w:rPr>
  </w:style>
  <w:style w:type="paragraph" w:customStyle="1" w:styleId="affffffffffffffffffffffffffffffff5">
    <w:basedOn w:val="affffffffffffffffff3"/>
    <w:uiPriority w:val="99"/>
    <w:semiHidden/>
    <w:unhideWhenUsed/>
    <w:pPr>
      <w:spacing w:after="120" w:line="480" w:lineRule="auto"/>
    </w:pPr>
  </w:style>
  <w:style w:type="character" w:customStyle="1" w:styleId="affffffffffffffffffffffffffffffff6">
    <w:basedOn w:val="affffffffffffffffffa"/>
    <w:uiPriority w:val="99"/>
    <w:semiHidden/>
    <w:rPr>
      <w:rFonts w:ascii="宋体" w:hAnsi="宋体" w:cs="宋体"/>
      <w:szCs w:val="24"/>
    </w:rPr>
  </w:style>
  <w:style w:type="paragraph" w:customStyle="1" w:styleId="affffffffffffffffffffffffffffffff7">
    <w:basedOn w:val="affffffffffffffffff3"/>
    <w:uiPriority w:val="99"/>
    <w:semiHidden/>
    <w:unhideWhenUsed/>
    <w:pPr>
      <w:spacing w:after="120"/>
    </w:pPr>
    <w:rPr>
      <w:sz w:val="16"/>
      <w:szCs w:val="16"/>
    </w:rPr>
  </w:style>
  <w:style w:type="character" w:customStyle="1" w:styleId="affffffffffffffffffffffffffffffff8">
    <w:basedOn w:val="affffffffffffffffffa"/>
    <w:uiPriority w:val="99"/>
    <w:semiHidden/>
    <w:rPr>
      <w:rFonts w:ascii="宋体" w:hAnsi="宋体" w:cs="宋体"/>
      <w:sz w:val="16"/>
      <w:szCs w:val="16"/>
    </w:rPr>
  </w:style>
  <w:style w:type="paragraph" w:customStyle="1" w:styleId="affffffffffffffffffffffffffffffff9">
    <w:basedOn w:val="affffffffffffffffff3"/>
    <w:uiPriority w:val="99"/>
    <w:semiHidden/>
    <w:unhideWhenUsed/>
    <w:pPr>
      <w:spacing w:after="120" w:line="480" w:lineRule="auto"/>
      <w:ind w:leftChars="200" w:left="420"/>
    </w:pPr>
  </w:style>
  <w:style w:type="character" w:customStyle="1" w:styleId="affffffffffffffffffffffffffffffffa">
    <w:basedOn w:val="affffffffffffffffffa"/>
    <w:uiPriority w:val="99"/>
    <w:semiHidden/>
    <w:rPr>
      <w:rFonts w:ascii="宋体" w:hAnsi="宋体" w:cs="宋体"/>
      <w:szCs w:val="24"/>
    </w:rPr>
  </w:style>
  <w:style w:type="paragraph" w:customStyle="1" w:styleId="affffffffffffffffffffffffffffffffb">
    <w:basedOn w:val="affffffffffffffffff3"/>
    <w:uiPriority w:val="99"/>
    <w:semiHidden/>
    <w:unhideWhenUsed/>
    <w:pPr>
      <w:spacing w:after="120"/>
      <w:ind w:leftChars="200" w:left="420"/>
    </w:pPr>
    <w:rPr>
      <w:sz w:val="16"/>
      <w:szCs w:val="16"/>
    </w:rPr>
  </w:style>
  <w:style w:type="character" w:customStyle="1" w:styleId="affffffffffffffffffffffffffffffffc">
    <w:basedOn w:val="affffffffffffffffffa"/>
    <w:uiPriority w:val="99"/>
    <w:semiHidden/>
    <w:rPr>
      <w:rFonts w:ascii="宋体" w:hAnsi="宋体" w:cs="宋体"/>
      <w:sz w:val="16"/>
      <w:szCs w:val="16"/>
    </w:rPr>
  </w:style>
  <w:style w:type="character" w:customStyle="1" w:styleId="affffffffffffffffffffffffffffffffd">
    <w:basedOn w:val="affffffffffffffffffa"/>
    <w:uiPriority w:val="99"/>
    <w:unhideWhenUsed/>
    <w:rPr>
      <w:color w:val="0000FF" w:themeColor="hyperlink"/>
      <w:u w:val="single"/>
    </w:rPr>
  </w:style>
  <w:style w:type="paragraph" w:customStyle="1" w:styleId="affffffffffffffffffffffffffffffffe">
    <w:qFormat/>
    <w:rPr>
      <w:rFonts w:ascii="宋体" w:hAnsi="宋体" w:cs="宋体"/>
      <w:szCs w:val="24"/>
    </w:rPr>
  </w:style>
  <w:style w:type="paragraph" w:customStyle="1" w:styleId="afffffffffffffffffffffffffffffffff">
    <w:basedOn w:val="affffffffffffffffffffffffffffffffe"/>
    <w:next w:val="a3"/>
    <w:uiPriority w:val="99"/>
    <w:qFormat/>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customStyle="1" w:styleId="afffffffffffffffffffffffffffffffff0">
    <w:basedOn w:val="affffffffffffffffffffffffffffffffe"/>
    <w:next w:val="a3"/>
    <w:uiPriority w:val="9"/>
    <w:qFormat/>
    <w:pPr>
      <w:keepNext/>
      <w:keepLines/>
      <w:widowControl w:val="0"/>
      <w:spacing w:before="60" w:line="360" w:lineRule="auto"/>
      <w:jc w:val="both"/>
      <w:outlineLvl w:val="2"/>
    </w:pPr>
    <w:rPr>
      <w:rFonts w:ascii="Calibri" w:hAnsi="Calibri" w:cs="Times New Roman"/>
      <w:b/>
      <w:bCs/>
      <w:kern w:val="2"/>
      <w:szCs w:val="32"/>
    </w:rPr>
  </w:style>
  <w:style w:type="paragraph" w:customStyle="1" w:styleId="afffffffffffffffffffffffffffffffff1">
    <w:basedOn w:val="affffffffffffffffffffffffffffffffe"/>
    <w:next w:val="a3"/>
    <w:uiPriority w:val="9"/>
    <w:qFormat/>
    <w:pPr>
      <w:keepNext/>
      <w:keepLines/>
      <w:widowControl w:val="0"/>
      <w:spacing w:before="60" w:line="360" w:lineRule="auto"/>
      <w:jc w:val="both"/>
      <w:outlineLvl w:val="3"/>
    </w:pPr>
    <w:rPr>
      <w:rFonts w:asciiTheme="minorEastAsia" w:eastAsiaTheme="minorEastAsia" w:hAnsiTheme="minorEastAsia" w:cs="Times New Roman"/>
      <w:b/>
      <w:bCs/>
      <w:kern w:val="2"/>
      <w:szCs w:val="28"/>
    </w:rPr>
  </w:style>
  <w:style w:type="paragraph" w:customStyle="1" w:styleId="afffffffffffffffffffffffffffffffff2">
    <w:basedOn w:val="affffffffffffffffffffffffffffffffe"/>
    <w:next w:val="a3"/>
    <w:uiPriority w:val="9"/>
    <w:qFormat/>
    <w:pPr>
      <w:keepNext/>
      <w:keepLines/>
      <w:widowControl w:val="0"/>
      <w:spacing w:before="60" w:line="360" w:lineRule="auto"/>
      <w:ind w:leftChars="50" w:left="50"/>
      <w:jc w:val="both"/>
      <w:outlineLvl w:val="4"/>
    </w:pPr>
    <w:rPr>
      <w:rFonts w:ascii="Calibri" w:hAnsi="Calibri" w:cs="Times New Roman"/>
      <w:b/>
      <w:bCs/>
      <w:kern w:val="2"/>
      <w:szCs w:val="28"/>
    </w:rPr>
  </w:style>
  <w:style w:type="paragraph" w:customStyle="1" w:styleId="afffffffffffffffffffffffffffffffff3">
    <w:basedOn w:val="affffffffffffffffffffffffffffffffe"/>
    <w:next w:val="a3"/>
    <w:uiPriority w:val="9"/>
    <w:unhideWhenUsed/>
    <w:qFormat/>
    <w:pPr>
      <w:keepNext/>
      <w:keepLines/>
      <w:spacing w:before="60" w:after="60"/>
      <w:outlineLvl w:val="5"/>
    </w:pPr>
    <w:rPr>
      <w:rFonts w:asciiTheme="majorHAnsi" w:hAnsiTheme="majorHAnsi" w:cstheme="majorBidi"/>
      <w:b/>
      <w:bCs/>
    </w:rPr>
  </w:style>
  <w:style w:type="paragraph" w:customStyle="1" w:styleId="afffffffffffffffffffffffffffffffff4">
    <w:basedOn w:val="affffffffffffffffffffffffffffffffe"/>
    <w:next w:val="a3"/>
    <w:uiPriority w:val="9"/>
    <w:unhideWhenUsed/>
    <w:qFormat/>
    <w:pPr>
      <w:keepNext/>
      <w:keepLines/>
      <w:spacing w:before="240" w:after="64" w:line="320" w:lineRule="auto"/>
      <w:outlineLvl w:val="6"/>
    </w:pPr>
    <w:rPr>
      <w:b/>
      <w:bCs/>
      <w:sz w:val="24"/>
    </w:rPr>
  </w:style>
  <w:style w:type="character" w:customStyle="1" w:styleId="afffffffffffffffffffffffffffffffff5">
    <w:uiPriority w:val="1"/>
    <w:semiHidden/>
    <w:unhideWhenUsed/>
  </w:style>
  <w:style w:type="numbering" w:customStyle="1" w:styleId="afffffffffffffffffffffffffffffffff6">
    <w:uiPriority w:val="99"/>
    <w:semiHidden/>
    <w:unhideWhenUsed/>
  </w:style>
  <w:style w:type="character" w:customStyle="1" w:styleId="afffffffffffffffffffffffffffffffff7">
    <w:basedOn w:val="afffffffffffffffffffffffffffffffff5"/>
    <w:uiPriority w:val="99"/>
    <w:rPr>
      <w:rFonts w:eastAsia="黑体"/>
      <w:b/>
      <w:bCs/>
      <w:kern w:val="44"/>
      <w:sz w:val="28"/>
      <w:szCs w:val="44"/>
    </w:rPr>
  </w:style>
  <w:style w:type="paragraph" w:customStyle="1" w:styleId="afffffffffffffffffffffffffffffffff8">
    <w:basedOn w:val="afffffffffffffffffffffffffffffffff"/>
    <w:next w:val="a3"/>
    <w:uiPriority w:val="39"/>
    <w:qFormat/>
    <w:pPr>
      <w:widowControl/>
      <w:spacing w:before="480" w:after="0" w:line="276" w:lineRule="auto"/>
      <w:outlineLvl w:val="9"/>
    </w:pPr>
    <w:rPr>
      <w:rFonts w:ascii="Cambria" w:eastAsia="宋体" w:hAnsi="Cambria"/>
      <w:color w:val="365F91"/>
      <w:kern w:val="0"/>
      <w:szCs w:val="28"/>
    </w:rPr>
  </w:style>
  <w:style w:type="paragraph" w:customStyle="1" w:styleId="afffffffffffffffffffffffffffffffff9">
    <w:basedOn w:val="affffffffffffffffffffffffffffffffe"/>
    <w:next w:val="a3"/>
    <w:autoRedefine/>
    <w:uiPriority w:val="39"/>
    <w:qFormat/>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afffffffffffffffffffffffffffffffffa">
    <w:basedOn w:val="affffffffffffffffffffffffffffffffe"/>
    <w:next w:val="a3"/>
    <w:autoRedefine/>
    <w:uiPriority w:val="39"/>
    <w:qFormat/>
    <w:pPr>
      <w:widowControl w:val="0"/>
      <w:ind w:leftChars="200" w:left="420"/>
      <w:jc w:val="both"/>
    </w:pPr>
    <w:rPr>
      <w:rFonts w:ascii="Times New Roman" w:hAnsi="Times New Roman" w:cs="Times New Roman"/>
      <w:kern w:val="2"/>
      <w:szCs w:val="21"/>
    </w:rPr>
  </w:style>
  <w:style w:type="character" w:customStyle="1" w:styleId="afffffffffffffffffffffffffffffffffb">
    <w:basedOn w:val="afffffffffffffffffffffffffffffffff5"/>
    <w:uiPriority w:val="99"/>
    <w:rPr>
      <w:rFonts w:cs="Times New Roman"/>
      <w:color w:val="0000FF"/>
      <w:u w:val="single"/>
    </w:rPr>
  </w:style>
  <w:style w:type="character" w:customStyle="1" w:styleId="afffffffffffffffffffffffffffffffffc">
    <w:basedOn w:val="afffffffffffffffffffffffffffffffff5"/>
    <w:uiPriority w:val="99"/>
    <w:qFormat/>
    <w:rPr>
      <w:rFonts w:eastAsia="宋体" w:cs="Times New Roman"/>
      <w:kern w:val="2"/>
      <w:sz w:val="21"/>
      <w:szCs w:val="21"/>
      <w:lang w:val="en-US" w:eastAsia="zh-CN" w:bidi="ar-SA"/>
    </w:rPr>
  </w:style>
  <w:style w:type="paragraph" w:customStyle="1" w:styleId="afffffffffffffffffffffffffffffffffd">
    <w:basedOn w:val="affffffffffffffffffffffffffffffffe"/>
    <w:qFormat/>
    <w:pPr>
      <w:widowControl w:val="0"/>
    </w:pPr>
    <w:rPr>
      <w:rFonts w:ascii="Times New Roman" w:hAnsi="Times New Roman" w:cs="Times New Roman"/>
      <w:kern w:val="2"/>
      <w:szCs w:val="21"/>
    </w:rPr>
  </w:style>
  <w:style w:type="paragraph" w:customStyle="1" w:styleId="afffffffffffffffffffffffffffffffffe">
    <w:basedOn w:val="affffffffffffffffffffffffffffffffe"/>
    <w:uiPriority w:val="99"/>
    <w:unhideWhenUsed/>
    <w:pPr>
      <w:widowControl w:val="0"/>
      <w:jc w:val="both"/>
    </w:pPr>
    <w:rPr>
      <w:rFonts w:ascii="Calibri" w:hAnsi="Calibri" w:cs="Times New Roman"/>
      <w:kern w:val="2"/>
      <w:sz w:val="18"/>
      <w:szCs w:val="18"/>
    </w:rPr>
  </w:style>
  <w:style w:type="character" w:customStyle="1" w:styleId="affffffffffffffffffffffffffffffffff">
    <w:basedOn w:val="afffffffffffffffffffffffffffffffff5"/>
    <w:uiPriority w:val="99"/>
    <w:rPr>
      <w:rFonts w:ascii="Calibri" w:eastAsia="宋体" w:hAnsi="Calibri" w:cs="Times New Roman"/>
      <w:sz w:val="18"/>
      <w:szCs w:val="18"/>
    </w:rPr>
  </w:style>
  <w:style w:type="paragraph" w:customStyle="1" w:styleId="affffffffffffffffffffffffffffffffff0">
    <w:basedOn w:val="affffffffffffffffffffffffffffffffe"/>
    <w:next w:val="a3"/>
    <w:uiPriority w:val="99"/>
    <w:qFormat/>
    <w:pPr>
      <w:widowControl w:val="0"/>
      <w:jc w:val="both"/>
    </w:pPr>
    <w:rPr>
      <w:rFonts w:ascii="Times New Roman" w:hAnsi="Times New Roman" w:cs="Times New Roman"/>
      <w:kern w:val="2"/>
      <w:szCs w:val="21"/>
    </w:rPr>
  </w:style>
  <w:style w:type="character" w:customStyle="1" w:styleId="affffffffffffffffffffffffffffffffff1">
    <w:basedOn w:val="afffffffffffffffffffffffffffffffff5"/>
    <w:uiPriority w:val="99"/>
    <w:rPr>
      <w:rFonts w:ascii="Times New Roman" w:eastAsia="宋体" w:hAnsi="Times New Roman" w:cs="Times New Roman"/>
      <w:szCs w:val="21"/>
    </w:rPr>
  </w:style>
  <w:style w:type="character" w:customStyle="1" w:styleId="affffffffffffffffffffffffffffffffff2">
    <w:basedOn w:val="afffffffffffffffffffffffffffffffff5"/>
    <w:uiPriority w:val="99"/>
    <w:rPr>
      <w:rFonts w:eastAsia="宋体" w:cs="Times New Roman"/>
      <w:color w:val="FF0000"/>
      <w:kern w:val="2"/>
      <w:sz w:val="24"/>
      <w:szCs w:val="24"/>
      <w:lang w:val="en-US" w:eastAsia="zh-CN" w:bidi="ar-SA"/>
    </w:rPr>
  </w:style>
  <w:style w:type="paragraph" w:customStyle="1" w:styleId="affffffffffffffffffffffffffffffffff3">
    <w:basedOn w:val="affffffffffffffffffffffffffffffffe"/>
    <w:uiPriority w:val="99"/>
    <w:pPr>
      <w:spacing w:before="100" w:after="100"/>
      <w:jc w:val="right"/>
    </w:pPr>
    <w:rPr>
      <w:rFonts w:ascii="Arial Unicode MS" w:eastAsia="Arial Unicode MS" w:hAnsi="Times New Roman" w:cs="Times New Roman"/>
      <w:sz w:val="18"/>
      <w:szCs w:val="18"/>
    </w:rPr>
  </w:style>
  <w:style w:type="paragraph" w:customStyle="1" w:styleId="affffffffffffffffffffffffffffffffff4">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5">
    <w:basedOn w:val="affffffffff0"/>
    <w:uiPriority w:val="99"/>
    <w:rPr>
      <w:rFonts w:ascii="Calibri" w:eastAsia="宋体" w:hAnsi="Calibri" w:cs="Times New Roman"/>
      <w:b/>
      <w:bCs/>
      <w:kern w:val="2"/>
      <w:szCs w:val="21"/>
      <w14:ligatures w14:val="standardContextual"/>
    </w:rPr>
  </w:style>
  <w:style w:type="paragraph" w:customStyle="1" w:styleId="affffffffffffffffffffffffffffffffff6">
    <w:basedOn w:val="afffffffffffffffffffffffffffffffffd"/>
    <w:uiPriority w:val="99"/>
    <w:unhideWhenUsed/>
    <w:rPr>
      <w:rFonts w:ascii="Calibri" w:hAnsi="Calibri"/>
      <w:b/>
      <w:bCs/>
      <w:szCs w:val="22"/>
    </w:rPr>
  </w:style>
  <w:style w:type="paragraph" w:customStyle="1" w:styleId="affffffffffffffffffffffffffffffffff7">
    <w:basedOn w:val="affffffffffffffffffffffffffffffffe"/>
    <w:next w:val="a3"/>
    <w:autoRedefine/>
    <w:uiPriority w:val="39"/>
    <w:unhideWhenUsed/>
    <w:qFormat/>
    <w:pPr>
      <w:spacing w:after="100" w:line="276" w:lineRule="auto"/>
      <w:ind w:left="440"/>
    </w:pPr>
    <w:rPr>
      <w:rFonts w:ascii="Calibri" w:hAnsi="Calibri" w:cs="Times New Roman"/>
      <w:sz w:val="22"/>
      <w:szCs w:val="22"/>
    </w:rPr>
  </w:style>
  <w:style w:type="paragraph" w:customStyle="1" w:styleId="affffffffffffffffffffffffffffffffff8">
    <w:basedOn w:val="affffffffffffffffffffffffffffffffe"/>
    <w:uiPriority w:val="99"/>
    <w:unhideWhenUsed/>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affffffffffffffffffffffffffffffffff9">
    <w:basedOn w:val="afffffffffffffffffffffffffffffffff5"/>
    <w:uiPriority w:val="99"/>
    <w:rPr>
      <w:rFonts w:ascii="Calibri" w:eastAsia="宋体" w:hAnsi="Calibri" w:cs="Times New Roman"/>
      <w:sz w:val="18"/>
      <w:szCs w:val="18"/>
    </w:rPr>
  </w:style>
  <w:style w:type="paragraph" w:customStyle="1" w:styleId="affffffffffffffffffffffffffffffffffa">
    <w:basedOn w:val="affffffffffffffffffffffffffffffffe"/>
    <w:uiPriority w:val="99"/>
    <w:unhideWhenUsed/>
    <w:pPr>
      <w:widowControl w:val="0"/>
      <w:tabs>
        <w:tab w:val="center" w:pos="4153"/>
        <w:tab w:val="right" w:pos="8306"/>
      </w:tabs>
      <w:snapToGrid w:val="0"/>
    </w:pPr>
    <w:rPr>
      <w:rFonts w:ascii="Calibri" w:hAnsi="Calibri" w:cs="Times New Roman"/>
      <w:kern w:val="2"/>
      <w:sz w:val="18"/>
      <w:szCs w:val="18"/>
    </w:rPr>
  </w:style>
  <w:style w:type="paragraph" w:customStyle="1" w:styleId="affffffffffffffffffffffffffffffffffb">
    <w:basedOn w:val="affffffffffffffffffffffffffffffffe"/>
    <w:pPr>
      <w:widowControl w:val="0"/>
      <w:jc w:val="both"/>
    </w:pPr>
    <w:rPr>
      <w:rFonts w:hAnsi="Courier New" w:cs="Times New Roman"/>
      <w:kern w:val="2"/>
      <w:szCs w:val="20"/>
    </w:rPr>
  </w:style>
  <w:style w:type="character" w:customStyle="1" w:styleId="affffffffffffffffffffffffffffffffffc">
    <w:basedOn w:val="afffffffffffffffffffffffffffffffff5"/>
    <w:qFormat/>
    <w:rPr>
      <w:rFonts w:ascii="宋体" w:eastAsia="宋体" w:hAnsi="Courier New" w:cs="Times New Roman"/>
      <w:szCs w:val="20"/>
    </w:rPr>
  </w:style>
  <w:style w:type="character" w:customStyle="1" w:styleId="affffffffffffffffffffffffffffffffffd">
    <w:basedOn w:val="afffffffffffffffffffffffffffffffff5"/>
    <w:rPr>
      <w:rFonts w:eastAsia="宋体" w:cs="Times New Roman"/>
      <w:kern w:val="2"/>
      <w:sz w:val="24"/>
      <w:szCs w:val="24"/>
      <w:lang w:val="en-US" w:eastAsia="zh-CN" w:bidi="ar-SA"/>
    </w:rPr>
  </w:style>
  <w:style w:type="paragraph" w:customStyle="1" w:styleId="affffffffffffffffffffffffffffffffffe">
    <w:basedOn w:val="affffffffffffffffffffffffffffffffe"/>
    <w:uiPriority w:val="99"/>
    <w:pPr>
      <w:widowControl w:val="0"/>
      <w:spacing w:after="120"/>
      <w:jc w:val="both"/>
    </w:pPr>
    <w:rPr>
      <w:rFonts w:ascii="Times New Roman" w:hAnsi="Times New Roman" w:cs="Times New Roman"/>
      <w:kern w:val="2"/>
      <w:szCs w:val="21"/>
    </w:rPr>
  </w:style>
  <w:style w:type="character" w:customStyle="1" w:styleId="afffffffffffffffffffffffffffffffffff">
    <w:basedOn w:val="afffffffffffffffffffffffffffffffff5"/>
    <w:uiPriority w:val="99"/>
    <w:rPr>
      <w:rFonts w:ascii="Times New Roman" w:eastAsia="宋体" w:hAnsi="Times New Roman" w:cs="Times New Roman"/>
      <w:szCs w:val="21"/>
    </w:rPr>
  </w:style>
  <w:style w:type="paragraph" w:customStyle="1" w:styleId="afffffffffffffffffffffffffffffffffff0">
    <w:basedOn w:val="affffffffffffffffffffffffffffffffe"/>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customStyle="1" w:styleId="afffffffffffffffffffffffffffffffffff1">
    <w:basedOn w:val="affffffffffffffffffffffffffffffffe"/>
    <w:next w:val="a3"/>
    <w:uiPriority w:val="99"/>
    <w:pPr>
      <w:widowControl w:val="0"/>
      <w:ind w:leftChars="2500" w:left="100"/>
      <w:jc w:val="both"/>
    </w:pPr>
    <w:rPr>
      <w:rFonts w:ascii="Times New Roman" w:hAnsi="Times New Roman" w:cs="Times New Roman"/>
      <w:kern w:val="2"/>
      <w:szCs w:val="21"/>
    </w:rPr>
  </w:style>
  <w:style w:type="character" w:customStyle="1" w:styleId="afffffffffffffffffffffffffffffffffff2">
    <w:basedOn w:val="afffffffffffffffffffffffffffffffff5"/>
    <w:uiPriority w:val="99"/>
    <w:rPr>
      <w:rFonts w:ascii="Times New Roman" w:eastAsia="宋体" w:hAnsi="Times New Roman" w:cs="Times New Roman"/>
      <w:szCs w:val="21"/>
    </w:rPr>
  </w:style>
  <w:style w:type="paragraph" w:customStyle="1" w:styleId="afffffffffffffffffffffffffffffffffff3">
    <w:basedOn w:val="affffffffffffffffffffffffffffffffe"/>
    <w:next w:val="a3"/>
    <w:uiPriority w:val="99"/>
    <w:pPr>
      <w:widowControl w:val="0"/>
      <w:jc w:val="center"/>
    </w:pPr>
    <w:rPr>
      <w:rFonts w:ascii="Times New Roman" w:hAnsi="Times New Roman" w:cs="Times New Roman"/>
      <w:kern w:val="2"/>
      <w:szCs w:val="21"/>
    </w:rPr>
  </w:style>
  <w:style w:type="paragraph" w:customStyle="1" w:styleId="afffffffffffffffffffffffffffffffffff4">
    <w:basedOn w:val="affffffffffffffffffffffffffffffffe"/>
    <w:next w:val="a3"/>
    <w:semiHidden/>
    <w:pPr>
      <w:widowControl w:val="0"/>
      <w:spacing w:before="120"/>
      <w:jc w:val="both"/>
    </w:pPr>
    <w:rPr>
      <w:rFonts w:ascii="Arial" w:hAnsi="Arial" w:cs="Times New Roman"/>
      <w:b/>
      <w:bCs/>
      <w:kern w:val="2"/>
      <w:szCs w:val="21"/>
    </w:rPr>
  </w:style>
  <w:style w:type="paragraph" w:customStyle="1" w:styleId="afffffffffffffffffffffffffffffffffff5">
    <w:basedOn w:val="affffffffffffffffffffffffffffffffe"/>
    <w:pPr>
      <w:keepNext/>
      <w:keepLines/>
      <w:widowControl w:val="0"/>
      <w:spacing w:before="60" w:after="60"/>
      <w:ind w:hangingChars="200" w:hanging="420"/>
      <w:jc w:val="both"/>
      <w:outlineLvl w:val="4"/>
    </w:pPr>
    <w:rPr>
      <w:rFonts w:cs="Times New Roman"/>
      <w:b/>
      <w:bCs/>
      <w:kern w:val="2"/>
      <w:szCs w:val="21"/>
    </w:rPr>
  </w:style>
  <w:style w:type="paragraph" w:customStyle="1" w:styleId="afffffffffffffffffffffffffffffffffff6">
    <w:hidden/>
    <w:uiPriority w:val="99"/>
    <w:semiHidden/>
    <w:rPr>
      <w:kern w:val="2"/>
      <w:szCs w:val="22"/>
    </w:rPr>
  </w:style>
  <w:style w:type="character" w:customStyle="1" w:styleId="afffffffffffffffffffffffffffffffffff7">
    <w:basedOn w:val="afffffffffffffffffffffffffffffffff5"/>
    <w:qFormat/>
    <w:rPr>
      <w:kern w:val="2"/>
      <w:sz w:val="21"/>
      <w:szCs w:val="24"/>
    </w:rPr>
  </w:style>
  <w:style w:type="paragraph" w:customStyle="1" w:styleId="afffffffffffffffffffffffffffffffffff8">
    <w:basedOn w:val="affffffffffffffffffffffffffffffffe"/>
    <w:qFormat/>
    <w:pPr>
      <w:widowControl w:val="0"/>
      <w:spacing w:before="100" w:after="100"/>
      <w:jc w:val="both"/>
    </w:pPr>
    <w:rPr>
      <w:rFonts w:ascii="Calibri" w:hAnsi="Calibri" w:cs="Times New Roman"/>
      <w:kern w:val="2"/>
    </w:rPr>
  </w:style>
  <w:style w:type="paragraph" w:customStyle="1" w:styleId="afffffffffffffffffffffffffffffffffff9">
    <w:basedOn w:val="affffffffffffffffffffffffffffffffe"/>
    <w:uiPriority w:val="99"/>
    <w:semiHidden/>
    <w:unhideWhenUsed/>
    <w:pPr>
      <w:widowControl w:val="0"/>
      <w:jc w:val="both"/>
    </w:pPr>
    <w:rPr>
      <w:rFonts w:hAnsi="Calibri" w:cs="Times New Roman"/>
      <w:kern w:val="2"/>
      <w:sz w:val="18"/>
      <w:szCs w:val="18"/>
    </w:rPr>
  </w:style>
  <w:style w:type="character" w:customStyle="1" w:styleId="afffffffffffffffffffffffffffffffffffa">
    <w:basedOn w:val="afffffffffffffffffffffffffffffffff5"/>
    <w:uiPriority w:val="99"/>
    <w:semiHidden/>
    <w:rPr>
      <w:rFonts w:ascii="宋体"/>
      <w:kern w:val="2"/>
      <w:sz w:val="18"/>
      <w:szCs w:val="18"/>
    </w:rPr>
  </w:style>
  <w:style w:type="character" w:customStyle="1" w:styleId="afffffffffffffffffffffffffffffffffffb">
    <w:basedOn w:val="afffffffffffffffffffffffffffffffff5"/>
    <w:uiPriority w:val="99"/>
    <w:semiHidden/>
    <w:rPr>
      <w:color w:val="auto"/>
    </w:rPr>
  </w:style>
  <w:style w:type="numbering" w:customStyle="1" w:styleId="afffffffffffffffffffffffffffffffffffc">
    <w:uiPriority w:val="99"/>
  </w:style>
  <w:style w:type="paragraph" w:customStyle="1" w:styleId="afffffffffffffffffffffffffffffffffffd">
    <w:basedOn w:val="affffffffffffffffffffffffffffffffe"/>
    <w:next w:val="a3"/>
    <w:uiPriority w:val="10"/>
    <w:qFormat/>
    <w:pPr>
      <w:widowControl w:val="0"/>
      <w:spacing w:before="240" w:after="60"/>
      <w:jc w:val="center"/>
      <w:outlineLvl w:val="0"/>
    </w:pPr>
    <w:rPr>
      <w:rFonts w:asciiTheme="majorHAnsi" w:hAnsiTheme="majorHAnsi" w:cstheme="majorBidi"/>
      <w:b/>
      <w:bCs/>
      <w:kern w:val="2"/>
      <w:sz w:val="32"/>
      <w:szCs w:val="32"/>
    </w:rPr>
  </w:style>
  <w:style w:type="character" w:customStyle="1" w:styleId="afffffffffffffffffffffffffffffffffffe">
    <w:basedOn w:val="afffffffffffffffffffffffffffffffff5"/>
    <w:uiPriority w:val="10"/>
    <w:rPr>
      <w:rFonts w:asciiTheme="majorHAnsi" w:hAnsiTheme="majorHAnsi" w:cstheme="majorBidi"/>
      <w:b/>
      <w:bCs/>
      <w:kern w:val="2"/>
      <w:sz w:val="32"/>
      <w:szCs w:val="32"/>
    </w:rPr>
  </w:style>
  <w:style w:type="paragraph" w:customStyle="1" w:styleId="affffffffffffffffffffffffffffffffffff">
    <w:uiPriority w:val="1"/>
    <w:qFormat/>
    <w:pPr>
      <w:widowControl w:val="0"/>
      <w:jc w:val="both"/>
    </w:pPr>
    <w:rPr>
      <w:kern w:val="2"/>
      <w:szCs w:val="22"/>
    </w:rPr>
  </w:style>
  <w:style w:type="paragraph" w:customStyle="1" w:styleId="affffffffffffffffffffffffffffffffffff0">
    <w:basedOn w:val="affffffffffffffffffffffffffffffffe"/>
    <w:next w:val="a3"/>
    <w:autoRedefine/>
    <w:uiPriority w:val="39"/>
    <w:unhideWhenUsed/>
    <w:pPr>
      <w:widowControl w:val="0"/>
      <w:ind w:leftChars="600" w:left="1260"/>
      <w:jc w:val="both"/>
    </w:pPr>
    <w:rPr>
      <w:rFonts w:asciiTheme="minorHAnsi" w:eastAsiaTheme="minorEastAsia" w:hAnsiTheme="minorHAnsi" w:cstheme="minorBidi"/>
      <w:kern w:val="2"/>
      <w:szCs w:val="22"/>
    </w:rPr>
  </w:style>
  <w:style w:type="paragraph" w:customStyle="1" w:styleId="affffffffffffffffffffffffffffffffffff1">
    <w:basedOn w:val="affffffffffffffffffffffffffffffffe"/>
    <w:next w:val="a3"/>
    <w:autoRedefine/>
    <w:uiPriority w:val="39"/>
    <w:unhideWhenUsed/>
    <w:pPr>
      <w:widowControl w:val="0"/>
      <w:ind w:leftChars="800" w:left="1680"/>
      <w:jc w:val="both"/>
    </w:pPr>
    <w:rPr>
      <w:rFonts w:asciiTheme="minorHAnsi" w:eastAsiaTheme="minorEastAsia" w:hAnsiTheme="minorHAnsi" w:cstheme="minorBidi"/>
      <w:kern w:val="2"/>
      <w:szCs w:val="22"/>
    </w:rPr>
  </w:style>
  <w:style w:type="paragraph" w:customStyle="1" w:styleId="affffffffffffffffffffffffffffffffffff2">
    <w:basedOn w:val="affffffffffffffffffffffffffffffffe"/>
    <w:next w:val="a3"/>
    <w:autoRedefine/>
    <w:uiPriority w:val="39"/>
    <w:unhideWhenUsed/>
    <w:pPr>
      <w:widowControl w:val="0"/>
      <w:ind w:leftChars="1000" w:left="2100"/>
      <w:jc w:val="both"/>
    </w:pPr>
    <w:rPr>
      <w:rFonts w:asciiTheme="minorHAnsi" w:eastAsiaTheme="minorEastAsia" w:hAnsiTheme="minorHAnsi" w:cstheme="minorBidi"/>
      <w:kern w:val="2"/>
      <w:szCs w:val="22"/>
    </w:rPr>
  </w:style>
  <w:style w:type="paragraph" w:customStyle="1" w:styleId="affffffffffffffffffffffffffffffffffff3">
    <w:basedOn w:val="affffffffffffffffffffffffffffffffe"/>
    <w:next w:val="a3"/>
    <w:autoRedefine/>
    <w:uiPriority w:val="39"/>
    <w:unhideWhenUsed/>
    <w:pPr>
      <w:widowControl w:val="0"/>
      <w:ind w:leftChars="1200" w:left="2520"/>
      <w:jc w:val="both"/>
    </w:pPr>
    <w:rPr>
      <w:rFonts w:asciiTheme="minorHAnsi" w:eastAsiaTheme="minorEastAsia" w:hAnsiTheme="minorHAnsi" w:cstheme="minorBidi"/>
      <w:kern w:val="2"/>
      <w:szCs w:val="22"/>
    </w:rPr>
  </w:style>
  <w:style w:type="paragraph" w:customStyle="1" w:styleId="affffffffffffffffffffffffffffffffffff4">
    <w:basedOn w:val="affffffffffffffffffffffffffffffffe"/>
    <w:next w:val="a3"/>
    <w:autoRedefine/>
    <w:uiPriority w:val="39"/>
    <w:unhideWhenUsed/>
    <w:pPr>
      <w:widowControl w:val="0"/>
      <w:ind w:leftChars="1400" w:left="2940"/>
      <w:jc w:val="both"/>
    </w:pPr>
    <w:rPr>
      <w:rFonts w:asciiTheme="minorHAnsi" w:eastAsiaTheme="minorEastAsia" w:hAnsiTheme="minorHAnsi" w:cstheme="minorBidi"/>
      <w:kern w:val="2"/>
      <w:szCs w:val="22"/>
    </w:rPr>
  </w:style>
  <w:style w:type="paragraph" w:customStyle="1" w:styleId="affffffffffffffffffffffffffffffffffff5">
    <w:basedOn w:val="affffffffffffffffffffffffffffffffe"/>
    <w:next w:val="a3"/>
    <w:autoRedefine/>
    <w:uiPriority w:val="39"/>
    <w:unhideWhenUsed/>
    <w:pPr>
      <w:widowControl w:val="0"/>
      <w:ind w:leftChars="1600" w:left="3360"/>
      <w:jc w:val="both"/>
    </w:pPr>
    <w:rPr>
      <w:rFonts w:asciiTheme="minorHAnsi" w:eastAsiaTheme="minorEastAsia" w:hAnsiTheme="minorHAnsi" w:cstheme="minorBidi"/>
      <w:kern w:val="2"/>
      <w:szCs w:val="22"/>
    </w:rPr>
  </w:style>
  <w:style w:type="paragraph" w:customStyle="1" w:styleId="affffffffffffffffffffffffffffffffffff6">
    <w:basedOn w:val="affffffffffffffffffffffffffffffffe"/>
    <w:uiPriority w:val="99"/>
    <w:pPr>
      <w:spacing w:before="100" w:beforeAutospacing="1" w:after="100" w:afterAutospacing="1"/>
    </w:pPr>
    <w:rPr>
      <w:sz w:val="24"/>
    </w:rPr>
  </w:style>
  <w:style w:type="paragraph" w:customStyle="1" w:styleId="affffffffffffffffffffffffffffffffffff7">
    <w:basedOn w:val="affffffffffffffffffffffffffffffffe"/>
    <w:uiPriority w:val="99"/>
    <w:semiHidden/>
    <w:unhideWhenUsed/>
    <w:pPr>
      <w:snapToGrid w:val="0"/>
    </w:pPr>
  </w:style>
  <w:style w:type="character" w:customStyle="1" w:styleId="affffffffffffffffffffffffffffffffffff8">
    <w:basedOn w:val="afffffffffffffffffffffffffffffffff5"/>
    <w:uiPriority w:val="99"/>
    <w:semiHidden/>
    <w:rPr>
      <w:rFonts w:ascii="宋体" w:hAnsi="宋体" w:cs="宋体"/>
      <w:sz w:val="21"/>
      <w:szCs w:val="24"/>
    </w:rPr>
  </w:style>
  <w:style w:type="character" w:customStyle="1" w:styleId="affffffffffffffffffffffffffffffffffff9">
    <w:basedOn w:val="afffffffffffffffffffffffffffffffff5"/>
    <w:uiPriority w:val="99"/>
    <w:semiHidden/>
    <w:unhideWhenUsed/>
    <w:rPr>
      <w:vertAlign w:val="superscript"/>
    </w:rPr>
  </w:style>
  <w:style w:type="character" w:customStyle="1" w:styleId="affffffffffffffffffffffffffffffffffffa">
    <w:basedOn w:val="affffffffff0"/>
    <w:uiPriority w:val="99"/>
    <w:semiHidden/>
    <w:rPr>
      <w:rFonts w:ascii="Times New Roman" w:eastAsia="宋体" w:hAnsi="Times New Roman" w:cs="Times New Roman"/>
      <w:b/>
      <w:bCs/>
      <w:kern w:val="2"/>
      <w:szCs w:val="21"/>
      <w14:ligatures w14:val="standardContextual"/>
    </w:rPr>
  </w:style>
  <w:style w:type="paragraph" w:customStyle="1" w:styleId="affffffffffffffffffffffffffffffffffffb">
    <w:basedOn w:val="affffffffffffffffffffffffffffffffe"/>
    <w:next w:val="a3"/>
    <w:autoRedefine/>
    <w:semiHidden/>
    <w:pPr>
      <w:ind w:firstLineChars="200" w:firstLine="420"/>
    </w:pPr>
    <w:rPr>
      <w:rFonts w:cs="Times New Roman"/>
      <w:color w:val="000000"/>
      <w:szCs w:val="21"/>
    </w:rPr>
  </w:style>
  <w:style w:type="character" w:customStyle="1" w:styleId="affffffffffffffffffffffffffffffffffffc">
    <w:basedOn w:val="afffffffffffffffffffffffffffffffff5"/>
  </w:style>
  <w:style w:type="paragraph" w:customStyle="1" w:styleId="affffffffffffffffffffffffffffffffffffd">
    <w:basedOn w:val="affffffffffffffffffffffffffffffffe"/>
    <w:pPr>
      <w:widowControl w:val="0"/>
      <w:ind w:firstLineChars="200" w:firstLine="420"/>
      <w:jc w:val="both"/>
    </w:pPr>
    <w:rPr>
      <w:rFonts w:ascii="Times New Roman" w:hAnsi="Times New Roman" w:cs="Times New Roman"/>
      <w:kern w:val="2"/>
      <w:szCs w:val="21"/>
    </w:rPr>
  </w:style>
  <w:style w:type="paragraph" w:customStyle="1" w:styleId="affffffffffffffffffffffffffffffffffffe">
    <w:basedOn w:val="affffffffffffffffffffffffffffffffe"/>
    <w:pPr>
      <w:widowControl w:val="0"/>
      <w:tabs>
        <w:tab w:val="left" w:pos="1200"/>
      </w:tabs>
      <w:jc w:val="both"/>
    </w:pPr>
    <w:rPr>
      <w:rFonts w:ascii="Times New Roman" w:hAnsi="Times New Roman" w:cs="Times New Roman"/>
      <w:kern w:val="2"/>
      <w:szCs w:val="21"/>
    </w:rPr>
  </w:style>
  <w:style w:type="paragraph" w:customStyle="1" w:styleId="afffffffffffffffffffffffffffffffffffff">
    <w:basedOn w:val="affffffffffffffffffffffffffffffffe"/>
    <w:next w:val="a3"/>
    <w:qFormat/>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afffffffffffffffffffffffffffffffffffff0">
    <w:basedOn w:val="afffffffffffffffffffffffffffffffff5"/>
    <w:rPr>
      <w:rFonts w:ascii="Times New Roman" w:hAnsi="Times New Roman"/>
      <w:b/>
      <w:kern w:val="2"/>
      <w:sz w:val="21"/>
      <w:szCs w:val="24"/>
    </w:rPr>
  </w:style>
  <w:style w:type="character" w:customStyle="1" w:styleId="afffffffffffffffffffffffffffffffffffff1">
    <w:basedOn w:val="afffffffffffffffffffffffffffffffff5"/>
    <w:uiPriority w:val="9"/>
    <w:rPr>
      <w:rFonts w:ascii="宋体" w:hAnsi="宋体" w:cs="宋体"/>
      <w:b/>
      <w:bCs/>
      <w:sz w:val="24"/>
      <w:szCs w:val="24"/>
    </w:rPr>
  </w:style>
  <w:style w:type="character" w:customStyle="1" w:styleId="afffffffffffffffffffffffffffffffffffff2">
    <w:basedOn w:val="affffffffff0"/>
    <w:uiPriority w:val="99"/>
    <w:semiHidden/>
    <w:rPr>
      <w:rFonts w:ascii="Times New Roman" w:eastAsia="宋体" w:hAnsi="Times New Roman" w:cs="Times New Roman"/>
      <w:b/>
      <w:bCs/>
      <w:kern w:val="2"/>
      <w:szCs w:val="21"/>
      <w14:ligatures w14:val="standardContextual"/>
    </w:rPr>
  </w:style>
  <w:style w:type="character" w:customStyle="1" w:styleId="afffffffffffffffffffffffffffffffffffff3">
    <w:uiPriority w:val="9"/>
    <w:rPr>
      <w:rFonts w:ascii="Cambria" w:hAnsi="Cambria"/>
      <w:b/>
      <w:bCs/>
      <w:kern w:val="2"/>
      <w:sz w:val="21"/>
      <w:szCs w:val="28"/>
    </w:rPr>
  </w:style>
  <w:style w:type="paragraph" w:customStyle="1" w:styleId="afffffffffffffffffffffffffffffffffffff4">
    <w:basedOn w:val="affffffffffffffffffffffffffffffffe"/>
    <w:uiPriority w:val="34"/>
    <w:qFormat/>
    <w:pPr>
      <w:widowControl w:val="0"/>
      <w:ind w:firstLineChars="200" w:firstLine="420"/>
      <w:jc w:val="both"/>
    </w:pPr>
    <w:rPr>
      <w:rFonts w:ascii="Calibri" w:hAnsi="Calibri" w:cs="Times New Roman"/>
      <w:kern w:val="2"/>
      <w:szCs w:val="22"/>
    </w:rPr>
  </w:style>
  <w:style w:type="paragraph" w:customStyle="1" w:styleId="afffffffffffffffffffffffffffffffffffff5">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ff6">
    <w:uiPriority w:val="9"/>
    <w:rPr>
      <w:b/>
      <w:bCs/>
      <w:kern w:val="2"/>
      <w:sz w:val="21"/>
      <w:szCs w:val="32"/>
    </w:rPr>
  </w:style>
  <w:style w:type="paragraph" w:customStyle="1" w:styleId="afffffffffffffffffffffffffffffffffffff7">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ff8">
    <w:qFormat/>
    <w:rPr>
      <w:rFonts w:ascii="Times New Roman" w:hAnsi="Times New Roman"/>
      <w:kern w:val="2"/>
      <w:sz w:val="21"/>
      <w:szCs w:val="21"/>
    </w:rPr>
  </w:style>
  <w:style w:type="character" w:customStyle="1" w:styleId="afffffffffffffffffffffffffffffffffffff9">
    <w:uiPriority w:val="9"/>
    <w:rPr>
      <w:b/>
      <w:bCs/>
      <w:kern w:val="2"/>
      <w:sz w:val="21"/>
      <w:szCs w:val="32"/>
    </w:rPr>
  </w:style>
  <w:style w:type="character" w:customStyle="1" w:styleId="afffffffffffffffffffffffffffffffffffffa">
    <w:rPr>
      <w:rFonts w:ascii="Arial" w:hAnsi="Arial"/>
      <w:b/>
      <w:bCs/>
      <w:kern w:val="2"/>
      <w:sz w:val="21"/>
      <w:szCs w:val="21"/>
    </w:rPr>
  </w:style>
  <w:style w:type="character" w:customStyle="1" w:styleId="afffffffffffffffffffffffffffffffffffffb">
    <w:uiPriority w:val="9"/>
    <w:rPr>
      <w:b/>
      <w:bCs/>
      <w:kern w:val="2"/>
      <w:sz w:val="21"/>
      <w:szCs w:val="28"/>
    </w:rPr>
  </w:style>
  <w:style w:type="paragraph" w:customStyle="1" w:styleId="afffffffffffffffffffffffffffffffffffffc">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ffd">
    <w:uiPriority w:val="99"/>
    <w:rPr>
      <w:rFonts w:ascii="Times New Roman" w:hAnsi="Times New Roman"/>
      <w:kern w:val="2"/>
      <w:sz w:val="21"/>
      <w:szCs w:val="21"/>
    </w:rPr>
  </w:style>
  <w:style w:type="character" w:customStyle="1" w:styleId="afffffffffffffffffffffffffffffffffffffe">
    <w:rPr>
      <w:rFonts w:ascii="FZLTSK--GBK1-0" w:hAnsi="FZLTSK--GBK1-0" w:hint="default"/>
      <w:b w:val="0"/>
      <w:bCs w:val="0"/>
      <w:i w:val="0"/>
      <w:iCs w:val="0"/>
      <w:color w:val="000000"/>
      <w:sz w:val="20"/>
      <w:szCs w:val="20"/>
    </w:rPr>
  </w:style>
  <w:style w:type="paragraph" w:customStyle="1" w:styleId="affffffffffffffffffffffffffffffffffffff">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fff0">
    <w:uiPriority w:val="99"/>
    <w:rPr>
      <w:rFonts w:ascii="Times New Roman" w:hAnsi="Times New Roman"/>
      <w:kern w:val="2"/>
      <w:sz w:val="21"/>
      <w:szCs w:val="21"/>
    </w:rPr>
  </w:style>
  <w:style w:type="character" w:customStyle="1" w:styleId="affffffffffffffffffffffffffffffffffffff1">
    <w:uiPriority w:val="9"/>
    <w:rPr>
      <w:b/>
      <w:bCs/>
      <w:kern w:val="2"/>
      <w:sz w:val="21"/>
      <w:szCs w:val="28"/>
    </w:rPr>
  </w:style>
  <w:style w:type="character" w:customStyle="1" w:styleId="affffffffffffffffffffffffffffffffffffff2">
    <w:uiPriority w:val="99"/>
    <w:semiHidden/>
    <w:locked/>
    <w:rPr>
      <w:rFonts w:ascii="Times New Roman" w:hAnsi="Times New Roman"/>
      <w:kern w:val="2"/>
      <w:sz w:val="21"/>
      <w:szCs w:val="21"/>
    </w:rPr>
  </w:style>
  <w:style w:type="character" w:customStyle="1" w:styleId="affffffffffffffffffffffffffffffffffffff3">
    <w:rPr>
      <w:rFonts w:ascii="Arial" w:hAnsi="Arial"/>
      <w:b/>
      <w:bCs/>
      <w:kern w:val="2"/>
      <w:sz w:val="21"/>
      <w:szCs w:val="21"/>
    </w:rPr>
  </w:style>
  <w:style w:type="character" w:customStyle="1" w:styleId="affffffffffffffffffffffffffffffffffffff4">
    <w:uiPriority w:val="99"/>
    <w:rPr>
      <w:rFonts w:ascii="Times New Roman" w:hAnsi="Times New Roman"/>
      <w:kern w:val="2"/>
      <w:sz w:val="21"/>
      <w:szCs w:val="21"/>
    </w:rPr>
  </w:style>
  <w:style w:type="character" w:customStyle="1" w:styleId="affffffffffffffffffffffffffffffffffffff5">
    <w:uiPriority w:val="9"/>
    <w:rPr>
      <w:b/>
      <w:bCs/>
      <w:kern w:val="2"/>
      <w:sz w:val="21"/>
      <w:szCs w:val="28"/>
    </w:rPr>
  </w:style>
  <w:style w:type="paragraph" w:customStyle="1" w:styleId="affffffffffffffffffffffffffffffffffffff6">
    <w:basedOn w:val="affffffffffffffffffffffffffffffffe"/>
    <w:uiPriority w:val="34"/>
    <w:qFormat/>
    <w:pPr>
      <w:widowControl w:val="0"/>
      <w:ind w:firstLineChars="200" w:firstLine="420"/>
      <w:jc w:val="both"/>
    </w:pPr>
    <w:rPr>
      <w:rFonts w:ascii="Calibri" w:hAnsi="Calibri" w:cs="Times New Roman"/>
      <w:kern w:val="2"/>
      <w:szCs w:val="22"/>
    </w:rPr>
  </w:style>
  <w:style w:type="character" w:customStyle="1" w:styleId="affffffffffffffffffffffffffffffffffffff7">
    <w:uiPriority w:val="9"/>
    <w:rPr>
      <w:b/>
      <w:bCs/>
      <w:kern w:val="2"/>
      <w:sz w:val="21"/>
      <w:szCs w:val="32"/>
    </w:rPr>
  </w:style>
  <w:style w:type="character" w:customStyle="1" w:styleId="affffffffffffffffffffffffffffffffffffff8">
    <w:uiPriority w:val="9"/>
    <w:rPr>
      <w:b/>
      <w:bCs/>
      <w:kern w:val="2"/>
      <w:sz w:val="21"/>
      <w:szCs w:val="32"/>
    </w:rPr>
  </w:style>
  <w:style w:type="character" w:customStyle="1" w:styleId="affffffffffffffffffffffffffffffffffffff9">
    <w:rPr>
      <w:rFonts w:ascii="Times New Roman" w:hAnsi="Times New Roman"/>
      <w:kern w:val="2"/>
      <w:sz w:val="21"/>
      <w:szCs w:val="21"/>
    </w:rPr>
  </w:style>
  <w:style w:type="character" w:customStyle="1" w:styleId="affffffffffffffffffffffffffffffffffffffa">
    <w:uiPriority w:val="9"/>
    <w:rPr>
      <w:rFonts w:ascii="Cambria" w:hAnsi="Cambria"/>
      <w:b/>
      <w:bCs/>
      <w:kern w:val="2"/>
      <w:sz w:val="21"/>
      <w:szCs w:val="28"/>
    </w:rPr>
  </w:style>
  <w:style w:type="paragraph" w:customStyle="1" w:styleId="affffffffffffffffffffffffffffffffffffffb">
    <w:basedOn w:val="affffffffffffffffffffffffffffffffe"/>
    <w:uiPriority w:val="99"/>
    <w:semiHidden/>
    <w:unhideWhenUsed/>
    <w:pPr>
      <w:widowControl w:val="0"/>
      <w:snapToGrid w:val="0"/>
    </w:pPr>
    <w:rPr>
      <w:rFonts w:ascii="Calibri" w:hAnsi="Calibri" w:cs="Times New Roman"/>
      <w:kern w:val="2"/>
      <w:sz w:val="18"/>
      <w:szCs w:val="18"/>
    </w:rPr>
  </w:style>
  <w:style w:type="character" w:customStyle="1" w:styleId="affffffffffffffffffffffffffffffffffffffc">
    <w:basedOn w:val="afffffffffffffffffffffffffffffffff5"/>
    <w:uiPriority w:val="99"/>
    <w:semiHidden/>
    <w:rPr>
      <w:kern w:val="2"/>
      <w:sz w:val="18"/>
      <w:szCs w:val="18"/>
    </w:rPr>
  </w:style>
  <w:style w:type="character" w:customStyle="1" w:styleId="affffffffffffffffffffffffffffffffffffffd">
    <w:uiPriority w:val="99"/>
    <w:semiHidden/>
    <w:unhideWhenUsed/>
    <w:rPr>
      <w:vertAlign w:val="superscript"/>
    </w:rPr>
  </w:style>
  <w:style w:type="paragraph" w:customStyle="1" w:styleId="affffffffffffffffffffffffffffffffffffffe">
    <w:basedOn w:val="affffffffffffffffffffffffffffffffe"/>
    <w:autoRedefine/>
    <w:qFormat/>
    <w:pPr>
      <w:spacing w:afterLines="50" w:after="120" w:line="360" w:lineRule="exact"/>
      <w:ind w:firstLineChars="200" w:firstLine="420"/>
    </w:pPr>
    <w:rPr>
      <w:rFonts w:hAnsiTheme="minorHAnsi" w:cstheme="minorBidi"/>
      <w:kern w:val="2"/>
      <w14:ligatures w14:val="standardContextual"/>
    </w:rPr>
  </w:style>
  <w:style w:type="paragraph" w:customStyle="1" w:styleId="afffa">
    <w:basedOn w:val="affffffffffffffffffffffffffffffffe"/>
    <w:autoRedefine/>
    <w:qFormat/>
    <w:pPr>
      <w:numPr>
        <w:numId w:val="90"/>
      </w:numPr>
      <w:snapToGrid w:val="0"/>
      <w:spacing w:afterLines="50" w:after="120" w:line="360" w:lineRule="exact"/>
      <w:jc w:val="both"/>
      <w:outlineLvl w:val="3"/>
    </w:pPr>
    <w:rPr>
      <w:rFonts w:hAnsiTheme="minorHAnsi" w:cstheme="minorBidi"/>
      <w:kern w:val="2"/>
      <w14:ligatures w14:val="standardContextual"/>
    </w:rPr>
  </w:style>
  <w:style w:type="paragraph" w:customStyle="1" w:styleId="afffffffffffffffffffffffffffffffffffffff">
    <w:basedOn w:val="affffffffffffffffffffffffffffffffe"/>
    <w:autoRedefine/>
    <w:qFormat/>
    <w:pPr>
      <w:snapToGrid w:val="0"/>
      <w:spacing w:afterLines="50" w:after="156" w:line="360" w:lineRule="exact"/>
      <w:jc w:val="both"/>
      <w:outlineLvl w:val="3"/>
    </w:pPr>
    <w:rPr>
      <w:rFonts w:hAnsiTheme="minorHAnsi" w:cstheme="minorBidi"/>
      <w:kern w:val="2"/>
      <w14:ligatures w14:val="standardContextual"/>
    </w:rPr>
  </w:style>
  <w:style w:type="paragraph" w:customStyle="1" w:styleId="affff">
    <w:basedOn w:val="affffffffffffffffff3"/>
    <w:autoRedefine/>
    <w:qFormat/>
    <w:pPr>
      <w:numPr>
        <w:numId w:val="91"/>
      </w:numPr>
      <w:spacing w:beforeLines="100" w:before="312" w:afterLines="100" w:after="312" w:line="360" w:lineRule="exact"/>
      <w:ind w:left="0" w:firstLineChars="200" w:firstLine="482"/>
      <w:jc w:val="both"/>
      <w:outlineLvl w:val="0"/>
    </w:pPr>
    <w:rPr>
      <w:rFonts w:ascii="黑体" w:eastAsia="黑体" w:hAnsiTheme="minorHAnsi" w:cstheme="minorBidi"/>
      <w:b/>
      <w:kern w:val="2"/>
      <w:sz w:val="24"/>
      <w14:ligatures w14:val="standardContextual"/>
    </w:rPr>
  </w:style>
  <w:style w:type="paragraph" w:customStyle="1" w:styleId="affff0">
    <w:basedOn w:val="affffffffffffffffff3"/>
    <w:autoRedefine/>
    <w:qFormat/>
    <w:pPr>
      <w:numPr>
        <w:ilvl w:val="1"/>
        <w:numId w:val="91"/>
      </w:numPr>
      <w:spacing w:afterLines="50" w:after="156" w:line="360" w:lineRule="exact"/>
      <w:outlineLvl w:val="1"/>
    </w:pPr>
    <w:rPr>
      <w:rFonts w:hAnsiTheme="minorHAnsi" w:cstheme="minorBidi"/>
      <w:kern w:val="2"/>
      <w14:ligatures w14:val="standardContextual"/>
    </w:rPr>
  </w:style>
  <w:style w:type="paragraph" w:customStyle="1" w:styleId="afffffffffffffffffffffffffffffffffffffff0">
    <w:basedOn w:val="affffffffffffffffff3"/>
    <w:autoRedefine/>
    <w:qFormat/>
    <w:pPr>
      <w:snapToGrid w:val="0"/>
      <w:spacing w:afterLines="50" w:after="120" w:line="360" w:lineRule="exact"/>
      <w:ind w:left="425"/>
      <w:jc w:val="both"/>
      <w:outlineLvl w:val="3"/>
    </w:pPr>
    <w:rPr>
      <w:rFonts w:hAnsiTheme="minorHAnsi" w:cstheme="minorBidi"/>
      <w:kern w:val="2"/>
      <w14:ligatures w14:val="standardContextual"/>
    </w:rPr>
  </w:style>
  <w:style w:type="character" w:customStyle="1" w:styleId="afffffffffffffffffffffffffffffffffffffff1">
    <w:basedOn w:val="affffffffffffffffffa"/>
    <w:rPr>
      <w:rFonts w:ascii="宋体" w:hAnsiTheme="minorHAnsi" w:cstheme="minorBidi"/>
      <w:kern w:val="2"/>
      <w:szCs w:val="24"/>
      <w14:ligatures w14:val="standardContextual"/>
    </w:rPr>
  </w:style>
  <w:style w:type="paragraph" w:customStyle="1" w:styleId="affff1">
    <w:basedOn w:val="affffffffffffffffff3"/>
    <w:autoRedefine/>
    <w:qFormat/>
    <w:pPr>
      <w:numPr>
        <w:ilvl w:val="3"/>
        <w:numId w:val="91"/>
      </w:numPr>
      <w:snapToGrid w:val="0"/>
      <w:spacing w:afterLines="50" w:after="156" w:line="360" w:lineRule="exact"/>
      <w:jc w:val="both"/>
      <w:outlineLvl w:val="3"/>
    </w:pPr>
    <w:rPr>
      <w:rFonts w:hAnsiTheme="minorHAnsi" w:cstheme="minorBidi"/>
      <w:kern w:val="2"/>
      <w14:ligatures w14:val="standardContextual"/>
    </w:rPr>
  </w:style>
  <w:style w:type="paragraph" w:customStyle="1" w:styleId="afffffffffffffffffffffffffffffffffffffff2">
    <w:basedOn w:val="afffffffffffff8"/>
    <w:qFormat/>
    <w:pPr>
      <w:wordWrap w:val="0"/>
      <w:snapToGrid w:val="0"/>
      <w:spacing w:afterLines="50" w:after="156" w:line="360" w:lineRule="exact"/>
      <w:ind w:firstLineChars="200" w:firstLine="420"/>
      <w:jc w:val="both"/>
    </w:pPr>
    <w:rPr>
      <w:rFonts w:hAnsiTheme="minorHAnsi" w:cstheme="minorBidi"/>
      <w:kern w:val="2"/>
      <w:szCs w:val="18"/>
      <w14:ligatures w14:val="standardContextual"/>
    </w:rPr>
  </w:style>
  <w:style w:type="character" w:customStyle="1" w:styleId="afffffffffffffffffffffffffffffffffffffff3">
    <w:basedOn w:val="afffffffffffffe"/>
    <w:rPr>
      <w:rFonts w:ascii="宋体" w:hAnsiTheme="minorHAnsi" w:cstheme="minorBidi"/>
      <w:kern w:val="2"/>
      <w:szCs w:val="18"/>
      <w14:ligatures w14:val="standardContextual"/>
    </w:rPr>
  </w:style>
  <w:style w:type="paragraph" w:customStyle="1" w:styleId="afffffffffffffffffffffffffffffffffffffff4">
    <w:basedOn w:val="afffffffffffff8"/>
    <w:uiPriority w:val="99"/>
    <w:semiHidden/>
    <w:unhideWhenUsed/>
    <w:pPr>
      <w:spacing w:after="120"/>
    </w:pPr>
  </w:style>
  <w:style w:type="character" w:customStyle="1" w:styleId="afffffffffffffffffffffffffffffffffffffff5">
    <w:basedOn w:val="afffffffffffffe"/>
    <w:uiPriority w:val="99"/>
    <w:semiHidden/>
    <w:rPr>
      <w:rFonts w:ascii="宋体" w:hAnsi="宋体" w:cs="宋体"/>
      <w:szCs w:val="24"/>
    </w:rPr>
  </w:style>
  <w:style w:type="paragraph" w:customStyle="1" w:styleId="afffffffffffffffffffffffffffffffffffffff6">
    <w:basedOn w:val="afffffffffffffffffffffffffffffffffffffff4"/>
    <w:uiPriority w:val="99"/>
    <w:semiHidden/>
    <w:unhideWhenUsed/>
    <w:pPr>
      <w:ind w:firstLineChars="100" w:firstLine="420"/>
    </w:pPr>
  </w:style>
  <w:style w:type="character" w:customStyle="1" w:styleId="afffffffffffffffffffffffffffffffffffffff7">
    <w:basedOn w:val="afffffffffffffffffffffffffffffffffffffff5"/>
    <w:uiPriority w:val="99"/>
    <w:semiHidden/>
    <w:rPr>
      <w:rFonts w:ascii="宋体" w:hAnsi="宋体" w:cs="宋体"/>
      <w:szCs w:val="24"/>
    </w:rPr>
  </w:style>
  <w:style w:type="paragraph" w:customStyle="1" w:styleId="afffffffffffffffffffffffffffffffffffffff8">
    <w:basedOn w:val="afffffffffffff8"/>
    <w:uiPriority w:val="99"/>
    <w:semiHidden/>
    <w:unhideWhenUsed/>
    <w:pPr>
      <w:spacing w:after="120"/>
      <w:ind w:leftChars="200" w:left="420"/>
    </w:pPr>
  </w:style>
  <w:style w:type="character" w:customStyle="1" w:styleId="afffffffffffffffffffffffffffffffffffffff9">
    <w:basedOn w:val="afffffffffffffe"/>
    <w:uiPriority w:val="99"/>
    <w:semiHidden/>
    <w:rPr>
      <w:rFonts w:ascii="宋体" w:hAnsi="宋体" w:cs="宋体"/>
      <w:szCs w:val="24"/>
    </w:rPr>
  </w:style>
  <w:style w:type="paragraph" w:customStyle="1" w:styleId="afffffffffffffffffffffffffffffffffffffffa">
    <w:basedOn w:val="afffffffffffffffffffffffffffffffffffffff8"/>
    <w:uiPriority w:val="99"/>
    <w:semiHidden/>
    <w:unhideWhenUsed/>
    <w:pPr>
      <w:ind w:firstLineChars="200" w:firstLine="420"/>
    </w:pPr>
  </w:style>
  <w:style w:type="character" w:customStyle="1" w:styleId="afffffffffffffffffffffffffffffffffffffffb">
    <w:basedOn w:val="afffffffffffffffffffffffffffffffffffffff9"/>
    <w:uiPriority w:val="99"/>
    <w:semiHidden/>
    <w:rPr>
      <w:rFonts w:ascii="宋体" w:hAnsi="宋体" w:cs="宋体"/>
      <w:szCs w:val="24"/>
    </w:rPr>
  </w:style>
  <w:style w:type="paragraph" w:customStyle="1" w:styleId="afffffffffffffffffffffffffffffffffffffffc">
    <w:basedOn w:val="afffffffffffff8"/>
    <w:uiPriority w:val="99"/>
    <w:semiHidden/>
    <w:unhideWhenUsed/>
    <w:pPr>
      <w:spacing w:after="120" w:line="480" w:lineRule="auto"/>
    </w:pPr>
  </w:style>
  <w:style w:type="character" w:customStyle="1" w:styleId="afffffffffffffffffffffffffffffffffffffffd">
    <w:basedOn w:val="afffffffffffffe"/>
    <w:uiPriority w:val="99"/>
    <w:semiHidden/>
    <w:rPr>
      <w:rFonts w:ascii="宋体" w:hAnsi="宋体" w:cs="宋体"/>
      <w:szCs w:val="24"/>
    </w:rPr>
  </w:style>
  <w:style w:type="paragraph" w:customStyle="1" w:styleId="afffffffffffffffffffffffffffffffffffffffe">
    <w:basedOn w:val="afffffffffffff8"/>
    <w:uiPriority w:val="99"/>
    <w:semiHidden/>
    <w:unhideWhenUsed/>
    <w:pPr>
      <w:spacing w:after="120"/>
    </w:pPr>
    <w:rPr>
      <w:sz w:val="16"/>
      <w:szCs w:val="16"/>
    </w:rPr>
  </w:style>
  <w:style w:type="character" w:customStyle="1" w:styleId="affffffffffffffffffffffffffffffffffffffff">
    <w:basedOn w:val="afffffffffffffe"/>
    <w:uiPriority w:val="99"/>
    <w:semiHidden/>
    <w:rPr>
      <w:rFonts w:ascii="宋体" w:hAnsi="宋体" w:cs="宋体"/>
      <w:sz w:val="16"/>
      <w:szCs w:val="16"/>
    </w:rPr>
  </w:style>
  <w:style w:type="paragraph" w:customStyle="1" w:styleId="affffffffffffffffffffffffffffffffffffffff0">
    <w:basedOn w:val="afffffffffffff8"/>
    <w:uiPriority w:val="99"/>
    <w:semiHidden/>
    <w:unhideWhenUsed/>
    <w:pPr>
      <w:spacing w:after="120" w:line="480" w:lineRule="auto"/>
      <w:ind w:leftChars="200" w:left="420"/>
    </w:pPr>
  </w:style>
  <w:style w:type="character" w:customStyle="1" w:styleId="affffffffffffffffffffffffffffffffffffffff1">
    <w:basedOn w:val="afffffffffffffe"/>
    <w:uiPriority w:val="99"/>
    <w:semiHidden/>
    <w:rPr>
      <w:rFonts w:ascii="宋体" w:hAnsi="宋体" w:cs="宋体"/>
      <w:szCs w:val="24"/>
    </w:rPr>
  </w:style>
  <w:style w:type="paragraph" w:customStyle="1" w:styleId="affffffffffffffffffffffffffffffffffffffff2">
    <w:basedOn w:val="afffffffffffff8"/>
    <w:uiPriority w:val="99"/>
    <w:semiHidden/>
    <w:unhideWhenUsed/>
    <w:pPr>
      <w:spacing w:after="120"/>
      <w:ind w:leftChars="200" w:left="420"/>
    </w:pPr>
    <w:rPr>
      <w:sz w:val="16"/>
      <w:szCs w:val="16"/>
    </w:rPr>
  </w:style>
  <w:style w:type="character" w:customStyle="1" w:styleId="affffffffffffffffffffffffffffffffffffffff3">
    <w:basedOn w:val="afffffffffffffe"/>
    <w:uiPriority w:val="99"/>
    <w:semiHidden/>
    <w:rPr>
      <w:rFonts w:ascii="宋体" w:hAnsi="宋体" w:cs="宋体"/>
      <w:sz w:val="16"/>
      <w:szCs w:val="16"/>
    </w:rPr>
  </w:style>
  <w:style w:type="character" w:customStyle="1" w:styleId="affffffffffffffffffffffffffffffffffffffff4">
    <w:basedOn w:val="afffffffffffffe"/>
    <w:uiPriority w:val="99"/>
    <w:semiHidden/>
    <w:unhideWhenUsed/>
    <w:qFormat/>
    <w:rPr>
      <w:sz w:val="21"/>
      <w:szCs w:val="21"/>
    </w:rPr>
  </w:style>
  <w:style w:type="paragraph" w:customStyle="1" w:styleId="affffffffffffffffffffffffffffffffffffffff5">
    <w:basedOn w:val="afffffffffffff8"/>
    <w:uiPriority w:val="99"/>
    <w:semiHidden/>
    <w:unhideWhenUsed/>
    <w:qFormat/>
  </w:style>
  <w:style w:type="character" w:customStyle="1" w:styleId="affffffffffffffffffffffffffffffffffffffff6">
    <w:basedOn w:val="afffffffffffffe"/>
    <w:uiPriority w:val="99"/>
    <w:semiHidden/>
    <w:rPr>
      <w:rFonts w:ascii="宋体" w:hAnsi="宋体" w:cs="宋体"/>
      <w:szCs w:val="24"/>
    </w:rPr>
  </w:style>
  <w:style w:type="paragraph" w:customStyle="1" w:styleId="affffffffffffffffffffffffffffffffffffffff7">
    <w:basedOn w:val="affffffffffffffffffffffffffffffffffffffff5"/>
    <w:uiPriority w:val="99"/>
    <w:semiHidden/>
    <w:unhideWhenUsed/>
    <w:rPr>
      <w:b/>
      <w:bCs/>
    </w:rPr>
  </w:style>
  <w:style w:type="character" w:customStyle="1" w:styleId="affffffffffffffffffffffffffffffffffffffff8">
    <w:basedOn w:val="affffffffffffffffffffffffffffffffffffffff6"/>
    <w:uiPriority w:val="99"/>
    <w:semiHidden/>
    <w:rPr>
      <w:rFonts w:ascii="宋体" w:hAnsi="宋体" w:cs="宋体"/>
      <w:b/>
      <w:bCs/>
      <w:szCs w:val="24"/>
    </w:rPr>
  </w:style>
  <w:style w:type="paragraph" w:customStyle="1" w:styleId="affffffffffffffffffffffffffffffffffffffff9">
    <w:basedOn w:val="afffffffffffff8"/>
    <w:uiPriority w:val="99"/>
    <w:semiHidden/>
    <w:unhideWhenUsed/>
    <w:rPr>
      <w:sz w:val="18"/>
      <w:szCs w:val="18"/>
    </w:rPr>
  </w:style>
  <w:style w:type="character" w:customStyle="1" w:styleId="affffffffffffffffffffffffffffffffffffffffa">
    <w:basedOn w:val="afffffffffffffe"/>
    <w:uiPriority w:val="99"/>
    <w:semiHidden/>
    <w:rPr>
      <w:rFonts w:ascii="宋体" w:hAnsi="宋体" w:cs="宋体"/>
      <w:sz w:val="18"/>
      <w:szCs w:val="18"/>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9419">
      <w:bodyDiv w:val="1"/>
      <w:marLeft w:val="0"/>
      <w:marRight w:val="0"/>
      <w:marTop w:val="0"/>
      <w:marBottom w:val="0"/>
      <w:divBdr>
        <w:top w:val="none" w:sz="0" w:space="0" w:color="auto"/>
        <w:left w:val="none" w:sz="0" w:space="0" w:color="auto"/>
        <w:bottom w:val="none" w:sz="0" w:space="0" w:color="auto"/>
        <w:right w:val="none" w:sz="0" w:space="0" w:color="auto"/>
      </w:divBdr>
    </w:div>
    <w:div w:id="81877470">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57355722">
      <w:bodyDiv w:val="1"/>
      <w:marLeft w:val="0"/>
      <w:marRight w:val="0"/>
      <w:marTop w:val="0"/>
      <w:marBottom w:val="0"/>
      <w:divBdr>
        <w:top w:val="none" w:sz="0" w:space="0" w:color="auto"/>
        <w:left w:val="none" w:sz="0" w:space="0" w:color="auto"/>
        <w:bottom w:val="none" w:sz="0" w:space="0" w:color="auto"/>
        <w:right w:val="none" w:sz="0" w:space="0" w:color="auto"/>
      </w:divBdr>
    </w:div>
    <w:div w:id="169754377">
      <w:bodyDiv w:val="1"/>
      <w:marLeft w:val="0"/>
      <w:marRight w:val="0"/>
      <w:marTop w:val="0"/>
      <w:marBottom w:val="0"/>
      <w:divBdr>
        <w:top w:val="none" w:sz="0" w:space="0" w:color="auto"/>
        <w:left w:val="none" w:sz="0" w:space="0" w:color="auto"/>
        <w:bottom w:val="none" w:sz="0" w:space="0" w:color="auto"/>
        <w:right w:val="none" w:sz="0" w:space="0" w:color="auto"/>
      </w:divBdr>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223637499">
      <w:bodyDiv w:val="1"/>
      <w:marLeft w:val="0"/>
      <w:marRight w:val="0"/>
      <w:marTop w:val="0"/>
      <w:marBottom w:val="0"/>
      <w:divBdr>
        <w:top w:val="none" w:sz="0" w:space="0" w:color="auto"/>
        <w:left w:val="none" w:sz="0" w:space="0" w:color="auto"/>
        <w:bottom w:val="none" w:sz="0" w:space="0" w:color="auto"/>
        <w:right w:val="none" w:sz="0" w:space="0" w:color="auto"/>
      </w:divBdr>
    </w:div>
    <w:div w:id="229847284">
      <w:bodyDiv w:val="1"/>
      <w:marLeft w:val="0"/>
      <w:marRight w:val="0"/>
      <w:marTop w:val="0"/>
      <w:marBottom w:val="0"/>
      <w:divBdr>
        <w:top w:val="none" w:sz="0" w:space="0" w:color="auto"/>
        <w:left w:val="none" w:sz="0" w:space="0" w:color="auto"/>
        <w:bottom w:val="none" w:sz="0" w:space="0" w:color="auto"/>
        <w:right w:val="none" w:sz="0" w:space="0" w:color="auto"/>
      </w:divBdr>
    </w:div>
    <w:div w:id="252857715">
      <w:bodyDiv w:val="1"/>
      <w:marLeft w:val="0"/>
      <w:marRight w:val="0"/>
      <w:marTop w:val="0"/>
      <w:marBottom w:val="0"/>
      <w:divBdr>
        <w:top w:val="none" w:sz="0" w:space="0" w:color="auto"/>
        <w:left w:val="none" w:sz="0" w:space="0" w:color="auto"/>
        <w:bottom w:val="none" w:sz="0" w:space="0" w:color="auto"/>
        <w:right w:val="none" w:sz="0" w:space="0" w:color="auto"/>
      </w:divBdr>
    </w:div>
    <w:div w:id="311718634">
      <w:bodyDiv w:val="1"/>
      <w:marLeft w:val="0"/>
      <w:marRight w:val="0"/>
      <w:marTop w:val="0"/>
      <w:marBottom w:val="0"/>
      <w:divBdr>
        <w:top w:val="none" w:sz="0" w:space="0" w:color="auto"/>
        <w:left w:val="none" w:sz="0" w:space="0" w:color="auto"/>
        <w:bottom w:val="none" w:sz="0" w:space="0" w:color="auto"/>
        <w:right w:val="none" w:sz="0" w:space="0" w:color="auto"/>
      </w:divBdr>
    </w:div>
    <w:div w:id="338196923">
      <w:bodyDiv w:val="1"/>
      <w:marLeft w:val="0"/>
      <w:marRight w:val="0"/>
      <w:marTop w:val="0"/>
      <w:marBottom w:val="0"/>
      <w:divBdr>
        <w:top w:val="none" w:sz="0" w:space="0" w:color="auto"/>
        <w:left w:val="none" w:sz="0" w:space="0" w:color="auto"/>
        <w:bottom w:val="none" w:sz="0" w:space="0" w:color="auto"/>
        <w:right w:val="none" w:sz="0" w:space="0" w:color="auto"/>
      </w:divBdr>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415981265">
      <w:bodyDiv w:val="1"/>
      <w:marLeft w:val="0"/>
      <w:marRight w:val="0"/>
      <w:marTop w:val="0"/>
      <w:marBottom w:val="0"/>
      <w:divBdr>
        <w:top w:val="none" w:sz="0" w:space="0" w:color="auto"/>
        <w:left w:val="none" w:sz="0" w:space="0" w:color="auto"/>
        <w:bottom w:val="none" w:sz="0" w:space="0" w:color="auto"/>
        <w:right w:val="none" w:sz="0" w:space="0" w:color="auto"/>
      </w:divBdr>
    </w:div>
    <w:div w:id="454452164">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80599496">
      <w:bodyDiv w:val="1"/>
      <w:marLeft w:val="0"/>
      <w:marRight w:val="0"/>
      <w:marTop w:val="0"/>
      <w:marBottom w:val="0"/>
      <w:divBdr>
        <w:top w:val="none" w:sz="0" w:space="0" w:color="auto"/>
        <w:left w:val="none" w:sz="0" w:space="0" w:color="auto"/>
        <w:bottom w:val="none" w:sz="0" w:space="0" w:color="auto"/>
        <w:right w:val="none" w:sz="0" w:space="0" w:color="auto"/>
      </w:divBdr>
    </w:div>
    <w:div w:id="604382663">
      <w:bodyDiv w:val="1"/>
      <w:marLeft w:val="0"/>
      <w:marRight w:val="0"/>
      <w:marTop w:val="0"/>
      <w:marBottom w:val="0"/>
      <w:divBdr>
        <w:top w:val="none" w:sz="0" w:space="0" w:color="auto"/>
        <w:left w:val="none" w:sz="0" w:space="0" w:color="auto"/>
        <w:bottom w:val="none" w:sz="0" w:space="0" w:color="auto"/>
        <w:right w:val="none" w:sz="0" w:space="0" w:color="auto"/>
      </w:divBdr>
    </w:div>
    <w:div w:id="613706369">
      <w:bodyDiv w:val="1"/>
      <w:marLeft w:val="0"/>
      <w:marRight w:val="0"/>
      <w:marTop w:val="0"/>
      <w:marBottom w:val="0"/>
      <w:divBdr>
        <w:top w:val="none" w:sz="0" w:space="0" w:color="auto"/>
        <w:left w:val="none" w:sz="0" w:space="0" w:color="auto"/>
        <w:bottom w:val="none" w:sz="0" w:space="0" w:color="auto"/>
        <w:right w:val="none" w:sz="0" w:space="0" w:color="auto"/>
      </w:divBdr>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49136348">
      <w:bodyDiv w:val="1"/>
      <w:marLeft w:val="0"/>
      <w:marRight w:val="0"/>
      <w:marTop w:val="0"/>
      <w:marBottom w:val="0"/>
      <w:divBdr>
        <w:top w:val="none" w:sz="0" w:space="0" w:color="auto"/>
        <w:left w:val="none" w:sz="0" w:space="0" w:color="auto"/>
        <w:bottom w:val="none" w:sz="0" w:space="0" w:color="auto"/>
        <w:right w:val="none" w:sz="0" w:space="0" w:color="auto"/>
      </w:divBdr>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707607800">
      <w:bodyDiv w:val="1"/>
      <w:marLeft w:val="0"/>
      <w:marRight w:val="0"/>
      <w:marTop w:val="0"/>
      <w:marBottom w:val="0"/>
      <w:divBdr>
        <w:top w:val="none" w:sz="0" w:space="0" w:color="auto"/>
        <w:left w:val="none" w:sz="0" w:space="0" w:color="auto"/>
        <w:bottom w:val="none" w:sz="0" w:space="0" w:color="auto"/>
        <w:right w:val="none" w:sz="0" w:space="0" w:color="auto"/>
      </w:divBdr>
    </w:div>
    <w:div w:id="735056025">
      <w:bodyDiv w:val="1"/>
      <w:marLeft w:val="0"/>
      <w:marRight w:val="0"/>
      <w:marTop w:val="0"/>
      <w:marBottom w:val="0"/>
      <w:divBdr>
        <w:top w:val="none" w:sz="0" w:space="0" w:color="auto"/>
        <w:left w:val="none" w:sz="0" w:space="0" w:color="auto"/>
        <w:bottom w:val="none" w:sz="0" w:space="0" w:color="auto"/>
        <w:right w:val="none" w:sz="0" w:space="0" w:color="auto"/>
      </w:divBdr>
    </w:div>
    <w:div w:id="748888493">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878780749">
      <w:bodyDiv w:val="1"/>
      <w:marLeft w:val="0"/>
      <w:marRight w:val="0"/>
      <w:marTop w:val="0"/>
      <w:marBottom w:val="0"/>
      <w:divBdr>
        <w:top w:val="none" w:sz="0" w:space="0" w:color="auto"/>
        <w:left w:val="none" w:sz="0" w:space="0" w:color="auto"/>
        <w:bottom w:val="none" w:sz="0" w:space="0" w:color="auto"/>
        <w:right w:val="none" w:sz="0" w:space="0" w:color="auto"/>
      </w:divBdr>
    </w:div>
    <w:div w:id="901790565">
      <w:bodyDiv w:val="1"/>
      <w:marLeft w:val="0"/>
      <w:marRight w:val="0"/>
      <w:marTop w:val="0"/>
      <w:marBottom w:val="0"/>
      <w:divBdr>
        <w:top w:val="none" w:sz="0" w:space="0" w:color="auto"/>
        <w:left w:val="none" w:sz="0" w:space="0" w:color="auto"/>
        <w:bottom w:val="none" w:sz="0" w:space="0" w:color="auto"/>
        <w:right w:val="none" w:sz="0" w:space="0" w:color="auto"/>
      </w:divBdr>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067075431">
      <w:bodyDiv w:val="1"/>
      <w:marLeft w:val="0"/>
      <w:marRight w:val="0"/>
      <w:marTop w:val="0"/>
      <w:marBottom w:val="0"/>
      <w:divBdr>
        <w:top w:val="none" w:sz="0" w:space="0" w:color="auto"/>
        <w:left w:val="none" w:sz="0" w:space="0" w:color="auto"/>
        <w:bottom w:val="none" w:sz="0" w:space="0" w:color="auto"/>
        <w:right w:val="none" w:sz="0" w:space="0" w:color="auto"/>
      </w:divBdr>
    </w:div>
    <w:div w:id="1088697187">
      <w:bodyDiv w:val="1"/>
      <w:marLeft w:val="0"/>
      <w:marRight w:val="0"/>
      <w:marTop w:val="0"/>
      <w:marBottom w:val="0"/>
      <w:divBdr>
        <w:top w:val="none" w:sz="0" w:space="0" w:color="auto"/>
        <w:left w:val="none" w:sz="0" w:space="0" w:color="auto"/>
        <w:bottom w:val="none" w:sz="0" w:space="0" w:color="auto"/>
        <w:right w:val="none" w:sz="0" w:space="0" w:color="auto"/>
      </w:divBdr>
    </w:div>
    <w:div w:id="1135610052">
      <w:bodyDiv w:val="1"/>
      <w:marLeft w:val="0"/>
      <w:marRight w:val="0"/>
      <w:marTop w:val="0"/>
      <w:marBottom w:val="0"/>
      <w:divBdr>
        <w:top w:val="none" w:sz="0" w:space="0" w:color="auto"/>
        <w:left w:val="none" w:sz="0" w:space="0" w:color="auto"/>
        <w:bottom w:val="none" w:sz="0" w:space="0" w:color="auto"/>
        <w:right w:val="none" w:sz="0" w:space="0" w:color="auto"/>
      </w:divBdr>
    </w:div>
    <w:div w:id="1172838346">
      <w:bodyDiv w:val="1"/>
      <w:marLeft w:val="0"/>
      <w:marRight w:val="0"/>
      <w:marTop w:val="0"/>
      <w:marBottom w:val="0"/>
      <w:divBdr>
        <w:top w:val="none" w:sz="0" w:space="0" w:color="auto"/>
        <w:left w:val="none" w:sz="0" w:space="0" w:color="auto"/>
        <w:bottom w:val="none" w:sz="0" w:space="0" w:color="auto"/>
        <w:right w:val="none" w:sz="0" w:space="0" w:color="auto"/>
      </w:divBdr>
    </w:div>
    <w:div w:id="1186477726">
      <w:bodyDiv w:val="1"/>
      <w:marLeft w:val="0"/>
      <w:marRight w:val="0"/>
      <w:marTop w:val="0"/>
      <w:marBottom w:val="0"/>
      <w:divBdr>
        <w:top w:val="none" w:sz="0" w:space="0" w:color="auto"/>
        <w:left w:val="none" w:sz="0" w:space="0" w:color="auto"/>
        <w:bottom w:val="none" w:sz="0" w:space="0" w:color="auto"/>
        <w:right w:val="none" w:sz="0" w:space="0" w:color="auto"/>
      </w:divBdr>
    </w:div>
    <w:div w:id="1220441429">
      <w:bodyDiv w:val="1"/>
      <w:marLeft w:val="0"/>
      <w:marRight w:val="0"/>
      <w:marTop w:val="0"/>
      <w:marBottom w:val="0"/>
      <w:divBdr>
        <w:top w:val="none" w:sz="0" w:space="0" w:color="auto"/>
        <w:left w:val="none" w:sz="0" w:space="0" w:color="auto"/>
        <w:bottom w:val="none" w:sz="0" w:space="0" w:color="auto"/>
        <w:right w:val="none" w:sz="0" w:space="0" w:color="auto"/>
      </w:divBdr>
    </w:div>
    <w:div w:id="1244800234">
      <w:bodyDiv w:val="1"/>
      <w:marLeft w:val="0"/>
      <w:marRight w:val="0"/>
      <w:marTop w:val="0"/>
      <w:marBottom w:val="0"/>
      <w:divBdr>
        <w:top w:val="none" w:sz="0" w:space="0" w:color="auto"/>
        <w:left w:val="none" w:sz="0" w:space="0" w:color="auto"/>
        <w:bottom w:val="none" w:sz="0" w:space="0" w:color="auto"/>
        <w:right w:val="none" w:sz="0" w:space="0" w:color="auto"/>
      </w:divBdr>
    </w:div>
    <w:div w:id="1371959712">
      <w:bodyDiv w:val="1"/>
      <w:marLeft w:val="0"/>
      <w:marRight w:val="0"/>
      <w:marTop w:val="0"/>
      <w:marBottom w:val="0"/>
      <w:divBdr>
        <w:top w:val="none" w:sz="0" w:space="0" w:color="auto"/>
        <w:left w:val="none" w:sz="0" w:space="0" w:color="auto"/>
        <w:bottom w:val="none" w:sz="0" w:space="0" w:color="auto"/>
        <w:right w:val="none" w:sz="0" w:space="0" w:color="auto"/>
      </w:divBdr>
    </w:div>
    <w:div w:id="1420827098">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13300038">
      <w:bodyDiv w:val="1"/>
      <w:marLeft w:val="0"/>
      <w:marRight w:val="0"/>
      <w:marTop w:val="0"/>
      <w:marBottom w:val="0"/>
      <w:divBdr>
        <w:top w:val="none" w:sz="0" w:space="0" w:color="auto"/>
        <w:left w:val="none" w:sz="0" w:space="0" w:color="auto"/>
        <w:bottom w:val="none" w:sz="0" w:space="0" w:color="auto"/>
        <w:right w:val="none" w:sz="0" w:space="0" w:color="auto"/>
      </w:divBdr>
    </w:div>
    <w:div w:id="1535997753">
      <w:bodyDiv w:val="1"/>
      <w:marLeft w:val="0"/>
      <w:marRight w:val="0"/>
      <w:marTop w:val="0"/>
      <w:marBottom w:val="0"/>
      <w:divBdr>
        <w:top w:val="none" w:sz="0" w:space="0" w:color="auto"/>
        <w:left w:val="none" w:sz="0" w:space="0" w:color="auto"/>
        <w:bottom w:val="none" w:sz="0" w:space="0" w:color="auto"/>
        <w:right w:val="none" w:sz="0" w:space="0" w:color="auto"/>
      </w:divBdr>
    </w:div>
    <w:div w:id="1540049301">
      <w:bodyDiv w:val="1"/>
      <w:marLeft w:val="0"/>
      <w:marRight w:val="0"/>
      <w:marTop w:val="0"/>
      <w:marBottom w:val="0"/>
      <w:divBdr>
        <w:top w:val="none" w:sz="0" w:space="0" w:color="auto"/>
        <w:left w:val="none" w:sz="0" w:space="0" w:color="auto"/>
        <w:bottom w:val="none" w:sz="0" w:space="0" w:color="auto"/>
        <w:right w:val="none" w:sz="0" w:space="0" w:color="auto"/>
      </w:divBdr>
    </w:div>
    <w:div w:id="1549485551">
      <w:bodyDiv w:val="1"/>
      <w:marLeft w:val="0"/>
      <w:marRight w:val="0"/>
      <w:marTop w:val="0"/>
      <w:marBottom w:val="0"/>
      <w:divBdr>
        <w:top w:val="none" w:sz="0" w:space="0" w:color="auto"/>
        <w:left w:val="none" w:sz="0" w:space="0" w:color="auto"/>
        <w:bottom w:val="none" w:sz="0" w:space="0" w:color="auto"/>
        <w:right w:val="none" w:sz="0" w:space="0" w:color="auto"/>
      </w:divBdr>
    </w:div>
    <w:div w:id="1567454511">
      <w:bodyDiv w:val="1"/>
      <w:marLeft w:val="0"/>
      <w:marRight w:val="0"/>
      <w:marTop w:val="0"/>
      <w:marBottom w:val="0"/>
      <w:divBdr>
        <w:top w:val="none" w:sz="0" w:space="0" w:color="auto"/>
        <w:left w:val="none" w:sz="0" w:space="0" w:color="auto"/>
        <w:bottom w:val="none" w:sz="0" w:space="0" w:color="auto"/>
        <w:right w:val="none" w:sz="0" w:space="0" w:color="auto"/>
      </w:divBdr>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616866590">
      <w:bodyDiv w:val="1"/>
      <w:marLeft w:val="0"/>
      <w:marRight w:val="0"/>
      <w:marTop w:val="0"/>
      <w:marBottom w:val="0"/>
      <w:divBdr>
        <w:top w:val="none" w:sz="0" w:space="0" w:color="auto"/>
        <w:left w:val="none" w:sz="0" w:space="0" w:color="auto"/>
        <w:bottom w:val="none" w:sz="0" w:space="0" w:color="auto"/>
        <w:right w:val="none" w:sz="0" w:space="0" w:color="auto"/>
      </w:divBdr>
    </w:div>
    <w:div w:id="1643190520">
      <w:bodyDiv w:val="1"/>
      <w:marLeft w:val="0"/>
      <w:marRight w:val="0"/>
      <w:marTop w:val="0"/>
      <w:marBottom w:val="0"/>
      <w:divBdr>
        <w:top w:val="none" w:sz="0" w:space="0" w:color="auto"/>
        <w:left w:val="none" w:sz="0" w:space="0" w:color="auto"/>
        <w:bottom w:val="none" w:sz="0" w:space="0" w:color="auto"/>
        <w:right w:val="none" w:sz="0" w:space="0" w:color="auto"/>
      </w:divBdr>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43329745">
      <w:bodyDiv w:val="1"/>
      <w:marLeft w:val="0"/>
      <w:marRight w:val="0"/>
      <w:marTop w:val="0"/>
      <w:marBottom w:val="0"/>
      <w:divBdr>
        <w:top w:val="none" w:sz="0" w:space="0" w:color="auto"/>
        <w:left w:val="none" w:sz="0" w:space="0" w:color="auto"/>
        <w:bottom w:val="none" w:sz="0" w:space="0" w:color="auto"/>
        <w:right w:val="none" w:sz="0" w:space="0" w:color="auto"/>
      </w:divBdr>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775591978">
      <w:bodyDiv w:val="1"/>
      <w:marLeft w:val="0"/>
      <w:marRight w:val="0"/>
      <w:marTop w:val="0"/>
      <w:marBottom w:val="0"/>
      <w:divBdr>
        <w:top w:val="none" w:sz="0" w:space="0" w:color="auto"/>
        <w:left w:val="none" w:sz="0" w:space="0" w:color="auto"/>
        <w:bottom w:val="none" w:sz="0" w:space="0" w:color="auto"/>
        <w:right w:val="none" w:sz="0" w:space="0" w:color="auto"/>
      </w:divBdr>
    </w:div>
    <w:div w:id="1797915481">
      <w:bodyDiv w:val="1"/>
      <w:marLeft w:val="0"/>
      <w:marRight w:val="0"/>
      <w:marTop w:val="0"/>
      <w:marBottom w:val="0"/>
      <w:divBdr>
        <w:top w:val="none" w:sz="0" w:space="0" w:color="auto"/>
        <w:left w:val="none" w:sz="0" w:space="0" w:color="auto"/>
        <w:bottom w:val="none" w:sz="0" w:space="0" w:color="auto"/>
        <w:right w:val="none" w:sz="0" w:space="0" w:color="auto"/>
      </w:divBdr>
    </w:div>
    <w:div w:id="1844005056">
      <w:bodyDiv w:val="1"/>
      <w:marLeft w:val="0"/>
      <w:marRight w:val="0"/>
      <w:marTop w:val="0"/>
      <w:marBottom w:val="0"/>
      <w:divBdr>
        <w:top w:val="none" w:sz="0" w:space="0" w:color="auto"/>
        <w:left w:val="none" w:sz="0" w:space="0" w:color="auto"/>
        <w:bottom w:val="none" w:sz="0" w:space="0" w:color="auto"/>
        <w:right w:val="none" w:sz="0" w:space="0" w:color="auto"/>
      </w:divBdr>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28731961">
      <w:bodyDiv w:val="1"/>
      <w:marLeft w:val="0"/>
      <w:marRight w:val="0"/>
      <w:marTop w:val="0"/>
      <w:marBottom w:val="0"/>
      <w:divBdr>
        <w:top w:val="none" w:sz="0" w:space="0" w:color="auto"/>
        <w:left w:val="none" w:sz="0" w:space="0" w:color="auto"/>
        <w:bottom w:val="none" w:sz="0" w:space="0" w:color="auto"/>
        <w:right w:val="none" w:sz="0" w:space="0" w:color="auto"/>
      </w:divBdr>
    </w:div>
    <w:div w:id="1965651669">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28751888">
      <w:bodyDiv w:val="1"/>
      <w:marLeft w:val="0"/>
      <w:marRight w:val="0"/>
      <w:marTop w:val="0"/>
      <w:marBottom w:val="0"/>
      <w:divBdr>
        <w:top w:val="none" w:sz="0" w:space="0" w:color="auto"/>
        <w:left w:val="none" w:sz="0" w:space="0" w:color="auto"/>
        <w:bottom w:val="none" w:sz="0" w:space="0" w:color="auto"/>
        <w:right w:val="none" w:sz="0" w:space="0" w:color="auto"/>
      </w:divBdr>
    </w:div>
    <w:div w:id="2030834294">
      <w:bodyDiv w:val="1"/>
      <w:marLeft w:val="0"/>
      <w:marRight w:val="0"/>
      <w:marTop w:val="0"/>
      <w:marBottom w:val="0"/>
      <w:divBdr>
        <w:top w:val="none" w:sz="0" w:space="0" w:color="auto"/>
        <w:left w:val="none" w:sz="0" w:space="0" w:color="auto"/>
        <w:bottom w:val="none" w:sz="0" w:space="0" w:color="auto"/>
        <w:right w:val="none" w:sz="0" w:space="0" w:color="auto"/>
      </w:divBdr>
    </w:div>
    <w:div w:id="2035570957">
      <w:bodyDiv w:val="1"/>
      <w:marLeft w:val="0"/>
      <w:marRight w:val="0"/>
      <w:marTop w:val="0"/>
      <w:marBottom w:val="0"/>
      <w:divBdr>
        <w:top w:val="none" w:sz="0" w:space="0" w:color="auto"/>
        <w:left w:val="none" w:sz="0" w:space="0" w:color="auto"/>
        <w:bottom w:val="none" w:sz="0" w:space="0" w:color="auto"/>
        <w:right w:val="none" w:sz="0" w:space="0" w:color="auto"/>
      </w:divBdr>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078474260">
      <w:bodyDiv w:val="1"/>
      <w:marLeft w:val="0"/>
      <w:marRight w:val="0"/>
      <w:marTop w:val="0"/>
      <w:marBottom w:val="0"/>
      <w:divBdr>
        <w:top w:val="none" w:sz="0" w:space="0" w:color="auto"/>
        <w:left w:val="none" w:sz="0" w:space="0" w:color="auto"/>
        <w:bottom w:val="none" w:sz="0" w:space="0" w:color="auto"/>
        <w:right w:val="none" w:sz="0" w:space="0" w:color="auto"/>
      </w:divBdr>
    </w:div>
    <w:div w:id="2130510541">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